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er6.xml" ContentType="application/vnd.openxmlformats-officedocument.wordprocessingml.footer+xml"/>
  <Override PartName="/word/header7.xml" ContentType="application/vnd.openxmlformats-officedocument.wordprocessingml.head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diagrams/colors1.xml" ContentType="application/vnd.openxmlformats-officedocument.drawingml.diagramColors+xml"/>
  <Override PartName="/word/diagrams/quickStyle1.xml" ContentType="application/vnd.openxmlformats-officedocument.drawingml.diagramStyle+xml"/>
  <Override PartName="/word/diagrams/layout1.xml" ContentType="application/vnd.openxmlformats-officedocument.drawingml.diagramLayout+xml"/>
  <Override PartName="/word/theme/theme1.xml" ContentType="application/vnd.openxmlformats-officedocument.theme+xml"/>
  <Override PartName="/word/diagrams/drawing1.xml" ContentType="application/vnd.ms-office.drawingml.diagramDrawing+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auto"/>
          <w:sz w:val="20"/>
        </w:rPr>
        <w:id w:val="1792633033"/>
        <w:docPartObj>
          <w:docPartGallery w:val="Cover Pages"/>
          <w:docPartUnique/>
        </w:docPartObj>
      </w:sdtPr>
      <w:sdtEndPr>
        <w:rPr>
          <w:color w:val="53565A"/>
          <w:sz w:val="18"/>
        </w:rPr>
      </w:sdtEndPr>
      <w:sdtContent>
        <w:p w14:paraId="418A23D9" w14:textId="37349462" w:rsidR="00FB2598" w:rsidRDefault="00294DCD" w:rsidP="0047003A">
          <w:r w:rsidRPr="0047003A">
            <w:rPr>
              <w:rStyle w:val="TitleChar"/>
            </w:rPr>
            <w:drawing>
              <wp:anchor distT="0" distB="0" distL="114300" distR="114300" simplePos="0" relativeHeight="251658242" behindDoc="1" locked="0" layoutInCell="1" allowOverlap="1" wp14:anchorId="59044886" wp14:editId="580FD316">
                <wp:simplePos x="0" y="0"/>
                <wp:positionH relativeFrom="margin">
                  <wp:align>center</wp:align>
                </wp:positionH>
                <wp:positionV relativeFrom="paragraph">
                  <wp:posOffset>-3582670</wp:posOffset>
                </wp:positionV>
                <wp:extent cx="7533318" cy="10647933"/>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Word Report Cover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3318" cy="10647933"/>
                        </a:xfrm>
                        <a:prstGeom prst="rect">
                          <a:avLst/>
                        </a:prstGeom>
                      </pic:spPr>
                    </pic:pic>
                  </a:graphicData>
                </a:graphic>
                <wp14:sizeRelH relativeFrom="page">
                  <wp14:pctWidth>0</wp14:pctWidth>
                </wp14:sizeRelH>
                <wp14:sizeRelV relativeFrom="page">
                  <wp14:pctHeight>0</wp14:pctHeight>
                </wp14:sizeRelV>
              </wp:anchor>
            </w:drawing>
          </w:r>
          <w:r w:rsidR="00FB2598" w:rsidRPr="00FB2598">
            <w:t xml:space="preserve"> </w:t>
          </w:r>
        </w:p>
        <w:p w14:paraId="6B8E24BB" w14:textId="41D999CB" w:rsidR="00FB2598" w:rsidRDefault="00FB2598" w:rsidP="0047003A">
          <w:pPr>
            <w:rPr>
              <w:rStyle w:val="TitleChar"/>
            </w:rPr>
          </w:pPr>
        </w:p>
        <w:p w14:paraId="4723FF29" w14:textId="681414BA" w:rsidR="00FB2598" w:rsidRDefault="00FB2598" w:rsidP="0047003A">
          <w:pPr>
            <w:rPr>
              <w:rStyle w:val="TitleChar"/>
            </w:rPr>
          </w:pPr>
        </w:p>
        <w:p w14:paraId="4B00B105" w14:textId="28B59430" w:rsidR="00FB2598" w:rsidRDefault="00FB2598" w:rsidP="0047003A">
          <w:pPr>
            <w:rPr>
              <w:rStyle w:val="TitleChar"/>
            </w:rPr>
          </w:pPr>
        </w:p>
        <w:p w14:paraId="7493E095" w14:textId="2EE7CE7E" w:rsidR="00294DCD" w:rsidRPr="0047003A" w:rsidRDefault="00FB2598" w:rsidP="0047003A">
          <w:pPr>
            <w:rPr>
              <w:rStyle w:val="TitleChar"/>
            </w:rPr>
          </w:pPr>
          <w:r w:rsidRPr="00FB2598">
            <w:rPr>
              <w:rStyle w:val="TitleChar"/>
            </w:rPr>
            <w:t>Regulatory Impact Statement</w:t>
          </w:r>
        </w:p>
        <w:p w14:paraId="681BB72D" w14:textId="77777777" w:rsidR="00FB2598" w:rsidRPr="00FB2598" w:rsidRDefault="00FB2598" w:rsidP="00FB2598">
          <w:pPr>
            <w:pStyle w:val="Subtitle"/>
            <w:rPr>
              <w:sz w:val="22"/>
            </w:rPr>
          </w:pPr>
        </w:p>
        <w:p w14:paraId="0A4F2DB7" w14:textId="77777777" w:rsidR="00FB2598" w:rsidRDefault="00FB2598" w:rsidP="00FB2598">
          <w:pPr>
            <w:pStyle w:val="Subtitle"/>
          </w:pPr>
        </w:p>
        <w:p w14:paraId="1A997C55" w14:textId="77777777" w:rsidR="00FB2598" w:rsidRDefault="00FB2598" w:rsidP="00FB2598">
          <w:pPr>
            <w:pStyle w:val="Subtitle"/>
          </w:pPr>
          <w:r>
            <w:t xml:space="preserve">Proposed </w:t>
          </w:r>
          <w:bookmarkStart w:id="0" w:name="_Hlk56583995"/>
          <w:r>
            <w:t>Mineral Resources (Sustainable Development)</w:t>
          </w:r>
        </w:p>
        <w:p w14:paraId="0D437ADC" w14:textId="764DCB0C" w:rsidR="00FB2598" w:rsidRDefault="00FB2598" w:rsidP="00FB2598">
          <w:pPr>
            <w:pStyle w:val="Subtitle"/>
          </w:pPr>
          <w:r>
            <w:t xml:space="preserve">(Mineral Industries) </w:t>
          </w:r>
          <w:r w:rsidR="00BD5B92">
            <w:t xml:space="preserve">Amendment </w:t>
          </w:r>
          <w:r>
            <w:t xml:space="preserve">Regulations </w:t>
          </w:r>
          <w:bookmarkEnd w:id="0"/>
          <w:r>
            <w:t>20</w:t>
          </w:r>
          <w:r w:rsidR="0050180B">
            <w:t>2</w:t>
          </w:r>
          <w:r w:rsidR="00CE6651">
            <w:t>2</w:t>
          </w:r>
        </w:p>
        <w:p w14:paraId="70CD0350" w14:textId="77777777" w:rsidR="00FB2598" w:rsidRDefault="00FB2598" w:rsidP="00FB2598">
          <w:pPr>
            <w:rPr>
              <w:color w:val="FFFFFF"/>
              <w:sz w:val="32"/>
            </w:rPr>
          </w:pPr>
        </w:p>
        <w:p w14:paraId="04051984" w14:textId="77777777" w:rsidR="00FB2598" w:rsidRDefault="00FB2598" w:rsidP="00FB2598">
          <w:pPr>
            <w:rPr>
              <w:color w:val="FFFFFF"/>
              <w:sz w:val="32"/>
            </w:rPr>
          </w:pPr>
        </w:p>
        <w:p w14:paraId="52B07D65" w14:textId="77777777" w:rsidR="00FB2598" w:rsidRDefault="00FB2598" w:rsidP="00FB2598">
          <w:pPr>
            <w:rPr>
              <w:color w:val="FFFFFF"/>
              <w:sz w:val="32"/>
            </w:rPr>
          </w:pPr>
        </w:p>
        <w:p w14:paraId="57C77E7B" w14:textId="77777777" w:rsidR="00FB2598" w:rsidRDefault="00FB2598" w:rsidP="00FB2598">
          <w:pPr>
            <w:rPr>
              <w:color w:val="FFFFFF"/>
              <w:sz w:val="32"/>
            </w:rPr>
          </w:pPr>
        </w:p>
        <w:p w14:paraId="1B4C1904" w14:textId="77777777" w:rsidR="00FB2598" w:rsidRDefault="00FB2598" w:rsidP="00FB2598">
          <w:pPr>
            <w:rPr>
              <w:color w:val="FFFFFF"/>
              <w:sz w:val="32"/>
            </w:rPr>
          </w:pPr>
        </w:p>
        <w:p w14:paraId="51686A3F" w14:textId="77777777" w:rsidR="00FB2598" w:rsidRDefault="00FB2598" w:rsidP="00FB2598">
          <w:pPr>
            <w:rPr>
              <w:color w:val="FFFFFF"/>
              <w:sz w:val="32"/>
            </w:rPr>
          </w:pPr>
        </w:p>
        <w:p w14:paraId="2DC0CAC7" w14:textId="77777777" w:rsidR="00FB2598" w:rsidRDefault="00FB2598" w:rsidP="00FB2598">
          <w:pPr>
            <w:rPr>
              <w:color w:val="FFFFFF"/>
              <w:sz w:val="32"/>
            </w:rPr>
          </w:pPr>
        </w:p>
        <w:p w14:paraId="5830109A" w14:textId="77777777" w:rsidR="00FB2598" w:rsidRDefault="00FB2598" w:rsidP="00FB2598">
          <w:pPr>
            <w:rPr>
              <w:color w:val="FFFFFF"/>
              <w:sz w:val="32"/>
            </w:rPr>
          </w:pPr>
        </w:p>
        <w:p w14:paraId="46F9DBC1" w14:textId="77777777" w:rsidR="00FB2598" w:rsidRDefault="00FB2598" w:rsidP="00FB2598">
          <w:pPr>
            <w:rPr>
              <w:color w:val="FFFFFF"/>
              <w:sz w:val="32"/>
            </w:rPr>
          </w:pPr>
        </w:p>
        <w:p w14:paraId="7A7065F5" w14:textId="77777777" w:rsidR="00FB2598" w:rsidRDefault="00FB2598" w:rsidP="00FB2598">
          <w:pPr>
            <w:rPr>
              <w:color w:val="FFFFFF"/>
              <w:sz w:val="32"/>
            </w:rPr>
          </w:pPr>
        </w:p>
        <w:p w14:paraId="450468F5" w14:textId="5FFC920E" w:rsidR="004371F6" w:rsidRPr="00FB2598" w:rsidRDefault="00CE6651" w:rsidP="00FB2598">
          <w:r>
            <w:rPr>
              <w:color w:val="FFFFFF"/>
              <w:sz w:val="32"/>
            </w:rPr>
            <w:t>Ma</w:t>
          </w:r>
          <w:r w:rsidR="00A97E2C">
            <w:rPr>
              <w:color w:val="FFFFFF"/>
              <w:sz w:val="32"/>
            </w:rPr>
            <w:t>y</w:t>
          </w:r>
          <w:r w:rsidR="007A42D4">
            <w:rPr>
              <w:color w:val="FFFFFF"/>
              <w:sz w:val="32"/>
            </w:rPr>
            <w:t xml:space="preserve"> </w:t>
          </w:r>
          <w:r w:rsidR="0050180B">
            <w:rPr>
              <w:color w:val="FFFFFF"/>
              <w:sz w:val="32"/>
            </w:rPr>
            <w:t>202</w:t>
          </w:r>
          <w:r>
            <w:rPr>
              <w:color w:val="FFFFFF"/>
              <w:sz w:val="32"/>
            </w:rPr>
            <w:t>2</w:t>
          </w:r>
        </w:p>
      </w:sdtContent>
    </w:sdt>
    <w:p w14:paraId="553B49B5" w14:textId="5E8FF4F5" w:rsidR="004371F6" w:rsidRDefault="004371F6" w:rsidP="00D96C1E">
      <w:pPr>
        <w:rPr>
          <w:rFonts w:ascii="Verdana" w:hAnsi="Verdana"/>
        </w:rPr>
        <w:sectPr w:rsidR="004371F6" w:rsidSect="00294DCD">
          <w:headerReference w:type="even" r:id="rId9"/>
          <w:headerReference w:type="default" r:id="rId10"/>
          <w:footerReference w:type="even" r:id="rId11"/>
          <w:footerReference w:type="default" r:id="rId12"/>
          <w:headerReference w:type="first" r:id="rId13"/>
          <w:footerReference w:type="first" r:id="rId14"/>
          <w:pgSz w:w="11906" w:h="16838"/>
          <w:pgMar w:top="3818" w:right="1440" w:bottom="1440" w:left="1440" w:header="708" w:footer="137" w:gutter="0"/>
          <w:pgNumType w:start="0"/>
          <w:cols w:space="708"/>
          <w:docGrid w:linePitch="360"/>
        </w:sectPr>
      </w:pPr>
    </w:p>
    <w:p w14:paraId="5E878243" w14:textId="77777777" w:rsidR="001A70DF" w:rsidRDefault="001A70DF" w:rsidP="001A70DF">
      <w:pPr>
        <w:spacing w:before="0" w:line="276" w:lineRule="auto"/>
        <w:jc w:val="center"/>
      </w:pPr>
    </w:p>
    <w:p w14:paraId="0F9D388F" w14:textId="77777777" w:rsidR="001A70DF" w:rsidRDefault="001A70DF" w:rsidP="001A70DF">
      <w:pPr>
        <w:spacing w:before="0" w:line="276" w:lineRule="auto"/>
        <w:jc w:val="center"/>
      </w:pPr>
    </w:p>
    <w:p w14:paraId="1D8F6EDD" w14:textId="77777777" w:rsidR="001A70DF" w:rsidRDefault="001A70DF" w:rsidP="001A70DF">
      <w:pPr>
        <w:spacing w:before="0" w:line="276" w:lineRule="auto"/>
        <w:jc w:val="center"/>
      </w:pPr>
    </w:p>
    <w:p w14:paraId="229CCE82" w14:textId="77777777" w:rsidR="001A70DF" w:rsidRDefault="001A70DF" w:rsidP="001A70DF">
      <w:pPr>
        <w:spacing w:before="0" w:line="276" w:lineRule="auto"/>
        <w:jc w:val="center"/>
      </w:pPr>
    </w:p>
    <w:p w14:paraId="74AB09DF" w14:textId="77777777" w:rsidR="001A70DF" w:rsidRDefault="001A70DF" w:rsidP="001A70DF">
      <w:pPr>
        <w:spacing w:before="0" w:line="276" w:lineRule="auto"/>
        <w:jc w:val="center"/>
      </w:pPr>
    </w:p>
    <w:p w14:paraId="60A69623" w14:textId="77777777" w:rsidR="001A70DF" w:rsidRDefault="001A70DF" w:rsidP="001A70DF">
      <w:pPr>
        <w:spacing w:before="0" w:line="276" w:lineRule="auto"/>
        <w:jc w:val="center"/>
      </w:pPr>
    </w:p>
    <w:p w14:paraId="71DAACBB" w14:textId="77777777" w:rsidR="001A70DF" w:rsidRDefault="001A70DF" w:rsidP="001A70DF">
      <w:pPr>
        <w:spacing w:before="0" w:line="276" w:lineRule="auto"/>
        <w:jc w:val="center"/>
      </w:pPr>
    </w:p>
    <w:p w14:paraId="6D2170FA" w14:textId="77777777" w:rsidR="001A70DF" w:rsidRDefault="001A70DF" w:rsidP="001A70DF">
      <w:pPr>
        <w:spacing w:before="0" w:line="276" w:lineRule="auto"/>
        <w:jc w:val="center"/>
      </w:pPr>
    </w:p>
    <w:p w14:paraId="36F80827" w14:textId="77777777" w:rsidR="001A70DF" w:rsidRDefault="001A70DF" w:rsidP="001A70DF">
      <w:pPr>
        <w:spacing w:before="0" w:line="276" w:lineRule="auto"/>
        <w:jc w:val="center"/>
      </w:pPr>
    </w:p>
    <w:p w14:paraId="645D9835" w14:textId="172C92AE" w:rsidR="001A70DF" w:rsidRDefault="001A70DF" w:rsidP="001A70DF">
      <w:pPr>
        <w:spacing w:before="0" w:line="276" w:lineRule="auto"/>
        <w:jc w:val="center"/>
      </w:pPr>
    </w:p>
    <w:p w14:paraId="75A51380" w14:textId="77777777" w:rsidR="001A70DF" w:rsidRDefault="001A70DF" w:rsidP="001A70DF">
      <w:pPr>
        <w:spacing w:before="0" w:line="276" w:lineRule="auto"/>
        <w:jc w:val="center"/>
      </w:pPr>
    </w:p>
    <w:p w14:paraId="58EA0511" w14:textId="77777777" w:rsidR="001A70DF" w:rsidRDefault="001A70DF" w:rsidP="001A70DF">
      <w:pPr>
        <w:spacing w:before="0" w:line="276" w:lineRule="auto"/>
        <w:jc w:val="center"/>
      </w:pPr>
    </w:p>
    <w:p w14:paraId="24D148DA" w14:textId="77777777" w:rsidR="001A70DF" w:rsidRDefault="001A70DF" w:rsidP="001A70DF">
      <w:pPr>
        <w:spacing w:before="0" w:line="276" w:lineRule="auto"/>
        <w:jc w:val="center"/>
      </w:pPr>
    </w:p>
    <w:p w14:paraId="0BE48759" w14:textId="77777777" w:rsidR="001A70DF" w:rsidRDefault="001A70DF" w:rsidP="001A70DF">
      <w:pPr>
        <w:spacing w:before="0" w:line="276" w:lineRule="auto"/>
        <w:jc w:val="center"/>
      </w:pPr>
    </w:p>
    <w:p w14:paraId="592924FE" w14:textId="77777777" w:rsidR="001A70DF" w:rsidRDefault="001A70DF" w:rsidP="001A70DF">
      <w:pPr>
        <w:spacing w:before="0" w:line="276" w:lineRule="auto"/>
        <w:jc w:val="center"/>
      </w:pPr>
    </w:p>
    <w:p w14:paraId="1A7CFEF0" w14:textId="77777777" w:rsidR="001A70DF" w:rsidRDefault="001A70DF" w:rsidP="001A70DF">
      <w:pPr>
        <w:spacing w:before="0" w:line="276" w:lineRule="auto"/>
        <w:jc w:val="center"/>
      </w:pPr>
    </w:p>
    <w:p w14:paraId="484D0EC9" w14:textId="445ADC2D" w:rsidR="001A70DF" w:rsidRDefault="001A70DF" w:rsidP="001A70DF">
      <w:pPr>
        <w:spacing w:before="0" w:line="276" w:lineRule="auto"/>
        <w:jc w:val="center"/>
        <w:sectPr w:rsidR="001A70DF" w:rsidSect="004B3FC2">
          <w:headerReference w:type="default" r:id="rId15"/>
          <w:footerReference w:type="default" r:id="rId16"/>
          <w:pgSz w:w="11906" w:h="16838"/>
          <w:pgMar w:top="1440" w:right="1440" w:bottom="1440" w:left="1440" w:header="708" w:footer="137" w:gutter="0"/>
          <w:pgNumType w:start="1"/>
          <w:cols w:space="708"/>
          <w:titlePg/>
          <w:docGrid w:linePitch="360"/>
        </w:sectPr>
      </w:pPr>
      <w:r w:rsidRPr="001A70DF">
        <w:t xml:space="preserve">This page </w:t>
      </w:r>
      <w:r w:rsidR="00C446D0">
        <w:t xml:space="preserve">is </w:t>
      </w:r>
      <w:r w:rsidRPr="001A70DF">
        <w:t>intentionally left blank.</w:t>
      </w:r>
    </w:p>
    <w:p w14:paraId="3F4D71F4" w14:textId="24E15DF1" w:rsidR="0095190E" w:rsidRDefault="0095190E">
      <w:pPr>
        <w:spacing w:before="0" w:line="276" w:lineRule="auto"/>
        <w:rPr>
          <w:b/>
          <w:caps/>
          <w:sz w:val="36"/>
          <w:szCs w:val="48"/>
        </w:rPr>
      </w:pPr>
      <w:r>
        <w:rPr>
          <w:noProof/>
          <w:lang w:val="en-GB" w:eastAsia="en-GB"/>
        </w:rPr>
        <w:lastRenderedPageBreak/>
        <mc:AlternateContent>
          <mc:Choice Requires="wps">
            <w:drawing>
              <wp:anchor distT="45720" distB="45720" distL="114300" distR="114300" simplePos="0" relativeHeight="251658241" behindDoc="0" locked="0" layoutInCell="1" allowOverlap="1" wp14:anchorId="74DDAD48" wp14:editId="774D8EFA">
                <wp:simplePos x="0" y="0"/>
                <wp:positionH relativeFrom="margin">
                  <wp:posOffset>0</wp:posOffset>
                </wp:positionH>
                <wp:positionV relativeFrom="paragraph">
                  <wp:posOffset>180975</wp:posOffset>
                </wp:positionV>
                <wp:extent cx="5695950" cy="2291080"/>
                <wp:effectExtent l="0" t="0" r="1905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2291080"/>
                        </a:xfrm>
                        <a:prstGeom prst="rect">
                          <a:avLst/>
                        </a:prstGeom>
                        <a:solidFill>
                          <a:schemeClr val="bg2">
                            <a:lumMod val="75000"/>
                          </a:schemeClr>
                        </a:solidFill>
                        <a:ln w="9525">
                          <a:solidFill>
                            <a:srgbClr val="000000"/>
                          </a:solidFill>
                          <a:miter lim="800000"/>
                          <a:headEnd/>
                          <a:tailEnd/>
                        </a:ln>
                      </wps:spPr>
                      <wps:txbx>
                        <w:txbxContent>
                          <w:p w14:paraId="02066FFB" w14:textId="0A8BD7CF" w:rsidR="00314925" w:rsidRPr="00DA3DF5" w:rsidRDefault="00314925" w:rsidP="0095190E">
                            <w:pPr>
                              <w:pStyle w:val="EYBodytextwithparaspace"/>
                              <w:spacing w:before="240"/>
                              <w:rPr>
                                <w:rFonts w:ascii="Arial" w:hAnsi="Arial" w:cs="Arial"/>
                                <w:b/>
                                <w:szCs w:val="20"/>
                              </w:rPr>
                            </w:pPr>
                            <w:r w:rsidRPr="00DA3DF5">
                              <w:rPr>
                                <w:rFonts w:ascii="Arial" w:hAnsi="Arial" w:cs="Arial"/>
                                <w:b/>
                                <w:szCs w:val="20"/>
                              </w:rPr>
                              <w:t xml:space="preserve">This Regulatory Impact Statement (RIS) has been prepared in accordance with the </w:t>
                            </w:r>
                            <w:r w:rsidRPr="00DA3DF5">
                              <w:rPr>
                                <w:rFonts w:ascii="Arial" w:hAnsi="Arial" w:cs="Arial"/>
                                <w:b/>
                                <w:i/>
                                <w:szCs w:val="20"/>
                              </w:rPr>
                              <w:t>Subordinate Legislation Act 1994</w:t>
                            </w:r>
                            <w:r w:rsidRPr="00DA3DF5">
                              <w:rPr>
                                <w:rFonts w:ascii="Arial" w:hAnsi="Arial" w:cs="Arial"/>
                                <w:b/>
                                <w:szCs w:val="20"/>
                              </w:rPr>
                              <w:t xml:space="preserve"> to facilitate public consultation on the draft Mineral Resources (Sustainable Development) (</w:t>
                            </w:r>
                            <w:r>
                              <w:rPr>
                                <w:rFonts w:ascii="Arial" w:hAnsi="Arial" w:cs="Arial"/>
                                <w:b/>
                                <w:szCs w:val="20"/>
                              </w:rPr>
                              <w:t>Mineral</w:t>
                            </w:r>
                            <w:r w:rsidRPr="00DA3DF5">
                              <w:rPr>
                                <w:rFonts w:ascii="Arial" w:hAnsi="Arial" w:cs="Arial"/>
                                <w:b/>
                                <w:szCs w:val="20"/>
                              </w:rPr>
                              <w:t xml:space="preserve"> Industries) Regulations </w:t>
                            </w:r>
                            <w:r w:rsidR="006F1322">
                              <w:rPr>
                                <w:rFonts w:ascii="Arial" w:hAnsi="Arial" w:cs="Arial"/>
                                <w:b/>
                                <w:szCs w:val="20"/>
                              </w:rPr>
                              <w:t xml:space="preserve">2022 </w:t>
                            </w:r>
                            <w:r w:rsidRPr="00DA3DF5">
                              <w:rPr>
                                <w:rFonts w:ascii="Arial" w:hAnsi="Arial" w:cs="Arial"/>
                                <w:b/>
                                <w:szCs w:val="20"/>
                              </w:rPr>
                              <w:t>(proposed Regulations). A copy of the draft proposed Regulations is provided as an attachment to this RIS.</w:t>
                            </w:r>
                          </w:p>
                          <w:p w14:paraId="4C0291D3" w14:textId="7E7D7834" w:rsidR="00314925" w:rsidRPr="00DA3DF5" w:rsidRDefault="00314925" w:rsidP="0095190E">
                            <w:pPr>
                              <w:pStyle w:val="EYBodytextwithparaspace"/>
                              <w:rPr>
                                <w:rFonts w:ascii="Arial" w:hAnsi="Arial" w:cs="Arial"/>
                                <w:b/>
                                <w:szCs w:val="20"/>
                              </w:rPr>
                            </w:pPr>
                            <w:r w:rsidRPr="00DA3DF5">
                              <w:rPr>
                                <w:rFonts w:ascii="Arial" w:hAnsi="Arial" w:cs="Arial"/>
                                <w:b/>
                                <w:szCs w:val="20"/>
                              </w:rPr>
                              <w:t xml:space="preserve">This RIS was prepared </w:t>
                            </w:r>
                            <w:r>
                              <w:rPr>
                                <w:rFonts w:ascii="Arial" w:hAnsi="Arial" w:cs="Arial"/>
                                <w:b/>
                                <w:szCs w:val="20"/>
                              </w:rPr>
                              <w:t>by</w:t>
                            </w:r>
                            <w:r w:rsidRPr="00DA3DF5">
                              <w:rPr>
                                <w:rFonts w:ascii="Arial" w:hAnsi="Arial" w:cs="Arial"/>
                                <w:b/>
                                <w:szCs w:val="20"/>
                              </w:rPr>
                              <w:t xml:space="preserve"> the Department of Jobs, Precincts and Regions</w:t>
                            </w:r>
                            <w:r>
                              <w:rPr>
                                <w:rFonts w:ascii="Arial" w:hAnsi="Arial" w:cs="Arial"/>
                                <w:b/>
                                <w:szCs w:val="20"/>
                              </w:rPr>
                              <w:t xml:space="preserve"> (the Department)</w:t>
                            </w:r>
                            <w:r w:rsidRPr="00DA3DF5">
                              <w:rPr>
                                <w:rFonts w:ascii="Arial" w:hAnsi="Arial" w:cs="Arial"/>
                                <w:b/>
                                <w:szCs w:val="20"/>
                              </w:rPr>
                              <w:t xml:space="preserve"> </w:t>
                            </w:r>
                            <w:r>
                              <w:rPr>
                                <w:rFonts w:ascii="Arial" w:hAnsi="Arial" w:cs="Arial"/>
                                <w:b/>
                                <w:szCs w:val="20"/>
                              </w:rPr>
                              <w:t xml:space="preserve">with the assistance of </w:t>
                            </w:r>
                            <w:r w:rsidRPr="00DA3DF5">
                              <w:rPr>
                                <w:rFonts w:ascii="Arial" w:hAnsi="Arial" w:cs="Arial"/>
                                <w:b/>
                                <w:szCs w:val="20"/>
                              </w:rPr>
                              <w:t>Ernst &amp; Young (EY) ABN 75 288 172 749.</w:t>
                            </w:r>
                          </w:p>
                          <w:p w14:paraId="19A13ADA" w14:textId="2E795AC7" w:rsidR="00314925" w:rsidRPr="00DA3DF5" w:rsidRDefault="00314925" w:rsidP="0095190E">
                            <w:pPr>
                              <w:rPr>
                                <w:color w:val="auto"/>
                                <w:sz w:val="20"/>
                              </w:rPr>
                            </w:pPr>
                            <w:r w:rsidRPr="00DA3DF5">
                              <w:rPr>
                                <w:rFonts w:cs="Arial"/>
                                <w:b/>
                                <w:color w:val="auto"/>
                                <w:sz w:val="20"/>
                              </w:rPr>
                              <w:t xml:space="preserve">Disclaimer: This publication may be of assistance to you, but neither the State of Victoria </w:t>
                            </w:r>
                            <w:r>
                              <w:rPr>
                                <w:rFonts w:cs="Arial"/>
                                <w:b/>
                                <w:color w:val="auto"/>
                                <w:sz w:val="20"/>
                              </w:rPr>
                              <w:t>nor</w:t>
                            </w:r>
                            <w:r w:rsidRPr="00DA3DF5">
                              <w:rPr>
                                <w:rFonts w:cs="Arial"/>
                                <w:b/>
                                <w:color w:val="auto"/>
                                <w:sz w:val="20"/>
                              </w:rPr>
                              <w:t xml:space="preserve"> its employees guarantee that the publication is without flaw or is wholly appropriate for your particular purposes and therefore disclaim all liability for an error, loss or other consequence that may arise from you relying on any information in this publication.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DDAD48" id="_x0000_t202" coordsize="21600,21600" o:spt="202" path="m,l,21600r21600,l21600,xe">
                <v:stroke joinstyle="miter"/>
                <v:path gradientshapeok="t" o:connecttype="rect"/>
              </v:shapetype>
              <v:shape id="Text Box 2" o:spid="_x0000_s1026" type="#_x0000_t202" style="position:absolute;margin-left:0;margin-top:14.25pt;width:448.5pt;height:180.4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" fillcolor="#a5a59d [2414]">
                <v:textbox style="mso-fit-shape-to-text:t">
                  <w:txbxContent>
                    <w:p w14:paraId="02066FFB" w14:textId="0A8BD7CF" w:rsidR="00314925" w:rsidRPr="00DA3DF5" w:rsidRDefault="00314925" w:rsidP="0095190E">
                      <w:pPr>
                        <w:pStyle w:val="EYBodytextwithparaspace"/>
                        <w:spacing w:before="240"/>
                        <w:rPr>
                          <w:rFonts w:ascii="Arial" w:hAnsi="Arial" w:cs="Arial"/>
                          <w:b/>
                          <w:szCs w:val="20"/>
                        </w:rPr>
                      </w:pPr>
                      <w:r w:rsidRPr="00DA3DF5">
                        <w:rPr>
                          <w:rFonts w:ascii="Arial" w:hAnsi="Arial" w:cs="Arial"/>
                          <w:b/>
                          <w:szCs w:val="20"/>
                        </w:rPr>
                        <w:t xml:space="preserve">This Regulatory Impact Statement (RIS) has been prepared in accordance with the </w:t>
                      </w:r>
                      <w:r w:rsidRPr="00DA3DF5">
                        <w:rPr>
                          <w:rFonts w:ascii="Arial" w:hAnsi="Arial" w:cs="Arial"/>
                          <w:b/>
                          <w:i/>
                          <w:szCs w:val="20"/>
                        </w:rPr>
                        <w:t>Subordinate Legislation Act 1994</w:t>
                      </w:r>
                      <w:r w:rsidRPr="00DA3DF5">
                        <w:rPr>
                          <w:rFonts w:ascii="Arial" w:hAnsi="Arial" w:cs="Arial"/>
                          <w:b/>
                          <w:szCs w:val="20"/>
                        </w:rPr>
                        <w:t xml:space="preserve"> to facilitate public consultation on the draft Mineral Resources (Sustainable Development) (</w:t>
                      </w:r>
                      <w:r>
                        <w:rPr>
                          <w:rFonts w:ascii="Arial" w:hAnsi="Arial" w:cs="Arial"/>
                          <w:b/>
                          <w:szCs w:val="20"/>
                        </w:rPr>
                        <w:t>Mineral</w:t>
                      </w:r>
                      <w:r w:rsidRPr="00DA3DF5">
                        <w:rPr>
                          <w:rFonts w:ascii="Arial" w:hAnsi="Arial" w:cs="Arial"/>
                          <w:b/>
                          <w:szCs w:val="20"/>
                        </w:rPr>
                        <w:t xml:space="preserve"> Industries) Regulations </w:t>
                      </w:r>
                      <w:r w:rsidR="006F1322">
                        <w:rPr>
                          <w:rFonts w:ascii="Arial" w:hAnsi="Arial" w:cs="Arial"/>
                          <w:b/>
                          <w:szCs w:val="20"/>
                        </w:rPr>
                        <w:t xml:space="preserve">2022 </w:t>
                      </w:r>
                      <w:r w:rsidRPr="00DA3DF5">
                        <w:rPr>
                          <w:rFonts w:ascii="Arial" w:hAnsi="Arial" w:cs="Arial"/>
                          <w:b/>
                          <w:szCs w:val="20"/>
                        </w:rPr>
                        <w:t>(proposed Regulations). A copy of the draft proposed Regulations is provided as an attachment to this RIS.</w:t>
                      </w:r>
                    </w:p>
                    <w:p w14:paraId="4C0291D3" w14:textId="7E7D7834" w:rsidR="00314925" w:rsidRPr="00DA3DF5" w:rsidRDefault="00314925" w:rsidP="0095190E">
                      <w:pPr>
                        <w:pStyle w:val="EYBodytextwithparaspace"/>
                        <w:rPr>
                          <w:rFonts w:ascii="Arial" w:hAnsi="Arial" w:cs="Arial"/>
                          <w:b/>
                          <w:szCs w:val="20"/>
                        </w:rPr>
                      </w:pPr>
                      <w:r w:rsidRPr="00DA3DF5">
                        <w:rPr>
                          <w:rFonts w:ascii="Arial" w:hAnsi="Arial" w:cs="Arial"/>
                          <w:b/>
                          <w:szCs w:val="20"/>
                        </w:rPr>
                        <w:t xml:space="preserve">This RIS was prepared </w:t>
                      </w:r>
                      <w:r>
                        <w:rPr>
                          <w:rFonts w:ascii="Arial" w:hAnsi="Arial" w:cs="Arial"/>
                          <w:b/>
                          <w:szCs w:val="20"/>
                        </w:rPr>
                        <w:t>by</w:t>
                      </w:r>
                      <w:r w:rsidRPr="00DA3DF5">
                        <w:rPr>
                          <w:rFonts w:ascii="Arial" w:hAnsi="Arial" w:cs="Arial"/>
                          <w:b/>
                          <w:szCs w:val="20"/>
                        </w:rPr>
                        <w:t xml:space="preserve"> the Department of Jobs, Precincts and Regions</w:t>
                      </w:r>
                      <w:r>
                        <w:rPr>
                          <w:rFonts w:ascii="Arial" w:hAnsi="Arial" w:cs="Arial"/>
                          <w:b/>
                          <w:szCs w:val="20"/>
                        </w:rPr>
                        <w:t xml:space="preserve"> (the Department)</w:t>
                      </w:r>
                      <w:r w:rsidRPr="00DA3DF5">
                        <w:rPr>
                          <w:rFonts w:ascii="Arial" w:hAnsi="Arial" w:cs="Arial"/>
                          <w:b/>
                          <w:szCs w:val="20"/>
                        </w:rPr>
                        <w:t xml:space="preserve"> </w:t>
                      </w:r>
                      <w:r>
                        <w:rPr>
                          <w:rFonts w:ascii="Arial" w:hAnsi="Arial" w:cs="Arial"/>
                          <w:b/>
                          <w:szCs w:val="20"/>
                        </w:rPr>
                        <w:t xml:space="preserve">with the assistance of </w:t>
                      </w:r>
                      <w:r w:rsidRPr="00DA3DF5">
                        <w:rPr>
                          <w:rFonts w:ascii="Arial" w:hAnsi="Arial" w:cs="Arial"/>
                          <w:b/>
                          <w:szCs w:val="20"/>
                        </w:rPr>
                        <w:t>Ernst &amp; Young (EY) ABN 75 288 172 749.</w:t>
                      </w:r>
                    </w:p>
                    <w:p w14:paraId="19A13ADA" w14:textId="2E795AC7" w:rsidR="00314925" w:rsidRPr="00DA3DF5" w:rsidRDefault="00314925" w:rsidP="0095190E">
                      <w:pPr>
                        <w:rPr>
                          <w:color w:val="auto"/>
                          <w:sz w:val="20"/>
                        </w:rPr>
                      </w:pPr>
                      <w:r w:rsidRPr="00DA3DF5">
                        <w:rPr>
                          <w:rFonts w:cs="Arial"/>
                          <w:b/>
                          <w:color w:val="auto"/>
                          <w:sz w:val="20"/>
                        </w:rPr>
                        <w:t xml:space="preserve">Disclaimer: This publication may be of assistance to you, but neither the State of Victoria </w:t>
                      </w:r>
                      <w:r>
                        <w:rPr>
                          <w:rFonts w:cs="Arial"/>
                          <w:b/>
                          <w:color w:val="auto"/>
                          <w:sz w:val="20"/>
                        </w:rPr>
                        <w:t>nor</w:t>
                      </w:r>
                      <w:r w:rsidRPr="00DA3DF5">
                        <w:rPr>
                          <w:rFonts w:cs="Arial"/>
                          <w:b/>
                          <w:color w:val="auto"/>
                          <w:sz w:val="20"/>
                        </w:rPr>
                        <w:t xml:space="preserve"> its employees guarantee that the publication is without flaw or is wholly appropriate for your particular purposes and therefore disclaim all liability for an error, loss or other consequence that may arise from you relying on any information in this publication.</w:t>
                      </w:r>
                    </w:p>
                  </w:txbxContent>
                </v:textbox>
                <w10:wrap type="square" anchorx="margin"/>
              </v:shape>
            </w:pict>
          </mc:Fallback>
        </mc:AlternateContent>
      </w:r>
      <w:r>
        <w:br w:type="page"/>
      </w:r>
    </w:p>
    <w:p w14:paraId="4F3D0771" w14:textId="1CE604A8" w:rsidR="004371F6" w:rsidRPr="00D96C1E" w:rsidRDefault="004371F6" w:rsidP="00D96C1E">
      <w:pPr>
        <w:pStyle w:val="TOCHeading"/>
      </w:pPr>
      <w:r w:rsidRPr="00D96C1E">
        <w:lastRenderedPageBreak/>
        <w:t>Table of contents</w:t>
      </w:r>
    </w:p>
    <w:p w14:paraId="126FCD0C" w14:textId="58D30969" w:rsidR="00706AF1" w:rsidRDefault="004371F6">
      <w:pPr>
        <w:pStyle w:val="TOC1"/>
        <w:rPr>
          <w:rFonts w:asciiTheme="minorHAnsi" w:eastAsiaTheme="minorEastAsia" w:hAnsiTheme="minorHAnsi" w:cstheme="minorBidi"/>
          <w:noProof/>
          <w:color w:val="auto"/>
          <w:sz w:val="22"/>
          <w:szCs w:val="22"/>
          <w:lang w:eastAsia="en-AU"/>
        </w:rPr>
      </w:pPr>
      <w:r>
        <w:rPr>
          <w:noProof/>
          <w:color w:val="auto"/>
          <w:lang w:eastAsia="en-AU"/>
        </w:rPr>
        <w:fldChar w:fldCharType="begin"/>
      </w:r>
      <w:r>
        <w:rPr>
          <w:noProof/>
          <w:lang w:eastAsia="en-AU"/>
        </w:rPr>
        <w:instrText xml:space="preserve"> TOC \o "1-3" \h \z \t "Appendices,4" </w:instrText>
      </w:r>
      <w:r>
        <w:rPr>
          <w:noProof/>
          <w:color w:val="auto"/>
          <w:lang w:eastAsia="en-AU"/>
        </w:rPr>
        <w:fldChar w:fldCharType="separate"/>
      </w:r>
      <w:hyperlink w:anchor="_Toc104217644" w:history="1">
        <w:r w:rsidR="00706AF1" w:rsidRPr="002013A8">
          <w:rPr>
            <w:rStyle w:val="Hyperlink"/>
            <w:noProof/>
          </w:rPr>
          <w:t>Figures &amp; Tables</w:t>
        </w:r>
        <w:r w:rsidR="00706AF1">
          <w:rPr>
            <w:noProof/>
            <w:webHidden/>
          </w:rPr>
          <w:tab/>
        </w:r>
        <w:r w:rsidR="00706AF1">
          <w:rPr>
            <w:noProof/>
            <w:webHidden/>
          </w:rPr>
          <w:fldChar w:fldCharType="begin"/>
        </w:r>
        <w:r w:rsidR="00706AF1">
          <w:rPr>
            <w:noProof/>
            <w:webHidden/>
          </w:rPr>
          <w:instrText xml:space="preserve"> PAGEREF _Toc104217644 \h </w:instrText>
        </w:r>
        <w:r w:rsidR="00706AF1">
          <w:rPr>
            <w:noProof/>
            <w:webHidden/>
          </w:rPr>
        </w:r>
        <w:r w:rsidR="00706AF1">
          <w:rPr>
            <w:noProof/>
            <w:webHidden/>
          </w:rPr>
          <w:fldChar w:fldCharType="separate"/>
        </w:r>
        <w:r w:rsidR="000B3BF6">
          <w:rPr>
            <w:noProof/>
            <w:webHidden/>
          </w:rPr>
          <w:t>v</w:t>
        </w:r>
        <w:r w:rsidR="00706AF1">
          <w:rPr>
            <w:noProof/>
            <w:webHidden/>
          </w:rPr>
          <w:fldChar w:fldCharType="end"/>
        </w:r>
      </w:hyperlink>
    </w:p>
    <w:p w14:paraId="661A0FB0" w14:textId="619EEDC6" w:rsidR="00706AF1" w:rsidRDefault="008F35DB">
      <w:pPr>
        <w:pStyle w:val="TOC1"/>
        <w:rPr>
          <w:rFonts w:asciiTheme="minorHAnsi" w:eastAsiaTheme="minorEastAsia" w:hAnsiTheme="minorHAnsi" w:cstheme="minorBidi"/>
          <w:noProof/>
          <w:color w:val="auto"/>
          <w:sz w:val="22"/>
          <w:szCs w:val="22"/>
          <w:lang w:eastAsia="en-AU"/>
        </w:rPr>
      </w:pPr>
      <w:hyperlink w:anchor="_Toc104217645" w:history="1">
        <w:r w:rsidR="00706AF1" w:rsidRPr="002013A8">
          <w:rPr>
            <w:rStyle w:val="Hyperlink"/>
            <w:noProof/>
          </w:rPr>
          <w:t>Abbreviations</w:t>
        </w:r>
        <w:r w:rsidR="00706AF1">
          <w:rPr>
            <w:noProof/>
            <w:webHidden/>
          </w:rPr>
          <w:tab/>
        </w:r>
        <w:r w:rsidR="00706AF1">
          <w:rPr>
            <w:noProof/>
            <w:webHidden/>
          </w:rPr>
          <w:fldChar w:fldCharType="begin"/>
        </w:r>
        <w:r w:rsidR="00706AF1">
          <w:rPr>
            <w:noProof/>
            <w:webHidden/>
          </w:rPr>
          <w:instrText xml:space="preserve"> PAGEREF _Toc104217645 \h </w:instrText>
        </w:r>
        <w:r w:rsidR="00706AF1">
          <w:rPr>
            <w:noProof/>
            <w:webHidden/>
          </w:rPr>
        </w:r>
        <w:r w:rsidR="00706AF1">
          <w:rPr>
            <w:noProof/>
            <w:webHidden/>
          </w:rPr>
          <w:fldChar w:fldCharType="separate"/>
        </w:r>
        <w:r w:rsidR="000B3BF6">
          <w:rPr>
            <w:noProof/>
            <w:webHidden/>
          </w:rPr>
          <w:t>vii</w:t>
        </w:r>
        <w:r w:rsidR="00706AF1">
          <w:rPr>
            <w:noProof/>
            <w:webHidden/>
          </w:rPr>
          <w:fldChar w:fldCharType="end"/>
        </w:r>
      </w:hyperlink>
    </w:p>
    <w:p w14:paraId="10D8B3F9" w14:textId="18778D98" w:rsidR="00706AF1" w:rsidRDefault="008F35DB">
      <w:pPr>
        <w:pStyle w:val="TOC1"/>
        <w:rPr>
          <w:rFonts w:asciiTheme="minorHAnsi" w:eastAsiaTheme="minorEastAsia" w:hAnsiTheme="minorHAnsi" w:cstheme="minorBidi"/>
          <w:noProof/>
          <w:color w:val="auto"/>
          <w:sz w:val="22"/>
          <w:szCs w:val="22"/>
          <w:lang w:eastAsia="en-AU"/>
        </w:rPr>
      </w:pPr>
      <w:hyperlink w:anchor="_Toc104217646" w:history="1">
        <w:r w:rsidR="00706AF1" w:rsidRPr="002013A8">
          <w:rPr>
            <w:rStyle w:val="Hyperlink"/>
            <w:noProof/>
          </w:rPr>
          <w:t>Executive Summary</w:t>
        </w:r>
        <w:r w:rsidR="00706AF1">
          <w:rPr>
            <w:noProof/>
            <w:webHidden/>
          </w:rPr>
          <w:tab/>
        </w:r>
        <w:r w:rsidR="00706AF1">
          <w:rPr>
            <w:noProof/>
            <w:webHidden/>
          </w:rPr>
          <w:fldChar w:fldCharType="begin"/>
        </w:r>
        <w:r w:rsidR="00706AF1">
          <w:rPr>
            <w:noProof/>
            <w:webHidden/>
          </w:rPr>
          <w:instrText xml:space="preserve"> PAGEREF _Toc104217646 \h </w:instrText>
        </w:r>
        <w:r w:rsidR="00706AF1">
          <w:rPr>
            <w:noProof/>
            <w:webHidden/>
          </w:rPr>
        </w:r>
        <w:r w:rsidR="00706AF1">
          <w:rPr>
            <w:noProof/>
            <w:webHidden/>
          </w:rPr>
          <w:fldChar w:fldCharType="separate"/>
        </w:r>
        <w:r w:rsidR="000B3BF6">
          <w:rPr>
            <w:noProof/>
            <w:webHidden/>
          </w:rPr>
          <w:t>ix</w:t>
        </w:r>
        <w:r w:rsidR="00706AF1">
          <w:rPr>
            <w:noProof/>
            <w:webHidden/>
          </w:rPr>
          <w:fldChar w:fldCharType="end"/>
        </w:r>
      </w:hyperlink>
    </w:p>
    <w:p w14:paraId="647D138C" w14:textId="670F25FB" w:rsidR="00706AF1" w:rsidRDefault="008F35DB">
      <w:pPr>
        <w:pStyle w:val="TOC1"/>
        <w:tabs>
          <w:tab w:val="left" w:pos="600"/>
        </w:tabs>
        <w:rPr>
          <w:rFonts w:asciiTheme="minorHAnsi" w:eastAsiaTheme="minorEastAsia" w:hAnsiTheme="minorHAnsi" w:cstheme="minorBidi"/>
          <w:noProof/>
          <w:color w:val="auto"/>
          <w:sz w:val="22"/>
          <w:szCs w:val="22"/>
          <w:lang w:eastAsia="en-AU"/>
        </w:rPr>
      </w:pPr>
      <w:hyperlink w:anchor="_Toc104217647" w:history="1">
        <w:r w:rsidR="00706AF1" w:rsidRPr="002013A8">
          <w:rPr>
            <w:rStyle w:val="Hyperlink"/>
            <w:noProof/>
          </w:rPr>
          <w:t>1.</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Introduction</w:t>
        </w:r>
        <w:r w:rsidR="00706AF1">
          <w:rPr>
            <w:noProof/>
            <w:webHidden/>
          </w:rPr>
          <w:tab/>
        </w:r>
        <w:r w:rsidR="00706AF1">
          <w:rPr>
            <w:noProof/>
            <w:webHidden/>
          </w:rPr>
          <w:fldChar w:fldCharType="begin"/>
        </w:r>
        <w:r w:rsidR="00706AF1">
          <w:rPr>
            <w:noProof/>
            <w:webHidden/>
          </w:rPr>
          <w:instrText xml:space="preserve"> PAGEREF _Toc104217647 \h </w:instrText>
        </w:r>
        <w:r w:rsidR="00706AF1">
          <w:rPr>
            <w:noProof/>
            <w:webHidden/>
          </w:rPr>
        </w:r>
        <w:r w:rsidR="00706AF1">
          <w:rPr>
            <w:noProof/>
            <w:webHidden/>
          </w:rPr>
          <w:fldChar w:fldCharType="separate"/>
        </w:r>
        <w:r w:rsidR="000B3BF6">
          <w:rPr>
            <w:noProof/>
            <w:webHidden/>
          </w:rPr>
          <w:t>19</w:t>
        </w:r>
        <w:r w:rsidR="00706AF1">
          <w:rPr>
            <w:noProof/>
            <w:webHidden/>
          </w:rPr>
          <w:fldChar w:fldCharType="end"/>
        </w:r>
      </w:hyperlink>
    </w:p>
    <w:p w14:paraId="2D63D5A0" w14:textId="31473D10" w:rsidR="00706AF1" w:rsidRDefault="008F35DB">
      <w:pPr>
        <w:pStyle w:val="TOC2"/>
        <w:rPr>
          <w:rFonts w:asciiTheme="minorHAnsi" w:eastAsiaTheme="minorEastAsia" w:hAnsiTheme="minorHAnsi" w:cstheme="minorBidi"/>
          <w:noProof/>
          <w:color w:val="auto"/>
          <w:sz w:val="22"/>
          <w:szCs w:val="22"/>
          <w:lang w:eastAsia="en-AU"/>
        </w:rPr>
      </w:pPr>
      <w:hyperlink w:anchor="_Toc104217648" w:history="1">
        <w:r w:rsidR="00706AF1" w:rsidRPr="002013A8">
          <w:rPr>
            <w:rStyle w:val="Hyperlink"/>
            <w:noProof/>
          </w:rPr>
          <w:t>1.1.</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Regulatory Impact Statement process</w:t>
        </w:r>
        <w:r w:rsidR="00706AF1">
          <w:rPr>
            <w:noProof/>
            <w:webHidden/>
          </w:rPr>
          <w:tab/>
        </w:r>
        <w:r w:rsidR="00706AF1">
          <w:rPr>
            <w:noProof/>
            <w:webHidden/>
          </w:rPr>
          <w:fldChar w:fldCharType="begin"/>
        </w:r>
        <w:r w:rsidR="00706AF1">
          <w:rPr>
            <w:noProof/>
            <w:webHidden/>
          </w:rPr>
          <w:instrText xml:space="preserve"> PAGEREF _Toc104217648 \h </w:instrText>
        </w:r>
        <w:r w:rsidR="00706AF1">
          <w:rPr>
            <w:noProof/>
            <w:webHidden/>
          </w:rPr>
        </w:r>
        <w:r w:rsidR="00706AF1">
          <w:rPr>
            <w:noProof/>
            <w:webHidden/>
          </w:rPr>
          <w:fldChar w:fldCharType="separate"/>
        </w:r>
        <w:r w:rsidR="000B3BF6">
          <w:rPr>
            <w:noProof/>
            <w:webHidden/>
          </w:rPr>
          <w:t>19</w:t>
        </w:r>
        <w:r w:rsidR="00706AF1">
          <w:rPr>
            <w:noProof/>
            <w:webHidden/>
          </w:rPr>
          <w:fldChar w:fldCharType="end"/>
        </w:r>
      </w:hyperlink>
    </w:p>
    <w:p w14:paraId="6A0726F3" w14:textId="7F88BA42" w:rsidR="00706AF1" w:rsidRDefault="008F35DB">
      <w:pPr>
        <w:pStyle w:val="TOC2"/>
        <w:rPr>
          <w:rFonts w:asciiTheme="minorHAnsi" w:eastAsiaTheme="minorEastAsia" w:hAnsiTheme="minorHAnsi" w:cstheme="minorBidi"/>
          <w:noProof/>
          <w:color w:val="auto"/>
          <w:sz w:val="22"/>
          <w:szCs w:val="22"/>
          <w:lang w:eastAsia="en-AU"/>
        </w:rPr>
      </w:pPr>
      <w:hyperlink w:anchor="_Toc104217649" w:history="1">
        <w:r w:rsidR="00706AF1" w:rsidRPr="002013A8">
          <w:rPr>
            <w:rStyle w:val="Hyperlink"/>
            <w:noProof/>
          </w:rPr>
          <w:t>1.2.</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Consultation on the proposed Regulations</w:t>
        </w:r>
        <w:r w:rsidR="00706AF1">
          <w:rPr>
            <w:noProof/>
            <w:webHidden/>
          </w:rPr>
          <w:tab/>
        </w:r>
        <w:r w:rsidR="00706AF1">
          <w:rPr>
            <w:noProof/>
            <w:webHidden/>
          </w:rPr>
          <w:fldChar w:fldCharType="begin"/>
        </w:r>
        <w:r w:rsidR="00706AF1">
          <w:rPr>
            <w:noProof/>
            <w:webHidden/>
          </w:rPr>
          <w:instrText xml:space="preserve"> PAGEREF _Toc104217649 \h </w:instrText>
        </w:r>
        <w:r w:rsidR="00706AF1">
          <w:rPr>
            <w:noProof/>
            <w:webHidden/>
          </w:rPr>
        </w:r>
        <w:r w:rsidR="00706AF1">
          <w:rPr>
            <w:noProof/>
            <w:webHidden/>
          </w:rPr>
          <w:fldChar w:fldCharType="separate"/>
        </w:r>
        <w:r w:rsidR="000B3BF6">
          <w:rPr>
            <w:noProof/>
            <w:webHidden/>
          </w:rPr>
          <w:t>19</w:t>
        </w:r>
        <w:r w:rsidR="00706AF1">
          <w:rPr>
            <w:noProof/>
            <w:webHidden/>
          </w:rPr>
          <w:fldChar w:fldCharType="end"/>
        </w:r>
      </w:hyperlink>
    </w:p>
    <w:p w14:paraId="2F6E3196" w14:textId="318F7865" w:rsidR="00706AF1" w:rsidRDefault="008F35DB">
      <w:pPr>
        <w:pStyle w:val="TOC1"/>
        <w:tabs>
          <w:tab w:val="left" w:pos="600"/>
        </w:tabs>
        <w:rPr>
          <w:rFonts w:asciiTheme="minorHAnsi" w:eastAsiaTheme="minorEastAsia" w:hAnsiTheme="minorHAnsi" w:cstheme="minorBidi"/>
          <w:noProof/>
          <w:color w:val="auto"/>
          <w:sz w:val="22"/>
          <w:szCs w:val="22"/>
          <w:lang w:eastAsia="en-AU"/>
        </w:rPr>
      </w:pPr>
      <w:hyperlink w:anchor="_Toc104217650" w:history="1">
        <w:r w:rsidR="00706AF1" w:rsidRPr="002013A8">
          <w:rPr>
            <w:rStyle w:val="Hyperlink"/>
            <w:noProof/>
          </w:rPr>
          <w:t>2.</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Context</w:t>
        </w:r>
        <w:r w:rsidR="00706AF1">
          <w:rPr>
            <w:noProof/>
            <w:webHidden/>
          </w:rPr>
          <w:tab/>
        </w:r>
        <w:r w:rsidR="00706AF1">
          <w:rPr>
            <w:noProof/>
            <w:webHidden/>
          </w:rPr>
          <w:fldChar w:fldCharType="begin"/>
        </w:r>
        <w:r w:rsidR="00706AF1">
          <w:rPr>
            <w:noProof/>
            <w:webHidden/>
          </w:rPr>
          <w:instrText xml:space="preserve"> PAGEREF _Toc104217650 \h </w:instrText>
        </w:r>
        <w:r w:rsidR="00706AF1">
          <w:rPr>
            <w:noProof/>
            <w:webHidden/>
          </w:rPr>
        </w:r>
        <w:r w:rsidR="00706AF1">
          <w:rPr>
            <w:noProof/>
            <w:webHidden/>
          </w:rPr>
          <w:fldChar w:fldCharType="separate"/>
        </w:r>
        <w:r w:rsidR="000B3BF6">
          <w:rPr>
            <w:noProof/>
            <w:webHidden/>
          </w:rPr>
          <w:t>21</w:t>
        </w:r>
        <w:r w:rsidR="00706AF1">
          <w:rPr>
            <w:noProof/>
            <w:webHidden/>
          </w:rPr>
          <w:fldChar w:fldCharType="end"/>
        </w:r>
      </w:hyperlink>
    </w:p>
    <w:p w14:paraId="31712441" w14:textId="7505C436" w:rsidR="00706AF1" w:rsidRDefault="008F35DB">
      <w:pPr>
        <w:pStyle w:val="TOC2"/>
        <w:rPr>
          <w:rFonts w:asciiTheme="minorHAnsi" w:eastAsiaTheme="minorEastAsia" w:hAnsiTheme="minorHAnsi" w:cstheme="minorBidi"/>
          <w:noProof/>
          <w:color w:val="auto"/>
          <w:sz w:val="22"/>
          <w:szCs w:val="22"/>
          <w:lang w:eastAsia="en-AU"/>
        </w:rPr>
      </w:pPr>
      <w:hyperlink w:anchor="_Toc104217651" w:history="1">
        <w:r w:rsidR="00706AF1" w:rsidRPr="002013A8">
          <w:rPr>
            <w:rStyle w:val="Hyperlink"/>
            <w:noProof/>
          </w:rPr>
          <w:t>2.1.</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Mining in Victoria</w:t>
        </w:r>
        <w:r w:rsidR="00706AF1">
          <w:rPr>
            <w:noProof/>
            <w:webHidden/>
          </w:rPr>
          <w:tab/>
        </w:r>
        <w:r w:rsidR="00706AF1">
          <w:rPr>
            <w:noProof/>
            <w:webHidden/>
          </w:rPr>
          <w:fldChar w:fldCharType="begin"/>
        </w:r>
        <w:r w:rsidR="00706AF1">
          <w:rPr>
            <w:noProof/>
            <w:webHidden/>
          </w:rPr>
          <w:instrText xml:space="preserve"> PAGEREF _Toc104217651 \h </w:instrText>
        </w:r>
        <w:r w:rsidR="00706AF1">
          <w:rPr>
            <w:noProof/>
            <w:webHidden/>
          </w:rPr>
        </w:r>
        <w:r w:rsidR="00706AF1">
          <w:rPr>
            <w:noProof/>
            <w:webHidden/>
          </w:rPr>
          <w:fldChar w:fldCharType="separate"/>
        </w:r>
        <w:r w:rsidR="000B3BF6">
          <w:rPr>
            <w:noProof/>
            <w:webHidden/>
          </w:rPr>
          <w:t>21</w:t>
        </w:r>
        <w:r w:rsidR="00706AF1">
          <w:rPr>
            <w:noProof/>
            <w:webHidden/>
          </w:rPr>
          <w:fldChar w:fldCharType="end"/>
        </w:r>
      </w:hyperlink>
    </w:p>
    <w:p w14:paraId="5C88A681" w14:textId="6F7B0B7D" w:rsidR="00706AF1" w:rsidRDefault="008F35DB">
      <w:pPr>
        <w:pStyle w:val="TOC2"/>
        <w:rPr>
          <w:rFonts w:asciiTheme="minorHAnsi" w:eastAsiaTheme="minorEastAsia" w:hAnsiTheme="minorHAnsi" w:cstheme="minorBidi"/>
          <w:noProof/>
          <w:color w:val="auto"/>
          <w:sz w:val="22"/>
          <w:szCs w:val="22"/>
          <w:lang w:eastAsia="en-AU"/>
        </w:rPr>
      </w:pPr>
      <w:hyperlink w:anchor="_Toc104217652" w:history="1">
        <w:r w:rsidR="00706AF1" w:rsidRPr="002013A8">
          <w:rPr>
            <w:rStyle w:val="Hyperlink"/>
            <w:noProof/>
          </w:rPr>
          <w:t>2.2</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Regulation of mining in Victoria</w:t>
        </w:r>
        <w:r w:rsidR="00706AF1">
          <w:rPr>
            <w:noProof/>
            <w:webHidden/>
          </w:rPr>
          <w:tab/>
        </w:r>
        <w:r w:rsidR="00706AF1">
          <w:rPr>
            <w:noProof/>
            <w:webHidden/>
          </w:rPr>
          <w:fldChar w:fldCharType="begin"/>
        </w:r>
        <w:r w:rsidR="00706AF1">
          <w:rPr>
            <w:noProof/>
            <w:webHidden/>
          </w:rPr>
          <w:instrText xml:space="preserve"> PAGEREF _Toc104217652 \h </w:instrText>
        </w:r>
        <w:r w:rsidR="00706AF1">
          <w:rPr>
            <w:noProof/>
            <w:webHidden/>
          </w:rPr>
        </w:r>
        <w:r w:rsidR="00706AF1">
          <w:rPr>
            <w:noProof/>
            <w:webHidden/>
          </w:rPr>
          <w:fldChar w:fldCharType="separate"/>
        </w:r>
        <w:r w:rsidR="000B3BF6">
          <w:rPr>
            <w:noProof/>
            <w:webHidden/>
          </w:rPr>
          <w:t>21</w:t>
        </w:r>
        <w:r w:rsidR="00706AF1">
          <w:rPr>
            <w:noProof/>
            <w:webHidden/>
          </w:rPr>
          <w:fldChar w:fldCharType="end"/>
        </w:r>
      </w:hyperlink>
    </w:p>
    <w:p w14:paraId="01689B5A" w14:textId="3D450082"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653" w:history="1">
        <w:r w:rsidR="00706AF1" w:rsidRPr="002013A8">
          <w:rPr>
            <w:rStyle w:val="Hyperlink"/>
            <w:noProof/>
          </w:rPr>
          <w:t>2.2.1</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The Act</w:t>
        </w:r>
        <w:r w:rsidR="00706AF1">
          <w:rPr>
            <w:noProof/>
            <w:webHidden/>
          </w:rPr>
          <w:tab/>
        </w:r>
        <w:r w:rsidR="00706AF1">
          <w:rPr>
            <w:noProof/>
            <w:webHidden/>
          </w:rPr>
          <w:fldChar w:fldCharType="begin"/>
        </w:r>
        <w:r w:rsidR="00706AF1">
          <w:rPr>
            <w:noProof/>
            <w:webHidden/>
          </w:rPr>
          <w:instrText xml:space="preserve"> PAGEREF _Toc104217653 \h </w:instrText>
        </w:r>
        <w:r w:rsidR="00706AF1">
          <w:rPr>
            <w:noProof/>
            <w:webHidden/>
          </w:rPr>
        </w:r>
        <w:r w:rsidR="00706AF1">
          <w:rPr>
            <w:noProof/>
            <w:webHidden/>
          </w:rPr>
          <w:fldChar w:fldCharType="separate"/>
        </w:r>
        <w:r w:rsidR="000B3BF6">
          <w:rPr>
            <w:noProof/>
            <w:webHidden/>
          </w:rPr>
          <w:t>21</w:t>
        </w:r>
        <w:r w:rsidR="00706AF1">
          <w:rPr>
            <w:noProof/>
            <w:webHidden/>
          </w:rPr>
          <w:fldChar w:fldCharType="end"/>
        </w:r>
      </w:hyperlink>
    </w:p>
    <w:p w14:paraId="251C822C" w14:textId="4FD8507E"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654" w:history="1">
        <w:r w:rsidR="00706AF1" w:rsidRPr="002013A8">
          <w:rPr>
            <w:rStyle w:val="Hyperlink"/>
            <w:noProof/>
          </w:rPr>
          <w:t>2.2.2</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Declared mine rehabilitation framework</w:t>
        </w:r>
        <w:r w:rsidR="00706AF1">
          <w:rPr>
            <w:noProof/>
            <w:webHidden/>
          </w:rPr>
          <w:tab/>
        </w:r>
        <w:r w:rsidR="00706AF1">
          <w:rPr>
            <w:noProof/>
            <w:webHidden/>
          </w:rPr>
          <w:fldChar w:fldCharType="begin"/>
        </w:r>
        <w:r w:rsidR="00706AF1">
          <w:rPr>
            <w:noProof/>
            <w:webHidden/>
          </w:rPr>
          <w:instrText xml:space="preserve"> PAGEREF _Toc104217654 \h </w:instrText>
        </w:r>
        <w:r w:rsidR="00706AF1">
          <w:rPr>
            <w:noProof/>
            <w:webHidden/>
          </w:rPr>
        </w:r>
        <w:r w:rsidR="00706AF1">
          <w:rPr>
            <w:noProof/>
            <w:webHidden/>
          </w:rPr>
          <w:fldChar w:fldCharType="separate"/>
        </w:r>
        <w:r w:rsidR="000B3BF6">
          <w:rPr>
            <w:noProof/>
            <w:webHidden/>
          </w:rPr>
          <w:t>22</w:t>
        </w:r>
        <w:r w:rsidR="00706AF1">
          <w:rPr>
            <w:noProof/>
            <w:webHidden/>
          </w:rPr>
          <w:fldChar w:fldCharType="end"/>
        </w:r>
      </w:hyperlink>
    </w:p>
    <w:p w14:paraId="51BA877C" w14:textId="3FB2F371"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655" w:history="1">
        <w:r w:rsidR="00706AF1" w:rsidRPr="002013A8">
          <w:rPr>
            <w:rStyle w:val="Hyperlink"/>
            <w:noProof/>
          </w:rPr>
          <w:t>2.2.3</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Regulations and other subordinate instruments</w:t>
        </w:r>
        <w:r w:rsidR="00706AF1">
          <w:rPr>
            <w:noProof/>
            <w:webHidden/>
          </w:rPr>
          <w:tab/>
        </w:r>
        <w:r w:rsidR="00706AF1">
          <w:rPr>
            <w:noProof/>
            <w:webHidden/>
          </w:rPr>
          <w:fldChar w:fldCharType="begin"/>
        </w:r>
        <w:r w:rsidR="00706AF1">
          <w:rPr>
            <w:noProof/>
            <w:webHidden/>
          </w:rPr>
          <w:instrText xml:space="preserve"> PAGEREF _Toc104217655 \h </w:instrText>
        </w:r>
        <w:r w:rsidR="00706AF1">
          <w:rPr>
            <w:noProof/>
            <w:webHidden/>
          </w:rPr>
        </w:r>
        <w:r w:rsidR="00706AF1">
          <w:rPr>
            <w:noProof/>
            <w:webHidden/>
          </w:rPr>
          <w:fldChar w:fldCharType="separate"/>
        </w:r>
        <w:r w:rsidR="000B3BF6">
          <w:rPr>
            <w:noProof/>
            <w:webHidden/>
          </w:rPr>
          <w:t>23</w:t>
        </w:r>
        <w:r w:rsidR="00706AF1">
          <w:rPr>
            <w:noProof/>
            <w:webHidden/>
          </w:rPr>
          <w:fldChar w:fldCharType="end"/>
        </w:r>
      </w:hyperlink>
    </w:p>
    <w:p w14:paraId="7BEC798C" w14:textId="4B65345C"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656" w:history="1">
        <w:r w:rsidR="00706AF1" w:rsidRPr="002013A8">
          <w:rPr>
            <w:rStyle w:val="Hyperlink"/>
            <w:noProof/>
          </w:rPr>
          <w:t>2.2.4</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Earth Resources Regulation</w:t>
        </w:r>
        <w:r w:rsidR="00706AF1">
          <w:rPr>
            <w:noProof/>
            <w:webHidden/>
          </w:rPr>
          <w:tab/>
        </w:r>
        <w:r w:rsidR="00706AF1">
          <w:rPr>
            <w:noProof/>
            <w:webHidden/>
          </w:rPr>
          <w:fldChar w:fldCharType="begin"/>
        </w:r>
        <w:r w:rsidR="00706AF1">
          <w:rPr>
            <w:noProof/>
            <w:webHidden/>
          </w:rPr>
          <w:instrText xml:space="preserve"> PAGEREF _Toc104217656 \h </w:instrText>
        </w:r>
        <w:r w:rsidR="00706AF1">
          <w:rPr>
            <w:noProof/>
            <w:webHidden/>
          </w:rPr>
        </w:r>
        <w:r w:rsidR="00706AF1">
          <w:rPr>
            <w:noProof/>
            <w:webHidden/>
          </w:rPr>
          <w:fldChar w:fldCharType="separate"/>
        </w:r>
        <w:r w:rsidR="000B3BF6">
          <w:rPr>
            <w:noProof/>
            <w:webHidden/>
          </w:rPr>
          <w:t>23</w:t>
        </w:r>
        <w:r w:rsidR="00706AF1">
          <w:rPr>
            <w:noProof/>
            <w:webHidden/>
          </w:rPr>
          <w:fldChar w:fldCharType="end"/>
        </w:r>
      </w:hyperlink>
    </w:p>
    <w:p w14:paraId="39FFDBC2" w14:textId="1B886144" w:rsidR="00706AF1" w:rsidRDefault="008F35DB">
      <w:pPr>
        <w:pStyle w:val="TOC2"/>
        <w:rPr>
          <w:rFonts w:asciiTheme="minorHAnsi" w:eastAsiaTheme="minorEastAsia" w:hAnsiTheme="minorHAnsi" w:cstheme="minorBidi"/>
          <w:noProof/>
          <w:color w:val="auto"/>
          <w:sz w:val="22"/>
          <w:szCs w:val="22"/>
          <w:lang w:eastAsia="en-AU"/>
        </w:rPr>
      </w:pPr>
      <w:hyperlink w:anchor="_Toc104217657" w:history="1">
        <w:r w:rsidR="00706AF1" w:rsidRPr="002013A8">
          <w:rPr>
            <w:rStyle w:val="Hyperlink"/>
            <w:noProof/>
          </w:rPr>
          <w:t>2.3</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Regulation of declared mine land rehabilitation</w:t>
        </w:r>
        <w:r w:rsidR="00706AF1">
          <w:rPr>
            <w:noProof/>
            <w:webHidden/>
          </w:rPr>
          <w:tab/>
        </w:r>
        <w:r w:rsidR="00706AF1">
          <w:rPr>
            <w:noProof/>
            <w:webHidden/>
          </w:rPr>
          <w:fldChar w:fldCharType="begin"/>
        </w:r>
        <w:r w:rsidR="00706AF1">
          <w:rPr>
            <w:noProof/>
            <w:webHidden/>
          </w:rPr>
          <w:instrText xml:space="preserve"> PAGEREF _Toc104217657 \h </w:instrText>
        </w:r>
        <w:r w:rsidR="00706AF1">
          <w:rPr>
            <w:noProof/>
            <w:webHidden/>
          </w:rPr>
        </w:r>
        <w:r w:rsidR="00706AF1">
          <w:rPr>
            <w:noProof/>
            <w:webHidden/>
          </w:rPr>
          <w:fldChar w:fldCharType="separate"/>
        </w:r>
        <w:r w:rsidR="000B3BF6">
          <w:rPr>
            <w:noProof/>
            <w:webHidden/>
          </w:rPr>
          <w:t>25</w:t>
        </w:r>
        <w:r w:rsidR="00706AF1">
          <w:rPr>
            <w:noProof/>
            <w:webHidden/>
          </w:rPr>
          <w:fldChar w:fldCharType="end"/>
        </w:r>
      </w:hyperlink>
    </w:p>
    <w:p w14:paraId="279E6A89" w14:textId="097F9EC0"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658" w:history="1">
        <w:r w:rsidR="00706AF1" w:rsidRPr="002013A8">
          <w:rPr>
            <w:rStyle w:val="Hyperlink"/>
            <w:noProof/>
          </w:rPr>
          <w:t>2.3.1</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Rehabilitation requirements in the 2019 Regulations</w:t>
        </w:r>
        <w:r w:rsidR="00706AF1">
          <w:rPr>
            <w:noProof/>
            <w:webHidden/>
          </w:rPr>
          <w:tab/>
        </w:r>
        <w:r w:rsidR="00706AF1">
          <w:rPr>
            <w:noProof/>
            <w:webHidden/>
          </w:rPr>
          <w:fldChar w:fldCharType="begin"/>
        </w:r>
        <w:r w:rsidR="00706AF1">
          <w:rPr>
            <w:noProof/>
            <w:webHidden/>
          </w:rPr>
          <w:instrText xml:space="preserve"> PAGEREF _Toc104217658 \h </w:instrText>
        </w:r>
        <w:r w:rsidR="00706AF1">
          <w:rPr>
            <w:noProof/>
            <w:webHidden/>
          </w:rPr>
        </w:r>
        <w:r w:rsidR="00706AF1">
          <w:rPr>
            <w:noProof/>
            <w:webHidden/>
          </w:rPr>
          <w:fldChar w:fldCharType="separate"/>
        </w:r>
        <w:r w:rsidR="000B3BF6">
          <w:rPr>
            <w:noProof/>
            <w:webHidden/>
          </w:rPr>
          <w:t>32</w:t>
        </w:r>
        <w:r w:rsidR="00706AF1">
          <w:rPr>
            <w:noProof/>
            <w:webHidden/>
          </w:rPr>
          <w:fldChar w:fldCharType="end"/>
        </w:r>
      </w:hyperlink>
    </w:p>
    <w:p w14:paraId="0369C112" w14:textId="317F5407" w:rsidR="00706AF1" w:rsidRDefault="008F35DB">
      <w:pPr>
        <w:pStyle w:val="TOC2"/>
        <w:rPr>
          <w:rFonts w:asciiTheme="minorHAnsi" w:eastAsiaTheme="minorEastAsia" w:hAnsiTheme="minorHAnsi" w:cstheme="minorBidi"/>
          <w:noProof/>
          <w:color w:val="auto"/>
          <w:sz w:val="22"/>
          <w:szCs w:val="22"/>
          <w:lang w:eastAsia="en-AU"/>
        </w:rPr>
      </w:pPr>
      <w:hyperlink w:anchor="_Toc104217659" w:history="1">
        <w:r w:rsidR="00706AF1" w:rsidRPr="002013A8">
          <w:rPr>
            <w:rStyle w:val="Hyperlink"/>
            <w:noProof/>
          </w:rPr>
          <w:t>2.4</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Declared mines</w:t>
        </w:r>
        <w:r w:rsidR="00706AF1">
          <w:rPr>
            <w:noProof/>
            <w:webHidden/>
          </w:rPr>
          <w:tab/>
        </w:r>
        <w:r w:rsidR="00706AF1">
          <w:rPr>
            <w:noProof/>
            <w:webHidden/>
          </w:rPr>
          <w:fldChar w:fldCharType="begin"/>
        </w:r>
        <w:r w:rsidR="00706AF1">
          <w:rPr>
            <w:noProof/>
            <w:webHidden/>
          </w:rPr>
          <w:instrText xml:space="preserve"> PAGEREF _Toc104217659 \h </w:instrText>
        </w:r>
        <w:r w:rsidR="00706AF1">
          <w:rPr>
            <w:noProof/>
            <w:webHidden/>
          </w:rPr>
        </w:r>
        <w:r w:rsidR="00706AF1">
          <w:rPr>
            <w:noProof/>
            <w:webHidden/>
          </w:rPr>
          <w:fldChar w:fldCharType="separate"/>
        </w:r>
        <w:r w:rsidR="000B3BF6">
          <w:rPr>
            <w:noProof/>
            <w:webHidden/>
          </w:rPr>
          <w:t>33</w:t>
        </w:r>
        <w:r w:rsidR="00706AF1">
          <w:rPr>
            <w:noProof/>
            <w:webHidden/>
          </w:rPr>
          <w:fldChar w:fldCharType="end"/>
        </w:r>
      </w:hyperlink>
    </w:p>
    <w:p w14:paraId="0B2084F7" w14:textId="051BB363"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660" w:history="1">
        <w:r w:rsidR="00706AF1" w:rsidRPr="002013A8">
          <w:rPr>
            <w:rStyle w:val="Hyperlink"/>
            <w:noProof/>
          </w:rPr>
          <w:t>2.4.1</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Mines currently declared</w:t>
        </w:r>
        <w:r w:rsidR="00706AF1">
          <w:rPr>
            <w:noProof/>
            <w:webHidden/>
          </w:rPr>
          <w:tab/>
        </w:r>
        <w:r w:rsidR="00706AF1">
          <w:rPr>
            <w:noProof/>
            <w:webHidden/>
          </w:rPr>
          <w:fldChar w:fldCharType="begin"/>
        </w:r>
        <w:r w:rsidR="00706AF1">
          <w:rPr>
            <w:noProof/>
            <w:webHidden/>
          </w:rPr>
          <w:instrText xml:space="preserve"> PAGEREF _Toc104217660 \h </w:instrText>
        </w:r>
        <w:r w:rsidR="00706AF1">
          <w:rPr>
            <w:noProof/>
            <w:webHidden/>
          </w:rPr>
        </w:r>
        <w:r w:rsidR="00706AF1">
          <w:rPr>
            <w:noProof/>
            <w:webHidden/>
          </w:rPr>
          <w:fldChar w:fldCharType="separate"/>
        </w:r>
        <w:r w:rsidR="000B3BF6">
          <w:rPr>
            <w:noProof/>
            <w:webHidden/>
          </w:rPr>
          <w:t>34</w:t>
        </w:r>
        <w:r w:rsidR="00706AF1">
          <w:rPr>
            <w:noProof/>
            <w:webHidden/>
          </w:rPr>
          <w:fldChar w:fldCharType="end"/>
        </w:r>
      </w:hyperlink>
    </w:p>
    <w:p w14:paraId="7999BEC2" w14:textId="0D1613D4"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661" w:history="1">
        <w:r w:rsidR="00706AF1" w:rsidRPr="002013A8">
          <w:rPr>
            <w:rStyle w:val="Hyperlink"/>
            <w:noProof/>
          </w:rPr>
          <w:t>2.4.2</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Physical risks associated with declared mines</w:t>
        </w:r>
        <w:r w:rsidR="00706AF1">
          <w:rPr>
            <w:noProof/>
            <w:webHidden/>
          </w:rPr>
          <w:tab/>
        </w:r>
        <w:r w:rsidR="00706AF1">
          <w:rPr>
            <w:noProof/>
            <w:webHidden/>
          </w:rPr>
          <w:fldChar w:fldCharType="begin"/>
        </w:r>
        <w:r w:rsidR="00706AF1">
          <w:rPr>
            <w:noProof/>
            <w:webHidden/>
          </w:rPr>
          <w:instrText xml:space="preserve"> PAGEREF _Toc104217661 \h </w:instrText>
        </w:r>
        <w:r w:rsidR="00706AF1">
          <w:rPr>
            <w:noProof/>
            <w:webHidden/>
          </w:rPr>
        </w:r>
        <w:r w:rsidR="00706AF1">
          <w:rPr>
            <w:noProof/>
            <w:webHidden/>
          </w:rPr>
          <w:fldChar w:fldCharType="separate"/>
        </w:r>
        <w:r w:rsidR="000B3BF6">
          <w:rPr>
            <w:noProof/>
            <w:webHidden/>
          </w:rPr>
          <w:t>34</w:t>
        </w:r>
        <w:r w:rsidR="00706AF1">
          <w:rPr>
            <w:noProof/>
            <w:webHidden/>
          </w:rPr>
          <w:fldChar w:fldCharType="end"/>
        </w:r>
      </w:hyperlink>
    </w:p>
    <w:p w14:paraId="1A38202D" w14:textId="56B4D0F1"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662" w:history="1">
        <w:r w:rsidR="00706AF1" w:rsidRPr="002013A8">
          <w:rPr>
            <w:rStyle w:val="Hyperlink"/>
            <w:noProof/>
          </w:rPr>
          <w:t>2.4.3</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Mining rehabilitation inquiries and developments</w:t>
        </w:r>
        <w:r w:rsidR="00706AF1">
          <w:rPr>
            <w:noProof/>
            <w:webHidden/>
          </w:rPr>
          <w:tab/>
        </w:r>
        <w:r w:rsidR="00706AF1">
          <w:rPr>
            <w:noProof/>
            <w:webHidden/>
          </w:rPr>
          <w:fldChar w:fldCharType="begin"/>
        </w:r>
        <w:r w:rsidR="00706AF1">
          <w:rPr>
            <w:noProof/>
            <w:webHidden/>
          </w:rPr>
          <w:instrText xml:space="preserve"> PAGEREF _Toc104217662 \h </w:instrText>
        </w:r>
        <w:r w:rsidR="00706AF1">
          <w:rPr>
            <w:noProof/>
            <w:webHidden/>
          </w:rPr>
        </w:r>
        <w:r w:rsidR="00706AF1">
          <w:rPr>
            <w:noProof/>
            <w:webHidden/>
          </w:rPr>
          <w:fldChar w:fldCharType="separate"/>
        </w:r>
        <w:r w:rsidR="000B3BF6">
          <w:rPr>
            <w:noProof/>
            <w:webHidden/>
          </w:rPr>
          <w:t>39</w:t>
        </w:r>
        <w:r w:rsidR="00706AF1">
          <w:rPr>
            <w:noProof/>
            <w:webHidden/>
          </w:rPr>
          <w:fldChar w:fldCharType="end"/>
        </w:r>
      </w:hyperlink>
    </w:p>
    <w:p w14:paraId="76371006" w14:textId="012563DE"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663" w:history="1">
        <w:r w:rsidR="00706AF1" w:rsidRPr="002013A8">
          <w:rPr>
            <w:rStyle w:val="Hyperlink"/>
            <w:noProof/>
          </w:rPr>
          <w:t>2.4.4</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Challenges in declared mine rehabilitation planning</w:t>
        </w:r>
        <w:r w:rsidR="00706AF1">
          <w:rPr>
            <w:noProof/>
            <w:webHidden/>
          </w:rPr>
          <w:tab/>
        </w:r>
        <w:r w:rsidR="00706AF1">
          <w:rPr>
            <w:noProof/>
            <w:webHidden/>
          </w:rPr>
          <w:fldChar w:fldCharType="begin"/>
        </w:r>
        <w:r w:rsidR="00706AF1">
          <w:rPr>
            <w:noProof/>
            <w:webHidden/>
          </w:rPr>
          <w:instrText xml:space="preserve"> PAGEREF _Toc104217663 \h </w:instrText>
        </w:r>
        <w:r w:rsidR="00706AF1">
          <w:rPr>
            <w:noProof/>
            <w:webHidden/>
          </w:rPr>
        </w:r>
        <w:r w:rsidR="00706AF1">
          <w:rPr>
            <w:noProof/>
            <w:webHidden/>
          </w:rPr>
          <w:fldChar w:fldCharType="separate"/>
        </w:r>
        <w:r w:rsidR="000B3BF6">
          <w:rPr>
            <w:noProof/>
            <w:webHidden/>
          </w:rPr>
          <w:t>42</w:t>
        </w:r>
        <w:r w:rsidR="00706AF1">
          <w:rPr>
            <w:noProof/>
            <w:webHidden/>
          </w:rPr>
          <w:fldChar w:fldCharType="end"/>
        </w:r>
      </w:hyperlink>
    </w:p>
    <w:p w14:paraId="396EA06E" w14:textId="2B1D6F44" w:rsidR="00706AF1" w:rsidRDefault="008F35DB">
      <w:pPr>
        <w:pStyle w:val="TOC2"/>
        <w:rPr>
          <w:rFonts w:asciiTheme="minorHAnsi" w:eastAsiaTheme="minorEastAsia" w:hAnsiTheme="minorHAnsi" w:cstheme="minorBidi"/>
          <w:noProof/>
          <w:color w:val="auto"/>
          <w:sz w:val="22"/>
          <w:szCs w:val="22"/>
          <w:lang w:eastAsia="en-AU"/>
        </w:rPr>
      </w:pPr>
      <w:hyperlink w:anchor="_Toc104217664" w:history="1">
        <w:r w:rsidR="00706AF1" w:rsidRPr="002013A8">
          <w:rPr>
            <w:rStyle w:val="Hyperlink"/>
            <w:noProof/>
          </w:rPr>
          <w:t>2.5</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Current state of declared mine regulation and planning</w:t>
        </w:r>
        <w:r w:rsidR="00706AF1">
          <w:rPr>
            <w:noProof/>
            <w:webHidden/>
          </w:rPr>
          <w:tab/>
        </w:r>
        <w:r w:rsidR="00706AF1">
          <w:rPr>
            <w:noProof/>
            <w:webHidden/>
          </w:rPr>
          <w:fldChar w:fldCharType="begin"/>
        </w:r>
        <w:r w:rsidR="00706AF1">
          <w:rPr>
            <w:noProof/>
            <w:webHidden/>
          </w:rPr>
          <w:instrText xml:space="preserve"> PAGEREF _Toc104217664 \h </w:instrText>
        </w:r>
        <w:r w:rsidR="00706AF1">
          <w:rPr>
            <w:noProof/>
            <w:webHidden/>
          </w:rPr>
        </w:r>
        <w:r w:rsidR="00706AF1">
          <w:rPr>
            <w:noProof/>
            <w:webHidden/>
          </w:rPr>
          <w:fldChar w:fldCharType="separate"/>
        </w:r>
        <w:r w:rsidR="000B3BF6">
          <w:rPr>
            <w:noProof/>
            <w:webHidden/>
          </w:rPr>
          <w:t>47</w:t>
        </w:r>
        <w:r w:rsidR="00706AF1">
          <w:rPr>
            <w:noProof/>
            <w:webHidden/>
          </w:rPr>
          <w:fldChar w:fldCharType="end"/>
        </w:r>
      </w:hyperlink>
    </w:p>
    <w:p w14:paraId="640D6550" w14:textId="40C2A4FF"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665" w:history="1">
        <w:r w:rsidR="00706AF1" w:rsidRPr="002013A8">
          <w:rPr>
            <w:rStyle w:val="Hyperlink"/>
            <w:noProof/>
          </w:rPr>
          <w:t>2.5.1</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Regulation and policy instruments in effect</w:t>
        </w:r>
        <w:r w:rsidR="00706AF1">
          <w:rPr>
            <w:noProof/>
            <w:webHidden/>
          </w:rPr>
          <w:tab/>
        </w:r>
        <w:r w:rsidR="00706AF1">
          <w:rPr>
            <w:noProof/>
            <w:webHidden/>
          </w:rPr>
          <w:fldChar w:fldCharType="begin"/>
        </w:r>
        <w:r w:rsidR="00706AF1">
          <w:rPr>
            <w:noProof/>
            <w:webHidden/>
          </w:rPr>
          <w:instrText xml:space="preserve"> PAGEREF _Toc104217665 \h </w:instrText>
        </w:r>
        <w:r w:rsidR="00706AF1">
          <w:rPr>
            <w:noProof/>
            <w:webHidden/>
          </w:rPr>
        </w:r>
        <w:r w:rsidR="00706AF1">
          <w:rPr>
            <w:noProof/>
            <w:webHidden/>
          </w:rPr>
          <w:fldChar w:fldCharType="separate"/>
        </w:r>
        <w:r w:rsidR="000B3BF6">
          <w:rPr>
            <w:noProof/>
            <w:webHidden/>
          </w:rPr>
          <w:t>47</w:t>
        </w:r>
        <w:r w:rsidR="00706AF1">
          <w:rPr>
            <w:noProof/>
            <w:webHidden/>
          </w:rPr>
          <w:fldChar w:fldCharType="end"/>
        </w:r>
      </w:hyperlink>
    </w:p>
    <w:p w14:paraId="70F4A798" w14:textId="786D040A"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666" w:history="1">
        <w:r w:rsidR="00706AF1" w:rsidRPr="002013A8">
          <w:rPr>
            <w:rStyle w:val="Hyperlink"/>
            <w:noProof/>
          </w:rPr>
          <w:t>2.5.2</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Next steps in the reform project</w:t>
        </w:r>
        <w:r w:rsidR="00706AF1">
          <w:rPr>
            <w:noProof/>
            <w:webHidden/>
          </w:rPr>
          <w:tab/>
        </w:r>
        <w:r w:rsidR="00706AF1">
          <w:rPr>
            <w:noProof/>
            <w:webHidden/>
          </w:rPr>
          <w:fldChar w:fldCharType="begin"/>
        </w:r>
        <w:r w:rsidR="00706AF1">
          <w:rPr>
            <w:noProof/>
            <w:webHidden/>
          </w:rPr>
          <w:instrText xml:space="preserve"> PAGEREF _Toc104217666 \h </w:instrText>
        </w:r>
        <w:r w:rsidR="00706AF1">
          <w:rPr>
            <w:noProof/>
            <w:webHidden/>
          </w:rPr>
        </w:r>
        <w:r w:rsidR="00706AF1">
          <w:rPr>
            <w:noProof/>
            <w:webHidden/>
          </w:rPr>
          <w:fldChar w:fldCharType="separate"/>
        </w:r>
        <w:r w:rsidR="000B3BF6">
          <w:rPr>
            <w:noProof/>
            <w:webHidden/>
          </w:rPr>
          <w:t>47</w:t>
        </w:r>
        <w:r w:rsidR="00706AF1">
          <w:rPr>
            <w:noProof/>
            <w:webHidden/>
          </w:rPr>
          <w:fldChar w:fldCharType="end"/>
        </w:r>
      </w:hyperlink>
    </w:p>
    <w:p w14:paraId="74CE63E2" w14:textId="1C446594" w:rsidR="00706AF1" w:rsidRDefault="008F35DB">
      <w:pPr>
        <w:pStyle w:val="TOC1"/>
        <w:tabs>
          <w:tab w:val="left" w:pos="600"/>
        </w:tabs>
        <w:rPr>
          <w:rFonts w:asciiTheme="minorHAnsi" w:eastAsiaTheme="minorEastAsia" w:hAnsiTheme="minorHAnsi" w:cstheme="minorBidi"/>
          <w:noProof/>
          <w:color w:val="auto"/>
          <w:sz w:val="22"/>
          <w:szCs w:val="22"/>
          <w:lang w:eastAsia="en-AU"/>
        </w:rPr>
      </w:pPr>
      <w:hyperlink w:anchor="_Toc104217667" w:history="1">
        <w:r w:rsidR="00706AF1" w:rsidRPr="002013A8">
          <w:rPr>
            <w:rStyle w:val="Hyperlink"/>
            <w:noProof/>
          </w:rPr>
          <w:t>3</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The nature and extent of the problem</w:t>
        </w:r>
        <w:r w:rsidR="00706AF1">
          <w:rPr>
            <w:noProof/>
            <w:webHidden/>
          </w:rPr>
          <w:tab/>
        </w:r>
        <w:r w:rsidR="00706AF1">
          <w:rPr>
            <w:noProof/>
            <w:webHidden/>
          </w:rPr>
          <w:fldChar w:fldCharType="begin"/>
        </w:r>
        <w:r w:rsidR="00706AF1">
          <w:rPr>
            <w:noProof/>
            <w:webHidden/>
          </w:rPr>
          <w:instrText xml:space="preserve"> PAGEREF _Toc104217667 \h </w:instrText>
        </w:r>
        <w:r w:rsidR="00706AF1">
          <w:rPr>
            <w:noProof/>
            <w:webHidden/>
          </w:rPr>
        </w:r>
        <w:r w:rsidR="00706AF1">
          <w:rPr>
            <w:noProof/>
            <w:webHidden/>
          </w:rPr>
          <w:fldChar w:fldCharType="separate"/>
        </w:r>
        <w:r w:rsidR="000B3BF6">
          <w:rPr>
            <w:noProof/>
            <w:webHidden/>
          </w:rPr>
          <w:t>48</w:t>
        </w:r>
        <w:r w:rsidR="00706AF1">
          <w:rPr>
            <w:noProof/>
            <w:webHidden/>
          </w:rPr>
          <w:fldChar w:fldCharType="end"/>
        </w:r>
      </w:hyperlink>
    </w:p>
    <w:p w14:paraId="2CDAC412" w14:textId="2FED8060" w:rsidR="00706AF1" w:rsidRDefault="008F35DB">
      <w:pPr>
        <w:pStyle w:val="TOC2"/>
        <w:rPr>
          <w:rFonts w:asciiTheme="minorHAnsi" w:eastAsiaTheme="minorEastAsia" w:hAnsiTheme="minorHAnsi" w:cstheme="minorBidi"/>
          <w:noProof/>
          <w:color w:val="auto"/>
          <w:sz w:val="22"/>
          <w:szCs w:val="22"/>
          <w:lang w:eastAsia="en-AU"/>
        </w:rPr>
      </w:pPr>
      <w:hyperlink w:anchor="_Toc104217668" w:history="1">
        <w:r w:rsidR="00706AF1" w:rsidRPr="002013A8">
          <w:rPr>
            <w:rStyle w:val="Hyperlink"/>
            <w:noProof/>
          </w:rPr>
          <w:t>3.1</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Scope of this RIS</w:t>
        </w:r>
        <w:r w:rsidR="00706AF1">
          <w:rPr>
            <w:noProof/>
            <w:webHidden/>
          </w:rPr>
          <w:tab/>
        </w:r>
        <w:r w:rsidR="00706AF1">
          <w:rPr>
            <w:noProof/>
            <w:webHidden/>
          </w:rPr>
          <w:fldChar w:fldCharType="begin"/>
        </w:r>
        <w:r w:rsidR="00706AF1">
          <w:rPr>
            <w:noProof/>
            <w:webHidden/>
          </w:rPr>
          <w:instrText xml:space="preserve"> PAGEREF _Toc104217668 \h </w:instrText>
        </w:r>
        <w:r w:rsidR="00706AF1">
          <w:rPr>
            <w:noProof/>
            <w:webHidden/>
          </w:rPr>
        </w:r>
        <w:r w:rsidR="00706AF1">
          <w:rPr>
            <w:noProof/>
            <w:webHidden/>
          </w:rPr>
          <w:fldChar w:fldCharType="separate"/>
        </w:r>
        <w:r w:rsidR="000B3BF6">
          <w:rPr>
            <w:noProof/>
            <w:webHidden/>
          </w:rPr>
          <w:t>48</w:t>
        </w:r>
        <w:r w:rsidR="00706AF1">
          <w:rPr>
            <w:noProof/>
            <w:webHidden/>
          </w:rPr>
          <w:fldChar w:fldCharType="end"/>
        </w:r>
      </w:hyperlink>
    </w:p>
    <w:p w14:paraId="5FA0C0D3" w14:textId="78D19FEF" w:rsidR="00706AF1" w:rsidRDefault="008F35DB">
      <w:pPr>
        <w:pStyle w:val="TOC2"/>
        <w:rPr>
          <w:rFonts w:asciiTheme="minorHAnsi" w:eastAsiaTheme="minorEastAsia" w:hAnsiTheme="minorHAnsi" w:cstheme="minorBidi"/>
          <w:noProof/>
          <w:color w:val="auto"/>
          <w:sz w:val="22"/>
          <w:szCs w:val="22"/>
          <w:lang w:eastAsia="en-AU"/>
        </w:rPr>
      </w:pPr>
      <w:hyperlink w:anchor="_Toc104217669" w:history="1">
        <w:r w:rsidR="00706AF1" w:rsidRPr="002013A8">
          <w:rPr>
            <w:rStyle w:val="Hyperlink"/>
            <w:noProof/>
          </w:rPr>
          <w:t>3.2</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The need to give effect to rehabilitation planning obligations</w:t>
        </w:r>
        <w:r w:rsidR="00706AF1">
          <w:rPr>
            <w:noProof/>
            <w:webHidden/>
          </w:rPr>
          <w:tab/>
        </w:r>
        <w:r w:rsidR="00706AF1">
          <w:rPr>
            <w:noProof/>
            <w:webHidden/>
          </w:rPr>
          <w:fldChar w:fldCharType="begin"/>
        </w:r>
        <w:r w:rsidR="00706AF1">
          <w:rPr>
            <w:noProof/>
            <w:webHidden/>
          </w:rPr>
          <w:instrText xml:space="preserve"> PAGEREF _Toc104217669 \h </w:instrText>
        </w:r>
        <w:r w:rsidR="00706AF1">
          <w:rPr>
            <w:noProof/>
            <w:webHidden/>
          </w:rPr>
        </w:r>
        <w:r w:rsidR="00706AF1">
          <w:rPr>
            <w:noProof/>
            <w:webHidden/>
          </w:rPr>
          <w:fldChar w:fldCharType="separate"/>
        </w:r>
        <w:r w:rsidR="000B3BF6">
          <w:rPr>
            <w:noProof/>
            <w:webHidden/>
          </w:rPr>
          <w:t>48</w:t>
        </w:r>
        <w:r w:rsidR="00706AF1">
          <w:rPr>
            <w:noProof/>
            <w:webHidden/>
          </w:rPr>
          <w:fldChar w:fldCharType="end"/>
        </w:r>
      </w:hyperlink>
    </w:p>
    <w:p w14:paraId="35125A23" w14:textId="77EBA331"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670" w:history="1">
        <w:r w:rsidR="00706AF1" w:rsidRPr="002013A8">
          <w:rPr>
            <w:rStyle w:val="Hyperlink"/>
            <w:noProof/>
          </w:rPr>
          <w:t>3.2.1</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Prescribing a period for the preparation of the DMRP</w:t>
        </w:r>
        <w:r w:rsidR="00706AF1">
          <w:rPr>
            <w:noProof/>
            <w:webHidden/>
          </w:rPr>
          <w:tab/>
        </w:r>
        <w:r w:rsidR="00706AF1">
          <w:rPr>
            <w:noProof/>
            <w:webHidden/>
          </w:rPr>
          <w:fldChar w:fldCharType="begin"/>
        </w:r>
        <w:r w:rsidR="00706AF1">
          <w:rPr>
            <w:noProof/>
            <w:webHidden/>
          </w:rPr>
          <w:instrText xml:space="preserve"> PAGEREF _Toc104217670 \h </w:instrText>
        </w:r>
        <w:r w:rsidR="00706AF1">
          <w:rPr>
            <w:noProof/>
            <w:webHidden/>
          </w:rPr>
        </w:r>
        <w:r w:rsidR="00706AF1">
          <w:rPr>
            <w:noProof/>
            <w:webHidden/>
          </w:rPr>
          <w:fldChar w:fldCharType="separate"/>
        </w:r>
        <w:r w:rsidR="000B3BF6">
          <w:rPr>
            <w:noProof/>
            <w:webHidden/>
          </w:rPr>
          <w:t>48</w:t>
        </w:r>
        <w:r w:rsidR="00706AF1">
          <w:rPr>
            <w:noProof/>
            <w:webHidden/>
          </w:rPr>
          <w:fldChar w:fldCharType="end"/>
        </w:r>
      </w:hyperlink>
    </w:p>
    <w:p w14:paraId="1C18B161" w14:textId="2F4BB42F"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671" w:history="1">
        <w:r w:rsidR="00706AF1" w:rsidRPr="002013A8">
          <w:rPr>
            <w:rStyle w:val="Hyperlink"/>
            <w:noProof/>
          </w:rPr>
          <w:t>3.2.2</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The 2019 Regulations do not apply to the current declared mines</w:t>
        </w:r>
        <w:r w:rsidR="00706AF1">
          <w:rPr>
            <w:noProof/>
            <w:webHidden/>
          </w:rPr>
          <w:tab/>
        </w:r>
        <w:r w:rsidR="00706AF1">
          <w:rPr>
            <w:noProof/>
            <w:webHidden/>
          </w:rPr>
          <w:fldChar w:fldCharType="begin"/>
        </w:r>
        <w:r w:rsidR="00706AF1">
          <w:rPr>
            <w:noProof/>
            <w:webHidden/>
          </w:rPr>
          <w:instrText xml:space="preserve"> PAGEREF _Toc104217671 \h </w:instrText>
        </w:r>
        <w:r w:rsidR="00706AF1">
          <w:rPr>
            <w:noProof/>
            <w:webHidden/>
          </w:rPr>
        </w:r>
        <w:r w:rsidR="00706AF1">
          <w:rPr>
            <w:noProof/>
            <w:webHidden/>
          </w:rPr>
          <w:fldChar w:fldCharType="separate"/>
        </w:r>
        <w:r w:rsidR="000B3BF6">
          <w:rPr>
            <w:noProof/>
            <w:webHidden/>
          </w:rPr>
          <w:t>48</w:t>
        </w:r>
        <w:r w:rsidR="00706AF1">
          <w:rPr>
            <w:noProof/>
            <w:webHidden/>
          </w:rPr>
          <w:fldChar w:fldCharType="end"/>
        </w:r>
      </w:hyperlink>
    </w:p>
    <w:p w14:paraId="7A59A6B5" w14:textId="34295220"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672" w:history="1">
        <w:r w:rsidR="00706AF1" w:rsidRPr="002013A8">
          <w:rPr>
            <w:rStyle w:val="Hyperlink"/>
            <w:noProof/>
          </w:rPr>
          <w:t>3.2.3</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The 2019 Regulations do not extend to post-closure planning</w:t>
        </w:r>
        <w:r w:rsidR="00706AF1">
          <w:rPr>
            <w:noProof/>
            <w:webHidden/>
          </w:rPr>
          <w:tab/>
        </w:r>
        <w:r w:rsidR="00706AF1">
          <w:rPr>
            <w:noProof/>
            <w:webHidden/>
          </w:rPr>
          <w:fldChar w:fldCharType="begin"/>
        </w:r>
        <w:r w:rsidR="00706AF1">
          <w:rPr>
            <w:noProof/>
            <w:webHidden/>
          </w:rPr>
          <w:instrText xml:space="preserve"> PAGEREF _Toc104217672 \h </w:instrText>
        </w:r>
        <w:r w:rsidR="00706AF1">
          <w:rPr>
            <w:noProof/>
            <w:webHidden/>
          </w:rPr>
        </w:r>
        <w:r w:rsidR="00706AF1">
          <w:rPr>
            <w:noProof/>
            <w:webHidden/>
          </w:rPr>
          <w:fldChar w:fldCharType="separate"/>
        </w:r>
        <w:r w:rsidR="000B3BF6">
          <w:rPr>
            <w:noProof/>
            <w:webHidden/>
          </w:rPr>
          <w:t>49</w:t>
        </w:r>
        <w:r w:rsidR="00706AF1">
          <w:rPr>
            <w:noProof/>
            <w:webHidden/>
          </w:rPr>
          <w:fldChar w:fldCharType="end"/>
        </w:r>
      </w:hyperlink>
    </w:p>
    <w:p w14:paraId="5C5D711A" w14:textId="3193EA54" w:rsidR="00706AF1" w:rsidRDefault="008F35DB">
      <w:pPr>
        <w:pStyle w:val="TOC2"/>
        <w:rPr>
          <w:rFonts w:asciiTheme="minorHAnsi" w:eastAsiaTheme="minorEastAsia" w:hAnsiTheme="minorHAnsi" w:cstheme="minorBidi"/>
          <w:noProof/>
          <w:color w:val="auto"/>
          <w:sz w:val="22"/>
          <w:szCs w:val="22"/>
          <w:lang w:eastAsia="en-AU"/>
        </w:rPr>
      </w:pPr>
      <w:hyperlink w:anchor="_Toc104217673" w:history="1">
        <w:r w:rsidR="00706AF1" w:rsidRPr="002013A8">
          <w:rPr>
            <w:rStyle w:val="Hyperlink"/>
            <w:noProof/>
          </w:rPr>
          <w:t>3.3</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The need to operationalise the declared mine rehabilitation framework</w:t>
        </w:r>
        <w:r w:rsidR="00706AF1">
          <w:rPr>
            <w:noProof/>
            <w:webHidden/>
          </w:rPr>
          <w:tab/>
        </w:r>
        <w:r w:rsidR="00706AF1">
          <w:rPr>
            <w:noProof/>
            <w:webHidden/>
          </w:rPr>
          <w:fldChar w:fldCharType="begin"/>
        </w:r>
        <w:r w:rsidR="00706AF1">
          <w:rPr>
            <w:noProof/>
            <w:webHidden/>
          </w:rPr>
          <w:instrText xml:space="preserve"> PAGEREF _Toc104217673 \h </w:instrText>
        </w:r>
        <w:r w:rsidR="00706AF1">
          <w:rPr>
            <w:noProof/>
            <w:webHidden/>
          </w:rPr>
        </w:r>
        <w:r w:rsidR="00706AF1">
          <w:rPr>
            <w:noProof/>
            <w:webHidden/>
          </w:rPr>
          <w:fldChar w:fldCharType="separate"/>
        </w:r>
        <w:r w:rsidR="000B3BF6">
          <w:rPr>
            <w:noProof/>
            <w:webHidden/>
          </w:rPr>
          <w:t>49</w:t>
        </w:r>
        <w:r w:rsidR="00706AF1">
          <w:rPr>
            <w:noProof/>
            <w:webHidden/>
          </w:rPr>
          <w:fldChar w:fldCharType="end"/>
        </w:r>
      </w:hyperlink>
    </w:p>
    <w:p w14:paraId="07C8DC53" w14:textId="6EBD972C"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674" w:history="1">
        <w:r w:rsidR="00706AF1" w:rsidRPr="002013A8">
          <w:rPr>
            <w:rStyle w:val="Hyperlink"/>
            <w:noProof/>
          </w:rPr>
          <w:t>3.3.1</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Rehabilitation planning and oversight</w:t>
        </w:r>
        <w:r w:rsidR="00706AF1">
          <w:rPr>
            <w:noProof/>
            <w:webHidden/>
          </w:rPr>
          <w:tab/>
        </w:r>
        <w:r w:rsidR="00706AF1">
          <w:rPr>
            <w:noProof/>
            <w:webHidden/>
          </w:rPr>
          <w:fldChar w:fldCharType="begin"/>
        </w:r>
        <w:r w:rsidR="00706AF1">
          <w:rPr>
            <w:noProof/>
            <w:webHidden/>
          </w:rPr>
          <w:instrText xml:space="preserve"> PAGEREF _Toc104217674 \h </w:instrText>
        </w:r>
        <w:r w:rsidR="00706AF1">
          <w:rPr>
            <w:noProof/>
            <w:webHidden/>
          </w:rPr>
        </w:r>
        <w:r w:rsidR="00706AF1">
          <w:rPr>
            <w:noProof/>
            <w:webHidden/>
          </w:rPr>
          <w:fldChar w:fldCharType="separate"/>
        </w:r>
        <w:r w:rsidR="000B3BF6">
          <w:rPr>
            <w:noProof/>
            <w:webHidden/>
          </w:rPr>
          <w:t>49</w:t>
        </w:r>
        <w:r w:rsidR="00706AF1">
          <w:rPr>
            <w:noProof/>
            <w:webHidden/>
          </w:rPr>
          <w:fldChar w:fldCharType="end"/>
        </w:r>
      </w:hyperlink>
    </w:p>
    <w:p w14:paraId="3FB90284" w14:textId="6A05590D" w:rsidR="00706AF1" w:rsidRDefault="008F35DB">
      <w:pPr>
        <w:pStyle w:val="TOC1"/>
        <w:tabs>
          <w:tab w:val="left" w:pos="600"/>
        </w:tabs>
        <w:rPr>
          <w:rFonts w:asciiTheme="minorHAnsi" w:eastAsiaTheme="minorEastAsia" w:hAnsiTheme="minorHAnsi" w:cstheme="minorBidi"/>
          <w:noProof/>
          <w:color w:val="auto"/>
          <w:sz w:val="22"/>
          <w:szCs w:val="22"/>
          <w:lang w:eastAsia="en-AU"/>
        </w:rPr>
      </w:pPr>
      <w:hyperlink w:anchor="_Toc104217675" w:history="1">
        <w:r w:rsidR="00706AF1" w:rsidRPr="002013A8">
          <w:rPr>
            <w:rStyle w:val="Hyperlink"/>
            <w:noProof/>
          </w:rPr>
          <w:t>4</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Objectives of the regulations</w:t>
        </w:r>
        <w:r w:rsidR="00706AF1">
          <w:rPr>
            <w:noProof/>
            <w:webHidden/>
          </w:rPr>
          <w:tab/>
        </w:r>
        <w:r w:rsidR="00706AF1">
          <w:rPr>
            <w:noProof/>
            <w:webHidden/>
          </w:rPr>
          <w:fldChar w:fldCharType="begin"/>
        </w:r>
        <w:r w:rsidR="00706AF1">
          <w:rPr>
            <w:noProof/>
            <w:webHidden/>
          </w:rPr>
          <w:instrText xml:space="preserve"> PAGEREF _Toc104217675 \h </w:instrText>
        </w:r>
        <w:r w:rsidR="00706AF1">
          <w:rPr>
            <w:noProof/>
            <w:webHidden/>
          </w:rPr>
        </w:r>
        <w:r w:rsidR="00706AF1">
          <w:rPr>
            <w:noProof/>
            <w:webHidden/>
          </w:rPr>
          <w:fldChar w:fldCharType="separate"/>
        </w:r>
        <w:r w:rsidR="000B3BF6">
          <w:rPr>
            <w:noProof/>
            <w:webHidden/>
          </w:rPr>
          <w:t>52</w:t>
        </w:r>
        <w:r w:rsidR="00706AF1">
          <w:rPr>
            <w:noProof/>
            <w:webHidden/>
          </w:rPr>
          <w:fldChar w:fldCharType="end"/>
        </w:r>
      </w:hyperlink>
    </w:p>
    <w:p w14:paraId="37A25BCB" w14:textId="3F5B21CE" w:rsidR="00706AF1" w:rsidRDefault="008F35DB">
      <w:pPr>
        <w:pStyle w:val="TOC2"/>
        <w:rPr>
          <w:rFonts w:asciiTheme="minorHAnsi" w:eastAsiaTheme="minorEastAsia" w:hAnsiTheme="minorHAnsi" w:cstheme="minorBidi"/>
          <w:noProof/>
          <w:color w:val="auto"/>
          <w:sz w:val="22"/>
          <w:szCs w:val="22"/>
          <w:lang w:eastAsia="en-AU"/>
        </w:rPr>
      </w:pPr>
      <w:hyperlink w:anchor="_Toc104217676" w:history="1">
        <w:r w:rsidR="00706AF1" w:rsidRPr="002013A8">
          <w:rPr>
            <w:rStyle w:val="Hyperlink"/>
            <w:noProof/>
          </w:rPr>
          <w:t>4.1</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Legislative purpose and objectives</w:t>
        </w:r>
        <w:r w:rsidR="00706AF1">
          <w:rPr>
            <w:noProof/>
            <w:webHidden/>
          </w:rPr>
          <w:tab/>
        </w:r>
        <w:r w:rsidR="00706AF1">
          <w:rPr>
            <w:noProof/>
            <w:webHidden/>
          </w:rPr>
          <w:fldChar w:fldCharType="begin"/>
        </w:r>
        <w:r w:rsidR="00706AF1">
          <w:rPr>
            <w:noProof/>
            <w:webHidden/>
          </w:rPr>
          <w:instrText xml:space="preserve"> PAGEREF _Toc104217676 \h </w:instrText>
        </w:r>
        <w:r w:rsidR="00706AF1">
          <w:rPr>
            <w:noProof/>
            <w:webHidden/>
          </w:rPr>
        </w:r>
        <w:r w:rsidR="00706AF1">
          <w:rPr>
            <w:noProof/>
            <w:webHidden/>
          </w:rPr>
          <w:fldChar w:fldCharType="separate"/>
        </w:r>
        <w:r w:rsidR="000B3BF6">
          <w:rPr>
            <w:noProof/>
            <w:webHidden/>
          </w:rPr>
          <w:t>52</w:t>
        </w:r>
        <w:r w:rsidR="00706AF1">
          <w:rPr>
            <w:noProof/>
            <w:webHidden/>
          </w:rPr>
          <w:fldChar w:fldCharType="end"/>
        </w:r>
      </w:hyperlink>
    </w:p>
    <w:p w14:paraId="6AA84C6A" w14:textId="1B62499C" w:rsidR="00706AF1" w:rsidRDefault="008F35DB">
      <w:pPr>
        <w:pStyle w:val="TOC2"/>
        <w:rPr>
          <w:rFonts w:asciiTheme="minorHAnsi" w:eastAsiaTheme="minorEastAsia" w:hAnsiTheme="minorHAnsi" w:cstheme="minorBidi"/>
          <w:noProof/>
          <w:color w:val="auto"/>
          <w:sz w:val="22"/>
          <w:szCs w:val="22"/>
          <w:lang w:eastAsia="en-AU"/>
        </w:rPr>
      </w:pPr>
      <w:hyperlink w:anchor="_Toc104217677" w:history="1">
        <w:r w:rsidR="00706AF1" w:rsidRPr="002013A8">
          <w:rPr>
            <w:rStyle w:val="Hyperlink"/>
            <w:noProof/>
          </w:rPr>
          <w:t>4.2</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Government policy</w:t>
        </w:r>
        <w:r w:rsidR="00706AF1">
          <w:rPr>
            <w:noProof/>
            <w:webHidden/>
          </w:rPr>
          <w:tab/>
        </w:r>
        <w:r w:rsidR="00706AF1">
          <w:rPr>
            <w:noProof/>
            <w:webHidden/>
          </w:rPr>
          <w:fldChar w:fldCharType="begin"/>
        </w:r>
        <w:r w:rsidR="00706AF1">
          <w:rPr>
            <w:noProof/>
            <w:webHidden/>
          </w:rPr>
          <w:instrText xml:space="preserve"> PAGEREF _Toc104217677 \h </w:instrText>
        </w:r>
        <w:r w:rsidR="00706AF1">
          <w:rPr>
            <w:noProof/>
            <w:webHidden/>
          </w:rPr>
        </w:r>
        <w:r w:rsidR="00706AF1">
          <w:rPr>
            <w:noProof/>
            <w:webHidden/>
          </w:rPr>
          <w:fldChar w:fldCharType="separate"/>
        </w:r>
        <w:r w:rsidR="000B3BF6">
          <w:rPr>
            <w:noProof/>
            <w:webHidden/>
          </w:rPr>
          <w:t>52</w:t>
        </w:r>
        <w:r w:rsidR="00706AF1">
          <w:rPr>
            <w:noProof/>
            <w:webHidden/>
          </w:rPr>
          <w:fldChar w:fldCharType="end"/>
        </w:r>
      </w:hyperlink>
    </w:p>
    <w:p w14:paraId="55887E42" w14:textId="5B528029"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678" w:history="1">
        <w:r w:rsidR="00706AF1" w:rsidRPr="002013A8">
          <w:rPr>
            <w:rStyle w:val="Hyperlink"/>
            <w:noProof/>
          </w:rPr>
          <w:t>4.2.1</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Minerals policies</w:t>
        </w:r>
        <w:r w:rsidR="00706AF1">
          <w:rPr>
            <w:noProof/>
            <w:webHidden/>
          </w:rPr>
          <w:tab/>
        </w:r>
        <w:r w:rsidR="00706AF1">
          <w:rPr>
            <w:noProof/>
            <w:webHidden/>
          </w:rPr>
          <w:fldChar w:fldCharType="begin"/>
        </w:r>
        <w:r w:rsidR="00706AF1">
          <w:rPr>
            <w:noProof/>
            <w:webHidden/>
          </w:rPr>
          <w:instrText xml:space="preserve"> PAGEREF _Toc104217678 \h </w:instrText>
        </w:r>
        <w:r w:rsidR="00706AF1">
          <w:rPr>
            <w:noProof/>
            <w:webHidden/>
          </w:rPr>
        </w:r>
        <w:r w:rsidR="00706AF1">
          <w:rPr>
            <w:noProof/>
            <w:webHidden/>
          </w:rPr>
          <w:fldChar w:fldCharType="separate"/>
        </w:r>
        <w:r w:rsidR="000B3BF6">
          <w:rPr>
            <w:noProof/>
            <w:webHidden/>
          </w:rPr>
          <w:t>52</w:t>
        </w:r>
        <w:r w:rsidR="00706AF1">
          <w:rPr>
            <w:noProof/>
            <w:webHidden/>
          </w:rPr>
          <w:fldChar w:fldCharType="end"/>
        </w:r>
      </w:hyperlink>
    </w:p>
    <w:p w14:paraId="70609E90" w14:textId="6398CF76"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679" w:history="1">
        <w:r w:rsidR="00706AF1" w:rsidRPr="002013A8">
          <w:rPr>
            <w:rStyle w:val="Hyperlink"/>
            <w:noProof/>
          </w:rPr>
          <w:t>4.2.2</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LVRRS</w:t>
        </w:r>
        <w:r w:rsidR="00706AF1">
          <w:rPr>
            <w:noProof/>
            <w:webHidden/>
          </w:rPr>
          <w:tab/>
        </w:r>
        <w:r w:rsidR="00706AF1">
          <w:rPr>
            <w:noProof/>
            <w:webHidden/>
          </w:rPr>
          <w:fldChar w:fldCharType="begin"/>
        </w:r>
        <w:r w:rsidR="00706AF1">
          <w:rPr>
            <w:noProof/>
            <w:webHidden/>
          </w:rPr>
          <w:instrText xml:space="preserve"> PAGEREF _Toc104217679 \h </w:instrText>
        </w:r>
        <w:r w:rsidR="00706AF1">
          <w:rPr>
            <w:noProof/>
            <w:webHidden/>
          </w:rPr>
        </w:r>
        <w:r w:rsidR="00706AF1">
          <w:rPr>
            <w:noProof/>
            <w:webHidden/>
          </w:rPr>
          <w:fldChar w:fldCharType="separate"/>
        </w:r>
        <w:r w:rsidR="000B3BF6">
          <w:rPr>
            <w:noProof/>
            <w:webHidden/>
          </w:rPr>
          <w:t>53</w:t>
        </w:r>
        <w:r w:rsidR="00706AF1">
          <w:rPr>
            <w:noProof/>
            <w:webHidden/>
          </w:rPr>
          <w:fldChar w:fldCharType="end"/>
        </w:r>
      </w:hyperlink>
    </w:p>
    <w:p w14:paraId="45AFEC6E" w14:textId="7464C798" w:rsidR="00706AF1" w:rsidRDefault="008F35DB">
      <w:pPr>
        <w:pStyle w:val="TOC2"/>
        <w:rPr>
          <w:rFonts w:asciiTheme="minorHAnsi" w:eastAsiaTheme="minorEastAsia" w:hAnsiTheme="minorHAnsi" w:cstheme="minorBidi"/>
          <w:noProof/>
          <w:color w:val="auto"/>
          <w:sz w:val="22"/>
          <w:szCs w:val="22"/>
          <w:lang w:eastAsia="en-AU"/>
        </w:rPr>
      </w:pPr>
      <w:hyperlink w:anchor="_Toc104217680" w:history="1">
        <w:r w:rsidR="00706AF1" w:rsidRPr="002013A8">
          <w:rPr>
            <w:rStyle w:val="Hyperlink"/>
            <w:noProof/>
          </w:rPr>
          <w:t>4.3</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Objectives of the proposed Regulations</w:t>
        </w:r>
        <w:r w:rsidR="00706AF1">
          <w:rPr>
            <w:noProof/>
            <w:webHidden/>
          </w:rPr>
          <w:tab/>
        </w:r>
        <w:r w:rsidR="00706AF1">
          <w:rPr>
            <w:noProof/>
            <w:webHidden/>
          </w:rPr>
          <w:fldChar w:fldCharType="begin"/>
        </w:r>
        <w:r w:rsidR="00706AF1">
          <w:rPr>
            <w:noProof/>
            <w:webHidden/>
          </w:rPr>
          <w:instrText xml:space="preserve"> PAGEREF _Toc104217680 \h </w:instrText>
        </w:r>
        <w:r w:rsidR="00706AF1">
          <w:rPr>
            <w:noProof/>
            <w:webHidden/>
          </w:rPr>
        </w:r>
        <w:r w:rsidR="00706AF1">
          <w:rPr>
            <w:noProof/>
            <w:webHidden/>
          </w:rPr>
          <w:fldChar w:fldCharType="separate"/>
        </w:r>
        <w:r w:rsidR="000B3BF6">
          <w:rPr>
            <w:noProof/>
            <w:webHidden/>
          </w:rPr>
          <w:t>53</w:t>
        </w:r>
        <w:r w:rsidR="00706AF1">
          <w:rPr>
            <w:noProof/>
            <w:webHidden/>
          </w:rPr>
          <w:fldChar w:fldCharType="end"/>
        </w:r>
      </w:hyperlink>
    </w:p>
    <w:p w14:paraId="090E0404" w14:textId="060E34E3"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681" w:history="1">
        <w:r w:rsidR="00706AF1" w:rsidRPr="002013A8">
          <w:rPr>
            <w:rStyle w:val="Hyperlink"/>
            <w:noProof/>
          </w:rPr>
          <w:t>4.3.1</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Rehabilitation planning</w:t>
        </w:r>
        <w:r w:rsidR="00706AF1">
          <w:rPr>
            <w:noProof/>
            <w:webHidden/>
          </w:rPr>
          <w:tab/>
        </w:r>
        <w:r w:rsidR="00706AF1">
          <w:rPr>
            <w:noProof/>
            <w:webHidden/>
          </w:rPr>
          <w:fldChar w:fldCharType="begin"/>
        </w:r>
        <w:r w:rsidR="00706AF1">
          <w:rPr>
            <w:noProof/>
            <w:webHidden/>
          </w:rPr>
          <w:instrText xml:space="preserve"> PAGEREF _Toc104217681 \h </w:instrText>
        </w:r>
        <w:r w:rsidR="00706AF1">
          <w:rPr>
            <w:noProof/>
            <w:webHidden/>
          </w:rPr>
        </w:r>
        <w:r w:rsidR="00706AF1">
          <w:rPr>
            <w:noProof/>
            <w:webHidden/>
          </w:rPr>
          <w:fldChar w:fldCharType="separate"/>
        </w:r>
        <w:r w:rsidR="000B3BF6">
          <w:rPr>
            <w:noProof/>
            <w:webHidden/>
          </w:rPr>
          <w:t>54</w:t>
        </w:r>
        <w:r w:rsidR="00706AF1">
          <w:rPr>
            <w:noProof/>
            <w:webHidden/>
          </w:rPr>
          <w:fldChar w:fldCharType="end"/>
        </w:r>
      </w:hyperlink>
    </w:p>
    <w:p w14:paraId="79BCCEF0" w14:textId="73B8DFE7"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682" w:history="1">
        <w:r w:rsidR="00706AF1" w:rsidRPr="002013A8">
          <w:rPr>
            <w:rStyle w:val="Hyperlink"/>
            <w:noProof/>
          </w:rPr>
          <w:t>4.3.2</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Mine closure and registration</w:t>
        </w:r>
        <w:r w:rsidR="00706AF1">
          <w:rPr>
            <w:noProof/>
            <w:webHidden/>
          </w:rPr>
          <w:tab/>
        </w:r>
        <w:r w:rsidR="00706AF1">
          <w:rPr>
            <w:noProof/>
            <w:webHidden/>
          </w:rPr>
          <w:fldChar w:fldCharType="begin"/>
        </w:r>
        <w:r w:rsidR="00706AF1">
          <w:rPr>
            <w:noProof/>
            <w:webHidden/>
          </w:rPr>
          <w:instrText xml:space="preserve"> PAGEREF _Toc104217682 \h </w:instrText>
        </w:r>
        <w:r w:rsidR="00706AF1">
          <w:rPr>
            <w:noProof/>
            <w:webHidden/>
          </w:rPr>
        </w:r>
        <w:r w:rsidR="00706AF1">
          <w:rPr>
            <w:noProof/>
            <w:webHidden/>
          </w:rPr>
          <w:fldChar w:fldCharType="separate"/>
        </w:r>
        <w:r w:rsidR="000B3BF6">
          <w:rPr>
            <w:noProof/>
            <w:webHidden/>
          </w:rPr>
          <w:t>54</w:t>
        </w:r>
        <w:r w:rsidR="00706AF1">
          <w:rPr>
            <w:noProof/>
            <w:webHidden/>
          </w:rPr>
          <w:fldChar w:fldCharType="end"/>
        </w:r>
      </w:hyperlink>
    </w:p>
    <w:p w14:paraId="5B5BC3F3" w14:textId="43127CAC"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683" w:history="1">
        <w:r w:rsidR="00706AF1" w:rsidRPr="002013A8">
          <w:rPr>
            <w:rStyle w:val="Hyperlink"/>
            <w:noProof/>
          </w:rPr>
          <w:t>4.3.3</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Administration of the Fund</w:t>
        </w:r>
        <w:r w:rsidR="00706AF1">
          <w:rPr>
            <w:noProof/>
            <w:webHidden/>
          </w:rPr>
          <w:tab/>
        </w:r>
        <w:r w:rsidR="00706AF1">
          <w:rPr>
            <w:noProof/>
            <w:webHidden/>
          </w:rPr>
          <w:fldChar w:fldCharType="begin"/>
        </w:r>
        <w:r w:rsidR="00706AF1">
          <w:rPr>
            <w:noProof/>
            <w:webHidden/>
          </w:rPr>
          <w:instrText xml:space="preserve"> PAGEREF _Toc104217683 \h </w:instrText>
        </w:r>
        <w:r w:rsidR="00706AF1">
          <w:rPr>
            <w:noProof/>
            <w:webHidden/>
          </w:rPr>
        </w:r>
        <w:r w:rsidR="00706AF1">
          <w:rPr>
            <w:noProof/>
            <w:webHidden/>
          </w:rPr>
          <w:fldChar w:fldCharType="separate"/>
        </w:r>
        <w:r w:rsidR="000B3BF6">
          <w:rPr>
            <w:noProof/>
            <w:webHidden/>
          </w:rPr>
          <w:t>54</w:t>
        </w:r>
        <w:r w:rsidR="00706AF1">
          <w:rPr>
            <w:noProof/>
            <w:webHidden/>
          </w:rPr>
          <w:fldChar w:fldCharType="end"/>
        </w:r>
      </w:hyperlink>
    </w:p>
    <w:p w14:paraId="6A79175E" w14:textId="05F0E957" w:rsidR="00706AF1" w:rsidRDefault="008F35DB">
      <w:pPr>
        <w:pStyle w:val="TOC2"/>
        <w:rPr>
          <w:rFonts w:asciiTheme="minorHAnsi" w:eastAsiaTheme="minorEastAsia" w:hAnsiTheme="minorHAnsi" w:cstheme="minorBidi"/>
          <w:noProof/>
          <w:color w:val="auto"/>
          <w:sz w:val="22"/>
          <w:szCs w:val="22"/>
          <w:lang w:eastAsia="en-AU"/>
        </w:rPr>
      </w:pPr>
      <w:hyperlink w:anchor="_Toc104217684" w:history="1">
        <w:r w:rsidR="00706AF1" w:rsidRPr="002013A8">
          <w:rPr>
            <w:rStyle w:val="Hyperlink"/>
            <w:noProof/>
          </w:rPr>
          <w:t>4.4</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Design principles for the proposed Regulations</w:t>
        </w:r>
        <w:r w:rsidR="00706AF1">
          <w:rPr>
            <w:noProof/>
            <w:webHidden/>
          </w:rPr>
          <w:tab/>
        </w:r>
        <w:r w:rsidR="00706AF1">
          <w:rPr>
            <w:noProof/>
            <w:webHidden/>
          </w:rPr>
          <w:fldChar w:fldCharType="begin"/>
        </w:r>
        <w:r w:rsidR="00706AF1">
          <w:rPr>
            <w:noProof/>
            <w:webHidden/>
          </w:rPr>
          <w:instrText xml:space="preserve"> PAGEREF _Toc104217684 \h </w:instrText>
        </w:r>
        <w:r w:rsidR="00706AF1">
          <w:rPr>
            <w:noProof/>
            <w:webHidden/>
          </w:rPr>
        </w:r>
        <w:r w:rsidR="00706AF1">
          <w:rPr>
            <w:noProof/>
            <w:webHidden/>
          </w:rPr>
          <w:fldChar w:fldCharType="separate"/>
        </w:r>
        <w:r w:rsidR="000B3BF6">
          <w:rPr>
            <w:noProof/>
            <w:webHidden/>
          </w:rPr>
          <w:t>54</w:t>
        </w:r>
        <w:r w:rsidR="00706AF1">
          <w:rPr>
            <w:noProof/>
            <w:webHidden/>
          </w:rPr>
          <w:fldChar w:fldCharType="end"/>
        </w:r>
      </w:hyperlink>
    </w:p>
    <w:p w14:paraId="42826609" w14:textId="200B8F2D"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685" w:history="1">
        <w:r w:rsidR="00706AF1" w:rsidRPr="002013A8">
          <w:rPr>
            <w:rStyle w:val="Hyperlink"/>
            <w:noProof/>
          </w:rPr>
          <w:t>4.4.1</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Principles for the proposed Regulations</w:t>
        </w:r>
        <w:r w:rsidR="00706AF1">
          <w:rPr>
            <w:noProof/>
            <w:webHidden/>
          </w:rPr>
          <w:tab/>
        </w:r>
        <w:r w:rsidR="00706AF1">
          <w:rPr>
            <w:noProof/>
            <w:webHidden/>
          </w:rPr>
          <w:fldChar w:fldCharType="begin"/>
        </w:r>
        <w:r w:rsidR="00706AF1">
          <w:rPr>
            <w:noProof/>
            <w:webHidden/>
          </w:rPr>
          <w:instrText xml:space="preserve"> PAGEREF _Toc104217685 \h </w:instrText>
        </w:r>
        <w:r w:rsidR="00706AF1">
          <w:rPr>
            <w:noProof/>
            <w:webHidden/>
          </w:rPr>
        </w:r>
        <w:r w:rsidR="00706AF1">
          <w:rPr>
            <w:noProof/>
            <w:webHidden/>
          </w:rPr>
          <w:fldChar w:fldCharType="separate"/>
        </w:r>
        <w:r w:rsidR="000B3BF6">
          <w:rPr>
            <w:noProof/>
            <w:webHidden/>
          </w:rPr>
          <w:t>55</w:t>
        </w:r>
        <w:r w:rsidR="00706AF1">
          <w:rPr>
            <w:noProof/>
            <w:webHidden/>
          </w:rPr>
          <w:fldChar w:fldCharType="end"/>
        </w:r>
      </w:hyperlink>
    </w:p>
    <w:p w14:paraId="1F914EE6" w14:textId="3B462F2C"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686" w:history="1">
        <w:r w:rsidR="00706AF1" w:rsidRPr="002013A8">
          <w:rPr>
            <w:rStyle w:val="Hyperlink"/>
            <w:noProof/>
          </w:rPr>
          <w:t>4.4.2</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Principles for the DMRP</w:t>
        </w:r>
        <w:r w:rsidR="00706AF1">
          <w:rPr>
            <w:noProof/>
            <w:webHidden/>
          </w:rPr>
          <w:tab/>
        </w:r>
        <w:r w:rsidR="00706AF1">
          <w:rPr>
            <w:noProof/>
            <w:webHidden/>
          </w:rPr>
          <w:fldChar w:fldCharType="begin"/>
        </w:r>
        <w:r w:rsidR="00706AF1">
          <w:rPr>
            <w:noProof/>
            <w:webHidden/>
          </w:rPr>
          <w:instrText xml:space="preserve"> PAGEREF _Toc104217686 \h </w:instrText>
        </w:r>
        <w:r w:rsidR="00706AF1">
          <w:rPr>
            <w:noProof/>
            <w:webHidden/>
          </w:rPr>
        </w:r>
        <w:r w:rsidR="00706AF1">
          <w:rPr>
            <w:noProof/>
            <w:webHidden/>
          </w:rPr>
          <w:fldChar w:fldCharType="separate"/>
        </w:r>
        <w:r w:rsidR="000B3BF6">
          <w:rPr>
            <w:noProof/>
            <w:webHidden/>
          </w:rPr>
          <w:t>55</w:t>
        </w:r>
        <w:r w:rsidR="00706AF1">
          <w:rPr>
            <w:noProof/>
            <w:webHidden/>
          </w:rPr>
          <w:fldChar w:fldCharType="end"/>
        </w:r>
      </w:hyperlink>
    </w:p>
    <w:p w14:paraId="248C890D" w14:textId="3EE4AEEE" w:rsidR="00706AF1" w:rsidRDefault="008F35DB">
      <w:pPr>
        <w:pStyle w:val="TOC1"/>
        <w:tabs>
          <w:tab w:val="left" w:pos="600"/>
        </w:tabs>
        <w:rPr>
          <w:rFonts w:asciiTheme="minorHAnsi" w:eastAsiaTheme="minorEastAsia" w:hAnsiTheme="minorHAnsi" w:cstheme="minorBidi"/>
          <w:noProof/>
          <w:color w:val="auto"/>
          <w:sz w:val="22"/>
          <w:szCs w:val="22"/>
          <w:lang w:eastAsia="en-AU"/>
        </w:rPr>
      </w:pPr>
      <w:hyperlink w:anchor="_Toc104217687" w:history="1">
        <w:r w:rsidR="00706AF1" w:rsidRPr="002013A8">
          <w:rPr>
            <w:rStyle w:val="Hyperlink"/>
            <w:noProof/>
          </w:rPr>
          <w:t>5</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Options</w:t>
        </w:r>
        <w:r w:rsidR="00706AF1">
          <w:rPr>
            <w:noProof/>
            <w:webHidden/>
          </w:rPr>
          <w:tab/>
        </w:r>
        <w:r w:rsidR="00706AF1">
          <w:rPr>
            <w:noProof/>
            <w:webHidden/>
          </w:rPr>
          <w:fldChar w:fldCharType="begin"/>
        </w:r>
        <w:r w:rsidR="00706AF1">
          <w:rPr>
            <w:noProof/>
            <w:webHidden/>
          </w:rPr>
          <w:instrText xml:space="preserve"> PAGEREF _Toc104217687 \h </w:instrText>
        </w:r>
        <w:r w:rsidR="00706AF1">
          <w:rPr>
            <w:noProof/>
            <w:webHidden/>
          </w:rPr>
        </w:r>
        <w:r w:rsidR="00706AF1">
          <w:rPr>
            <w:noProof/>
            <w:webHidden/>
          </w:rPr>
          <w:fldChar w:fldCharType="separate"/>
        </w:r>
        <w:r w:rsidR="000B3BF6">
          <w:rPr>
            <w:noProof/>
            <w:webHidden/>
          </w:rPr>
          <w:t>56</w:t>
        </w:r>
        <w:r w:rsidR="00706AF1">
          <w:rPr>
            <w:noProof/>
            <w:webHidden/>
          </w:rPr>
          <w:fldChar w:fldCharType="end"/>
        </w:r>
      </w:hyperlink>
    </w:p>
    <w:p w14:paraId="3E7273BE" w14:textId="3627FB18" w:rsidR="00706AF1" w:rsidRDefault="008F35DB">
      <w:pPr>
        <w:pStyle w:val="TOC2"/>
        <w:rPr>
          <w:rFonts w:asciiTheme="minorHAnsi" w:eastAsiaTheme="minorEastAsia" w:hAnsiTheme="minorHAnsi" w:cstheme="minorBidi"/>
          <w:noProof/>
          <w:color w:val="auto"/>
          <w:sz w:val="22"/>
          <w:szCs w:val="22"/>
          <w:lang w:eastAsia="en-AU"/>
        </w:rPr>
      </w:pPr>
      <w:hyperlink w:anchor="_Toc104217688" w:history="1">
        <w:r w:rsidR="00706AF1" w:rsidRPr="002013A8">
          <w:rPr>
            <w:rStyle w:val="Hyperlink"/>
            <w:noProof/>
          </w:rPr>
          <w:t>5.1</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Regulatory options development</w:t>
        </w:r>
        <w:r w:rsidR="00706AF1">
          <w:rPr>
            <w:noProof/>
            <w:webHidden/>
          </w:rPr>
          <w:tab/>
        </w:r>
        <w:r w:rsidR="00706AF1">
          <w:rPr>
            <w:noProof/>
            <w:webHidden/>
          </w:rPr>
          <w:fldChar w:fldCharType="begin"/>
        </w:r>
        <w:r w:rsidR="00706AF1">
          <w:rPr>
            <w:noProof/>
            <w:webHidden/>
          </w:rPr>
          <w:instrText xml:space="preserve"> PAGEREF _Toc104217688 \h </w:instrText>
        </w:r>
        <w:r w:rsidR="00706AF1">
          <w:rPr>
            <w:noProof/>
            <w:webHidden/>
          </w:rPr>
        </w:r>
        <w:r w:rsidR="00706AF1">
          <w:rPr>
            <w:noProof/>
            <w:webHidden/>
          </w:rPr>
          <w:fldChar w:fldCharType="separate"/>
        </w:r>
        <w:r w:rsidR="000B3BF6">
          <w:rPr>
            <w:noProof/>
            <w:webHidden/>
          </w:rPr>
          <w:t>56</w:t>
        </w:r>
        <w:r w:rsidR="00706AF1">
          <w:rPr>
            <w:noProof/>
            <w:webHidden/>
          </w:rPr>
          <w:fldChar w:fldCharType="end"/>
        </w:r>
      </w:hyperlink>
    </w:p>
    <w:p w14:paraId="47CF0675" w14:textId="30A67205" w:rsidR="00706AF1" w:rsidRDefault="008F35DB">
      <w:pPr>
        <w:pStyle w:val="TOC2"/>
        <w:rPr>
          <w:rFonts w:asciiTheme="minorHAnsi" w:eastAsiaTheme="minorEastAsia" w:hAnsiTheme="minorHAnsi" w:cstheme="minorBidi"/>
          <w:noProof/>
          <w:color w:val="auto"/>
          <w:sz w:val="22"/>
          <w:szCs w:val="22"/>
          <w:lang w:eastAsia="en-AU"/>
        </w:rPr>
      </w:pPr>
      <w:hyperlink w:anchor="_Toc104217689" w:history="1">
        <w:r w:rsidR="00706AF1" w:rsidRPr="002013A8">
          <w:rPr>
            <w:rStyle w:val="Hyperlink"/>
            <w:noProof/>
          </w:rPr>
          <w:t>5.2</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Base case – What will happen if the regulations are not amended</w:t>
        </w:r>
        <w:r w:rsidR="00706AF1">
          <w:rPr>
            <w:noProof/>
            <w:webHidden/>
          </w:rPr>
          <w:tab/>
        </w:r>
        <w:r w:rsidR="00706AF1">
          <w:rPr>
            <w:noProof/>
            <w:webHidden/>
          </w:rPr>
          <w:fldChar w:fldCharType="begin"/>
        </w:r>
        <w:r w:rsidR="00706AF1">
          <w:rPr>
            <w:noProof/>
            <w:webHidden/>
          </w:rPr>
          <w:instrText xml:space="preserve"> PAGEREF _Toc104217689 \h </w:instrText>
        </w:r>
        <w:r w:rsidR="00706AF1">
          <w:rPr>
            <w:noProof/>
            <w:webHidden/>
          </w:rPr>
        </w:r>
        <w:r w:rsidR="00706AF1">
          <w:rPr>
            <w:noProof/>
            <w:webHidden/>
          </w:rPr>
          <w:fldChar w:fldCharType="separate"/>
        </w:r>
        <w:r w:rsidR="000B3BF6">
          <w:rPr>
            <w:noProof/>
            <w:webHidden/>
          </w:rPr>
          <w:t>60</w:t>
        </w:r>
        <w:r w:rsidR="00706AF1">
          <w:rPr>
            <w:noProof/>
            <w:webHidden/>
          </w:rPr>
          <w:fldChar w:fldCharType="end"/>
        </w:r>
      </w:hyperlink>
    </w:p>
    <w:p w14:paraId="6C378673" w14:textId="11EECC06"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690" w:history="1">
        <w:r w:rsidR="00706AF1" w:rsidRPr="002013A8">
          <w:rPr>
            <w:rStyle w:val="Hyperlink"/>
            <w:noProof/>
          </w:rPr>
          <w:t>5.2.1</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Rehabilitation planning – base case</w:t>
        </w:r>
        <w:r w:rsidR="00706AF1">
          <w:rPr>
            <w:noProof/>
            <w:webHidden/>
          </w:rPr>
          <w:tab/>
        </w:r>
        <w:r w:rsidR="00706AF1">
          <w:rPr>
            <w:noProof/>
            <w:webHidden/>
          </w:rPr>
          <w:fldChar w:fldCharType="begin"/>
        </w:r>
        <w:r w:rsidR="00706AF1">
          <w:rPr>
            <w:noProof/>
            <w:webHidden/>
          </w:rPr>
          <w:instrText xml:space="preserve"> PAGEREF _Toc104217690 \h </w:instrText>
        </w:r>
        <w:r w:rsidR="00706AF1">
          <w:rPr>
            <w:noProof/>
            <w:webHidden/>
          </w:rPr>
        </w:r>
        <w:r w:rsidR="00706AF1">
          <w:rPr>
            <w:noProof/>
            <w:webHidden/>
          </w:rPr>
          <w:fldChar w:fldCharType="separate"/>
        </w:r>
        <w:r w:rsidR="000B3BF6">
          <w:rPr>
            <w:noProof/>
            <w:webHidden/>
          </w:rPr>
          <w:t>60</w:t>
        </w:r>
        <w:r w:rsidR="00706AF1">
          <w:rPr>
            <w:noProof/>
            <w:webHidden/>
          </w:rPr>
          <w:fldChar w:fldCharType="end"/>
        </w:r>
      </w:hyperlink>
    </w:p>
    <w:p w14:paraId="292DE2B7" w14:textId="0987B877"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691" w:history="1">
        <w:r w:rsidR="00706AF1" w:rsidRPr="002013A8">
          <w:rPr>
            <w:rStyle w:val="Hyperlink"/>
            <w:noProof/>
          </w:rPr>
          <w:t>5.2.2</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Mine closure determination – base case</w:t>
        </w:r>
        <w:r w:rsidR="00706AF1">
          <w:rPr>
            <w:noProof/>
            <w:webHidden/>
          </w:rPr>
          <w:tab/>
        </w:r>
        <w:r w:rsidR="00706AF1">
          <w:rPr>
            <w:noProof/>
            <w:webHidden/>
          </w:rPr>
          <w:fldChar w:fldCharType="begin"/>
        </w:r>
        <w:r w:rsidR="00706AF1">
          <w:rPr>
            <w:noProof/>
            <w:webHidden/>
          </w:rPr>
          <w:instrText xml:space="preserve"> PAGEREF _Toc104217691 \h </w:instrText>
        </w:r>
        <w:r w:rsidR="00706AF1">
          <w:rPr>
            <w:noProof/>
            <w:webHidden/>
          </w:rPr>
        </w:r>
        <w:r w:rsidR="00706AF1">
          <w:rPr>
            <w:noProof/>
            <w:webHidden/>
          </w:rPr>
          <w:fldChar w:fldCharType="separate"/>
        </w:r>
        <w:r w:rsidR="000B3BF6">
          <w:rPr>
            <w:noProof/>
            <w:webHidden/>
          </w:rPr>
          <w:t>64</w:t>
        </w:r>
        <w:r w:rsidR="00706AF1">
          <w:rPr>
            <w:noProof/>
            <w:webHidden/>
          </w:rPr>
          <w:fldChar w:fldCharType="end"/>
        </w:r>
      </w:hyperlink>
    </w:p>
    <w:p w14:paraId="605F408C" w14:textId="73AE933C"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692" w:history="1">
        <w:r w:rsidR="00706AF1" w:rsidRPr="002013A8">
          <w:rPr>
            <w:rStyle w:val="Hyperlink"/>
            <w:noProof/>
          </w:rPr>
          <w:t>5.2.3</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Mine land registration and the Fund – base case</w:t>
        </w:r>
        <w:r w:rsidR="00706AF1">
          <w:rPr>
            <w:noProof/>
            <w:webHidden/>
          </w:rPr>
          <w:tab/>
        </w:r>
        <w:r w:rsidR="00706AF1">
          <w:rPr>
            <w:noProof/>
            <w:webHidden/>
          </w:rPr>
          <w:fldChar w:fldCharType="begin"/>
        </w:r>
        <w:r w:rsidR="00706AF1">
          <w:rPr>
            <w:noProof/>
            <w:webHidden/>
          </w:rPr>
          <w:instrText xml:space="preserve"> PAGEREF _Toc104217692 \h </w:instrText>
        </w:r>
        <w:r w:rsidR="00706AF1">
          <w:rPr>
            <w:noProof/>
            <w:webHidden/>
          </w:rPr>
        </w:r>
        <w:r w:rsidR="00706AF1">
          <w:rPr>
            <w:noProof/>
            <w:webHidden/>
          </w:rPr>
          <w:fldChar w:fldCharType="separate"/>
        </w:r>
        <w:r w:rsidR="000B3BF6">
          <w:rPr>
            <w:noProof/>
            <w:webHidden/>
          </w:rPr>
          <w:t>65</w:t>
        </w:r>
        <w:r w:rsidR="00706AF1">
          <w:rPr>
            <w:noProof/>
            <w:webHidden/>
          </w:rPr>
          <w:fldChar w:fldCharType="end"/>
        </w:r>
      </w:hyperlink>
    </w:p>
    <w:p w14:paraId="413C324C" w14:textId="166B2460" w:rsidR="00706AF1" w:rsidRDefault="008F35DB">
      <w:pPr>
        <w:pStyle w:val="TOC2"/>
        <w:rPr>
          <w:rFonts w:asciiTheme="minorHAnsi" w:eastAsiaTheme="minorEastAsia" w:hAnsiTheme="minorHAnsi" w:cstheme="minorBidi"/>
          <w:noProof/>
          <w:color w:val="auto"/>
          <w:sz w:val="22"/>
          <w:szCs w:val="22"/>
          <w:lang w:eastAsia="en-AU"/>
        </w:rPr>
      </w:pPr>
      <w:hyperlink w:anchor="_Toc104217693" w:history="1">
        <w:r w:rsidR="00706AF1" w:rsidRPr="002013A8">
          <w:rPr>
            <w:rStyle w:val="Hyperlink"/>
            <w:noProof/>
          </w:rPr>
          <w:t>5.3</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Option 1: ‘up-front’ approach</w:t>
        </w:r>
        <w:r w:rsidR="00706AF1">
          <w:rPr>
            <w:noProof/>
            <w:webHidden/>
          </w:rPr>
          <w:tab/>
        </w:r>
        <w:r w:rsidR="00706AF1">
          <w:rPr>
            <w:noProof/>
            <w:webHidden/>
          </w:rPr>
          <w:fldChar w:fldCharType="begin"/>
        </w:r>
        <w:r w:rsidR="00706AF1">
          <w:rPr>
            <w:noProof/>
            <w:webHidden/>
          </w:rPr>
          <w:instrText xml:space="preserve"> PAGEREF _Toc104217693 \h </w:instrText>
        </w:r>
        <w:r w:rsidR="00706AF1">
          <w:rPr>
            <w:noProof/>
            <w:webHidden/>
          </w:rPr>
        </w:r>
        <w:r w:rsidR="00706AF1">
          <w:rPr>
            <w:noProof/>
            <w:webHidden/>
          </w:rPr>
          <w:fldChar w:fldCharType="separate"/>
        </w:r>
        <w:r w:rsidR="000B3BF6">
          <w:rPr>
            <w:noProof/>
            <w:webHidden/>
          </w:rPr>
          <w:t>66</w:t>
        </w:r>
        <w:r w:rsidR="00706AF1">
          <w:rPr>
            <w:noProof/>
            <w:webHidden/>
          </w:rPr>
          <w:fldChar w:fldCharType="end"/>
        </w:r>
      </w:hyperlink>
    </w:p>
    <w:p w14:paraId="3D62559E" w14:textId="097B29C6"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694" w:history="1">
        <w:r w:rsidR="00706AF1" w:rsidRPr="002013A8">
          <w:rPr>
            <w:rStyle w:val="Hyperlink"/>
            <w:noProof/>
          </w:rPr>
          <w:t>5.3.1</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Rehabilitation planning – Option 1</w:t>
        </w:r>
        <w:r w:rsidR="00706AF1">
          <w:rPr>
            <w:noProof/>
            <w:webHidden/>
          </w:rPr>
          <w:tab/>
        </w:r>
        <w:r w:rsidR="00706AF1">
          <w:rPr>
            <w:noProof/>
            <w:webHidden/>
          </w:rPr>
          <w:fldChar w:fldCharType="begin"/>
        </w:r>
        <w:r w:rsidR="00706AF1">
          <w:rPr>
            <w:noProof/>
            <w:webHidden/>
          </w:rPr>
          <w:instrText xml:space="preserve"> PAGEREF _Toc104217694 \h </w:instrText>
        </w:r>
        <w:r w:rsidR="00706AF1">
          <w:rPr>
            <w:noProof/>
            <w:webHidden/>
          </w:rPr>
        </w:r>
        <w:r w:rsidR="00706AF1">
          <w:rPr>
            <w:noProof/>
            <w:webHidden/>
          </w:rPr>
          <w:fldChar w:fldCharType="separate"/>
        </w:r>
        <w:r w:rsidR="000B3BF6">
          <w:rPr>
            <w:noProof/>
            <w:webHidden/>
          </w:rPr>
          <w:t>66</w:t>
        </w:r>
        <w:r w:rsidR="00706AF1">
          <w:rPr>
            <w:noProof/>
            <w:webHidden/>
          </w:rPr>
          <w:fldChar w:fldCharType="end"/>
        </w:r>
      </w:hyperlink>
    </w:p>
    <w:p w14:paraId="007B573C" w14:textId="3C8159B3"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695" w:history="1">
        <w:r w:rsidR="00706AF1" w:rsidRPr="002013A8">
          <w:rPr>
            <w:rStyle w:val="Hyperlink"/>
            <w:noProof/>
          </w:rPr>
          <w:t>5.3.2</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Mine closure determination – Option 1</w:t>
        </w:r>
        <w:r w:rsidR="00706AF1">
          <w:rPr>
            <w:noProof/>
            <w:webHidden/>
          </w:rPr>
          <w:tab/>
        </w:r>
        <w:r w:rsidR="00706AF1">
          <w:rPr>
            <w:noProof/>
            <w:webHidden/>
          </w:rPr>
          <w:fldChar w:fldCharType="begin"/>
        </w:r>
        <w:r w:rsidR="00706AF1">
          <w:rPr>
            <w:noProof/>
            <w:webHidden/>
          </w:rPr>
          <w:instrText xml:space="preserve"> PAGEREF _Toc104217695 \h </w:instrText>
        </w:r>
        <w:r w:rsidR="00706AF1">
          <w:rPr>
            <w:noProof/>
            <w:webHidden/>
          </w:rPr>
        </w:r>
        <w:r w:rsidR="00706AF1">
          <w:rPr>
            <w:noProof/>
            <w:webHidden/>
          </w:rPr>
          <w:fldChar w:fldCharType="separate"/>
        </w:r>
        <w:r w:rsidR="000B3BF6">
          <w:rPr>
            <w:noProof/>
            <w:webHidden/>
          </w:rPr>
          <w:t>68</w:t>
        </w:r>
        <w:r w:rsidR="00706AF1">
          <w:rPr>
            <w:noProof/>
            <w:webHidden/>
          </w:rPr>
          <w:fldChar w:fldCharType="end"/>
        </w:r>
      </w:hyperlink>
    </w:p>
    <w:p w14:paraId="16CE3B31" w14:textId="431B968E"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696" w:history="1">
        <w:r w:rsidR="00706AF1" w:rsidRPr="002013A8">
          <w:rPr>
            <w:rStyle w:val="Hyperlink"/>
            <w:noProof/>
          </w:rPr>
          <w:t>5.3.3</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Mine land registration and the Fund – Option 1</w:t>
        </w:r>
        <w:r w:rsidR="00706AF1">
          <w:rPr>
            <w:noProof/>
            <w:webHidden/>
          </w:rPr>
          <w:tab/>
        </w:r>
        <w:r w:rsidR="00706AF1">
          <w:rPr>
            <w:noProof/>
            <w:webHidden/>
          </w:rPr>
          <w:fldChar w:fldCharType="begin"/>
        </w:r>
        <w:r w:rsidR="00706AF1">
          <w:rPr>
            <w:noProof/>
            <w:webHidden/>
          </w:rPr>
          <w:instrText xml:space="preserve"> PAGEREF _Toc104217696 \h </w:instrText>
        </w:r>
        <w:r w:rsidR="00706AF1">
          <w:rPr>
            <w:noProof/>
            <w:webHidden/>
          </w:rPr>
        </w:r>
        <w:r w:rsidR="00706AF1">
          <w:rPr>
            <w:noProof/>
            <w:webHidden/>
          </w:rPr>
          <w:fldChar w:fldCharType="separate"/>
        </w:r>
        <w:r w:rsidR="000B3BF6">
          <w:rPr>
            <w:noProof/>
            <w:webHidden/>
          </w:rPr>
          <w:t>68</w:t>
        </w:r>
        <w:r w:rsidR="00706AF1">
          <w:rPr>
            <w:noProof/>
            <w:webHidden/>
          </w:rPr>
          <w:fldChar w:fldCharType="end"/>
        </w:r>
      </w:hyperlink>
    </w:p>
    <w:p w14:paraId="00C18898" w14:textId="7DEFDFDD" w:rsidR="00706AF1" w:rsidRDefault="008F35DB">
      <w:pPr>
        <w:pStyle w:val="TOC2"/>
        <w:rPr>
          <w:rFonts w:asciiTheme="minorHAnsi" w:eastAsiaTheme="minorEastAsia" w:hAnsiTheme="minorHAnsi" w:cstheme="minorBidi"/>
          <w:noProof/>
          <w:color w:val="auto"/>
          <w:sz w:val="22"/>
          <w:szCs w:val="22"/>
          <w:lang w:eastAsia="en-AU"/>
        </w:rPr>
      </w:pPr>
      <w:hyperlink w:anchor="_Toc104217697" w:history="1">
        <w:r w:rsidR="00706AF1" w:rsidRPr="002013A8">
          <w:rPr>
            <w:rStyle w:val="Hyperlink"/>
            <w:noProof/>
          </w:rPr>
          <w:t>5.4</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Option 2: iterative approach</w:t>
        </w:r>
        <w:r w:rsidR="00706AF1">
          <w:rPr>
            <w:noProof/>
            <w:webHidden/>
          </w:rPr>
          <w:tab/>
        </w:r>
        <w:r w:rsidR="00706AF1">
          <w:rPr>
            <w:noProof/>
            <w:webHidden/>
          </w:rPr>
          <w:fldChar w:fldCharType="begin"/>
        </w:r>
        <w:r w:rsidR="00706AF1">
          <w:rPr>
            <w:noProof/>
            <w:webHidden/>
          </w:rPr>
          <w:instrText xml:space="preserve"> PAGEREF _Toc104217697 \h </w:instrText>
        </w:r>
        <w:r w:rsidR="00706AF1">
          <w:rPr>
            <w:noProof/>
            <w:webHidden/>
          </w:rPr>
        </w:r>
        <w:r w:rsidR="00706AF1">
          <w:rPr>
            <w:noProof/>
            <w:webHidden/>
          </w:rPr>
          <w:fldChar w:fldCharType="separate"/>
        </w:r>
        <w:r w:rsidR="000B3BF6">
          <w:rPr>
            <w:noProof/>
            <w:webHidden/>
          </w:rPr>
          <w:t>68</w:t>
        </w:r>
        <w:r w:rsidR="00706AF1">
          <w:rPr>
            <w:noProof/>
            <w:webHidden/>
          </w:rPr>
          <w:fldChar w:fldCharType="end"/>
        </w:r>
      </w:hyperlink>
    </w:p>
    <w:p w14:paraId="1BA1DA45" w14:textId="2CE32F05"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699" w:history="1">
        <w:r w:rsidR="00706AF1" w:rsidRPr="002013A8">
          <w:rPr>
            <w:rStyle w:val="Hyperlink"/>
            <w:noProof/>
          </w:rPr>
          <w:t>5.4.1</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Rehabilitation planning – Option 2</w:t>
        </w:r>
        <w:r w:rsidR="00706AF1">
          <w:rPr>
            <w:noProof/>
            <w:webHidden/>
          </w:rPr>
          <w:tab/>
        </w:r>
        <w:r w:rsidR="00706AF1">
          <w:rPr>
            <w:noProof/>
            <w:webHidden/>
          </w:rPr>
          <w:fldChar w:fldCharType="begin"/>
        </w:r>
        <w:r w:rsidR="00706AF1">
          <w:rPr>
            <w:noProof/>
            <w:webHidden/>
          </w:rPr>
          <w:instrText xml:space="preserve"> PAGEREF _Toc104217699 \h </w:instrText>
        </w:r>
        <w:r w:rsidR="00706AF1">
          <w:rPr>
            <w:noProof/>
            <w:webHidden/>
          </w:rPr>
        </w:r>
        <w:r w:rsidR="00706AF1">
          <w:rPr>
            <w:noProof/>
            <w:webHidden/>
          </w:rPr>
          <w:fldChar w:fldCharType="separate"/>
        </w:r>
        <w:r w:rsidR="000B3BF6">
          <w:rPr>
            <w:noProof/>
            <w:webHidden/>
          </w:rPr>
          <w:t>69</w:t>
        </w:r>
        <w:r w:rsidR="00706AF1">
          <w:rPr>
            <w:noProof/>
            <w:webHidden/>
          </w:rPr>
          <w:fldChar w:fldCharType="end"/>
        </w:r>
      </w:hyperlink>
    </w:p>
    <w:p w14:paraId="2B3F36E3" w14:textId="7902A730"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700" w:history="1">
        <w:r w:rsidR="00706AF1" w:rsidRPr="002013A8">
          <w:rPr>
            <w:rStyle w:val="Hyperlink"/>
            <w:noProof/>
          </w:rPr>
          <w:t>5.4.2</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Mine closure determination – Option 2</w:t>
        </w:r>
        <w:r w:rsidR="00706AF1">
          <w:rPr>
            <w:noProof/>
            <w:webHidden/>
          </w:rPr>
          <w:tab/>
        </w:r>
        <w:r w:rsidR="00706AF1">
          <w:rPr>
            <w:noProof/>
            <w:webHidden/>
          </w:rPr>
          <w:fldChar w:fldCharType="begin"/>
        </w:r>
        <w:r w:rsidR="00706AF1">
          <w:rPr>
            <w:noProof/>
            <w:webHidden/>
          </w:rPr>
          <w:instrText xml:space="preserve"> PAGEREF _Toc104217700 \h </w:instrText>
        </w:r>
        <w:r w:rsidR="00706AF1">
          <w:rPr>
            <w:noProof/>
            <w:webHidden/>
          </w:rPr>
        </w:r>
        <w:r w:rsidR="00706AF1">
          <w:rPr>
            <w:noProof/>
            <w:webHidden/>
          </w:rPr>
          <w:fldChar w:fldCharType="separate"/>
        </w:r>
        <w:r w:rsidR="000B3BF6">
          <w:rPr>
            <w:noProof/>
            <w:webHidden/>
          </w:rPr>
          <w:t>73</w:t>
        </w:r>
        <w:r w:rsidR="00706AF1">
          <w:rPr>
            <w:noProof/>
            <w:webHidden/>
          </w:rPr>
          <w:fldChar w:fldCharType="end"/>
        </w:r>
      </w:hyperlink>
    </w:p>
    <w:p w14:paraId="3329776F" w14:textId="01CB1535"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701" w:history="1">
        <w:r w:rsidR="00706AF1" w:rsidRPr="002013A8">
          <w:rPr>
            <w:rStyle w:val="Hyperlink"/>
            <w:noProof/>
          </w:rPr>
          <w:t>5.4.3</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Mine land registration and the Fund – Option 2</w:t>
        </w:r>
        <w:r w:rsidR="00706AF1">
          <w:rPr>
            <w:noProof/>
            <w:webHidden/>
          </w:rPr>
          <w:tab/>
        </w:r>
        <w:r w:rsidR="00706AF1">
          <w:rPr>
            <w:noProof/>
            <w:webHidden/>
          </w:rPr>
          <w:fldChar w:fldCharType="begin"/>
        </w:r>
        <w:r w:rsidR="00706AF1">
          <w:rPr>
            <w:noProof/>
            <w:webHidden/>
          </w:rPr>
          <w:instrText xml:space="preserve"> PAGEREF _Toc104217701 \h </w:instrText>
        </w:r>
        <w:r w:rsidR="00706AF1">
          <w:rPr>
            <w:noProof/>
            <w:webHidden/>
          </w:rPr>
        </w:r>
        <w:r w:rsidR="00706AF1">
          <w:rPr>
            <w:noProof/>
            <w:webHidden/>
          </w:rPr>
          <w:fldChar w:fldCharType="separate"/>
        </w:r>
        <w:r w:rsidR="000B3BF6">
          <w:rPr>
            <w:noProof/>
            <w:webHidden/>
          </w:rPr>
          <w:t>74</w:t>
        </w:r>
        <w:r w:rsidR="00706AF1">
          <w:rPr>
            <w:noProof/>
            <w:webHidden/>
          </w:rPr>
          <w:fldChar w:fldCharType="end"/>
        </w:r>
      </w:hyperlink>
    </w:p>
    <w:p w14:paraId="58D7B66A" w14:textId="06398E7D" w:rsidR="00706AF1" w:rsidRDefault="008F35DB">
      <w:pPr>
        <w:pStyle w:val="TOC2"/>
        <w:rPr>
          <w:rFonts w:asciiTheme="minorHAnsi" w:eastAsiaTheme="minorEastAsia" w:hAnsiTheme="minorHAnsi" w:cstheme="minorBidi"/>
          <w:noProof/>
          <w:color w:val="auto"/>
          <w:sz w:val="22"/>
          <w:szCs w:val="22"/>
          <w:lang w:eastAsia="en-AU"/>
        </w:rPr>
      </w:pPr>
      <w:hyperlink w:anchor="_Toc104217702" w:history="1">
        <w:r w:rsidR="00706AF1" w:rsidRPr="002013A8">
          <w:rPr>
            <w:rStyle w:val="Hyperlink"/>
            <w:noProof/>
          </w:rPr>
          <w:t>5.5</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Non-regulatory options</w:t>
        </w:r>
        <w:r w:rsidR="00706AF1">
          <w:rPr>
            <w:noProof/>
            <w:webHidden/>
          </w:rPr>
          <w:tab/>
        </w:r>
        <w:r w:rsidR="00706AF1">
          <w:rPr>
            <w:noProof/>
            <w:webHidden/>
          </w:rPr>
          <w:fldChar w:fldCharType="begin"/>
        </w:r>
        <w:r w:rsidR="00706AF1">
          <w:rPr>
            <w:noProof/>
            <w:webHidden/>
          </w:rPr>
          <w:instrText xml:space="preserve"> PAGEREF _Toc104217702 \h </w:instrText>
        </w:r>
        <w:r w:rsidR="00706AF1">
          <w:rPr>
            <w:noProof/>
            <w:webHidden/>
          </w:rPr>
        </w:r>
        <w:r w:rsidR="00706AF1">
          <w:rPr>
            <w:noProof/>
            <w:webHidden/>
          </w:rPr>
          <w:fldChar w:fldCharType="separate"/>
        </w:r>
        <w:r w:rsidR="000B3BF6">
          <w:rPr>
            <w:noProof/>
            <w:webHidden/>
          </w:rPr>
          <w:t>74</w:t>
        </w:r>
        <w:r w:rsidR="00706AF1">
          <w:rPr>
            <w:noProof/>
            <w:webHidden/>
          </w:rPr>
          <w:fldChar w:fldCharType="end"/>
        </w:r>
      </w:hyperlink>
    </w:p>
    <w:p w14:paraId="667DD939" w14:textId="72507181" w:rsidR="00706AF1" w:rsidRDefault="008F35DB">
      <w:pPr>
        <w:pStyle w:val="TOC1"/>
        <w:tabs>
          <w:tab w:val="left" w:pos="600"/>
        </w:tabs>
        <w:rPr>
          <w:rFonts w:asciiTheme="minorHAnsi" w:eastAsiaTheme="minorEastAsia" w:hAnsiTheme="minorHAnsi" w:cstheme="minorBidi"/>
          <w:noProof/>
          <w:color w:val="auto"/>
          <w:sz w:val="22"/>
          <w:szCs w:val="22"/>
          <w:lang w:eastAsia="en-AU"/>
        </w:rPr>
      </w:pPr>
      <w:hyperlink w:anchor="_Toc104217703" w:history="1">
        <w:r w:rsidR="00706AF1" w:rsidRPr="002013A8">
          <w:rPr>
            <w:rStyle w:val="Hyperlink"/>
            <w:noProof/>
          </w:rPr>
          <w:t>6</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Assessment of Options</w:t>
        </w:r>
        <w:r w:rsidR="00706AF1">
          <w:rPr>
            <w:noProof/>
            <w:webHidden/>
          </w:rPr>
          <w:tab/>
        </w:r>
        <w:r w:rsidR="00706AF1">
          <w:rPr>
            <w:noProof/>
            <w:webHidden/>
          </w:rPr>
          <w:fldChar w:fldCharType="begin"/>
        </w:r>
        <w:r w:rsidR="00706AF1">
          <w:rPr>
            <w:noProof/>
            <w:webHidden/>
          </w:rPr>
          <w:instrText xml:space="preserve"> PAGEREF _Toc104217703 \h </w:instrText>
        </w:r>
        <w:r w:rsidR="00706AF1">
          <w:rPr>
            <w:noProof/>
            <w:webHidden/>
          </w:rPr>
        </w:r>
        <w:r w:rsidR="00706AF1">
          <w:rPr>
            <w:noProof/>
            <w:webHidden/>
          </w:rPr>
          <w:fldChar w:fldCharType="separate"/>
        </w:r>
        <w:r w:rsidR="000B3BF6">
          <w:rPr>
            <w:noProof/>
            <w:webHidden/>
          </w:rPr>
          <w:t>76</w:t>
        </w:r>
        <w:r w:rsidR="00706AF1">
          <w:rPr>
            <w:noProof/>
            <w:webHidden/>
          </w:rPr>
          <w:fldChar w:fldCharType="end"/>
        </w:r>
      </w:hyperlink>
    </w:p>
    <w:p w14:paraId="05033BF3" w14:textId="36A5D07A" w:rsidR="00706AF1" w:rsidRDefault="008F35DB">
      <w:pPr>
        <w:pStyle w:val="TOC2"/>
        <w:rPr>
          <w:rFonts w:asciiTheme="minorHAnsi" w:eastAsiaTheme="minorEastAsia" w:hAnsiTheme="minorHAnsi" w:cstheme="minorBidi"/>
          <w:noProof/>
          <w:color w:val="auto"/>
          <w:sz w:val="22"/>
          <w:szCs w:val="22"/>
          <w:lang w:eastAsia="en-AU"/>
        </w:rPr>
      </w:pPr>
      <w:hyperlink w:anchor="_Toc104217704" w:history="1">
        <w:r w:rsidR="00706AF1" w:rsidRPr="002013A8">
          <w:rPr>
            <w:rStyle w:val="Hyperlink"/>
            <w:noProof/>
          </w:rPr>
          <w:t>6.1</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Assessment method</w:t>
        </w:r>
        <w:r w:rsidR="00706AF1">
          <w:rPr>
            <w:noProof/>
            <w:webHidden/>
          </w:rPr>
          <w:tab/>
        </w:r>
        <w:r w:rsidR="00706AF1">
          <w:rPr>
            <w:noProof/>
            <w:webHidden/>
          </w:rPr>
          <w:fldChar w:fldCharType="begin"/>
        </w:r>
        <w:r w:rsidR="00706AF1">
          <w:rPr>
            <w:noProof/>
            <w:webHidden/>
          </w:rPr>
          <w:instrText xml:space="preserve"> PAGEREF _Toc104217704 \h </w:instrText>
        </w:r>
        <w:r w:rsidR="00706AF1">
          <w:rPr>
            <w:noProof/>
            <w:webHidden/>
          </w:rPr>
        </w:r>
        <w:r w:rsidR="00706AF1">
          <w:rPr>
            <w:noProof/>
            <w:webHidden/>
          </w:rPr>
          <w:fldChar w:fldCharType="separate"/>
        </w:r>
        <w:r w:rsidR="000B3BF6">
          <w:rPr>
            <w:noProof/>
            <w:webHidden/>
          </w:rPr>
          <w:t>76</w:t>
        </w:r>
        <w:r w:rsidR="00706AF1">
          <w:rPr>
            <w:noProof/>
            <w:webHidden/>
          </w:rPr>
          <w:fldChar w:fldCharType="end"/>
        </w:r>
      </w:hyperlink>
    </w:p>
    <w:p w14:paraId="681F7D64" w14:textId="1668497E"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705" w:history="1">
        <w:r w:rsidR="00706AF1" w:rsidRPr="002013A8">
          <w:rPr>
            <w:rStyle w:val="Hyperlink"/>
            <w:noProof/>
          </w:rPr>
          <w:t>6.1.1</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Defining the assessment criteria</w:t>
        </w:r>
        <w:r w:rsidR="00706AF1">
          <w:rPr>
            <w:noProof/>
            <w:webHidden/>
          </w:rPr>
          <w:tab/>
        </w:r>
        <w:r w:rsidR="00706AF1">
          <w:rPr>
            <w:noProof/>
            <w:webHidden/>
          </w:rPr>
          <w:fldChar w:fldCharType="begin"/>
        </w:r>
        <w:r w:rsidR="00706AF1">
          <w:rPr>
            <w:noProof/>
            <w:webHidden/>
          </w:rPr>
          <w:instrText xml:space="preserve"> PAGEREF _Toc104217705 \h </w:instrText>
        </w:r>
        <w:r w:rsidR="00706AF1">
          <w:rPr>
            <w:noProof/>
            <w:webHidden/>
          </w:rPr>
        </w:r>
        <w:r w:rsidR="00706AF1">
          <w:rPr>
            <w:noProof/>
            <w:webHidden/>
          </w:rPr>
          <w:fldChar w:fldCharType="separate"/>
        </w:r>
        <w:r w:rsidR="000B3BF6">
          <w:rPr>
            <w:noProof/>
            <w:webHidden/>
          </w:rPr>
          <w:t>76</w:t>
        </w:r>
        <w:r w:rsidR="00706AF1">
          <w:rPr>
            <w:noProof/>
            <w:webHidden/>
          </w:rPr>
          <w:fldChar w:fldCharType="end"/>
        </w:r>
      </w:hyperlink>
    </w:p>
    <w:p w14:paraId="1B1A544D" w14:textId="34C12069" w:rsidR="00706AF1" w:rsidRDefault="008F35DB">
      <w:pPr>
        <w:pStyle w:val="TOC2"/>
        <w:rPr>
          <w:rFonts w:asciiTheme="minorHAnsi" w:eastAsiaTheme="minorEastAsia" w:hAnsiTheme="minorHAnsi" w:cstheme="minorBidi"/>
          <w:noProof/>
          <w:color w:val="auto"/>
          <w:sz w:val="22"/>
          <w:szCs w:val="22"/>
          <w:lang w:eastAsia="en-AU"/>
        </w:rPr>
      </w:pPr>
      <w:hyperlink w:anchor="_Toc104217706" w:history="1">
        <w:r w:rsidR="00706AF1" w:rsidRPr="002013A8">
          <w:rPr>
            <w:rStyle w:val="Hyperlink"/>
            <w:noProof/>
          </w:rPr>
          <w:t>6.2</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Scoring</w:t>
        </w:r>
        <w:r w:rsidR="00706AF1">
          <w:rPr>
            <w:noProof/>
            <w:webHidden/>
          </w:rPr>
          <w:tab/>
        </w:r>
        <w:r w:rsidR="00706AF1">
          <w:rPr>
            <w:noProof/>
            <w:webHidden/>
          </w:rPr>
          <w:fldChar w:fldCharType="begin"/>
        </w:r>
        <w:r w:rsidR="00706AF1">
          <w:rPr>
            <w:noProof/>
            <w:webHidden/>
          </w:rPr>
          <w:instrText xml:space="preserve"> PAGEREF _Toc104217706 \h </w:instrText>
        </w:r>
        <w:r w:rsidR="00706AF1">
          <w:rPr>
            <w:noProof/>
            <w:webHidden/>
          </w:rPr>
        </w:r>
        <w:r w:rsidR="00706AF1">
          <w:rPr>
            <w:noProof/>
            <w:webHidden/>
          </w:rPr>
          <w:fldChar w:fldCharType="separate"/>
        </w:r>
        <w:r w:rsidR="000B3BF6">
          <w:rPr>
            <w:noProof/>
            <w:webHidden/>
          </w:rPr>
          <w:t>78</w:t>
        </w:r>
        <w:r w:rsidR="00706AF1">
          <w:rPr>
            <w:noProof/>
            <w:webHidden/>
          </w:rPr>
          <w:fldChar w:fldCharType="end"/>
        </w:r>
      </w:hyperlink>
    </w:p>
    <w:p w14:paraId="5C20C1D2" w14:textId="12C3F86C"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707" w:history="1">
        <w:r w:rsidR="00706AF1" w:rsidRPr="002013A8">
          <w:rPr>
            <w:rStyle w:val="Hyperlink"/>
            <w:noProof/>
          </w:rPr>
          <w:t>6.2.1</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Assigning scores for each option</w:t>
        </w:r>
        <w:r w:rsidR="00706AF1">
          <w:rPr>
            <w:noProof/>
            <w:webHidden/>
          </w:rPr>
          <w:tab/>
        </w:r>
        <w:r w:rsidR="00706AF1">
          <w:rPr>
            <w:noProof/>
            <w:webHidden/>
          </w:rPr>
          <w:fldChar w:fldCharType="begin"/>
        </w:r>
        <w:r w:rsidR="00706AF1">
          <w:rPr>
            <w:noProof/>
            <w:webHidden/>
          </w:rPr>
          <w:instrText xml:space="preserve"> PAGEREF _Toc104217707 \h </w:instrText>
        </w:r>
        <w:r w:rsidR="00706AF1">
          <w:rPr>
            <w:noProof/>
            <w:webHidden/>
          </w:rPr>
        </w:r>
        <w:r w:rsidR="00706AF1">
          <w:rPr>
            <w:noProof/>
            <w:webHidden/>
          </w:rPr>
          <w:fldChar w:fldCharType="separate"/>
        </w:r>
        <w:r w:rsidR="000B3BF6">
          <w:rPr>
            <w:noProof/>
            <w:webHidden/>
          </w:rPr>
          <w:t>78</w:t>
        </w:r>
        <w:r w:rsidR="00706AF1">
          <w:rPr>
            <w:noProof/>
            <w:webHidden/>
          </w:rPr>
          <w:fldChar w:fldCharType="end"/>
        </w:r>
      </w:hyperlink>
    </w:p>
    <w:p w14:paraId="6FB889CD" w14:textId="2F19B5F2"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708" w:history="1">
        <w:r w:rsidR="00706AF1" w:rsidRPr="002013A8">
          <w:rPr>
            <w:rStyle w:val="Hyperlink"/>
            <w:noProof/>
            <w14:scene3d>
              <w14:camera w14:prst="orthographicFront"/>
              <w14:lightRig w14:rig="threePt" w14:dir="t">
                <w14:rot w14:lat="0" w14:lon="0" w14:rev="0"/>
              </w14:lightRig>
            </w14:scene3d>
          </w:rPr>
          <w:t>2.1.1.</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Assigning a weighting to each criterion</w:t>
        </w:r>
        <w:r w:rsidR="00706AF1">
          <w:rPr>
            <w:noProof/>
            <w:webHidden/>
          </w:rPr>
          <w:tab/>
        </w:r>
        <w:r w:rsidR="00706AF1">
          <w:rPr>
            <w:noProof/>
            <w:webHidden/>
          </w:rPr>
          <w:fldChar w:fldCharType="begin"/>
        </w:r>
        <w:r w:rsidR="00706AF1">
          <w:rPr>
            <w:noProof/>
            <w:webHidden/>
          </w:rPr>
          <w:instrText xml:space="preserve"> PAGEREF _Toc104217708 \h </w:instrText>
        </w:r>
        <w:r w:rsidR="00706AF1">
          <w:rPr>
            <w:noProof/>
            <w:webHidden/>
          </w:rPr>
        </w:r>
        <w:r w:rsidR="00706AF1">
          <w:rPr>
            <w:noProof/>
            <w:webHidden/>
          </w:rPr>
          <w:fldChar w:fldCharType="separate"/>
        </w:r>
        <w:r w:rsidR="000B3BF6">
          <w:rPr>
            <w:noProof/>
            <w:webHidden/>
          </w:rPr>
          <w:t>79</w:t>
        </w:r>
        <w:r w:rsidR="00706AF1">
          <w:rPr>
            <w:noProof/>
            <w:webHidden/>
          </w:rPr>
          <w:fldChar w:fldCharType="end"/>
        </w:r>
      </w:hyperlink>
    </w:p>
    <w:p w14:paraId="158B689F" w14:textId="479DF519"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709" w:history="1">
        <w:r w:rsidR="00706AF1" w:rsidRPr="002013A8">
          <w:rPr>
            <w:rStyle w:val="Hyperlink"/>
            <w:noProof/>
          </w:rPr>
          <w:t>6.2.2</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Summary of scores for each of the assessment sections</w:t>
        </w:r>
        <w:r w:rsidR="00706AF1">
          <w:rPr>
            <w:noProof/>
            <w:webHidden/>
          </w:rPr>
          <w:tab/>
        </w:r>
        <w:r w:rsidR="00706AF1">
          <w:rPr>
            <w:noProof/>
            <w:webHidden/>
          </w:rPr>
          <w:fldChar w:fldCharType="begin"/>
        </w:r>
        <w:r w:rsidR="00706AF1">
          <w:rPr>
            <w:noProof/>
            <w:webHidden/>
          </w:rPr>
          <w:instrText xml:space="preserve"> PAGEREF _Toc104217709 \h </w:instrText>
        </w:r>
        <w:r w:rsidR="00706AF1">
          <w:rPr>
            <w:noProof/>
            <w:webHidden/>
          </w:rPr>
        </w:r>
        <w:r w:rsidR="00706AF1">
          <w:rPr>
            <w:noProof/>
            <w:webHidden/>
          </w:rPr>
          <w:fldChar w:fldCharType="separate"/>
        </w:r>
        <w:r w:rsidR="000B3BF6">
          <w:rPr>
            <w:noProof/>
            <w:webHidden/>
          </w:rPr>
          <w:t>80</w:t>
        </w:r>
        <w:r w:rsidR="00706AF1">
          <w:rPr>
            <w:noProof/>
            <w:webHidden/>
          </w:rPr>
          <w:fldChar w:fldCharType="end"/>
        </w:r>
      </w:hyperlink>
    </w:p>
    <w:p w14:paraId="20396C03" w14:textId="0AD322BB" w:rsidR="00706AF1" w:rsidRDefault="008F35DB">
      <w:pPr>
        <w:pStyle w:val="TOC2"/>
        <w:rPr>
          <w:rFonts w:asciiTheme="minorHAnsi" w:eastAsiaTheme="minorEastAsia" w:hAnsiTheme="minorHAnsi" w:cstheme="minorBidi"/>
          <w:noProof/>
          <w:color w:val="auto"/>
          <w:sz w:val="22"/>
          <w:szCs w:val="22"/>
          <w:lang w:eastAsia="en-AU"/>
        </w:rPr>
      </w:pPr>
      <w:hyperlink w:anchor="_Toc104217710" w:history="1">
        <w:r w:rsidR="00706AF1" w:rsidRPr="002013A8">
          <w:rPr>
            <w:rStyle w:val="Hyperlink"/>
            <w:noProof/>
          </w:rPr>
          <w:t>6.3</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Analysis of options for DMRPs</w:t>
        </w:r>
        <w:r w:rsidR="00706AF1">
          <w:rPr>
            <w:noProof/>
            <w:webHidden/>
          </w:rPr>
          <w:tab/>
        </w:r>
        <w:r w:rsidR="00706AF1">
          <w:rPr>
            <w:noProof/>
            <w:webHidden/>
          </w:rPr>
          <w:fldChar w:fldCharType="begin"/>
        </w:r>
        <w:r w:rsidR="00706AF1">
          <w:rPr>
            <w:noProof/>
            <w:webHidden/>
          </w:rPr>
          <w:instrText xml:space="preserve"> PAGEREF _Toc104217710 \h </w:instrText>
        </w:r>
        <w:r w:rsidR="00706AF1">
          <w:rPr>
            <w:noProof/>
            <w:webHidden/>
          </w:rPr>
        </w:r>
        <w:r w:rsidR="00706AF1">
          <w:rPr>
            <w:noProof/>
            <w:webHidden/>
          </w:rPr>
          <w:fldChar w:fldCharType="separate"/>
        </w:r>
        <w:r w:rsidR="000B3BF6">
          <w:rPr>
            <w:noProof/>
            <w:webHidden/>
          </w:rPr>
          <w:t>82</w:t>
        </w:r>
        <w:r w:rsidR="00706AF1">
          <w:rPr>
            <w:noProof/>
            <w:webHidden/>
          </w:rPr>
          <w:fldChar w:fldCharType="end"/>
        </w:r>
      </w:hyperlink>
    </w:p>
    <w:p w14:paraId="55F1772B" w14:textId="3FE4AFD9"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711" w:history="1">
        <w:r w:rsidR="00706AF1" w:rsidRPr="002013A8">
          <w:rPr>
            <w:rStyle w:val="Hyperlink"/>
            <w:noProof/>
          </w:rPr>
          <w:t>6.3.1</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Benefits</w:t>
        </w:r>
        <w:r w:rsidR="00706AF1">
          <w:rPr>
            <w:noProof/>
            <w:webHidden/>
          </w:rPr>
          <w:tab/>
        </w:r>
        <w:r w:rsidR="00706AF1">
          <w:rPr>
            <w:noProof/>
            <w:webHidden/>
          </w:rPr>
          <w:fldChar w:fldCharType="begin"/>
        </w:r>
        <w:r w:rsidR="00706AF1">
          <w:rPr>
            <w:noProof/>
            <w:webHidden/>
          </w:rPr>
          <w:instrText xml:space="preserve"> PAGEREF _Toc104217711 \h </w:instrText>
        </w:r>
        <w:r w:rsidR="00706AF1">
          <w:rPr>
            <w:noProof/>
            <w:webHidden/>
          </w:rPr>
        </w:r>
        <w:r w:rsidR="00706AF1">
          <w:rPr>
            <w:noProof/>
            <w:webHidden/>
          </w:rPr>
          <w:fldChar w:fldCharType="separate"/>
        </w:r>
        <w:r w:rsidR="000B3BF6">
          <w:rPr>
            <w:noProof/>
            <w:webHidden/>
          </w:rPr>
          <w:t>84</w:t>
        </w:r>
        <w:r w:rsidR="00706AF1">
          <w:rPr>
            <w:noProof/>
            <w:webHidden/>
          </w:rPr>
          <w:fldChar w:fldCharType="end"/>
        </w:r>
      </w:hyperlink>
    </w:p>
    <w:p w14:paraId="2B75A2C9" w14:textId="441D2A46"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712" w:history="1">
        <w:r w:rsidR="00706AF1" w:rsidRPr="002013A8">
          <w:rPr>
            <w:rStyle w:val="Hyperlink"/>
            <w:noProof/>
          </w:rPr>
          <w:t>6.3.2</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Cost to industry</w:t>
        </w:r>
        <w:r w:rsidR="00706AF1">
          <w:rPr>
            <w:noProof/>
            <w:webHidden/>
          </w:rPr>
          <w:tab/>
        </w:r>
        <w:r w:rsidR="00706AF1">
          <w:rPr>
            <w:noProof/>
            <w:webHidden/>
          </w:rPr>
          <w:fldChar w:fldCharType="begin"/>
        </w:r>
        <w:r w:rsidR="00706AF1">
          <w:rPr>
            <w:noProof/>
            <w:webHidden/>
          </w:rPr>
          <w:instrText xml:space="preserve"> PAGEREF _Toc104217712 \h </w:instrText>
        </w:r>
        <w:r w:rsidR="00706AF1">
          <w:rPr>
            <w:noProof/>
            <w:webHidden/>
          </w:rPr>
        </w:r>
        <w:r w:rsidR="00706AF1">
          <w:rPr>
            <w:noProof/>
            <w:webHidden/>
          </w:rPr>
          <w:fldChar w:fldCharType="separate"/>
        </w:r>
        <w:r w:rsidR="000B3BF6">
          <w:rPr>
            <w:noProof/>
            <w:webHidden/>
          </w:rPr>
          <w:t>90</w:t>
        </w:r>
        <w:r w:rsidR="00706AF1">
          <w:rPr>
            <w:noProof/>
            <w:webHidden/>
          </w:rPr>
          <w:fldChar w:fldCharType="end"/>
        </w:r>
      </w:hyperlink>
    </w:p>
    <w:p w14:paraId="5AF2BDA7" w14:textId="415869C4"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713" w:history="1">
        <w:r w:rsidR="00706AF1" w:rsidRPr="002013A8">
          <w:rPr>
            <w:rStyle w:val="Hyperlink"/>
            <w:noProof/>
          </w:rPr>
          <w:t>6.3.3</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Cost to government</w:t>
        </w:r>
        <w:r w:rsidR="00706AF1">
          <w:rPr>
            <w:noProof/>
            <w:webHidden/>
          </w:rPr>
          <w:tab/>
        </w:r>
        <w:r w:rsidR="00706AF1">
          <w:rPr>
            <w:noProof/>
            <w:webHidden/>
          </w:rPr>
          <w:fldChar w:fldCharType="begin"/>
        </w:r>
        <w:r w:rsidR="00706AF1">
          <w:rPr>
            <w:noProof/>
            <w:webHidden/>
          </w:rPr>
          <w:instrText xml:space="preserve"> PAGEREF _Toc104217713 \h </w:instrText>
        </w:r>
        <w:r w:rsidR="00706AF1">
          <w:rPr>
            <w:noProof/>
            <w:webHidden/>
          </w:rPr>
        </w:r>
        <w:r w:rsidR="00706AF1">
          <w:rPr>
            <w:noProof/>
            <w:webHidden/>
          </w:rPr>
          <w:fldChar w:fldCharType="separate"/>
        </w:r>
        <w:r w:rsidR="000B3BF6">
          <w:rPr>
            <w:noProof/>
            <w:webHidden/>
          </w:rPr>
          <w:t>95</w:t>
        </w:r>
        <w:r w:rsidR="00706AF1">
          <w:rPr>
            <w:noProof/>
            <w:webHidden/>
          </w:rPr>
          <w:fldChar w:fldCharType="end"/>
        </w:r>
      </w:hyperlink>
    </w:p>
    <w:p w14:paraId="2D629832" w14:textId="28AAFF18" w:rsidR="00706AF1" w:rsidRDefault="008F35DB">
      <w:pPr>
        <w:pStyle w:val="TOC2"/>
        <w:rPr>
          <w:rFonts w:asciiTheme="minorHAnsi" w:eastAsiaTheme="minorEastAsia" w:hAnsiTheme="minorHAnsi" w:cstheme="minorBidi"/>
          <w:noProof/>
          <w:color w:val="auto"/>
          <w:sz w:val="22"/>
          <w:szCs w:val="22"/>
          <w:lang w:eastAsia="en-AU"/>
        </w:rPr>
      </w:pPr>
      <w:hyperlink w:anchor="_Toc104217714" w:history="1">
        <w:r w:rsidR="00706AF1" w:rsidRPr="002013A8">
          <w:rPr>
            <w:rStyle w:val="Hyperlink"/>
            <w:noProof/>
          </w:rPr>
          <w:t>6.4</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Analysis of options for mine closure determinations</w:t>
        </w:r>
        <w:r w:rsidR="00706AF1">
          <w:rPr>
            <w:noProof/>
            <w:webHidden/>
          </w:rPr>
          <w:tab/>
        </w:r>
        <w:r w:rsidR="00706AF1">
          <w:rPr>
            <w:noProof/>
            <w:webHidden/>
          </w:rPr>
          <w:fldChar w:fldCharType="begin"/>
        </w:r>
        <w:r w:rsidR="00706AF1">
          <w:rPr>
            <w:noProof/>
            <w:webHidden/>
          </w:rPr>
          <w:instrText xml:space="preserve"> PAGEREF _Toc104217714 \h </w:instrText>
        </w:r>
        <w:r w:rsidR="00706AF1">
          <w:rPr>
            <w:noProof/>
            <w:webHidden/>
          </w:rPr>
        </w:r>
        <w:r w:rsidR="00706AF1">
          <w:rPr>
            <w:noProof/>
            <w:webHidden/>
          </w:rPr>
          <w:fldChar w:fldCharType="separate"/>
        </w:r>
        <w:r w:rsidR="000B3BF6">
          <w:rPr>
            <w:noProof/>
            <w:webHidden/>
          </w:rPr>
          <w:t>97</w:t>
        </w:r>
        <w:r w:rsidR="00706AF1">
          <w:rPr>
            <w:noProof/>
            <w:webHidden/>
          </w:rPr>
          <w:fldChar w:fldCharType="end"/>
        </w:r>
      </w:hyperlink>
    </w:p>
    <w:p w14:paraId="3A75788D" w14:textId="49CA1774"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715" w:history="1">
        <w:r w:rsidR="00706AF1" w:rsidRPr="002013A8">
          <w:rPr>
            <w:rStyle w:val="Hyperlink"/>
            <w:noProof/>
          </w:rPr>
          <w:t>6.4.1</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Benefits</w:t>
        </w:r>
        <w:r w:rsidR="00706AF1">
          <w:rPr>
            <w:noProof/>
            <w:webHidden/>
          </w:rPr>
          <w:tab/>
        </w:r>
        <w:r w:rsidR="00706AF1">
          <w:rPr>
            <w:noProof/>
            <w:webHidden/>
          </w:rPr>
          <w:fldChar w:fldCharType="begin"/>
        </w:r>
        <w:r w:rsidR="00706AF1">
          <w:rPr>
            <w:noProof/>
            <w:webHidden/>
          </w:rPr>
          <w:instrText xml:space="preserve"> PAGEREF _Toc104217715 \h </w:instrText>
        </w:r>
        <w:r w:rsidR="00706AF1">
          <w:rPr>
            <w:noProof/>
            <w:webHidden/>
          </w:rPr>
        </w:r>
        <w:r w:rsidR="00706AF1">
          <w:rPr>
            <w:noProof/>
            <w:webHidden/>
          </w:rPr>
          <w:fldChar w:fldCharType="separate"/>
        </w:r>
        <w:r w:rsidR="000B3BF6">
          <w:rPr>
            <w:noProof/>
            <w:webHidden/>
          </w:rPr>
          <w:t>98</w:t>
        </w:r>
        <w:r w:rsidR="00706AF1">
          <w:rPr>
            <w:noProof/>
            <w:webHidden/>
          </w:rPr>
          <w:fldChar w:fldCharType="end"/>
        </w:r>
      </w:hyperlink>
    </w:p>
    <w:p w14:paraId="479E9084" w14:textId="40AA896C"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716" w:history="1">
        <w:r w:rsidR="00706AF1" w:rsidRPr="002013A8">
          <w:rPr>
            <w:rStyle w:val="Hyperlink"/>
            <w:noProof/>
          </w:rPr>
          <w:t>6.4.2</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Cost to industry</w:t>
        </w:r>
        <w:r w:rsidR="00706AF1">
          <w:rPr>
            <w:noProof/>
            <w:webHidden/>
          </w:rPr>
          <w:tab/>
        </w:r>
        <w:r w:rsidR="00706AF1">
          <w:rPr>
            <w:noProof/>
            <w:webHidden/>
          </w:rPr>
          <w:fldChar w:fldCharType="begin"/>
        </w:r>
        <w:r w:rsidR="00706AF1">
          <w:rPr>
            <w:noProof/>
            <w:webHidden/>
          </w:rPr>
          <w:instrText xml:space="preserve"> PAGEREF _Toc104217716 \h </w:instrText>
        </w:r>
        <w:r w:rsidR="00706AF1">
          <w:rPr>
            <w:noProof/>
            <w:webHidden/>
          </w:rPr>
        </w:r>
        <w:r w:rsidR="00706AF1">
          <w:rPr>
            <w:noProof/>
            <w:webHidden/>
          </w:rPr>
          <w:fldChar w:fldCharType="separate"/>
        </w:r>
        <w:r w:rsidR="000B3BF6">
          <w:rPr>
            <w:noProof/>
            <w:webHidden/>
          </w:rPr>
          <w:t>99</w:t>
        </w:r>
        <w:r w:rsidR="00706AF1">
          <w:rPr>
            <w:noProof/>
            <w:webHidden/>
          </w:rPr>
          <w:fldChar w:fldCharType="end"/>
        </w:r>
      </w:hyperlink>
    </w:p>
    <w:p w14:paraId="291AE2E2" w14:textId="256D1E10"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717" w:history="1">
        <w:r w:rsidR="00706AF1" w:rsidRPr="002013A8">
          <w:rPr>
            <w:rStyle w:val="Hyperlink"/>
            <w:noProof/>
          </w:rPr>
          <w:t>6.4.3</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Cost to government</w:t>
        </w:r>
        <w:r w:rsidR="00706AF1">
          <w:rPr>
            <w:noProof/>
            <w:webHidden/>
          </w:rPr>
          <w:tab/>
        </w:r>
        <w:r w:rsidR="00706AF1">
          <w:rPr>
            <w:noProof/>
            <w:webHidden/>
          </w:rPr>
          <w:fldChar w:fldCharType="begin"/>
        </w:r>
        <w:r w:rsidR="00706AF1">
          <w:rPr>
            <w:noProof/>
            <w:webHidden/>
          </w:rPr>
          <w:instrText xml:space="preserve"> PAGEREF _Toc104217717 \h </w:instrText>
        </w:r>
        <w:r w:rsidR="00706AF1">
          <w:rPr>
            <w:noProof/>
            <w:webHidden/>
          </w:rPr>
        </w:r>
        <w:r w:rsidR="00706AF1">
          <w:rPr>
            <w:noProof/>
            <w:webHidden/>
          </w:rPr>
          <w:fldChar w:fldCharType="separate"/>
        </w:r>
        <w:r w:rsidR="000B3BF6">
          <w:rPr>
            <w:noProof/>
            <w:webHidden/>
          </w:rPr>
          <w:t>100</w:t>
        </w:r>
        <w:r w:rsidR="00706AF1">
          <w:rPr>
            <w:noProof/>
            <w:webHidden/>
          </w:rPr>
          <w:fldChar w:fldCharType="end"/>
        </w:r>
      </w:hyperlink>
    </w:p>
    <w:p w14:paraId="077EC428" w14:textId="03DFABBF" w:rsidR="00706AF1" w:rsidRDefault="008F35DB">
      <w:pPr>
        <w:pStyle w:val="TOC2"/>
        <w:rPr>
          <w:rFonts w:asciiTheme="minorHAnsi" w:eastAsiaTheme="minorEastAsia" w:hAnsiTheme="minorHAnsi" w:cstheme="minorBidi"/>
          <w:noProof/>
          <w:color w:val="auto"/>
          <w:sz w:val="22"/>
          <w:szCs w:val="22"/>
          <w:lang w:eastAsia="en-AU"/>
        </w:rPr>
      </w:pPr>
      <w:hyperlink w:anchor="_Toc104217718" w:history="1">
        <w:r w:rsidR="00706AF1" w:rsidRPr="002013A8">
          <w:rPr>
            <w:rStyle w:val="Hyperlink"/>
            <w:noProof/>
          </w:rPr>
          <w:t>6.5</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Analysis of options for mine land registration</w:t>
        </w:r>
        <w:r w:rsidR="00706AF1">
          <w:rPr>
            <w:noProof/>
            <w:webHidden/>
          </w:rPr>
          <w:tab/>
        </w:r>
        <w:r w:rsidR="00706AF1">
          <w:rPr>
            <w:noProof/>
            <w:webHidden/>
          </w:rPr>
          <w:fldChar w:fldCharType="begin"/>
        </w:r>
        <w:r w:rsidR="00706AF1">
          <w:rPr>
            <w:noProof/>
            <w:webHidden/>
          </w:rPr>
          <w:instrText xml:space="preserve"> PAGEREF _Toc104217718 \h </w:instrText>
        </w:r>
        <w:r w:rsidR="00706AF1">
          <w:rPr>
            <w:noProof/>
            <w:webHidden/>
          </w:rPr>
        </w:r>
        <w:r w:rsidR="00706AF1">
          <w:rPr>
            <w:noProof/>
            <w:webHidden/>
          </w:rPr>
          <w:fldChar w:fldCharType="separate"/>
        </w:r>
        <w:r w:rsidR="000B3BF6">
          <w:rPr>
            <w:noProof/>
            <w:webHidden/>
          </w:rPr>
          <w:t>102</w:t>
        </w:r>
        <w:r w:rsidR="00706AF1">
          <w:rPr>
            <w:noProof/>
            <w:webHidden/>
          </w:rPr>
          <w:fldChar w:fldCharType="end"/>
        </w:r>
      </w:hyperlink>
    </w:p>
    <w:p w14:paraId="2537F405" w14:textId="59B519ED"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719" w:history="1">
        <w:r w:rsidR="00706AF1" w:rsidRPr="002013A8">
          <w:rPr>
            <w:rStyle w:val="Hyperlink"/>
            <w:noProof/>
          </w:rPr>
          <w:t>6.5.1</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Benefits</w:t>
        </w:r>
        <w:r w:rsidR="00706AF1">
          <w:rPr>
            <w:noProof/>
            <w:webHidden/>
          </w:rPr>
          <w:tab/>
        </w:r>
        <w:r w:rsidR="00706AF1">
          <w:rPr>
            <w:noProof/>
            <w:webHidden/>
          </w:rPr>
          <w:fldChar w:fldCharType="begin"/>
        </w:r>
        <w:r w:rsidR="00706AF1">
          <w:rPr>
            <w:noProof/>
            <w:webHidden/>
          </w:rPr>
          <w:instrText xml:space="preserve"> PAGEREF _Toc104217719 \h </w:instrText>
        </w:r>
        <w:r w:rsidR="00706AF1">
          <w:rPr>
            <w:noProof/>
            <w:webHidden/>
          </w:rPr>
        </w:r>
        <w:r w:rsidR="00706AF1">
          <w:rPr>
            <w:noProof/>
            <w:webHidden/>
          </w:rPr>
          <w:fldChar w:fldCharType="separate"/>
        </w:r>
        <w:r w:rsidR="000B3BF6">
          <w:rPr>
            <w:noProof/>
            <w:webHidden/>
          </w:rPr>
          <w:t>102</w:t>
        </w:r>
        <w:r w:rsidR="00706AF1">
          <w:rPr>
            <w:noProof/>
            <w:webHidden/>
          </w:rPr>
          <w:fldChar w:fldCharType="end"/>
        </w:r>
      </w:hyperlink>
    </w:p>
    <w:p w14:paraId="6E993436" w14:textId="7380EF7E"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720" w:history="1">
        <w:r w:rsidR="00706AF1" w:rsidRPr="002013A8">
          <w:rPr>
            <w:rStyle w:val="Hyperlink"/>
            <w:noProof/>
          </w:rPr>
          <w:t>6.5.2</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Cost to industry</w:t>
        </w:r>
        <w:r w:rsidR="00706AF1">
          <w:rPr>
            <w:noProof/>
            <w:webHidden/>
          </w:rPr>
          <w:tab/>
        </w:r>
        <w:r w:rsidR="00706AF1">
          <w:rPr>
            <w:noProof/>
            <w:webHidden/>
          </w:rPr>
          <w:fldChar w:fldCharType="begin"/>
        </w:r>
        <w:r w:rsidR="00706AF1">
          <w:rPr>
            <w:noProof/>
            <w:webHidden/>
          </w:rPr>
          <w:instrText xml:space="preserve"> PAGEREF _Toc104217720 \h </w:instrText>
        </w:r>
        <w:r w:rsidR="00706AF1">
          <w:rPr>
            <w:noProof/>
            <w:webHidden/>
          </w:rPr>
        </w:r>
        <w:r w:rsidR="00706AF1">
          <w:rPr>
            <w:noProof/>
            <w:webHidden/>
          </w:rPr>
          <w:fldChar w:fldCharType="separate"/>
        </w:r>
        <w:r w:rsidR="000B3BF6">
          <w:rPr>
            <w:noProof/>
            <w:webHidden/>
          </w:rPr>
          <w:t>104</w:t>
        </w:r>
        <w:r w:rsidR="00706AF1">
          <w:rPr>
            <w:noProof/>
            <w:webHidden/>
          </w:rPr>
          <w:fldChar w:fldCharType="end"/>
        </w:r>
      </w:hyperlink>
    </w:p>
    <w:p w14:paraId="0674F801" w14:textId="63FB1FA2"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721" w:history="1">
        <w:r w:rsidR="00706AF1" w:rsidRPr="002013A8">
          <w:rPr>
            <w:rStyle w:val="Hyperlink"/>
            <w:noProof/>
          </w:rPr>
          <w:t>6.5.3</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Cost to government</w:t>
        </w:r>
        <w:r w:rsidR="00706AF1">
          <w:rPr>
            <w:noProof/>
            <w:webHidden/>
          </w:rPr>
          <w:tab/>
        </w:r>
        <w:r w:rsidR="00706AF1">
          <w:rPr>
            <w:noProof/>
            <w:webHidden/>
          </w:rPr>
          <w:fldChar w:fldCharType="begin"/>
        </w:r>
        <w:r w:rsidR="00706AF1">
          <w:rPr>
            <w:noProof/>
            <w:webHidden/>
          </w:rPr>
          <w:instrText xml:space="preserve"> PAGEREF _Toc104217721 \h </w:instrText>
        </w:r>
        <w:r w:rsidR="00706AF1">
          <w:rPr>
            <w:noProof/>
            <w:webHidden/>
          </w:rPr>
        </w:r>
        <w:r w:rsidR="00706AF1">
          <w:rPr>
            <w:noProof/>
            <w:webHidden/>
          </w:rPr>
          <w:fldChar w:fldCharType="separate"/>
        </w:r>
        <w:r w:rsidR="000B3BF6">
          <w:rPr>
            <w:noProof/>
            <w:webHidden/>
          </w:rPr>
          <w:t>105</w:t>
        </w:r>
        <w:r w:rsidR="00706AF1">
          <w:rPr>
            <w:noProof/>
            <w:webHidden/>
          </w:rPr>
          <w:fldChar w:fldCharType="end"/>
        </w:r>
      </w:hyperlink>
    </w:p>
    <w:p w14:paraId="505ADF8E" w14:textId="03E7D2A7" w:rsidR="00706AF1" w:rsidRDefault="008F35DB">
      <w:pPr>
        <w:pStyle w:val="TOC2"/>
        <w:rPr>
          <w:rFonts w:asciiTheme="minorHAnsi" w:eastAsiaTheme="minorEastAsia" w:hAnsiTheme="minorHAnsi" w:cstheme="minorBidi"/>
          <w:noProof/>
          <w:color w:val="auto"/>
          <w:sz w:val="22"/>
          <w:szCs w:val="22"/>
          <w:lang w:eastAsia="en-AU"/>
        </w:rPr>
      </w:pPr>
      <w:hyperlink w:anchor="_Toc104217722" w:history="1">
        <w:r w:rsidR="00706AF1" w:rsidRPr="002013A8">
          <w:rPr>
            <w:rStyle w:val="Hyperlink"/>
            <w:noProof/>
          </w:rPr>
          <w:t>6.6</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Data sources and limitations</w:t>
        </w:r>
        <w:r w:rsidR="00706AF1">
          <w:rPr>
            <w:noProof/>
            <w:webHidden/>
          </w:rPr>
          <w:tab/>
        </w:r>
        <w:r w:rsidR="00706AF1">
          <w:rPr>
            <w:noProof/>
            <w:webHidden/>
          </w:rPr>
          <w:fldChar w:fldCharType="begin"/>
        </w:r>
        <w:r w:rsidR="00706AF1">
          <w:rPr>
            <w:noProof/>
            <w:webHidden/>
          </w:rPr>
          <w:instrText xml:space="preserve"> PAGEREF _Toc104217722 \h </w:instrText>
        </w:r>
        <w:r w:rsidR="00706AF1">
          <w:rPr>
            <w:noProof/>
            <w:webHidden/>
          </w:rPr>
        </w:r>
        <w:r w:rsidR="00706AF1">
          <w:rPr>
            <w:noProof/>
            <w:webHidden/>
          </w:rPr>
          <w:fldChar w:fldCharType="separate"/>
        </w:r>
        <w:r w:rsidR="000B3BF6">
          <w:rPr>
            <w:noProof/>
            <w:webHidden/>
          </w:rPr>
          <w:t>106</w:t>
        </w:r>
        <w:r w:rsidR="00706AF1">
          <w:rPr>
            <w:noProof/>
            <w:webHidden/>
          </w:rPr>
          <w:fldChar w:fldCharType="end"/>
        </w:r>
      </w:hyperlink>
    </w:p>
    <w:p w14:paraId="493F3655" w14:textId="791A1276"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723" w:history="1">
        <w:r w:rsidR="00706AF1" w:rsidRPr="002013A8">
          <w:rPr>
            <w:rStyle w:val="Hyperlink"/>
            <w:noProof/>
          </w:rPr>
          <w:t>6.6.1</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Information about the costs of mining rehabilitation</w:t>
        </w:r>
        <w:r w:rsidR="00706AF1">
          <w:rPr>
            <w:noProof/>
            <w:webHidden/>
          </w:rPr>
          <w:tab/>
        </w:r>
        <w:r w:rsidR="00706AF1">
          <w:rPr>
            <w:noProof/>
            <w:webHidden/>
          </w:rPr>
          <w:fldChar w:fldCharType="begin"/>
        </w:r>
        <w:r w:rsidR="00706AF1">
          <w:rPr>
            <w:noProof/>
            <w:webHidden/>
          </w:rPr>
          <w:instrText xml:space="preserve"> PAGEREF _Toc104217723 \h </w:instrText>
        </w:r>
        <w:r w:rsidR="00706AF1">
          <w:rPr>
            <w:noProof/>
            <w:webHidden/>
          </w:rPr>
        </w:r>
        <w:r w:rsidR="00706AF1">
          <w:rPr>
            <w:noProof/>
            <w:webHidden/>
          </w:rPr>
          <w:fldChar w:fldCharType="separate"/>
        </w:r>
        <w:r w:rsidR="000B3BF6">
          <w:rPr>
            <w:noProof/>
            <w:webHidden/>
          </w:rPr>
          <w:t>106</w:t>
        </w:r>
        <w:r w:rsidR="00706AF1">
          <w:rPr>
            <w:noProof/>
            <w:webHidden/>
          </w:rPr>
          <w:fldChar w:fldCharType="end"/>
        </w:r>
      </w:hyperlink>
    </w:p>
    <w:p w14:paraId="19143C5D" w14:textId="433F5853" w:rsidR="00706AF1" w:rsidRDefault="008F35DB">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104217724" w:history="1">
        <w:r w:rsidR="00706AF1" w:rsidRPr="002013A8">
          <w:rPr>
            <w:rStyle w:val="Hyperlink"/>
            <w:noProof/>
          </w:rPr>
          <w:t>6.6.2</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Consultation with declared mine operators</w:t>
        </w:r>
        <w:r w:rsidR="00706AF1">
          <w:rPr>
            <w:noProof/>
            <w:webHidden/>
          </w:rPr>
          <w:tab/>
        </w:r>
        <w:r w:rsidR="00706AF1">
          <w:rPr>
            <w:noProof/>
            <w:webHidden/>
          </w:rPr>
          <w:fldChar w:fldCharType="begin"/>
        </w:r>
        <w:r w:rsidR="00706AF1">
          <w:rPr>
            <w:noProof/>
            <w:webHidden/>
          </w:rPr>
          <w:instrText xml:space="preserve"> PAGEREF _Toc104217724 \h </w:instrText>
        </w:r>
        <w:r w:rsidR="00706AF1">
          <w:rPr>
            <w:noProof/>
            <w:webHidden/>
          </w:rPr>
        </w:r>
        <w:r w:rsidR="00706AF1">
          <w:rPr>
            <w:noProof/>
            <w:webHidden/>
          </w:rPr>
          <w:fldChar w:fldCharType="separate"/>
        </w:r>
        <w:r w:rsidR="000B3BF6">
          <w:rPr>
            <w:noProof/>
            <w:webHidden/>
          </w:rPr>
          <w:t>107</w:t>
        </w:r>
        <w:r w:rsidR="00706AF1">
          <w:rPr>
            <w:noProof/>
            <w:webHidden/>
          </w:rPr>
          <w:fldChar w:fldCharType="end"/>
        </w:r>
      </w:hyperlink>
    </w:p>
    <w:p w14:paraId="385C7B53" w14:textId="6CA7820C" w:rsidR="00706AF1" w:rsidRDefault="008F35DB">
      <w:pPr>
        <w:pStyle w:val="TOC1"/>
        <w:tabs>
          <w:tab w:val="left" w:pos="600"/>
        </w:tabs>
        <w:rPr>
          <w:rFonts w:asciiTheme="minorHAnsi" w:eastAsiaTheme="minorEastAsia" w:hAnsiTheme="minorHAnsi" w:cstheme="minorBidi"/>
          <w:noProof/>
          <w:color w:val="auto"/>
          <w:sz w:val="22"/>
          <w:szCs w:val="22"/>
          <w:lang w:eastAsia="en-AU"/>
        </w:rPr>
      </w:pPr>
      <w:hyperlink w:anchor="_Toc104217725" w:history="1">
        <w:r w:rsidR="00706AF1" w:rsidRPr="002013A8">
          <w:rPr>
            <w:rStyle w:val="Hyperlink"/>
            <w:noProof/>
          </w:rPr>
          <w:t>7</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Preferred option</w:t>
        </w:r>
        <w:r w:rsidR="00706AF1">
          <w:rPr>
            <w:noProof/>
            <w:webHidden/>
          </w:rPr>
          <w:tab/>
        </w:r>
        <w:r w:rsidR="00706AF1">
          <w:rPr>
            <w:noProof/>
            <w:webHidden/>
          </w:rPr>
          <w:fldChar w:fldCharType="begin"/>
        </w:r>
        <w:r w:rsidR="00706AF1">
          <w:rPr>
            <w:noProof/>
            <w:webHidden/>
          </w:rPr>
          <w:instrText xml:space="preserve"> PAGEREF _Toc104217725 \h </w:instrText>
        </w:r>
        <w:r w:rsidR="00706AF1">
          <w:rPr>
            <w:noProof/>
            <w:webHidden/>
          </w:rPr>
        </w:r>
        <w:r w:rsidR="00706AF1">
          <w:rPr>
            <w:noProof/>
            <w:webHidden/>
          </w:rPr>
          <w:fldChar w:fldCharType="separate"/>
        </w:r>
        <w:r w:rsidR="000B3BF6">
          <w:rPr>
            <w:noProof/>
            <w:webHidden/>
          </w:rPr>
          <w:t>109</w:t>
        </w:r>
        <w:r w:rsidR="00706AF1">
          <w:rPr>
            <w:noProof/>
            <w:webHidden/>
          </w:rPr>
          <w:fldChar w:fldCharType="end"/>
        </w:r>
      </w:hyperlink>
    </w:p>
    <w:p w14:paraId="4EF3FA31" w14:textId="17D13084" w:rsidR="00706AF1" w:rsidRDefault="008F35DB">
      <w:pPr>
        <w:pStyle w:val="TOC2"/>
        <w:rPr>
          <w:rFonts w:asciiTheme="minorHAnsi" w:eastAsiaTheme="minorEastAsia" w:hAnsiTheme="minorHAnsi" w:cstheme="minorBidi"/>
          <w:noProof/>
          <w:color w:val="auto"/>
          <w:sz w:val="22"/>
          <w:szCs w:val="22"/>
          <w:lang w:eastAsia="en-AU"/>
        </w:rPr>
      </w:pPr>
      <w:hyperlink w:anchor="_Toc104217726" w:history="1">
        <w:r w:rsidR="00706AF1" w:rsidRPr="002013A8">
          <w:rPr>
            <w:rStyle w:val="Hyperlink"/>
            <w:noProof/>
          </w:rPr>
          <w:t>7.1</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Expected impacts of the proposed Regulations</w:t>
        </w:r>
        <w:r w:rsidR="00706AF1">
          <w:rPr>
            <w:noProof/>
            <w:webHidden/>
          </w:rPr>
          <w:tab/>
        </w:r>
        <w:r w:rsidR="00706AF1">
          <w:rPr>
            <w:noProof/>
            <w:webHidden/>
          </w:rPr>
          <w:fldChar w:fldCharType="begin"/>
        </w:r>
        <w:r w:rsidR="00706AF1">
          <w:rPr>
            <w:noProof/>
            <w:webHidden/>
          </w:rPr>
          <w:instrText xml:space="preserve"> PAGEREF _Toc104217726 \h </w:instrText>
        </w:r>
        <w:r w:rsidR="00706AF1">
          <w:rPr>
            <w:noProof/>
            <w:webHidden/>
          </w:rPr>
        </w:r>
        <w:r w:rsidR="00706AF1">
          <w:rPr>
            <w:noProof/>
            <w:webHidden/>
          </w:rPr>
          <w:fldChar w:fldCharType="separate"/>
        </w:r>
        <w:r w:rsidR="000B3BF6">
          <w:rPr>
            <w:noProof/>
            <w:webHidden/>
          </w:rPr>
          <w:t>110</w:t>
        </w:r>
        <w:r w:rsidR="00706AF1">
          <w:rPr>
            <w:noProof/>
            <w:webHidden/>
          </w:rPr>
          <w:fldChar w:fldCharType="end"/>
        </w:r>
      </w:hyperlink>
    </w:p>
    <w:p w14:paraId="00D1F7E1" w14:textId="3ABB3991" w:rsidR="00706AF1" w:rsidRDefault="008F35DB">
      <w:pPr>
        <w:pStyle w:val="TOC2"/>
        <w:rPr>
          <w:rFonts w:asciiTheme="minorHAnsi" w:eastAsiaTheme="minorEastAsia" w:hAnsiTheme="minorHAnsi" w:cstheme="minorBidi"/>
          <w:noProof/>
          <w:color w:val="auto"/>
          <w:sz w:val="22"/>
          <w:szCs w:val="22"/>
          <w:lang w:eastAsia="en-AU"/>
        </w:rPr>
      </w:pPr>
      <w:hyperlink w:anchor="_Toc104217727" w:history="1">
        <w:r w:rsidR="00706AF1" w:rsidRPr="002013A8">
          <w:rPr>
            <w:rStyle w:val="Hyperlink"/>
            <w:noProof/>
          </w:rPr>
          <w:t>7.2</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Competition assessment</w:t>
        </w:r>
        <w:r w:rsidR="00706AF1">
          <w:rPr>
            <w:noProof/>
            <w:webHidden/>
          </w:rPr>
          <w:tab/>
        </w:r>
        <w:r w:rsidR="00706AF1">
          <w:rPr>
            <w:noProof/>
            <w:webHidden/>
          </w:rPr>
          <w:fldChar w:fldCharType="begin"/>
        </w:r>
        <w:r w:rsidR="00706AF1">
          <w:rPr>
            <w:noProof/>
            <w:webHidden/>
          </w:rPr>
          <w:instrText xml:space="preserve"> PAGEREF _Toc104217727 \h </w:instrText>
        </w:r>
        <w:r w:rsidR="00706AF1">
          <w:rPr>
            <w:noProof/>
            <w:webHidden/>
          </w:rPr>
        </w:r>
        <w:r w:rsidR="00706AF1">
          <w:rPr>
            <w:noProof/>
            <w:webHidden/>
          </w:rPr>
          <w:fldChar w:fldCharType="separate"/>
        </w:r>
        <w:r w:rsidR="000B3BF6">
          <w:rPr>
            <w:noProof/>
            <w:webHidden/>
          </w:rPr>
          <w:t>111</w:t>
        </w:r>
        <w:r w:rsidR="00706AF1">
          <w:rPr>
            <w:noProof/>
            <w:webHidden/>
          </w:rPr>
          <w:fldChar w:fldCharType="end"/>
        </w:r>
      </w:hyperlink>
    </w:p>
    <w:p w14:paraId="121F308F" w14:textId="74307078" w:rsidR="00706AF1" w:rsidRDefault="008F35DB">
      <w:pPr>
        <w:pStyle w:val="TOC2"/>
        <w:rPr>
          <w:rFonts w:asciiTheme="minorHAnsi" w:eastAsiaTheme="minorEastAsia" w:hAnsiTheme="minorHAnsi" w:cstheme="minorBidi"/>
          <w:noProof/>
          <w:color w:val="auto"/>
          <w:sz w:val="22"/>
          <w:szCs w:val="22"/>
          <w:lang w:eastAsia="en-AU"/>
        </w:rPr>
      </w:pPr>
      <w:hyperlink w:anchor="_Toc104217728" w:history="1">
        <w:r w:rsidR="00706AF1" w:rsidRPr="002013A8">
          <w:rPr>
            <w:rStyle w:val="Hyperlink"/>
            <w:noProof/>
          </w:rPr>
          <w:t>7.3</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Small business impacts</w:t>
        </w:r>
        <w:r w:rsidR="00706AF1">
          <w:rPr>
            <w:noProof/>
            <w:webHidden/>
          </w:rPr>
          <w:tab/>
        </w:r>
        <w:r w:rsidR="00706AF1">
          <w:rPr>
            <w:noProof/>
            <w:webHidden/>
          </w:rPr>
          <w:fldChar w:fldCharType="begin"/>
        </w:r>
        <w:r w:rsidR="00706AF1">
          <w:rPr>
            <w:noProof/>
            <w:webHidden/>
          </w:rPr>
          <w:instrText xml:space="preserve"> PAGEREF _Toc104217728 \h </w:instrText>
        </w:r>
        <w:r w:rsidR="00706AF1">
          <w:rPr>
            <w:noProof/>
            <w:webHidden/>
          </w:rPr>
        </w:r>
        <w:r w:rsidR="00706AF1">
          <w:rPr>
            <w:noProof/>
            <w:webHidden/>
          </w:rPr>
          <w:fldChar w:fldCharType="separate"/>
        </w:r>
        <w:r w:rsidR="000B3BF6">
          <w:rPr>
            <w:noProof/>
            <w:webHidden/>
          </w:rPr>
          <w:t>112</w:t>
        </w:r>
        <w:r w:rsidR="00706AF1">
          <w:rPr>
            <w:noProof/>
            <w:webHidden/>
          </w:rPr>
          <w:fldChar w:fldCharType="end"/>
        </w:r>
      </w:hyperlink>
    </w:p>
    <w:p w14:paraId="51968BCE" w14:textId="1A528F46" w:rsidR="00706AF1" w:rsidRDefault="008F35DB">
      <w:pPr>
        <w:pStyle w:val="TOC2"/>
        <w:rPr>
          <w:rFonts w:asciiTheme="minorHAnsi" w:eastAsiaTheme="minorEastAsia" w:hAnsiTheme="minorHAnsi" w:cstheme="minorBidi"/>
          <w:noProof/>
          <w:color w:val="auto"/>
          <w:sz w:val="22"/>
          <w:szCs w:val="22"/>
          <w:lang w:eastAsia="en-AU"/>
        </w:rPr>
      </w:pPr>
      <w:hyperlink w:anchor="_Toc104217729" w:history="1">
        <w:r w:rsidR="00706AF1" w:rsidRPr="002013A8">
          <w:rPr>
            <w:rStyle w:val="Hyperlink"/>
            <w:noProof/>
          </w:rPr>
          <w:t>7.4</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Interstate comparison</w:t>
        </w:r>
        <w:r w:rsidR="00706AF1">
          <w:rPr>
            <w:noProof/>
            <w:webHidden/>
          </w:rPr>
          <w:tab/>
        </w:r>
        <w:r w:rsidR="00706AF1">
          <w:rPr>
            <w:noProof/>
            <w:webHidden/>
          </w:rPr>
          <w:fldChar w:fldCharType="begin"/>
        </w:r>
        <w:r w:rsidR="00706AF1">
          <w:rPr>
            <w:noProof/>
            <w:webHidden/>
          </w:rPr>
          <w:instrText xml:space="preserve"> PAGEREF _Toc104217729 \h </w:instrText>
        </w:r>
        <w:r w:rsidR="00706AF1">
          <w:rPr>
            <w:noProof/>
            <w:webHidden/>
          </w:rPr>
        </w:r>
        <w:r w:rsidR="00706AF1">
          <w:rPr>
            <w:noProof/>
            <w:webHidden/>
          </w:rPr>
          <w:fldChar w:fldCharType="separate"/>
        </w:r>
        <w:r w:rsidR="000B3BF6">
          <w:rPr>
            <w:noProof/>
            <w:webHidden/>
          </w:rPr>
          <w:t>112</w:t>
        </w:r>
        <w:r w:rsidR="00706AF1">
          <w:rPr>
            <w:noProof/>
            <w:webHidden/>
          </w:rPr>
          <w:fldChar w:fldCharType="end"/>
        </w:r>
      </w:hyperlink>
    </w:p>
    <w:p w14:paraId="177E4979" w14:textId="35E75883" w:rsidR="00706AF1" w:rsidRDefault="008F35DB">
      <w:pPr>
        <w:pStyle w:val="TOC1"/>
        <w:tabs>
          <w:tab w:val="left" w:pos="600"/>
        </w:tabs>
        <w:rPr>
          <w:rFonts w:asciiTheme="minorHAnsi" w:eastAsiaTheme="minorEastAsia" w:hAnsiTheme="minorHAnsi" w:cstheme="minorBidi"/>
          <w:noProof/>
          <w:color w:val="auto"/>
          <w:sz w:val="22"/>
          <w:szCs w:val="22"/>
          <w:lang w:eastAsia="en-AU"/>
        </w:rPr>
      </w:pPr>
      <w:hyperlink w:anchor="_Toc104217730" w:history="1">
        <w:r w:rsidR="00706AF1" w:rsidRPr="002013A8">
          <w:rPr>
            <w:rStyle w:val="Hyperlink"/>
            <w:noProof/>
          </w:rPr>
          <w:t>8</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Implementation and Compliance</w:t>
        </w:r>
        <w:r w:rsidR="00706AF1">
          <w:rPr>
            <w:noProof/>
            <w:webHidden/>
          </w:rPr>
          <w:tab/>
        </w:r>
        <w:r w:rsidR="00706AF1">
          <w:rPr>
            <w:noProof/>
            <w:webHidden/>
          </w:rPr>
          <w:fldChar w:fldCharType="begin"/>
        </w:r>
        <w:r w:rsidR="00706AF1">
          <w:rPr>
            <w:noProof/>
            <w:webHidden/>
          </w:rPr>
          <w:instrText xml:space="preserve"> PAGEREF _Toc104217730 \h </w:instrText>
        </w:r>
        <w:r w:rsidR="00706AF1">
          <w:rPr>
            <w:noProof/>
            <w:webHidden/>
          </w:rPr>
        </w:r>
        <w:r w:rsidR="00706AF1">
          <w:rPr>
            <w:noProof/>
            <w:webHidden/>
          </w:rPr>
          <w:fldChar w:fldCharType="separate"/>
        </w:r>
        <w:r w:rsidR="000B3BF6">
          <w:rPr>
            <w:noProof/>
            <w:webHidden/>
          </w:rPr>
          <w:t>114</w:t>
        </w:r>
        <w:r w:rsidR="00706AF1">
          <w:rPr>
            <w:noProof/>
            <w:webHidden/>
          </w:rPr>
          <w:fldChar w:fldCharType="end"/>
        </w:r>
      </w:hyperlink>
    </w:p>
    <w:p w14:paraId="62D56AD7" w14:textId="0DDC5F3E" w:rsidR="00706AF1" w:rsidRDefault="008F35DB">
      <w:pPr>
        <w:pStyle w:val="TOC2"/>
        <w:rPr>
          <w:rFonts w:asciiTheme="minorHAnsi" w:eastAsiaTheme="minorEastAsia" w:hAnsiTheme="minorHAnsi" w:cstheme="minorBidi"/>
          <w:noProof/>
          <w:color w:val="auto"/>
          <w:sz w:val="22"/>
          <w:szCs w:val="22"/>
          <w:lang w:eastAsia="en-AU"/>
        </w:rPr>
      </w:pPr>
      <w:hyperlink w:anchor="_Toc104217731" w:history="1">
        <w:r w:rsidR="00706AF1" w:rsidRPr="002013A8">
          <w:rPr>
            <w:rStyle w:val="Hyperlink"/>
            <w:noProof/>
          </w:rPr>
          <w:t>8.1</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Implementation</w:t>
        </w:r>
        <w:r w:rsidR="00706AF1">
          <w:rPr>
            <w:noProof/>
            <w:webHidden/>
          </w:rPr>
          <w:tab/>
        </w:r>
        <w:r w:rsidR="00706AF1">
          <w:rPr>
            <w:noProof/>
            <w:webHidden/>
          </w:rPr>
          <w:fldChar w:fldCharType="begin"/>
        </w:r>
        <w:r w:rsidR="00706AF1">
          <w:rPr>
            <w:noProof/>
            <w:webHidden/>
          </w:rPr>
          <w:instrText xml:space="preserve"> PAGEREF _Toc104217731 \h </w:instrText>
        </w:r>
        <w:r w:rsidR="00706AF1">
          <w:rPr>
            <w:noProof/>
            <w:webHidden/>
          </w:rPr>
        </w:r>
        <w:r w:rsidR="00706AF1">
          <w:rPr>
            <w:noProof/>
            <w:webHidden/>
          </w:rPr>
          <w:fldChar w:fldCharType="separate"/>
        </w:r>
        <w:r w:rsidR="000B3BF6">
          <w:rPr>
            <w:noProof/>
            <w:webHidden/>
          </w:rPr>
          <w:t>114</w:t>
        </w:r>
        <w:r w:rsidR="00706AF1">
          <w:rPr>
            <w:noProof/>
            <w:webHidden/>
          </w:rPr>
          <w:fldChar w:fldCharType="end"/>
        </w:r>
      </w:hyperlink>
    </w:p>
    <w:p w14:paraId="3070A9AD" w14:textId="29BCBC20" w:rsidR="00706AF1" w:rsidRDefault="008F35DB">
      <w:pPr>
        <w:pStyle w:val="TOC2"/>
        <w:rPr>
          <w:rFonts w:asciiTheme="minorHAnsi" w:eastAsiaTheme="minorEastAsia" w:hAnsiTheme="minorHAnsi" w:cstheme="minorBidi"/>
          <w:noProof/>
          <w:color w:val="auto"/>
          <w:sz w:val="22"/>
          <w:szCs w:val="22"/>
          <w:lang w:eastAsia="en-AU"/>
        </w:rPr>
      </w:pPr>
      <w:hyperlink w:anchor="_Toc104217732" w:history="1">
        <w:r w:rsidR="00706AF1" w:rsidRPr="002013A8">
          <w:rPr>
            <w:rStyle w:val="Hyperlink"/>
            <w:noProof/>
          </w:rPr>
          <w:t>8.2</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ERR – Interim Compliance Strategy 2021-2022</w:t>
        </w:r>
        <w:r w:rsidR="00706AF1">
          <w:rPr>
            <w:noProof/>
            <w:webHidden/>
          </w:rPr>
          <w:tab/>
        </w:r>
        <w:r w:rsidR="00706AF1">
          <w:rPr>
            <w:noProof/>
            <w:webHidden/>
          </w:rPr>
          <w:fldChar w:fldCharType="begin"/>
        </w:r>
        <w:r w:rsidR="00706AF1">
          <w:rPr>
            <w:noProof/>
            <w:webHidden/>
          </w:rPr>
          <w:instrText xml:space="preserve"> PAGEREF _Toc104217732 \h </w:instrText>
        </w:r>
        <w:r w:rsidR="00706AF1">
          <w:rPr>
            <w:noProof/>
            <w:webHidden/>
          </w:rPr>
        </w:r>
        <w:r w:rsidR="00706AF1">
          <w:rPr>
            <w:noProof/>
            <w:webHidden/>
          </w:rPr>
          <w:fldChar w:fldCharType="separate"/>
        </w:r>
        <w:r w:rsidR="000B3BF6">
          <w:rPr>
            <w:noProof/>
            <w:webHidden/>
          </w:rPr>
          <w:t>115</w:t>
        </w:r>
        <w:r w:rsidR="00706AF1">
          <w:rPr>
            <w:noProof/>
            <w:webHidden/>
          </w:rPr>
          <w:fldChar w:fldCharType="end"/>
        </w:r>
      </w:hyperlink>
    </w:p>
    <w:p w14:paraId="6D2A1714" w14:textId="6A2D2B83" w:rsidR="00706AF1" w:rsidRDefault="008F35DB">
      <w:pPr>
        <w:pStyle w:val="TOC2"/>
        <w:rPr>
          <w:rFonts w:asciiTheme="minorHAnsi" w:eastAsiaTheme="minorEastAsia" w:hAnsiTheme="minorHAnsi" w:cstheme="minorBidi"/>
          <w:noProof/>
          <w:color w:val="auto"/>
          <w:sz w:val="22"/>
          <w:szCs w:val="22"/>
          <w:lang w:eastAsia="en-AU"/>
        </w:rPr>
      </w:pPr>
      <w:hyperlink w:anchor="_Toc104217733" w:history="1">
        <w:r w:rsidR="00706AF1" w:rsidRPr="002013A8">
          <w:rPr>
            <w:rStyle w:val="Hyperlink"/>
            <w:noProof/>
          </w:rPr>
          <w:t>8.3</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Infringement Notices</w:t>
        </w:r>
        <w:r w:rsidR="00706AF1">
          <w:rPr>
            <w:noProof/>
            <w:webHidden/>
          </w:rPr>
          <w:tab/>
        </w:r>
        <w:r w:rsidR="00706AF1">
          <w:rPr>
            <w:noProof/>
            <w:webHidden/>
          </w:rPr>
          <w:fldChar w:fldCharType="begin"/>
        </w:r>
        <w:r w:rsidR="00706AF1">
          <w:rPr>
            <w:noProof/>
            <w:webHidden/>
          </w:rPr>
          <w:instrText xml:space="preserve"> PAGEREF _Toc104217733 \h </w:instrText>
        </w:r>
        <w:r w:rsidR="00706AF1">
          <w:rPr>
            <w:noProof/>
            <w:webHidden/>
          </w:rPr>
        </w:r>
        <w:r w:rsidR="00706AF1">
          <w:rPr>
            <w:noProof/>
            <w:webHidden/>
          </w:rPr>
          <w:fldChar w:fldCharType="separate"/>
        </w:r>
        <w:r w:rsidR="000B3BF6">
          <w:rPr>
            <w:noProof/>
            <w:webHidden/>
          </w:rPr>
          <w:t>117</w:t>
        </w:r>
        <w:r w:rsidR="00706AF1">
          <w:rPr>
            <w:noProof/>
            <w:webHidden/>
          </w:rPr>
          <w:fldChar w:fldCharType="end"/>
        </w:r>
      </w:hyperlink>
    </w:p>
    <w:p w14:paraId="02C4542E" w14:textId="146A33BD" w:rsidR="00706AF1" w:rsidRDefault="008F35DB">
      <w:pPr>
        <w:pStyle w:val="TOC1"/>
        <w:tabs>
          <w:tab w:val="left" w:pos="600"/>
        </w:tabs>
        <w:rPr>
          <w:rFonts w:asciiTheme="minorHAnsi" w:eastAsiaTheme="minorEastAsia" w:hAnsiTheme="minorHAnsi" w:cstheme="minorBidi"/>
          <w:noProof/>
          <w:color w:val="auto"/>
          <w:sz w:val="22"/>
          <w:szCs w:val="22"/>
          <w:lang w:eastAsia="en-AU"/>
        </w:rPr>
      </w:pPr>
      <w:hyperlink w:anchor="_Toc104217734" w:history="1">
        <w:r w:rsidR="00706AF1" w:rsidRPr="002013A8">
          <w:rPr>
            <w:rStyle w:val="Hyperlink"/>
            <w:noProof/>
          </w:rPr>
          <w:t>9</w:t>
        </w:r>
        <w:r w:rsidR="00706AF1">
          <w:rPr>
            <w:rFonts w:asciiTheme="minorHAnsi" w:eastAsiaTheme="minorEastAsia" w:hAnsiTheme="minorHAnsi" w:cstheme="minorBidi"/>
            <w:noProof/>
            <w:color w:val="auto"/>
            <w:sz w:val="22"/>
            <w:szCs w:val="22"/>
            <w:lang w:eastAsia="en-AU"/>
          </w:rPr>
          <w:tab/>
        </w:r>
        <w:r w:rsidR="00706AF1" w:rsidRPr="002013A8">
          <w:rPr>
            <w:rStyle w:val="Hyperlink"/>
            <w:noProof/>
          </w:rPr>
          <w:t>Evaluation</w:t>
        </w:r>
        <w:r w:rsidR="00706AF1">
          <w:rPr>
            <w:noProof/>
            <w:webHidden/>
          </w:rPr>
          <w:tab/>
        </w:r>
        <w:r w:rsidR="00706AF1">
          <w:rPr>
            <w:noProof/>
            <w:webHidden/>
          </w:rPr>
          <w:fldChar w:fldCharType="begin"/>
        </w:r>
        <w:r w:rsidR="00706AF1">
          <w:rPr>
            <w:noProof/>
            <w:webHidden/>
          </w:rPr>
          <w:instrText xml:space="preserve"> PAGEREF _Toc104217734 \h </w:instrText>
        </w:r>
        <w:r w:rsidR="00706AF1">
          <w:rPr>
            <w:noProof/>
            <w:webHidden/>
          </w:rPr>
        </w:r>
        <w:r w:rsidR="00706AF1">
          <w:rPr>
            <w:noProof/>
            <w:webHidden/>
          </w:rPr>
          <w:fldChar w:fldCharType="separate"/>
        </w:r>
        <w:r w:rsidR="000B3BF6">
          <w:rPr>
            <w:noProof/>
            <w:webHidden/>
          </w:rPr>
          <w:t>119</w:t>
        </w:r>
        <w:r w:rsidR="00706AF1">
          <w:rPr>
            <w:noProof/>
            <w:webHidden/>
          </w:rPr>
          <w:fldChar w:fldCharType="end"/>
        </w:r>
      </w:hyperlink>
    </w:p>
    <w:p w14:paraId="40DE0A34" w14:textId="0C818268" w:rsidR="00706AF1" w:rsidRDefault="008F35DB">
      <w:pPr>
        <w:pStyle w:val="TOC1"/>
        <w:rPr>
          <w:rFonts w:asciiTheme="minorHAnsi" w:eastAsiaTheme="minorEastAsia" w:hAnsiTheme="minorHAnsi" w:cstheme="minorBidi"/>
          <w:noProof/>
          <w:color w:val="auto"/>
          <w:sz w:val="22"/>
          <w:szCs w:val="22"/>
          <w:lang w:eastAsia="en-AU"/>
        </w:rPr>
      </w:pPr>
      <w:hyperlink w:anchor="_Toc104217735" w:history="1">
        <w:r w:rsidR="00706AF1" w:rsidRPr="002013A8">
          <w:rPr>
            <w:rStyle w:val="Hyperlink"/>
            <w:noProof/>
          </w:rPr>
          <w:t>Appendix A: Stakeholder consultation activities</w:t>
        </w:r>
        <w:r w:rsidR="00706AF1">
          <w:rPr>
            <w:noProof/>
            <w:webHidden/>
          </w:rPr>
          <w:tab/>
        </w:r>
        <w:r w:rsidR="00706AF1">
          <w:rPr>
            <w:noProof/>
            <w:webHidden/>
          </w:rPr>
          <w:fldChar w:fldCharType="begin"/>
        </w:r>
        <w:r w:rsidR="00706AF1">
          <w:rPr>
            <w:noProof/>
            <w:webHidden/>
          </w:rPr>
          <w:instrText xml:space="preserve"> PAGEREF _Toc104217735 \h </w:instrText>
        </w:r>
        <w:r w:rsidR="00706AF1">
          <w:rPr>
            <w:noProof/>
            <w:webHidden/>
          </w:rPr>
        </w:r>
        <w:r w:rsidR="00706AF1">
          <w:rPr>
            <w:noProof/>
            <w:webHidden/>
          </w:rPr>
          <w:fldChar w:fldCharType="separate"/>
        </w:r>
        <w:r w:rsidR="000B3BF6">
          <w:rPr>
            <w:noProof/>
            <w:webHidden/>
          </w:rPr>
          <w:t>120</w:t>
        </w:r>
        <w:r w:rsidR="00706AF1">
          <w:rPr>
            <w:noProof/>
            <w:webHidden/>
          </w:rPr>
          <w:fldChar w:fldCharType="end"/>
        </w:r>
      </w:hyperlink>
    </w:p>
    <w:p w14:paraId="213A4E27" w14:textId="14F0403C" w:rsidR="00706AF1" w:rsidRDefault="008F35DB">
      <w:pPr>
        <w:pStyle w:val="TOC1"/>
        <w:rPr>
          <w:rFonts w:asciiTheme="minorHAnsi" w:eastAsiaTheme="minorEastAsia" w:hAnsiTheme="minorHAnsi" w:cstheme="minorBidi"/>
          <w:noProof/>
          <w:color w:val="auto"/>
          <w:sz w:val="22"/>
          <w:szCs w:val="22"/>
          <w:lang w:eastAsia="en-AU"/>
        </w:rPr>
      </w:pPr>
      <w:hyperlink w:anchor="_Toc104217736" w:history="1">
        <w:r w:rsidR="00706AF1" w:rsidRPr="002013A8">
          <w:rPr>
            <w:rStyle w:val="Hyperlink"/>
            <w:noProof/>
          </w:rPr>
          <w:t>Appendix B: Rehabilitation planning in other jurisdictions</w:t>
        </w:r>
        <w:r w:rsidR="00706AF1">
          <w:rPr>
            <w:noProof/>
            <w:webHidden/>
          </w:rPr>
          <w:tab/>
        </w:r>
        <w:r w:rsidR="00706AF1">
          <w:rPr>
            <w:noProof/>
            <w:webHidden/>
          </w:rPr>
          <w:fldChar w:fldCharType="begin"/>
        </w:r>
        <w:r w:rsidR="00706AF1">
          <w:rPr>
            <w:noProof/>
            <w:webHidden/>
          </w:rPr>
          <w:instrText xml:space="preserve"> PAGEREF _Toc104217736 \h </w:instrText>
        </w:r>
        <w:r w:rsidR="00706AF1">
          <w:rPr>
            <w:noProof/>
            <w:webHidden/>
          </w:rPr>
        </w:r>
        <w:r w:rsidR="00706AF1">
          <w:rPr>
            <w:noProof/>
            <w:webHidden/>
          </w:rPr>
          <w:fldChar w:fldCharType="separate"/>
        </w:r>
        <w:r w:rsidR="000B3BF6">
          <w:rPr>
            <w:noProof/>
            <w:webHidden/>
          </w:rPr>
          <w:t>122</w:t>
        </w:r>
        <w:r w:rsidR="00706AF1">
          <w:rPr>
            <w:noProof/>
            <w:webHidden/>
          </w:rPr>
          <w:fldChar w:fldCharType="end"/>
        </w:r>
      </w:hyperlink>
    </w:p>
    <w:p w14:paraId="54D4EFCE" w14:textId="3E036F5B" w:rsidR="00706AF1" w:rsidRDefault="008F35DB">
      <w:pPr>
        <w:pStyle w:val="TOC1"/>
        <w:rPr>
          <w:rFonts w:asciiTheme="minorHAnsi" w:eastAsiaTheme="minorEastAsia" w:hAnsiTheme="minorHAnsi" w:cstheme="minorBidi"/>
          <w:noProof/>
          <w:color w:val="auto"/>
          <w:sz w:val="22"/>
          <w:szCs w:val="22"/>
          <w:lang w:eastAsia="en-AU"/>
        </w:rPr>
      </w:pPr>
      <w:hyperlink w:anchor="_Toc104217737" w:history="1">
        <w:r w:rsidR="00706AF1" w:rsidRPr="002013A8">
          <w:rPr>
            <w:rStyle w:val="Hyperlink"/>
            <w:noProof/>
          </w:rPr>
          <w:t>Appendix C: References</w:t>
        </w:r>
        <w:r w:rsidR="00706AF1">
          <w:rPr>
            <w:noProof/>
            <w:webHidden/>
          </w:rPr>
          <w:tab/>
        </w:r>
        <w:r w:rsidR="00706AF1">
          <w:rPr>
            <w:noProof/>
            <w:webHidden/>
          </w:rPr>
          <w:fldChar w:fldCharType="begin"/>
        </w:r>
        <w:r w:rsidR="00706AF1">
          <w:rPr>
            <w:noProof/>
            <w:webHidden/>
          </w:rPr>
          <w:instrText xml:space="preserve"> PAGEREF _Toc104217737 \h </w:instrText>
        </w:r>
        <w:r w:rsidR="00706AF1">
          <w:rPr>
            <w:noProof/>
            <w:webHidden/>
          </w:rPr>
        </w:r>
        <w:r w:rsidR="00706AF1">
          <w:rPr>
            <w:noProof/>
            <w:webHidden/>
          </w:rPr>
          <w:fldChar w:fldCharType="separate"/>
        </w:r>
        <w:r w:rsidR="000B3BF6">
          <w:rPr>
            <w:noProof/>
            <w:webHidden/>
          </w:rPr>
          <w:t>133</w:t>
        </w:r>
        <w:r w:rsidR="00706AF1">
          <w:rPr>
            <w:noProof/>
            <w:webHidden/>
          </w:rPr>
          <w:fldChar w:fldCharType="end"/>
        </w:r>
      </w:hyperlink>
    </w:p>
    <w:p w14:paraId="0800902D" w14:textId="6BD3081F" w:rsidR="00706AF1" w:rsidRDefault="008F35DB">
      <w:pPr>
        <w:pStyle w:val="TOC1"/>
        <w:rPr>
          <w:rFonts w:asciiTheme="minorHAnsi" w:eastAsiaTheme="minorEastAsia" w:hAnsiTheme="minorHAnsi" w:cstheme="minorBidi"/>
          <w:noProof/>
          <w:color w:val="auto"/>
          <w:sz w:val="22"/>
          <w:szCs w:val="22"/>
          <w:lang w:eastAsia="en-AU"/>
        </w:rPr>
      </w:pPr>
      <w:hyperlink w:anchor="_Toc104217738" w:history="1">
        <w:r w:rsidR="00706AF1" w:rsidRPr="002013A8">
          <w:rPr>
            <w:rStyle w:val="Hyperlink"/>
            <w:noProof/>
          </w:rPr>
          <w:t>Appendix D: Areas to be prescribed</w:t>
        </w:r>
        <w:r w:rsidR="00706AF1">
          <w:rPr>
            <w:noProof/>
            <w:webHidden/>
          </w:rPr>
          <w:tab/>
        </w:r>
        <w:r w:rsidR="00706AF1">
          <w:rPr>
            <w:noProof/>
            <w:webHidden/>
          </w:rPr>
          <w:fldChar w:fldCharType="begin"/>
        </w:r>
        <w:r w:rsidR="00706AF1">
          <w:rPr>
            <w:noProof/>
            <w:webHidden/>
          </w:rPr>
          <w:instrText xml:space="preserve"> PAGEREF _Toc104217738 \h </w:instrText>
        </w:r>
        <w:r w:rsidR="00706AF1">
          <w:rPr>
            <w:noProof/>
            <w:webHidden/>
          </w:rPr>
        </w:r>
        <w:r w:rsidR="00706AF1">
          <w:rPr>
            <w:noProof/>
            <w:webHidden/>
          </w:rPr>
          <w:fldChar w:fldCharType="separate"/>
        </w:r>
        <w:r w:rsidR="000B3BF6">
          <w:rPr>
            <w:noProof/>
            <w:webHidden/>
          </w:rPr>
          <w:t>136</w:t>
        </w:r>
        <w:r w:rsidR="00706AF1">
          <w:rPr>
            <w:noProof/>
            <w:webHidden/>
          </w:rPr>
          <w:fldChar w:fldCharType="end"/>
        </w:r>
      </w:hyperlink>
    </w:p>
    <w:p w14:paraId="18A7B5C3" w14:textId="7BE12882" w:rsidR="00706AF1" w:rsidRDefault="008F35DB">
      <w:pPr>
        <w:pStyle w:val="TOC1"/>
        <w:rPr>
          <w:rFonts w:asciiTheme="minorHAnsi" w:eastAsiaTheme="minorEastAsia" w:hAnsiTheme="minorHAnsi" w:cstheme="minorBidi"/>
          <w:noProof/>
          <w:color w:val="auto"/>
          <w:sz w:val="22"/>
          <w:szCs w:val="22"/>
          <w:lang w:eastAsia="en-AU"/>
        </w:rPr>
      </w:pPr>
      <w:hyperlink w:anchor="_Toc104217739" w:history="1">
        <w:r w:rsidR="00706AF1" w:rsidRPr="002013A8">
          <w:rPr>
            <w:rStyle w:val="Hyperlink"/>
            <w:rFonts w:asciiTheme="majorHAnsi" w:hAnsiTheme="majorHAnsi" w:cstheme="majorHAnsi"/>
            <w:noProof/>
          </w:rPr>
          <w:t>Appendix E: LVRRS definitions for Active and Passive Controls</w:t>
        </w:r>
        <w:r w:rsidR="00706AF1">
          <w:rPr>
            <w:noProof/>
            <w:webHidden/>
          </w:rPr>
          <w:tab/>
        </w:r>
        <w:r w:rsidR="00706AF1">
          <w:rPr>
            <w:noProof/>
            <w:webHidden/>
          </w:rPr>
          <w:fldChar w:fldCharType="begin"/>
        </w:r>
        <w:r w:rsidR="00706AF1">
          <w:rPr>
            <w:noProof/>
            <w:webHidden/>
          </w:rPr>
          <w:instrText xml:space="preserve"> PAGEREF _Toc104217739 \h </w:instrText>
        </w:r>
        <w:r w:rsidR="00706AF1">
          <w:rPr>
            <w:noProof/>
            <w:webHidden/>
          </w:rPr>
        </w:r>
        <w:r w:rsidR="00706AF1">
          <w:rPr>
            <w:noProof/>
            <w:webHidden/>
          </w:rPr>
          <w:fldChar w:fldCharType="separate"/>
        </w:r>
        <w:r w:rsidR="000B3BF6">
          <w:rPr>
            <w:noProof/>
            <w:webHidden/>
          </w:rPr>
          <w:t>138</w:t>
        </w:r>
        <w:r w:rsidR="00706AF1">
          <w:rPr>
            <w:noProof/>
            <w:webHidden/>
          </w:rPr>
          <w:fldChar w:fldCharType="end"/>
        </w:r>
      </w:hyperlink>
    </w:p>
    <w:p w14:paraId="5FC34C6E" w14:textId="66690E9D" w:rsidR="00832C10" w:rsidRDefault="004371F6" w:rsidP="00A01715">
      <w:pPr>
        <w:pStyle w:val="BodyText1"/>
        <w:rPr>
          <w:noProof/>
          <w:color w:val="201547"/>
          <w:sz w:val="36"/>
          <w:szCs w:val="32"/>
        </w:rPr>
      </w:pPr>
      <w:r>
        <w:rPr>
          <w:noProof/>
        </w:rPr>
        <w:fldChar w:fldCharType="end"/>
      </w:r>
    </w:p>
    <w:p w14:paraId="613C3158" w14:textId="77777777" w:rsidR="002B51E2" w:rsidRDefault="002B51E2" w:rsidP="002B51E2">
      <w:pPr>
        <w:sectPr w:rsidR="002B51E2" w:rsidSect="00CB6C88">
          <w:headerReference w:type="default" r:id="rId17"/>
          <w:footerReference w:type="default" r:id="rId18"/>
          <w:type w:val="oddPage"/>
          <w:pgSz w:w="11906" w:h="16838"/>
          <w:pgMar w:top="1440" w:right="1440" w:bottom="1440" w:left="1440" w:header="708" w:footer="137" w:gutter="0"/>
          <w:pgNumType w:start="1"/>
          <w:cols w:space="708"/>
          <w:docGrid w:linePitch="360"/>
        </w:sectPr>
      </w:pPr>
    </w:p>
    <w:p w14:paraId="6965BEA0" w14:textId="77777777" w:rsidR="00A52011" w:rsidRDefault="00A52011" w:rsidP="00A52011">
      <w:pPr>
        <w:pStyle w:val="Heading1"/>
        <w:numPr>
          <w:ilvl w:val="0"/>
          <w:numId w:val="0"/>
        </w:numPr>
        <w:ind w:left="360" w:hanging="360"/>
      </w:pPr>
      <w:bookmarkStart w:id="1" w:name="_Toc104217644"/>
      <w:r>
        <w:lastRenderedPageBreak/>
        <w:t>Figures &amp; Tables</w:t>
      </w:r>
      <w:bookmarkEnd w:id="1"/>
    </w:p>
    <w:p w14:paraId="12E969EA" w14:textId="7D61592A" w:rsidR="00706AF1" w:rsidRDefault="00A52011">
      <w:pPr>
        <w:pStyle w:val="TableofFigures"/>
        <w:tabs>
          <w:tab w:val="right" w:leader="dot" w:pos="9016"/>
        </w:tabs>
        <w:rPr>
          <w:rFonts w:asciiTheme="minorHAnsi" w:eastAsiaTheme="minorEastAsia" w:hAnsiTheme="minorHAnsi" w:cstheme="minorBidi"/>
          <w:noProof/>
          <w:color w:val="auto"/>
          <w:sz w:val="22"/>
          <w:szCs w:val="22"/>
          <w:lang w:eastAsia="en-AU"/>
        </w:rPr>
      </w:pPr>
      <w:r>
        <w:fldChar w:fldCharType="begin"/>
      </w:r>
      <w:r>
        <w:instrText xml:space="preserve"> TOC \h \z \c "Figure" </w:instrText>
      </w:r>
      <w:r>
        <w:fldChar w:fldCharType="separate"/>
      </w:r>
      <w:hyperlink w:anchor="_Toc104217605" w:history="1">
        <w:r w:rsidR="00706AF1" w:rsidRPr="00862FD0">
          <w:rPr>
            <w:rStyle w:val="Hyperlink"/>
            <w:noProof/>
          </w:rPr>
          <w:t>Figure 1: Simplified declared mine land regulatory framework</w:t>
        </w:r>
        <w:r w:rsidR="00706AF1">
          <w:rPr>
            <w:noProof/>
            <w:webHidden/>
          </w:rPr>
          <w:tab/>
        </w:r>
        <w:r w:rsidR="00706AF1">
          <w:rPr>
            <w:noProof/>
            <w:webHidden/>
          </w:rPr>
          <w:fldChar w:fldCharType="begin"/>
        </w:r>
        <w:r w:rsidR="00706AF1">
          <w:rPr>
            <w:noProof/>
            <w:webHidden/>
          </w:rPr>
          <w:instrText xml:space="preserve"> PAGEREF _Toc104217605 \h </w:instrText>
        </w:r>
        <w:r w:rsidR="00706AF1">
          <w:rPr>
            <w:noProof/>
            <w:webHidden/>
          </w:rPr>
        </w:r>
        <w:r w:rsidR="00706AF1">
          <w:rPr>
            <w:noProof/>
            <w:webHidden/>
          </w:rPr>
          <w:fldChar w:fldCharType="separate"/>
        </w:r>
        <w:r w:rsidR="000B3BF6">
          <w:rPr>
            <w:noProof/>
            <w:webHidden/>
          </w:rPr>
          <w:t>xii</w:t>
        </w:r>
        <w:r w:rsidR="00706AF1">
          <w:rPr>
            <w:noProof/>
            <w:webHidden/>
          </w:rPr>
          <w:fldChar w:fldCharType="end"/>
        </w:r>
      </w:hyperlink>
    </w:p>
    <w:p w14:paraId="1F90FCF8" w14:textId="05A01E08" w:rsidR="00706AF1" w:rsidRDefault="008F35D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104217606" w:history="1">
        <w:r w:rsidR="00706AF1" w:rsidRPr="00862FD0">
          <w:rPr>
            <w:rStyle w:val="Hyperlink"/>
            <w:noProof/>
          </w:rPr>
          <w:t>Figure 2: Declared mine land regulatory framework</w:t>
        </w:r>
        <w:r w:rsidR="00706AF1">
          <w:rPr>
            <w:noProof/>
            <w:webHidden/>
          </w:rPr>
          <w:tab/>
        </w:r>
        <w:r w:rsidR="00706AF1">
          <w:rPr>
            <w:noProof/>
            <w:webHidden/>
          </w:rPr>
          <w:fldChar w:fldCharType="begin"/>
        </w:r>
        <w:r w:rsidR="00706AF1">
          <w:rPr>
            <w:noProof/>
            <w:webHidden/>
          </w:rPr>
          <w:instrText xml:space="preserve"> PAGEREF _Toc104217606 \h </w:instrText>
        </w:r>
        <w:r w:rsidR="00706AF1">
          <w:rPr>
            <w:noProof/>
            <w:webHidden/>
          </w:rPr>
        </w:r>
        <w:r w:rsidR="00706AF1">
          <w:rPr>
            <w:noProof/>
            <w:webHidden/>
          </w:rPr>
          <w:fldChar w:fldCharType="separate"/>
        </w:r>
        <w:r w:rsidR="000B3BF6">
          <w:rPr>
            <w:noProof/>
            <w:webHidden/>
          </w:rPr>
          <w:t>26</w:t>
        </w:r>
        <w:r w:rsidR="00706AF1">
          <w:rPr>
            <w:noProof/>
            <w:webHidden/>
          </w:rPr>
          <w:fldChar w:fldCharType="end"/>
        </w:r>
      </w:hyperlink>
    </w:p>
    <w:p w14:paraId="18456A19" w14:textId="02493BDB" w:rsidR="00706AF1" w:rsidRDefault="008F35D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104217607" w:history="1">
        <w:r w:rsidR="00706AF1" w:rsidRPr="00862FD0">
          <w:rPr>
            <w:rStyle w:val="Hyperlink"/>
            <w:noProof/>
          </w:rPr>
          <w:t>Figure 3: Simplified cross-section showing ‘block sliding’ mechanism</w:t>
        </w:r>
        <w:r w:rsidR="00706AF1">
          <w:rPr>
            <w:noProof/>
            <w:webHidden/>
          </w:rPr>
          <w:tab/>
        </w:r>
        <w:r w:rsidR="00706AF1">
          <w:rPr>
            <w:noProof/>
            <w:webHidden/>
          </w:rPr>
          <w:fldChar w:fldCharType="begin"/>
        </w:r>
        <w:r w:rsidR="00706AF1">
          <w:rPr>
            <w:noProof/>
            <w:webHidden/>
          </w:rPr>
          <w:instrText xml:space="preserve"> PAGEREF _Toc104217607 \h </w:instrText>
        </w:r>
        <w:r w:rsidR="00706AF1">
          <w:rPr>
            <w:noProof/>
            <w:webHidden/>
          </w:rPr>
        </w:r>
        <w:r w:rsidR="00706AF1">
          <w:rPr>
            <w:noProof/>
            <w:webHidden/>
          </w:rPr>
          <w:fldChar w:fldCharType="separate"/>
        </w:r>
        <w:r w:rsidR="000B3BF6">
          <w:rPr>
            <w:noProof/>
            <w:webHidden/>
          </w:rPr>
          <w:t>36</w:t>
        </w:r>
        <w:r w:rsidR="00706AF1">
          <w:rPr>
            <w:noProof/>
            <w:webHidden/>
          </w:rPr>
          <w:fldChar w:fldCharType="end"/>
        </w:r>
      </w:hyperlink>
    </w:p>
    <w:p w14:paraId="3A03F6CE" w14:textId="1C473BC0" w:rsidR="00706AF1" w:rsidRDefault="008F35D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104217608" w:history="1">
        <w:r w:rsidR="00706AF1" w:rsidRPr="00862FD0">
          <w:rPr>
            <w:rStyle w:val="Hyperlink"/>
            <w:noProof/>
          </w:rPr>
          <w:t>Figure 4: Before and after schematic representation of sinkhole formation</w:t>
        </w:r>
        <w:r w:rsidR="00706AF1">
          <w:rPr>
            <w:noProof/>
            <w:webHidden/>
          </w:rPr>
          <w:tab/>
        </w:r>
        <w:r w:rsidR="00706AF1">
          <w:rPr>
            <w:noProof/>
            <w:webHidden/>
          </w:rPr>
          <w:fldChar w:fldCharType="begin"/>
        </w:r>
        <w:r w:rsidR="00706AF1">
          <w:rPr>
            <w:noProof/>
            <w:webHidden/>
          </w:rPr>
          <w:instrText xml:space="preserve"> PAGEREF _Toc104217608 \h </w:instrText>
        </w:r>
        <w:r w:rsidR="00706AF1">
          <w:rPr>
            <w:noProof/>
            <w:webHidden/>
          </w:rPr>
        </w:r>
        <w:r w:rsidR="00706AF1">
          <w:rPr>
            <w:noProof/>
            <w:webHidden/>
          </w:rPr>
          <w:fldChar w:fldCharType="separate"/>
        </w:r>
        <w:r w:rsidR="000B3BF6">
          <w:rPr>
            <w:noProof/>
            <w:webHidden/>
          </w:rPr>
          <w:t>36</w:t>
        </w:r>
        <w:r w:rsidR="00706AF1">
          <w:rPr>
            <w:noProof/>
            <w:webHidden/>
          </w:rPr>
          <w:fldChar w:fldCharType="end"/>
        </w:r>
      </w:hyperlink>
    </w:p>
    <w:p w14:paraId="45201FBE" w14:textId="71E07BFF" w:rsidR="00706AF1" w:rsidRDefault="008F35D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104217609" w:history="1">
        <w:r w:rsidR="00706AF1" w:rsidRPr="00862FD0">
          <w:rPr>
            <w:rStyle w:val="Hyperlink"/>
            <w:noProof/>
          </w:rPr>
          <w:t>Figure 5: Simplified cross-section showing ‘floor heave’ mechanism</w:t>
        </w:r>
        <w:r w:rsidR="00706AF1">
          <w:rPr>
            <w:noProof/>
            <w:webHidden/>
          </w:rPr>
          <w:tab/>
        </w:r>
        <w:r w:rsidR="00706AF1">
          <w:rPr>
            <w:noProof/>
            <w:webHidden/>
          </w:rPr>
          <w:fldChar w:fldCharType="begin"/>
        </w:r>
        <w:r w:rsidR="00706AF1">
          <w:rPr>
            <w:noProof/>
            <w:webHidden/>
          </w:rPr>
          <w:instrText xml:space="preserve"> PAGEREF _Toc104217609 \h </w:instrText>
        </w:r>
        <w:r w:rsidR="00706AF1">
          <w:rPr>
            <w:noProof/>
            <w:webHidden/>
          </w:rPr>
        </w:r>
        <w:r w:rsidR="00706AF1">
          <w:rPr>
            <w:noProof/>
            <w:webHidden/>
          </w:rPr>
          <w:fldChar w:fldCharType="separate"/>
        </w:r>
        <w:r w:rsidR="000B3BF6">
          <w:rPr>
            <w:noProof/>
            <w:webHidden/>
          </w:rPr>
          <w:t>37</w:t>
        </w:r>
        <w:r w:rsidR="00706AF1">
          <w:rPr>
            <w:noProof/>
            <w:webHidden/>
          </w:rPr>
          <w:fldChar w:fldCharType="end"/>
        </w:r>
      </w:hyperlink>
    </w:p>
    <w:p w14:paraId="7C6E8CDE" w14:textId="7E5FCBEB" w:rsidR="00706AF1" w:rsidRDefault="008F35D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104217610" w:history="1">
        <w:r w:rsidR="00706AF1" w:rsidRPr="00862FD0">
          <w:rPr>
            <w:rStyle w:val="Hyperlink"/>
            <w:noProof/>
          </w:rPr>
          <w:t>Figure 6: Timeline of Latrobe Valley mining events, inquiries and developments</w:t>
        </w:r>
        <w:r w:rsidR="00706AF1">
          <w:rPr>
            <w:noProof/>
            <w:webHidden/>
          </w:rPr>
          <w:tab/>
        </w:r>
        <w:r w:rsidR="00706AF1">
          <w:rPr>
            <w:noProof/>
            <w:webHidden/>
          </w:rPr>
          <w:fldChar w:fldCharType="begin"/>
        </w:r>
        <w:r w:rsidR="00706AF1">
          <w:rPr>
            <w:noProof/>
            <w:webHidden/>
          </w:rPr>
          <w:instrText xml:space="preserve"> PAGEREF _Toc104217610 \h </w:instrText>
        </w:r>
        <w:r w:rsidR="00706AF1">
          <w:rPr>
            <w:noProof/>
            <w:webHidden/>
          </w:rPr>
        </w:r>
        <w:r w:rsidR="00706AF1">
          <w:rPr>
            <w:noProof/>
            <w:webHidden/>
          </w:rPr>
          <w:fldChar w:fldCharType="separate"/>
        </w:r>
        <w:r w:rsidR="000B3BF6">
          <w:rPr>
            <w:noProof/>
            <w:webHidden/>
          </w:rPr>
          <w:t>39</w:t>
        </w:r>
        <w:r w:rsidR="00706AF1">
          <w:rPr>
            <w:noProof/>
            <w:webHidden/>
          </w:rPr>
          <w:fldChar w:fldCharType="end"/>
        </w:r>
      </w:hyperlink>
    </w:p>
    <w:p w14:paraId="381F207A" w14:textId="0CE8C014" w:rsidR="00706AF1" w:rsidRDefault="008F35D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104217611" w:history="1">
        <w:r w:rsidR="00706AF1" w:rsidRPr="00862FD0">
          <w:rPr>
            <w:rStyle w:val="Hyperlink"/>
            <w:noProof/>
          </w:rPr>
          <w:t>Figure 7: Option 1 – up-front declared mine rehabilitation plan</w:t>
        </w:r>
        <w:r w:rsidR="00706AF1">
          <w:rPr>
            <w:noProof/>
            <w:webHidden/>
          </w:rPr>
          <w:tab/>
        </w:r>
        <w:r w:rsidR="00706AF1">
          <w:rPr>
            <w:noProof/>
            <w:webHidden/>
          </w:rPr>
          <w:fldChar w:fldCharType="begin"/>
        </w:r>
        <w:r w:rsidR="00706AF1">
          <w:rPr>
            <w:noProof/>
            <w:webHidden/>
          </w:rPr>
          <w:instrText xml:space="preserve"> PAGEREF _Toc104217611 \h </w:instrText>
        </w:r>
        <w:r w:rsidR="00706AF1">
          <w:rPr>
            <w:noProof/>
            <w:webHidden/>
          </w:rPr>
        </w:r>
        <w:r w:rsidR="00706AF1">
          <w:rPr>
            <w:noProof/>
            <w:webHidden/>
          </w:rPr>
          <w:fldChar w:fldCharType="separate"/>
        </w:r>
        <w:r w:rsidR="000B3BF6">
          <w:rPr>
            <w:noProof/>
            <w:webHidden/>
          </w:rPr>
          <w:t>66</w:t>
        </w:r>
        <w:r w:rsidR="00706AF1">
          <w:rPr>
            <w:noProof/>
            <w:webHidden/>
          </w:rPr>
          <w:fldChar w:fldCharType="end"/>
        </w:r>
      </w:hyperlink>
    </w:p>
    <w:p w14:paraId="1D2DBDAB" w14:textId="7D7CCC8B" w:rsidR="00706AF1" w:rsidRDefault="008F35D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104217612" w:history="1">
        <w:r w:rsidR="00706AF1" w:rsidRPr="00862FD0">
          <w:rPr>
            <w:rStyle w:val="Hyperlink"/>
            <w:noProof/>
          </w:rPr>
          <w:t>Figure 8: Option 2 - iterative declared mine rehabilitation plan</w:t>
        </w:r>
        <w:r w:rsidR="00706AF1">
          <w:rPr>
            <w:noProof/>
            <w:webHidden/>
          </w:rPr>
          <w:tab/>
        </w:r>
        <w:r w:rsidR="00706AF1">
          <w:rPr>
            <w:noProof/>
            <w:webHidden/>
          </w:rPr>
          <w:fldChar w:fldCharType="begin"/>
        </w:r>
        <w:r w:rsidR="00706AF1">
          <w:rPr>
            <w:noProof/>
            <w:webHidden/>
          </w:rPr>
          <w:instrText xml:space="preserve"> PAGEREF _Toc104217612 \h </w:instrText>
        </w:r>
        <w:r w:rsidR="00706AF1">
          <w:rPr>
            <w:noProof/>
            <w:webHidden/>
          </w:rPr>
        </w:r>
        <w:r w:rsidR="00706AF1">
          <w:rPr>
            <w:noProof/>
            <w:webHidden/>
          </w:rPr>
          <w:fldChar w:fldCharType="separate"/>
        </w:r>
        <w:r w:rsidR="000B3BF6">
          <w:rPr>
            <w:noProof/>
            <w:webHidden/>
          </w:rPr>
          <w:t>69</w:t>
        </w:r>
        <w:r w:rsidR="00706AF1">
          <w:rPr>
            <w:noProof/>
            <w:webHidden/>
          </w:rPr>
          <w:fldChar w:fldCharType="end"/>
        </w:r>
      </w:hyperlink>
    </w:p>
    <w:p w14:paraId="7ED1F853" w14:textId="5AC6A616" w:rsidR="00706AF1" w:rsidRDefault="008F35D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104217613" w:history="1">
        <w:r w:rsidR="00706AF1" w:rsidRPr="00862FD0">
          <w:rPr>
            <w:rStyle w:val="Hyperlink"/>
            <w:noProof/>
          </w:rPr>
          <w:t>Figure 9: Simplified declared mine land regulatory framework</w:t>
        </w:r>
        <w:r w:rsidR="00706AF1">
          <w:rPr>
            <w:noProof/>
            <w:webHidden/>
          </w:rPr>
          <w:tab/>
        </w:r>
        <w:r w:rsidR="00706AF1">
          <w:rPr>
            <w:noProof/>
            <w:webHidden/>
          </w:rPr>
          <w:fldChar w:fldCharType="begin"/>
        </w:r>
        <w:r w:rsidR="00706AF1">
          <w:rPr>
            <w:noProof/>
            <w:webHidden/>
          </w:rPr>
          <w:instrText xml:space="preserve"> PAGEREF _Toc104217613 \h </w:instrText>
        </w:r>
        <w:r w:rsidR="00706AF1">
          <w:rPr>
            <w:noProof/>
            <w:webHidden/>
          </w:rPr>
        </w:r>
        <w:r w:rsidR="00706AF1">
          <w:rPr>
            <w:noProof/>
            <w:webHidden/>
          </w:rPr>
          <w:fldChar w:fldCharType="separate"/>
        </w:r>
        <w:r w:rsidR="000B3BF6">
          <w:rPr>
            <w:noProof/>
            <w:webHidden/>
          </w:rPr>
          <w:t>77</w:t>
        </w:r>
        <w:r w:rsidR="00706AF1">
          <w:rPr>
            <w:noProof/>
            <w:webHidden/>
          </w:rPr>
          <w:fldChar w:fldCharType="end"/>
        </w:r>
      </w:hyperlink>
    </w:p>
    <w:p w14:paraId="583072A0" w14:textId="1D312E03" w:rsidR="00706AF1" w:rsidRDefault="008F35D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104217614" w:history="1">
        <w:r w:rsidR="00706AF1" w:rsidRPr="00862FD0">
          <w:rPr>
            <w:rStyle w:val="Hyperlink"/>
            <w:noProof/>
          </w:rPr>
          <w:t>Figure 10: MCA scale used in scoring options</w:t>
        </w:r>
        <w:r w:rsidR="00706AF1">
          <w:rPr>
            <w:noProof/>
            <w:webHidden/>
          </w:rPr>
          <w:tab/>
        </w:r>
        <w:r w:rsidR="00706AF1">
          <w:rPr>
            <w:noProof/>
            <w:webHidden/>
          </w:rPr>
          <w:fldChar w:fldCharType="begin"/>
        </w:r>
        <w:r w:rsidR="00706AF1">
          <w:rPr>
            <w:noProof/>
            <w:webHidden/>
          </w:rPr>
          <w:instrText xml:space="preserve"> PAGEREF _Toc104217614 \h </w:instrText>
        </w:r>
        <w:r w:rsidR="00706AF1">
          <w:rPr>
            <w:noProof/>
            <w:webHidden/>
          </w:rPr>
        </w:r>
        <w:r w:rsidR="00706AF1">
          <w:rPr>
            <w:noProof/>
            <w:webHidden/>
          </w:rPr>
          <w:fldChar w:fldCharType="separate"/>
        </w:r>
        <w:r w:rsidR="000B3BF6">
          <w:rPr>
            <w:noProof/>
            <w:webHidden/>
          </w:rPr>
          <w:t>78</w:t>
        </w:r>
        <w:r w:rsidR="00706AF1">
          <w:rPr>
            <w:noProof/>
            <w:webHidden/>
          </w:rPr>
          <w:fldChar w:fldCharType="end"/>
        </w:r>
      </w:hyperlink>
    </w:p>
    <w:p w14:paraId="55AA424F" w14:textId="709EC725" w:rsidR="00706AF1" w:rsidRDefault="008F35D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104217615" w:history="1">
        <w:r w:rsidR="00706AF1" w:rsidRPr="00862FD0">
          <w:rPr>
            <w:rStyle w:val="Hyperlink"/>
            <w:noProof/>
          </w:rPr>
          <w:t>Figure 11: AA success criteria conceptualisation</w:t>
        </w:r>
        <w:r w:rsidR="00706AF1">
          <w:rPr>
            <w:noProof/>
            <w:webHidden/>
          </w:rPr>
          <w:tab/>
        </w:r>
        <w:r w:rsidR="00706AF1">
          <w:rPr>
            <w:noProof/>
            <w:webHidden/>
          </w:rPr>
          <w:fldChar w:fldCharType="begin"/>
        </w:r>
        <w:r w:rsidR="00706AF1">
          <w:rPr>
            <w:noProof/>
            <w:webHidden/>
          </w:rPr>
          <w:instrText xml:space="preserve"> PAGEREF _Toc104217615 \h </w:instrText>
        </w:r>
        <w:r w:rsidR="00706AF1">
          <w:rPr>
            <w:noProof/>
            <w:webHidden/>
          </w:rPr>
        </w:r>
        <w:r w:rsidR="00706AF1">
          <w:rPr>
            <w:noProof/>
            <w:webHidden/>
          </w:rPr>
          <w:fldChar w:fldCharType="separate"/>
        </w:r>
        <w:r w:rsidR="000B3BF6">
          <w:rPr>
            <w:noProof/>
            <w:webHidden/>
          </w:rPr>
          <w:t>130</w:t>
        </w:r>
        <w:r w:rsidR="00706AF1">
          <w:rPr>
            <w:noProof/>
            <w:webHidden/>
          </w:rPr>
          <w:fldChar w:fldCharType="end"/>
        </w:r>
      </w:hyperlink>
    </w:p>
    <w:p w14:paraId="7FBEB6E6" w14:textId="4E61947A" w:rsidR="00706AF1" w:rsidRDefault="008F35D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104217616" w:history="1">
        <w:r w:rsidR="00706AF1" w:rsidRPr="00862FD0">
          <w:rPr>
            <w:rStyle w:val="Hyperlink"/>
            <w:noProof/>
          </w:rPr>
          <w:t>Figure 12: ICMM closure planning diagram</w:t>
        </w:r>
        <w:r w:rsidR="00706AF1">
          <w:rPr>
            <w:noProof/>
            <w:webHidden/>
          </w:rPr>
          <w:tab/>
        </w:r>
        <w:r w:rsidR="00706AF1">
          <w:rPr>
            <w:noProof/>
            <w:webHidden/>
          </w:rPr>
          <w:fldChar w:fldCharType="begin"/>
        </w:r>
        <w:r w:rsidR="00706AF1">
          <w:rPr>
            <w:noProof/>
            <w:webHidden/>
          </w:rPr>
          <w:instrText xml:space="preserve"> PAGEREF _Toc104217616 \h </w:instrText>
        </w:r>
        <w:r w:rsidR="00706AF1">
          <w:rPr>
            <w:noProof/>
            <w:webHidden/>
          </w:rPr>
        </w:r>
        <w:r w:rsidR="00706AF1">
          <w:rPr>
            <w:noProof/>
            <w:webHidden/>
          </w:rPr>
          <w:fldChar w:fldCharType="separate"/>
        </w:r>
        <w:r w:rsidR="000B3BF6">
          <w:rPr>
            <w:noProof/>
            <w:webHidden/>
          </w:rPr>
          <w:t>131</w:t>
        </w:r>
        <w:r w:rsidR="00706AF1">
          <w:rPr>
            <w:noProof/>
            <w:webHidden/>
          </w:rPr>
          <w:fldChar w:fldCharType="end"/>
        </w:r>
      </w:hyperlink>
    </w:p>
    <w:p w14:paraId="17031771" w14:textId="6304517B" w:rsidR="00A52011" w:rsidRDefault="00A52011" w:rsidP="00A52011">
      <w:r>
        <w:fldChar w:fldCharType="end"/>
      </w:r>
    </w:p>
    <w:p w14:paraId="2DB7E313" w14:textId="176ECC20" w:rsidR="00706AF1" w:rsidRDefault="00A52011">
      <w:pPr>
        <w:pStyle w:val="TableofFigures"/>
        <w:tabs>
          <w:tab w:val="right" w:leader="dot" w:pos="9016"/>
        </w:tabs>
        <w:rPr>
          <w:rFonts w:asciiTheme="minorHAnsi" w:eastAsiaTheme="minorEastAsia" w:hAnsiTheme="minorHAnsi" w:cstheme="minorBidi"/>
          <w:noProof/>
          <w:color w:val="auto"/>
          <w:sz w:val="22"/>
          <w:szCs w:val="22"/>
          <w:lang w:eastAsia="en-AU"/>
        </w:rPr>
      </w:pPr>
      <w:r>
        <w:fldChar w:fldCharType="begin"/>
      </w:r>
      <w:r>
        <w:instrText xml:space="preserve"> TOC \h \z \c "Table" </w:instrText>
      </w:r>
      <w:r>
        <w:fldChar w:fldCharType="separate"/>
      </w:r>
      <w:hyperlink w:anchor="_Toc104217617" w:history="1">
        <w:r w:rsidR="00706AF1" w:rsidRPr="00B055BA">
          <w:rPr>
            <w:rStyle w:val="Hyperlink"/>
            <w:noProof/>
          </w:rPr>
          <w:t>Table 1: Simplified summary of options considered</w:t>
        </w:r>
        <w:r w:rsidR="00706AF1">
          <w:rPr>
            <w:noProof/>
            <w:webHidden/>
          </w:rPr>
          <w:tab/>
        </w:r>
        <w:r w:rsidR="00706AF1">
          <w:rPr>
            <w:noProof/>
            <w:webHidden/>
          </w:rPr>
          <w:fldChar w:fldCharType="begin"/>
        </w:r>
        <w:r w:rsidR="00706AF1">
          <w:rPr>
            <w:noProof/>
            <w:webHidden/>
          </w:rPr>
          <w:instrText xml:space="preserve"> PAGEREF _Toc104217617 \h </w:instrText>
        </w:r>
        <w:r w:rsidR="00706AF1">
          <w:rPr>
            <w:noProof/>
            <w:webHidden/>
          </w:rPr>
        </w:r>
        <w:r w:rsidR="00706AF1">
          <w:rPr>
            <w:noProof/>
            <w:webHidden/>
          </w:rPr>
          <w:fldChar w:fldCharType="separate"/>
        </w:r>
        <w:r w:rsidR="000B3BF6">
          <w:rPr>
            <w:noProof/>
            <w:webHidden/>
          </w:rPr>
          <w:t>xii</w:t>
        </w:r>
        <w:r w:rsidR="00706AF1">
          <w:rPr>
            <w:noProof/>
            <w:webHidden/>
          </w:rPr>
          <w:fldChar w:fldCharType="end"/>
        </w:r>
      </w:hyperlink>
    </w:p>
    <w:p w14:paraId="028F1331" w14:textId="73D0F8B9" w:rsidR="00706AF1" w:rsidRDefault="008F35D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104217618" w:history="1">
        <w:r w:rsidR="00706AF1" w:rsidRPr="00B055BA">
          <w:rPr>
            <w:rStyle w:val="Hyperlink"/>
            <w:noProof/>
          </w:rPr>
          <w:t>Table 2: Summarised MCA results</w:t>
        </w:r>
        <w:r w:rsidR="00706AF1">
          <w:rPr>
            <w:noProof/>
            <w:webHidden/>
          </w:rPr>
          <w:tab/>
        </w:r>
        <w:r w:rsidR="00706AF1">
          <w:rPr>
            <w:noProof/>
            <w:webHidden/>
          </w:rPr>
          <w:fldChar w:fldCharType="begin"/>
        </w:r>
        <w:r w:rsidR="00706AF1">
          <w:rPr>
            <w:noProof/>
            <w:webHidden/>
          </w:rPr>
          <w:instrText xml:space="preserve"> PAGEREF _Toc104217618 \h </w:instrText>
        </w:r>
        <w:r w:rsidR="00706AF1">
          <w:rPr>
            <w:noProof/>
            <w:webHidden/>
          </w:rPr>
        </w:r>
        <w:r w:rsidR="00706AF1">
          <w:rPr>
            <w:noProof/>
            <w:webHidden/>
          </w:rPr>
          <w:fldChar w:fldCharType="separate"/>
        </w:r>
        <w:r w:rsidR="000B3BF6">
          <w:rPr>
            <w:noProof/>
            <w:webHidden/>
          </w:rPr>
          <w:t>xv</w:t>
        </w:r>
        <w:r w:rsidR="00706AF1">
          <w:rPr>
            <w:noProof/>
            <w:webHidden/>
          </w:rPr>
          <w:fldChar w:fldCharType="end"/>
        </w:r>
      </w:hyperlink>
    </w:p>
    <w:p w14:paraId="45DFF69F" w14:textId="3E698A48" w:rsidR="00706AF1" w:rsidRDefault="008F35D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104217619" w:history="1">
        <w:r w:rsidR="00706AF1" w:rsidRPr="00B055BA">
          <w:rPr>
            <w:rStyle w:val="Hyperlink"/>
            <w:noProof/>
          </w:rPr>
          <w:t>Table 3: Latrobe Valley mines bond amounts</w:t>
        </w:r>
        <w:r w:rsidR="00706AF1">
          <w:rPr>
            <w:noProof/>
            <w:webHidden/>
          </w:rPr>
          <w:tab/>
        </w:r>
        <w:r w:rsidR="00706AF1">
          <w:rPr>
            <w:noProof/>
            <w:webHidden/>
          </w:rPr>
          <w:fldChar w:fldCharType="begin"/>
        </w:r>
        <w:r w:rsidR="00706AF1">
          <w:rPr>
            <w:noProof/>
            <w:webHidden/>
          </w:rPr>
          <w:instrText xml:space="preserve"> PAGEREF _Toc104217619 \h </w:instrText>
        </w:r>
        <w:r w:rsidR="00706AF1">
          <w:rPr>
            <w:noProof/>
            <w:webHidden/>
          </w:rPr>
        </w:r>
        <w:r w:rsidR="00706AF1">
          <w:rPr>
            <w:noProof/>
            <w:webHidden/>
          </w:rPr>
          <w:fldChar w:fldCharType="separate"/>
        </w:r>
        <w:r w:rsidR="000B3BF6">
          <w:rPr>
            <w:noProof/>
            <w:webHidden/>
          </w:rPr>
          <w:t>29</w:t>
        </w:r>
        <w:r w:rsidR="00706AF1">
          <w:rPr>
            <w:noProof/>
            <w:webHidden/>
          </w:rPr>
          <w:fldChar w:fldCharType="end"/>
        </w:r>
      </w:hyperlink>
    </w:p>
    <w:p w14:paraId="3C0517F8" w14:textId="5359603C" w:rsidR="00706AF1" w:rsidRDefault="008F35D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104217620" w:history="1">
        <w:r w:rsidR="00706AF1" w:rsidRPr="00B055BA">
          <w:rPr>
            <w:rStyle w:val="Hyperlink"/>
            <w:noProof/>
          </w:rPr>
          <w:t>Table 4: Summary of options considered</w:t>
        </w:r>
        <w:r w:rsidR="00706AF1">
          <w:rPr>
            <w:noProof/>
            <w:webHidden/>
          </w:rPr>
          <w:tab/>
        </w:r>
        <w:r w:rsidR="00706AF1">
          <w:rPr>
            <w:noProof/>
            <w:webHidden/>
          </w:rPr>
          <w:fldChar w:fldCharType="begin"/>
        </w:r>
        <w:r w:rsidR="00706AF1">
          <w:rPr>
            <w:noProof/>
            <w:webHidden/>
          </w:rPr>
          <w:instrText xml:space="preserve"> PAGEREF _Toc104217620 \h </w:instrText>
        </w:r>
        <w:r w:rsidR="00706AF1">
          <w:rPr>
            <w:noProof/>
            <w:webHidden/>
          </w:rPr>
        </w:r>
        <w:r w:rsidR="00706AF1">
          <w:rPr>
            <w:noProof/>
            <w:webHidden/>
          </w:rPr>
          <w:fldChar w:fldCharType="separate"/>
        </w:r>
        <w:r w:rsidR="000B3BF6">
          <w:rPr>
            <w:noProof/>
            <w:webHidden/>
          </w:rPr>
          <w:t>58</w:t>
        </w:r>
        <w:r w:rsidR="00706AF1">
          <w:rPr>
            <w:noProof/>
            <w:webHidden/>
          </w:rPr>
          <w:fldChar w:fldCharType="end"/>
        </w:r>
      </w:hyperlink>
    </w:p>
    <w:p w14:paraId="2A754648" w14:textId="3EE7E46B" w:rsidR="00706AF1" w:rsidRDefault="008F35D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104217621" w:history="1">
        <w:r w:rsidR="00706AF1" w:rsidRPr="00B055BA">
          <w:rPr>
            <w:rStyle w:val="Hyperlink"/>
            <w:noProof/>
          </w:rPr>
          <w:t>Table 5: Benefit criteria</w:t>
        </w:r>
        <w:r w:rsidR="00706AF1">
          <w:rPr>
            <w:noProof/>
            <w:webHidden/>
          </w:rPr>
          <w:tab/>
        </w:r>
        <w:r w:rsidR="00706AF1">
          <w:rPr>
            <w:noProof/>
            <w:webHidden/>
          </w:rPr>
          <w:fldChar w:fldCharType="begin"/>
        </w:r>
        <w:r w:rsidR="00706AF1">
          <w:rPr>
            <w:noProof/>
            <w:webHidden/>
          </w:rPr>
          <w:instrText xml:space="preserve"> PAGEREF _Toc104217621 \h </w:instrText>
        </w:r>
        <w:r w:rsidR="00706AF1">
          <w:rPr>
            <w:noProof/>
            <w:webHidden/>
          </w:rPr>
        </w:r>
        <w:r w:rsidR="00706AF1">
          <w:rPr>
            <w:noProof/>
            <w:webHidden/>
          </w:rPr>
          <w:fldChar w:fldCharType="separate"/>
        </w:r>
        <w:r w:rsidR="000B3BF6">
          <w:rPr>
            <w:noProof/>
            <w:webHidden/>
          </w:rPr>
          <w:t>77</w:t>
        </w:r>
        <w:r w:rsidR="00706AF1">
          <w:rPr>
            <w:noProof/>
            <w:webHidden/>
          </w:rPr>
          <w:fldChar w:fldCharType="end"/>
        </w:r>
      </w:hyperlink>
    </w:p>
    <w:p w14:paraId="7016130B" w14:textId="727E2B71" w:rsidR="00706AF1" w:rsidRDefault="008F35D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104217622" w:history="1">
        <w:r w:rsidR="00706AF1" w:rsidRPr="00B055BA">
          <w:rPr>
            <w:rStyle w:val="Hyperlink"/>
            <w:noProof/>
          </w:rPr>
          <w:t>Table 6: Cost criteria</w:t>
        </w:r>
        <w:r w:rsidR="00706AF1">
          <w:rPr>
            <w:noProof/>
            <w:webHidden/>
          </w:rPr>
          <w:tab/>
        </w:r>
        <w:r w:rsidR="00706AF1">
          <w:rPr>
            <w:noProof/>
            <w:webHidden/>
          </w:rPr>
          <w:fldChar w:fldCharType="begin"/>
        </w:r>
        <w:r w:rsidR="00706AF1">
          <w:rPr>
            <w:noProof/>
            <w:webHidden/>
          </w:rPr>
          <w:instrText xml:space="preserve"> PAGEREF _Toc104217622 \h </w:instrText>
        </w:r>
        <w:r w:rsidR="00706AF1">
          <w:rPr>
            <w:noProof/>
            <w:webHidden/>
          </w:rPr>
        </w:r>
        <w:r w:rsidR="00706AF1">
          <w:rPr>
            <w:noProof/>
            <w:webHidden/>
          </w:rPr>
          <w:fldChar w:fldCharType="separate"/>
        </w:r>
        <w:r w:rsidR="000B3BF6">
          <w:rPr>
            <w:noProof/>
            <w:webHidden/>
          </w:rPr>
          <w:t>78</w:t>
        </w:r>
        <w:r w:rsidR="00706AF1">
          <w:rPr>
            <w:noProof/>
            <w:webHidden/>
          </w:rPr>
          <w:fldChar w:fldCharType="end"/>
        </w:r>
      </w:hyperlink>
    </w:p>
    <w:p w14:paraId="19E57380" w14:textId="02C40D75" w:rsidR="00706AF1" w:rsidRDefault="008F35D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104217623" w:history="1">
        <w:r w:rsidR="00706AF1" w:rsidRPr="00B055BA">
          <w:rPr>
            <w:rStyle w:val="Hyperlink"/>
            <w:noProof/>
          </w:rPr>
          <w:t>Table 7: MCA criteria and weightings</w:t>
        </w:r>
        <w:r w:rsidR="00706AF1">
          <w:rPr>
            <w:noProof/>
            <w:webHidden/>
          </w:rPr>
          <w:tab/>
        </w:r>
        <w:r w:rsidR="00706AF1">
          <w:rPr>
            <w:noProof/>
            <w:webHidden/>
          </w:rPr>
          <w:fldChar w:fldCharType="begin"/>
        </w:r>
        <w:r w:rsidR="00706AF1">
          <w:rPr>
            <w:noProof/>
            <w:webHidden/>
          </w:rPr>
          <w:instrText xml:space="preserve"> PAGEREF _Toc104217623 \h </w:instrText>
        </w:r>
        <w:r w:rsidR="00706AF1">
          <w:rPr>
            <w:noProof/>
            <w:webHidden/>
          </w:rPr>
        </w:r>
        <w:r w:rsidR="00706AF1">
          <w:rPr>
            <w:noProof/>
            <w:webHidden/>
          </w:rPr>
          <w:fldChar w:fldCharType="separate"/>
        </w:r>
        <w:r w:rsidR="000B3BF6">
          <w:rPr>
            <w:noProof/>
            <w:webHidden/>
          </w:rPr>
          <w:t>79</w:t>
        </w:r>
        <w:r w:rsidR="00706AF1">
          <w:rPr>
            <w:noProof/>
            <w:webHidden/>
          </w:rPr>
          <w:fldChar w:fldCharType="end"/>
        </w:r>
      </w:hyperlink>
    </w:p>
    <w:p w14:paraId="128CBB90" w14:textId="0B6EF5C7" w:rsidR="00706AF1" w:rsidRDefault="008F35D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104217624" w:history="1">
        <w:r w:rsidR="00706AF1" w:rsidRPr="00B055BA">
          <w:rPr>
            <w:rStyle w:val="Hyperlink"/>
            <w:noProof/>
          </w:rPr>
          <w:t>Table 8: Summary weighted scores for each option</w:t>
        </w:r>
        <w:r w:rsidR="00706AF1">
          <w:rPr>
            <w:noProof/>
            <w:webHidden/>
          </w:rPr>
          <w:tab/>
        </w:r>
        <w:r w:rsidR="00706AF1">
          <w:rPr>
            <w:noProof/>
            <w:webHidden/>
          </w:rPr>
          <w:fldChar w:fldCharType="begin"/>
        </w:r>
        <w:r w:rsidR="00706AF1">
          <w:rPr>
            <w:noProof/>
            <w:webHidden/>
          </w:rPr>
          <w:instrText xml:space="preserve"> PAGEREF _Toc104217624 \h </w:instrText>
        </w:r>
        <w:r w:rsidR="00706AF1">
          <w:rPr>
            <w:noProof/>
            <w:webHidden/>
          </w:rPr>
        </w:r>
        <w:r w:rsidR="00706AF1">
          <w:rPr>
            <w:noProof/>
            <w:webHidden/>
          </w:rPr>
          <w:fldChar w:fldCharType="separate"/>
        </w:r>
        <w:r w:rsidR="000B3BF6">
          <w:rPr>
            <w:noProof/>
            <w:webHidden/>
          </w:rPr>
          <w:t>80</w:t>
        </w:r>
        <w:r w:rsidR="00706AF1">
          <w:rPr>
            <w:noProof/>
            <w:webHidden/>
          </w:rPr>
          <w:fldChar w:fldCharType="end"/>
        </w:r>
      </w:hyperlink>
    </w:p>
    <w:p w14:paraId="3C04306B" w14:textId="7CC0FE0D" w:rsidR="00706AF1" w:rsidRDefault="008F35D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104217625" w:history="1">
        <w:r w:rsidR="00706AF1" w:rsidRPr="00B055BA">
          <w:rPr>
            <w:rStyle w:val="Hyperlink"/>
            <w:noProof/>
          </w:rPr>
          <w:t>Table 9: Summary of options for DMRPs</w:t>
        </w:r>
        <w:r w:rsidR="00706AF1">
          <w:rPr>
            <w:noProof/>
            <w:webHidden/>
          </w:rPr>
          <w:tab/>
        </w:r>
        <w:r w:rsidR="00706AF1">
          <w:rPr>
            <w:noProof/>
            <w:webHidden/>
          </w:rPr>
          <w:fldChar w:fldCharType="begin"/>
        </w:r>
        <w:r w:rsidR="00706AF1">
          <w:rPr>
            <w:noProof/>
            <w:webHidden/>
          </w:rPr>
          <w:instrText xml:space="preserve"> PAGEREF _Toc104217625 \h </w:instrText>
        </w:r>
        <w:r w:rsidR="00706AF1">
          <w:rPr>
            <w:noProof/>
            <w:webHidden/>
          </w:rPr>
        </w:r>
        <w:r w:rsidR="00706AF1">
          <w:rPr>
            <w:noProof/>
            <w:webHidden/>
          </w:rPr>
          <w:fldChar w:fldCharType="separate"/>
        </w:r>
        <w:r w:rsidR="000B3BF6">
          <w:rPr>
            <w:noProof/>
            <w:webHidden/>
          </w:rPr>
          <w:t>82</w:t>
        </w:r>
        <w:r w:rsidR="00706AF1">
          <w:rPr>
            <w:noProof/>
            <w:webHidden/>
          </w:rPr>
          <w:fldChar w:fldCharType="end"/>
        </w:r>
      </w:hyperlink>
    </w:p>
    <w:p w14:paraId="07C2600D" w14:textId="155EB2E4" w:rsidR="00706AF1" w:rsidRDefault="008F35D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104217626" w:history="1">
        <w:r w:rsidR="00706AF1" w:rsidRPr="00B055BA">
          <w:rPr>
            <w:rStyle w:val="Hyperlink"/>
            <w:noProof/>
          </w:rPr>
          <w:t>Table 10: Options for DMRPs - benefits scores</w:t>
        </w:r>
        <w:r w:rsidR="00706AF1">
          <w:rPr>
            <w:noProof/>
            <w:webHidden/>
          </w:rPr>
          <w:tab/>
        </w:r>
        <w:r w:rsidR="00706AF1">
          <w:rPr>
            <w:noProof/>
            <w:webHidden/>
          </w:rPr>
          <w:fldChar w:fldCharType="begin"/>
        </w:r>
        <w:r w:rsidR="00706AF1">
          <w:rPr>
            <w:noProof/>
            <w:webHidden/>
          </w:rPr>
          <w:instrText xml:space="preserve"> PAGEREF _Toc104217626 \h </w:instrText>
        </w:r>
        <w:r w:rsidR="00706AF1">
          <w:rPr>
            <w:noProof/>
            <w:webHidden/>
          </w:rPr>
        </w:r>
        <w:r w:rsidR="00706AF1">
          <w:rPr>
            <w:noProof/>
            <w:webHidden/>
          </w:rPr>
          <w:fldChar w:fldCharType="separate"/>
        </w:r>
        <w:r w:rsidR="000B3BF6">
          <w:rPr>
            <w:noProof/>
            <w:webHidden/>
          </w:rPr>
          <w:t>89</w:t>
        </w:r>
        <w:r w:rsidR="00706AF1">
          <w:rPr>
            <w:noProof/>
            <w:webHidden/>
          </w:rPr>
          <w:fldChar w:fldCharType="end"/>
        </w:r>
      </w:hyperlink>
    </w:p>
    <w:p w14:paraId="46EB8AC5" w14:textId="6DCB9608" w:rsidR="00706AF1" w:rsidRDefault="008F35D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104217627" w:history="1">
        <w:r w:rsidR="00706AF1" w:rsidRPr="00B055BA">
          <w:rPr>
            <w:rStyle w:val="Hyperlink"/>
            <w:noProof/>
          </w:rPr>
          <w:t>Table 11: Options for DMRPs - cost to industry scores</w:t>
        </w:r>
        <w:r w:rsidR="00706AF1">
          <w:rPr>
            <w:noProof/>
            <w:webHidden/>
          </w:rPr>
          <w:tab/>
        </w:r>
        <w:r w:rsidR="00706AF1">
          <w:rPr>
            <w:noProof/>
            <w:webHidden/>
          </w:rPr>
          <w:fldChar w:fldCharType="begin"/>
        </w:r>
        <w:r w:rsidR="00706AF1">
          <w:rPr>
            <w:noProof/>
            <w:webHidden/>
          </w:rPr>
          <w:instrText xml:space="preserve"> PAGEREF _Toc104217627 \h </w:instrText>
        </w:r>
        <w:r w:rsidR="00706AF1">
          <w:rPr>
            <w:noProof/>
            <w:webHidden/>
          </w:rPr>
        </w:r>
        <w:r w:rsidR="00706AF1">
          <w:rPr>
            <w:noProof/>
            <w:webHidden/>
          </w:rPr>
          <w:fldChar w:fldCharType="separate"/>
        </w:r>
        <w:r w:rsidR="000B3BF6">
          <w:rPr>
            <w:noProof/>
            <w:webHidden/>
          </w:rPr>
          <w:t>95</w:t>
        </w:r>
        <w:r w:rsidR="00706AF1">
          <w:rPr>
            <w:noProof/>
            <w:webHidden/>
          </w:rPr>
          <w:fldChar w:fldCharType="end"/>
        </w:r>
      </w:hyperlink>
    </w:p>
    <w:p w14:paraId="55377C4F" w14:textId="77459235" w:rsidR="00706AF1" w:rsidRDefault="008F35D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104217628" w:history="1">
        <w:r w:rsidR="00706AF1" w:rsidRPr="00B055BA">
          <w:rPr>
            <w:rStyle w:val="Hyperlink"/>
            <w:noProof/>
          </w:rPr>
          <w:t>Table 12: Options for DMRPs - cost to government scores</w:t>
        </w:r>
        <w:r w:rsidR="00706AF1">
          <w:rPr>
            <w:noProof/>
            <w:webHidden/>
          </w:rPr>
          <w:tab/>
        </w:r>
        <w:r w:rsidR="00706AF1">
          <w:rPr>
            <w:noProof/>
            <w:webHidden/>
          </w:rPr>
          <w:fldChar w:fldCharType="begin"/>
        </w:r>
        <w:r w:rsidR="00706AF1">
          <w:rPr>
            <w:noProof/>
            <w:webHidden/>
          </w:rPr>
          <w:instrText xml:space="preserve"> PAGEREF _Toc104217628 \h </w:instrText>
        </w:r>
        <w:r w:rsidR="00706AF1">
          <w:rPr>
            <w:noProof/>
            <w:webHidden/>
          </w:rPr>
        </w:r>
        <w:r w:rsidR="00706AF1">
          <w:rPr>
            <w:noProof/>
            <w:webHidden/>
          </w:rPr>
          <w:fldChar w:fldCharType="separate"/>
        </w:r>
        <w:r w:rsidR="000B3BF6">
          <w:rPr>
            <w:noProof/>
            <w:webHidden/>
          </w:rPr>
          <w:t>97</w:t>
        </w:r>
        <w:r w:rsidR="00706AF1">
          <w:rPr>
            <w:noProof/>
            <w:webHidden/>
          </w:rPr>
          <w:fldChar w:fldCharType="end"/>
        </w:r>
      </w:hyperlink>
    </w:p>
    <w:p w14:paraId="4CA8CD3F" w14:textId="7F50D902" w:rsidR="00706AF1" w:rsidRDefault="008F35D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104217629" w:history="1">
        <w:r w:rsidR="00706AF1" w:rsidRPr="00B055BA">
          <w:rPr>
            <w:rStyle w:val="Hyperlink"/>
            <w:noProof/>
          </w:rPr>
          <w:t>Table 13: Summary of options for mine closure determinations</w:t>
        </w:r>
        <w:r w:rsidR="00706AF1">
          <w:rPr>
            <w:noProof/>
            <w:webHidden/>
          </w:rPr>
          <w:tab/>
        </w:r>
        <w:r w:rsidR="00706AF1">
          <w:rPr>
            <w:noProof/>
            <w:webHidden/>
          </w:rPr>
          <w:fldChar w:fldCharType="begin"/>
        </w:r>
        <w:r w:rsidR="00706AF1">
          <w:rPr>
            <w:noProof/>
            <w:webHidden/>
          </w:rPr>
          <w:instrText xml:space="preserve"> PAGEREF _Toc104217629 \h </w:instrText>
        </w:r>
        <w:r w:rsidR="00706AF1">
          <w:rPr>
            <w:noProof/>
            <w:webHidden/>
          </w:rPr>
        </w:r>
        <w:r w:rsidR="00706AF1">
          <w:rPr>
            <w:noProof/>
            <w:webHidden/>
          </w:rPr>
          <w:fldChar w:fldCharType="separate"/>
        </w:r>
        <w:r w:rsidR="000B3BF6">
          <w:rPr>
            <w:noProof/>
            <w:webHidden/>
          </w:rPr>
          <w:t>98</w:t>
        </w:r>
        <w:r w:rsidR="00706AF1">
          <w:rPr>
            <w:noProof/>
            <w:webHidden/>
          </w:rPr>
          <w:fldChar w:fldCharType="end"/>
        </w:r>
      </w:hyperlink>
    </w:p>
    <w:p w14:paraId="02D6CEF8" w14:textId="7375B661" w:rsidR="00706AF1" w:rsidRDefault="008F35D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104217630" w:history="1">
        <w:r w:rsidR="00706AF1" w:rsidRPr="00B055BA">
          <w:rPr>
            <w:rStyle w:val="Hyperlink"/>
            <w:noProof/>
          </w:rPr>
          <w:t>Table 14: Benefits scores - mine closure determinations</w:t>
        </w:r>
        <w:r w:rsidR="00706AF1">
          <w:rPr>
            <w:noProof/>
            <w:webHidden/>
          </w:rPr>
          <w:tab/>
        </w:r>
        <w:r w:rsidR="00706AF1">
          <w:rPr>
            <w:noProof/>
            <w:webHidden/>
          </w:rPr>
          <w:fldChar w:fldCharType="begin"/>
        </w:r>
        <w:r w:rsidR="00706AF1">
          <w:rPr>
            <w:noProof/>
            <w:webHidden/>
          </w:rPr>
          <w:instrText xml:space="preserve"> PAGEREF _Toc104217630 \h </w:instrText>
        </w:r>
        <w:r w:rsidR="00706AF1">
          <w:rPr>
            <w:noProof/>
            <w:webHidden/>
          </w:rPr>
        </w:r>
        <w:r w:rsidR="00706AF1">
          <w:rPr>
            <w:noProof/>
            <w:webHidden/>
          </w:rPr>
          <w:fldChar w:fldCharType="separate"/>
        </w:r>
        <w:r w:rsidR="000B3BF6">
          <w:rPr>
            <w:noProof/>
            <w:webHidden/>
          </w:rPr>
          <w:t>99</w:t>
        </w:r>
        <w:r w:rsidR="00706AF1">
          <w:rPr>
            <w:noProof/>
            <w:webHidden/>
          </w:rPr>
          <w:fldChar w:fldCharType="end"/>
        </w:r>
      </w:hyperlink>
    </w:p>
    <w:p w14:paraId="05CEB4D9" w14:textId="607E2B8E" w:rsidR="00706AF1" w:rsidRDefault="008F35D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104217631" w:history="1">
        <w:r w:rsidR="00706AF1" w:rsidRPr="00B055BA">
          <w:rPr>
            <w:rStyle w:val="Hyperlink"/>
            <w:noProof/>
          </w:rPr>
          <w:t>Table 15: Cost to industry scores - mine closure determinations</w:t>
        </w:r>
        <w:r w:rsidR="00706AF1">
          <w:rPr>
            <w:noProof/>
            <w:webHidden/>
          </w:rPr>
          <w:tab/>
        </w:r>
        <w:r w:rsidR="00706AF1">
          <w:rPr>
            <w:noProof/>
            <w:webHidden/>
          </w:rPr>
          <w:fldChar w:fldCharType="begin"/>
        </w:r>
        <w:r w:rsidR="00706AF1">
          <w:rPr>
            <w:noProof/>
            <w:webHidden/>
          </w:rPr>
          <w:instrText xml:space="preserve"> PAGEREF _Toc104217631 \h </w:instrText>
        </w:r>
        <w:r w:rsidR="00706AF1">
          <w:rPr>
            <w:noProof/>
            <w:webHidden/>
          </w:rPr>
        </w:r>
        <w:r w:rsidR="00706AF1">
          <w:rPr>
            <w:noProof/>
            <w:webHidden/>
          </w:rPr>
          <w:fldChar w:fldCharType="separate"/>
        </w:r>
        <w:r w:rsidR="000B3BF6">
          <w:rPr>
            <w:noProof/>
            <w:webHidden/>
          </w:rPr>
          <w:t>100</w:t>
        </w:r>
        <w:r w:rsidR="00706AF1">
          <w:rPr>
            <w:noProof/>
            <w:webHidden/>
          </w:rPr>
          <w:fldChar w:fldCharType="end"/>
        </w:r>
      </w:hyperlink>
    </w:p>
    <w:p w14:paraId="65FC9783" w14:textId="0911DAEA" w:rsidR="00706AF1" w:rsidRDefault="008F35D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104217632" w:history="1">
        <w:r w:rsidR="00706AF1" w:rsidRPr="00B055BA">
          <w:rPr>
            <w:rStyle w:val="Hyperlink"/>
            <w:noProof/>
          </w:rPr>
          <w:t>Table 16: Cost to government scores - mine closure determinations</w:t>
        </w:r>
        <w:r w:rsidR="00706AF1">
          <w:rPr>
            <w:noProof/>
            <w:webHidden/>
          </w:rPr>
          <w:tab/>
        </w:r>
        <w:r w:rsidR="00706AF1">
          <w:rPr>
            <w:noProof/>
            <w:webHidden/>
          </w:rPr>
          <w:fldChar w:fldCharType="begin"/>
        </w:r>
        <w:r w:rsidR="00706AF1">
          <w:rPr>
            <w:noProof/>
            <w:webHidden/>
          </w:rPr>
          <w:instrText xml:space="preserve"> PAGEREF _Toc104217632 \h </w:instrText>
        </w:r>
        <w:r w:rsidR="00706AF1">
          <w:rPr>
            <w:noProof/>
            <w:webHidden/>
          </w:rPr>
        </w:r>
        <w:r w:rsidR="00706AF1">
          <w:rPr>
            <w:noProof/>
            <w:webHidden/>
          </w:rPr>
          <w:fldChar w:fldCharType="separate"/>
        </w:r>
        <w:r w:rsidR="000B3BF6">
          <w:rPr>
            <w:noProof/>
            <w:webHidden/>
          </w:rPr>
          <w:t>101</w:t>
        </w:r>
        <w:r w:rsidR="00706AF1">
          <w:rPr>
            <w:noProof/>
            <w:webHidden/>
          </w:rPr>
          <w:fldChar w:fldCharType="end"/>
        </w:r>
      </w:hyperlink>
    </w:p>
    <w:p w14:paraId="264D73A5" w14:textId="06599B48" w:rsidR="00706AF1" w:rsidRDefault="008F35D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104217633" w:history="1">
        <w:r w:rsidR="00706AF1" w:rsidRPr="00B055BA">
          <w:rPr>
            <w:rStyle w:val="Hyperlink"/>
            <w:noProof/>
          </w:rPr>
          <w:t>Table 17: Summary of options for mine land registration</w:t>
        </w:r>
        <w:r w:rsidR="00706AF1">
          <w:rPr>
            <w:noProof/>
            <w:webHidden/>
          </w:rPr>
          <w:tab/>
        </w:r>
        <w:r w:rsidR="00706AF1">
          <w:rPr>
            <w:noProof/>
            <w:webHidden/>
          </w:rPr>
          <w:fldChar w:fldCharType="begin"/>
        </w:r>
        <w:r w:rsidR="00706AF1">
          <w:rPr>
            <w:noProof/>
            <w:webHidden/>
          </w:rPr>
          <w:instrText xml:space="preserve"> PAGEREF _Toc104217633 \h </w:instrText>
        </w:r>
        <w:r w:rsidR="00706AF1">
          <w:rPr>
            <w:noProof/>
            <w:webHidden/>
          </w:rPr>
        </w:r>
        <w:r w:rsidR="00706AF1">
          <w:rPr>
            <w:noProof/>
            <w:webHidden/>
          </w:rPr>
          <w:fldChar w:fldCharType="separate"/>
        </w:r>
        <w:r w:rsidR="000B3BF6">
          <w:rPr>
            <w:noProof/>
            <w:webHidden/>
          </w:rPr>
          <w:t>102</w:t>
        </w:r>
        <w:r w:rsidR="00706AF1">
          <w:rPr>
            <w:noProof/>
            <w:webHidden/>
          </w:rPr>
          <w:fldChar w:fldCharType="end"/>
        </w:r>
      </w:hyperlink>
    </w:p>
    <w:p w14:paraId="045A3D30" w14:textId="38DCCAD3" w:rsidR="00706AF1" w:rsidRDefault="008F35D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104217634" w:history="1">
        <w:r w:rsidR="00706AF1" w:rsidRPr="00B055BA">
          <w:rPr>
            <w:rStyle w:val="Hyperlink"/>
            <w:noProof/>
          </w:rPr>
          <w:t>Table 18: Benefits scores - mine land registration</w:t>
        </w:r>
        <w:r w:rsidR="00706AF1">
          <w:rPr>
            <w:noProof/>
            <w:webHidden/>
          </w:rPr>
          <w:tab/>
        </w:r>
        <w:r w:rsidR="00706AF1">
          <w:rPr>
            <w:noProof/>
            <w:webHidden/>
          </w:rPr>
          <w:fldChar w:fldCharType="begin"/>
        </w:r>
        <w:r w:rsidR="00706AF1">
          <w:rPr>
            <w:noProof/>
            <w:webHidden/>
          </w:rPr>
          <w:instrText xml:space="preserve"> PAGEREF _Toc104217634 \h </w:instrText>
        </w:r>
        <w:r w:rsidR="00706AF1">
          <w:rPr>
            <w:noProof/>
            <w:webHidden/>
          </w:rPr>
        </w:r>
        <w:r w:rsidR="00706AF1">
          <w:rPr>
            <w:noProof/>
            <w:webHidden/>
          </w:rPr>
          <w:fldChar w:fldCharType="separate"/>
        </w:r>
        <w:r w:rsidR="000B3BF6">
          <w:rPr>
            <w:noProof/>
            <w:webHidden/>
          </w:rPr>
          <w:t>104</w:t>
        </w:r>
        <w:r w:rsidR="00706AF1">
          <w:rPr>
            <w:noProof/>
            <w:webHidden/>
          </w:rPr>
          <w:fldChar w:fldCharType="end"/>
        </w:r>
      </w:hyperlink>
    </w:p>
    <w:p w14:paraId="14EA0F6A" w14:textId="702F49F8" w:rsidR="00706AF1" w:rsidRDefault="008F35D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104217635" w:history="1">
        <w:r w:rsidR="00706AF1" w:rsidRPr="00B055BA">
          <w:rPr>
            <w:rStyle w:val="Hyperlink"/>
            <w:noProof/>
          </w:rPr>
          <w:t>Table 19: Cost to industry scores - mine land registration</w:t>
        </w:r>
        <w:r w:rsidR="00706AF1">
          <w:rPr>
            <w:noProof/>
            <w:webHidden/>
          </w:rPr>
          <w:tab/>
        </w:r>
        <w:r w:rsidR="00706AF1">
          <w:rPr>
            <w:noProof/>
            <w:webHidden/>
          </w:rPr>
          <w:fldChar w:fldCharType="begin"/>
        </w:r>
        <w:r w:rsidR="00706AF1">
          <w:rPr>
            <w:noProof/>
            <w:webHidden/>
          </w:rPr>
          <w:instrText xml:space="preserve"> PAGEREF _Toc104217635 \h </w:instrText>
        </w:r>
        <w:r w:rsidR="00706AF1">
          <w:rPr>
            <w:noProof/>
            <w:webHidden/>
          </w:rPr>
        </w:r>
        <w:r w:rsidR="00706AF1">
          <w:rPr>
            <w:noProof/>
            <w:webHidden/>
          </w:rPr>
          <w:fldChar w:fldCharType="separate"/>
        </w:r>
        <w:r w:rsidR="000B3BF6">
          <w:rPr>
            <w:noProof/>
            <w:webHidden/>
          </w:rPr>
          <w:t>105</w:t>
        </w:r>
        <w:r w:rsidR="00706AF1">
          <w:rPr>
            <w:noProof/>
            <w:webHidden/>
          </w:rPr>
          <w:fldChar w:fldCharType="end"/>
        </w:r>
      </w:hyperlink>
    </w:p>
    <w:p w14:paraId="725E1917" w14:textId="621FF91D" w:rsidR="00706AF1" w:rsidRDefault="008F35D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104217636" w:history="1">
        <w:r w:rsidR="00706AF1" w:rsidRPr="00B055BA">
          <w:rPr>
            <w:rStyle w:val="Hyperlink"/>
            <w:noProof/>
          </w:rPr>
          <w:t>Table 20: Cost to government scores - mine land registration</w:t>
        </w:r>
        <w:r w:rsidR="00706AF1">
          <w:rPr>
            <w:noProof/>
            <w:webHidden/>
          </w:rPr>
          <w:tab/>
        </w:r>
        <w:r w:rsidR="00706AF1">
          <w:rPr>
            <w:noProof/>
            <w:webHidden/>
          </w:rPr>
          <w:fldChar w:fldCharType="begin"/>
        </w:r>
        <w:r w:rsidR="00706AF1">
          <w:rPr>
            <w:noProof/>
            <w:webHidden/>
          </w:rPr>
          <w:instrText xml:space="preserve"> PAGEREF _Toc104217636 \h </w:instrText>
        </w:r>
        <w:r w:rsidR="00706AF1">
          <w:rPr>
            <w:noProof/>
            <w:webHidden/>
          </w:rPr>
        </w:r>
        <w:r w:rsidR="00706AF1">
          <w:rPr>
            <w:noProof/>
            <w:webHidden/>
          </w:rPr>
          <w:fldChar w:fldCharType="separate"/>
        </w:r>
        <w:r w:rsidR="000B3BF6">
          <w:rPr>
            <w:noProof/>
            <w:webHidden/>
          </w:rPr>
          <w:t>106</w:t>
        </w:r>
        <w:r w:rsidR="00706AF1">
          <w:rPr>
            <w:noProof/>
            <w:webHidden/>
          </w:rPr>
          <w:fldChar w:fldCharType="end"/>
        </w:r>
      </w:hyperlink>
    </w:p>
    <w:p w14:paraId="1EF5816A" w14:textId="6BE971B5" w:rsidR="00706AF1" w:rsidRDefault="008F35D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104217637" w:history="1">
        <w:r w:rsidR="00706AF1" w:rsidRPr="00B055BA">
          <w:rPr>
            <w:rStyle w:val="Hyperlink"/>
            <w:noProof/>
          </w:rPr>
          <w:t>Table 21: Annualised regulatory cost by tenement type – minerals industry ($ thousand)</w:t>
        </w:r>
        <w:r w:rsidR="00706AF1">
          <w:rPr>
            <w:noProof/>
            <w:webHidden/>
          </w:rPr>
          <w:tab/>
        </w:r>
        <w:r w:rsidR="00706AF1">
          <w:rPr>
            <w:noProof/>
            <w:webHidden/>
          </w:rPr>
          <w:fldChar w:fldCharType="begin"/>
        </w:r>
        <w:r w:rsidR="00706AF1">
          <w:rPr>
            <w:noProof/>
            <w:webHidden/>
          </w:rPr>
          <w:instrText xml:space="preserve"> PAGEREF _Toc104217637 \h </w:instrText>
        </w:r>
        <w:r w:rsidR="00706AF1">
          <w:rPr>
            <w:noProof/>
            <w:webHidden/>
          </w:rPr>
        </w:r>
        <w:r w:rsidR="00706AF1">
          <w:rPr>
            <w:noProof/>
            <w:webHidden/>
          </w:rPr>
          <w:fldChar w:fldCharType="separate"/>
        </w:r>
        <w:r w:rsidR="000B3BF6">
          <w:rPr>
            <w:noProof/>
            <w:webHidden/>
          </w:rPr>
          <w:t>107</w:t>
        </w:r>
        <w:r w:rsidR="00706AF1">
          <w:rPr>
            <w:noProof/>
            <w:webHidden/>
          </w:rPr>
          <w:fldChar w:fldCharType="end"/>
        </w:r>
      </w:hyperlink>
    </w:p>
    <w:p w14:paraId="4B72954D" w14:textId="4C2FE61E" w:rsidR="00706AF1" w:rsidRDefault="008F35D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104217638" w:history="1">
        <w:r w:rsidR="00706AF1" w:rsidRPr="00B055BA">
          <w:rPr>
            <w:rStyle w:val="Hyperlink"/>
            <w:noProof/>
          </w:rPr>
          <w:t>Table 22: Annualised regulatory cost by tenement type – per minerals tenement ($ thousand)</w:t>
        </w:r>
        <w:r w:rsidR="00706AF1">
          <w:rPr>
            <w:noProof/>
            <w:webHidden/>
          </w:rPr>
          <w:tab/>
        </w:r>
        <w:r w:rsidR="00706AF1">
          <w:rPr>
            <w:noProof/>
            <w:webHidden/>
          </w:rPr>
          <w:fldChar w:fldCharType="begin"/>
        </w:r>
        <w:r w:rsidR="00706AF1">
          <w:rPr>
            <w:noProof/>
            <w:webHidden/>
          </w:rPr>
          <w:instrText xml:space="preserve"> PAGEREF _Toc104217638 \h </w:instrText>
        </w:r>
        <w:r w:rsidR="00706AF1">
          <w:rPr>
            <w:noProof/>
            <w:webHidden/>
          </w:rPr>
        </w:r>
        <w:r w:rsidR="00706AF1">
          <w:rPr>
            <w:noProof/>
            <w:webHidden/>
          </w:rPr>
          <w:fldChar w:fldCharType="separate"/>
        </w:r>
        <w:r w:rsidR="000B3BF6">
          <w:rPr>
            <w:noProof/>
            <w:webHidden/>
          </w:rPr>
          <w:t>107</w:t>
        </w:r>
        <w:r w:rsidR="00706AF1">
          <w:rPr>
            <w:noProof/>
            <w:webHidden/>
          </w:rPr>
          <w:fldChar w:fldCharType="end"/>
        </w:r>
      </w:hyperlink>
    </w:p>
    <w:p w14:paraId="05D683FE" w14:textId="4B48F9D5" w:rsidR="00706AF1" w:rsidRDefault="008F35D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104217639" w:history="1">
        <w:r w:rsidR="00706AF1" w:rsidRPr="00B055BA">
          <w:rPr>
            <w:rStyle w:val="Hyperlink"/>
            <w:noProof/>
          </w:rPr>
          <w:t>Table 23: Competition assessment questions</w:t>
        </w:r>
        <w:r w:rsidR="00706AF1">
          <w:rPr>
            <w:noProof/>
            <w:webHidden/>
          </w:rPr>
          <w:tab/>
        </w:r>
        <w:r w:rsidR="00706AF1">
          <w:rPr>
            <w:noProof/>
            <w:webHidden/>
          </w:rPr>
          <w:fldChar w:fldCharType="begin"/>
        </w:r>
        <w:r w:rsidR="00706AF1">
          <w:rPr>
            <w:noProof/>
            <w:webHidden/>
          </w:rPr>
          <w:instrText xml:space="preserve"> PAGEREF _Toc104217639 \h </w:instrText>
        </w:r>
        <w:r w:rsidR="00706AF1">
          <w:rPr>
            <w:noProof/>
            <w:webHidden/>
          </w:rPr>
        </w:r>
        <w:r w:rsidR="00706AF1">
          <w:rPr>
            <w:noProof/>
            <w:webHidden/>
          </w:rPr>
          <w:fldChar w:fldCharType="separate"/>
        </w:r>
        <w:r w:rsidR="000B3BF6">
          <w:rPr>
            <w:noProof/>
            <w:webHidden/>
          </w:rPr>
          <w:t>111</w:t>
        </w:r>
        <w:r w:rsidR="00706AF1">
          <w:rPr>
            <w:noProof/>
            <w:webHidden/>
          </w:rPr>
          <w:fldChar w:fldCharType="end"/>
        </w:r>
      </w:hyperlink>
    </w:p>
    <w:p w14:paraId="119252A9" w14:textId="63F93987" w:rsidR="00706AF1" w:rsidRDefault="008F35D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104217640" w:history="1">
        <w:r w:rsidR="00706AF1" w:rsidRPr="00B055BA">
          <w:rPr>
            <w:rStyle w:val="Hyperlink"/>
            <w:noProof/>
          </w:rPr>
          <w:t>Table 24: Implementation Planning</w:t>
        </w:r>
        <w:r w:rsidR="00706AF1">
          <w:rPr>
            <w:noProof/>
            <w:webHidden/>
          </w:rPr>
          <w:tab/>
        </w:r>
        <w:r w:rsidR="00706AF1">
          <w:rPr>
            <w:noProof/>
            <w:webHidden/>
          </w:rPr>
          <w:fldChar w:fldCharType="begin"/>
        </w:r>
        <w:r w:rsidR="00706AF1">
          <w:rPr>
            <w:noProof/>
            <w:webHidden/>
          </w:rPr>
          <w:instrText xml:space="preserve"> PAGEREF _Toc104217640 \h </w:instrText>
        </w:r>
        <w:r w:rsidR="00706AF1">
          <w:rPr>
            <w:noProof/>
            <w:webHidden/>
          </w:rPr>
        </w:r>
        <w:r w:rsidR="00706AF1">
          <w:rPr>
            <w:noProof/>
            <w:webHidden/>
          </w:rPr>
          <w:fldChar w:fldCharType="separate"/>
        </w:r>
        <w:r w:rsidR="000B3BF6">
          <w:rPr>
            <w:noProof/>
            <w:webHidden/>
          </w:rPr>
          <w:t>114</w:t>
        </w:r>
        <w:r w:rsidR="00706AF1">
          <w:rPr>
            <w:noProof/>
            <w:webHidden/>
          </w:rPr>
          <w:fldChar w:fldCharType="end"/>
        </w:r>
      </w:hyperlink>
    </w:p>
    <w:p w14:paraId="3579D764" w14:textId="696E3567" w:rsidR="00706AF1" w:rsidRDefault="008F35D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104217641" w:history="1">
        <w:r w:rsidR="00706AF1" w:rsidRPr="00B055BA">
          <w:rPr>
            <w:rStyle w:val="Hyperlink"/>
            <w:noProof/>
          </w:rPr>
          <w:t>Table 25: ERR compliance tool hierarchy</w:t>
        </w:r>
        <w:r w:rsidR="00706AF1">
          <w:rPr>
            <w:noProof/>
            <w:webHidden/>
          </w:rPr>
          <w:tab/>
        </w:r>
        <w:r w:rsidR="00706AF1">
          <w:rPr>
            <w:noProof/>
            <w:webHidden/>
          </w:rPr>
          <w:fldChar w:fldCharType="begin"/>
        </w:r>
        <w:r w:rsidR="00706AF1">
          <w:rPr>
            <w:noProof/>
            <w:webHidden/>
          </w:rPr>
          <w:instrText xml:space="preserve"> PAGEREF _Toc104217641 \h </w:instrText>
        </w:r>
        <w:r w:rsidR="00706AF1">
          <w:rPr>
            <w:noProof/>
            <w:webHidden/>
          </w:rPr>
        </w:r>
        <w:r w:rsidR="00706AF1">
          <w:rPr>
            <w:noProof/>
            <w:webHidden/>
          </w:rPr>
          <w:fldChar w:fldCharType="separate"/>
        </w:r>
        <w:r w:rsidR="000B3BF6">
          <w:rPr>
            <w:noProof/>
            <w:webHidden/>
          </w:rPr>
          <w:t>117</w:t>
        </w:r>
        <w:r w:rsidR="00706AF1">
          <w:rPr>
            <w:noProof/>
            <w:webHidden/>
          </w:rPr>
          <w:fldChar w:fldCharType="end"/>
        </w:r>
      </w:hyperlink>
    </w:p>
    <w:p w14:paraId="1E48E16F" w14:textId="58E1405E" w:rsidR="00706AF1" w:rsidRDefault="008F35D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104217642" w:history="1">
        <w:r w:rsidR="00706AF1" w:rsidRPr="00B055BA">
          <w:rPr>
            <w:rStyle w:val="Hyperlink"/>
            <w:noProof/>
          </w:rPr>
          <w:t>Table 26: Evaluation of the proposed Regulations</w:t>
        </w:r>
        <w:r w:rsidR="00706AF1">
          <w:rPr>
            <w:noProof/>
            <w:webHidden/>
          </w:rPr>
          <w:tab/>
        </w:r>
        <w:r w:rsidR="00706AF1">
          <w:rPr>
            <w:noProof/>
            <w:webHidden/>
          </w:rPr>
          <w:fldChar w:fldCharType="begin"/>
        </w:r>
        <w:r w:rsidR="00706AF1">
          <w:rPr>
            <w:noProof/>
            <w:webHidden/>
          </w:rPr>
          <w:instrText xml:space="preserve"> PAGEREF _Toc104217642 \h </w:instrText>
        </w:r>
        <w:r w:rsidR="00706AF1">
          <w:rPr>
            <w:noProof/>
            <w:webHidden/>
          </w:rPr>
        </w:r>
        <w:r w:rsidR="00706AF1">
          <w:rPr>
            <w:noProof/>
            <w:webHidden/>
          </w:rPr>
          <w:fldChar w:fldCharType="separate"/>
        </w:r>
        <w:r w:rsidR="000B3BF6">
          <w:rPr>
            <w:noProof/>
            <w:webHidden/>
          </w:rPr>
          <w:t>119</w:t>
        </w:r>
        <w:r w:rsidR="00706AF1">
          <w:rPr>
            <w:noProof/>
            <w:webHidden/>
          </w:rPr>
          <w:fldChar w:fldCharType="end"/>
        </w:r>
      </w:hyperlink>
    </w:p>
    <w:p w14:paraId="6CFD2B73" w14:textId="4C50E363" w:rsidR="00706AF1" w:rsidRDefault="008F35DB">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104217643" w:history="1">
        <w:r w:rsidR="00706AF1" w:rsidRPr="00B055BA">
          <w:rPr>
            <w:rStyle w:val="Hyperlink"/>
            <w:noProof/>
          </w:rPr>
          <w:t>Table 27: Consultation activity schedule</w:t>
        </w:r>
        <w:r w:rsidR="00706AF1">
          <w:rPr>
            <w:noProof/>
            <w:webHidden/>
          </w:rPr>
          <w:tab/>
        </w:r>
        <w:r w:rsidR="00706AF1">
          <w:rPr>
            <w:noProof/>
            <w:webHidden/>
          </w:rPr>
          <w:fldChar w:fldCharType="begin"/>
        </w:r>
        <w:r w:rsidR="00706AF1">
          <w:rPr>
            <w:noProof/>
            <w:webHidden/>
          </w:rPr>
          <w:instrText xml:space="preserve"> PAGEREF _Toc104217643 \h </w:instrText>
        </w:r>
        <w:r w:rsidR="00706AF1">
          <w:rPr>
            <w:noProof/>
            <w:webHidden/>
          </w:rPr>
        </w:r>
        <w:r w:rsidR="00706AF1">
          <w:rPr>
            <w:noProof/>
            <w:webHidden/>
          </w:rPr>
          <w:fldChar w:fldCharType="separate"/>
        </w:r>
        <w:r w:rsidR="000B3BF6">
          <w:rPr>
            <w:noProof/>
            <w:webHidden/>
          </w:rPr>
          <w:t>120</w:t>
        </w:r>
        <w:r w:rsidR="00706AF1">
          <w:rPr>
            <w:noProof/>
            <w:webHidden/>
          </w:rPr>
          <w:fldChar w:fldCharType="end"/>
        </w:r>
      </w:hyperlink>
    </w:p>
    <w:p w14:paraId="74586F44" w14:textId="27E0D067" w:rsidR="00A52011" w:rsidRDefault="00A52011" w:rsidP="00A52011">
      <w:r>
        <w:fldChar w:fldCharType="end"/>
      </w:r>
    </w:p>
    <w:p w14:paraId="13236664" w14:textId="77777777" w:rsidR="00706AF1" w:rsidRDefault="00706AF1">
      <w:pPr>
        <w:spacing w:before="0" w:line="276" w:lineRule="auto"/>
        <w:rPr>
          <w:b/>
          <w:bCs/>
          <w:color w:val="201547"/>
          <w:sz w:val="36"/>
          <w:szCs w:val="32"/>
        </w:rPr>
      </w:pPr>
      <w:r>
        <w:br w:type="page"/>
      </w:r>
    </w:p>
    <w:p w14:paraId="1E011C1B" w14:textId="4C1510A8" w:rsidR="00C64E68" w:rsidRDefault="00C64E68" w:rsidP="00CB6C88">
      <w:pPr>
        <w:pStyle w:val="Heading1"/>
        <w:numPr>
          <w:ilvl w:val="0"/>
          <w:numId w:val="0"/>
        </w:numPr>
        <w:ind w:left="360" w:hanging="360"/>
      </w:pPr>
      <w:bookmarkStart w:id="2" w:name="_Toc104217645"/>
      <w:r>
        <w:lastRenderedPageBreak/>
        <w:t>Abbreviations</w:t>
      </w:r>
      <w:bookmarkEnd w:id="2"/>
    </w:p>
    <w:p w14:paraId="2BA00609" w14:textId="49E653B3" w:rsidR="00C64E68" w:rsidRDefault="00C64E68" w:rsidP="00C64E68">
      <w:pPr>
        <w:rPr>
          <w:i/>
        </w:rPr>
      </w:pPr>
      <w:r>
        <w:t xml:space="preserve">‘the Act’ – </w:t>
      </w:r>
      <w:r>
        <w:rPr>
          <w:i/>
        </w:rPr>
        <w:t>Mineral Resources (Sustainable Development) Act 1990</w:t>
      </w:r>
      <w:r w:rsidR="009B7442" w:rsidRPr="00CD14BC">
        <w:rPr>
          <w:iCs/>
        </w:rPr>
        <w:t xml:space="preserve"> (Vic)</w:t>
      </w:r>
    </w:p>
    <w:p w14:paraId="35145306" w14:textId="4069A453" w:rsidR="00C64E68" w:rsidRPr="00CA1C95" w:rsidRDefault="00C64E68" w:rsidP="00C64E68">
      <w:pPr>
        <w:rPr>
          <w:iCs/>
        </w:rPr>
      </w:pPr>
      <w:r w:rsidRPr="00CA1C95">
        <w:rPr>
          <w:iCs/>
        </w:rPr>
        <w:t xml:space="preserve">‘the Amendment Act’ </w:t>
      </w:r>
      <w:r w:rsidR="007A42D4">
        <w:rPr>
          <w:iCs/>
        </w:rPr>
        <w:t>–</w:t>
      </w:r>
      <w:r w:rsidRPr="00CA1C95">
        <w:rPr>
          <w:iCs/>
        </w:rPr>
        <w:t xml:space="preserve"> </w:t>
      </w:r>
      <w:r w:rsidRPr="002B7750">
        <w:rPr>
          <w:i/>
          <w:iCs/>
        </w:rPr>
        <w:t>Mineral Resources (Sustainable Development) Amendment Act 2019</w:t>
      </w:r>
      <w:r w:rsidR="00D84318">
        <w:rPr>
          <w:i/>
          <w:iCs/>
        </w:rPr>
        <w:t xml:space="preserve"> </w:t>
      </w:r>
      <w:r w:rsidR="00D84318" w:rsidRPr="00CD14BC">
        <w:t>(Vic)</w:t>
      </w:r>
    </w:p>
    <w:p w14:paraId="67C1D928" w14:textId="77777777" w:rsidR="00C64E68" w:rsidRDefault="00C64E68" w:rsidP="00C64E68">
      <w:r>
        <w:t>‘the Authority’ – Mine Land Rehabilitation Authority</w:t>
      </w:r>
    </w:p>
    <w:p w14:paraId="37153433" w14:textId="77777777" w:rsidR="00734113" w:rsidRDefault="00734113" w:rsidP="00734113">
      <w:r>
        <w:t>‘the department’ – Department of Jobs, Precincts and Regions</w:t>
      </w:r>
    </w:p>
    <w:p w14:paraId="0FD11C63" w14:textId="2D59D752" w:rsidR="00734113" w:rsidRDefault="00867AD4" w:rsidP="00C64E68">
      <w:r>
        <w:t>‘the Fund’ – Declared Mine Fund</w:t>
      </w:r>
    </w:p>
    <w:p w14:paraId="12B4B46B" w14:textId="6927D9BD" w:rsidR="00C64E68" w:rsidRDefault="00C64E68" w:rsidP="00C64E68">
      <w:r>
        <w:t xml:space="preserve">‘2019 Regulations’ – </w:t>
      </w:r>
      <w:r w:rsidRPr="00CD14BC">
        <w:rPr>
          <w:i/>
          <w:iCs/>
        </w:rPr>
        <w:t>Mineral Resources (Sustainable Development) (Mineral Industries) Regulations 2019</w:t>
      </w:r>
    </w:p>
    <w:p w14:paraId="397A1B07" w14:textId="7F2AFDB8" w:rsidR="00C64E68" w:rsidRDefault="00C64E68" w:rsidP="00C64E68">
      <w:r>
        <w:t xml:space="preserve">‘the proposed Regulations’ – Mineral Resources (Sustainable Development) (Mineral Industries) </w:t>
      </w:r>
      <w:r w:rsidR="009B7A17">
        <w:t xml:space="preserve">Amendment </w:t>
      </w:r>
      <w:r>
        <w:t>Regulations 202</w:t>
      </w:r>
      <w:r w:rsidR="003907F8">
        <w:t>2</w:t>
      </w:r>
    </w:p>
    <w:p w14:paraId="7015EC96" w14:textId="1B0AC152" w:rsidR="00867AD4" w:rsidRDefault="00867AD4" w:rsidP="00C64E68">
      <w:r>
        <w:t>‘the regulator’</w:t>
      </w:r>
      <w:r w:rsidRPr="00867AD4">
        <w:t xml:space="preserve"> – Earth Resources Regulation unit</w:t>
      </w:r>
      <w:r>
        <w:t xml:space="preserve"> (ERR)</w:t>
      </w:r>
    </w:p>
    <w:p w14:paraId="730CB321" w14:textId="24146CA3" w:rsidR="009A7157" w:rsidRPr="00C5070F" w:rsidRDefault="00C5070F" w:rsidP="00C64E68">
      <w:pPr>
        <w:rPr>
          <w:i/>
          <w:iCs/>
        </w:rPr>
      </w:pPr>
      <w:r>
        <w:t xml:space="preserve">‘the Subordinate Legislation Act’ – </w:t>
      </w:r>
      <w:r>
        <w:rPr>
          <w:i/>
          <w:iCs/>
        </w:rPr>
        <w:t>Subordinate Legislation Act 1994</w:t>
      </w:r>
      <w:r w:rsidR="00330298">
        <w:rPr>
          <w:i/>
          <w:iCs/>
        </w:rPr>
        <w:t xml:space="preserve"> </w:t>
      </w:r>
      <w:r w:rsidR="00330298" w:rsidRPr="00CD14BC">
        <w:t>(Vic)</w:t>
      </w:r>
    </w:p>
    <w:p w14:paraId="6A794983" w14:textId="357A978B" w:rsidR="00C64E68" w:rsidRDefault="00C64E68" w:rsidP="00C64E68">
      <w:r>
        <w:t>AA – Anglo-American</w:t>
      </w:r>
    </w:p>
    <w:p w14:paraId="4A0626F1" w14:textId="77777777" w:rsidR="00C64E68" w:rsidRDefault="00C64E68" w:rsidP="00C64E68">
      <w:r>
        <w:t>ABARES – Australian Bureau of Agricultural and Resource Economics and Sciences</w:t>
      </w:r>
    </w:p>
    <w:p w14:paraId="6910CB28" w14:textId="77777777" w:rsidR="00C64E68" w:rsidRDefault="00C64E68" w:rsidP="00C64E68">
      <w:r>
        <w:t>CBA – cost-benefit analysis</w:t>
      </w:r>
    </w:p>
    <w:p w14:paraId="3E37F376" w14:textId="1666720D" w:rsidR="002273CE" w:rsidRDefault="002273CE" w:rsidP="00C64E68">
      <w:r>
        <w:t>CGRSWS</w:t>
      </w:r>
      <w:r w:rsidR="00F1634D">
        <w:t xml:space="preserve"> – </w:t>
      </w:r>
      <w:r w:rsidRPr="002273CE">
        <w:t>Central and Gippsland Region Sustainable Water Strategy</w:t>
      </w:r>
    </w:p>
    <w:p w14:paraId="444EB50B" w14:textId="585489D1" w:rsidR="00C64E68" w:rsidRDefault="00C64E68" w:rsidP="00C64E68">
      <w:r>
        <w:t>DELWP – Department of Environment, Lan</w:t>
      </w:r>
      <w:r w:rsidR="002E2094">
        <w:t>d</w:t>
      </w:r>
      <w:r>
        <w:t>, Water and Planning</w:t>
      </w:r>
    </w:p>
    <w:p w14:paraId="1A8435F9" w14:textId="77777777" w:rsidR="00C64E68" w:rsidRDefault="00C64E68" w:rsidP="00C64E68">
      <w:r>
        <w:t>DMRP – Declared Mine Rehabilitation Plan</w:t>
      </w:r>
    </w:p>
    <w:p w14:paraId="5D17562A" w14:textId="77777777" w:rsidR="00C64E68" w:rsidRDefault="00C64E68" w:rsidP="00C64E68">
      <w:r>
        <w:t>EA – Environmental authority</w:t>
      </w:r>
    </w:p>
    <w:p w14:paraId="635178C0" w14:textId="77777777" w:rsidR="00C64E68" w:rsidRDefault="00C64E68" w:rsidP="00C64E68">
      <w:r>
        <w:t xml:space="preserve">EES – Environment Effects Statement </w:t>
      </w:r>
    </w:p>
    <w:p w14:paraId="57FA767B" w14:textId="3EFE02BD" w:rsidR="00445A3B" w:rsidRDefault="00445A3B" w:rsidP="00C64E68">
      <w:r w:rsidRPr="00445A3B">
        <w:t>E</w:t>
      </w:r>
      <w:r>
        <w:t>JA</w:t>
      </w:r>
      <w:r w:rsidRPr="00445A3B">
        <w:t xml:space="preserve"> –</w:t>
      </w:r>
      <w:r>
        <w:t xml:space="preserve"> </w:t>
      </w:r>
      <w:r w:rsidRPr="00445A3B">
        <w:t>Environmental Justice Australia</w:t>
      </w:r>
    </w:p>
    <w:p w14:paraId="47924261" w14:textId="77777777" w:rsidR="00C64E68" w:rsidRDefault="00C64E68" w:rsidP="00C64E68">
      <w:r>
        <w:t>EPA – Environment Protection Authority</w:t>
      </w:r>
    </w:p>
    <w:p w14:paraId="6B28C20D" w14:textId="2C3D0DB9" w:rsidR="00EB14D0" w:rsidRDefault="00EB14D0" w:rsidP="00C64E68">
      <w:r>
        <w:t>E</w:t>
      </w:r>
      <w:r w:rsidR="00C054AA">
        <w:t>V</w:t>
      </w:r>
      <w:r w:rsidRPr="00EB14D0">
        <w:t xml:space="preserve"> – </w:t>
      </w:r>
      <w:r>
        <w:t>Environment Victoria</w:t>
      </w:r>
    </w:p>
    <w:p w14:paraId="6EF13DAF" w14:textId="77777777" w:rsidR="00C64E68" w:rsidRDefault="00C64E68" w:rsidP="00C64E68">
      <w:r>
        <w:t>GSV – Geological Survey of Victoria</w:t>
      </w:r>
    </w:p>
    <w:p w14:paraId="37D866C0" w14:textId="77777777" w:rsidR="00C64E68" w:rsidRDefault="00C64E68" w:rsidP="00C64E68">
      <w:r>
        <w:t>HMFI – Hazelwood Mine Fire Inquiry</w:t>
      </w:r>
    </w:p>
    <w:p w14:paraId="03EA971D" w14:textId="77777777" w:rsidR="00C64E68" w:rsidRDefault="00C64E68" w:rsidP="00C64E68">
      <w:r>
        <w:t>ICMM – International Council on Mining and Metals</w:t>
      </w:r>
    </w:p>
    <w:p w14:paraId="59B3F253" w14:textId="47932CF1" w:rsidR="00C64E68" w:rsidRDefault="00C64E68" w:rsidP="00C64E68">
      <w:r>
        <w:t xml:space="preserve">LVRRS – Latrobe Valley Regional Rehabilitation </w:t>
      </w:r>
      <w:r w:rsidR="00D24E4D">
        <w:t>Strategy</w:t>
      </w:r>
    </w:p>
    <w:p w14:paraId="67643C3B" w14:textId="77777777" w:rsidR="00C64E68" w:rsidRDefault="00C64E68" w:rsidP="00C64E68">
      <w:r>
        <w:t>MCA – Multi-criteria Analysis</w:t>
      </w:r>
    </w:p>
    <w:p w14:paraId="0B679AB9" w14:textId="77777777" w:rsidR="00C64E68" w:rsidRDefault="00C64E68" w:rsidP="00C64E68">
      <w:r>
        <w:t>MCP – Mining Closure Plan</w:t>
      </w:r>
    </w:p>
    <w:p w14:paraId="20A76547" w14:textId="77777777" w:rsidR="00C64E68" w:rsidRDefault="00C64E68" w:rsidP="00C64E68">
      <w:r>
        <w:t>MMP – Mining Management Plan</w:t>
      </w:r>
    </w:p>
    <w:p w14:paraId="50E525DD" w14:textId="77777777" w:rsidR="00C64E68" w:rsidRDefault="00C64E68" w:rsidP="00C64E68">
      <w:r>
        <w:t>NUMA – non-use management area</w:t>
      </w:r>
    </w:p>
    <w:p w14:paraId="01EA7DA9" w14:textId="77777777" w:rsidR="00C64E68" w:rsidRDefault="00C64E68" w:rsidP="00C64E68">
      <w:r>
        <w:t>OCBR – Office of the Commissioner for Better Regulation</w:t>
      </w:r>
    </w:p>
    <w:p w14:paraId="1BE35EDD" w14:textId="77777777" w:rsidR="00C64E68" w:rsidRDefault="00C64E68" w:rsidP="00C64E68">
      <w:r>
        <w:lastRenderedPageBreak/>
        <w:t>PER – Program for Environment Protection and Rehabilitation</w:t>
      </w:r>
    </w:p>
    <w:p w14:paraId="7CBB0D0A" w14:textId="77777777" w:rsidR="00C64E68" w:rsidRDefault="00C64E68" w:rsidP="00C64E68">
      <w:r>
        <w:t>PRCP – Progressive Rehabilitation and Closure Plan</w:t>
      </w:r>
    </w:p>
    <w:p w14:paraId="2EF037CA" w14:textId="77777777" w:rsidR="00C64E68" w:rsidRDefault="00C64E68" w:rsidP="00C64E68">
      <w:r>
        <w:t>RMP – Rehabilitation Management Plan</w:t>
      </w:r>
    </w:p>
    <w:p w14:paraId="5098FD4D" w14:textId="77777777" w:rsidR="00C64E68" w:rsidRDefault="00C64E68" w:rsidP="00C64E68">
      <w:r>
        <w:t>RIS – Regulatory Impact Statement</w:t>
      </w:r>
    </w:p>
    <w:p w14:paraId="183A404D" w14:textId="51D0A5D7" w:rsidR="00C64E68" w:rsidRDefault="14BEA0B7" w:rsidP="00C64E68">
      <w:r>
        <w:t>r – regulation</w:t>
      </w:r>
    </w:p>
    <w:p w14:paraId="0DC18ED6" w14:textId="4C771022" w:rsidR="00C64E68" w:rsidRDefault="14BEA0B7" w:rsidP="00C64E68">
      <w:r>
        <w:t>s – section</w:t>
      </w:r>
    </w:p>
    <w:p w14:paraId="55915872" w14:textId="77777777" w:rsidR="00C64E68" w:rsidRDefault="00C64E68" w:rsidP="00C64E68">
      <w:r>
        <w:t>SARC – Scrutiny of Acts and Regulations Committee</w:t>
      </w:r>
    </w:p>
    <w:p w14:paraId="43FAE9CD" w14:textId="79E91720" w:rsidR="00C64E68" w:rsidRDefault="00C64E68" w:rsidP="00C64E68">
      <w:r>
        <w:t>VAGO – Victorian Auditor</w:t>
      </w:r>
      <w:r w:rsidR="002E2094">
        <w:t>-</w:t>
      </w:r>
      <w:r>
        <w:t>General’s Office</w:t>
      </w:r>
    </w:p>
    <w:p w14:paraId="0BE835E4" w14:textId="77777777" w:rsidR="00C64E68" w:rsidRDefault="00C64E68" w:rsidP="00C64E68">
      <w:r>
        <w:t>VGR – Victorian Guide to Regulation</w:t>
      </w:r>
    </w:p>
    <w:p w14:paraId="66682C31" w14:textId="77777777" w:rsidR="00C64E68" w:rsidRDefault="00C64E68" w:rsidP="0FC14199">
      <w:pPr>
        <w:spacing w:before="0" w:line="276" w:lineRule="auto"/>
        <w:rPr>
          <w:color w:val="auto"/>
          <w:sz w:val="16"/>
          <w:szCs w:val="16"/>
        </w:rPr>
      </w:pPr>
      <w:r w:rsidRPr="0FC14199">
        <w:rPr>
          <w:color w:val="auto"/>
          <w:sz w:val="16"/>
          <w:szCs w:val="16"/>
        </w:rPr>
        <w:br w:type="page"/>
      </w:r>
    </w:p>
    <w:p w14:paraId="3411A495" w14:textId="33FEAAD9" w:rsidR="0FC14199" w:rsidRDefault="0FC14199" w:rsidP="0FC14199">
      <w:pPr>
        <w:spacing w:before="0" w:line="276" w:lineRule="auto"/>
        <w:rPr>
          <w:szCs w:val="18"/>
        </w:rPr>
      </w:pPr>
    </w:p>
    <w:p w14:paraId="137DCCE7" w14:textId="3CE05623" w:rsidR="00C64E68" w:rsidRDefault="00C64E68" w:rsidP="00905F50">
      <w:pPr>
        <w:pStyle w:val="Heading1"/>
        <w:numPr>
          <w:ilvl w:val="0"/>
          <w:numId w:val="0"/>
        </w:numPr>
      </w:pPr>
      <w:bookmarkStart w:id="3" w:name="_Toc104217646"/>
      <w:r>
        <w:t>Executive Summary</w:t>
      </w:r>
      <w:bookmarkEnd w:id="3"/>
    </w:p>
    <w:p w14:paraId="715DEBE3" w14:textId="5B3B2721" w:rsidR="00FC415F" w:rsidRPr="00563274" w:rsidRDefault="00123281" w:rsidP="00563274">
      <w:pPr>
        <w:spacing w:before="400"/>
        <w:rPr>
          <w:bCs/>
          <w:color w:val="78BF42"/>
          <w:sz w:val="28"/>
          <w:szCs w:val="26"/>
        </w:rPr>
      </w:pPr>
      <w:r w:rsidRPr="00563274">
        <w:rPr>
          <w:bCs/>
          <w:color w:val="78BF42"/>
          <w:sz w:val="28"/>
          <w:szCs w:val="26"/>
        </w:rPr>
        <w:t>Background</w:t>
      </w:r>
    </w:p>
    <w:p w14:paraId="72C439DE" w14:textId="40B0B7C1" w:rsidR="00123281" w:rsidRPr="009A2A48" w:rsidRDefault="00123281" w:rsidP="009A2A48">
      <w:pPr>
        <w:rPr>
          <w:b/>
          <w:bCs/>
          <w:color w:val="003A7D" w:themeColor="text2" w:themeShade="BF"/>
          <w:sz w:val="22"/>
          <w:szCs w:val="22"/>
        </w:rPr>
      </w:pPr>
      <w:r w:rsidRPr="009A2A48">
        <w:rPr>
          <w:b/>
          <w:bCs/>
          <w:color w:val="003A7D" w:themeColor="text2" w:themeShade="BF"/>
          <w:sz w:val="22"/>
          <w:szCs w:val="22"/>
        </w:rPr>
        <w:t>Declared mines</w:t>
      </w:r>
    </w:p>
    <w:p w14:paraId="3B2F6085" w14:textId="0B782E95" w:rsidR="00FC415F" w:rsidRDefault="00FC415F" w:rsidP="00FC415F">
      <w:r>
        <w:t>The Victorian Government is proposing changes to better manage the rehabilitation risks associated with large mining sites</w:t>
      </w:r>
      <w:r w:rsidR="00F5401B">
        <w:t xml:space="preserve">, which are </w:t>
      </w:r>
      <w:r w:rsidR="007943BF">
        <w:t>c</w:t>
      </w:r>
      <w:r w:rsidR="001D3742">
        <w:t xml:space="preserve">lassified as </w:t>
      </w:r>
      <w:r w:rsidR="00F5401B">
        <w:t xml:space="preserve">declared </w:t>
      </w:r>
      <w:r w:rsidR="003F2E9B">
        <w:t>mines</w:t>
      </w:r>
      <w:r>
        <w:t xml:space="preserve">. These changes will impact the three Latrobe Valley coal mines, </w:t>
      </w:r>
      <w:r w:rsidR="0092252F">
        <w:t xml:space="preserve">which </w:t>
      </w:r>
      <w:r w:rsidR="00A85B30">
        <w:t xml:space="preserve">are currently the state’s </w:t>
      </w:r>
      <w:r>
        <w:t>declared mines. The proposed changes provide clarity to operators on actions that need to be taken and greater transparency to the community.</w:t>
      </w:r>
    </w:p>
    <w:p w14:paraId="2396AE4D" w14:textId="731E49F3" w:rsidR="00FC415F" w:rsidRDefault="00FC415F" w:rsidP="00FC415F">
      <w:r>
        <w:t xml:space="preserve">All mining operations create some degree of risk, both within the mine site and through impacts on the surrounding landscape and </w:t>
      </w:r>
      <w:r w:rsidR="00BA33EA">
        <w:t xml:space="preserve">to local </w:t>
      </w:r>
      <w:r>
        <w:t>communities. Some mines pose greater risks to public safety, the environment and/or infrastructure. A partial collapse of the Yallourn coal mine in 2007 resulted in a complete diversion of the Latrobe River into the mine</w:t>
      </w:r>
      <w:r w:rsidR="005044B6">
        <w:t>. Following this incident,</w:t>
      </w:r>
      <w:r>
        <w:t xml:space="preserve"> </w:t>
      </w:r>
      <w:r w:rsidR="005044B6">
        <w:t>i</w:t>
      </w:r>
      <w:r>
        <w:t>n 20</w:t>
      </w:r>
      <w:r w:rsidR="00210DA9">
        <w:t>09</w:t>
      </w:r>
      <w:r>
        <w:t xml:space="preserve"> Parliament amended the </w:t>
      </w:r>
      <w:r w:rsidRPr="43147CEE">
        <w:rPr>
          <w:i/>
          <w:iCs/>
        </w:rPr>
        <w:t>Mineral Resources (Sustainable Development) Act 1990</w:t>
      </w:r>
      <w:r>
        <w:t xml:space="preserve"> (‘the Act’) to enable mines with significant geotechnical or hydrogeological risks to be ‘declared’.</w:t>
      </w:r>
      <w:r w:rsidRPr="43147CEE">
        <w:rPr>
          <w:rStyle w:val="FootnoteReference"/>
          <w:rFonts w:eastAsiaTheme="majorEastAsia"/>
        </w:rPr>
        <w:footnoteReference w:id="2"/>
      </w:r>
      <w:r>
        <w:t xml:space="preserve"> Further changes were made to the Act by the </w:t>
      </w:r>
      <w:r w:rsidRPr="43147CEE">
        <w:rPr>
          <w:i/>
          <w:iCs/>
        </w:rPr>
        <w:t>Mineral Resources (Sustainable Development) Amendment Act 2019</w:t>
      </w:r>
      <w:r>
        <w:t xml:space="preserve"> (‘</w:t>
      </w:r>
      <w:r w:rsidR="006D0DCF">
        <w:t xml:space="preserve">the </w:t>
      </w:r>
      <w:r>
        <w:t>Amendment Act’). The Amendment Act introduced new rehabilitation and post-closure requirements for declared mine</w:t>
      </w:r>
      <w:r w:rsidR="009A540D">
        <w:t>s</w:t>
      </w:r>
      <w:r w:rsidR="00A9013C">
        <w:t xml:space="preserve"> including:</w:t>
      </w:r>
    </w:p>
    <w:p w14:paraId="69E2AA2E" w14:textId="77777777" w:rsidR="009D7122" w:rsidRDefault="009D7122" w:rsidP="009D7122">
      <w:pPr>
        <w:pStyle w:val="dotpoints"/>
      </w:pPr>
      <w:r>
        <w:t>the need for Declared Mine Land Rehabilitation Plans (DMRPs) that recognise the sites will require ongoing monitoring and management to remain safe, stable and sustainable after rehabilitation is completed;</w:t>
      </w:r>
    </w:p>
    <w:p w14:paraId="37A7A7F7" w14:textId="32FD3E02" w:rsidR="009D7122" w:rsidRDefault="007F019E" w:rsidP="009D7122">
      <w:pPr>
        <w:pStyle w:val="dotpoints"/>
      </w:pPr>
      <w:r>
        <w:t xml:space="preserve">establishing a register </w:t>
      </w:r>
      <w:r w:rsidR="00C552F7">
        <w:t xml:space="preserve">of </w:t>
      </w:r>
      <w:r w:rsidR="009D7122">
        <w:t>declared mine land</w:t>
      </w:r>
      <w:r w:rsidR="00D74776">
        <w:t xml:space="preserve"> </w:t>
      </w:r>
      <w:r w:rsidR="00840A75">
        <w:t>that inc</w:t>
      </w:r>
      <w:r w:rsidR="00913DAF">
        <w:t>l</w:t>
      </w:r>
      <w:r w:rsidR="00840A75">
        <w:t xml:space="preserve">udes the land, any conditions </w:t>
      </w:r>
      <w:r w:rsidR="00913DAF">
        <w:t xml:space="preserve">or prescribed matters </w:t>
      </w:r>
      <w:r w:rsidR="00840A75">
        <w:t>applying to the land</w:t>
      </w:r>
      <w:r w:rsidR="00913DAF">
        <w:t xml:space="preserve">, </w:t>
      </w:r>
      <w:r w:rsidR="00D74776">
        <w:t xml:space="preserve">and </w:t>
      </w:r>
      <w:r w:rsidR="009A446F">
        <w:t>a post-closure plan against it</w:t>
      </w:r>
      <w:r w:rsidR="009D7122">
        <w:t>;</w:t>
      </w:r>
      <w:r w:rsidR="007B7F91">
        <w:rPr>
          <w:rStyle w:val="FootnoteReference"/>
        </w:rPr>
        <w:footnoteReference w:id="3"/>
      </w:r>
      <w:r w:rsidR="009D7122">
        <w:t xml:space="preserve"> </w:t>
      </w:r>
    </w:p>
    <w:p w14:paraId="35E36EDF" w14:textId="292FC036" w:rsidR="009D7122" w:rsidRDefault="6D3CAA99" w:rsidP="009D7122">
      <w:pPr>
        <w:pStyle w:val="dotpoints"/>
      </w:pPr>
      <w:r>
        <w:t>a Mine Land Rehabilitation Authority (‘the Authority’)</w:t>
      </w:r>
      <w:r w:rsidR="00196019">
        <w:t xml:space="preserve"> </w:t>
      </w:r>
      <w:r>
        <w:t xml:space="preserve">to be created with functions and responsibilities for the rehabilitation of declared mine land </w:t>
      </w:r>
      <w:r w:rsidR="002707BE">
        <w:t xml:space="preserve">through guidance </w:t>
      </w:r>
      <w:r w:rsidR="00577FB0">
        <w:t xml:space="preserve">provided by </w:t>
      </w:r>
      <w:r>
        <w:t>the Latrobe Valley Regional Rehabilitation Strategy (LVRRS)</w:t>
      </w:r>
      <w:r w:rsidR="00351FD7">
        <w:t xml:space="preserve"> where appropriate</w:t>
      </w:r>
      <w:r>
        <w:t>;</w:t>
      </w:r>
      <w:r w:rsidR="009D7122">
        <w:rPr>
          <w:rStyle w:val="FootnoteReference"/>
        </w:rPr>
        <w:footnoteReference w:id="4"/>
      </w:r>
      <w:r>
        <w:t xml:space="preserve"> and </w:t>
      </w:r>
    </w:p>
    <w:p w14:paraId="71212711" w14:textId="477FED3F" w:rsidR="009D7122" w:rsidRDefault="009D7122" w:rsidP="009D7122">
      <w:pPr>
        <w:pStyle w:val="dotpoints"/>
      </w:pPr>
      <w:r>
        <w:t>the Declared Mine Fund to meet the ongoing costs associated with the post-closure management of declared mine land</w:t>
      </w:r>
      <w:r w:rsidR="00CA7F79">
        <w:t>, or rehabilitation activity</w:t>
      </w:r>
      <w:r>
        <w:t xml:space="preserve"> if the land is transferred to the </w:t>
      </w:r>
      <w:r w:rsidR="55DAA839">
        <w:t>Authority.</w:t>
      </w:r>
    </w:p>
    <w:p w14:paraId="66A98D99" w14:textId="0812C8FD" w:rsidR="00FC415F" w:rsidRDefault="00FC415F" w:rsidP="00FC415F">
      <w:r>
        <w:t xml:space="preserve">Declared mines are subject to </w:t>
      </w:r>
      <w:r w:rsidR="0067705F">
        <w:t xml:space="preserve">these </w:t>
      </w:r>
      <w:r>
        <w:t>specific regulatory measures designed to manage and mitigate the greater risks they pose</w:t>
      </w:r>
      <w:r w:rsidR="67123FDE">
        <w:t>.</w:t>
      </w:r>
      <w:r>
        <w:rPr>
          <w:rStyle w:val="FootnoteReference"/>
        </w:rPr>
        <w:footnoteReference w:id="5"/>
      </w:r>
      <w:r>
        <w:t xml:space="preserve"> They are also subject to more extensive rehabilitation requirements compared to other mines</w:t>
      </w:r>
      <w:r w:rsidR="0067705F">
        <w:t>.</w:t>
      </w:r>
      <w:r w:rsidR="00A22FDB">
        <w:rPr>
          <w:rStyle w:val="FootnoteReference"/>
        </w:rPr>
        <w:footnoteReference w:id="6"/>
      </w:r>
      <w:r>
        <w:t xml:space="preserve"> </w:t>
      </w:r>
    </w:p>
    <w:p w14:paraId="379780D1" w14:textId="26D534D3" w:rsidR="00FC415F" w:rsidRDefault="00FC415F" w:rsidP="7B3EF51E">
      <w:pPr>
        <w:pStyle w:val="dotpoints"/>
        <w:numPr>
          <w:ilvl w:val="0"/>
          <w:numId w:val="0"/>
        </w:numPr>
      </w:pPr>
      <w:r>
        <w:t>A</w:t>
      </w:r>
      <w:r w:rsidR="00A1405F">
        <w:t xml:space="preserve">ll </w:t>
      </w:r>
      <w:r>
        <w:t>three Latrobe Valley coal mines have been declared</w:t>
      </w:r>
      <w:r w:rsidR="00A1405F">
        <w:t xml:space="preserve"> since January 2021</w:t>
      </w:r>
      <w:r>
        <w:t>. These coal mines are some of the largest in the world. Their size and proximity to nearby townships, infrastructure and waterways carry significant safety and stability risks, which led to them being declared.</w:t>
      </w:r>
    </w:p>
    <w:p w14:paraId="4A35B462" w14:textId="77777777" w:rsidR="00FC415F" w:rsidRPr="009A2A48" w:rsidRDefault="00FC415F" w:rsidP="009A2A48">
      <w:pPr>
        <w:rPr>
          <w:b/>
          <w:bCs/>
          <w:color w:val="003A7D" w:themeColor="text2" w:themeShade="BF"/>
          <w:sz w:val="22"/>
          <w:szCs w:val="22"/>
        </w:rPr>
      </w:pPr>
      <w:r w:rsidRPr="009A2A48">
        <w:rPr>
          <w:b/>
          <w:bCs/>
          <w:color w:val="003A7D" w:themeColor="text2" w:themeShade="BF"/>
          <w:sz w:val="22"/>
          <w:szCs w:val="22"/>
        </w:rPr>
        <w:t>Scope of Regulatory Impact Statement (RIS)</w:t>
      </w:r>
    </w:p>
    <w:p w14:paraId="0955E102" w14:textId="77777777" w:rsidR="00FC415F" w:rsidRDefault="00FC415F" w:rsidP="00FC415F">
      <w:r>
        <w:t xml:space="preserve">The </w:t>
      </w:r>
      <w:r>
        <w:rPr>
          <w:i/>
          <w:iCs/>
        </w:rPr>
        <w:t>Subordinate Legislation Act 1994</w:t>
      </w:r>
      <w:r>
        <w:t xml:space="preserve"> (‘the Subordinate Legislation Act’) requires a regulatory impact statement (RIS) to be prepared for significant new or amending regulations. </w:t>
      </w:r>
    </w:p>
    <w:p w14:paraId="3EA5AF31" w14:textId="572D69FC" w:rsidR="00FC415F" w:rsidRDefault="72B772F4" w:rsidP="00FC415F">
      <w:r>
        <w:t xml:space="preserve">The scope of this RIS is limited to the assessment of various pathways to put into practice the declared mine rehabilitation framework under the Act. It does not assess the broader LVRRS actions, </w:t>
      </w:r>
      <w:r w:rsidR="7768A613">
        <w:t xml:space="preserve">works being undertaken </w:t>
      </w:r>
      <w:r w:rsidR="1EFCBB67">
        <w:t>to repair damage t</w:t>
      </w:r>
      <w:r w:rsidR="23B64D29">
        <w:t xml:space="preserve">o the Morwell River Diversion at the Yallourn coal mine, </w:t>
      </w:r>
      <w:r>
        <w:t xml:space="preserve">other supporting government </w:t>
      </w:r>
      <w:r>
        <w:lastRenderedPageBreak/>
        <w:t>rehabilitation actions or decisions required under other legislation</w:t>
      </w:r>
      <w:r w:rsidR="23B64D29">
        <w:t xml:space="preserve"> such as Environmental Effects Statements (EES)</w:t>
      </w:r>
      <w:r>
        <w:t xml:space="preserve">. Financial costs such as fees and royalties are not within the scope of this RIS and will be considered as part of a broader fees and charges review for minerals and extractives that the department </w:t>
      </w:r>
      <w:r w:rsidR="22432784">
        <w:t>is currently undertaking</w:t>
      </w:r>
      <w:r>
        <w:t xml:space="preserve">. </w:t>
      </w:r>
    </w:p>
    <w:p w14:paraId="753EBDBE" w14:textId="77777777" w:rsidR="00FC415F" w:rsidRPr="00563274" w:rsidRDefault="00FC415F" w:rsidP="00563274">
      <w:pPr>
        <w:spacing w:before="400"/>
        <w:rPr>
          <w:bCs/>
          <w:color w:val="78BF42"/>
          <w:sz w:val="28"/>
          <w:szCs w:val="26"/>
        </w:rPr>
      </w:pPr>
      <w:r w:rsidRPr="00563274">
        <w:rPr>
          <w:bCs/>
          <w:color w:val="78BF42"/>
          <w:sz w:val="28"/>
          <w:szCs w:val="26"/>
        </w:rPr>
        <w:t xml:space="preserve">Problem </w:t>
      </w:r>
    </w:p>
    <w:p w14:paraId="7D073039" w14:textId="519622A6" w:rsidR="00AD3253" w:rsidRDefault="00FC415F" w:rsidP="00FC415F">
      <w:r>
        <w:t xml:space="preserve">New regulations are needed to support the powers and processes introduced by the Amendment Act as they relate to the rehabilitation and post-closure management of declared </w:t>
      </w:r>
      <w:bookmarkStart w:id="4" w:name="_Int_qOp8bfui"/>
      <w:r>
        <w:t>mine</w:t>
      </w:r>
      <w:bookmarkEnd w:id="4"/>
      <w:r>
        <w:t xml:space="preserve"> land. Without new regulations, </w:t>
      </w:r>
      <w:r w:rsidR="009E6848">
        <w:t xml:space="preserve">accountability gaps </w:t>
      </w:r>
      <w:r w:rsidR="00A93146">
        <w:t>for enforcement</w:t>
      </w:r>
      <w:r w:rsidR="00727A08">
        <w:t xml:space="preserve"> are present </w:t>
      </w:r>
      <w:r w:rsidR="0089004F">
        <w:t>as current</w:t>
      </w:r>
      <w:r w:rsidR="001725C2">
        <w:t xml:space="preserve"> liability </w:t>
      </w:r>
      <w:r w:rsidR="000202EE">
        <w:t xml:space="preserve">for </w:t>
      </w:r>
      <w:r w:rsidR="00727A08">
        <w:t xml:space="preserve">declared </w:t>
      </w:r>
      <w:r w:rsidR="000202EE">
        <w:t xml:space="preserve">mine land rehabilitation </w:t>
      </w:r>
      <w:r w:rsidR="001725C2">
        <w:t>is attached</w:t>
      </w:r>
      <w:r w:rsidR="00B51F8D">
        <w:t xml:space="preserve"> to </w:t>
      </w:r>
      <w:r w:rsidR="00B97584">
        <w:t xml:space="preserve">mining operation </w:t>
      </w:r>
      <w:r w:rsidR="00B51F8D">
        <w:t>licen</w:t>
      </w:r>
      <w:r w:rsidR="0030043E">
        <w:t>s</w:t>
      </w:r>
      <w:r w:rsidR="00B51F8D">
        <w:t>e</w:t>
      </w:r>
      <w:r w:rsidR="00F933F8">
        <w:t>s</w:t>
      </w:r>
      <w:r w:rsidR="00B51F8D">
        <w:t xml:space="preserve"> </w:t>
      </w:r>
      <w:r w:rsidR="00607D29">
        <w:t xml:space="preserve">which </w:t>
      </w:r>
      <w:r w:rsidR="00F933F8">
        <w:t xml:space="preserve">are at risk of </w:t>
      </w:r>
      <w:r w:rsidR="00607D29">
        <w:t>expir</w:t>
      </w:r>
      <w:r w:rsidR="00F933F8">
        <w:t>y</w:t>
      </w:r>
      <w:r w:rsidR="00733169">
        <w:t xml:space="preserve"> or cancell</w:t>
      </w:r>
      <w:r w:rsidR="00F933F8">
        <w:t>ation</w:t>
      </w:r>
      <w:r w:rsidR="000472EF">
        <w:t xml:space="preserve"> if </w:t>
      </w:r>
      <w:r w:rsidR="00114159">
        <w:t>a</w:t>
      </w:r>
      <w:r w:rsidR="00D93CD5">
        <w:t xml:space="preserve"> </w:t>
      </w:r>
      <w:r w:rsidR="00394092" w:rsidRPr="00394092">
        <w:t xml:space="preserve">declared mine licensee has not complied with a declared mine rehabilitation plan </w:t>
      </w:r>
      <w:r w:rsidR="00FB4BF6">
        <w:t>und</w:t>
      </w:r>
      <w:r w:rsidR="00321689">
        <w:t xml:space="preserve">er Ministerial Order. </w:t>
      </w:r>
      <w:r w:rsidR="00814676">
        <w:t>Upon cancellation</w:t>
      </w:r>
      <w:r w:rsidR="005D74FB">
        <w:t xml:space="preserve"> of </w:t>
      </w:r>
      <w:r w:rsidR="005D74FB" w:rsidRPr="005D74FB">
        <w:t>a mining licence relating to declared mine land</w:t>
      </w:r>
      <w:r w:rsidR="005D74FB">
        <w:t>, the regulations</w:t>
      </w:r>
      <w:r w:rsidR="008A65C3">
        <w:t xml:space="preserve"> lack </w:t>
      </w:r>
      <w:r w:rsidR="00B162EE">
        <w:t xml:space="preserve">the level of </w:t>
      </w:r>
      <w:r w:rsidR="008A65C3">
        <w:t>detail required</w:t>
      </w:r>
      <w:r w:rsidR="005D74FB" w:rsidRPr="005D74FB">
        <w:t xml:space="preserve"> </w:t>
      </w:r>
      <w:r w:rsidR="00B162EE">
        <w:t xml:space="preserve">to </w:t>
      </w:r>
      <w:r w:rsidR="007D6EBB">
        <w:t>delineate</w:t>
      </w:r>
      <w:r w:rsidR="00B162EE">
        <w:t xml:space="preserve"> </w:t>
      </w:r>
      <w:r w:rsidR="007D6EBB">
        <w:t>responsibility for mine rehabilitation activity</w:t>
      </w:r>
      <w:r w:rsidR="00863F08">
        <w:t>.</w:t>
      </w:r>
      <w:r w:rsidR="00E20B43">
        <w:t xml:space="preserve"> </w:t>
      </w:r>
      <w:r w:rsidR="00DE1F18">
        <w:t>I</w:t>
      </w:r>
      <w:r w:rsidR="00A85471">
        <w:t xml:space="preserve">n the case that </w:t>
      </w:r>
      <w:r w:rsidR="001F566D">
        <w:t xml:space="preserve">a </w:t>
      </w:r>
      <w:r w:rsidR="002043F7">
        <w:t>declared mine site operator</w:t>
      </w:r>
      <w:r w:rsidR="001F566D">
        <w:t xml:space="preserve"> </w:t>
      </w:r>
      <w:r w:rsidR="009D3D41">
        <w:t xml:space="preserve">experiences </w:t>
      </w:r>
      <w:r w:rsidR="00EC2696">
        <w:t>the extinction</w:t>
      </w:r>
      <w:r w:rsidR="00EE55DF">
        <w:t xml:space="preserve"> of their licence</w:t>
      </w:r>
      <w:r w:rsidR="00F3706E">
        <w:t xml:space="preserve">, </w:t>
      </w:r>
      <w:r w:rsidR="00702D45">
        <w:t xml:space="preserve">a </w:t>
      </w:r>
      <w:r w:rsidR="00003CF4">
        <w:t xml:space="preserve">new </w:t>
      </w:r>
      <w:r w:rsidR="00C673DF">
        <w:t>land</w:t>
      </w:r>
      <w:r w:rsidR="00702D45">
        <w:t xml:space="preserve"> holder </w:t>
      </w:r>
      <w:r w:rsidR="005F2B2F">
        <w:t xml:space="preserve">will </w:t>
      </w:r>
      <w:r w:rsidR="008A1A9F">
        <w:t>be exposed to</w:t>
      </w:r>
      <w:r w:rsidR="002B1CF1">
        <w:t xml:space="preserve"> significant </w:t>
      </w:r>
      <w:r w:rsidR="00A10E78">
        <w:t>disadvantage</w:t>
      </w:r>
      <w:r w:rsidR="005F2B2F">
        <w:t>s</w:t>
      </w:r>
      <w:r w:rsidR="00A10E78">
        <w:t xml:space="preserve"> in terms of liability and financial implications </w:t>
      </w:r>
      <w:r w:rsidR="00C92781">
        <w:t xml:space="preserve">related to rehabilitating a </w:t>
      </w:r>
      <w:r w:rsidR="00EE55DF">
        <w:t xml:space="preserve">declared </w:t>
      </w:r>
      <w:r w:rsidR="00C92781">
        <w:t>mine site</w:t>
      </w:r>
      <w:r w:rsidR="00707CE9">
        <w:t xml:space="preserve">. This exists </w:t>
      </w:r>
      <w:r w:rsidR="00A10E78">
        <w:t xml:space="preserve">due </w:t>
      </w:r>
      <w:r w:rsidR="00707CE9">
        <w:t xml:space="preserve">to a new </w:t>
      </w:r>
      <w:r w:rsidR="00C710FA">
        <w:t>land</w:t>
      </w:r>
      <w:r w:rsidR="00707CE9">
        <w:t xml:space="preserve"> holder possessing </w:t>
      </w:r>
      <w:r w:rsidR="0031340B">
        <w:t>less knowledge</w:t>
      </w:r>
      <w:r w:rsidR="00077D4E">
        <w:t xml:space="preserve"> </w:t>
      </w:r>
      <w:r w:rsidR="00C94C60" w:rsidRPr="00C94C60">
        <w:t>to monitor and evaluate the risks posed by geotechnical, hydrogeological, water quality or hydrological factors for declared mine land in relation to public safety, the environment and relevant infrastructure</w:t>
      </w:r>
      <w:r w:rsidR="00A277F6">
        <w:t xml:space="preserve"> </w:t>
      </w:r>
      <w:r w:rsidR="004B3870">
        <w:t xml:space="preserve">and are less capable of </w:t>
      </w:r>
      <w:r w:rsidR="00222D96">
        <w:t>introducing effective and efficient</w:t>
      </w:r>
      <w:r w:rsidR="00AD3253">
        <w:t xml:space="preserve"> controls to curtail </w:t>
      </w:r>
      <w:r w:rsidR="00D23CB3">
        <w:t>these mine land risks.</w:t>
      </w:r>
    </w:p>
    <w:p w14:paraId="686E9416" w14:textId="147BD8D2" w:rsidR="00AF78E4" w:rsidRDefault="00FC415F" w:rsidP="00FC415F">
      <w:r>
        <w:t xml:space="preserve">The Amendment Act does not effectively require declared mine licensees to submit a DMRP. The amendments to the Act that introduced the declared mine rehabilitation framework were designed to be enabling. </w:t>
      </w:r>
      <w:r w:rsidR="00ED0C75">
        <w:t>If</w:t>
      </w:r>
      <w:r>
        <w:t xml:space="preserve"> a DMRP </w:t>
      </w:r>
      <w:r w:rsidR="00ED0C75">
        <w:t>is not</w:t>
      </w:r>
      <w:r>
        <w:t xml:space="preserve"> submitted to Earth Resources Regulation</w:t>
      </w:r>
      <w:r w:rsidR="00995ADF">
        <w:t xml:space="preserve"> unit (ERR)</w:t>
      </w:r>
      <w:r>
        <w:t xml:space="preserve">, the </w:t>
      </w:r>
      <w:r w:rsidR="00CC4F59">
        <w:t xml:space="preserve">Act </w:t>
      </w:r>
      <w:r w:rsidR="00EA6101">
        <w:t xml:space="preserve">lacks </w:t>
      </w:r>
      <w:r w:rsidR="00CC4F59">
        <w:t>detail</w:t>
      </w:r>
      <w:r w:rsidR="00853018">
        <w:t xml:space="preserve"> on the matters to be included in</w:t>
      </w:r>
      <w:r w:rsidR="002022BE">
        <w:t xml:space="preserve"> a DMRP</w:t>
      </w:r>
      <w:r w:rsidR="004516EA">
        <w:t xml:space="preserve">, </w:t>
      </w:r>
      <w:r w:rsidR="00A771E3">
        <w:t xml:space="preserve">the </w:t>
      </w:r>
      <w:r w:rsidR="004516EA">
        <w:t>criteria requirements</w:t>
      </w:r>
      <w:r w:rsidR="008B77EF">
        <w:t xml:space="preserve"> for mine closure status to be determined</w:t>
      </w:r>
      <w:r w:rsidR="00A771E3">
        <w:t xml:space="preserve"> </w:t>
      </w:r>
      <w:r w:rsidR="006570E0">
        <w:t>or</w:t>
      </w:r>
      <w:r w:rsidR="00496726">
        <w:t xml:space="preserve"> provide </w:t>
      </w:r>
      <w:r w:rsidR="00FF074C">
        <w:t xml:space="preserve">direction </w:t>
      </w:r>
      <w:r w:rsidR="00847DEF">
        <w:t xml:space="preserve">on </w:t>
      </w:r>
      <w:r w:rsidR="005575CA">
        <w:t xml:space="preserve">how </w:t>
      </w:r>
      <w:r w:rsidR="00847DEF">
        <w:t>rehabilitation requirements will continue to be funded.</w:t>
      </w:r>
      <w:r w:rsidR="00F42C4E">
        <w:t xml:space="preserve"> T</w:t>
      </w:r>
      <w:r w:rsidR="004F683C">
        <w:t xml:space="preserve">his creates </w:t>
      </w:r>
      <w:r w:rsidR="00F42C4E">
        <w:t xml:space="preserve">uncertainty for </w:t>
      </w:r>
      <w:r w:rsidR="001D089E">
        <w:t xml:space="preserve">the </w:t>
      </w:r>
      <w:r w:rsidR="00F42C4E">
        <w:t>operators of mine site</w:t>
      </w:r>
      <w:r w:rsidR="001D089E">
        <w:t>s</w:t>
      </w:r>
      <w:r w:rsidR="00F42C4E">
        <w:t xml:space="preserve"> that become declared, impacted </w:t>
      </w:r>
      <w:r w:rsidR="008B3B1F">
        <w:t>communities of declared mines</w:t>
      </w:r>
      <w:r w:rsidR="00D22DCE">
        <w:t xml:space="preserve"> and for government.</w:t>
      </w:r>
      <w:r>
        <w:t xml:space="preserve"> With the Act in place and no relevant supporting regulations, there is no regulatory guidance on the information to be included with an application for a closure determination or the process and matters relevant to the Minister’s consideration of the application. As it stands, there is insufficient detail in the Act to give operators and government sufficient clarity to make decisions relating to</w:t>
      </w:r>
      <w:r w:rsidR="00CE6651">
        <w:t xml:space="preserve"> </w:t>
      </w:r>
      <w:r>
        <w:t>declared mine land</w:t>
      </w:r>
      <w:r w:rsidR="001140AE">
        <w:t xml:space="preserve"> risks</w:t>
      </w:r>
      <w:r>
        <w:t xml:space="preserve">. </w:t>
      </w:r>
      <w:r w:rsidR="00957A69">
        <w:t>In the absence of</w:t>
      </w:r>
      <w:r>
        <w:t xml:space="preserve"> </w:t>
      </w:r>
      <w:r w:rsidR="00006B9D">
        <w:t xml:space="preserve">such detail, </w:t>
      </w:r>
      <w:r w:rsidR="006E4A71">
        <w:t xml:space="preserve">ERR </w:t>
      </w:r>
      <w:r w:rsidR="00E75782" w:rsidRPr="00AB1548">
        <w:t xml:space="preserve">and mine licensees </w:t>
      </w:r>
      <w:r w:rsidR="00070CC5" w:rsidRPr="00AB1548">
        <w:t>consider mine rehabilitation matters by reference to</w:t>
      </w:r>
      <w:r w:rsidR="00070CC5" w:rsidRPr="00596BC5" w:rsidDel="00FF2E5D">
        <w:t xml:space="preserve"> the</w:t>
      </w:r>
      <w:r w:rsidR="00070CC5" w:rsidRPr="00596BC5">
        <w:t xml:space="preserve"> guidance provided by the LVRRS</w:t>
      </w:r>
      <w:r w:rsidR="007F291F" w:rsidRPr="00596BC5">
        <w:t xml:space="preserve"> and </w:t>
      </w:r>
      <w:r w:rsidR="00EB3D87">
        <w:t xml:space="preserve">brief mentions of </w:t>
      </w:r>
      <w:r w:rsidR="00821422" w:rsidRPr="00596BC5">
        <w:t xml:space="preserve">declared mine </w:t>
      </w:r>
      <w:r w:rsidR="000F4CAC" w:rsidRPr="00596BC5">
        <w:t>requirement</w:t>
      </w:r>
      <w:r w:rsidR="00A8307B" w:rsidRPr="00596BC5">
        <w:t>s</w:t>
      </w:r>
      <w:r w:rsidR="00E20B61" w:rsidRPr="00596BC5">
        <w:t xml:space="preserve"> </w:t>
      </w:r>
      <w:r w:rsidR="00CC1DAB" w:rsidRPr="00596BC5">
        <w:t xml:space="preserve">in </w:t>
      </w:r>
      <w:r w:rsidR="007F291F" w:rsidRPr="00596BC5">
        <w:t xml:space="preserve">the </w:t>
      </w:r>
      <w:r w:rsidR="006B3640" w:rsidRPr="00CD14BC">
        <w:rPr>
          <w:rFonts w:asciiTheme="majorHAnsi" w:hAnsiTheme="majorHAnsi" w:cstheme="majorBidi"/>
          <w:i/>
          <w:iCs/>
        </w:rPr>
        <w:t>Mineral Resources (Sustainable Development) (Mineral Industries) Regulations 2019</w:t>
      </w:r>
      <w:r w:rsidR="00281ED7" w:rsidRPr="008C5680">
        <w:t xml:space="preserve"> (‘2019 Regulations’</w:t>
      </w:r>
      <w:r w:rsidR="107A330E">
        <w:t>).</w:t>
      </w:r>
      <w:r w:rsidR="005F719C" w:rsidRPr="00596BC5">
        <w:t xml:space="preserve"> </w:t>
      </w:r>
    </w:p>
    <w:p w14:paraId="0457F7DA" w14:textId="6991DD81" w:rsidR="00FC415F" w:rsidRDefault="00AF78E4" w:rsidP="00FC415F">
      <w:r>
        <w:t>C</w:t>
      </w:r>
      <w:r w:rsidR="00E825FF" w:rsidRPr="00AB1548">
        <w:t>urrently, licensees are still required to</w:t>
      </w:r>
      <w:r w:rsidR="001C0AD5" w:rsidRPr="00AB1548">
        <w:t xml:space="preserve"> address additional prescribed matters</w:t>
      </w:r>
      <w:r w:rsidR="00430BF8" w:rsidRPr="00AB1548">
        <w:t xml:space="preserve"> in the Rehabilitation Plans</w:t>
      </w:r>
      <w:r w:rsidR="005B3CB9" w:rsidRPr="00AB1548">
        <w:t xml:space="preserve"> in their Work Plans. </w:t>
      </w:r>
      <w:r w:rsidR="005A5D21" w:rsidRPr="00AB1548">
        <w:t>The matters that must be addressed</w:t>
      </w:r>
      <w:r w:rsidR="005A3F3A" w:rsidRPr="00AB1548">
        <w:t xml:space="preserve"> depend on when the Work Plan, or variation to the Work Plan, is lodged for approval.</w:t>
      </w:r>
      <w:r w:rsidR="00EC2B0C" w:rsidRPr="00AB1548">
        <w:t xml:space="preserve"> The</w:t>
      </w:r>
      <w:r w:rsidR="00C05A4E" w:rsidRPr="00AB1548">
        <w:t xml:space="preserve"> requirements differ depending on whether lodgement was between 1 July 2019 </w:t>
      </w:r>
      <w:r w:rsidR="002C104B" w:rsidRPr="00AB1548">
        <w:t xml:space="preserve">and </w:t>
      </w:r>
      <w:r w:rsidR="00A456DC" w:rsidRPr="00AB1548">
        <w:t>30 June 2020, or if it was on or after 1 July 2020</w:t>
      </w:r>
      <w:r w:rsidR="00F552EF" w:rsidRPr="00AB1548">
        <w:t>.</w:t>
      </w:r>
      <w:r w:rsidR="00D76C14" w:rsidRPr="00AB1548" w:rsidDel="00D76C14">
        <w:t xml:space="preserve"> </w:t>
      </w:r>
      <w:r w:rsidR="004A45C5">
        <w:t>While fut</w:t>
      </w:r>
      <w:r w:rsidR="000003D5">
        <w:t xml:space="preserve">ure </w:t>
      </w:r>
      <w:r w:rsidR="004A0351">
        <w:t>declared mine operators</w:t>
      </w:r>
      <w:r w:rsidR="00CA707D">
        <w:t xml:space="preserve"> bear an obligation to submit </w:t>
      </w:r>
      <w:r w:rsidR="00E613F5">
        <w:t>a DMRP</w:t>
      </w:r>
      <w:r w:rsidR="008C26A8">
        <w:t xml:space="preserve">, this </w:t>
      </w:r>
      <w:r w:rsidR="0054503C">
        <w:t xml:space="preserve">situation is not guaranteed to </w:t>
      </w:r>
      <w:r w:rsidR="00B93E39">
        <w:t>apply to current declared mine operators</w:t>
      </w:r>
      <w:r w:rsidR="00AD6273">
        <w:t xml:space="preserve"> since insufficient</w:t>
      </w:r>
      <w:r w:rsidR="004672EC">
        <w:t xml:space="preserve"> guidance exists on how to satisfy closure criteria</w:t>
      </w:r>
      <w:r w:rsidR="00306C1B">
        <w:t>.</w:t>
      </w:r>
    </w:p>
    <w:p w14:paraId="3DCC1FE5" w14:textId="1180C892" w:rsidR="00FC415F" w:rsidRDefault="72B772F4" w:rsidP="00FC415F">
      <w:r>
        <w:t>The proposed Regulations sit within the broader program of reform for the resources sector, which builds on the Victorian Government’s commitment to a modern, fit-for-purpose regulatory regime built around increased investment and community confidence. They include improvements to the regulatory framework that address outcomes from Victorian Auditor-General audits on mine rehabilitation.</w:t>
      </w:r>
      <w:r w:rsidR="00FC415F">
        <w:rPr>
          <w:rStyle w:val="FootnoteReference"/>
        </w:rPr>
        <w:footnoteReference w:id="7"/>
      </w:r>
    </w:p>
    <w:p w14:paraId="5AF0596A" w14:textId="188B1F7C" w:rsidR="00FC415F" w:rsidRPr="00563274" w:rsidRDefault="00FC415F" w:rsidP="00563274">
      <w:pPr>
        <w:spacing w:before="400"/>
        <w:rPr>
          <w:bCs/>
          <w:color w:val="78BF42"/>
          <w:sz w:val="28"/>
          <w:szCs w:val="26"/>
        </w:rPr>
      </w:pPr>
      <w:r w:rsidRPr="00563274">
        <w:rPr>
          <w:bCs/>
          <w:color w:val="78BF42"/>
          <w:sz w:val="28"/>
          <w:szCs w:val="26"/>
        </w:rPr>
        <w:t xml:space="preserve">Objectives of the proposed </w:t>
      </w:r>
      <w:r w:rsidR="00ED53AC" w:rsidRPr="00563274">
        <w:rPr>
          <w:bCs/>
          <w:color w:val="78BF42"/>
          <w:sz w:val="28"/>
          <w:szCs w:val="26"/>
        </w:rPr>
        <w:t>r</w:t>
      </w:r>
      <w:r w:rsidRPr="00563274">
        <w:rPr>
          <w:bCs/>
          <w:color w:val="78BF42"/>
          <w:sz w:val="28"/>
          <w:szCs w:val="26"/>
        </w:rPr>
        <w:t>egulations</w:t>
      </w:r>
    </w:p>
    <w:p w14:paraId="51A32221" w14:textId="63B1490B" w:rsidR="00FC415F" w:rsidRDefault="00FC415F" w:rsidP="00FC415F">
      <w:r>
        <w:t xml:space="preserve">The purpose of the Act is to encourage mineral exploration and economically viable mining and extractive industries which make the best use of, and extract the value from, earth resources in a way that is compatible with the economic, social and environmental </w:t>
      </w:r>
      <w:r w:rsidRPr="00D36C54">
        <w:t>objectives of the State.</w:t>
      </w:r>
      <w:r w:rsidRPr="00D36C54">
        <w:rPr>
          <w:rStyle w:val="FootnoteReference"/>
          <w:rFonts w:eastAsiaTheme="majorEastAsia"/>
        </w:rPr>
        <w:footnoteReference w:id="8"/>
      </w:r>
      <w:r w:rsidRPr="00D36C54">
        <w:t xml:space="preserve"> These objectives are met in accordance with the principles of sustainable development.</w:t>
      </w:r>
    </w:p>
    <w:p w14:paraId="7A613808" w14:textId="2BD1BF17" w:rsidR="00FC415F" w:rsidRDefault="00FC415F" w:rsidP="00FC415F">
      <w:r>
        <w:lastRenderedPageBreak/>
        <w:t xml:space="preserve">The proposed Regulations aim to enable the Victorian Government and mining operators to make decisions about the risks and liabilities </w:t>
      </w:r>
      <w:r w:rsidDel="00FC415F">
        <w:t>attached to</w:t>
      </w:r>
      <w:r>
        <w:t xml:space="preserve"> declared mine land, and to inform the community on those risks. The </w:t>
      </w:r>
      <w:r w:rsidR="006D027C">
        <w:t>proposed Regulations</w:t>
      </w:r>
      <w:r>
        <w:t xml:space="preserve"> seek to do this by prescribing details to operationalise the following elements of the Amendm</w:t>
      </w:r>
      <w:r w:rsidRPr="00004673">
        <w:t>ent Act:</w:t>
      </w:r>
    </w:p>
    <w:p w14:paraId="7EAF8842" w14:textId="5D93C2DD" w:rsidR="00FC415F" w:rsidRDefault="00FC415F" w:rsidP="00FC415F">
      <w:pPr>
        <w:pStyle w:val="ListBullet"/>
        <w:numPr>
          <w:ilvl w:val="0"/>
          <w:numId w:val="110"/>
        </w:numPr>
      </w:pPr>
      <w:r>
        <w:t xml:space="preserve">Declared Mine Rehabilitation </w:t>
      </w:r>
      <w:r w:rsidR="67123FDE">
        <w:t>Plans</w:t>
      </w:r>
      <w:r>
        <w:t xml:space="preserve"> – effectively facilitate adequate rehabilitation planning and activity to manage risks posed by declared mine land through:</w:t>
      </w:r>
    </w:p>
    <w:p w14:paraId="2F0B47D6" w14:textId="77777777" w:rsidR="00FC415F" w:rsidRDefault="00FC415F" w:rsidP="00397716">
      <w:pPr>
        <w:pStyle w:val="dotpoints2"/>
      </w:pPr>
      <w:r>
        <w:t xml:space="preserve">facilitating assessment of declared mine rehabilitation </w:t>
      </w:r>
      <w:r w:rsidRPr="00004673">
        <w:t>liability;</w:t>
      </w:r>
      <w:r>
        <w:t xml:space="preserve"> </w:t>
      </w:r>
    </w:p>
    <w:p w14:paraId="5ECF99F5" w14:textId="77777777" w:rsidR="00FC415F" w:rsidRDefault="72B772F4" w:rsidP="00397716">
      <w:pPr>
        <w:pStyle w:val="dotpoints2"/>
      </w:pPr>
      <w:r>
        <w:t>enabling appropriate and integrated regulatory rehabilitation-related decision making by government; and</w:t>
      </w:r>
    </w:p>
    <w:p w14:paraId="488C04B2" w14:textId="129B4FBD" w:rsidR="72B772F4" w:rsidRDefault="72B772F4" w:rsidP="44AE50F4">
      <w:pPr>
        <w:pStyle w:val="dotpoints2"/>
      </w:pPr>
      <w:r>
        <w:t>providing a transparent and flexible approach to planning.</w:t>
      </w:r>
    </w:p>
    <w:p w14:paraId="35CFE6A1" w14:textId="77777777" w:rsidR="00FC415F" w:rsidRDefault="00FC415F" w:rsidP="00FC415F">
      <w:pPr>
        <w:pStyle w:val="ListBullet"/>
        <w:numPr>
          <w:ilvl w:val="0"/>
          <w:numId w:val="110"/>
        </w:numPr>
      </w:pPr>
      <w:r>
        <w:t xml:space="preserve">Mine closure determinations </w:t>
      </w:r>
    </w:p>
    <w:p w14:paraId="03CF870F" w14:textId="77777777" w:rsidR="00FC415F" w:rsidRDefault="00FC415F" w:rsidP="00397716">
      <w:pPr>
        <w:pStyle w:val="dotpoints2"/>
      </w:pPr>
      <w:r>
        <w:t xml:space="preserve">Support informed decision-making to ensure that rehabilitation meets legislative objectives and provides a clear and transparent decision-making process. </w:t>
      </w:r>
    </w:p>
    <w:p w14:paraId="4B7CF263" w14:textId="77777777" w:rsidR="00FC415F" w:rsidRDefault="00FC415F" w:rsidP="00FC415F">
      <w:pPr>
        <w:pStyle w:val="ListBullet"/>
        <w:numPr>
          <w:ilvl w:val="0"/>
          <w:numId w:val="110"/>
        </w:numPr>
      </w:pPr>
      <w:r>
        <w:t xml:space="preserve">Mine land registration </w:t>
      </w:r>
    </w:p>
    <w:p w14:paraId="136B92B0" w14:textId="73298C25" w:rsidR="00FC415F" w:rsidRDefault="00FC415F" w:rsidP="00397716">
      <w:pPr>
        <w:pStyle w:val="dotpoints2"/>
      </w:pPr>
      <w:r>
        <w:t xml:space="preserve">Obtain and record relevant information about declared mine sites, risks and necessary post-closure management to support informed government, </w:t>
      </w:r>
      <w:r w:rsidDel="00560F28">
        <w:t>stakeholder</w:t>
      </w:r>
      <w:r w:rsidR="00560F28">
        <w:t>,</w:t>
      </w:r>
      <w:r>
        <w:t xml:space="preserve"> and community decision-making. </w:t>
      </w:r>
    </w:p>
    <w:p w14:paraId="20E731CC" w14:textId="77777777" w:rsidR="00FC415F" w:rsidRDefault="00FC415F" w:rsidP="00397716">
      <w:pPr>
        <w:pStyle w:val="dotpoints2"/>
      </w:pPr>
      <w:r>
        <w:t xml:space="preserve">Support the fair and accurate determination of fund contribution amounts to sufficiently fund ongoing and post-closure declared mine rehabilitation activities and achieve overall regulatory objectives. </w:t>
      </w:r>
    </w:p>
    <w:p w14:paraId="606E1A00" w14:textId="77777777" w:rsidR="00FC415F" w:rsidRPr="00563274" w:rsidRDefault="00FC415F" w:rsidP="00563274">
      <w:pPr>
        <w:spacing w:before="400"/>
        <w:rPr>
          <w:bCs/>
          <w:color w:val="78BF42"/>
          <w:sz w:val="28"/>
          <w:szCs w:val="26"/>
        </w:rPr>
      </w:pPr>
      <w:r w:rsidRPr="00563274">
        <w:rPr>
          <w:bCs/>
          <w:color w:val="78BF42"/>
          <w:sz w:val="28"/>
          <w:szCs w:val="26"/>
        </w:rPr>
        <w:t>Options</w:t>
      </w:r>
    </w:p>
    <w:p w14:paraId="7AE8695C" w14:textId="77777777" w:rsidR="00FC415F" w:rsidRDefault="00FC415F" w:rsidP="00FC415F">
      <w:r>
        <w:t>The proposed Regulations cover the three areas that support operationalising the Act, and are the subject of this RIS:</w:t>
      </w:r>
    </w:p>
    <w:p w14:paraId="411ED5D3" w14:textId="009C4FC0" w:rsidR="00FC415F" w:rsidRDefault="00FC415F" w:rsidP="00397716">
      <w:pPr>
        <w:pStyle w:val="dotpoints"/>
      </w:pPr>
      <w:r>
        <w:t>Declared Mine Rehabilitation Plans</w:t>
      </w:r>
      <w:r w:rsidR="008747C8">
        <w:t>,</w:t>
      </w:r>
    </w:p>
    <w:p w14:paraId="56FDCC9A" w14:textId="32E3D299" w:rsidR="00FC415F" w:rsidRDefault="00FC415F" w:rsidP="00397716">
      <w:pPr>
        <w:pStyle w:val="dotpoints"/>
      </w:pPr>
      <w:r>
        <w:t>Mine closure determinations</w:t>
      </w:r>
      <w:r w:rsidR="008747C8">
        <w:t>, and</w:t>
      </w:r>
      <w:r>
        <w:t xml:space="preserve"> </w:t>
      </w:r>
    </w:p>
    <w:p w14:paraId="619F1EB0" w14:textId="691307FA" w:rsidR="00FC415F" w:rsidRDefault="00FC415F" w:rsidP="00397716">
      <w:pPr>
        <w:pStyle w:val="dotpoints"/>
      </w:pPr>
      <w:r>
        <w:t>Mine land registration</w:t>
      </w:r>
      <w:r w:rsidR="008747C8">
        <w:t>.</w:t>
      </w:r>
    </w:p>
    <w:p w14:paraId="39EA44D5" w14:textId="6E39AC74" w:rsidR="009E15FD" w:rsidRDefault="009E15FD" w:rsidP="00A81634">
      <w:pPr>
        <w:jc w:val="center"/>
      </w:pPr>
    </w:p>
    <w:p w14:paraId="6B5F7505" w14:textId="4845B482" w:rsidR="009E15FD" w:rsidRDefault="009E15FD" w:rsidP="009E15FD">
      <w:pPr>
        <w:pStyle w:val="Caption"/>
      </w:pPr>
      <w:bookmarkStart w:id="5" w:name="_Toc104217605"/>
      <w:r>
        <w:t xml:space="preserve">Figure </w:t>
      </w:r>
      <w:r>
        <w:fldChar w:fldCharType="begin"/>
      </w:r>
      <w:r>
        <w:instrText>SEQ Figure \* ARABIC</w:instrText>
      </w:r>
      <w:r>
        <w:fldChar w:fldCharType="separate"/>
      </w:r>
      <w:r w:rsidR="000B3BF6">
        <w:rPr>
          <w:noProof/>
        </w:rPr>
        <w:t>1</w:t>
      </w:r>
      <w:r>
        <w:fldChar w:fldCharType="end"/>
      </w:r>
      <w:r>
        <w:t xml:space="preserve">: </w:t>
      </w:r>
      <w:r w:rsidRPr="004606C3">
        <w:t>Simplified declared mine land regulatory framework</w:t>
      </w:r>
      <w:bookmarkEnd w:id="5"/>
    </w:p>
    <w:p w14:paraId="3069319C" w14:textId="4B5B781A" w:rsidR="00FC415F" w:rsidRDefault="00C21061" w:rsidP="00A81634">
      <w:pPr>
        <w:jc w:val="center"/>
      </w:pPr>
      <w:r>
        <w:rPr>
          <w:noProof/>
        </w:rPr>
        <w:drawing>
          <wp:inline distT="0" distB="0" distL="0" distR="0" wp14:anchorId="7D34C631" wp14:editId="6CA44613">
            <wp:extent cx="5409104" cy="2717355"/>
            <wp:effectExtent l="0" t="0" r="127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9104" cy="2717355"/>
                    </a:xfrm>
                    <a:prstGeom prst="rect">
                      <a:avLst/>
                    </a:prstGeom>
                  </pic:spPr>
                </pic:pic>
              </a:graphicData>
            </a:graphic>
          </wp:inline>
        </w:drawing>
      </w:r>
    </w:p>
    <w:p w14:paraId="5A363AD3" w14:textId="77777777" w:rsidR="00FC415F" w:rsidRDefault="72B772F4" w:rsidP="00FC415F">
      <w:r>
        <w:lastRenderedPageBreak/>
        <w:t>The Subordinate Legislation Act requires a RIS to consider “other practicable means of achieving those objectives, including other regulatory as well as non-regulatory options”.</w:t>
      </w:r>
      <w:r w:rsidR="00FC415F" w:rsidRPr="44AE50F4">
        <w:rPr>
          <w:rStyle w:val="FootnoteReference"/>
          <w:rFonts w:eastAsiaTheme="majorEastAsia"/>
        </w:rPr>
        <w:footnoteReference w:id="9"/>
      </w:r>
      <w:r>
        <w:t xml:space="preserve"> </w:t>
      </w:r>
    </w:p>
    <w:p w14:paraId="6D7B99C6" w14:textId="77777777" w:rsidR="00FC415F" w:rsidRDefault="00FC415F" w:rsidP="00FC415F">
      <w:r>
        <w:t>The Department of Jobs, Precincts and Regions has investigated rehabilitation planning regulations in other jurisdictions to guide the development of options. It reviewed regulations in Queensland, Western Australia, New South Wales, South Australia, the Northern Territory, Canada (Saskatchewan), USA (Wyoming) and Germany (see Appendix A). It also reviewed the best practice guidance published by the International Council of Mining and Metals and Anglo American. Informed by this review, and recognising the regulatory burden on the minerals sector and the objectives of the Act, two viable options have been identified:</w:t>
      </w:r>
    </w:p>
    <w:p w14:paraId="39C73B10" w14:textId="714511D1" w:rsidR="00FC415F" w:rsidRPr="00F374D5" w:rsidRDefault="00FC415F" w:rsidP="00FC415F">
      <w:r w:rsidRPr="00F374D5">
        <w:rPr>
          <w:b/>
        </w:rPr>
        <w:t>Option 1</w:t>
      </w:r>
      <w:r w:rsidRPr="00F374D5">
        <w:t xml:space="preserve"> </w:t>
      </w:r>
      <w:r w:rsidRPr="00F374D5">
        <w:rPr>
          <w:b/>
        </w:rPr>
        <w:t>(‘up</w:t>
      </w:r>
      <w:r w:rsidR="00DA5C99">
        <w:rPr>
          <w:b/>
        </w:rPr>
        <w:t>-</w:t>
      </w:r>
      <w:r w:rsidRPr="00F374D5">
        <w:rPr>
          <w:b/>
        </w:rPr>
        <w:t>front approach’)</w:t>
      </w:r>
      <w:r w:rsidRPr="00F374D5">
        <w:t xml:space="preserve"> is</w:t>
      </w:r>
      <w:r w:rsidR="00096DC4">
        <w:t xml:space="preserve"> a</w:t>
      </w:r>
      <w:r w:rsidRPr="00F374D5">
        <w:t xml:space="preserve"> licensee</w:t>
      </w:r>
      <w:r w:rsidR="00096DC4">
        <w:t>-</w:t>
      </w:r>
      <w:r w:rsidRPr="00F374D5">
        <w:t>driven</w:t>
      </w:r>
      <w:r w:rsidR="00465DFB">
        <w:t xml:space="preserve"> programme</w:t>
      </w:r>
      <w:r w:rsidRPr="00F374D5">
        <w:t xml:space="preserve">. The focus of the rehabilitation plan is on identifying the post-closure landform for the mine site at the outset of rehabilitation planning. The aim is to enable the Minister to set adequate bonds through the provision of early, detailed information through the rehabilitation plan to return the mine land to a safe, stable and sustainable </w:t>
      </w:r>
      <w:r w:rsidR="00946D1F">
        <w:t>land</w:t>
      </w:r>
      <w:r w:rsidRPr="00F374D5">
        <w:t xml:space="preserve">form. </w:t>
      </w:r>
    </w:p>
    <w:p w14:paraId="78A91A4E" w14:textId="68B8337F" w:rsidR="0003700F" w:rsidRDefault="00FC415F">
      <w:r w:rsidRPr="00F374D5">
        <w:rPr>
          <w:b/>
        </w:rPr>
        <w:t>Option 2 (‘iterative approach’)</w:t>
      </w:r>
      <w:r w:rsidRPr="00F374D5">
        <w:t xml:space="preserve"> is designed to drive continuous improvement. This option</w:t>
      </w:r>
      <w:r>
        <w:t xml:space="preserve"> centres on promoting rehabilitation planning, progressing towards rehabilitation outcomes that are acceptable against legislative standards</w:t>
      </w:r>
      <w:r w:rsidR="00BE2830">
        <w:t>,</w:t>
      </w:r>
      <w:r>
        <w:t xml:space="preserve"> but </w:t>
      </w:r>
      <w:r w:rsidR="473787C9">
        <w:t xml:space="preserve">do not </w:t>
      </w:r>
      <w:r w:rsidR="013EBC61">
        <w:t xml:space="preserve">focus </w:t>
      </w:r>
      <w:r w:rsidR="31D81857">
        <w:t xml:space="preserve">early in the process </w:t>
      </w:r>
      <w:r w:rsidR="33A04C09">
        <w:t xml:space="preserve">on </w:t>
      </w:r>
      <w:r>
        <w:t xml:space="preserve">the exact </w:t>
      </w:r>
      <w:r w:rsidR="352CE2DB">
        <w:t xml:space="preserve">end </w:t>
      </w:r>
      <w:r>
        <w:t>landform. This option seeks to develop the evidence base about mine sites over time and have this inform the rehabilitation plans and activities.</w:t>
      </w:r>
      <w:r w:rsidR="00D928A8">
        <w:t xml:space="preserve"> </w:t>
      </w:r>
      <w:r>
        <w:t xml:space="preserve">The key differences </w:t>
      </w:r>
      <w:r w:rsidR="00D928A8">
        <w:t xml:space="preserve">and similarities </w:t>
      </w:r>
      <w:r>
        <w:t>between the options are summarised below.</w:t>
      </w:r>
    </w:p>
    <w:p w14:paraId="72E2357C" w14:textId="4E081B54" w:rsidR="009E15FD" w:rsidRDefault="009E15FD" w:rsidP="00CD14BC">
      <w:pPr>
        <w:pStyle w:val="Caption"/>
      </w:pPr>
      <w:bookmarkStart w:id="6" w:name="_Toc104217617"/>
      <w:r>
        <w:t xml:space="preserve">Table </w:t>
      </w:r>
      <w:r>
        <w:fldChar w:fldCharType="begin"/>
      </w:r>
      <w:r>
        <w:instrText>SEQ Table \* ARABIC</w:instrText>
      </w:r>
      <w:r>
        <w:fldChar w:fldCharType="separate"/>
      </w:r>
      <w:r w:rsidR="000B3BF6">
        <w:rPr>
          <w:noProof/>
        </w:rPr>
        <w:t>1</w:t>
      </w:r>
      <w:r>
        <w:fldChar w:fldCharType="end"/>
      </w:r>
      <w:r>
        <w:t xml:space="preserve">: </w:t>
      </w:r>
      <w:r w:rsidR="0005693C">
        <w:t>Simplified s</w:t>
      </w:r>
      <w:r>
        <w:t>ummar</w:t>
      </w:r>
      <w:r w:rsidR="0005693C">
        <w:t>y</w:t>
      </w:r>
      <w:r>
        <w:t xml:space="preserve"> </w:t>
      </w:r>
      <w:r w:rsidR="000977B1">
        <w:t xml:space="preserve">of </w:t>
      </w:r>
      <w:r w:rsidR="00A3339F">
        <w:t>o</w:t>
      </w:r>
      <w:r>
        <w:t>ptions</w:t>
      </w:r>
      <w:r w:rsidR="0005693C">
        <w:t xml:space="preserve"> considered</w:t>
      </w:r>
      <w:bookmarkEnd w:id="6"/>
    </w:p>
    <w:tbl>
      <w:tblPr>
        <w:tblStyle w:val="TableGrid"/>
        <w:tblW w:w="5174" w:type="pct"/>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CellMar>
          <w:top w:w="28" w:type="dxa"/>
          <w:bottom w:w="28" w:type="dxa"/>
        </w:tblCellMar>
        <w:tblLook w:val="04A0" w:firstRow="1" w:lastRow="0" w:firstColumn="1" w:lastColumn="0" w:noHBand="0" w:noVBand="1"/>
      </w:tblPr>
      <w:tblGrid>
        <w:gridCol w:w="1841"/>
        <w:gridCol w:w="2963"/>
        <w:gridCol w:w="4536"/>
      </w:tblGrid>
      <w:tr w:rsidR="00885B77" w14:paraId="4319BDDE" w14:textId="77777777" w:rsidTr="101B9388">
        <w:trPr>
          <w:trHeight w:val="362"/>
          <w:tblHeader/>
        </w:trPr>
        <w:tc>
          <w:tcPr>
            <w:tcW w:w="986" w:type="pct"/>
            <w:tcBorders>
              <w:top w:val="single" w:sz="2" w:space="0" w:color="064EA8"/>
              <w:left w:val="nil"/>
              <w:bottom w:val="single" w:sz="2" w:space="0" w:color="064EA8"/>
              <w:right w:val="nil"/>
            </w:tcBorders>
            <w:shd w:val="clear" w:color="auto" w:fill="1B0B38"/>
            <w:vAlign w:val="center"/>
            <w:hideMark/>
          </w:tcPr>
          <w:p w14:paraId="3A61849F" w14:textId="77777777" w:rsidR="00FC415F" w:rsidRDefault="00FC415F">
            <w:pPr>
              <w:spacing w:beforeLines="30" w:before="72" w:afterLines="30" w:after="72"/>
              <w:rPr>
                <w:rStyle w:val="Strong"/>
                <w:color w:val="FFFFFF" w:themeColor="background1"/>
              </w:rPr>
            </w:pPr>
            <w:bookmarkStart w:id="7" w:name="_Hlk97547223"/>
            <w:r>
              <w:rPr>
                <w:rStyle w:val="Strong"/>
                <w:color w:val="FFFFFF" w:themeColor="background1"/>
              </w:rPr>
              <w:t>Elements</w:t>
            </w:r>
          </w:p>
        </w:tc>
        <w:tc>
          <w:tcPr>
            <w:tcW w:w="1586" w:type="pct"/>
            <w:tcBorders>
              <w:top w:val="single" w:sz="2" w:space="0" w:color="064EA8"/>
              <w:left w:val="nil"/>
              <w:bottom w:val="single" w:sz="2" w:space="0" w:color="064EA8"/>
              <w:right w:val="nil"/>
            </w:tcBorders>
            <w:shd w:val="clear" w:color="auto" w:fill="1B0B38"/>
            <w:hideMark/>
          </w:tcPr>
          <w:p w14:paraId="4A29A4F9" w14:textId="6434D518" w:rsidR="00FC415F" w:rsidRDefault="00FC415F">
            <w:pPr>
              <w:spacing w:beforeLines="30" w:before="72" w:afterLines="30" w:after="72"/>
              <w:jc w:val="center"/>
              <w:rPr>
                <w:rStyle w:val="Strong"/>
                <w:color w:val="FFFFFF" w:themeColor="background1"/>
              </w:rPr>
            </w:pPr>
            <w:r>
              <w:rPr>
                <w:rStyle w:val="Strong"/>
                <w:color w:val="FFFFFF" w:themeColor="background1"/>
              </w:rPr>
              <w:t>Option 1: ‘up</w:t>
            </w:r>
            <w:r w:rsidR="00DA5C99">
              <w:rPr>
                <w:rStyle w:val="Strong"/>
                <w:color w:val="FFFFFF" w:themeColor="background1"/>
              </w:rPr>
              <w:t>-</w:t>
            </w:r>
            <w:r>
              <w:rPr>
                <w:rStyle w:val="Strong"/>
                <w:color w:val="FFFFFF" w:themeColor="background1"/>
              </w:rPr>
              <w:t>front approach’</w:t>
            </w:r>
          </w:p>
        </w:tc>
        <w:tc>
          <w:tcPr>
            <w:tcW w:w="2428" w:type="pct"/>
            <w:tcBorders>
              <w:top w:val="single" w:sz="2" w:space="0" w:color="064EA8"/>
              <w:left w:val="nil"/>
              <w:bottom w:val="single" w:sz="2" w:space="0" w:color="064EA8"/>
              <w:right w:val="nil"/>
            </w:tcBorders>
            <w:shd w:val="clear" w:color="auto" w:fill="1B0B38"/>
            <w:hideMark/>
          </w:tcPr>
          <w:p w14:paraId="3AAABCCC" w14:textId="77777777" w:rsidR="00FC415F" w:rsidRDefault="00FC415F">
            <w:pPr>
              <w:spacing w:beforeLines="30" w:before="72" w:afterLines="30" w:after="72"/>
              <w:jc w:val="center"/>
              <w:rPr>
                <w:rStyle w:val="Strong"/>
                <w:color w:val="FFFFFF" w:themeColor="background1"/>
              </w:rPr>
            </w:pPr>
            <w:r>
              <w:rPr>
                <w:rStyle w:val="Strong"/>
                <w:color w:val="FFFFFF" w:themeColor="background1"/>
              </w:rPr>
              <w:t>Option 2: ‘iterative approach’</w:t>
            </w:r>
          </w:p>
        </w:tc>
      </w:tr>
      <w:tr w:rsidR="00885B77" w14:paraId="4F71BB2D" w14:textId="77777777" w:rsidTr="101B9388">
        <w:trPr>
          <w:trHeight w:val="393"/>
        </w:trPr>
        <w:tc>
          <w:tcPr>
            <w:tcW w:w="986" w:type="pct"/>
            <w:tcBorders>
              <w:top w:val="single" w:sz="2" w:space="0" w:color="064EA8"/>
              <w:left w:val="nil"/>
              <w:bottom w:val="single" w:sz="2" w:space="0" w:color="064EA8"/>
              <w:right w:val="nil"/>
            </w:tcBorders>
            <w:hideMark/>
          </w:tcPr>
          <w:p w14:paraId="4D95CCBB" w14:textId="77777777" w:rsidR="00FC415F" w:rsidRDefault="00FC415F">
            <w:pPr>
              <w:spacing w:beforeLines="30" w:before="72" w:afterLines="30" w:after="72"/>
              <w:rPr>
                <w:szCs w:val="18"/>
              </w:rPr>
            </w:pPr>
            <w:r>
              <w:rPr>
                <w:szCs w:val="18"/>
              </w:rPr>
              <w:t>DMRP Outcomes &amp; objectives</w:t>
            </w:r>
          </w:p>
        </w:tc>
        <w:tc>
          <w:tcPr>
            <w:tcW w:w="1586" w:type="pct"/>
            <w:tcBorders>
              <w:top w:val="single" w:sz="2" w:space="0" w:color="064EA8"/>
              <w:left w:val="nil"/>
              <w:bottom w:val="single" w:sz="2" w:space="0" w:color="064EA8"/>
              <w:right w:val="nil"/>
            </w:tcBorders>
            <w:hideMark/>
          </w:tcPr>
          <w:p w14:paraId="06DC0F08" w14:textId="77777777" w:rsidR="00FC415F" w:rsidRDefault="00FC415F" w:rsidP="00395C45">
            <w:pPr>
              <w:pStyle w:val="ListBullet"/>
              <w:numPr>
                <w:ilvl w:val="0"/>
                <w:numId w:val="110"/>
              </w:numPr>
              <w:spacing w:beforeLines="30" w:before="72" w:afterLines="30" w:after="72"/>
            </w:pPr>
            <w:r>
              <w:t>Safe, stable and sustainable landform for a specified land use</w:t>
            </w:r>
          </w:p>
          <w:p w14:paraId="43396B5D" w14:textId="77777777" w:rsidR="00FC415F" w:rsidRDefault="00FC415F" w:rsidP="00395C45">
            <w:pPr>
              <w:pStyle w:val="ListBullet"/>
              <w:numPr>
                <w:ilvl w:val="0"/>
                <w:numId w:val="110"/>
              </w:numPr>
              <w:spacing w:beforeLines="30" w:before="72" w:afterLines="30" w:after="72"/>
            </w:pPr>
            <w:r>
              <w:t>Objectives defined against that land use</w:t>
            </w:r>
          </w:p>
        </w:tc>
        <w:tc>
          <w:tcPr>
            <w:tcW w:w="2428" w:type="pct"/>
            <w:tcBorders>
              <w:top w:val="single" w:sz="2" w:space="0" w:color="064EA8"/>
              <w:left w:val="nil"/>
              <w:bottom w:val="single" w:sz="2" w:space="0" w:color="064EA8"/>
              <w:right w:val="nil"/>
            </w:tcBorders>
            <w:hideMark/>
          </w:tcPr>
          <w:p w14:paraId="0CD8B73D" w14:textId="725DB4B0" w:rsidR="00FC415F" w:rsidRDefault="00C30F35" w:rsidP="00395C45">
            <w:pPr>
              <w:pStyle w:val="ListBullet"/>
              <w:numPr>
                <w:ilvl w:val="0"/>
                <w:numId w:val="110"/>
              </w:numPr>
              <w:spacing w:beforeLines="30" w:before="72" w:afterLines="30" w:after="72"/>
            </w:pPr>
            <w:r>
              <w:t>Maintenance of s</w:t>
            </w:r>
            <w:r w:rsidR="00FC415F">
              <w:t>afe and stable landform</w:t>
            </w:r>
          </w:p>
          <w:p w14:paraId="70FA5A93" w14:textId="275383CF" w:rsidR="00FC415F" w:rsidRDefault="002E5E2A" w:rsidP="00395C45">
            <w:pPr>
              <w:pStyle w:val="ListBullet"/>
              <w:numPr>
                <w:ilvl w:val="0"/>
                <w:numId w:val="110"/>
              </w:numPr>
              <w:spacing w:beforeLines="30" w:before="72" w:afterLines="30" w:after="72"/>
            </w:pPr>
            <w:r>
              <w:t xml:space="preserve">Prescribed matters </w:t>
            </w:r>
            <w:r w:rsidR="00166847">
              <w:t>to be included in the plan</w:t>
            </w:r>
            <w:r w:rsidR="005B7BDC">
              <w:t>,</w:t>
            </w:r>
            <w:r w:rsidR="00FC415F">
              <w:t xml:space="preserve"> informed by the LVRRS</w:t>
            </w:r>
            <w:r w:rsidR="005B7BDC">
              <w:t>,</w:t>
            </w:r>
            <w:r w:rsidR="00FC415F">
              <w:t xml:space="preserve"> and based on accepted regulatory or industry best practice</w:t>
            </w:r>
          </w:p>
        </w:tc>
      </w:tr>
      <w:tr w:rsidR="00885B77" w14:paraId="5EF6DBA0" w14:textId="77777777" w:rsidTr="101B9388">
        <w:trPr>
          <w:trHeight w:val="393"/>
        </w:trPr>
        <w:tc>
          <w:tcPr>
            <w:tcW w:w="986" w:type="pct"/>
            <w:tcBorders>
              <w:top w:val="single" w:sz="2" w:space="0" w:color="064EA8"/>
              <w:left w:val="nil"/>
              <w:bottom w:val="single" w:sz="2" w:space="0" w:color="064EA8"/>
              <w:right w:val="nil"/>
            </w:tcBorders>
            <w:hideMark/>
          </w:tcPr>
          <w:p w14:paraId="59269E43" w14:textId="77777777" w:rsidR="00FC415F" w:rsidRDefault="00FC415F">
            <w:pPr>
              <w:spacing w:beforeLines="30" w:before="72" w:afterLines="30" w:after="72"/>
            </w:pPr>
            <w:r>
              <w:t>DMRP Milestones</w:t>
            </w:r>
          </w:p>
        </w:tc>
        <w:tc>
          <w:tcPr>
            <w:tcW w:w="1586" w:type="pct"/>
            <w:tcBorders>
              <w:top w:val="single" w:sz="2" w:space="0" w:color="064EA8"/>
              <w:left w:val="nil"/>
              <w:bottom w:val="single" w:sz="2" w:space="0" w:color="064EA8"/>
              <w:right w:val="nil"/>
            </w:tcBorders>
            <w:hideMark/>
          </w:tcPr>
          <w:p w14:paraId="39926647" w14:textId="572AFDB2" w:rsidR="00FC415F" w:rsidRDefault="00FC415F" w:rsidP="00395C45">
            <w:pPr>
              <w:pStyle w:val="ListBullet"/>
              <w:numPr>
                <w:ilvl w:val="0"/>
                <w:numId w:val="110"/>
              </w:numPr>
              <w:spacing w:beforeLines="30" w:before="72" w:afterLines="30" w:after="72"/>
            </w:pPr>
            <w:r>
              <w:t xml:space="preserve">A description </w:t>
            </w:r>
            <w:r w:rsidR="004A247E">
              <w:t xml:space="preserve">of, </w:t>
            </w:r>
            <w:r>
              <w:t>and schedule for, rehabilitation milestones</w:t>
            </w:r>
          </w:p>
        </w:tc>
        <w:tc>
          <w:tcPr>
            <w:tcW w:w="2428" w:type="pct"/>
            <w:tcBorders>
              <w:top w:val="single" w:sz="2" w:space="0" w:color="064EA8"/>
              <w:left w:val="nil"/>
              <w:bottom w:val="single" w:sz="2" w:space="0" w:color="064EA8"/>
              <w:right w:val="nil"/>
            </w:tcBorders>
            <w:hideMark/>
          </w:tcPr>
          <w:p w14:paraId="406A87E3" w14:textId="6B9BD132" w:rsidR="00FC415F" w:rsidRDefault="00FC415F">
            <w:pPr>
              <w:spacing w:beforeLines="30" w:before="72" w:afterLines="30" w:after="72"/>
            </w:pPr>
            <w:r>
              <w:t xml:space="preserve">Milestones for all rehabilitation and closure objectives must identify each </w:t>
            </w:r>
            <w:r w:rsidR="006F1CBF">
              <w:t>relevant</w:t>
            </w:r>
            <w:r>
              <w:t xml:space="preserve"> event or step necessary to: </w:t>
            </w:r>
          </w:p>
          <w:p w14:paraId="51EBDDFD" w14:textId="6E341021" w:rsidR="00FC415F" w:rsidRDefault="00292D96" w:rsidP="00395C45">
            <w:pPr>
              <w:pStyle w:val="ListBullet"/>
              <w:numPr>
                <w:ilvl w:val="0"/>
                <w:numId w:val="110"/>
              </w:numPr>
              <w:spacing w:beforeLines="30" w:before="72" w:afterLines="30" w:after="72"/>
            </w:pPr>
            <w:r>
              <w:t xml:space="preserve">rehabilitate the land </w:t>
            </w:r>
            <w:r w:rsidR="00557C43">
              <w:t>to a safe, stable and sustainable condition</w:t>
            </w:r>
          </w:p>
          <w:p w14:paraId="4A4AF5DE" w14:textId="60227C74" w:rsidR="00465150" w:rsidRDefault="00FC415F" w:rsidP="00395C45">
            <w:pPr>
              <w:pStyle w:val="ListBullet"/>
              <w:numPr>
                <w:ilvl w:val="0"/>
                <w:numId w:val="110"/>
              </w:numPr>
              <w:spacing w:beforeLines="30" w:before="72" w:afterLines="30" w:after="72"/>
            </w:pPr>
            <w:r>
              <w:t xml:space="preserve">minimise the risks </w:t>
            </w:r>
            <w:r w:rsidR="00434AB6">
              <w:t xml:space="preserve">posed by </w:t>
            </w:r>
            <w:r w:rsidR="00465150">
              <w:t>declared mine land as far as practicable</w:t>
            </w:r>
          </w:p>
          <w:p w14:paraId="60B01A89" w14:textId="593E29D2" w:rsidR="00FC415F" w:rsidRDefault="00FC7EFA" w:rsidP="00395C45">
            <w:pPr>
              <w:pStyle w:val="ListBullet"/>
              <w:numPr>
                <w:ilvl w:val="0"/>
                <w:numId w:val="110"/>
              </w:numPr>
              <w:spacing w:beforeLines="30" w:before="72" w:afterLines="30" w:after="72"/>
            </w:pPr>
            <w:r>
              <w:t xml:space="preserve">obtain the relevant legal approvals and permissions required for the rehabilitation of the mine, the closure of the mine and </w:t>
            </w:r>
            <w:r w:rsidR="00EE382B">
              <w:t>post-closure of the mine</w:t>
            </w:r>
          </w:p>
        </w:tc>
      </w:tr>
      <w:tr w:rsidR="00885B77" w14:paraId="2F94C302" w14:textId="77777777" w:rsidTr="101B9388">
        <w:trPr>
          <w:trHeight w:val="393"/>
        </w:trPr>
        <w:tc>
          <w:tcPr>
            <w:tcW w:w="986" w:type="pct"/>
            <w:tcBorders>
              <w:top w:val="single" w:sz="2" w:space="0" w:color="064EA8"/>
              <w:left w:val="nil"/>
              <w:bottom w:val="single" w:sz="2" w:space="0" w:color="064EA8"/>
              <w:right w:val="nil"/>
            </w:tcBorders>
            <w:hideMark/>
          </w:tcPr>
          <w:p w14:paraId="3F546B82" w14:textId="77777777" w:rsidR="00FC415F" w:rsidRDefault="00FC415F">
            <w:pPr>
              <w:spacing w:beforeLines="30" w:before="72" w:afterLines="30" w:after="72"/>
            </w:pPr>
            <w:r>
              <w:t>DMRP Closure Criteria</w:t>
            </w:r>
          </w:p>
        </w:tc>
        <w:tc>
          <w:tcPr>
            <w:tcW w:w="1586" w:type="pct"/>
            <w:tcBorders>
              <w:top w:val="single" w:sz="2" w:space="0" w:color="064EA8"/>
              <w:left w:val="nil"/>
              <w:bottom w:val="single" w:sz="2" w:space="0" w:color="064EA8"/>
              <w:right w:val="nil"/>
            </w:tcBorders>
            <w:hideMark/>
          </w:tcPr>
          <w:p w14:paraId="24AD20A9" w14:textId="77777777" w:rsidR="00FC415F" w:rsidRDefault="00FC415F" w:rsidP="00395C45">
            <w:pPr>
              <w:pStyle w:val="ListBullet"/>
              <w:numPr>
                <w:ilvl w:val="0"/>
                <w:numId w:val="110"/>
              </w:numPr>
              <w:spacing w:beforeLines="30" w:before="72" w:afterLines="30" w:after="72"/>
            </w:pPr>
            <w:r>
              <w:t xml:space="preserve">Closure criteria must address the risks to public safety, the environment and infrastructure </w:t>
            </w:r>
          </w:p>
          <w:p w14:paraId="20CAC358" w14:textId="77777777" w:rsidR="00FC415F" w:rsidRDefault="00FC415F" w:rsidP="00395C45">
            <w:pPr>
              <w:pStyle w:val="ListBullet"/>
              <w:numPr>
                <w:ilvl w:val="0"/>
                <w:numId w:val="110"/>
              </w:numPr>
              <w:spacing w:beforeLines="30" w:before="72" w:afterLines="30" w:after="72"/>
            </w:pPr>
            <w:r>
              <w:t>Licensee sets criteria for measuring whether the DMRP objectives are met</w:t>
            </w:r>
          </w:p>
        </w:tc>
        <w:tc>
          <w:tcPr>
            <w:tcW w:w="2428" w:type="pct"/>
            <w:tcBorders>
              <w:top w:val="single" w:sz="2" w:space="0" w:color="064EA8"/>
              <w:left w:val="nil"/>
              <w:bottom w:val="single" w:sz="2" w:space="0" w:color="064EA8"/>
              <w:right w:val="nil"/>
            </w:tcBorders>
            <w:hideMark/>
          </w:tcPr>
          <w:p w14:paraId="1DB4D98B" w14:textId="7C609614" w:rsidR="00FC415F" w:rsidRDefault="00FC415F" w:rsidP="00395C45">
            <w:pPr>
              <w:pStyle w:val="ListBullet"/>
              <w:numPr>
                <w:ilvl w:val="0"/>
                <w:numId w:val="110"/>
              </w:numPr>
              <w:spacing w:beforeLines="30" w:before="72" w:afterLines="30" w:after="72"/>
            </w:pPr>
            <w:r>
              <w:t xml:space="preserve">Closure criteria must </w:t>
            </w:r>
            <w:r w:rsidR="00FB77C4">
              <w:t>address</w:t>
            </w:r>
            <w:r>
              <w:t xml:space="preserve"> the risks to public</w:t>
            </w:r>
            <w:r w:rsidR="00530234">
              <w:t xml:space="preserve"> health and</w:t>
            </w:r>
            <w:r>
              <w:t xml:space="preserve"> safety, the environment and infrastructure </w:t>
            </w:r>
          </w:p>
          <w:p w14:paraId="3E0A636B" w14:textId="4283C496" w:rsidR="00FC415F" w:rsidRDefault="00FC415F" w:rsidP="00395C45">
            <w:pPr>
              <w:pStyle w:val="ListBullet"/>
              <w:numPr>
                <w:ilvl w:val="0"/>
                <w:numId w:val="110"/>
              </w:numPr>
              <w:spacing w:beforeLines="30" w:before="72" w:afterLines="30" w:after="72"/>
            </w:pPr>
            <w:r>
              <w:t xml:space="preserve">Licensee must outline standards or </w:t>
            </w:r>
            <w:r w:rsidR="00621D31">
              <w:t>levels</w:t>
            </w:r>
            <w:r>
              <w:t xml:space="preserve"> of success for all rehabilitation and closure objectives in the DMRP rehabilitation plan</w:t>
            </w:r>
          </w:p>
        </w:tc>
      </w:tr>
      <w:tr w:rsidR="00885B77" w14:paraId="4992391E" w14:textId="77777777" w:rsidTr="101B9388">
        <w:trPr>
          <w:trHeight w:val="393"/>
        </w:trPr>
        <w:tc>
          <w:tcPr>
            <w:tcW w:w="986" w:type="pct"/>
            <w:tcBorders>
              <w:top w:val="single" w:sz="2" w:space="0" w:color="064EA8"/>
              <w:left w:val="nil"/>
              <w:bottom w:val="single" w:sz="2" w:space="0" w:color="064EA8"/>
              <w:right w:val="nil"/>
            </w:tcBorders>
            <w:hideMark/>
          </w:tcPr>
          <w:p w14:paraId="7909F3F9" w14:textId="77777777" w:rsidR="00FC415F" w:rsidRDefault="00FC415F">
            <w:pPr>
              <w:spacing w:beforeLines="30" w:before="72" w:afterLines="30" w:after="72"/>
            </w:pPr>
            <w:r>
              <w:t>DMRP Post-closure plan</w:t>
            </w:r>
          </w:p>
        </w:tc>
        <w:tc>
          <w:tcPr>
            <w:tcW w:w="1586" w:type="pct"/>
            <w:tcBorders>
              <w:top w:val="single" w:sz="2" w:space="0" w:color="064EA8"/>
              <w:left w:val="nil"/>
              <w:bottom w:val="single" w:sz="2" w:space="0" w:color="064EA8"/>
              <w:right w:val="nil"/>
            </w:tcBorders>
            <w:hideMark/>
          </w:tcPr>
          <w:p w14:paraId="0DE185E8" w14:textId="77777777" w:rsidR="00FC415F" w:rsidRDefault="00FC415F" w:rsidP="00395C45">
            <w:pPr>
              <w:pStyle w:val="ListBullet"/>
              <w:numPr>
                <w:ilvl w:val="0"/>
                <w:numId w:val="110"/>
              </w:numPr>
              <w:spacing w:beforeLines="30" w:before="72" w:afterLines="30" w:after="72"/>
            </w:pPr>
            <w:r>
              <w:t xml:space="preserve">Include a schedule for ongoing monitoring and maintenance activities </w:t>
            </w:r>
          </w:p>
          <w:p w14:paraId="1FDABEDE" w14:textId="77777777" w:rsidR="00FC415F" w:rsidRDefault="00FC415F" w:rsidP="00395C45">
            <w:pPr>
              <w:pStyle w:val="ListBullet"/>
              <w:numPr>
                <w:ilvl w:val="0"/>
                <w:numId w:val="110"/>
              </w:numPr>
              <w:spacing w:beforeLines="30" w:before="72" w:afterLines="30" w:after="72"/>
            </w:pPr>
            <w:r>
              <w:lastRenderedPageBreak/>
              <w:t>Identify who is responsible for post-closure monitoring and maintenance activities; and</w:t>
            </w:r>
          </w:p>
          <w:p w14:paraId="25D91D39" w14:textId="77777777" w:rsidR="00FC415F" w:rsidRDefault="00FC415F" w:rsidP="00395C45">
            <w:pPr>
              <w:pStyle w:val="ListBullet"/>
              <w:numPr>
                <w:ilvl w:val="0"/>
                <w:numId w:val="110"/>
              </w:numPr>
              <w:spacing w:beforeLines="30" w:before="72" w:afterLines="30" w:after="72"/>
            </w:pPr>
            <w:r>
              <w:t>Include a risk management plan for known and credible risks e.g. fire management, stability and groundwater management plans.</w:t>
            </w:r>
          </w:p>
        </w:tc>
        <w:tc>
          <w:tcPr>
            <w:tcW w:w="2428" w:type="pct"/>
            <w:tcBorders>
              <w:top w:val="single" w:sz="2" w:space="0" w:color="064EA8"/>
              <w:left w:val="nil"/>
              <w:bottom w:val="single" w:sz="2" w:space="0" w:color="064EA8"/>
              <w:right w:val="nil"/>
            </w:tcBorders>
            <w:hideMark/>
          </w:tcPr>
          <w:p w14:paraId="1542CDA1" w14:textId="72989629" w:rsidR="00FC415F" w:rsidRDefault="00FC415F" w:rsidP="00395C45">
            <w:pPr>
              <w:pStyle w:val="dotpoints"/>
              <w:numPr>
                <w:ilvl w:val="0"/>
                <w:numId w:val="0"/>
              </w:numPr>
              <w:tabs>
                <w:tab w:val="left" w:pos="720"/>
              </w:tabs>
              <w:spacing w:beforeLines="30" w:before="72" w:afterLines="30" w:after="72"/>
            </w:pPr>
            <w:r>
              <w:lastRenderedPageBreak/>
              <w:t xml:space="preserve">The post-closure plan </w:t>
            </w:r>
            <w:r w:rsidR="00621D31">
              <w:t>must</w:t>
            </w:r>
            <w:r>
              <w:t>:</w:t>
            </w:r>
          </w:p>
          <w:p w14:paraId="3ED75CA0" w14:textId="62C59648" w:rsidR="00FC415F" w:rsidRDefault="00C126D1" w:rsidP="00395C45">
            <w:pPr>
              <w:pStyle w:val="ListBullet"/>
              <w:numPr>
                <w:ilvl w:val="0"/>
                <w:numId w:val="110"/>
              </w:numPr>
              <w:spacing w:beforeLines="30" w:before="72" w:afterLines="30" w:after="72"/>
            </w:pPr>
            <w:r>
              <w:t xml:space="preserve">As far as reasonably practicable, </w:t>
            </w:r>
            <w:r w:rsidR="00E52456">
              <w:t>i</w:t>
            </w:r>
            <w:r w:rsidR="00FC415F">
              <w:t xml:space="preserve">dentify who is responsible for post-closure monitoring and maintenance activities </w:t>
            </w:r>
          </w:p>
          <w:p w14:paraId="6709365F" w14:textId="72DED50F" w:rsidR="00FC415F" w:rsidRDefault="00FC415F" w:rsidP="00395C45">
            <w:pPr>
              <w:pStyle w:val="ListBullet"/>
              <w:numPr>
                <w:ilvl w:val="0"/>
                <w:numId w:val="110"/>
              </w:numPr>
              <w:spacing w:beforeLines="30" w:before="72" w:afterLines="30" w:after="72"/>
            </w:pPr>
            <w:r>
              <w:lastRenderedPageBreak/>
              <w:t>Identify the ongoing monitoring and maintenance activities required to maintain the declared mine land in a safe and stable state</w:t>
            </w:r>
          </w:p>
          <w:p w14:paraId="6777C8F4" w14:textId="77777777" w:rsidR="00FC415F" w:rsidRDefault="00FC415F" w:rsidP="00395C45">
            <w:pPr>
              <w:pStyle w:val="ListBullet"/>
              <w:numPr>
                <w:ilvl w:val="0"/>
                <w:numId w:val="110"/>
              </w:numPr>
              <w:spacing w:beforeLines="30" w:before="72" w:afterLines="30" w:after="72"/>
            </w:pPr>
            <w:r>
              <w:t xml:space="preserve">Include a risk management plan for known and credible risks </w:t>
            </w:r>
          </w:p>
          <w:p w14:paraId="79652ECD" w14:textId="50095533" w:rsidR="00FC415F" w:rsidRDefault="0014363E" w:rsidP="00395C45">
            <w:pPr>
              <w:pStyle w:val="ListBullet"/>
              <w:numPr>
                <w:ilvl w:val="0"/>
                <w:numId w:val="110"/>
              </w:numPr>
              <w:spacing w:beforeLines="30" w:before="72" w:afterLines="30" w:after="72"/>
            </w:pPr>
            <w:r>
              <w:t>As far as reasonably practicable,</w:t>
            </w:r>
            <w:r w:rsidDel="0014363E">
              <w:t xml:space="preserve"> </w:t>
            </w:r>
            <w:r w:rsidR="00FC415F">
              <w:t>specify the time and manner in which the ongoing monitoring and maintenance activities will be carried out</w:t>
            </w:r>
          </w:p>
          <w:p w14:paraId="39C15979" w14:textId="227DA903" w:rsidR="00FC415F" w:rsidRDefault="002F6F20" w:rsidP="00395C45">
            <w:pPr>
              <w:pStyle w:val="ListBullet"/>
              <w:numPr>
                <w:ilvl w:val="0"/>
                <w:numId w:val="110"/>
              </w:numPr>
              <w:spacing w:beforeLines="30" w:before="72" w:afterLines="30" w:after="72"/>
            </w:pPr>
            <w:r>
              <w:t xml:space="preserve">As far as reasonably practicable, </w:t>
            </w:r>
            <w:r w:rsidR="00FC415F">
              <w:t xml:space="preserve">specify any data, reports and information to be provided to the Authority once the plan is registered </w:t>
            </w:r>
          </w:p>
        </w:tc>
      </w:tr>
      <w:tr w:rsidR="00885B77" w14:paraId="74865CD3" w14:textId="77777777" w:rsidTr="101B9388">
        <w:trPr>
          <w:trHeight w:val="393"/>
        </w:trPr>
        <w:tc>
          <w:tcPr>
            <w:tcW w:w="986" w:type="pct"/>
            <w:tcBorders>
              <w:top w:val="single" w:sz="2" w:space="0" w:color="064EA8"/>
              <w:left w:val="nil"/>
              <w:bottom w:val="single" w:sz="2" w:space="0" w:color="064EA8"/>
              <w:right w:val="nil"/>
            </w:tcBorders>
            <w:hideMark/>
          </w:tcPr>
          <w:p w14:paraId="09A61CA7" w14:textId="77777777" w:rsidR="00FC415F" w:rsidRDefault="00FC415F">
            <w:pPr>
              <w:spacing w:beforeLines="30" w:before="72" w:afterLines="30" w:after="72"/>
            </w:pPr>
            <w:r>
              <w:lastRenderedPageBreak/>
              <w:t>Decision-making on DMRP and mine closure</w:t>
            </w:r>
          </w:p>
        </w:tc>
        <w:tc>
          <w:tcPr>
            <w:tcW w:w="1586" w:type="pct"/>
            <w:tcBorders>
              <w:top w:val="single" w:sz="2" w:space="0" w:color="064EA8"/>
              <w:left w:val="nil"/>
              <w:bottom w:val="single" w:sz="2" w:space="0" w:color="064EA8"/>
              <w:right w:val="nil"/>
            </w:tcBorders>
            <w:hideMark/>
          </w:tcPr>
          <w:p w14:paraId="44A5E399" w14:textId="77777777" w:rsidR="00FC415F" w:rsidRDefault="00FC415F" w:rsidP="00395C45">
            <w:pPr>
              <w:pStyle w:val="ListBullet"/>
              <w:numPr>
                <w:ilvl w:val="0"/>
                <w:numId w:val="110"/>
              </w:numPr>
              <w:spacing w:beforeLines="30" w:before="72" w:afterLines="30" w:after="72"/>
            </w:pPr>
            <w:r>
              <w:t>Nothing prescribed because objectives are bespoke and site-specific</w:t>
            </w:r>
          </w:p>
        </w:tc>
        <w:tc>
          <w:tcPr>
            <w:tcW w:w="2428" w:type="pct"/>
            <w:tcBorders>
              <w:top w:val="single" w:sz="2" w:space="0" w:color="064EA8"/>
              <w:left w:val="nil"/>
              <w:bottom w:val="single" w:sz="2" w:space="0" w:color="064EA8"/>
              <w:right w:val="nil"/>
            </w:tcBorders>
            <w:hideMark/>
          </w:tcPr>
          <w:p w14:paraId="2B192F83" w14:textId="77777777" w:rsidR="00FC415F" w:rsidRDefault="00FC415F">
            <w:pPr>
              <w:spacing w:beforeLines="30" w:before="72" w:afterLines="30" w:after="72"/>
            </w:pPr>
            <w:r>
              <w:t>Regulations prescribe:</w:t>
            </w:r>
          </w:p>
          <w:p w14:paraId="004080A5" w14:textId="77777777" w:rsidR="00FC415F" w:rsidRDefault="00FC415F" w:rsidP="00395C45">
            <w:pPr>
              <w:pStyle w:val="ListBullet"/>
              <w:numPr>
                <w:ilvl w:val="0"/>
                <w:numId w:val="110"/>
              </w:numPr>
              <w:spacing w:beforeLines="30" w:before="72" w:afterLines="30" w:after="72"/>
            </w:pPr>
            <w:r>
              <w:t xml:space="preserve">Evidence to be provided with approval/closure application </w:t>
            </w:r>
          </w:p>
          <w:p w14:paraId="4593FB6E" w14:textId="77777777" w:rsidR="00FC415F" w:rsidRDefault="00FC415F" w:rsidP="00395C45">
            <w:pPr>
              <w:pStyle w:val="ListBullet"/>
              <w:numPr>
                <w:ilvl w:val="0"/>
                <w:numId w:val="110"/>
              </w:numPr>
              <w:spacing w:beforeLines="30" w:before="72" w:afterLines="30" w:after="72"/>
            </w:pPr>
            <w:r>
              <w:t xml:space="preserve">Matters to be considered </w:t>
            </w:r>
          </w:p>
          <w:p w14:paraId="59217B5C" w14:textId="77777777" w:rsidR="00FC415F" w:rsidRDefault="00FC415F" w:rsidP="00395C45">
            <w:pPr>
              <w:pStyle w:val="ListBullet"/>
              <w:numPr>
                <w:ilvl w:val="0"/>
                <w:numId w:val="110"/>
              </w:numPr>
              <w:spacing w:beforeLines="30" w:before="72" w:afterLines="30" w:after="72"/>
            </w:pPr>
            <w:r>
              <w:t>Extended list of referrals/consultations to be undertaken by decision-maker</w:t>
            </w:r>
          </w:p>
        </w:tc>
      </w:tr>
      <w:tr w:rsidR="00885B77" w14:paraId="32487B0B" w14:textId="77777777" w:rsidTr="101B9388">
        <w:trPr>
          <w:trHeight w:val="393"/>
        </w:trPr>
        <w:tc>
          <w:tcPr>
            <w:tcW w:w="986" w:type="pct"/>
            <w:tcBorders>
              <w:top w:val="single" w:sz="2" w:space="0" w:color="064EA8"/>
              <w:left w:val="nil"/>
              <w:bottom w:val="single" w:sz="2" w:space="0" w:color="064EA8"/>
              <w:right w:val="nil"/>
            </w:tcBorders>
            <w:hideMark/>
          </w:tcPr>
          <w:p w14:paraId="61A3F3C6" w14:textId="77777777" w:rsidR="00FC415F" w:rsidRDefault="00FC415F">
            <w:pPr>
              <w:spacing w:beforeLines="30" w:before="72" w:afterLines="30" w:after="72"/>
            </w:pPr>
            <w:r>
              <w:t>Expectation at DMRP approval</w:t>
            </w:r>
          </w:p>
        </w:tc>
        <w:tc>
          <w:tcPr>
            <w:tcW w:w="1586" w:type="pct"/>
            <w:tcBorders>
              <w:top w:val="single" w:sz="2" w:space="0" w:color="064EA8"/>
              <w:left w:val="nil"/>
              <w:bottom w:val="single" w:sz="2" w:space="0" w:color="064EA8"/>
              <w:right w:val="nil"/>
            </w:tcBorders>
            <w:hideMark/>
          </w:tcPr>
          <w:p w14:paraId="69CBED23" w14:textId="77777777" w:rsidR="00FC415F" w:rsidRDefault="00FC415F" w:rsidP="00395C45">
            <w:pPr>
              <w:pStyle w:val="ListBullet"/>
              <w:numPr>
                <w:ilvl w:val="0"/>
                <w:numId w:val="110"/>
              </w:numPr>
              <w:spacing w:beforeLines="30" w:before="72" w:afterLines="30" w:after="72"/>
            </w:pPr>
            <w:r>
              <w:t>Full detail for all elements of plan</w:t>
            </w:r>
          </w:p>
        </w:tc>
        <w:tc>
          <w:tcPr>
            <w:tcW w:w="2428" w:type="pct"/>
            <w:tcBorders>
              <w:top w:val="single" w:sz="2" w:space="0" w:color="064EA8"/>
              <w:left w:val="nil"/>
              <w:bottom w:val="single" w:sz="2" w:space="0" w:color="064EA8"/>
              <w:right w:val="nil"/>
            </w:tcBorders>
            <w:hideMark/>
          </w:tcPr>
          <w:p w14:paraId="4F553B5E" w14:textId="77777777" w:rsidR="00FC415F" w:rsidRDefault="00FC415F" w:rsidP="00395C45">
            <w:pPr>
              <w:pStyle w:val="ListBullet"/>
              <w:numPr>
                <w:ilvl w:val="0"/>
                <w:numId w:val="110"/>
              </w:numPr>
              <w:spacing w:beforeLines="30" w:before="72" w:afterLines="30" w:after="72"/>
            </w:pPr>
            <w:r>
              <w:t>Each core element of the plan must be addressed</w:t>
            </w:r>
          </w:p>
          <w:p w14:paraId="13D37552" w14:textId="77777777" w:rsidR="00FC415F" w:rsidRDefault="00FC415F" w:rsidP="00395C45">
            <w:pPr>
              <w:pStyle w:val="ListBullet"/>
              <w:numPr>
                <w:ilvl w:val="0"/>
                <w:numId w:val="110"/>
              </w:numPr>
              <w:spacing w:beforeLines="30" w:before="72" w:afterLines="30" w:after="72"/>
            </w:pPr>
            <w:r>
              <w:t>Detail can develop over time, and less detail may be required depending on the mine lifecycle stage</w:t>
            </w:r>
          </w:p>
        </w:tc>
      </w:tr>
      <w:tr w:rsidR="00885B77" w14:paraId="1856563F" w14:textId="77777777" w:rsidTr="101B9388">
        <w:trPr>
          <w:trHeight w:val="393"/>
        </w:trPr>
        <w:tc>
          <w:tcPr>
            <w:tcW w:w="986" w:type="pct"/>
            <w:tcBorders>
              <w:top w:val="single" w:sz="2" w:space="0" w:color="064EA8"/>
              <w:left w:val="nil"/>
              <w:bottom w:val="single" w:sz="2" w:space="0" w:color="064EA8"/>
              <w:right w:val="nil"/>
            </w:tcBorders>
            <w:hideMark/>
          </w:tcPr>
          <w:p w14:paraId="21A52DF0" w14:textId="77777777" w:rsidR="00FC415F" w:rsidRDefault="00FC415F">
            <w:pPr>
              <w:spacing w:beforeLines="30" w:before="72" w:afterLines="30" w:after="72"/>
            </w:pPr>
            <w:r>
              <w:t>How plans are updated</w:t>
            </w:r>
          </w:p>
        </w:tc>
        <w:tc>
          <w:tcPr>
            <w:tcW w:w="1586" w:type="pct"/>
            <w:tcBorders>
              <w:top w:val="single" w:sz="2" w:space="0" w:color="064EA8"/>
              <w:left w:val="nil"/>
              <w:bottom w:val="single" w:sz="2" w:space="0" w:color="064EA8"/>
              <w:right w:val="nil"/>
            </w:tcBorders>
            <w:hideMark/>
          </w:tcPr>
          <w:p w14:paraId="58E01AF7" w14:textId="77777777" w:rsidR="00FC415F" w:rsidRDefault="00FC415F" w:rsidP="00395C45">
            <w:pPr>
              <w:pStyle w:val="ListBullet"/>
              <w:numPr>
                <w:ilvl w:val="0"/>
                <w:numId w:val="110"/>
              </w:numPr>
              <w:spacing w:beforeLines="30" w:before="72" w:afterLines="30" w:after="72"/>
            </w:pPr>
            <w:r>
              <w:t>Licensee-initiated plan variation, with the threshold for variation set in Regulations</w:t>
            </w:r>
          </w:p>
          <w:p w14:paraId="28775A36" w14:textId="77777777" w:rsidR="00FC415F" w:rsidRDefault="00FC415F" w:rsidP="00395C45">
            <w:pPr>
              <w:pStyle w:val="ListBullet"/>
              <w:numPr>
                <w:ilvl w:val="0"/>
                <w:numId w:val="110"/>
              </w:numPr>
              <w:spacing w:beforeLines="30" w:before="72" w:afterLines="30" w:after="72"/>
            </w:pPr>
            <w:r>
              <w:t>Regulator can request an application for variation under the Act</w:t>
            </w:r>
          </w:p>
        </w:tc>
        <w:tc>
          <w:tcPr>
            <w:tcW w:w="2428" w:type="pct"/>
            <w:tcBorders>
              <w:top w:val="single" w:sz="2" w:space="0" w:color="064EA8"/>
              <w:left w:val="nil"/>
              <w:bottom w:val="single" w:sz="2" w:space="0" w:color="064EA8"/>
              <w:right w:val="nil"/>
            </w:tcBorders>
            <w:hideMark/>
          </w:tcPr>
          <w:p w14:paraId="05CC935A" w14:textId="56C4EB46" w:rsidR="00FC415F" w:rsidRDefault="006E140E" w:rsidP="00395C45">
            <w:pPr>
              <w:pStyle w:val="ListBullet"/>
              <w:numPr>
                <w:ilvl w:val="0"/>
                <w:numId w:val="110"/>
              </w:numPr>
              <w:spacing w:beforeLines="30" w:before="72" w:afterLines="30" w:after="72"/>
            </w:pPr>
            <w:r>
              <w:t xml:space="preserve">Annual </w:t>
            </w:r>
            <w:r w:rsidR="00FC415F">
              <w:t xml:space="preserve">review of </w:t>
            </w:r>
            <w:r w:rsidR="00B42BDE">
              <w:t>rehabilitation and post-closure management risks</w:t>
            </w:r>
          </w:p>
          <w:p w14:paraId="143D8CFC" w14:textId="3F6E5604" w:rsidR="00FC415F" w:rsidRDefault="00FC415F" w:rsidP="00395C45">
            <w:pPr>
              <w:pStyle w:val="ListBullet"/>
              <w:numPr>
                <w:ilvl w:val="0"/>
                <w:numId w:val="110"/>
              </w:numPr>
              <w:spacing w:beforeLines="30" w:before="72" w:afterLines="30" w:after="72"/>
            </w:pPr>
            <w:r>
              <w:t>Plans can also be varied at the request of the regulator, per Option 1</w:t>
            </w:r>
            <w:r w:rsidR="00AF6118">
              <w:t>, and at the</w:t>
            </w:r>
            <w:r w:rsidR="00B00AB9">
              <w:t xml:space="preserve"> </w:t>
            </w:r>
            <w:r w:rsidR="00C07477">
              <w:t>direction of the Department Head.</w:t>
            </w:r>
            <w:r w:rsidR="00AF6118">
              <w:t xml:space="preserve"> </w:t>
            </w:r>
          </w:p>
        </w:tc>
      </w:tr>
      <w:tr w:rsidR="00885B77" w14:paraId="5024EBE1" w14:textId="77777777" w:rsidTr="101B9388">
        <w:trPr>
          <w:trHeight w:val="393"/>
        </w:trPr>
        <w:tc>
          <w:tcPr>
            <w:tcW w:w="986" w:type="pct"/>
            <w:tcBorders>
              <w:top w:val="single" w:sz="2" w:space="0" w:color="064EA8"/>
              <w:left w:val="nil"/>
              <w:bottom w:val="single" w:sz="2" w:space="0" w:color="064EA8"/>
              <w:right w:val="nil"/>
            </w:tcBorders>
            <w:hideMark/>
          </w:tcPr>
          <w:p w14:paraId="4337794A" w14:textId="77777777" w:rsidR="00FC415F" w:rsidRDefault="00FC415F">
            <w:pPr>
              <w:spacing w:beforeLines="30" w:before="72" w:afterLines="30" w:after="72"/>
            </w:pPr>
            <w:r>
              <w:t>Reporting requirements</w:t>
            </w:r>
          </w:p>
        </w:tc>
        <w:tc>
          <w:tcPr>
            <w:tcW w:w="1586" w:type="pct"/>
            <w:tcBorders>
              <w:top w:val="single" w:sz="2" w:space="0" w:color="064EA8"/>
              <w:left w:val="nil"/>
              <w:bottom w:val="single" w:sz="2" w:space="0" w:color="064EA8"/>
              <w:right w:val="nil"/>
            </w:tcBorders>
            <w:hideMark/>
          </w:tcPr>
          <w:p w14:paraId="4234F3E2" w14:textId="77777777" w:rsidR="00FC415F" w:rsidRDefault="00FC415F">
            <w:pPr>
              <w:spacing w:beforeLines="30" w:before="72" w:afterLines="30" w:after="72"/>
            </w:pPr>
            <w:r>
              <w:t>Annual reporting on:</w:t>
            </w:r>
          </w:p>
          <w:p w14:paraId="047D0371" w14:textId="77777777" w:rsidR="00FC415F" w:rsidRDefault="00FC415F" w:rsidP="00395C45">
            <w:pPr>
              <w:pStyle w:val="ListBullet"/>
              <w:numPr>
                <w:ilvl w:val="0"/>
                <w:numId w:val="110"/>
              </w:numPr>
              <w:spacing w:beforeLines="30" w:before="72" w:afterLines="30" w:after="72"/>
            </w:pPr>
            <w:r>
              <w:t>Rehabilitation activities and progress against defined milestones</w:t>
            </w:r>
          </w:p>
          <w:p w14:paraId="4AF9AD76" w14:textId="77777777" w:rsidR="00FC415F" w:rsidRDefault="00FC415F" w:rsidP="00395C45">
            <w:pPr>
              <w:pStyle w:val="ListBullet"/>
              <w:numPr>
                <w:ilvl w:val="0"/>
                <w:numId w:val="110"/>
              </w:numPr>
              <w:spacing w:beforeLines="30" w:before="72" w:afterLines="30" w:after="72"/>
            </w:pPr>
            <w:r>
              <w:t>Assessment of remaining rehabilitation liability</w:t>
            </w:r>
          </w:p>
        </w:tc>
        <w:tc>
          <w:tcPr>
            <w:tcW w:w="2428" w:type="pct"/>
            <w:tcBorders>
              <w:top w:val="single" w:sz="2" w:space="0" w:color="064EA8"/>
              <w:left w:val="nil"/>
              <w:bottom w:val="single" w:sz="2" w:space="0" w:color="064EA8"/>
              <w:right w:val="nil"/>
            </w:tcBorders>
            <w:hideMark/>
          </w:tcPr>
          <w:p w14:paraId="67807689" w14:textId="77777777" w:rsidR="00FC415F" w:rsidRDefault="00FC415F">
            <w:pPr>
              <w:spacing w:beforeLines="30" w:before="72" w:afterLines="30" w:after="72"/>
            </w:pPr>
            <w:r>
              <w:t>Annual reporting on:</w:t>
            </w:r>
          </w:p>
          <w:p w14:paraId="46504A79" w14:textId="593298E5" w:rsidR="00FC415F" w:rsidRDefault="0038246F" w:rsidP="00395C45">
            <w:pPr>
              <w:pStyle w:val="ListBullet"/>
              <w:numPr>
                <w:ilvl w:val="0"/>
                <w:numId w:val="110"/>
              </w:numPr>
              <w:spacing w:beforeLines="30" w:before="72" w:afterLines="30" w:after="72"/>
            </w:pPr>
            <w:r>
              <w:t>Progress on components of plan requiring additional detail</w:t>
            </w:r>
          </w:p>
          <w:p w14:paraId="1145E298" w14:textId="038D278A" w:rsidR="00FC415F" w:rsidRDefault="0039788E" w:rsidP="00395C45">
            <w:pPr>
              <w:pStyle w:val="ListBullet"/>
              <w:numPr>
                <w:ilvl w:val="0"/>
                <w:numId w:val="110"/>
              </w:numPr>
              <w:spacing w:beforeLines="30" w:before="72" w:afterLines="30" w:after="72"/>
            </w:pPr>
            <w:r>
              <w:t>Review of risks</w:t>
            </w:r>
          </w:p>
          <w:p w14:paraId="4112A481" w14:textId="7EB51254" w:rsidR="00FC415F" w:rsidRDefault="006042A7" w:rsidP="00395C45">
            <w:pPr>
              <w:pStyle w:val="ListBullet"/>
              <w:numPr>
                <w:ilvl w:val="0"/>
                <w:numId w:val="110"/>
              </w:numPr>
              <w:spacing w:beforeLines="30" w:before="72" w:afterLines="30" w:after="72"/>
            </w:pPr>
            <w:r>
              <w:t>Reasons for non-compliance with milestones</w:t>
            </w:r>
            <w:r w:rsidR="009F7727">
              <w:t xml:space="preserve"> (and associated remedial action)</w:t>
            </w:r>
          </w:p>
          <w:p w14:paraId="033DC70D" w14:textId="1245114B" w:rsidR="00FC415F" w:rsidRDefault="005C79FC" w:rsidP="00395C45">
            <w:pPr>
              <w:pStyle w:val="ListBullet"/>
              <w:numPr>
                <w:ilvl w:val="0"/>
                <w:numId w:val="110"/>
              </w:numPr>
              <w:spacing w:beforeLines="30" w:before="72" w:afterLines="30" w:after="72"/>
            </w:pPr>
            <w:r>
              <w:t>Technical and economic studies undertaken</w:t>
            </w:r>
          </w:p>
          <w:p w14:paraId="2AB0DD61" w14:textId="775EFE0C" w:rsidR="007C5882" w:rsidRDefault="006662DE" w:rsidP="00395C45">
            <w:pPr>
              <w:pStyle w:val="ListBullet"/>
              <w:numPr>
                <w:ilvl w:val="0"/>
                <w:numId w:val="110"/>
              </w:numPr>
              <w:spacing w:beforeLines="30" w:before="72" w:afterLines="30" w:after="72"/>
            </w:pPr>
            <w:r>
              <w:t>Status summary in relation to required regulatory processes</w:t>
            </w:r>
          </w:p>
          <w:p w14:paraId="050A470A" w14:textId="3C67DB90" w:rsidR="007C5882" w:rsidRDefault="007C5882" w:rsidP="00395C45">
            <w:pPr>
              <w:pStyle w:val="ListBullet"/>
              <w:numPr>
                <w:ilvl w:val="0"/>
                <w:numId w:val="110"/>
              </w:numPr>
              <w:spacing w:beforeLines="30" w:before="72" w:afterLines="30" w:after="72"/>
            </w:pPr>
            <w:r>
              <w:t>Summary of community engagement programs</w:t>
            </w:r>
          </w:p>
          <w:p w14:paraId="15B3B3F2" w14:textId="76D74B12" w:rsidR="00D92B57" w:rsidRDefault="007C5882" w:rsidP="00395C45">
            <w:pPr>
              <w:pStyle w:val="ListBullet"/>
              <w:numPr>
                <w:ilvl w:val="0"/>
                <w:numId w:val="110"/>
              </w:numPr>
              <w:spacing w:beforeLines="30" w:before="72" w:afterLines="30" w:after="72"/>
            </w:pPr>
            <w:r>
              <w:t>Summary of reportable events</w:t>
            </w:r>
          </w:p>
          <w:p w14:paraId="7409FD8F" w14:textId="64D13E6B" w:rsidR="00FC415F" w:rsidRDefault="00D92B57" w:rsidP="00395C45">
            <w:pPr>
              <w:pStyle w:val="ListBullet"/>
              <w:numPr>
                <w:ilvl w:val="0"/>
                <w:numId w:val="110"/>
              </w:numPr>
              <w:spacing w:beforeLines="30" w:before="72" w:afterLines="30" w:after="72"/>
            </w:pPr>
            <w:r>
              <w:t>Potential</w:t>
            </w:r>
            <w:r w:rsidR="00C17AEA">
              <w:t xml:space="preserve"> rehabilitation</w:t>
            </w:r>
            <w:r>
              <w:t xml:space="preserve"> issues</w:t>
            </w:r>
          </w:p>
          <w:p w14:paraId="3E514DDD" w14:textId="77777777" w:rsidR="00FC415F" w:rsidRDefault="00FC415F">
            <w:pPr>
              <w:spacing w:beforeLines="30" w:before="72" w:afterLines="30" w:after="72"/>
            </w:pPr>
            <w:r>
              <w:t>Trigger reporting on reportable events and plan updates</w:t>
            </w:r>
          </w:p>
        </w:tc>
      </w:tr>
      <w:tr w:rsidR="00885B77" w14:paraId="214C0990" w14:textId="77777777" w:rsidTr="101B9388">
        <w:trPr>
          <w:trHeight w:val="393"/>
        </w:trPr>
        <w:tc>
          <w:tcPr>
            <w:tcW w:w="986" w:type="pct"/>
            <w:tcBorders>
              <w:top w:val="single" w:sz="2" w:space="0" w:color="064EA8"/>
              <w:left w:val="nil"/>
              <w:bottom w:val="single" w:sz="4" w:space="0" w:color="1B0B38"/>
              <w:right w:val="nil"/>
            </w:tcBorders>
            <w:hideMark/>
          </w:tcPr>
          <w:p w14:paraId="3379F35A" w14:textId="77777777" w:rsidR="00FC415F" w:rsidRDefault="00FC415F">
            <w:pPr>
              <w:spacing w:beforeLines="30" w:before="72" w:afterLines="30" w:after="72"/>
            </w:pPr>
            <w:r>
              <w:t>Determining the Fund contribution amount</w:t>
            </w:r>
          </w:p>
        </w:tc>
        <w:tc>
          <w:tcPr>
            <w:tcW w:w="1586" w:type="pct"/>
            <w:tcBorders>
              <w:top w:val="single" w:sz="2" w:space="0" w:color="064EA8"/>
              <w:left w:val="nil"/>
              <w:bottom w:val="single" w:sz="4" w:space="0" w:color="1B0B38"/>
              <w:right w:val="nil"/>
            </w:tcBorders>
            <w:hideMark/>
          </w:tcPr>
          <w:p w14:paraId="68798AA6" w14:textId="77777777" w:rsidR="00FC415F" w:rsidRDefault="00FC415F" w:rsidP="00395C45">
            <w:pPr>
              <w:pStyle w:val="ListBullet"/>
              <w:numPr>
                <w:ilvl w:val="0"/>
                <w:numId w:val="110"/>
              </w:numPr>
              <w:spacing w:beforeLines="30" w:before="72" w:afterLines="30" w:after="72"/>
            </w:pPr>
            <w:r>
              <w:t xml:space="preserve">No method or process is prescribed in Regulations </w:t>
            </w:r>
          </w:p>
        </w:tc>
        <w:tc>
          <w:tcPr>
            <w:tcW w:w="2428" w:type="pct"/>
            <w:tcBorders>
              <w:top w:val="single" w:sz="2" w:space="0" w:color="064EA8"/>
              <w:left w:val="nil"/>
              <w:bottom w:val="single" w:sz="4" w:space="0" w:color="1B0B38"/>
              <w:right w:val="nil"/>
            </w:tcBorders>
            <w:hideMark/>
          </w:tcPr>
          <w:p w14:paraId="19C90309" w14:textId="313A81B7" w:rsidR="00FC415F" w:rsidRDefault="00FC415F">
            <w:pPr>
              <w:spacing w:beforeLines="30" w:before="72" w:afterLines="30" w:after="72"/>
            </w:pPr>
            <w:r>
              <w:t>Regulations require Licensee to include information to enable the Minister to determine the amount of any contribution to the Declared Mine Fund including:</w:t>
            </w:r>
          </w:p>
          <w:p w14:paraId="4F8625FE" w14:textId="2C8F1E4D" w:rsidR="00FC415F" w:rsidRDefault="00F05CBD" w:rsidP="00395C45">
            <w:pPr>
              <w:pStyle w:val="ListBullet"/>
              <w:numPr>
                <w:ilvl w:val="0"/>
                <w:numId w:val="110"/>
              </w:numPr>
              <w:spacing w:beforeLines="30" w:before="72" w:afterLines="30" w:after="72"/>
            </w:pPr>
            <w:r>
              <w:t>An estimate of t</w:t>
            </w:r>
            <w:r w:rsidR="00FC415F">
              <w:t>he present value of the future costs associated with the monitoring and maintenance obligations; and</w:t>
            </w:r>
          </w:p>
          <w:p w14:paraId="686C642D" w14:textId="170B1B96" w:rsidR="00FC415F" w:rsidRDefault="00F05CBD" w:rsidP="00395C45">
            <w:pPr>
              <w:pStyle w:val="ListBullet"/>
              <w:numPr>
                <w:ilvl w:val="0"/>
                <w:numId w:val="110"/>
              </w:numPr>
              <w:spacing w:beforeLines="30" w:before="72" w:afterLines="30" w:after="72"/>
            </w:pPr>
            <w:r>
              <w:lastRenderedPageBreak/>
              <w:t>Definitions and calculations of</w:t>
            </w:r>
            <w:r w:rsidR="00FC415F">
              <w:t xml:space="preserve"> the cost</w:t>
            </w:r>
            <w:r>
              <w:t>s</w:t>
            </w:r>
            <w:r w:rsidR="00FC415F">
              <w:t xml:space="preserve"> </w:t>
            </w:r>
            <w:r w:rsidR="00233A0D">
              <w:t>relating to</w:t>
            </w:r>
            <w:r w:rsidR="00FC415F">
              <w:t xml:space="preserve"> adverse events</w:t>
            </w:r>
          </w:p>
        </w:tc>
      </w:tr>
    </w:tbl>
    <w:bookmarkEnd w:id="7"/>
    <w:p w14:paraId="7D178C69" w14:textId="7831DEE5" w:rsidR="00FC415F" w:rsidRDefault="00FC415F" w:rsidP="00FC415F">
      <w:r>
        <w:lastRenderedPageBreak/>
        <w:t>Non-regulatory options were not considered feasible as the amendments to the Act</w:t>
      </w:r>
      <w:r w:rsidR="003E2AAD">
        <w:t>,</w:t>
      </w:r>
      <w:r>
        <w:t xml:space="preserve"> which introduced the declared mine rehabilitation framework</w:t>
      </w:r>
      <w:r w:rsidR="003E2AAD">
        <w:t>,</w:t>
      </w:r>
      <w:r>
        <w:t xml:space="preserve"> were designed to be enabling. Without a DMRP being submitted to ERR, the rest of the framework does not function. This means that there are no other practicable means of achieving the objectives of the Amendment Act apart from amending the </w:t>
      </w:r>
      <w:r w:rsidR="006477BE">
        <w:t xml:space="preserve">existing </w:t>
      </w:r>
      <w:r>
        <w:t>Regulations.</w:t>
      </w:r>
    </w:p>
    <w:p w14:paraId="0B7293B4" w14:textId="77777777" w:rsidR="00FC415F" w:rsidRPr="00563274" w:rsidRDefault="00FC415F" w:rsidP="00563274">
      <w:pPr>
        <w:spacing w:before="400"/>
        <w:rPr>
          <w:bCs/>
          <w:color w:val="78BF42"/>
          <w:sz w:val="28"/>
          <w:szCs w:val="26"/>
        </w:rPr>
      </w:pPr>
      <w:r w:rsidRPr="00563274">
        <w:rPr>
          <w:bCs/>
          <w:color w:val="78BF42"/>
          <w:sz w:val="28"/>
          <w:szCs w:val="26"/>
        </w:rPr>
        <w:t xml:space="preserve">Assessment of options </w:t>
      </w:r>
    </w:p>
    <w:p w14:paraId="45992819" w14:textId="20D65060" w:rsidR="00FC415F" w:rsidRDefault="00FC415F" w:rsidP="00FC415F">
      <w:r>
        <w:t xml:space="preserve">The regulatory impact assessment process seeks to ensure that </w:t>
      </w:r>
      <w:r w:rsidR="006D027C">
        <w:t>proposed Regulations</w:t>
      </w:r>
      <w:r>
        <w:t xml:space="preserve"> are well</w:t>
      </w:r>
      <w:r w:rsidR="00B23600">
        <w:t xml:space="preserve"> </w:t>
      </w:r>
      <w:r>
        <w:t>targeted, effective and appropriate, and impose the lowest possible burden on businesses and the community. Essential to this process is the comparison of the options of each proposal to assess which has the highest net-benefit. Due to the limited information available about the costs of rehabilitation planning for the existing declared mines</w:t>
      </w:r>
      <w:r w:rsidR="00F3784E">
        <w:t>,</w:t>
      </w:r>
      <w:r>
        <w:t xml:space="preserve"> most of the assessment in this RIS is qualitative in nature. </w:t>
      </w:r>
      <w:r w:rsidR="001253A4">
        <w:t xml:space="preserve">In relation to this, a number of factors account for </w:t>
      </w:r>
      <w:r w:rsidR="001C1CB6">
        <w:t xml:space="preserve">why </w:t>
      </w:r>
      <w:r w:rsidR="00581134">
        <w:t>total costs borne by industry</w:t>
      </w:r>
      <w:r w:rsidR="00063FAE">
        <w:t xml:space="preserve"> to achieve the proposed Regulations cannot be</w:t>
      </w:r>
      <w:r w:rsidR="00581134">
        <w:t xml:space="preserve"> </w:t>
      </w:r>
      <w:r w:rsidR="00906E61">
        <w:t>reliably</w:t>
      </w:r>
      <w:r w:rsidR="00063FAE">
        <w:t xml:space="preserve"> </w:t>
      </w:r>
      <w:r w:rsidR="00906E61">
        <w:t xml:space="preserve">quantified in </w:t>
      </w:r>
      <w:r w:rsidR="001C1CB6">
        <w:t xml:space="preserve">monetary </w:t>
      </w:r>
      <w:r w:rsidR="00636146">
        <w:t>terms</w:t>
      </w:r>
      <w:r w:rsidR="006F132C">
        <w:t>. Namely</w:t>
      </w:r>
      <w:r w:rsidR="007E5BB6">
        <w:t xml:space="preserve">, </w:t>
      </w:r>
      <w:r w:rsidR="00215AE1">
        <w:t>the implications of the proposed Regulations will</w:t>
      </w:r>
      <w:r w:rsidR="00881999">
        <w:t xml:space="preserve"> take effect over many decades</w:t>
      </w:r>
      <w:r w:rsidR="003252A9">
        <w:t xml:space="preserve"> a</w:t>
      </w:r>
      <w:r w:rsidR="00C54289">
        <w:t>s</w:t>
      </w:r>
      <w:r w:rsidR="003252A9">
        <w:t xml:space="preserve"> the Vic</w:t>
      </w:r>
      <w:r w:rsidR="008C7474">
        <w:t>torian Government and minerals industry continue to nego</w:t>
      </w:r>
      <w:r w:rsidR="006D2E87">
        <w:t>tiate</w:t>
      </w:r>
      <w:r w:rsidR="009041AF">
        <w:t xml:space="preserve"> </w:t>
      </w:r>
      <w:r w:rsidR="0037154C">
        <w:t xml:space="preserve">mining rehabilitation </w:t>
      </w:r>
      <w:r w:rsidR="009607C7">
        <w:t>to achieve safe, stable and sustainable landforms</w:t>
      </w:r>
      <w:r w:rsidR="00BB6ABE">
        <w:t>.</w:t>
      </w:r>
      <w:r w:rsidR="007F42ED">
        <w:t xml:space="preserve"> Due to these ongoing </w:t>
      </w:r>
      <w:r w:rsidR="00F35CFD">
        <w:t>negotiations</w:t>
      </w:r>
      <w:r w:rsidR="008576AD">
        <w:t xml:space="preserve">, </w:t>
      </w:r>
      <w:r w:rsidR="00F4671B">
        <w:t>the depart</w:t>
      </w:r>
      <w:r w:rsidR="00EA150A">
        <w:t xml:space="preserve">ment </w:t>
      </w:r>
      <w:r w:rsidR="00B30003">
        <w:t>does not have access to commercial</w:t>
      </w:r>
      <w:r w:rsidR="00065F31">
        <w:t>-in</w:t>
      </w:r>
      <w:r w:rsidR="00552FA5">
        <w:t>-</w:t>
      </w:r>
      <w:r w:rsidR="00065F31">
        <w:t xml:space="preserve">confidence </w:t>
      </w:r>
      <w:r w:rsidR="00CB6FCC">
        <w:t xml:space="preserve">industry </w:t>
      </w:r>
      <w:r w:rsidR="00065F31">
        <w:t>material.</w:t>
      </w:r>
    </w:p>
    <w:p w14:paraId="1FA41A68" w14:textId="3FB2A806" w:rsidR="00FC415F" w:rsidRDefault="00FC415F" w:rsidP="00FC415F">
      <w:r>
        <w:t>Overall assessment of the regulations was completed with a multi-criteria analysis (MCA) decision tool. A MCA assigns and aggregates scores for a range of criteria and compares the results across different options. MCA is used where it is not possible to assign monetary values to all the impacts. Due to the limited information available about the costs of rehabilitation planning for the existing declared mines, a</w:t>
      </w:r>
      <w:r w:rsidR="00C55DED">
        <w:t>n</w:t>
      </w:r>
      <w:r>
        <w:t xml:space="preserve"> MCA is the most appropriate way of assessing impacts of the proposed options in this RIS.</w:t>
      </w:r>
    </w:p>
    <w:p w14:paraId="732D15DD" w14:textId="6B0DF174" w:rsidR="00A13057" w:rsidRDefault="00FC415F" w:rsidP="00FC415F">
      <w:r>
        <w:t xml:space="preserve">The benefits in this RIS refer to the effectiveness of the option in achieving the objectives of the relevant part of the regulatory framework and the costs refer to both the costs imposed on businesses in the regulated sector and those borne by government and </w:t>
      </w:r>
      <w:r w:rsidRPr="005C2A0E">
        <w:t xml:space="preserve">taxpayers. The </w:t>
      </w:r>
      <w:r w:rsidR="00A803A3" w:rsidRPr="005C2A0E">
        <w:t xml:space="preserve">three </w:t>
      </w:r>
      <w:r w:rsidRPr="005C2A0E">
        <w:t xml:space="preserve">criteria adopted for the MCA, the weights assigned for each criteria </w:t>
      </w:r>
      <w:r w:rsidR="00D4213D" w:rsidRPr="005C2A0E">
        <w:t xml:space="preserve">and </w:t>
      </w:r>
      <w:r w:rsidR="00B4711C" w:rsidRPr="005C2A0E">
        <w:t>the</w:t>
      </w:r>
      <w:r w:rsidR="003B1F67" w:rsidRPr="005C2A0E">
        <w:t>ir respective</w:t>
      </w:r>
      <w:r w:rsidR="00B4711C" w:rsidRPr="005C2A0E">
        <w:t xml:space="preserve"> weighted scores </w:t>
      </w:r>
      <w:r w:rsidR="00387196" w:rsidRPr="005C2A0E">
        <w:t xml:space="preserve">are indicated and totalled </w:t>
      </w:r>
      <w:r w:rsidR="009A4CCC" w:rsidRPr="005C2A0E">
        <w:t xml:space="preserve">across </w:t>
      </w:r>
      <w:r w:rsidR="00AC6610" w:rsidRPr="005C2A0E">
        <w:t xml:space="preserve">each </w:t>
      </w:r>
      <w:r w:rsidR="00F85172" w:rsidRPr="005C2A0E">
        <w:t>criterion</w:t>
      </w:r>
      <w:r w:rsidR="00AC6610" w:rsidRPr="005C2A0E">
        <w:t xml:space="preserve"> </w:t>
      </w:r>
      <w:r w:rsidR="00AB09EC" w:rsidRPr="005C2A0E">
        <w:t>for</w:t>
      </w:r>
      <w:r w:rsidR="007E53AF" w:rsidRPr="00CD14BC">
        <w:t xml:space="preserve"> the two assessed</w:t>
      </w:r>
      <w:r w:rsidR="00AB09EC" w:rsidRPr="005C2A0E">
        <w:t xml:space="preserve"> design option</w:t>
      </w:r>
      <w:r w:rsidR="0016619B" w:rsidRPr="005C2A0E">
        <w:t>s</w:t>
      </w:r>
      <w:r w:rsidR="00AB09EC" w:rsidRPr="005C2A0E">
        <w:t xml:space="preserve"> </w:t>
      </w:r>
      <w:r w:rsidR="00822FA4" w:rsidRPr="005C2A0E">
        <w:t xml:space="preserve">in the </w:t>
      </w:r>
      <w:r w:rsidRPr="005C2A0E">
        <w:t>table below.</w:t>
      </w:r>
      <w:r w:rsidR="005C2A0E">
        <w:t xml:space="preserve"> </w:t>
      </w:r>
      <w:r w:rsidR="005C2A0E" w:rsidRPr="00392253">
        <w:t>I</w:t>
      </w:r>
      <w:r w:rsidR="00F357B1" w:rsidRPr="00392253">
        <w:t>n</w:t>
      </w:r>
      <w:r w:rsidR="00EB5FAD">
        <w:t xml:space="preserve"> summary, Option 2 was evaluated as </w:t>
      </w:r>
      <w:r w:rsidR="008C2D19">
        <w:t xml:space="preserve">having the highest net benefit </w:t>
      </w:r>
      <w:r w:rsidR="00020DC0">
        <w:t>overall with a total weighted score of 5.92</w:t>
      </w:r>
      <w:r w:rsidR="000D685D">
        <w:t xml:space="preserve"> as compared to 1.83 under Option 1.</w:t>
      </w:r>
    </w:p>
    <w:p w14:paraId="09E5EAA1" w14:textId="40752D2F" w:rsidR="00A3339F" w:rsidRDefault="00A3339F" w:rsidP="00CD14BC">
      <w:pPr>
        <w:pStyle w:val="Caption"/>
      </w:pPr>
      <w:bookmarkStart w:id="8" w:name="_Toc104217618"/>
      <w:r>
        <w:t xml:space="preserve">Table </w:t>
      </w:r>
      <w:r>
        <w:fldChar w:fldCharType="begin"/>
      </w:r>
      <w:r>
        <w:instrText>SEQ Table \* ARABIC</w:instrText>
      </w:r>
      <w:r>
        <w:fldChar w:fldCharType="separate"/>
      </w:r>
      <w:r w:rsidR="000B3BF6">
        <w:rPr>
          <w:noProof/>
        </w:rPr>
        <w:t>2</w:t>
      </w:r>
      <w:r>
        <w:fldChar w:fldCharType="end"/>
      </w:r>
      <w:r>
        <w:t>: Summarised MCA results</w:t>
      </w:r>
      <w:bookmarkEnd w:id="8"/>
    </w:p>
    <w:tbl>
      <w:tblPr>
        <w:tblStyle w:val="TableGrid"/>
        <w:tblW w:w="9498"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CellMar>
          <w:top w:w="28" w:type="dxa"/>
          <w:bottom w:w="28" w:type="dxa"/>
        </w:tblCellMar>
        <w:tblLook w:val="04A0" w:firstRow="1" w:lastRow="0" w:firstColumn="1" w:lastColumn="0" w:noHBand="0" w:noVBand="1"/>
      </w:tblPr>
      <w:tblGrid>
        <w:gridCol w:w="6096"/>
        <w:gridCol w:w="1262"/>
        <w:gridCol w:w="1006"/>
        <w:gridCol w:w="1134"/>
      </w:tblGrid>
      <w:tr w:rsidR="0033134D" w14:paraId="716EB201" w14:textId="10F8E921" w:rsidTr="00DB5912">
        <w:trPr>
          <w:trHeight w:val="283"/>
          <w:tblHeader/>
        </w:trPr>
        <w:tc>
          <w:tcPr>
            <w:tcW w:w="6096" w:type="dxa"/>
            <w:vMerge w:val="restart"/>
            <w:tcBorders>
              <w:top w:val="single" w:sz="2" w:space="0" w:color="064EA8"/>
              <w:left w:val="nil"/>
              <w:right w:val="nil"/>
            </w:tcBorders>
            <w:shd w:val="clear" w:color="auto" w:fill="1B0B38"/>
            <w:vAlign w:val="center"/>
            <w:hideMark/>
          </w:tcPr>
          <w:p w14:paraId="0C26A5B0" w14:textId="77777777" w:rsidR="0033134D" w:rsidRDefault="0033134D">
            <w:pPr>
              <w:spacing w:before="0"/>
              <w:rPr>
                <w:rStyle w:val="Strong"/>
                <w:rFonts w:cs="Arial"/>
                <w:i/>
                <w:iCs/>
                <w:color w:val="FFFFFF" w:themeColor="background1"/>
                <w:szCs w:val="18"/>
              </w:rPr>
            </w:pPr>
            <w:r>
              <w:rPr>
                <w:rStyle w:val="Strong"/>
                <w:rFonts w:cs="Arial"/>
                <w:color w:val="FFFFFF" w:themeColor="background1"/>
                <w:szCs w:val="18"/>
              </w:rPr>
              <w:t>Criteria</w:t>
            </w:r>
          </w:p>
        </w:tc>
        <w:tc>
          <w:tcPr>
            <w:tcW w:w="1262" w:type="dxa"/>
            <w:vMerge w:val="restart"/>
            <w:tcBorders>
              <w:top w:val="single" w:sz="2" w:space="0" w:color="064EA8"/>
              <w:left w:val="nil"/>
              <w:right w:val="nil"/>
            </w:tcBorders>
            <w:shd w:val="clear" w:color="auto" w:fill="1B0B38"/>
            <w:vAlign w:val="center"/>
            <w:hideMark/>
          </w:tcPr>
          <w:p w14:paraId="41AEFEB8" w14:textId="77777777" w:rsidR="0033134D" w:rsidRDefault="0033134D">
            <w:pPr>
              <w:spacing w:before="0"/>
              <w:jc w:val="center"/>
              <w:rPr>
                <w:rStyle w:val="Strong"/>
                <w:rFonts w:cs="Arial"/>
                <w:color w:val="FFFFFF" w:themeColor="background1"/>
                <w:szCs w:val="18"/>
              </w:rPr>
            </w:pPr>
            <w:r>
              <w:rPr>
                <w:rStyle w:val="Strong"/>
                <w:rFonts w:cs="Arial"/>
                <w:color w:val="FFFFFF" w:themeColor="background1"/>
                <w:szCs w:val="18"/>
              </w:rPr>
              <w:t>Weighting</w:t>
            </w:r>
          </w:p>
        </w:tc>
        <w:tc>
          <w:tcPr>
            <w:tcW w:w="2140" w:type="dxa"/>
            <w:gridSpan w:val="2"/>
            <w:tcBorders>
              <w:top w:val="single" w:sz="2" w:space="0" w:color="064EA8"/>
              <w:left w:val="nil"/>
              <w:bottom w:val="single" w:sz="2" w:space="0" w:color="064EA8"/>
              <w:right w:val="nil"/>
            </w:tcBorders>
            <w:shd w:val="clear" w:color="auto" w:fill="1B0B38"/>
          </w:tcPr>
          <w:p w14:paraId="381456D4" w14:textId="65A56F80" w:rsidR="0033134D" w:rsidRDefault="0033134D">
            <w:pPr>
              <w:spacing w:before="0"/>
              <w:jc w:val="center"/>
              <w:rPr>
                <w:rStyle w:val="Strong"/>
                <w:rFonts w:cs="Arial"/>
                <w:color w:val="FFFFFF" w:themeColor="background1"/>
                <w:szCs w:val="18"/>
              </w:rPr>
            </w:pPr>
            <w:r>
              <w:rPr>
                <w:rStyle w:val="Strong"/>
                <w:rFonts w:cs="Arial"/>
                <w:color w:val="FFFFFF" w:themeColor="background1"/>
                <w:szCs w:val="18"/>
              </w:rPr>
              <w:t>W</w:t>
            </w:r>
            <w:r>
              <w:rPr>
                <w:rStyle w:val="Strong"/>
                <w:rFonts w:cs="Arial"/>
                <w:color w:val="FFFFFF" w:themeColor="background1"/>
              </w:rPr>
              <w:t>eighted Scores</w:t>
            </w:r>
          </w:p>
        </w:tc>
      </w:tr>
      <w:tr w:rsidR="0033134D" w14:paraId="2071B06D" w14:textId="77777777" w:rsidTr="00DB5912">
        <w:trPr>
          <w:trHeight w:val="283"/>
          <w:tblHeader/>
        </w:trPr>
        <w:tc>
          <w:tcPr>
            <w:tcW w:w="6096" w:type="dxa"/>
            <w:vMerge/>
            <w:tcBorders>
              <w:left w:val="nil"/>
              <w:bottom w:val="single" w:sz="2" w:space="0" w:color="064EA8"/>
              <w:right w:val="nil"/>
            </w:tcBorders>
            <w:shd w:val="clear" w:color="auto" w:fill="1B0B38"/>
            <w:vAlign w:val="center"/>
          </w:tcPr>
          <w:p w14:paraId="5B27D48D" w14:textId="77777777" w:rsidR="0033134D" w:rsidRDefault="0033134D">
            <w:pPr>
              <w:spacing w:before="0"/>
              <w:rPr>
                <w:rStyle w:val="Strong"/>
                <w:rFonts w:cs="Arial"/>
                <w:color w:val="FFFFFF" w:themeColor="background1"/>
                <w:szCs w:val="18"/>
              </w:rPr>
            </w:pPr>
          </w:p>
        </w:tc>
        <w:tc>
          <w:tcPr>
            <w:tcW w:w="1262" w:type="dxa"/>
            <w:vMerge/>
            <w:tcBorders>
              <w:left w:val="nil"/>
              <w:bottom w:val="single" w:sz="2" w:space="0" w:color="064EA8"/>
              <w:right w:val="nil"/>
            </w:tcBorders>
            <w:shd w:val="clear" w:color="auto" w:fill="1B0B38"/>
            <w:vAlign w:val="center"/>
          </w:tcPr>
          <w:p w14:paraId="2211FCAB" w14:textId="77777777" w:rsidR="0033134D" w:rsidRDefault="0033134D">
            <w:pPr>
              <w:spacing w:before="0"/>
              <w:jc w:val="center"/>
              <w:rPr>
                <w:rStyle w:val="Strong"/>
                <w:rFonts w:cs="Arial"/>
                <w:color w:val="FFFFFF" w:themeColor="background1"/>
                <w:szCs w:val="18"/>
              </w:rPr>
            </w:pPr>
          </w:p>
        </w:tc>
        <w:tc>
          <w:tcPr>
            <w:tcW w:w="1006" w:type="dxa"/>
            <w:tcBorders>
              <w:top w:val="single" w:sz="2" w:space="0" w:color="064EA8"/>
              <w:left w:val="nil"/>
              <w:bottom w:val="single" w:sz="2" w:space="0" w:color="064EA8"/>
              <w:right w:val="nil"/>
            </w:tcBorders>
            <w:shd w:val="clear" w:color="auto" w:fill="1B0B38"/>
          </w:tcPr>
          <w:p w14:paraId="2716DEA0" w14:textId="1C652F9C" w:rsidR="0033134D" w:rsidRDefault="0033134D">
            <w:pPr>
              <w:spacing w:before="0"/>
              <w:jc w:val="center"/>
              <w:rPr>
                <w:rStyle w:val="Strong"/>
                <w:rFonts w:cs="Arial"/>
                <w:color w:val="FFFFFF" w:themeColor="background1"/>
                <w:szCs w:val="18"/>
              </w:rPr>
            </w:pPr>
            <w:r>
              <w:rPr>
                <w:rStyle w:val="Strong"/>
                <w:rFonts w:cs="Arial"/>
                <w:color w:val="FFFFFF" w:themeColor="background1"/>
                <w:szCs w:val="18"/>
              </w:rPr>
              <w:t>Option 1</w:t>
            </w:r>
          </w:p>
        </w:tc>
        <w:tc>
          <w:tcPr>
            <w:tcW w:w="1134" w:type="dxa"/>
            <w:tcBorders>
              <w:top w:val="single" w:sz="2" w:space="0" w:color="064EA8"/>
              <w:left w:val="nil"/>
              <w:bottom w:val="single" w:sz="2" w:space="0" w:color="064EA8"/>
              <w:right w:val="nil"/>
            </w:tcBorders>
            <w:shd w:val="clear" w:color="auto" w:fill="1B0B38"/>
          </w:tcPr>
          <w:p w14:paraId="336763F0" w14:textId="15EDD4A8" w:rsidR="0033134D" w:rsidRDefault="0033134D">
            <w:pPr>
              <w:spacing w:before="0"/>
              <w:jc w:val="center"/>
              <w:rPr>
                <w:rStyle w:val="Strong"/>
                <w:rFonts w:cs="Arial"/>
                <w:color w:val="FFFFFF" w:themeColor="background1"/>
                <w:szCs w:val="18"/>
              </w:rPr>
            </w:pPr>
            <w:r>
              <w:rPr>
                <w:rStyle w:val="Strong"/>
                <w:rFonts w:cs="Arial"/>
                <w:color w:val="FFFFFF" w:themeColor="background1"/>
                <w:szCs w:val="18"/>
              </w:rPr>
              <w:t>Option 2</w:t>
            </w:r>
          </w:p>
        </w:tc>
      </w:tr>
      <w:tr w:rsidR="000B433B" w14:paraId="65807F10" w14:textId="5D045987" w:rsidTr="00CD14BC">
        <w:trPr>
          <w:trHeight w:val="283"/>
        </w:trPr>
        <w:tc>
          <w:tcPr>
            <w:tcW w:w="6096" w:type="dxa"/>
            <w:tcBorders>
              <w:top w:val="single" w:sz="2" w:space="0" w:color="064EA8"/>
              <w:left w:val="nil"/>
              <w:bottom w:val="single" w:sz="2" w:space="0" w:color="064EA8"/>
              <w:right w:val="nil"/>
            </w:tcBorders>
            <w:shd w:val="clear" w:color="auto" w:fill="D9D9D6" w:themeFill="background2"/>
            <w:vAlign w:val="center"/>
            <w:hideMark/>
          </w:tcPr>
          <w:p w14:paraId="3EAFD669" w14:textId="77777777" w:rsidR="000B433B" w:rsidRDefault="000B433B">
            <w:pPr>
              <w:spacing w:before="0"/>
              <w:rPr>
                <w:rStyle w:val="Strong"/>
                <w:rFonts w:cs="Arial"/>
                <w:color w:val="FFFFFF" w:themeColor="background1"/>
                <w:szCs w:val="18"/>
              </w:rPr>
            </w:pPr>
            <w:r>
              <w:rPr>
                <w:rFonts w:cs="Arial"/>
                <w:b/>
                <w:bCs/>
                <w:szCs w:val="18"/>
              </w:rPr>
              <w:t>Declared Mine Rehabilitation Plans</w:t>
            </w:r>
          </w:p>
        </w:tc>
        <w:tc>
          <w:tcPr>
            <w:tcW w:w="1262" w:type="dxa"/>
            <w:tcBorders>
              <w:top w:val="single" w:sz="2" w:space="0" w:color="064EA8"/>
              <w:left w:val="nil"/>
              <w:bottom w:val="single" w:sz="2" w:space="0" w:color="064EA8"/>
              <w:right w:val="nil"/>
            </w:tcBorders>
            <w:shd w:val="clear" w:color="auto" w:fill="D9D9D6" w:themeFill="background2"/>
            <w:vAlign w:val="center"/>
          </w:tcPr>
          <w:p w14:paraId="7AC15255" w14:textId="77777777" w:rsidR="000B433B" w:rsidRDefault="000B433B">
            <w:pPr>
              <w:spacing w:before="0"/>
              <w:jc w:val="center"/>
            </w:pPr>
          </w:p>
        </w:tc>
        <w:tc>
          <w:tcPr>
            <w:tcW w:w="1006" w:type="dxa"/>
            <w:tcBorders>
              <w:top w:val="single" w:sz="2" w:space="0" w:color="064EA8"/>
              <w:left w:val="nil"/>
              <w:bottom w:val="single" w:sz="2" w:space="0" w:color="064EA8"/>
              <w:right w:val="nil"/>
            </w:tcBorders>
            <w:shd w:val="clear" w:color="auto" w:fill="D9D9D6" w:themeFill="background2"/>
          </w:tcPr>
          <w:p w14:paraId="09B59190" w14:textId="77777777" w:rsidR="000B433B" w:rsidRDefault="000B433B">
            <w:pPr>
              <w:spacing w:before="0"/>
              <w:jc w:val="center"/>
            </w:pPr>
          </w:p>
        </w:tc>
        <w:tc>
          <w:tcPr>
            <w:tcW w:w="1134" w:type="dxa"/>
            <w:tcBorders>
              <w:top w:val="single" w:sz="2" w:space="0" w:color="064EA8"/>
              <w:left w:val="nil"/>
              <w:bottom w:val="single" w:sz="2" w:space="0" w:color="064EA8"/>
              <w:right w:val="nil"/>
            </w:tcBorders>
            <w:shd w:val="clear" w:color="auto" w:fill="D9D9D6" w:themeFill="background2"/>
          </w:tcPr>
          <w:p w14:paraId="0AEB8A7B" w14:textId="77777777" w:rsidR="000B433B" w:rsidRDefault="000B433B">
            <w:pPr>
              <w:spacing w:before="0"/>
              <w:jc w:val="center"/>
            </w:pPr>
          </w:p>
        </w:tc>
      </w:tr>
      <w:tr w:rsidR="000B433B" w14:paraId="2CA1C151" w14:textId="6F712537" w:rsidTr="00CD14BC">
        <w:trPr>
          <w:trHeight w:val="283"/>
        </w:trPr>
        <w:tc>
          <w:tcPr>
            <w:tcW w:w="6096" w:type="dxa"/>
            <w:tcBorders>
              <w:top w:val="single" w:sz="2" w:space="0" w:color="064EA8"/>
              <w:left w:val="nil"/>
              <w:bottom w:val="single" w:sz="2" w:space="0" w:color="064EA8"/>
              <w:right w:val="nil"/>
            </w:tcBorders>
            <w:vAlign w:val="center"/>
            <w:hideMark/>
          </w:tcPr>
          <w:p w14:paraId="0D977024" w14:textId="77777777" w:rsidR="000B433B" w:rsidRDefault="000B433B">
            <w:pPr>
              <w:spacing w:before="0"/>
              <w:rPr>
                <w:rFonts w:cs="Arial"/>
                <w:b/>
                <w:bCs/>
                <w:szCs w:val="18"/>
              </w:rPr>
            </w:pPr>
            <w:r>
              <w:rPr>
                <w:rFonts w:cs="Arial"/>
                <w:b/>
                <w:bCs/>
                <w:szCs w:val="18"/>
              </w:rPr>
              <w:t>Benefits Criteria</w:t>
            </w:r>
          </w:p>
        </w:tc>
        <w:tc>
          <w:tcPr>
            <w:tcW w:w="1262" w:type="dxa"/>
            <w:tcBorders>
              <w:top w:val="single" w:sz="2" w:space="0" w:color="064EA8"/>
              <w:left w:val="nil"/>
              <w:bottom w:val="single" w:sz="2" w:space="0" w:color="064EA8"/>
              <w:right w:val="nil"/>
            </w:tcBorders>
            <w:vAlign w:val="center"/>
          </w:tcPr>
          <w:p w14:paraId="05B5DB11" w14:textId="77777777" w:rsidR="000B433B" w:rsidRDefault="000B433B">
            <w:pPr>
              <w:spacing w:before="0"/>
              <w:jc w:val="center"/>
              <w:rPr>
                <w:rFonts w:cs="Arial"/>
                <w:szCs w:val="18"/>
              </w:rPr>
            </w:pPr>
          </w:p>
        </w:tc>
        <w:tc>
          <w:tcPr>
            <w:tcW w:w="1006" w:type="dxa"/>
            <w:tcBorders>
              <w:top w:val="single" w:sz="2" w:space="0" w:color="064EA8"/>
              <w:left w:val="nil"/>
              <w:bottom w:val="single" w:sz="2" w:space="0" w:color="064EA8"/>
              <w:right w:val="nil"/>
            </w:tcBorders>
          </w:tcPr>
          <w:p w14:paraId="39EA317B" w14:textId="77777777" w:rsidR="000B433B" w:rsidRDefault="000B433B">
            <w:pPr>
              <w:spacing w:before="0"/>
              <w:jc w:val="center"/>
              <w:rPr>
                <w:rFonts w:cs="Arial"/>
                <w:szCs w:val="18"/>
              </w:rPr>
            </w:pPr>
          </w:p>
        </w:tc>
        <w:tc>
          <w:tcPr>
            <w:tcW w:w="1134" w:type="dxa"/>
            <w:tcBorders>
              <w:top w:val="single" w:sz="2" w:space="0" w:color="064EA8"/>
              <w:left w:val="nil"/>
              <w:bottom w:val="single" w:sz="2" w:space="0" w:color="064EA8"/>
              <w:right w:val="nil"/>
            </w:tcBorders>
          </w:tcPr>
          <w:p w14:paraId="62ADA3B8" w14:textId="77777777" w:rsidR="000B433B" w:rsidRDefault="000B433B">
            <w:pPr>
              <w:spacing w:before="0"/>
              <w:jc w:val="center"/>
              <w:rPr>
                <w:rFonts w:cs="Arial"/>
                <w:szCs w:val="18"/>
              </w:rPr>
            </w:pPr>
          </w:p>
        </w:tc>
      </w:tr>
      <w:tr w:rsidR="000B433B" w14:paraId="7B5DF8C4" w14:textId="69EB23A8" w:rsidTr="00CD14BC">
        <w:trPr>
          <w:trHeight w:val="283"/>
        </w:trPr>
        <w:tc>
          <w:tcPr>
            <w:tcW w:w="6096" w:type="dxa"/>
            <w:tcBorders>
              <w:top w:val="single" w:sz="2" w:space="0" w:color="064EA8"/>
              <w:left w:val="nil"/>
              <w:bottom w:val="single" w:sz="2" w:space="0" w:color="064EA8"/>
              <w:right w:val="nil"/>
            </w:tcBorders>
            <w:vAlign w:val="center"/>
            <w:hideMark/>
          </w:tcPr>
          <w:p w14:paraId="5482055C" w14:textId="77777777" w:rsidR="000B433B" w:rsidRDefault="000B433B">
            <w:pPr>
              <w:spacing w:before="0"/>
              <w:rPr>
                <w:rFonts w:cs="Arial"/>
                <w:szCs w:val="18"/>
              </w:rPr>
            </w:pPr>
            <w:r>
              <w:rPr>
                <w:rFonts w:cs="Arial"/>
                <w:szCs w:val="18"/>
              </w:rPr>
              <w:t>Manage the risks posed by declared mine land through:</w:t>
            </w:r>
          </w:p>
        </w:tc>
        <w:tc>
          <w:tcPr>
            <w:tcW w:w="1262" w:type="dxa"/>
            <w:tcBorders>
              <w:top w:val="single" w:sz="2" w:space="0" w:color="064EA8"/>
              <w:left w:val="nil"/>
              <w:bottom w:val="single" w:sz="2" w:space="0" w:color="064EA8"/>
              <w:right w:val="nil"/>
            </w:tcBorders>
            <w:vAlign w:val="center"/>
          </w:tcPr>
          <w:p w14:paraId="1B147876" w14:textId="77777777" w:rsidR="000B433B" w:rsidRDefault="000B433B">
            <w:pPr>
              <w:spacing w:before="0"/>
              <w:jc w:val="center"/>
              <w:rPr>
                <w:rFonts w:cs="Arial"/>
                <w:szCs w:val="18"/>
              </w:rPr>
            </w:pPr>
          </w:p>
        </w:tc>
        <w:tc>
          <w:tcPr>
            <w:tcW w:w="1006" w:type="dxa"/>
            <w:tcBorders>
              <w:top w:val="single" w:sz="2" w:space="0" w:color="064EA8"/>
              <w:left w:val="nil"/>
              <w:bottom w:val="single" w:sz="2" w:space="0" w:color="064EA8"/>
              <w:right w:val="nil"/>
            </w:tcBorders>
          </w:tcPr>
          <w:p w14:paraId="5B261CE5" w14:textId="77777777" w:rsidR="000B433B" w:rsidRDefault="000B433B">
            <w:pPr>
              <w:spacing w:before="0"/>
              <w:jc w:val="center"/>
              <w:rPr>
                <w:rFonts w:cs="Arial"/>
                <w:szCs w:val="18"/>
              </w:rPr>
            </w:pPr>
          </w:p>
        </w:tc>
        <w:tc>
          <w:tcPr>
            <w:tcW w:w="1134" w:type="dxa"/>
            <w:tcBorders>
              <w:top w:val="single" w:sz="2" w:space="0" w:color="064EA8"/>
              <w:left w:val="nil"/>
              <w:bottom w:val="single" w:sz="2" w:space="0" w:color="064EA8"/>
              <w:right w:val="nil"/>
            </w:tcBorders>
          </w:tcPr>
          <w:p w14:paraId="7CC3C4D6" w14:textId="77777777" w:rsidR="000B433B" w:rsidRDefault="000B433B">
            <w:pPr>
              <w:spacing w:before="0"/>
              <w:jc w:val="center"/>
              <w:rPr>
                <w:rFonts w:cs="Arial"/>
                <w:szCs w:val="18"/>
              </w:rPr>
            </w:pPr>
          </w:p>
        </w:tc>
      </w:tr>
      <w:tr w:rsidR="000B433B" w14:paraId="5BE02AEE" w14:textId="57DF2BC2" w:rsidTr="00CD14BC">
        <w:trPr>
          <w:trHeight w:val="283"/>
        </w:trPr>
        <w:tc>
          <w:tcPr>
            <w:tcW w:w="6096" w:type="dxa"/>
            <w:tcBorders>
              <w:top w:val="single" w:sz="2" w:space="0" w:color="064EA8"/>
              <w:left w:val="nil"/>
              <w:bottom w:val="single" w:sz="2" w:space="0" w:color="064EA8"/>
              <w:right w:val="nil"/>
            </w:tcBorders>
            <w:vAlign w:val="center"/>
            <w:hideMark/>
          </w:tcPr>
          <w:p w14:paraId="5F1D765B" w14:textId="77777777" w:rsidR="000B433B" w:rsidRDefault="000B433B">
            <w:pPr>
              <w:spacing w:before="0"/>
              <w:ind w:left="321"/>
              <w:rPr>
                <w:rFonts w:cs="Arial"/>
                <w:szCs w:val="18"/>
              </w:rPr>
            </w:pPr>
            <w:r>
              <w:rPr>
                <w:rFonts w:cs="Arial"/>
                <w:szCs w:val="18"/>
              </w:rPr>
              <w:t>Facilitating assessment of declared mine rehabilitation liability</w:t>
            </w:r>
          </w:p>
        </w:tc>
        <w:tc>
          <w:tcPr>
            <w:tcW w:w="1262" w:type="dxa"/>
            <w:tcBorders>
              <w:top w:val="single" w:sz="2" w:space="0" w:color="064EA8"/>
              <w:left w:val="nil"/>
              <w:bottom w:val="single" w:sz="2" w:space="0" w:color="064EA8"/>
              <w:right w:val="nil"/>
            </w:tcBorders>
            <w:vAlign w:val="center"/>
            <w:hideMark/>
          </w:tcPr>
          <w:p w14:paraId="08526458" w14:textId="1AA282F1" w:rsidR="000B433B" w:rsidRDefault="002856AA">
            <w:pPr>
              <w:spacing w:before="0"/>
              <w:jc w:val="center"/>
              <w:rPr>
                <w:rFonts w:cs="Arial"/>
                <w:szCs w:val="18"/>
              </w:rPr>
            </w:pPr>
            <w:r>
              <w:rPr>
                <w:rFonts w:cs="Arial"/>
                <w:szCs w:val="18"/>
              </w:rPr>
              <w:t>16.7</w:t>
            </w:r>
            <w:r w:rsidR="000B433B">
              <w:rPr>
                <w:rFonts w:cs="Arial"/>
                <w:szCs w:val="18"/>
              </w:rPr>
              <w:t>%</w:t>
            </w:r>
          </w:p>
        </w:tc>
        <w:tc>
          <w:tcPr>
            <w:tcW w:w="1006" w:type="dxa"/>
            <w:tcBorders>
              <w:top w:val="single" w:sz="2" w:space="0" w:color="064EA8"/>
              <w:left w:val="nil"/>
              <w:bottom w:val="single" w:sz="2" w:space="0" w:color="064EA8"/>
              <w:right w:val="nil"/>
            </w:tcBorders>
            <w:vAlign w:val="center"/>
          </w:tcPr>
          <w:p w14:paraId="383A353F" w14:textId="7F961F28" w:rsidR="000B433B" w:rsidDel="004D344F" w:rsidRDefault="00B46D14">
            <w:pPr>
              <w:spacing w:before="0"/>
              <w:jc w:val="center"/>
              <w:rPr>
                <w:rFonts w:cs="Arial"/>
                <w:szCs w:val="18"/>
              </w:rPr>
            </w:pPr>
            <w:r>
              <w:rPr>
                <w:szCs w:val="18"/>
              </w:rPr>
              <w:t>1</w:t>
            </w:r>
            <w:r w:rsidR="00893468">
              <w:rPr>
                <w:szCs w:val="18"/>
              </w:rPr>
              <w:t>.</w:t>
            </w:r>
            <w:r>
              <w:rPr>
                <w:szCs w:val="18"/>
              </w:rPr>
              <w:t>17</w:t>
            </w:r>
          </w:p>
        </w:tc>
        <w:tc>
          <w:tcPr>
            <w:tcW w:w="1134" w:type="dxa"/>
            <w:tcBorders>
              <w:top w:val="single" w:sz="2" w:space="0" w:color="064EA8"/>
              <w:left w:val="nil"/>
              <w:bottom w:val="single" w:sz="2" w:space="0" w:color="064EA8"/>
              <w:right w:val="nil"/>
            </w:tcBorders>
            <w:vAlign w:val="center"/>
          </w:tcPr>
          <w:p w14:paraId="279E91D6" w14:textId="6AD6716E" w:rsidR="000B433B" w:rsidDel="004D344F" w:rsidRDefault="00B46D14">
            <w:pPr>
              <w:spacing w:before="0"/>
              <w:jc w:val="center"/>
              <w:rPr>
                <w:rFonts w:cs="Arial"/>
                <w:szCs w:val="18"/>
              </w:rPr>
            </w:pPr>
            <w:r>
              <w:rPr>
                <w:szCs w:val="18"/>
              </w:rPr>
              <w:t>1</w:t>
            </w:r>
            <w:r w:rsidR="00893468">
              <w:rPr>
                <w:szCs w:val="18"/>
              </w:rPr>
              <w:t>.</w:t>
            </w:r>
            <w:r>
              <w:rPr>
                <w:szCs w:val="18"/>
              </w:rPr>
              <w:t>33</w:t>
            </w:r>
          </w:p>
        </w:tc>
      </w:tr>
      <w:tr w:rsidR="000B433B" w14:paraId="310D0EF7" w14:textId="37CF7DD3" w:rsidTr="00CD14BC">
        <w:trPr>
          <w:trHeight w:val="358"/>
        </w:trPr>
        <w:tc>
          <w:tcPr>
            <w:tcW w:w="6096" w:type="dxa"/>
            <w:tcBorders>
              <w:top w:val="single" w:sz="2" w:space="0" w:color="064EA8"/>
              <w:left w:val="nil"/>
              <w:bottom w:val="single" w:sz="2" w:space="0" w:color="064EA8"/>
              <w:right w:val="nil"/>
            </w:tcBorders>
            <w:vAlign w:val="center"/>
            <w:hideMark/>
          </w:tcPr>
          <w:p w14:paraId="41DBD7AF" w14:textId="77777777" w:rsidR="000B433B" w:rsidRDefault="000B433B">
            <w:pPr>
              <w:spacing w:before="0"/>
              <w:ind w:left="321"/>
              <w:rPr>
                <w:rFonts w:cs="Arial"/>
                <w:szCs w:val="18"/>
              </w:rPr>
            </w:pPr>
            <w:r>
              <w:rPr>
                <w:rFonts w:cs="Arial"/>
                <w:szCs w:val="18"/>
              </w:rPr>
              <w:t>Enabling appropriate and integrated regulatory rehabilitation-related decision making by government</w:t>
            </w:r>
          </w:p>
        </w:tc>
        <w:tc>
          <w:tcPr>
            <w:tcW w:w="1262" w:type="dxa"/>
            <w:tcBorders>
              <w:top w:val="single" w:sz="2" w:space="0" w:color="064EA8"/>
              <w:left w:val="nil"/>
              <w:bottom w:val="single" w:sz="2" w:space="0" w:color="064EA8"/>
              <w:right w:val="nil"/>
            </w:tcBorders>
            <w:vAlign w:val="center"/>
            <w:hideMark/>
          </w:tcPr>
          <w:p w14:paraId="29EE2BA4" w14:textId="67862660" w:rsidR="000B433B" w:rsidRDefault="002856AA">
            <w:pPr>
              <w:spacing w:before="0"/>
              <w:jc w:val="center"/>
              <w:rPr>
                <w:rFonts w:cs="Arial"/>
                <w:szCs w:val="18"/>
              </w:rPr>
            </w:pPr>
            <w:r>
              <w:rPr>
                <w:rFonts w:cs="Arial"/>
                <w:szCs w:val="18"/>
              </w:rPr>
              <w:t>16.7</w:t>
            </w:r>
            <w:r w:rsidR="000B433B">
              <w:rPr>
                <w:rFonts w:cs="Arial"/>
                <w:szCs w:val="18"/>
              </w:rPr>
              <w:t>%</w:t>
            </w:r>
          </w:p>
        </w:tc>
        <w:tc>
          <w:tcPr>
            <w:tcW w:w="1006" w:type="dxa"/>
            <w:tcBorders>
              <w:top w:val="single" w:sz="2" w:space="0" w:color="064EA8"/>
              <w:left w:val="nil"/>
              <w:bottom w:val="single" w:sz="2" w:space="0" w:color="064EA8"/>
              <w:right w:val="nil"/>
            </w:tcBorders>
            <w:vAlign w:val="center"/>
          </w:tcPr>
          <w:p w14:paraId="07A3669B" w14:textId="26F6C8CA" w:rsidR="000B433B" w:rsidDel="004D344F" w:rsidRDefault="00893468">
            <w:pPr>
              <w:spacing w:before="0"/>
              <w:jc w:val="center"/>
              <w:rPr>
                <w:rFonts w:cs="Arial"/>
                <w:szCs w:val="18"/>
              </w:rPr>
            </w:pPr>
            <w:r>
              <w:rPr>
                <w:rFonts w:cs="Arial"/>
                <w:szCs w:val="18"/>
              </w:rPr>
              <w:t>0</w:t>
            </w:r>
            <w:r w:rsidR="00581307">
              <w:rPr>
                <w:rFonts w:cs="Arial"/>
                <w:szCs w:val="18"/>
              </w:rPr>
              <w:t>.</w:t>
            </w:r>
            <w:r w:rsidR="00B46D14">
              <w:rPr>
                <w:szCs w:val="18"/>
              </w:rPr>
              <w:t>67</w:t>
            </w:r>
          </w:p>
        </w:tc>
        <w:tc>
          <w:tcPr>
            <w:tcW w:w="1134" w:type="dxa"/>
            <w:tcBorders>
              <w:top w:val="single" w:sz="2" w:space="0" w:color="064EA8"/>
              <w:left w:val="nil"/>
              <w:bottom w:val="single" w:sz="2" w:space="0" w:color="064EA8"/>
              <w:right w:val="nil"/>
            </w:tcBorders>
            <w:vAlign w:val="center"/>
          </w:tcPr>
          <w:p w14:paraId="2E1AD401" w14:textId="3E7D4D98" w:rsidR="000B433B" w:rsidDel="004D344F" w:rsidRDefault="00131859">
            <w:pPr>
              <w:spacing w:before="0"/>
              <w:jc w:val="center"/>
              <w:rPr>
                <w:rFonts w:cs="Arial"/>
                <w:szCs w:val="18"/>
              </w:rPr>
            </w:pPr>
            <w:r>
              <w:rPr>
                <w:szCs w:val="18"/>
              </w:rPr>
              <w:t>1</w:t>
            </w:r>
            <w:r w:rsidR="00893468">
              <w:rPr>
                <w:szCs w:val="18"/>
              </w:rPr>
              <w:t>.</w:t>
            </w:r>
            <w:r>
              <w:rPr>
                <w:szCs w:val="18"/>
              </w:rPr>
              <w:t>00</w:t>
            </w:r>
          </w:p>
        </w:tc>
      </w:tr>
      <w:tr w:rsidR="000B433B" w14:paraId="2D75B896" w14:textId="2E0FAE91" w:rsidTr="00CD14BC">
        <w:trPr>
          <w:trHeight w:val="283"/>
        </w:trPr>
        <w:tc>
          <w:tcPr>
            <w:tcW w:w="6096" w:type="dxa"/>
            <w:tcBorders>
              <w:top w:val="single" w:sz="2" w:space="0" w:color="064EA8"/>
              <w:left w:val="nil"/>
              <w:bottom w:val="single" w:sz="2" w:space="0" w:color="064EA8"/>
              <w:right w:val="nil"/>
            </w:tcBorders>
            <w:vAlign w:val="center"/>
            <w:hideMark/>
          </w:tcPr>
          <w:p w14:paraId="5D03F225" w14:textId="77777777" w:rsidR="000B433B" w:rsidRDefault="000B433B">
            <w:pPr>
              <w:spacing w:before="0"/>
              <w:ind w:left="321"/>
              <w:rPr>
                <w:rFonts w:cs="Arial"/>
                <w:szCs w:val="18"/>
              </w:rPr>
            </w:pPr>
            <w:r>
              <w:rPr>
                <w:rFonts w:cs="Arial"/>
                <w:szCs w:val="18"/>
              </w:rPr>
              <w:t>Providing a transparent and flexible approach to planning</w:t>
            </w:r>
          </w:p>
        </w:tc>
        <w:tc>
          <w:tcPr>
            <w:tcW w:w="1262" w:type="dxa"/>
            <w:tcBorders>
              <w:top w:val="single" w:sz="2" w:space="0" w:color="064EA8"/>
              <w:left w:val="nil"/>
              <w:bottom w:val="single" w:sz="2" w:space="0" w:color="064EA8"/>
              <w:right w:val="nil"/>
            </w:tcBorders>
            <w:vAlign w:val="center"/>
            <w:hideMark/>
          </w:tcPr>
          <w:p w14:paraId="7B6D5C2A" w14:textId="207B0E03" w:rsidR="000B433B" w:rsidRDefault="002856AA">
            <w:pPr>
              <w:spacing w:before="0"/>
              <w:jc w:val="center"/>
              <w:rPr>
                <w:rFonts w:cs="Arial"/>
                <w:szCs w:val="18"/>
              </w:rPr>
            </w:pPr>
            <w:r>
              <w:rPr>
                <w:rFonts w:cs="Arial"/>
                <w:szCs w:val="18"/>
              </w:rPr>
              <w:t>16.7</w:t>
            </w:r>
            <w:r w:rsidR="000B433B">
              <w:rPr>
                <w:rFonts w:cs="Arial"/>
                <w:szCs w:val="18"/>
              </w:rPr>
              <w:t>%</w:t>
            </w:r>
          </w:p>
        </w:tc>
        <w:tc>
          <w:tcPr>
            <w:tcW w:w="1006" w:type="dxa"/>
            <w:tcBorders>
              <w:top w:val="single" w:sz="2" w:space="0" w:color="064EA8"/>
              <w:left w:val="nil"/>
              <w:bottom w:val="single" w:sz="2" w:space="0" w:color="064EA8"/>
              <w:right w:val="nil"/>
            </w:tcBorders>
            <w:vAlign w:val="center"/>
          </w:tcPr>
          <w:p w14:paraId="62D227E0" w14:textId="5703E473" w:rsidR="000B433B" w:rsidRDefault="00893468">
            <w:pPr>
              <w:spacing w:before="0"/>
              <w:jc w:val="center"/>
              <w:rPr>
                <w:rFonts w:cs="Arial"/>
                <w:szCs w:val="18"/>
              </w:rPr>
            </w:pPr>
            <w:r>
              <w:rPr>
                <w:rFonts w:cs="Arial"/>
                <w:szCs w:val="18"/>
              </w:rPr>
              <w:t>0</w:t>
            </w:r>
            <w:r>
              <w:rPr>
                <w:szCs w:val="18"/>
              </w:rPr>
              <w:t>.</w:t>
            </w:r>
            <w:r w:rsidR="00581307">
              <w:rPr>
                <w:szCs w:val="18"/>
              </w:rPr>
              <w:t>50</w:t>
            </w:r>
          </w:p>
        </w:tc>
        <w:tc>
          <w:tcPr>
            <w:tcW w:w="1134" w:type="dxa"/>
            <w:tcBorders>
              <w:top w:val="single" w:sz="2" w:space="0" w:color="064EA8"/>
              <w:left w:val="nil"/>
              <w:bottom w:val="single" w:sz="2" w:space="0" w:color="064EA8"/>
              <w:right w:val="nil"/>
            </w:tcBorders>
            <w:vAlign w:val="center"/>
          </w:tcPr>
          <w:p w14:paraId="2AA8AA26" w14:textId="66A6ACD9" w:rsidR="000B433B" w:rsidRDefault="00EE7657">
            <w:pPr>
              <w:spacing w:before="0"/>
              <w:jc w:val="center"/>
              <w:rPr>
                <w:rFonts w:cs="Arial"/>
                <w:szCs w:val="18"/>
              </w:rPr>
            </w:pPr>
            <w:r>
              <w:rPr>
                <w:szCs w:val="18"/>
              </w:rPr>
              <w:t>1</w:t>
            </w:r>
            <w:r w:rsidR="00893468">
              <w:rPr>
                <w:szCs w:val="18"/>
              </w:rPr>
              <w:t>.</w:t>
            </w:r>
            <w:r>
              <w:rPr>
                <w:szCs w:val="18"/>
              </w:rPr>
              <w:t>33</w:t>
            </w:r>
          </w:p>
        </w:tc>
      </w:tr>
      <w:tr w:rsidR="000B433B" w:rsidRPr="00780F5F" w14:paraId="7D1587B9" w14:textId="13B4F896" w:rsidTr="00CD14BC">
        <w:trPr>
          <w:trHeight w:val="283"/>
        </w:trPr>
        <w:tc>
          <w:tcPr>
            <w:tcW w:w="6096" w:type="dxa"/>
            <w:tcBorders>
              <w:top w:val="single" w:sz="2" w:space="0" w:color="064EA8"/>
              <w:left w:val="nil"/>
              <w:bottom w:val="single" w:sz="2" w:space="0" w:color="064EA8"/>
              <w:right w:val="nil"/>
            </w:tcBorders>
            <w:vAlign w:val="center"/>
            <w:hideMark/>
          </w:tcPr>
          <w:p w14:paraId="183719C0" w14:textId="2BD55A77" w:rsidR="000B433B" w:rsidRPr="00780F5F" w:rsidRDefault="004A66B6">
            <w:pPr>
              <w:spacing w:before="0"/>
              <w:jc w:val="right"/>
              <w:rPr>
                <w:rFonts w:cs="Arial"/>
                <w:b/>
                <w:bCs/>
                <w:szCs w:val="18"/>
              </w:rPr>
            </w:pPr>
            <w:r>
              <w:rPr>
                <w:rFonts w:cs="Arial"/>
                <w:b/>
                <w:bCs/>
                <w:szCs w:val="18"/>
              </w:rPr>
              <w:t>Sub</w:t>
            </w:r>
            <w:r w:rsidR="009D3850">
              <w:rPr>
                <w:rFonts w:cs="Arial"/>
                <w:b/>
                <w:bCs/>
                <w:szCs w:val="18"/>
              </w:rPr>
              <w:t xml:space="preserve"> </w:t>
            </w:r>
            <w:r w:rsidR="00594A8D">
              <w:rPr>
                <w:rFonts w:cs="Arial"/>
                <w:b/>
                <w:bCs/>
                <w:szCs w:val="18"/>
              </w:rPr>
              <w:t>t</w:t>
            </w:r>
            <w:r w:rsidR="000B433B" w:rsidRPr="00780F5F">
              <w:rPr>
                <w:rFonts w:cs="Arial"/>
                <w:b/>
                <w:bCs/>
                <w:szCs w:val="18"/>
              </w:rPr>
              <w:t xml:space="preserve">otal </w:t>
            </w:r>
          </w:p>
        </w:tc>
        <w:tc>
          <w:tcPr>
            <w:tcW w:w="1262" w:type="dxa"/>
            <w:tcBorders>
              <w:top w:val="single" w:sz="2" w:space="0" w:color="064EA8"/>
              <w:left w:val="nil"/>
              <w:bottom w:val="single" w:sz="2" w:space="0" w:color="064EA8"/>
              <w:right w:val="nil"/>
            </w:tcBorders>
            <w:vAlign w:val="center"/>
            <w:hideMark/>
          </w:tcPr>
          <w:p w14:paraId="14E3AAA0" w14:textId="32FC44BF" w:rsidR="000B433B" w:rsidRPr="00780F5F" w:rsidRDefault="002856AA">
            <w:pPr>
              <w:spacing w:before="0"/>
              <w:jc w:val="center"/>
              <w:rPr>
                <w:rFonts w:cs="Arial"/>
                <w:b/>
                <w:bCs/>
                <w:szCs w:val="18"/>
              </w:rPr>
            </w:pPr>
            <w:r>
              <w:rPr>
                <w:rFonts w:cs="Arial"/>
                <w:b/>
                <w:bCs/>
                <w:szCs w:val="18"/>
              </w:rPr>
              <w:t>50</w:t>
            </w:r>
            <w:r w:rsidR="000B433B" w:rsidRPr="00780F5F">
              <w:rPr>
                <w:rFonts w:cs="Arial"/>
                <w:b/>
                <w:bCs/>
                <w:szCs w:val="18"/>
              </w:rPr>
              <w:t>%</w:t>
            </w:r>
          </w:p>
        </w:tc>
        <w:tc>
          <w:tcPr>
            <w:tcW w:w="1006" w:type="dxa"/>
            <w:tcBorders>
              <w:top w:val="single" w:sz="2" w:space="0" w:color="064EA8"/>
              <w:left w:val="nil"/>
              <w:bottom w:val="single" w:sz="2" w:space="0" w:color="064EA8"/>
              <w:right w:val="nil"/>
            </w:tcBorders>
            <w:vAlign w:val="center"/>
          </w:tcPr>
          <w:p w14:paraId="5C331265" w14:textId="1D2118B6" w:rsidR="000B433B" w:rsidRPr="00780F5F" w:rsidRDefault="00EE7657">
            <w:pPr>
              <w:spacing w:before="0"/>
              <w:jc w:val="center"/>
              <w:rPr>
                <w:rFonts w:cs="Arial"/>
                <w:b/>
                <w:bCs/>
                <w:szCs w:val="18"/>
              </w:rPr>
            </w:pPr>
            <w:r>
              <w:rPr>
                <w:b/>
                <w:bCs/>
                <w:szCs w:val="18"/>
              </w:rPr>
              <w:t>2</w:t>
            </w:r>
            <w:r w:rsidR="009C48D8" w:rsidRPr="00CD14BC">
              <w:rPr>
                <w:b/>
                <w:bCs/>
                <w:szCs w:val="18"/>
              </w:rPr>
              <w:t>.</w:t>
            </w:r>
            <w:r>
              <w:rPr>
                <w:b/>
                <w:bCs/>
                <w:szCs w:val="18"/>
              </w:rPr>
              <w:t>33</w:t>
            </w:r>
          </w:p>
        </w:tc>
        <w:tc>
          <w:tcPr>
            <w:tcW w:w="1134" w:type="dxa"/>
            <w:tcBorders>
              <w:top w:val="single" w:sz="2" w:space="0" w:color="064EA8"/>
              <w:left w:val="nil"/>
              <w:bottom w:val="single" w:sz="2" w:space="0" w:color="064EA8"/>
              <w:right w:val="nil"/>
            </w:tcBorders>
            <w:vAlign w:val="center"/>
          </w:tcPr>
          <w:p w14:paraId="20B1510F" w14:textId="28D3ACF4" w:rsidR="000B433B" w:rsidRPr="00780F5F" w:rsidRDefault="00EE7657">
            <w:pPr>
              <w:spacing w:before="0"/>
              <w:jc w:val="center"/>
              <w:rPr>
                <w:rFonts w:cs="Arial"/>
                <w:b/>
                <w:bCs/>
                <w:szCs w:val="18"/>
              </w:rPr>
            </w:pPr>
            <w:r>
              <w:rPr>
                <w:b/>
                <w:bCs/>
                <w:szCs w:val="18"/>
              </w:rPr>
              <w:t>3</w:t>
            </w:r>
            <w:r w:rsidR="009C48D8" w:rsidRPr="00CD14BC">
              <w:rPr>
                <w:b/>
                <w:bCs/>
                <w:szCs w:val="18"/>
              </w:rPr>
              <w:t>.</w:t>
            </w:r>
            <w:r>
              <w:rPr>
                <w:b/>
                <w:bCs/>
                <w:szCs w:val="18"/>
              </w:rPr>
              <w:t>67</w:t>
            </w:r>
          </w:p>
        </w:tc>
      </w:tr>
      <w:tr w:rsidR="000B433B" w14:paraId="60B39AE6" w14:textId="2BD3B774" w:rsidTr="00CD14BC">
        <w:trPr>
          <w:trHeight w:val="283"/>
        </w:trPr>
        <w:tc>
          <w:tcPr>
            <w:tcW w:w="6096" w:type="dxa"/>
            <w:tcBorders>
              <w:top w:val="single" w:sz="2" w:space="0" w:color="064EA8"/>
              <w:left w:val="nil"/>
              <w:bottom w:val="single" w:sz="2" w:space="0" w:color="064EA8"/>
              <w:right w:val="nil"/>
            </w:tcBorders>
            <w:vAlign w:val="center"/>
            <w:hideMark/>
          </w:tcPr>
          <w:p w14:paraId="3E04CEFA" w14:textId="77777777" w:rsidR="000B433B" w:rsidRDefault="000B433B">
            <w:pPr>
              <w:spacing w:before="0"/>
              <w:rPr>
                <w:rFonts w:cs="Arial"/>
                <w:b/>
                <w:bCs/>
                <w:szCs w:val="18"/>
              </w:rPr>
            </w:pPr>
            <w:r>
              <w:rPr>
                <w:rFonts w:cs="Arial"/>
                <w:b/>
                <w:bCs/>
                <w:szCs w:val="18"/>
              </w:rPr>
              <w:t>Cost Criteria</w:t>
            </w:r>
          </w:p>
        </w:tc>
        <w:tc>
          <w:tcPr>
            <w:tcW w:w="1262" w:type="dxa"/>
            <w:tcBorders>
              <w:top w:val="single" w:sz="2" w:space="0" w:color="064EA8"/>
              <w:left w:val="nil"/>
              <w:bottom w:val="single" w:sz="2" w:space="0" w:color="064EA8"/>
              <w:right w:val="nil"/>
            </w:tcBorders>
            <w:vAlign w:val="center"/>
          </w:tcPr>
          <w:p w14:paraId="59850F95" w14:textId="77777777" w:rsidR="000B433B" w:rsidRDefault="000B433B">
            <w:pPr>
              <w:spacing w:before="0"/>
              <w:jc w:val="center"/>
              <w:rPr>
                <w:rFonts w:cs="Arial"/>
                <w:szCs w:val="18"/>
              </w:rPr>
            </w:pPr>
          </w:p>
        </w:tc>
        <w:tc>
          <w:tcPr>
            <w:tcW w:w="1006" w:type="dxa"/>
            <w:tcBorders>
              <w:top w:val="single" w:sz="2" w:space="0" w:color="064EA8"/>
              <w:left w:val="nil"/>
              <w:bottom w:val="single" w:sz="2" w:space="0" w:color="064EA8"/>
              <w:right w:val="nil"/>
            </w:tcBorders>
            <w:vAlign w:val="center"/>
          </w:tcPr>
          <w:p w14:paraId="1EF2314F" w14:textId="77777777" w:rsidR="000B433B" w:rsidRDefault="000B433B">
            <w:pPr>
              <w:spacing w:before="0"/>
              <w:jc w:val="center"/>
              <w:rPr>
                <w:rFonts w:cs="Arial"/>
                <w:szCs w:val="18"/>
              </w:rPr>
            </w:pPr>
          </w:p>
        </w:tc>
        <w:tc>
          <w:tcPr>
            <w:tcW w:w="1134" w:type="dxa"/>
            <w:tcBorders>
              <w:top w:val="single" w:sz="2" w:space="0" w:color="064EA8"/>
              <w:left w:val="nil"/>
              <w:bottom w:val="single" w:sz="2" w:space="0" w:color="064EA8"/>
              <w:right w:val="nil"/>
            </w:tcBorders>
            <w:vAlign w:val="center"/>
          </w:tcPr>
          <w:p w14:paraId="7431B8C6" w14:textId="77777777" w:rsidR="000B433B" w:rsidRDefault="000B433B">
            <w:pPr>
              <w:spacing w:before="0"/>
              <w:jc w:val="center"/>
              <w:rPr>
                <w:rFonts w:cs="Arial"/>
                <w:szCs w:val="18"/>
              </w:rPr>
            </w:pPr>
          </w:p>
        </w:tc>
      </w:tr>
      <w:tr w:rsidR="000B433B" w14:paraId="50B3C005" w14:textId="56282B1C" w:rsidTr="00CD14BC">
        <w:trPr>
          <w:trHeight w:val="283"/>
        </w:trPr>
        <w:tc>
          <w:tcPr>
            <w:tcW w:w="6096" w:type="dxa"/>
            <w:tcBorders>
              <w:top w:val="single" w:sz="2" w:space="0" w:color="064EA8"/>
              <w:left w:val="nil"/>
              <w:bottom w:val="single" w:sz="2" w:space="0" w:color="064EA8"/>
              <w:right w:val="nil"/>
            </w:tcBorders>
            <w:vAlign w:val="center"/>
            <w:hideMark/>
          </w:tcPr>
          <w:p w14:paraId="654A463D" w14:textId="77777777" w:rsidR="000B433B" w:rsidRDefault="000B433B">
            <w:pPr>
              <w:spacing w:before="0"/>
              <w:ind w:left="321"/>
              <w:rPr>
                <w:rFonts w:cs="Arial"/>
                <w:szCs w:val="18"/>
              </w:rPr>
            </w:pPr>
            <w:r>
              <w:rPr>
                <w:rFonts w:cs="Arial"/>
                <w:szCs w:val="18"/>
              </w:rPr>
              <w:t>Costs to industry (including time delays) relative to the base case</w:t>
            </w:r>
          </w:p>
        </w:tc>
        <w:tc>
          <w:tcPr>
            <w:tcW w:w="1262" w:type="dxa"/>
            <w:tcBorders>
              <w:top w:val="single" w:sz="2" w:space="0" w:color="064EA8"/>
              <w:left w:val="nil"/>
              <w:bottom w:val="single" w:sz="2" w:space="0" w:color="064EA8"/>
              <w:right w:val="nil"/>
            </w:tcBorders>
            <w:vAlign w:val="center"/>
            <w:hideMark/>
          </w:tcPr>
          <w:p w14:paraId="6D758672" w14:textId="12E63219" w:rsidR="000B433B" w:rsidRDefault="002856AA">
            <w:pPr>
              <w:spacing w:before="0"/>
              <w:jc w:val="center"/>
              <w:rPr>
                <w:rFonts w:cs="Arial"/>
                <w:szCs w:val="18"/>
              </w:rPr>
            </w:pPr>
            <w:r>
              <w:rPr>
                <w:rFonts w:cs="Arial"/>
                <w:szCs w:val="18"/>
              </w:rPr>
              <w:t>25</w:t>
            </w:r>
            <w:r w:rsidR="000B433B">
              <w:rPr>
                <w:rFonts w:cs="Arial"/>
                <w:szCs w:val="18"/>
              </w:rPr>
              <w:t>%</w:t>
            </w:r>
          </w:p>
        </w:tc>
        <w:tc>
          <w:tcPr>
            <w:tcW w:w="1006" w:type="dxa"/>
            <w:tcBorders>
              <w:top w:val="single" w:sz="2" w:space="0" w:color="064EA8"/>
              <w:left w:val="nil"/>
              <w:bottom w:val="single" w:sz="2" w:space="0" w:color="064EA8"/>
              <w:right w:val="nil"/>
            </w:tcBorders>
            <w:vAlign w:val="center"/>
          </w:tcPr>
          <w:p w14:paraId="4229B4B7" w14:textId="06345E3B" w:rsidR="000B433B" w:rsidRDefault="00D92E25">
            <w:pPr>
              <w:spacing w:before="0"/>
              <w:jc w:val="center"/>
              <w:rPr>
                <w:rFonts w:cs="Arial"/>
                <w:szCs w:val="18"/>
              </w:rPr>
            </w:pPr>
            <w:r>
              <w:rPr>
                <w:rFonts w:cs="Arial"/>
                <w:szCs w:val="18"/>
              </w:rPr>
              <w:t>-</w:t>
            </w:r>
            <w:r w:rsidR="00885DB8">
              <w:rPr>
                <w:szCs w:val="18"/>
              </w:rPr>
              <w:t>1</w:t>
            </w:r>
            <w:r>
              <w:rPr>
                <w:szCs w:val="18"/>
              </w:rPr>
              <w:t>.</w:t>
            </w:r>
            <w:r w:rsidR="00885DB8">
              <w:rPr>
                <w:szCs w:val="18"/>
              </w:rPr>
              <w:t>25</w:t>
            </w:r>
          </w:p>
        </w:tc>
        <w:tc>
          <w:tcPr>
            <w:tcW w:w="1134" w:type="dxa"/>
            <w:tcBorders>
              <w:top w:val="single" w:sz="2" w:space="0" w:color="064EA8"/>
              <w:left w:val="nil"/>
              <w:bottom w:val="single" w:sz="2" w:space="0" w:color="064EA8"/>
              <w:right w:val="nil"/>
            </w:tcBorders>
            <w:vAlign w:val="center"/>
          </w:tcPr>
          <w:p w14:paraId="5E0AB340" w14:textId="43DCD7D0" w:rsidR="000B433B" w:rsidRDefault="00D92E25">
            <w:pPr>
              <w:spacing w:before="0"/>
              <w:jc w:val="center"/>
              <w:rPr>
                <w:rFonts w:cs="Arial"/>
                <w:szCs w:val="18"/>
              </w:rPr>
            </w:pPr>
            <w:r>
              <w:rPr>
                <w:rFonts w:cs="Arial"/>
                <w:szCs w:val="18"/>
              </w:rPr>
              <w:t>-</w:t>
            </w:r>
            <w:r w:rsidR="00885DB8">
              <w:rPr>
                <w:szCs w:val="18"/>
              </w:rPr>
              <w:t>1</w:t>
            </w:r>
            <w:r>
              <w:rPr>
                <w:szCs w:val="18"/>
              </w:rPr>
              <w:t>.</w:t>
            </w:r>
            <w:r w:rsidR="00885DB8">
              <w:rPr>
                <w:szCs w:val="18"/>
              </w:rPr>
              <w:t>75</w:t>
            </w:r>
          </w:p>
        </w:tc>
      </w:tr>
      <w:tr w:rsidR="000B433B" w14:paraId="59E9BE2B" w14:textId="044060F8" w:rsidTr="00CD14BC">
        <w:trPr>
          <w:trHeight w:val="57"/>
        </w:trPr>
        <w:tc>
          <w:tcPr>
            <w:tcW w:w="6096" w:type="dxa"/>
            <w:tcBorders>
              <w:top w:val="single" w:sz="2" w:space="0" w:color="064EA8"/>
              <w:left w:val="nil"/>
              <w:bottom w:val="single" w:sz="2" w:space="0" w:color="064EA8"/>
              <w:right w:val="nil"/>
            </w:tcBorders>
            <w:vAlign w:val="center"/>
            <w:hideMark/>
          </w:tcPr>
          <w:p w14:paraId="1ADA5C5B" w14:textId="77777777" w:rsidR="000B433B" w:rsidRDefault="000B433B">
            <w:pPr>
              <w:spacing w:before="0"/>
              <w:ind w:left="321"/>
              <w:rPr>
                <w:rFonts w:cs="Arial"/>
                <w:color w:val="auto"/>
                <w:szCs w:val="18"/>
              </w:rPr>
            </w:pPr>
            <w:r>
              <w:rPr>
                <w:rFonts w:cs="Arial"/>
                <w:szCs w:val="18"/>
              </w:rPr>
              <w:t>Costs to government relative to the base case in:</w:t>
            </w:r>
          </w:p>
          <w:p w14:paraId="4615CF0C" w14:textId="77777777" w:rsidR="000B433B" w:rsidRDefault="000B433B" w:rsidP="00395C45">
            <w:pPr>
              <w:pStyle w:val="dotpoints2"/>
            </w:pPr>
            <w:r>
              <w:t>Assessing and approving DMRPs;</w:t>
            </w:r>
          </w:p>
          <w:p w14:paraId="4DB4DDD8" w14:textId="77777777" w:rsidR="000B433B" w:rsidRDefault="000B433B" w:rsidP="00395C45">
            <w:pPr>
              <w:pStyle w:val="dotpoints2"/>
            </w:pPr>
            <w:r>
              <w:t>Monitoring rehabilitation carried out under DMRPs; and</w:t>
            </w:r>
          </w:p>
          <w:p w14:paraId="2EAF832F" w14:textId="77777777" w:rsidR="000B433B" w:rsidRDefault="000B433B" w:rsidP="00395C45">
            <w:pPr>
              <w:pStyle w:val="dotpoints2"/>
            </w:pPr>
            <w:r>
              <w:lastRenderedPageBreak/>
              <w:t xml:space="preserve">Responding to reported events or circumstances in relation to the plan. </w:t>
            </w:r>
          </w:p>
        </w:tc>
        <w:tc>
          <w:tcPr>
            <w:tcW w:w="1262" w:type="dxa"/>
            <w:tcBorders>
              <w:top w:val="single" w:sz="2" w:space="0" w:color="064EA8"/>
              <w:left w:val="nil"/>
              <w:bottom w:val="single" w:sz="2" w:space="0" w:color="064EA8"/>
              <w:right w:val="nil"/>
            </w:tcBorders>
            <w:vAlign w:val="center"/>
            <w:hideMark/>
          </w:tcPr>
          <w:p w14:paraId="1E486224" w14:textId="241CB357" w:rsidR="000B433B" w:rsidRDefault="002856AA">
            <w:pPr>
              <w:spacing w:before="0"/>
              <w:jc w:val="center"/>
              <w:rPr>
                <w:rFonts w:cs="Arial"/>
                <w:szCs w:val="18"/>
              </w:rPr>
            </w:pPr>
            <w:r>
              <w:rPr>
                <w:rFonts w:cs="Arial"/>
                <w:szCs w:val="18"/>
              </w:rPr>
              <w:lastRenderedPageBreak/>
              <w:t>25</w:t>
            </w:r>
            <w:r w:rsidR="000B433B">
              <w:rPr>
                <w:rFonts w:cs="Arial"/>
                <w:szCs w:val="18"/>
              </w:rPr>
              <w:t>%</w:t>
            </w:r>
          </w:p>
        </w:tc>
        <w:tc>
          <w:tcPr>
            <w:tcW w:w="1006" w:type="dxa"/>
            <w:tcBorders>
              <w:top w:val="single" w:sz="2" w:space="0" w:color="064EA8"/>
              <w:left w:val="nil"/>
              <w:bottom w:val="single" w:sz="2" w:space="0" w:color="064EA8"/>
              <w:right w:val="nil"/>
            </w:tcBorders>
            <w:vAlign w:val="center"/>
          </w:tcPr>
          <w:p w14:paraId="5CD6D65A" w14:textId="47C17FB7" w:rsidR="000B433B" w:rsidRDefault="00D92E25">
            <w:pPr>
              <w:spacing w:before="0"/>
              <w:jc w:val="center"/>
              <w:rPr>
                <w:rFonts w:cs="Arial"/>
                <w:szCs w:val="18"/>
              </w:rPr>
            </w:pPr>
            <w:r>
              <w:rPr>
                <w:rFonts w:cs="Arial"/>
                <w:szCs w:val="18"/>
              </w:rPr>
              <w:t>-</w:t>
            </w:r>
            <w:r>
              <w:rPr>
                <w:szCs w:val="18"/>
              </w:rPr>
              <w:t>0.</w:t>
            </w:r>
            <w:r w:rsidR="00885DB8">
              <w:rPr>
                <w:szCs w:val="18"/>
              </w:rPr>
              <w:t>25</w:t>
            </w:r>
          </w:p>
        </w:tc>
        <w:tc>
          <w:tcPr>
            <w:tcW w:w="1134" w:type="dxa"/>
            <w:tcBorders>
              <w:top w:val="single" w:sz="2" w:space="0" w:color="064EA8"/>
              <w:left w:val="nil"/>
              <w:bottom w:val="single" w:sz="2" w:space="0" w:color="064EA8"/>
              <w:right w:val="nil"/>
            </w:tcBorders>
            <w:vAlign w:val="center"/>
          </w:tcPr>
          <w:p w14:paraId="34D4ABBD" w14:textId="7465AB28" w:rsidR="000B433B" w:rsidRDefault="00D92E25">
            <w:pPr>
              <w:spacing w:before="0"/>
              <w:jc w:val="center"/>
              <w:rPr>
                <w:rFonts w:cs="Arial"/>
                <w:szCs w:val="18"/>
              </w:rPr>
            </w:pPr>
            <w:r>
              <w:rPr>
                <w:rFonts w:cs="Arial"/>
                <w:szCs w:val="18"/>
              </w:rPr>
              <w:t>-</w:t>
            </w:r>
            <w:r>
              <w:rPr>
                <w:szCs w:val="18"/>
              </w:rPr>
              <w:t>0.</w:t>
            </w:r>
            <w:r w:rsidR="00885DB8">
              <w:rPr>
                <w:szCs w:val="18"/>
              </w:rPr>
              <w:t>50</w:t>
            </w:r>
          </w:p>
        </w:tc>
      </w:tr>
      <w:tr w:rsidR="000B433B" w:rsidRPr="00780F5F" w14:paraId="7D7B37CD" w14:textId="18D26F32" w:rsidTr="00CD14BC">
        <w:trPr>
          <w:trHeight w:val="283"/>
        </w:trPr>
        <w:tc>
          <w:tcPr>
            <w:tcW w:w="6096" w:type="dxa"/>
            <w:tcBorders>
              <w:top w:val="single" w:sz="2" w:space="0" w:color="064EA8"/>
              <w:left w:val="nil"/>
              <w:bottom w:val="single" w:sz="2" w:space="0" w:color="064EA8"/>
              <w:right w:val="nil"/>
            </w:tcBorders>
            <w:vAlign w:val="center"/>
            <w:hideMark/>
          </w:tcPr>
          <w:p w14:paraId="77314F36" w14:textId="7C18C44D" w:rsidR="000B433B" w:rsidRPr="00CD14BC" w:rsidRDefault="009D3850">
            <w:pPr>
              <w:spacing w:before="0"/>
              <w:jc w:val="right"/>
              <w:rPr>
                <w:rFonts w:cs="Arial"/>
                <w:b/>
                <w:bCs/>
                <w:szCs w:val="18"/>
              </w:rPr>
            </w:pPr>
            <w:r>
              <w:rPr>
                <w:rFonts w:cs="Arial"/>
                <w:b/>
                <w:bCs/>
                <w:szCs w:val="18"/>
              </w:rPr>
              <w:t xml:space="preserve">Sub </w:t>
            </w:r>
            <w:r w:rsidR="00594A8D">
              <w:rPr>
                <w:rFonts w:cs="Arial"/>
                <w:b/>
                <w:bCs/>
                <w:szCs w:val="18"/>
              </w:rPr>
              <w:t>t</w:t>
            </w:r>
            <w:r w:rsidR="000B433B" w:rsidRPr="00780F5F">
              <w:rPr>
                <w:rFonts w:cs="Arial"/>
                <w:b/>
                <w:bCs/>
                <w:szCs w:val="18"/>
              </w:rPr>
              <w:t xml:space="preserve">otal </w:t>
            </w:r>
          </w:p>
        </w:tc>
        <w:tc>
          <w:tcPr>
            <w:tcW w:w="1262" w:type="dxa"/>
            <w:tcBorders>
              <w:top w:val="single" w:sz="2" w:space="0" w:color="064EA8"/>
              <w:left w:val="nil"/>
              <w:bottom w:val="single" w:sz="2" w:space="0" w:color="064EA8"/>
              <w:right w:val="nil"/>
            </w:tcBorders>
            <w:vAlign w:val="center"/>
            <w:hideMark/>
          </w:tcPr>
          <w:p w14:paraId="39B8B16B" w14:textId="5D2FCAE9" w:rsidR="000B433B" w:rsidRPr="00CD14BC" w:rsidRDefault="002856AA">
            <w:pPr>
              <w:spacing w:before="0"/>
              <w:jc w:val="center"/>
              <w:rPr>
                <w:rFonts w:cs="Arial"/>
                <w:b/>
                <w:bCs/>
                <w:szCs w:val="18"/>
              </w:rPr>
            </w:pPr>
            <w:r>
              <w:rPr>
                <w:rFonts w:cs="Arial"/>
                <w:b/>
                <w:bCs/>
                <w:szCs w:val="18"/>
              </w:rPr>
              <w:t>50</w:t>
            </w:r>
            <w:r w:rsidR="000B433B" w:rsidRPr="00780F5F">
              <w:rPr>
                <w:rFonts w:cs="Arial"/>
                <w:b/>
                <w:bCs/>
                <w:szCs w:val="18"/>
              </w:rPr>
              <w:t>%</w:t>
            </w:r>
          </w:p>
        </w:tc>
        <w:tc>
          <w:tcPr>
            <w:tcW w:w="1006" w:type="dxa"/>
            <w:tcBorders>
              <w:top w:val="single" w:sz="2" w:space="0" w:color="064EA8"/>
              <w:left w:val="nil"/>
              <w:bottom w:val="single" w:sz="2" w:space="0" w:color="064EA8"/>
              <w:right w:val="nil"/>
            </w:tcBorders>
            <w:vAlign w:val="center"/>
          </w:tcPr>
          <w:p w14:paraId="4CFA92E2" w14:textId="06D14714" w:rsidR="000B433B" w:rsidRPr="00780F5F" w:rsidRDefault="00AF14BF">
            <w:pPr>
              <w:spacing w:before="0"/>
              <w:jc w:val="center"/>
              <w:rPr>
                <w:rFonts w:cs="Arial"/>
                <w:b/>
                <w:bCs/>
                <w:szCs w:val="18"/>
              </w:rPr>
            </w:pPr>
            <w:r w:rsidRPr="00780F5F">
              <w:rPr>
                <w:rFonts w:cs="Arial"/>
                <w:b/>
                <w:bCs/>
                <w:szCs w:val="18"/>
              </w:rPr>
              <w:t>-</w:t>
            </w:r>
            <w:r w:rsidR="001B4CAA">
              <w:rPr>
                <w:b/>
                <w:bCs/>
                <w:szCs w:val="18"/>
              </w:rPr>
              <w:t>1</w:t>
            </w:r>
            <w:r w:rsidRPr="00CD14BC">
              <w:rPr>
                <w:b/>
                <w:bCs/>
                <w:szCs w:val="18"/>
              </w:rPr>
              <w:t>.50</w:t>
            </w:r>
          </w:p>
        </w:tc>
        <w:tc>
          <w:tcPr>
            <w:tcW w:w="1134" w:type="dxa"/>
            <w:tcBorders>
              <w:top w:val="single" w:sz="2" w:space="0" w:color="064EA8"/>
              <w:left w:val="nil"/>
              <w:bottom w:val="single" w:sz="2" w:space="0" w:color="064EA8"/>
              <w:right w:val="nil"/>
            </w:tcBorders>
            <w:vAlign w:val="center"/>
          </w:tcPr>
          <w:p w14:paraId="5C009712" w14:textId="62EC4DBB" w:rsidR="000B433B" w:rsidRPr="00780F5F" w:rsidRDefault="00780F5F">
            <w:pPr>
              <w:spacing w:before="0"/>
              <w:jc w:val="center"/>
              <w:rPr>
                <w:rFonts w:cs="Arial"/>
                <w:b/>
                <w:bCs/>
                <w:szCs w:val="18"/>
              </w:rPr>
            </w:pPr>
            <w:r>
              <w:rPr>
                <w:rFonts w:cs="Arial"/>
                <w:b/>
                <w:bCs/>
                <w:szCs w:val="18"/>
              </w:rPr>
              <w:t>-</w:t>
            </w:r>
            <w:r w:rsidR="001B4CAA">
              <w:rPr>
                <w:rFonts w:cs="Arial"/>
                <w:b/>
                <w:bCs/>
                <w:szCs w:val="18"/>
              </w:rPr>
              <w:t>2</w:t>
            </w:r>
            <w:r>
              <w:rPr>
                <w:rFonts w:cs="Arial"/>
                <w:b/>
                <w:bCs/>
                <w:szCs w:val="18"/>
              </w:rPr>
              <w:t>.</w:t>
            </w:r>
            <w:r w:rsidR="001B4CAA">
              <w:rPr>
                <w:rFonts w:cs="Arial"/>
                <w:b/>
                <w:bCs/>
                <w:szCs w:val="18"/>
              </w:rPr>
              <w:t>2</w:t>
            </w:r>
            <w:r>
              <w:rPr>
                <w:rFonts w:cs="Arial"/>
                <w:b/>
                <w:bCs/>
                <w:szCs w:val="18"/>
              </w:rPr>
              <w:t>5</w:t>
            </w:r>
          </w:p>
        </w:tc>
      </w:tr>
      <w:tr w:rsidR="00E162D1" w:rsidRPr="00E162D1" w14:paraId="4FF27D2B" w14:textId="77777777" w:rsidTr="00CD14BC">
        <w:trPr>
          <w:trHeight w:val="283"/>
        </w:trPr>
        <w:tc>
          <w:tcPr>
            <w:tcW w:w="6096" w:type="dxa"/>
            <w:tcBorders>
              <w:top w:val="single" w:sz="2" w:space="0" w:color="064EA8"/>
              <w:left w:val="nil"/>
              <w:bottom w:val="single" w:sz="2" w:space="0" w:color="064EA8"/>
              <w:right w:val="nil"/>
            </w:tcBorders>
            <w:vAlign w:val="center"/>
          </w:tcPr>
          <w:p w14:paraId="1D1F2257" w14:textId="7C575646" w:rsidR="00E162D1" w:rsidRPr="00E162D1" w:rsidRDefault="009A00D4">
            <w:pPr>
              <w:spacing w:before="0"/>
              <w:jc w:val="right"/>
              <w:rPr>
                <w:rFonts w:cs="Arial"/>
                <w:b/>
                <w:bCs/>
                <w:szCs w:val="18"/>
              </w:rPr>
            </w:pPr>
            <w:r>
              <w:rPr>
                <w:rFonts w:cs="Arial"/>
                <w:b/>
                <w:bCs/>
                <w:szCs w:val="18"/>
              </w:rPr>
              <w:t xml:space="preserve">Element 1 - </w:t>
            </w:r>
            <w:r w:rsidR="00E162D1" w:rsidRPr="00CD14BC">
              <w:rPr>
                <w:b/>
                <w:bCs/>
                <w:szCs w:val="18"/>
              </w:rPr>
              <w:t>weighted score</w:t>
            </w:r>
          </w:p>
        </w:tc>
        <w:tc>
          <w:tcPr>
            <w:tcW w:w="1262" w:type="dxa"/>
            <w:tcBorders>
              <w:top w:val="single" w:sz="2" w:space="0" w:color="064EA8"/>
              <w:left w:val="nil"/>
              <w:bottom w:val="single" w:sz="2" w:space="0" w:color="064EA8"/>
              <w:right w:val="nil"/>
            </w:tcBorders>
            <w:vAlign w:val="center"/>
          </w:tcPr>
          <w:p w14:paraId="4E753101" w14:textId="16732854" w:rsidR="00E162D1" w:rsidRPr="00E162D1" w:rsidRDefault="0045124E">
            <w:pPr>
              <w:spacing w:before="0"/>
              <w:jc w:val="center"/>
              <w:rPr>
                <w:rFonts w:cs="Arial"/>
                <w:b/>
                <w:bCs/>
                <w:szCs w:val="18"/>
              </w:rPr>
            </w:pPr>
            <w:r>
              <w:rPr>
                <w:rFonts w:cs="Arial"/>
                <w:b/>
                <w:bCs/>
                <w:szCs w:val="18"/>
              </w:rPr>
              <w:t>100%</w:t>
            </w:r>
          </w:p>
        </w:tc>
        <w:tc>
          <w:tcPr>
            <w:tcW w:w="1006" w:type="dxa"/>
            <w:tcBorders>
              <w:top w:val="single" w:sz="2" w:space="0" w:color="064EA8"/>
              <w:left w:val="nil"/>
              <w:bottom w:val="single" w:sz="2" w:space="0" w:color="064EA8"/>
              <w:right w:val="nil"/>
            </w:tcBorders>
            <w:vAlign w:val="center"/>
          </w:tcPr>
          <w:p w14:paraId="00E5E58F" w14:textId="719F6EC4" w:rsidR="00E162D1" w:rsidRPr="00E162D1" w:rsidRDefault="00780F5F">
            <w:pPr>
              <w:spacing w:before="0"/>
              <w:jc w:val="center"/>
              <w:rPr>
                <w:rFonts w:cs="Arial"/>
                <w:b/>
                <w:bCs/>
                <w:szCs w:val="18"/>
              </w:rPr>
            </w:pPr>
            <w:r>
              <w:rPr>
                <w:rFonts w:cs="Arial"/>
                <w:b/>
                <w:bCs/>
                <w:szCs w:val="18"/>
              </w:rPr>
              <w:t>0.</w:t>
            </w:r>
            <w:r w:rsidR="001B4CAA">
              <w:rPr>
                <w:rFonts w:cs="Arial"/>
                <w:b/>
                <w:bCs/>
                <w:szCs w:val="18"/>
              </w:rPr>
              <w:t>83</w:t>
            </w:r>
          </w:p>
        </w:tc>
        <w:tc>
          <w:tcPr>
            <w:tcW w:w="1134" w:type="dxa"/>
            <w:tcBorders>
              <w:top w:val="single" w:sz="2" w:space="0" w:color="064EA8"/>
              <w:left w:val="nil"/>
              <w:bottom w:val="single" w:sz="2" w:space="0" w:color="064EA8"/>
              <w:right w:val="nil"/>
            </w:tcBorders>
            <w:vAlign w:val="center"/>
          </w:tcPr>
          <w:p w14:paraId="0EA44B89" w14:textId="2367CAC6" w:rsidR="00E162D1" w:rsidRPr="00E162D1" w:rsidRDefault="001B4CAA">
            <w:pPr>
              <w:spacing w:before="0"/>
              <w:jc w:val="center"/>
              <w:rPr>
                <w:rFonts w:cs="Arial"/>
                <w:b/>
                <w:bCs/>
                <w:szCs w:val="18"/>
              </w:rPr>
            </w:pPr>
            <w:r>
              <w:rPr>
                <w:rFonts w:cs="Arial"/>
                <w:b/>
                <w:bCs/>
                <w:szCs w:val="18"/>
              </w:rPr>
              <w:t>1</w:t>
            </w:r>
            <w:r w:rsidR="00780F5F">
              <w:rPr>
                <w:rFonts w:cs="Arial"/>
                <w:b/>
                <w:bCs/>
                <w:szCs w:val="18"/>
              </w:rPr>
              <w:t>.4</w:t>
            </w:r>
            <w:r>
              <w:rPr>
                <w:rFonts w:cs="Arial"/>
                <w:b/>
                <w:bCs/>
                <w:szCs w:val="18"/>
              </w:rPr>
              <w:t>2</w:t>
            </w:r>
          </w:p>
        </w:tc>
      </w:tr>
      <w:tr w:rsidR="000B433B" w14:paraId="4614EFDF" w14:textId="385104AF" w:rsidTr="00CD14BC">
        <w:trPr>
          <w:trHeight w:val="283"/>
        </w:trPr>
        <w:tc>
          <w:tcPr>
            <w:tcW w:w="6096" w:type="dxa"/>
            <w:tcBorders>
              <w:top w:val="single" w:sz="2" w:space="0" w:color="064EA8"/>
              <w:left w:val="nil"/>
              <w:bottom w:val="single" w:sz="2" w:space="0" w:color="064EA8"/>
              <w:right w:val="nil"/>
            </w:tcBorders>
            <w:shd w:val="clear" w:color="auto" w:fill="D9D9D6" w:themeFill="background2"/>
            <w:vAlign w:val="center"/>
            <w:hideMark/>
          </w:tcPr>
          <w:p w14:paraId="7B189CD2" w14:textId="77777777" w:rsidR="000B433B" w:rsidRDefault="000B433B">
            <w:pPr>
              <w:spacing w:before="0"/>
              <w:rPr>
                <w:rFonts w:cs="Arial"/>
                <w:szCs w:val="18"/>
              </w:rPr>
            </w:pPr>
            <w:r>
              <w:rPr>
                <w:rFonts w:cs="Arial"/>
                <w:b/>
                <w:bCs/>
                <w:szCs w:val="18"/>
              </w:rPr>
              <w:t>Mine closure determinations</w:t>
            </w:r>
          </w:p>
        </w:tc>
        <w:tc>
          <w:tcPr>
            <w:tcW w:w="1262" w:type="dxa"/>
            <w:tcBorders>
              <w:top w:val="single" w:sz="2" w:space="0" w:color="064EA8"/>
              <w:left w:val="nil"/>
              <w:bottom w:val="single" w:sz="2" w:space="0" w:color="064EA8"/>
              <w:right w:val="nil"/>
            </w:tcBorders>
            <w:shd w:val="clear" w:color="auto" w:fill="D9D9D6" w:themeFill="background2"/>
            <w:vAlign w:val="center"/>
          </w:tcPr>
          <w:p w14:paraId="7A450D1C" w14:textId="77777777" w:rsidR="000B433B" w:rsidRDefault="000B433B">
            <w:pPr>
              <w:spacing w:before="0"/>
              <w:jc w:val="center"/>
              <w:rPr>
                <w:rFonts w:cs="Arial"/>
                <w:b/>
                <w:bCs/>
                <w:szCs w:val="18"/>
              </w:rPr>
            </w:pPr>
          </w:p>
        </w:tc>
        <w:tc>
          <w:tcPr>
            <w:tcW w:w="1006" w:type="dxa"/>
            <w:tcBorders>
              <w:top w:val="single" w:sz="2" w:space="0" w:color="064EA8"/>
              <w:left w:val="nil"/>
              <w:bottom w:val="single" w:sz="2" w:space="0" w:color="064EA8"/>
              <w:right w:val="nil"/>
            </w:tcBorders>
            <w:shd w:val="clear" w:color="auto" w:fill="D9D9D6" w:themeFill="background2"/>
          </w:tcPr>
          <w:p w14:paraId="18BC530B" w14:textId="77777777" w:rsidR="000B433B" w:rsidRDefault="000B433B">
            <w:pPr>
              <w:spacing w:before="0"/>
              <w:jc w:val="center"/>
              <w:rPr>
                <w:rFonts w:cs="Arial"/>
                <w:b/>
                <w:bCs/>
                <w:szCs w:val="18"/>
              </w:rPr>
            </w:pPr>
          </w:p>
        </w:tc>
        <w:tc>
          <w:tcPr>
            <w:tcW w:w="1134" w:type="dxa"/>
            <w:tcBorders>
              <w:top w:val="single" w:sz="2" w:space="0" w:color="064EA8"/>
              <w:left w:val="nil"/>
              <w:bottom w:val="single" w:sz="2" w:space="0" w:color="064EA8"/>
              <w:right w:val="nil"/>
            </w:tcBorders>
            <w:shd w:val="clear" w:color="auto" w:fill="D9D9D6" w:themeFill="background2"/>
          </w:tcPr>
          <w:p w14:paraId="172D895D" w14:textId="77777777" w:rsidR="000B433B" w:rsidRDefault="000B433B">
            <w:pPr>
              <w:spacing w:before="0"/>
              <w:jc w:val="center"/>
              <w:rPr>
                <w:rFonts w:cs="Arial"/>
                <w:b/>
                <w:bCs/>
                <w:szCs w:val="18"/>
              </w:rPr>
            </w:pPr>
          </w:p>
        </w:tc>
      </w:tr>
      <w:tr w:rsidR="000B433B" w14:paraId="40C20A88" w14:textId="45F9D5F1" w:rsidTr="00CD14BC">
        <w:trPr>
          <w:trHeight w:val="283"/>
        </w:trPr>
        <w:tc>
          <w:tcPr>
            <w:tcW w:w="6096" w:type="dxa"/>
            <w:tcBorders>
              <w:top w:val="single" w:sz="2" w:space="0" w:color="064EA8"/>
              <w:left w:val="nil"/>
              <w:bottom w:val="single" w:sz="2" w:space="0" w:color="064EA8"/>
              <w:right w:val="nil"/>
            </w:tcBorders>
            <w:vAlign w:val="center"/>
            <w:hideMark/>
          </w:tcPr>
          <w:p w14:paraId="2C430BDD" w14:textId="77777777" w:rsidR="000B433B" w:rsidRDefault="000B433B">
            <w:pPr>
              <w:spacing w:before="0"/>
              <w:rPr>
                <w:rFonts w:cs="Arial"/>
                <w:b/>
                <w:bCs/>
                <w:szCs w:val="18"/>
              </w:rPr>
            </w:pPr>
            <w:r>
              <w:rPr>
                <w:rFonts w:cs="Arial"/>
                <w:b/>
                <w:bCs/>
                <w:szCs w:val="18"/>
              </w:rPr>
              <w:t>Benefit Criteria</w:t>
            </w:r>
          </w:p>
        </w:tc>
        <w:tc>
          <w:tcPr>
            <w:tcW w:w="1262" w:type="dxa"/>
            <w:tcBorders>
              <w:top w:val="single" w:sz="2" w:space="0" w:color="064EA8"/>
              <w:left w:val="nil"/>
              <w:bottom w:val="single" w:sz="2" w:space="0" w:color="064EA8"/>
              <w:right w:val="nil"/>
            </w:tcBorders>
            <w:vAlign w:val="center"/>
          </w:tcPr>
          <w:p w14:paraId="232AEC90" w14:textId="77777777" w:rsidR="000B433B" w:rsidRDefault="000B433B">
            <w:pPr>
              <w:spacing w:before="0"/>
              <w:jc w:val="center"/>
              <w:rPr>
                <w:rFonts w:cs="Arial"/>
                <w:szCs w:val="18"/>
              </w:rPr>
            </w:pPr>
          </w:p>
        </w:tc>
        <w:tc>
          <w:tcPr>
            <w:tcW w:w="1006" w:type="dxa"/>
            <w:tcBorders>
              <w:top w:val="single" w:sz="2" w:space="0" w:color="064EA8"/>
              <w:left w:val="nil"/>
              <w:bottom w:val="single" w:sz="2" w:space="0" w:color="064EA8"/>
              <w:right w:val="nil"/>
            </w:tcBorders>
          </w:tcPr>
          <w:p w14:paraId="5B0875F2" w14:textId="77777777" w:rsidR="000B433B" w:rsidRDefault="000B433B">
            <w:pPr>
              <w:spacing w:before="0"/>
              <w:jc w:val="center"/>
              <w:rPr>
                <w:rFonts w:cs="Arial"/>
                <w:szCs w:val="18"/>
              </w:rPr>
            </w:pPr>
          </w:p>
        </w:tc>
        <w:tc>
          <w:tcPr>
            <w:tcW w:w="1134" w:type="dxa"/>
            <w:tcBorders>
              <w:top w:val="single" w:sz="2" w:space="0" w:color="064EA8"/>
              <w:left w:val="nil"/>
              <w:bottom w:val="single" w:sz="2" w:space="0" w:color="064EA8"/>
              <w:right w:val="nil"/>
            </w:tcBorders>
          </w:tcPr>
          <w:p w14:paraId="1C9161FC" w14:textId="77777777" w:rsidR="000B433B" w:rsidRDefault="000B433B">
            <w:pPr>
              <w:spacing w:before="0"/>
              <w:jc w:val="center"/>
              <w:rPr>
                <w:rFonts w:cs="Arial"/>
                <w:szCs w:val="18"/>
              </w:rPr>
            </w:pPr>
          </w:p>
        </w:tc>
      </w:tr>
      <w:tr w:rsidR="000B433B" w14:paraId="310E43C5" w14:textId="22A62F82" w:rsidTr="00CD14BC">
        <w:trPr>
          <w:trHeight w:val="358"/>
        </w:trPr>
        <w:tc>
          <w:tcPr>
            <w:tcW w:w="6096" w:type="dxa"/>
            <w:tcBorders>
              <w:top w:val="single" w:sz="2" w:space="0" w:color="064EA8"/>
              <w:left w:val="nil"/>
              <w:bottom w:val="single" w:sz="2" w:space="0" w:color="064EA8"/>
              <w:right w:val="nil"/>
            </w:tcBorders>
            <w:vAlign w:val="center"/>
            <w:hideMark/>
          </w:tcPr>
          <w:p w14:paraId="6F1AE26A" w14:textId="77777777" w:rsidR="000B433B" w:rsidRDefault="000B433B">
            <w:pPr>
              <w:spacing w:before="0"/>
              <w:ind w:left="321"/>
              <w:rPr>
                <w:rFonts w:cs="Arial"/>
                <w:color w:val="auto"/>
                <w:szCs w:val="18"/>
              </w:rPr>
            </w:pPr>
            <w:r>
              <w:rPr>
                <w:rFonts w:cs="Arial"/>
                <w:szCs w:val="18"/>
              </w:rPr>
              <w:t>Support informed decision-making to ensure rehabilitation</w:t>
            </w:r>
          </w:p>
          <w:p w14:paraId="756CE2A2" w14:textId="77777777" w:rsidR="000B433B" w:rsidRDefault="000B433B">
            <w:pPr>
              <w:spacing w:before="0"/>
              <w:ind w:left="321"/>
              <w:rPr>
                <w:rFonts w:cs="Arial"/>
                <w:szCs w:val="18"/>
              </w:rPr>
            </w:pPr>
            <w:r>
              <w:rPr>
                <w:rFonts w:cs="Arial"/>
                <w:szCs w:val="18"/>
              </w:rPr>
              <w:t>meets legislative objectives</w:t>
            </w:r>
          </w:p>
        </w:tc>
        <w:tc>
          <w:tcPr>
            <w:tcW w:w="1262" w:type="dxa"/>
            <w:tcBorders>
              <w:top w:val="single" w:sz="2" w:space="0" w:color="064EA8"/>
              <w:left w:val="nil"/>
              <w:bottom w:val="single" w:sz="2" w:space="0" w:color="064EA8"/>
              <w:right w:val="nil"/>
            </w:tcBorders>
            <w:vAlign w:val="center"/>
            <w:hideMark/>
          </w:tcPr>
          <w:p w14:paraId="6D3F50DE" w14:textId="3D95C78C" w:rsidR="000B433B" w:rsidRDefault="00802495">
            <w:pPr>
              <w:spacing w:before="0"/>
              <w:jc w:val="center"/>
              <w:rPr>
                <w:rFonts w:cs="Arial"/>
                <w:szCs w:val="18"/>
              </w:rPr>
            </w:pPr>
            <w:r>
              <w:rPr>
                <w:rFonts w:cs="Arial"/>
                <w:szCs w:val="18"/>
              </w:rPr>
              <w:t>25</w:t>
            </w:r>
            <w:r w:rsidR="000B433B">
              <w:rPr>
                <w:rFonts w:cs="Arial"/>
                <w:szCs w:val="18"/>
              </w:rPr>
              <w:t>%</w:t>
            </w:r>
          </w:p>
        </w:tc>
        <w:tc>
          <w:tcPr>
            <w:tcW w:w="1006" w:type="dxa"/>
            <w:tcBorders>
              <w:top w:val="single" w:sz="2" w:space="0" w:color="064EA8"/>
              <w:left w:val="nil"/>
              <w:bottom w:val="single" w:sz="2" w:space="0" w:color="064EA8"/>
              <w:right w:val="nil"/>
            </w:tcBorders>
            <w:vAlign w:val="center"/>
          </w:tcPr>
          <w:p w14:paraId="05E2D9F2" w14:textId="45FDDE17" w:rsidR="000B433B" w:rsidRDefault="000A192F">
            <w:pPr>
              <w:spacing w:before="0"/>
              <w:jc w:val="center"/>
              <w:rPr>
                <w:rFonts w:cs="Arial"/>
                <w:szCs w:val="18"/>
              </w:rPr>
            </w:pPr>
            <w:r>
              <w:rPr>
                <w:rFonts w:cs="Arial"/>
                <w:szCs w:val="18"/>
              </w:rPr>
              <w:t>2</w:t>
            </w:r>
            <w:r w:rsidR="004F62A5">
              <w:rPr>
                <w:rFonts w:cs="Arial"/>
                <w:szCs w:val="18"/>
              </w:rPr>
              <w:t>.</w:t>
            </w:r>
            <w:r>
              <w:rPr>
                <w:rFonts w:cs="Arial"/>
                <w:szCs w:val="18"/>
              </w:rPr>
              <w:t>00</w:t>
            </w:r>
          </w:p>
        </w:tc>
        <w:tc>
          <w:tcPr>
            <w:tcW w:w="1134" w:type="dxa"/>
            <w:tcBorders>
              <w:top w:val="single" w:sz="2" w:space="0" w:color="064EA8"/>
              <w:left w:val="nil"/>
              <w:bottom w:val="single" w:sz="2" w:space="0" w:color="064EA8"/>
              <w:right w:val="nil"/>
            </w:tcBorders>
            <w:vAlign w:val="center"/>
          </w:tcPr>
          <w:p w14:paraId="5C796392" w14:textId="71DB51E0" w:rsidR="000B433B" w:rsidRDefault="000A192F">
            <w:pPr>
              <w:spacing w:before="0"/>
              <w:jc w:val="center"/>
              <w:rPr>
                <w:rFonts w:cs="Arial"/>
                <w:szCs w:val="18"/>
              </w:rPr>
            </w:pPr>
            <w:r>
              <w:rPr>
                <w:rFonts w:cs="Arial"/>
                <w:szCs w:val="18"/>
              </w:rPr>
              <w:t>1</w:t>
            </w:r>
            <w:r w:rsidR="004F62A5">
              <w:rPr>
                <w:rFonts w:cs="Arial"/>
                <w:szCs w:val="18"/>
              </w:rPr>
              <w:t>.2</w:t>
            </w:r>
            <w:r>
              <w:rPr>
                <w:rFonts w:cs="Arial"/>
                <w:szCs w:val="18"/>
              </w:rPr>
              <w:t>5</w:t>
            </w:r>
          </w:p>
        </w:tc>
      </w:tr>
      <w:tr w:rsidR="000B433B" w14:paraId="23BC2F85" w14:textId="49F9BFC4" w:rsidTr="00CD14BC">
        <w:trPr>
          <w:trHeight w:val="283"/>
        </w:trPr>
        <w:tc>
          <w:tcPr>
            <w:tcW w:w="6096" w:type="dxa"/>
            <w:tcBorders>
              <w:top w:val="single" w:sz="2" w:space="0" w:color="064EA8"/>
              <w:left w:val="nil"/>
              <w:bottom w:val="single" w:sz="2" w:space="0" w:color="064EA8"/>
              <w:right w:val="nil"/>
            </w:tcBorders>
            <w:vAlign w:val="center"/>
            <w:hideMark/>
          </w:tcPr>
          <w:p w14:paraId="0B4A9E6F" w14:textId="77777777" w:rsidR="000B433B" w:rsidRDefault="000B433B">
            <w:pPr>
              <w:spacing w:before="0"/>
              <w:ind w:left="321"/>
              <w:rPr>
                <w:rFonts w:cs="Arial"/>
                <w:szCs w:val="18"/>
              </w:rPr>
            </w:pPr>
            <w:r>
              <w:rPr>
                <w:rFonts w:cs="Arial"/>
                <w:szCs w:val="18"/>
              </w:rPr>
              <w:t>Provide a transparent, clear decision-making process</w:t>
            </w:r>
          </w:p>
        </w:tc>
        <w:tc>
          <w:tcPr>
            <w:tcW w:w="1262" w:type="dxa"/>
            <w:tcBorders>
              <w:top w:val="single" w:sz="2" w:space="0" w:color="064EA8"/>
              <w:left w:val="nil"/>
              <w:bottom w:val="single" w:sz="2" w:space="0" w:color="064EA8"/>
              <w:right w:val="nil"/>
            </w:tcBorders>
            <w:vAlign w:val="center"/>
            <w:hideMark/>
          </w:tcPr>
          <w:p w14:paraId="48ACAED6" w14:textId="3615131D" w:rsidR="000B433B" w:rsidRDefault="00802495">
            <w:pPr>
              <w:spacing w:before="0"/>
              <w:jc w:val="center"/>
              <w:rPr>
                <w:rFonts w:cs="Arial"/>
                <w:szCs w:val="18"/>
              </w:rPr>
            </w:pPr>
            <w:r>
              <w:rPr>
                <w:rFonts w:cs="Arial"/>
                <w:szCs w:val="18"/>
              </w:rPr>
              <w:t>25</w:t>
            </w:r>
            <w:r w:rsidR="000B433B">
              <w:rPr>
                <w:rFonts w:cs="Arial"/>
                <w:szCs w:val="18"/>
              </w:rPr>
              <w:t>%</w:t>
            </w:r>
          </w:p>
        </w:tc>
        <w:tc>
          <w:tcPr>
            <w:tcW w:w="1006" w:type="dxa"/>
            <w:tcBorders>
              <w:top w:val="single" w:sz="2" w:space="0" w:color="064EA8"/>
              <w:left w:val="nil"/>
              <w:bottom w:val="single" w:sz="2" w:space="0" w:color="064EA8"/>
              <w:right w:val="nil"/>
            </w:tcBorders>
            <w:vAlign w:val="center"/>
          </w:tcPr>
          <w:p w14:paraId="24794D21" w14:textId="396E9AE8" w:rsidR="000B433B" w:rsidRDefault="00B319BB">
            <w:pPr>
              <w:spacing w:before="0"/>
              <w:jc w:val="center"/>
              <w:rPr>
                <w:rFonts w:cs="Arial"/>
                <w:szCs w:val="18"/>
              </w:rPr>
            </w:pPr>
            <w:r>
              <w:rPr>
                <w:rFonts w:cs="Arial"/>
                <w:szCs w:val="18"/>
              </w:rPr>
              <w:t>0.00</w:t>
            </w:r>
          </w:p>
        </w:tc>
        <w:tc>
          <w:tcPr>
            <w:tcW w:w="1134" w:type="dxa"/>
            <w:tcBorders>
              <w:top w:val="single" w:sz="2" w:space="0" w:color="064EA8"/>
              <w:left w:val="nil"/>
              <w:bottom w:val="single" w:sz="2" w:space="0" w:color="064EA8"/>
              <w:right w:val="nil"/>
            </w:tcBorders>
            <w:vAlign w:val="center"/>
          </w:tcPr>
          <w:p w14:paraId="0D3EA171" w14:textId="1F409761" w:rsidR="000B433B" w:rsidRDefault="000A192F">
            <w:pPr>
              <w:spacing w:before="0"/>
              <w:jc w:val="center"/>
              <w:rPr>
                <w:rFonts w:cs="Arial"/>
                <w:szCs w:val="18"/>
              </w:rPr>
            </w:pPr>
            <w:r>
              <w:rPr>
                <w:rFonts w:cs="Arial"/>
                <w:szCs w:val="18"/>
              </w:rPr>
              <w:t>1</w:t>
            </w:r>
            <w:r w:rsidR="00B319BB">
              <w:rPr>
                <w:rFonts w:cs="Arial"/>
                <w:szCs w:val="18"/>
              </w:rPr>
              <w:t>.50</w:t>
            </w:r>
          </w:p>
        </w:tc>
      </w:tr>
      <w:tr w:rsidR="000B433B" w14:paraId="1257913A" w14:textId="10D66E6B" w:rsidTr="00CD14BC">
        <w:trPr>
          <w:trHeight w:val="283"/>
        </w:trPr>
        <w:tc>
          <w:tcPr>
            <w:tcW w:w="6096" w:type="dxa"/>
            <w:tcBorders>
              <w:top w:val="single" w:sz="2" w:space="0" w:color="064EA8"/>
              <w:left w:val="nil"/>
              <w:bottom w:val="single" w:sz="2" w:space="0" w:color="064EA8"/>
              <w:right w:val="nil"/>
            </w:tcBorders>
            <w:vAlign w:val="center"/>
            <w:hideMark/>
          </w:tcPr>
          <w:p w14:paraId="0577CAC0" w14:textId="618AFD6D" w:rsidR="000B433B" w:rsidRDefault="009D3850">
            <w:pPr>
              <w:spacing w:before="0"/>
              <w:jc w:val="right"/>
              <w:rPr>
                <w:rFonts w:cs="Arial"/>
                <w:szCs w:val="18"/>
              </w:rPr>
            </w:pPr>
            <w:r>
              <w:rPr>
                <w:rFonts w:cs="Arial"/>
                <w:b/>
                <w:bCs/>
                <w:szCs w:val="18"/>
              </w:rPr>
              <w:t xml:space="preserve">Sub </w:t>
            </w:r>
            <w:r w:rsidR="00594A8D">
              <w:rPr>
                <w:rFonts w:cs="Arial"/>
                <w:b/>
                <w:bCs/>
                <w:szCs w:val="18"/>
              </w:rPr>
              <w:t>t</w:t>
            </w:r>
            <w:r w:rsidR="000B433B">
              <w:rPr>
                <w:rFonts w:cs="Arial"/>
                <w:b/>
                <w:bCs/>
                <w:szCs w:val="18"/>
              </w:rPr>
              <w:t xml:space="preserve">otal </w:t>
            </w:r>
          </w:p>
        </w:tc>
        <w:tc>
          <w:tcPr>
            <w:tcW w:w="1262" w:type="dxa"/>
            <w:tcBorders>
              <w:top w:val="single" w:sz="2" w:space="0" w:color="064EA8"/>
              <w:left w:val="nil"/>
              <w:bottom w:val="single" w:sz="2" w:space="0" w:color="064EA8"/>
              <w:right w:val="nil"/>
            </w:tcBorders>
            <w:vAlign w:val="center"/>
            <w:hideMark/>
          </w:tcPr>
          <w:p w14:paraId="5FA9DB86" w14:textId="2C2919C9" w:rsidR="000B433B" w:rsidRDefault="00802495">
            <w:pPr>
              <w:spacing w:before="0"/>
              <w:jc w:val="center"/>
              <w:rPr>
                <w:rFonts w:cs="Arial"/>
                <w:szCs w:val="18"/>
              </w:rPr>
            </w:pPr>
            <w:r>
              <w:rPr>
                <w:rFonts w:cs="Arial"/>
                <w:b/>
                <w:bCs/>
                <w:szCs w:val="18"/>
              </w:rPr>
              <w:t>50</w:t>
            </w:r>
            <w:r w:rsidR="000B433B">
              <w:rPr>
                <w:rFonts w:cs="Arial"/>
                <w:b/>
                <w:bCs/>
                <w:szCs w:val="18"/>
              </w:rPr>
              <w:t>%</w:t>
            </w:r>
          </w:p>
        </w:tc>
        <w:tc>
          <w:tcPr>
            <w:tcW w:w="1006" w:type="dxa"/>
            <w:tcBorders>
              <w:top w:val="single" w:sz="2" w:space="0" w:color="064EA8"/>
              <w:left w:val="nil"/>
              <w:bottom w:val="single" w:sz="2" w:space="0" w:color="064EA8"/>
              <w:right w:val="nil"/>
            </w:tcBorders>
            <w:vAlign w:val="center"/>
          </w:tcPr>
          <w:p w14:paraId="6C2ECC09" w14:textId="558E0C55" w:rsidR="000B433B" w:rsidRDefault="000A192F">
            <w:pPr>
              <w:spacing w:before="0"/>
              <w:jc w:val="center"/>
              <w:rPr>
                <w:rFonts w:cs="Arial"/>
                <w:b/>
                <w:bCs/>
                <w:szCs w:val="18"/>
              </w:rPr>
            </w:pPr>
            <w:r>
              <w:rPr>
                <w:rFonts w:cs="Arial"/>
                <w:b/>
                <w:bCs/>
                <w:szCs w:val="18"/>
              </w:rPr>
              <w:t>2</w:t>
            </w:r>
            <w:r w:rsidR="00B319BB">
              <w:rPr>
                <w:rFonts w:cs="Arial"/>
                <w:b/>
                <w:bCs/>
                <w:szCs w:val="18"/>
              </w:rPr>
              <w:t>.</w:t>
            </w:r>
            <w:r>
              <w:rPr>
                <w:rFonts w:cs="Arial"/>
                <w:b/>
                <w:bCs/>
                <w:szCs w:val="18"/>
              </w:rPr>
              <w:t>00</w:t>
            </w:r>
          </w:p>
        </w:tc>
        <w:tc>
          <w:tcPr>
            <w:tcW w:w="1134" w:type="dxa"/>
            <w:tcBorders>
              <w:top w:val="single" w:sz="2" w:space="0" w:color="064EA8"/>
              <w:left w:val="nil"/>
              <w:bottom w:val="single" w:sz="2" w:space="0" w:color="064EA8"/>
              <w:right w:val="nil"/>
            </w:tcBorders>
            <w:vAlign w:val="center"/>
          </w:tcPr>
          <w:p w14:paraId="0D56B340" w14:textId="0FAC20E5" w:rsidR="000B433B" w:rsidRDefault="000A192F">
            <w:pPr>
              <w:spacing w:before="0"/>
              <w:jc w:val="center"/>
              <w:rPr>
                <w:rFonts w:cs="Arial"/>
                <w:b/>
                <w:bCs/>
                <w:szCs w:val="18"/>
              </w:rPr>
            </w:pPr>
            <w:r>
              <w:rPr>
                <w:rFonts w:cs="Arial"/>
                <w:b/>
                <w:bCs/>
                <w:szCs w:val="18"/>
              </w:rPr>
              <w:t>2</w:t>
            </w:r>
            <w:r w:rsidR="00B319BB">
              <w:rPr>
                <w:rFonts w:cs="Arial"/>
                <w:b/>
                <w:bCs/>
                <w:szCs w:val="18"/>
              </w:rPr>
              <w:t>.</w:t>
            </w:r>
            <w:r>
              <w:rPr>
                <w:rFonts w:cs="Arial"/>
                <w:b/>
                <w:bCs/>
                <w:szCs w:val="18"/>
              </w:rPr>
              <w:t>75</w:t>
            </w:r>
          </w:p>
        </w:tc>
      </w:tr>
      <w:tr w:rsidR="000B433B" w14:paraId="1FF7FC87" w14:textId="272301C6" w:rsidTr="00CD14BC">
        <w:trPr>
          <w:trHeight w:val="283"/>
        </w:trPr>
        <w:tc>
          <w:tcPr>
            <w:tcW w:w="6096" w:type="dxa"/>
            <w:tcBorders>
              <w:top w:val="single" w:sz="2" w:space="0" w:color="064EA8"/>
              <w:left w:val="nil"/>
              <w:bottom w:val="single" w:sz="2" w:space="0" w:color="064EA8"/>
              <w:right w:val="nil"/>
            </w:tcBorders>
            <w:vAlign w:val="center"/>
            <w:hideMark/>
          </w:tcPr>
          <w:p w14:paraId="446B26FA" w14:textId="77777777" w:rsidR="000B433B" w:rsidRDefault="000B433B">
            <w:pPr>
              <w:spacing w:before="0"/>
              <w:rPr>
                <w:rFonts w:cs="Arial"/>
                <w:szCs w:val="18"/>
              </w:rPr>
            </w:pPr>
            <w:r>
              <w:rPr>
                <w:rFonts w:cs="Arial"/>
                <w:b/>
                <w:bCs/>
                <w:szCs w:val="18"/>
              </w:rPr>
              <w:t>Cost Criteria</w:t>
            </w:r>
          </w:p>
        </w:tc>
        <w:tc>
          <w:tcPr>
            <w:tcW w:w="1262" w:type="dxa"/>
            <w:tcBorders>
              <w:top w:val="single" w:sz="2" w:space="0" w:color="064EA8"/>
              <w:left w:val="nil"/>
              <w:bottom w:val="single" w:sz="2" w:space="0" w:color="064EA8"/>
              <w:right w:val="nil"/>
            </w:tcBorders>
            <w:vAlign w:val="center"/>
          </w:tcPr>
          <w:p w14:paraId="5DC3148B" w14:textId="77777777" w:rsidR="000B433B" w:rsidRDefault="000B433B">
            <w:pPr>
              <w:spacing w:before="0"/>
              <w:jc w:val="center"/>
              <w:rPr>
                <w:rFonts w:cs="Arial"/>
                <w:szCs w:val="18"/>
              </w:rPr>
            </w:pPr>
          </w:p>
        </w:tc>
        <w:tc>
          <w:tcPr>
            <w:tcW w:w="1006" w:type="dxa"/>
            <w:tcBorders>
              <w:top w:val="single" w:sz="2" w:space="0" w:color="064EA8"/>
              <w:left w:val="nil"/>
              <w:bottom w:val="single" w:sz="2" w:space="0" w:color="064EA8"/>
              <w:right w:val="nil"/>
            </w:tcBorders>
            <w:vAlign w:val="center"/>
          </w:tcPr>
          <w:p w14:paraId="46807D9C" w14:textId="77777777" w:rsidR="000B433B" w:rsidRDefault="000B433B">
            <w:pPr>
              <w:spacing w:before="0"/>
              <w:jc w:val="center"/>
              <w:rPr>
                <w:rFonts w:cs="Arial"/>
                <w:szCs w:val="18"/>
              </w:rPr>
            </w:pPr>
          </w:p>
        </w:tc>
        <w:tc>
          <w:tcPr>
            <w:tcW w:w="1134" w:type="dxa"/>
            <w:tcBorders>
              <w:top w:val="single" w:sz="2" w:space="0" w:color="064EA8"/>
              <w:left w:val="nil"/>
              <w:bottom w:val="single" w:sz="2" w:space="0" w:color="064EA8"/>
              <w:right w:val="nil"/>
            </w:tcBorders>
            <w:vAlign w:val="center"/>
          </w:tcPr>
          <w:p w14:paraId="0507D0CA" w14:textId="77777777" w:rsidR="000B433B" w:rsidRDefault="000B433B">
            <w:pPr>
              <w:spacing w:before="0"/>
              <w:jc w:val="center"/>
              <w:rPr>
                <w:rFonts w:cs="Arial"/>
                <w:szCs w:val="18"/>
              </w:rPr>
            </w:pPr>
          </w:p>
        </w:tc>
      </w:tr>
      <w:tr w:rsidR="000B433B" w14:paraId="30C4C2DB" w14:textId="255260C9" w:rsidTr="00CD14BC">
        <w:trPr>
          <w:trHeight w:val="283"/>
        </w:trPr>
        <w:tc>
          <w:tcPr>
            <w:tcW w:w="6096" w:type="dxa"/>
            <w:tcBorders>
              <w:top w:val="single" w:sz="2" w:space="0" w:color="064EA8"/>
              <w:left w:val="nil"/>
              <w:bottom w:val="single" w:sz="2" w:space="0" w:color="064EA8"/>
              <w:right w:val="nil"/>
            </w:tcBorders>
            <w:vAlign w:val="center"/>
            <w:hideMark/>
          </w:tcPr>
          <w:p w14:paraId="079F8D54" w14:textId="77777777" w:rsidR="000B433B" w:rsidRDefault="000B433B">
            <w:pPr>
              <w:spacing w:before="0"/>
              <w:ind w:left="321"/>
              <w:rPr>
                <w:rFonts w:cs="Arial"/>
                <w:szCs w:val="18"/>
              </w:rPr>
            </w:pPr>
            <w:r>
              <w:rPr>
                <w:rFonts w:cs="Arial"/>
                <w:szCs w:val="18"/>
              </w:rPr>
              <w:t>Costs to industry (including time delays) relative to the base case</w:t>
            </w:r>
          </w:p>
        </w:tc>
        <w:tc>
          <w:tcPr>
            <w:tcW w:w="1262" w:type="dxa"/>
            <w:tcBorders>
              <w:top w:val="single" w:sz="2" w:space="0" w:color="064EA8"/>
              <w:left w:val="nil"/>
              <w:bottom w:val="single" w:sz="2" w:space="0" w:color="064EA8"/>
              <w:right w:val="nil"/>
            </w:tcBorders>
            <w:vAlign w:val="center"/>
            <w:hideMark/>
          </w:tcPr>
          <w:p w14:paraId="0EFD9188" w14:textId="3FCF1008" w:rsidR="000B433B" w:rsidRDefault="00802495">
            <w:pPr>
              <w:spacing w:before="0"/>
              <w:jc w:val="center"/>
              <w:rPr>
                <w:rFonts w:cs="Arial"/>
                <w:szCs w:val="18"/>
              </w:rPr>
            </w:pPr>
            <w:r>
              <w:rPr>
                <w:rFonts w:cs="Arial"/>
                <w:szCs w:val="18"/>
              </w:rPr>
              <w:t>25</w:t>
            </w:r>
            <w:r w:rsidR="000B433B">
              <w:rPr>
                <w:rFonts w:cs="Arial"/>
                <w:szCs w:val="18"/>
              </w:rPr>
              <w:t>%</w:t>
            </w:r>
          </w:p>
        </w:tc>
        <w:tc>
          <w:tcPr>
            <w:tcW w:w="1006" w:type="dxa"/>
            <w:tcBorders>
              <w:top w:val="single" w:sz="2" w:space="0" w:color="064EA8"/>
              <w:left w:val="nil"/>
              <w:bottom w:val="single" w:sz="2" w:space="0" w:color="064EA8"/>
              <w:right w:val="nil"/>
            </w:tcBorders>
            <w:vAlign w:val="center"/>
          </w:tcPr>
          <w:p w14:paraId="184EF018" w14:textId="11E52996" w:rsidR="000B433B" w:rsidRDefault="007A7713">
            <w:pPr>
              <w:spacing w:before="0"/>
              <w:jc w:val="center"/>
              <w:rPr>
                <w:rFonts w:cs="Arial"/>
                <w:szCs w:val="18"/>
              </w:rPr>
            </w:pPr>
            <w:r>
              <w:rPr>
                <w:rFonts w:cs="Arial"/>
                <w:szCs w:val="18"/>
              </w:rPr>
              <w:t>-</w:t>
            </w:r>
            <w:r w:rsidR="000A192F">
              <w:rPr>
                <w:rFonts w:cs="Arial"/>
                <w:szCs w:val="18"/>
              </w:rPr>
              <w:t>1</w:t>
            </w:r>
            <w:r>
              <w:rPr>
                <w:rFonts w:cs="Arial"/>
                <w:szCs w:val="18"/>
              </w:rPr>
              <w:t>.</w:t>
            </w:r>
            <w:r w:rsidR="000A192F">
              <w:rPr>
                <w:rFonts w:cs="Arial"/>
                <w:szCs w:val="18"/>
              </w:rPr>
              <w:t>00</w:t>
            </w:r>
          </w:p>
        </w:tc>
        <w:tc>
          <w:tcPr>
            <w:tcW w:w="1134" w:type="dxa"/>
            <w:tcBorders>
              <w:top w:val="single" w:sz="2" w:space="0" w:color="064EA8"/>
              <w:left w:val="nil"/>
              <w:bottom w:val="single" w:sz="2" w:space="0" w:color="064EA8"/>
              <w:right w:val="nil"/>
            </w:tcBorders>
            <w:vAlign w:val="center"/>
          </w:tcPr>
          <w:p w14:paraId="6457CBF8" w14:textId="045AB471" w:rsidR="000B433B" w:rsidRDefault="007A7713">
            <w:pPr>
              <w:spacing w:before="0"/>
              <w:jc w:val="center"/>
              <w:rPr>
                <w:rFonts w:cs="Arial"/>
                <w:szCs w:val="18"/>
              </w:rPr>
            </w:pPr>
            <w:r>
              <w:rPr>
                <w:rFonts w:cs="Arial"/>
                <w:szCs w:val="18"/>
              </w:rPr>
              <w:t>-0.</w:t>
            </w:r>
            <w:r w:rsidR="000A192F">
              <w:rPr>
                <w:rFonts w:cs="Arial"/>
                <w:szCs w:val="18"/>
              </w:rPr>
              <w:t>7</w:t>
            </w:r>
            <w:r>
              <w:rPr>
                <w:rFonts w:cs="Arial"/>
                <w:szCs w:val="18"/>
              </w:rPr>
              <w:t>5</w:t>
            </w:r>
          </w:p>
        </w:tc>
      </w:tr>
      <w:tr w:rsidR="000B433B" w14:paraId="11A3A7A7" w14:textId="435E7505" w:rsidTr="00CD14BC">
        <w:trPr>
          <w:trHeight w:val="358"/>
        </w:trPr>
        <w:tc>
          <w:tcPr>
            <w:tcW w:w="6096" w:type="dxa"/>
            <w:tcBorders>
              <w:top w:val="single" w:sz="2" w:space="0" w:color="064EA8"/>
              <w:left w:val="nil"/>
              <w:bottom w:val="single" w:sz="2" w:space="0" w:color="064EA8"/>
              <w:right w:val="nil"/>
            </w:tcBorders>
            <w:vAlign w:val="center"/>
            <w:hideMark/>
          </w:tcPr>
          <w:p w14:paraId="07742B19" w14:textId="77777777" w:rsidR="000B433B" w:rsidRDefault="000B433B">
            <w:pPr>
              <w:spacing w:before="0"/>
              <w:ind w:left="321"/>
              <w:rPr>
                <w:rFonts w:cs="Arial"/>
                <w:szCs w:val="18"/>
              </w:rPr>
            </w:pPr>
            <w:r>
              <w:rPr>
                <w:rFonts w:cs="Arial"/>
                <w:szCs w:val="18"/>
              </w:rPr>
              <w:t>Costs to government relative to the base case of administering and enforcing the system</w:t>
            </w:r>
          </w:p>
        </w:tc>
        <w:tc>
          <w:tcPr>
            <w:tcW w:w="1262" w:type="dxa"/>
            <w:tcBorders>
              <w:top w:val="single" w:sz="2" w:space="0" w:color="064EA8"/>
              <w:left w:val="nil"/>
              <w:bottom w:val="single" w:sz="2" w:space="0" w:color="064EA8"/>
              <w:right w:val="nil"/>
            </w:tcBorders>
            <w:vAlign w:val="center"/>
            <w:hideMark/>
          </w:tcPr>
          <w:p w14:paraId="0EA601E7" w14:textId="05A6DED9" w:rsidR="000B433B" w:rsidRDefault="00802495">
            <w:pPr>
              <w:spacing w:before="0"/>
              <w:jc w:val="center"/>
              <w:rPr>
                <w:rFonts w:cs="Arial"/>
                <w:szCs w:val="18"/>
              </w:rPr>
            </w:pPr>
            <w:r>
              <w:rPr>
                <w:rFonts w:cs="Arial"/>
                <w:szCs w:val="18"/>
              </w:rPr>
              <w:t>25</w:t>
            </w:r>
            <w:r w:rsidR="000B433B">
              <w:rPr>
                <w:rFonts w:cs="Arial"/>
                <w:szCs w:val="18"/>
              </w:rPr>
              <w:t>%</w:t>
            </w:r>
          </w:p>
        </w:tc>
        <w:tc>
          <w:tcPr>
            <w:tcW w:w="1006" w:type="dxa"/>
            <w:tcBorders>
              <w:top w:val="single" w:sz="2" w:space="0" w:color="064EA8"/>
              <w:left w:val="nil"/>
              <w:bottom w:val="single" w:sz="2" w:space="0" w:color="064EA8"/>
              <w:right w:val="nil"/>
            </w:tcBorders>
            <w:vAlign w:val="center"/>
          </w:tcPr>
          <w:p w14:paraId="5F362113" w14:textId="2C77AA10" w:rsidR="000B433B" w:rsidRDefault="007A7713">
            <w:pPr>
              <w:spacing w:before="0"/>
              <w:jc w:val="center"/>
              <w:rPr>
                <w:rFonts w:cs="Arial"/>
                <w:szCs w:val="18"/>
              </w:rPr>
            </w:pPr>
            <w:r>
              <w:rPr>
                <w:rFonts w:cs="Arial"/>
                <w:szCs w:val="18"/>
              </w:rPr>
              <w:t>-0.</w:t>
            </w:r>
            <w:r w:rsidR="000A192F">
              <w:rPr>
                <w:rFonts w:cs="Arial"/>
                <w:szCs w:val="18"/>
              </w:rPr>
              <w:t>25</w:t>
            </w:r>
          </w:p>
        </w:tc>
        <w:tc>
          <w:tcPr>
            <w:tcW w:w="1134" w:type="dxa"/>
            <w:tcBorders>
              <w:top w:val="single" w:sz="2" w:space="0" w:color="064EA8"/>
              <w:left w:val="nil"/>
              <w:bottom w:val="single" w:sz="2" w:space="0" w:color="064EA8"/>
              <w:right w:val="nil"/>
            </w:tcBorders>
            <w:vAlign w:val="center"/>
          </w:tcPr>
          <w:p w14:paraId="19BC2AD8" w14:textId="49EDC772" w:rsidR="000B433B" w:rsidRDefault="007A7713">
            <w:pPr>
              <w:spacing w:before="0"/>
              <w:jc w:val="center"/>
              <w:rPr>
                <w:rFonts w:cs="Arial"/>
                <w:szCs w:val="18"/>
              </w:rPr>
            </w:pPr>
            <w:r>
              <w:rPr>
                <w:rFonts w:cs="Arial"/>
                <w:szCs w:val="18"/>
              </w:rPr>
              <w:t>-0.</w:t>
            </w:r>
            <w:r w:rsidR="000A192F">
              <w:rPr>
                <w:rFonts w:cs="Arial"/>
                <w:szCs w:val="18"/>
              </w:rPr>
              <w:t>7</w:t>
            </w:r>
            <w:r>
              <w:rPr>
                <w:rFonts w:cs="Arial"/>
                <w:szCs w:val="18"/>
              </w:rPr>
              <w:t>5</w:t>
            </w:r>
          </w:p>
        </w:tc>
      </w:tr>
      <w:tr w:rsidR="000B433B" w14:paraId="5F095952" w14:textId="6C88ACAD" w:rsidTr="00CD14BC">
        <w:trPr>
          <w:trHeight w:val="283"/>
        </w:trPr>
        <w:tc>
          <w:tcPr>
            <w:tcW w:w="6096" w:type="dxa"/>
            <w:tcBorders>
              <w:top w:val="single" w:sz="2" w:space="0" w:color="064EA8"/>
              <w:left w:val="nil"/>
              <w:bottom w:val="single" w:sz="2" w:space="0" w:color="064EA8"/>
              <w:right w:val="nil"/>
            </w:tcBorders>
            <w:vAlign w:val="center"/>
            <w:hideMark/>
          </w:tcPr>
          <w:p w14:paraId="4E637601" w14:textId="6DBFD96F" w:rsidR="000B433B" w:rsidRDefault="009D3850">
            <w:pPr>
              <w:spacing w:before="0"/>
              <w:jc w:val="right"/>
              <w:rPr>
                <w:rFonts w:cs="Arial"/>
                <w:b/>
                <w:bCs/>
                <w:szCs w:val="18"/>
              </w:rPr>
            </w:pPr>
            <w:r>
              <w:rPr>
                <w:rFonts w:cs="Arial"/>
                <w:b/>
                <w:bCs/>
                <w:szCs w:val="18"/>
              </w:rPr>
              <w:t xml:space="preserve">Sub </w:t>
            </w:r>
            <w:r w:rsidR="00594A8D">
              <w:rPr>
                <w:rFonts w:cs="Arial"/>
                <w:b/>
                <w:bCs/>
                <w:szCs w:val="18"/>
              </w:rPr>
              <w:t>t</w:t>
            </w:r>
            <w:r w:rsidR="000B433B">
              <w:rPr>
                <w:rFonts w:cs="Arial"/>
                <w:b/>
                <w:bCs/>
                <w:szCs w:val="18"/>
              </w:rPr>
              <w:t xml:space="preserve">otal </w:t>
            </w:r>
          </w:p>
        </w:tc>
        <w:tc>
          <w:tcPr>
            <w:tcW w:w="1262" w:type="dxa"/>
            <w:tcBorders>
              <w:top w:val="single" w:sz="2" w:space="0" w:color="064EA8"/>
              <w:left w:val="nil"/>
              <w:bottom w:val="single" w:sz="2" w:space="0" w:color="064EA8"/>
              <w:right w:val="nil"/>
            </w:tcBorders>
            <w:vAlign w:val="center"/>
            <w:hideMark/>
          </w:tcPr>
          <w:p w14:paraId="58B2D104" w14:textId="740576C6" w:rsidR="000B433B" w:rsidRDefault="00802495">
            <w:pPr>
              <w:spacing w:before="0"/>
              <w:jc w:val="center"/>
              <w:rPr>
                <w:rFonts w:cs="Arial"/>
                <w:b/>
                <w:bCs/>
                <w:szCs w:val="18"/>
              </w:rPr>
            </w:pPr>
            <w:r>
              <w:rPr>
                <w:rFonts w:cs="Arial"/>
                <w:b/>
                <w:bCs/>
                <w:szCs w:val="18"/>
              </w:rPr>
              <w:t>50</w:t>
            </w:r>
            <w:r w:rsidR="000B433B">
              <w:rPr>
                <w:rFonts w:cs="Arial"/>
                <w:b/>
                <w:bCs/>
                <w:szCs w:val="18"/>
              </w:rPr>
              <w:t>%</w:t>
            </w:r>
          </w:p>
        </w:tc>
        <w:tc>
          <w:tcPr>
            <w:tcW w:w="1006" w:type="dxa"/>
            <w:tcBorders>
              <w:top w:val="single" w:sz="2" w:space="0" w:color="064EA8"/>
              <w:left w:val="nil"/>
              <w:bottom w:val="single" w:sz="2" w:space="0" w:color="064EA8"/>
              <w:right w:val="nil"/>
            </w:tcBorders>
            <w:vAlign w:val="center"/>
          </w:tcPr>
          <w:p w14:paraId="32F71D8E" w14:textId="7E28E5DD" w:rsidR="000B433B" w:rsidRDefault="00910C4B">
            <w:pPr>
              <w:spacing w:before="0"/>
              <w:jc w:val="center"/>
              <w:rPr>
                <w:rFonts w:cs="Arial"/>
                <w:b/>
                <w:bCs/>
                <w:szCs w:val="18"/>
              </w:rPr>
            </w:pPr>
            <w:r>
              <w:rPr>
                <w:rFonts w:cs="Arial"/>
                <w:b/>
                <w:bCs/>
                <w:szCs w:val="18"/>
              </w:rPr>
              <w:t>-</w:t>
            </w:r>
            <w:r w:rsidR="00E96CA3">
              <w:rPr>
                <w:rFonts w:cs="Arial"/>
                <w:b/>
                <w:bCs/>
                <w:szCs w:val="18"/>
              </w:rPr>
              <w:t>1</w:t>
            </w:r>
            <w:r>
              <w:rPr>
                <w:rFonts w:cs="Arial"/>
                <w:b/>
                <w:bCs/>
                <w:szCs w:val="18"/>
              </w:rPr>
              <w:t>.</w:t>
            </w:r>
            <w:r w:rsidR="00E96CA3">
              <w:rPr>
                <w:rFonts w:cs="Arial"/>
                <w:b/>
                <w:bCs/>
                <w:szCs w:val="18"/>
              </w:rPr>
              <w:t>25</w:t>
            </w:r>
          </w:p>
        </w:tc>
        <w:tc>
          <w:tcPr>
            <w:tcW w:w="1134" w:type="dxa"/>
            <w:tcBorders>
              <w:top w:val="single" w:sz="2" w:space="0" w:color="064EA8"/>
              <w:left w:val="nil"/>
              <w:bottom w:val="single" w:sz="2" w:space="0" w:color="064EA8"/>
              <w:right w:val="nil"/>
            </w:tcBorders>
            <w:vAlign w:val="center"/>
          </w:tcPr>
          <w:p w14:paraId="5255618E" w14:textId="6E759516" w:rsidR="000B433B" w:rsidRDefault="00910C4B">
            <w:pPr>
              <w:spacing w:before="0"/>
              <w:jc w:val="center"/>
              <w:rPr>
                <w:rFonts w:cs="Arial"/>
                <w:b/>
                <w:bCs/>
                <w:szCs w:val="18"/>
              </w:rPr>
            </w:pPr>
            <w:r>
              <w:rPr>
                <w:rFonts w:cs="Arial"/>
                <w:b/>
                <w:bCs/>
                <w:szCs w:val="18"/>
              </w:rPr>
              <w:t>-</w:t>
            </w:r>
            <w:r w:rsidR="00E96CA3">
              <w:rPr>
                <w:rFonts w:cs="Arial"/>
                <w:b/>
                <w:bCs/>
                <w:szCs w:val="18"/>
              </w:rPr>
              <w:t>1</w:t>
            </w:r>
            <w:r>
              <w:rPr>
                <w:rFonts w:cs="Arial"/>
                <w:b/>
                <w:bCs/>
                <w:szCs w:val="18"/>
              </w:rPr>
              <w:t>.50</w:t>
            </w:r>
          </w:p>
        </w:tc>
      </w:tr>
      <w:tr w:rsidR="0005099E" w14:paraId="132432A6" w14:textId="77777777" w:rsidTr="00CD14BC">
        <w:trPr>
          <w:trHeight w:val="283"/>
        </w:trPr>
        <w:tc>
          <w:tcPr>
            <w:tcW w:w="6096" w:type="dxa"/>
            <w:tcBorders>
              <w:top w:val="single" w:sz="2" w:space="0" w:color="064EA8"/>
              <w:left w:val="nil"/>
              <w:bottom w:val="single" w:sz="2" w:space="0" w:color="064EA8"/>
              <w:right w:val="nil"/>
            </w:tcBorders>
            <w:vAlign w:val="center"/>
          </w:tcPr>
          <w:p w14:paraId="4600044D" w14:textId="1ED3FD2A" w:rsidR="0005099E" w:rsidRDefault="009A00D4">
            <w:pPr>
              <w:spacing w:before="0"/>
              <w:jc w:val="right"/>
              <w:rPr>
                <w:rFonts w:cs="Arial"/>
                <w:b/>
                <w:bCs/>
                <w:szCs w:val="18"/>
              </w:rPr>
            </w:pPr>
            <w:r>
              <w:rPr>
                <w:rFonts w:cs="Arial"/>
                <w:b/>
                <w:bCs/>
                <w:szCs w:val="18"/>
              </w:rPr>
              <w:t xml:space="preserve">Element </w:t>
            </w:r>
            <w:r w:rsidR="00323B54">
              <w:rPr>
                <w:rFonts w:cs="Arial"/>
                <w:b/>
                <w:bCs/>
                <w:szCs w:val="18"/>
              </w:rPr>
              <w:t xml:space="preserve">2 - </w:t>
            </w:r>
            <w:r w:rsidR="0005099E" w:rsidRPr="00C952C6">
              <w:rPr>
                <w:b/>
                <w:bCs/>
                <w:szCs w:val="18"/>
              </w:rPr>
              <w:t>weighted score</w:t>
            </w:r>
          </w:p>
        </w:tc>
        <w:tc>
          <w:tcPr>
            <w:tcW w:w="1262" w:type="dxa"/>
            <w:tcBorders>
              <w:top w:val="single" w:sz="2" w:space="0" w:color="064EA8"/>
              <w:left w:val="nil"/>
              <w:bottom w:val="single" w:sz="2" w:space="0" w:color="064EA8"/>
              <w:right w:val="nil"/>
            </w:tcBorders>
            <w:vAlign w:val="center"/>
          </w:tcPr>
          <w:p w14:paraId="09B1D1E5" w14:textId="108CC283" w:rsidR="0005099E" w:rsidRDefault="0045124E">
            <w:pPr>
              <w:spacing w:before="0"/>
              <w:jc w:val="center"/>
              <w:rPr>
                <w:rFonts w:cs="Arial"/>
                <w:b/>
                <w:bCs/>
                <w:szCs w:val="18"/>
              </w:rPr>
            </w:pPr>
            <w:r>
              <w:rPr>
                <w:rFonts w:cs="Arial"/>
                <w:b/>
                <w:bCs/>
                <w:szCs w:val="18"/>
              </w:rPr>
              <w:t>100%</w:t>
            </w:r>
          </w:p>
        </w:tc>
        <w:tc>
          <w:tcPr>
            <w:tcW w:w="1006" w:type="dxa"/>
            <w:tcBorders>
              <w:top w:val="single" w:sz="2" w:space="0" w:color="064EA8"/>
              <w:left w:val="nil"/>
              <w:bottom w:val="single" w:sz="2" w:space="0" w:color="064EA8"/>
              <w:right w:val="nil"/>
            </w:tcBorders>
            <w:vAlign w:val="center"/>
          </w:tcPr>
          <w:p w14:paraId="05CE0274" w14:textId="0EC9295C" w:rsidR="0005099E" w:rsidRDefault="006C1D7A">
            <w:pPr>
              <w:spacing w:before="0"/>
              <w:jc w:val="center"/>
              <w:rPr>
                <w:rFonts w:cs="Arial"/>
                <w:b/>
                <w:bCs/>
                <w:szCs w:val="18"/>
              </w:rPr>
            </w:pPr>
            <w:r>
              <w:rPr>
                <w:rFonts w:cs="Arial"/>
                <w:b/>
                <w:bCs/>
                <w:szCs w:val="18"/>
              </w:rPr>
              <w:t>0.</w:t>
            </w:r>
            <w:r w:rsidR="00E96CA3">
              <w:rPr>
                <w:rFonts w:cs="Arial"/>
                <w:b/>
                <w:bCs/>
                <w:szCs w:val="18"/>
              </w:rPr>
              <w:t>7</w:t>
            </w:r>
            <w:r>
              <w:rPr>
                <w:rFonts w:cs="Arial"/>
                <w:b/>
                <w:bCs/>
                <w:szCs w:val="18"/>
              </w:rPr>
              <w:t>5</w:t>
            </w:r>
          </w:p>
        </w:tc>
        <w:tc>
          <w:tcPr>
            <w:tcW w:w="1134" w:type="dxa"/>
            <w:tcBorders>
              <w:top w:val="single" w:sz="2" w:space="0" w:color="064EA8"/>
              <w:left w:val="nil"/>
              <w:bottom w:val="single" w:sz="2" w:space="0" w:color="064EA8"/>
              <w:right w:val="nil"/>
            </w:tcBorders>
            <w:vAlign w:val="center"/>
          </w:tcPr>
          <w:p w14:paraId="4B40E1D3" w14:textId="5CF370B1" w:rsidR="0005099E" w:rsidRDefault="00E96CA3">
            <w:pPr>
              <w:spacing w:before="0"/>
              <w:jc w:val="center"/>
              <w:rPr>
                <w:rFonts w:cs="Arial"/>
                <w:b/>
                <w:bCs/>
                <w:szCs w:val="18"/>
              </w:rPr>
            </w:pPr>
            <w:r>
              <w:rPr>
                <w:rFonts w:cs="Arial"/>
                <w:b/>
                <w:bCs/>
                <w:szCs w:val="18"/>
              </w:rPr>
              <w:t>1</w:t>
            </w:r>
            <w:r w:rsidR="006C1D7A">
              <w:rPr>
                <w:rFonts w:cs="Arial"/>
                <w:b/>
                <w:bCs/>
                <w:szCs w:val="18"/>
              </w:rPr>
              <w:t>.</w:t>
            </w:r>
            <w:r>
              <w:rPr>
                <w:rFonts w:cs="Arial"/>
                <w:b/>
                <w:bCs/>
                <w:szCs w:val="18"/>
              </w:rPr>
              <w:t>25</w:t>
            </w:r>
          </w:p>
        </w:tc>
      </w:tr>
      <w:tr w:rsidR="000B433B" w14:paraId="33AE9235" w14:textId="02188679" w:rsidTr="00CD14BC">
        <w:trPr>
          <w:trHeight w:val="283"/>
        </w:trPr>
        <w:tc>
          <w:tcPr>
            <w:tcW w:w="6096" w:type="dxa"/>
            <w:tcBorders>
              <w:top w:val="single" w:sz="2" w:space="0" w:color="064EA8"/>
              <w:left w:val="nil"/>
              <w:bottom w:val="single" w:sz="4" w:space="0" w:color="1B0B38"/>
              <w:right w:val="nil"/>
            </w:tcBorders>
            <w:shd w:val="clear" w:color="auto" w:fill="D9D9D6" w:themeFill="background2"/>
            <w:vAlign w:val="center"/>
            <w:hideMark/>
          </w:tcPr>
          <w:p w14:paraId="04B49AF3" w14:textId="77777777" w:rsidR="000B433B" w:rsidRDefault="000B433B">
            <w:pPr>
              <w:spacing w:before="0"/>
              <w:rPr>
                <w:rFonts w:cs="Arial"/>
                <w:szCs w:val="18"/>
              </w:rPr>
            </w:pPr>
            <w:r>
              <w:rPr>
                <w:rFonts w:cs="Arial"/>
                <w:b/>
                <w:bCs/>
                <w:szCs w:val="18"/>
              </w:rPr>
              <w:t>Mine land registration</w:t>
            </w:r>
          </w:p>
        </w:tc>
        <w:tc>
          <w:tcPr>
            <w:tcW w:w="1262" w:type="dxa"/>
            <w:tcBorders>
              <w:top w:val="single" w:sz="2" w:space="0" w:color="064EA8"/>
              <w:left w:val="nil"/>
              <w:bottom w:val="single" w:sz="4" w:space="0" w:color="1B0B38"/>
              <w:right w:val="nil"/>
            </w:tcBorders>
            <w:shd w:val="clear" w:color="auto" w:fill="D9D9D6" w:themeFill="background2"/>
            <w:vAlign w:val="center"/>
          </w:tcPr>
          <w:p w14:paraId="1FA90EEE" w14:textId="77777777" w:rsidR="000B433B" w:rsidRDefault="000B433B">
            <w:pPr>
              <w:spacing w:before="0"/>
              <w:jc w:val="center"/>
              <w:rPr>
                <w:rFonts w:cs="Arial"/>
                <w:b/>
                <w:bCs/>
                <w:szCs w:val="18"/>
              </w:rPr>
            </w:pPr>
          </w:p>
        </w:tc>
        <w:tc>
          <w:tcPr>
            <w:tcW w:w="1006" w:type="dxa"/>
            <w:tcBorders>
              <w:top w:val="single" w:sz="2" w:space="0" w:color="064EA8"/>
              <w:left w:val="nil"/>
              <w:bottom w:val="single" w:sz="4" w:space="0" w:color="1B0B38"/>
              <w:right w:val="nil"/>
            </w:tcBorders>
            <w:shd w:val="clear" w:color="auto" w:fill="D9D9D6" w:themeFill="background2"/>
          </w:tcPr>
          <w:p w14:paraId="6E4008C2" w14:textId="77777777" w:rsidR="000B433B" w:rsidRDefault="000B433B">
            <w:pPr>
              <w:spacing w:before="0"/>
              <w:jc w:val="center"/>
              <w:rPr>
                <w:rFonts w:cs="Arial"/>
                <w:b/>
                <w:bCs/>
                <w:szCs w:val="18"/>
              </w:rPr>
            </w:pPr>
          </w:p>
        </w:tc>
        <w:tc>
          <w:tcPr>
            <w:tcW w:w="1134" w:type="dxa"/>
            <w:tcBorders>
              <w:top w:val="single" w:sz="2" w:space="0" w:color="064EA8"/>
              <w:left w:val="nil"/>
              <w:bottom w:val="single" w:sz="4" w:space="0" w:color="1B0B38"/>
              <w:right w:val="nil"/>
            </w:tcBorders>
            <w:shd w:val="clear" w:color="auto" w:fill="D9D9D6" w:themeFill="background2"/>
          </w:tcPr>
          <w:p w14:paraId="01EB7C9E" w14:textId="77777777" w:rsidR="000B433B" w:rsidRDefault="000B433B">
            <w:pPr>
              <w:spacing w:before="0"/>
              <w:jc w:val="center"/>
              <w:rPr>
                <w:rFonts w:cs="Arial"/>
                <w:b/>
                <w:bCs/>
                <w:szCs w:val="18"/>
              </w:rPr>
            </w:pPr>
          </w:p>
        </w:tc>
      </w:tr>
      <w:tr w:rsidR="000B433B" w14:paraId="26679135" w14:textId="3E444C9C" w:rsidTr="00CD14BC">
        <w:trPr>
          <w:trHeight w:val="283"/>
        </w:trPr>
        <w:tc>
          <w:tcPr>
            <w:tcW w:w="6096" w:type="dxa"/>
            <w:tcBorders>
              <w:top w:val="single" w:sz="2" w:space="0" w:color="064EA8"/>
              <w:left w:val="nil"/>
              <w:bottom w:val="single" w:sz="2" w:space="0" w:color="064EA8"/>
              <w:right w:val="nil"/>
            </w:tcBorders>
            <w:vAlign w:val="center"/>
            <w:hideMark/>
          </w:tcPr>
          <w:p w14:paraId="4B2BDB9D" w14:textId="77777777" w:rsidR="000B433B" w:rsidRDefault="000B433B">
            <w:pPr>
              <w:spacing w:before="0"/>
              <w:rPr>
                <w:rFonts w:cs="Arial"/>
                <w:szCs w:val="18"/>
              </w:rPr>
            </w:pPr>
            <w:r>
              <w:rPr>
                <w:rFonts w:cs="Arial"/>
                <w:b/>
                <w:bCs/>
                <w:szCs w:val="18"/>
              </w:rPr>
              <w:t>Benefit Criteria</w:t>
            </w:r>
          </w:p>
        </w:tc>
        <w:tc>
          <w:tcPr>
            <w:tcW w:w="1262" w:type="dxa"/>
            <w:tcBorders>
              <w:top w:val="single" w:sz="2" w:space="0" w:color="064EA8"/>
              <w:left w:val="nil"/>
              <w:bottom w:val="single" w:sz="2" w:space="0" w:color="064EA8"/>
              <w:right w:val="nil"/>
            </w:tcBorders>
            <w:vAlign w:val="center"/>
          </w:tcPr>
          <w:p w14:paraId="6C94E023" w14:textId="77777777" w:rsidR="000B433B" w:rsidRDefault="000B433B">
            <w:pPr>
              <w:spacing w:before="0"/>
              <w:jc w:val="center"/>
              <w:rPr>
                <w:rFonts w:cs="Arial"/>
                <w:szCs w:val="18"/>
              </w:rPr>
            </w:pPr>
          </w:p>
        </w:tc>
        <w:tc>
          <w:tcPr>
            <w:tcW w:w="1006" w:type="dxa"/>
            <w:tcBorders>
              <w:top w:val="single" w:sz="2" w:space="0" w:color="064EA8"/>
              <w:left w:val="nil"/>
              <w:bottom w:val="single" w:sz="2" w:space="0" w:color="064EA8"/>
              <w:right w:val="nil"/>
            </w:tcBorders>
          </w:tcPr>
          <w:p w14:paraId="79D9F2C6" w14:textId="77777777" w:rsidR="000B433B" w:rsidRDefault="000B433B">
            <w:pPr>
              <w:spacing w:before="0"/>
              <w:jc w:val="center"/>
              <w:rPr>
                <w:rFonts w:cs="Arial"/>
                <w:szCs w:val="18"/>
              </w:rPr>
            </w:pPr>
          </w:p>
        </w:tc>
        <w:tc>
          <w:tcPr>
            <w:tcW w:w="1134" w:type="dxa"/>
            <w:tcBorders>
              <w:top w:val="single" w:sz="2" w:space="0" w:color="064EA8"/>
              <w:left w:val="nil"/>
              <w:bottom w:val="single" w:sz="2" w:space="0" w:color="064EA8"/>
              <w:right w:val="nil"/>
            </w:tcBorders>
          </w:tcPr>
          <w:p w14:paraId="5D3BC294" w14:textId="77777777" w:rsidR="000B433B" w:rsidRDefault="000B433B">
            <w:pPr>
              <w:spacing w:before="0"/>
              <w:jc w:val="center"/>
              <w:rPr>
                <w:rFonts w:cs="Arial"/>
                <w:szCs w:val="18"/>
              </w:rPr>
            </w:pPr>
          </w:p>
        </w:tc>
      </w:tr>
      <w:tr w:rsidR="000B433B" w14:paraId="2E7E993C" w14:textId="6C9C6E38" w:rsidTr="00CD14BC">
        <w:trPr>
          <w:trHeight w:val="358"/>
        </w:trPr>
        <w:tc>
          <w:tcPr>
            <w:tcW w:w="6096" w:type="dxa"/>
            <w:tcBorders>
              <w:top w:val="single" w:sz="2" w:space="0" w:color="064EA8"/>
              <w:left w:val="nil"/>
              <w:bottom w:val="single" w:sz="2" w:space="0" w:color="064EA8"/>
              <w:right w:val="nil"/>
            </w:tcBorders>
            <w:vAlign w:val="center"/>
            <w:hideMark/>
          </w:tcPr>
          <w:p w14:paraId="6E3A66B5" w14:textId="77777777" w:rsidR="000B433B" w:rsidRDefault="000B433B">
            <w:pPr>
              <w:spacing w:before="0"/>
              <w:ind w:left="323"/>
              <w:rPr>
                <w:rFonts w:cs="Arial"/>
                <w:szCs w:val="18"/>
              </w:rPr>
            </w:pPr>
            <w:r>
              <w:rPr>
                <w:rFonts w:cs="Arial"/>
                <w:szCs w:val="18"/>
              </w:rPr>
              <w:t xml:space="preserve">Obtain and record relevant information about declared mine sites, risks and necessary post-closure management to support informed government, stakeholder and community decision-making. </w:t>
            </w:r>
          </w:p>
        </w:tc>
        <w:tc>
          <w:tcPr>
            <w:tcW w:w="1262" w:type="dxa"/>
            <w:tcBorders>
              <w:top w:val="single" w:sz="2" w:space="0" w:color="064EA8"/>
              <w:left w:val="nil"/>
              <w:bottom w:val="single" w:sz="2" w:space="0" w:color="064EA8"/>
              <w:right w:val="nil"/>
            </w:tcBorders>
            <w:vAlign w:val="center"/>
            <w:hideMark/>
          </w:tcPr>
          <w:p w14:paraId="51832065" w14:textId="45A3E64F" w:rsidR="000B433B" w:rsidRDefault="00DD25E0">
            <w:pPr>
              <w:spacing w:before="0"/>
              <w:jc w:val="center"/>
              <w:rPr>
                <w:rFonts w:cs="Arial"/>
                <w:szCs w:val="18"/>
              </w:rPr>
            </w:pPr>
            <w:r>
              <w:rPr>
                <w:rFonts w:cs="Arial"/>
                <w:szCs w:val="18"/>
              </w:rPr>
              <w:t>25</w:t>
            </w:r>
            <w:r w:rsidR="000B433B">
              <w:rPr>
                <w:rFonts w:cs="Arial"/>
                <w:szCs w:val="18"/>
              </w:rPr>
              <w:t>%</w:t>
            </w:r>
          </w:p>
        </w:tc>
        <w:tc>
          <w:tcPr>
            <w:tcW w:w="1006" w:type="dxa"/>
            <w:tcBorders>
              <w:top w:val="single" w:sz="2" w:space="0" w:color="064EA8"/>
              <w:left w:val="nil"/>
              <w:bottom w:val="single" w:sz="2" w:space="0" w:color="064EA8"/>
              <w:right w:val="nil"/>
            </w:tcBorders>
            <w:vAlign w:val="center"/>
          </w:tcPr>
          <w:p w14:paraId="2ACE2B10" w14:textId="2347EE50" w:rsidR="000B433B" w:rsidRDefault="007215F2">
            <w:pPr>
              <w:spacing w:before="0"/>
              <w:jc w:val="center"/>
              <w:rPr>
                <w:rFonts w:cs="Arial"/>
                <w:szCs w:val="18"/>
              </w:rPr>
            </w:pPr>
            <w:r>
              <w:rPr>
                <w:rFonts w:cs="Arial"/>
                <w:szCs w:val="18"/>
              </w:rPr>
              <w:t>0.</w:t>
            </w:r>
            <w:r w:rsidR="00E96CA3">
              <w:rPr>
                <w:rFonts w:cs="Arial"/>
                <w:szCs w:val="18"/>
              </w:rPr>
              <w:t>25</w:t>
            </w:r>
          </w:p>
        </w:tc>
        <w:tc>
          <w:tcPr>
            <w:tcW w:w="1134" w:type="dxa"/>
            <w:tcBorders>
              <w:top w:val="single" w:sz="2" w:space="0" w:color="064EA8"/>
              <w:left w:val="nil"/>
              <w:bottom w:val="single" w:sz="2" w:space="0" w:color="064EA8"/>
              <w:right w:val="nil"/>
            </w:tcBorders>
            <w:vAlign w:val="center"/>
          </w:tcPr>
          <w:p w14:paraId="483D5C7E" w14:textId="2397B02B" w:rsidR="000B433B" w:rsidRDefault="00E96CA3">
            <w:pPr>
              <w:spacing w:before="0"/>
              <w:jc w:val="center"/>
              <w:rPr>
                <w:rFonts w:cs="Arial"/>
                <w:szCs w:val="18"/>
              </w:rPr>
            </w:pPr>
            <w:r>
              <w:rPr>
                <w:rFonts w:cs="Arial"/>
                <w:szCs w:val="18"/>
              </w:rPr>
              <w:t>1</w:t>
            </w:r>
            <w:r w:rsidR="007215F2">
              <w:rPr>
                <w:rFonts w:cs="Arial"/>
                <w:szCs w:val="18"/>
              </w:rPr>
              <w:t>.</w:t>
            </w:r>
            <w:r>
              <w:rPr>
                <w:rFonts w:cs="Arial"/>
                <w:szCs w:val="18"/>
              </w:rPr>
              <w:t>75</w:t>
            </w:r>
          </w:p>
        </w:tc>
      </w:tr>
      <w:tr w:rsidR="000B433B" w14:paraId="7BEAC155" w14:textId="2387EF80" w:rsidTr="00CD14BC">
        <w:trPr>
          <w:trHeight w:val="358"/>
        </w:trPr>
        <w:tc>
          <w:tcPr>
            <w:tcW w:w="6096" w:type="dxa"/>
            <w:tcBorders>
              <w:top w:val="single" w:sz="2" w:space="0" w:color="064EA8"/>
              <w:left w:val="nil"/>
              <w:bottom w:val="single" w:sz="2" w:space="0" w:color="064EA8"/>
              <w:right w:val="nil"/>
            </w:tcBorders>
            <w:vAlign w:val="center"/>
            <w:hideMark/>
          </w:tcPr>
          <w:p w14:paraId="49C964C5" w14:textId="77777777" w:rsidR="000B433B" w:rsidRDefault="000B433B">
            <w:pPr>
              <w:spacing w:before="0"/>
              <w:ind w:left="323"/>
              <w:rPr>
                <w:rFonts w:cs="Arial"/>
                <w:szCs w:val="18"/>
              </w:rPr>
            </w:pPr>
            <w:r>
              <w:rPr>
                <w:rFonts w:cs="Arial"/>
                <w:szCs w:val="18"/>
              </w:rPr>
              <w:t>Support the fair and accurate determination of fund contribution amounts sufficient to fund ongoing and post-closure declared mine rehabilitation activities and achieve overall regulatory objectives.</w:t>
            </w:r>
          </w:p>
        </w:tc>
        <w:tc>
          <w:tcPr>
            <w:tcW w:w="1262" w:type="dxa"/>
            <w:tcBorders>
              <w:top w:val="single" w:sz="2" w:space="0" w:color="064EA8"/>
              <w:left w:val="nil"/>
              <w:bottom w:val="single" w:sz="2" w:space="0" w:color="064EA8"/>
              <w:right w:val="nil"/>
            </w:tcBorders>
            <w:vAlign w:val="center"/>
            <w:hideMark/>
          </w:tcPr>
          <w:p w14:paraId="4E2BA877" w14:textId="3BC74B6D" w:rsidR="000B433B" w:rsidRDefault="00DD25E0">
            <w:pPr>
              <w:spacing w:before="0"/>
              <w:jc w:val="center"/>
              <w:rPr>
                <w:rFonts w:cs="Arial"/>
                <w:szCs w:val="18"/>
              </w:rPr>
            </w:pPr>
            <w:r>
              <w:rPr>
                <w:rFonts w:cs="Arial"/>
                <w:szCs w:val="18"/>
              </w:rPr>
              <w:t>25</w:t>
            </w:r>
            <w:r w:rsidR="000B433B">
              <w:rPr>
                <w:rFonts w:cs="Arial"/>
                <w:szCs w:val="18"/>
              </w:rPr>
              <w:t>%</w:t>
            </w:r>
          </w:p>
        </w:tc>
        <w:tc>
          <w:tcPr>
            <w:tcW w:w="1006" w:type="dxa"/>
            <w:tcBorders>
              <w:top w:val="single" w:sz="2" w:space="0" w:color="064EA8"/>
              <w:left w:val="nil"/>
              <w:bottom w:val="single" w:sz="2" w:space="0" w:color="064EA8"/>
              <w:right w:val="nil"/>
            </w:tcBorders>
            <w:vAlign w:val="center"/>
          </w:tcPr>
          <w:p w14:paraId="2CED6B8E" w14:textId="6AD2BB81" w:rsidR="000B433B" w:rsidRDefault="007215F2">
            <w:pPr>
              <w:spacing w:before="0"/>
              <w:jc w:val="center"/>
              <w:rPr>
                <w:rFonts w:cs="Arial"/>
                <w:szCs w:val="18"/>
              </w:rPr>
            </w:pPr>
            <w:r>
              <w:rPr>
                <w:rFonts w:cs="Arial"/>
                <w:szCs w:val="18"/>
              </w:rPr>
              <w:t>0.00</w:t>
            </w:r>
          </w:p>
        </w:tc>
        <w:tc>
          <w:tcPr>
            <w:tcW w:w="1134" w:type="dxa"/>
            <w:tcBorders>
              <w:top w:val="single" w:sz="2" w:space="0" w:color="064EA8"/>
              <w:left w:val="nil"/>
              <w:bottom w:val="single" w:sz="2" w:space="0" w:color="064EA8"/>
              <w:right w:val="nil"/>
            </w:tcBorders>
            <w:vAlign w:val="center"/>
          </w:tcPr>
          <w:p w14:paraId="30FBBECB" w14:textId="6EE97115" w:rsidR="000B433B" w:rsidRDefault="00967BBC">
            <w:pPr>
              <w:spacing w:before="0"/>
              <w:jc w:val="center"/>
              <w:rPr>
                <w:rFonts w:cs="Arial"/>
                <w:szCs w:val="18"/>
              </w:rPr>
            </w:pPr>
            <w:r>
              <w:rPr>
                <w:rFonts w:cs="Arial"/>
                <w:szCs w:val="18"/>
              </w:rPr>
              <w:t>1</w:t>
            </w:r>
            <w:r w:rsidR="007215F2">
              <w:rPr>
                <w:rFonts w:cs="Arial"/>
                <w:szCs w:val="18"/>
              </w:rPr>
              <w:t>.50</w:t>
            </w:r>
          </w:p>
        </w:tc>
      </w:tr>
      <w:tr w:rsidR="000B433B" w14:paraId="2078AAAE" w14:textId="02961F0D" w:rsidTr="00CD14BC">
        <w:trPr>
          <w:trHeight w:val="283"/>
        </w:trPr>
        <w:tc>
          <w:tcPr>
            <w:tcW w:w="6096" w:type="dxa"/>
            <w:tcBorders>
              <w:top w:val="single" w:sz="2" w:space="0" w:color="064EA8"/>
              <w:left w:val="nil"/>
              <w:bottom w:val="single" w:sz="4" w:space="0" w:color="1B0B38"/>
              <w:right w:val="nil"/>
            </w:tcBorders>
            <w:vAlign w:val="center"/>
            <w:hideMark/>
          </w:tcPr>
          <w:p w14:paraId="7807CD7D" w14:textId="67A56F8F" w:rsidR="000B433B" w:rsidRDefault="009D3850">
            <w:pPr>
              <w:spacing w:before="0"/>
              <w:jc w:val="right"/>
              <w:rPr>
                <w:rFonts w:cs="Arial"/>
                <w:szCs w:val="18"/>
              </w:rPr>
            </w:pPr>
            <w:r>
              <w:rPr>
                <w:rFonts w:cs="Arial"/>
                <w:b/>
                <w:bCs/>
                <w:szCs w:val="18"/>
              </w:rPr>
              <w:t xml:space="preserve">Sub </w:t>
            </w:r>
            <w:r w:rsidR="00594A8D">
              <w:rPr>
                <w:rFonts w:cs="Arial"/>
                <w:b/>
                <w:bCs/>
                <w:szCs w:val="18"/>
              </w:rPr>
              <w:t>t</w:t>
            </w:r>
            <w:r w:rsidR="000B433B">
              <w:rPr>
                <w:rFonts w:cs="Arial"/>
                <w:b/>
                <w:bCs/>
                <w:szCs w:val="18"/>
              </w:rPr>
              <w:t xml:space="preserve">otal </w:t>
            </w:r>
          </w:p>
        </w:tc>
        <w:tc>
          <w:tcPr>
            <w:tcW w:w="1262" w:type="dxa"/>
            <w:tcBorders>
              <w:top w:val="single" w:sz="2" w:space="0" w:color="064EA8"/>
              <w:left w:val="nil"/>
              <w:bottom w:val="single" w:sz="4" w:space="0" w:color="1B0B38"/>
              <w:right w:val="nil"/>
            </w:tcBorders>
            <w:vAlign w:val="center"/>
            <w:hideMark/>
          </w:tcPr>
          <w:p w14:paraId="5E633F1A" w14:textId="50B5AE6B" w:rsidR="000B433B" w:rsidRDefault="00DD25E0">
            <w:pPr>
              <w:spacing w:before="0"/>
              <w:jc w:val="center"/>
              <w:rPr>
                <w:rFonts w:cs="Arial"/>
                <w:szCs w:val="18"/>
              </w:rPr>
            </w:pPr>
            <w:r>
              <w:rPr>
                <w:rFonts w:cs="Arial"/>
                <w:b/>
                <w:bCs/>
                <w:szCs w:val="18"/>
              </w:rPr>
              <w:t>50</w:t>
            </w:r>
            <w:r w:rsidR="000B433B">
              <w:rPr>
                <w:rFonts w:cs="Arial"/>
                <w:b/>
                <w:bCs/>
                <w:szCs w:val="18"/>
              </w:rPr>
              <w:t>%</w:t>
            </w:r>
          </w:p>
        </w:tc>
        <w:tc>
          <w:tcPr>
            <w:tcW w:w="1006" w:type="dxa"/>
            <w:tcBorders>
              <w:top w:val="single" w:sz="2" w:space="0" w:color="064EA8"/>
              <w:left w:val="nil"/>
              <w:bottom w:val="single" w:sz="4" w:space="0" w:color="1B0B38"/>
              <w:right w:val="nil"/>
            </w:tcBorders>
            <w:vAlign w:val="center"/>
          </w:tcPr>
          <w:p w14:paraId="18B81BF1" w14:textId="575D89C3" w:rsidR="000B433B" w:rsidRDefault="007215F2">
            <w:pPr>
              <w:spacing w:before="0"/>
              <w:jc w:val="center"/>
              <w:rPr>
                <w:rFonts w:cs="Arial"/>
                <w:b/>
                <w:bCs/>
                <w:szCs w:val="18"/>
              </w:rPr>
            </w:pPr>
            <w:r>
              <w:rPr>
                <w:rFonts w:cs="Arial"/>
                <w:b/>
                <w:bCs/>
                <w:szCs w:val="18"/>
              </w:rPr>
              <w:t>0.</w:t>
            </w:r>
            <w:r w:rsidR="00967BBC">
              <w:rPr>
                <w:rFonts w:cs="Arial"/>
                <w:b/>
                <w:bCs/>
                <w:szCs w:val="18"/>
              </w:rPr>
              <w:t>25</w:t>
            </w:r>
          </w:p>
        </w:tc>
        <w:tc>
          <w:tcPr>
            <w:tcW w:w="1134" w:type="dxa"/>
            <w:tcBorders>
              <w:top w:val="single" w:sz="2" w:space="0" w:color="064EA8"/>
              <w:left w:val="nil"/>
              <w:bottom w:val="single" w:sz="4" w:space="0" w:color="1B0B38"/>
              <w:right w:val="nil"/>
            </w:tcBorders>
            <w:vAlign w:val="center"/>
          </w:tcPr>
          <w:p w14:paraId="5431DA36" w14:textId="1479FD26" w:rsidR="000B433B" w:rsidRDefault="00967BBC">
            <w:pPr>
              <w:spacing w:before="0"/>
              <w:jc w:val="center"/>
              <w:rPr>
                <w:rFonts w:cs="Arial"/>
                <w:b/>
                <w:bCs/>
                <w:szCs w:val="18"/>
              </w:rPr>
            </w:pPr>
            <w:r>
              <w:rPr>
                <w:rFonts w:cs="Arial"/>
                <w:b/>
                <w:bCs/>
                <w:szCs w:val="18"/>
              </w:rPr>
              <w:t>3</w:t>
            </w:r>
            <w:r w:rsidR="00E933EF">
              <w:rPr>
                <w:rFonts w:cs="Arial"/>
                <w:b/>
                <w:bCs/>
                <w:szCs w:val="18"/>
              </w:rPr>
              <w:t>.</w:t>
            </w:r>
            <w:r>
              <w:rPr>
                <w:rFonts w:cs="Arial"/>
                <w:b/>
                <w:bCs/>
                <w:szCs w:val="18"/>
              </w:rPr>
              <w:t>25</w:t>
            </w:r>
          </w:p>
        </w:tc>
      </w:tr>
      <w:tr w:rsidR="000B433B" w14:paraId="56DF85BC" w14:textId="02337158" w:rsidTr="00CD14BC">
        <w:trPr>
          <w:trHeight w:val="283"/>
        </w:trPr>
        <w:tc>
          <w:tcPr>
            <w:tcW w:w="6096" w:type="dxa"/>
            <w:tcBorders>
              <w:top w:val="single" w:sz="2" w:space="0" w:color="064EA8"/>
              <w:left w:val="nil"/>
              <w:bottom w:val="single" w:sz="4" w:space="0" w:color="1B0B38"/>
              <w:right w:val="nil"/>
            </w:tcBorders>
            <w:vAlign w:val="center"/>
            <w:hideMark/>
          </w:tcPr>
          <w:p w14:paraId="50388DB5" w14:textId="77777777" w:rsidR="000B433B" w:rsidRDefault="000B433B">
            <w:pPr>
              <w:spacing w:before="0"/>
              <w:rPr>
                <w:rFonts w:cs="Arial"/>
                <w:szCs w:val="18"/>
              </w:rPr>
            </w:pPr>
            <w:r>
              <w:rPr>
                <w:rFonts w:cs="Arial"/>
                <w:b/>
                <w:bCs/>
                <w:szCs w:val="18"/>
              </w:rPr>
              <w:t>Cost Criteria</w:t>
            </w:r>
          </w:p>
        </w:tc>
        <w:tc>
          <w:tcPr>
            <w:tcW w:w="1262" w:type="dxa"/>
            <w:tcBorders>
              <w:top w:val="single" w:sz="2" w:space="0" w:color="064EA8"/>
              <w:left w:val="nil"/>
              <w:bottom w:val="single" w:sz="4" w:space="0" w:color="1B0B38"/>
              <w:right w:val="nil"/>
            </w:tcBorders>
            <w:vAlign w:val="center"/>
          </w:tcPr>
          <w:p w14:paraId="24A130F2" w14:textId="77777777" w:rsidR="000B433B" w:rsidRDefault="000B433B">
            <w:pPr>
              <w:spacing w:before="0"/>
              <w:jc w:val="center"/>
              <w:rPr>
                <w:rFonts w:cs="Arial"/>
                <w:szCs w:val="18"/>
              </w:rPr>
            </w:pPr>
          </w:p>
        </w:tc>
        <w:tc>
          <w:tcPr>
            <w:tcW w:w="1006" w:type="dxa"/>
            <w:tcBorders>
              <w:top w:val="single" w:sz="2" w:space="0" w:color="064EA8"/>
              <w:left w:val="nil"/>
              <w:bottom w:val="single" w:sz="4" w:space="0" w:color="1B0B38"/>
              <w:right w:val="nil"/>
            </w:tcBorders>
            <w:vAlign w:val="center"/>
          </w:tcPr>
          <w:p w14:paraId="7DB25642" w14:textId="77777777" w:rsidR="000B433B" w:rsidRDefault="000B433B">
            <w:pPr>
              <w:spacing w:before="0"/>
              <w:jc w:val="center"/>
              <w:rPr>
                <w:rFonts w:cs="Arial"/>
                <w:szCs w:val="18"/>
              </w:rPr>
            </w:pPr>
          </w:p>
        </w:tc>
        <w:tc>
          <w:tcPr>
            <w:tcW w:w="1134" w:type="dxa"/>
            <w:tcBorders>
              <w:top w:val="single" w:sz="2" w:space="0" w:color="064EA8"/>
              <w:left w:val="nil"/>
              <w:bottom w:val="single" w:sz="4" w:space="0" w:color="1B0B38"/>
              <w:right w:val="nil"/>
            </w:tcBorders>
            <w:vAlign w:val="center"/>
          </w:tcPr>
          <w:p w14:paraId="0A8FF0F9" w14:textId="77777777" w:rsidR="000B433B" w:rsidRDefault="000B433B">
            <w:pPr>
              <w:spacing w:before="0"/>
              <w:jc w:val="center"/>
              <w:rPr>
                <w:rFonts w:cs="Arial"/>
                <w:szCs w:val="18"/>
              </w:rPr>
            </w:pPr>
          </w:p>
        </w:tc>
      </w:tr>
      <w:tr w:rsidR="000B433B" w14:paraId="307742AD" w14:textId="1F544B89" w:rsidTr="00CD14BC">
        <w:trPr>
          <w:trHeight w:val="283"/>
        </w:trPr>
        <w:tc>
          <w:tcPr>
            <w:tcW w:w="6096" w:type="dxa"/>
            <w:tcBorders>
              <w:top w:val="single" w:sz="2" w:space="0" w:color="064EA8"/>
              <w:left w:val="nil"/>
              <w:bottom w:val="single" w:sz="4" w:space="0" w:color="1B0B38"/>
              <w:right w:val="nil"/>
            </w:tcBorders>
            <w:vAlign w:val="center"/>
            <w:hideMark/>
          </w:tcPr>
          <w:p w14:paraId="581A649F" w14:textId="77777777" w:rsidR="000B433B" w:rsidRDefault="000B433B">
            <w:pPr>
              <w:spacing w:before="0"/>
              <w:ind w:left="321"/>
              <w:rPr>
                <w:rFonts w:cs="Arial"/>
                <w:szCs w:val="18"/>
              </w:rPr>
            </w:pPr>
            <w:r>
              <w:rPr>
                <w:rFonts w:cs="Arial"/>
                <w:szCs w:val="18"/>
              </w:rPr>
              <w:t>Costs to industry (including time delays) relative to the base case</w:t>
            </w:r>
          </w:p>
        </w:tc>
        <w:tc>
          <w:tcPr>
            <w:tcW w:w="1262" w:type="dxa"/>
            <w:tcBorders>
              <w:top w:val="single" w:sz="2" w:space="0" w:color="064EA8"/>
              <w:left w:val="nil"/>
              <w:bottom w:val="single" w:sz="4" w:space="0" w:color="1B0B38"/>
              <w:right w:val="nil"/>
            </w:tcBorders>
            <w:vAlign w:val="center"/>
            <w:hideMark/>
          </w:tcPr>
          <w:p w14:paraId="0793141D" w14:textId="64F1272B" w:rsidR="000B433B" w:rsidRDefault="00DD25E0">
            <w:pPr>
              <w:spacing w:before="0"/>
              <w:jc w:val="center"/>
              <w:rPr>
                <w:rFonts w:cs="Arial"/>
                <w:szCs w:val="18"/>
              </w:rPr>
            </w:pPr>
            <w:r>
              <w:rPr>
                <w:rFonts w:cs="Arial"/>
                <w:szCs w:val="18"/>
              </w:rPr>
              <w:t>25</w:t>
            </w:r>
            <w:r w:rsidR="000B433B">
              <w:rPr>
                <w:rFonts w:cs="Arial"/>
                <w:szCs w:val="18"/>
              </w:rPr>
              <w:t>%</w:t>
            </w:r>
          </w:p>
        </w:tc>
        <w:tc>
          <w:tcPr>
            <w:tcW w:w="1006" w:type="dxa"/>
            <w:tcBorders>
              <w:top w:val="single" w:sz="2" w:space="0" w:color="064EA8"/>
              <w:left w:val="nil"/>
              <w:bottom w:val="single" w:sz="4" w:space="0" w:color="1B0B38"/>
              <w:right w:val="nil"/>
            </w:tcBorders>
            <w:vAlign w:val="center"/>
          </w:tcPr>
          <w:p w14:paraId="3FFC3677" w14:textId="08C4141A" w:rsidR="000B433B" w:rsidRDefault="00E933EF">
            <w:pPr>
              <w:spacing w:before="0"/>
              <w:jc w:val="center"/>
              <w:rPr>
                <w:rFonts w:cs="Arial"/>
                <w:szCs w:val="18"/>
              </w:rPr>
            </w:pPr>
            <w:r>
              <w:rPr>
                <w:rFonts w:cs="Arial"/>
                <w:szCs w:val="18"/>
              </w:rPr>
              <w:t>0.00</w:t>
            </w:r>
          </w:p>
        </w:tc>
        <w:tc>
          <w:tcPr>
            <w:tcW w:w="1134" w:type="dxa"/>
            <w:tcBorders>
              <w:top w:val="single" w:sz="2" w:space="0" w:color="064EA8"/>
              <w:left w:val="nil"/>
              <w:bottom w:val="single" w:sz="4" w:space="0" w:color="1B0B38"/>
              <w:right w:val="nil"/>
            </w:tcBorders>
            <w:vAlign w:val="center"/>
          </w:tcPr>
          <w:p w14:paraId="7FE27898" w14:textId="57E3B876" w:rsidR="000B433B" w:rsidRDefault="00E933EF">
            <w:pPr>
              <w:spacing w:before="0"/>
              <w:jc w:val="center"/>
              <w:rPr>
                <w:rFonts w:cs="Arial"/>
                <w:szCs w:val="18"/>
              </w:rPr>
            </w:pPr>
            <w:r>
              <w:rPr>
                <w:rFonts w:cs="Arial"/>
                <w:szCs w:val="18"/>
              </w:rPr>
              <w:t>0.</w:t>
            </w:r>
            <w:r w:rsidR="00967BBC">
              <w:rPr>
                <w:rFonts w:cs="Arial"/>
                <w:szCs w:val="18"/>
              </w:rPr>
              <w:t>25</w:t>
            </w:r>
          </w:p>
        </w:tc>
      </w:tr>
      <w:tr w:rsidR="000B433B" w14:paraId="4A6D5F91" w14:textId="3278F25F" w:rsidTr="00CD14BC">
        <w:trPr>
          <w:trHeight w:val="358"/>
        </w:trPr>
        <w:tc>
          <w:tcPr>
            <w:tcW w:w="6096" w:type="dxa"/>
            <w:tcBorders>
              <w:top w:val="single" w:sz="2" w:space="0" w:color="064EA8"/>
              <w:left w:val="nil"/>
              <w:bottom w:val="single" w:sz="4" w:space="0" w:color="1B0B38"/>
              <w:right w:val="nil"/>
            </w:tcBorders>
            <w:vAlign w:val="center"/>
            <w:hideMark/>
          </w:tcPr>
          <w:p w14:paraId="6A45ABC8" w14:textId="77777777" w:rsidR="000B433B" w:rsidRDefault="000B433B">
            <w:pPr>
              <w:spacing w:before="0"/>
              <w:ind w:left="321"/>
              <w:rPr>
                <w:rFonts w:cs="Arial"/>
                <w:szCs w:val="18"/>
              </w:rPr>
            </w:pPr>
            <w:r>
              <w:rPr>
                <w:rFonts w:cs="Arial"/>
                <w:szCs w:val="18"/>
              </w:rPr>
              <w:t>Costs to government relative to the base case of administering and enforcing the system</w:t>
            </w:r>
          </w:p>
        </w:tc>
        <w:tc>
          <w:tcPr>
            <w:tcW w:w="1262" w:type="dxa"/>
            <w:tcBorders>
              <w:top w:val="single" w:sz="2" w:space="0" w:color="064EA8"/>
              <w:left w:val="nil"/>
              <w:bottom w:val="single" w:sz="4" w:space="0" w:color="1B0B38"/>
              <w:right w:val="nil"/>
            </w:tcBorders>
            <w:vAlign w:val="center"/>
            <w:hideMark/>
          </w:tcPr>
          <w:p w14:paraId="0DDBF5B2" w14:textId="127896D5" w:rsidR="000B433B" w:rsidRDefault="00DD25E0">
            <w:pPr>
              <w:spacing w:before="0"/>
              <w:jc w:val="center"/>
              <w:rPr>
                <w:rFonts w:cs="Arial"/>
                <w:szCs w:val="18"/>
              </w:rPr>
            </w:pPr>
            <w:r>
              <w:rPr>
                <w:rFonts w:cs="Arial"/>
                <w:szCs w:val="18"/>
              </w:rPr>
              <w:t>25</w:t>
            </w:r>
            <w:r w:rsidR="000B433B">
              <w:rPr>
                <w:rFonts w:cs="Arial"/>
                <w:szCs w:val="18"/>
              </w:rPr>
              <w:t>%</w:t>
            </w:r>
          </w:p>
        </w:tc>
        <w:tc>
          <w:tcPr>
            <w:tcW w:w="1006" w:type="dxa"/>
            <w:tcBorders>
              <w:top w:val="single" w:sz="2" w:space="0" w:color="064EA8"/>
              <w:left w:val="nil"/>
              <w:bottom w:val="single" w:sz="4" w:space="0" w:color="1B0B38"/>
              <w:right w:val="nil"/>
            </w:tcBorders>
            <w:vAlign w:val="center"/>
          </w:tcPr>
          <w:p w14:paraId="3B9F91CD" w14:textId="0B7A4565" w:rsidR="000B433B" w:rsidRDefault="00E933EF">
            <w:pPr>
              <w:spacing w:before="0"/>
              <w:jc w:val="center"/>
              <w:rPr>
                <w:rFonts w:cs="Arial"/>
                <w:szCs w:val="18"/>
              </w:rPr>
            </w:pPr>
            <w:r>
              <w:rPr>
                <w:rFonts w:cs="Arial"/>
                <w:szCs w:val="18"/>
              </w:rPr>
              <w:t>0.00</w:t>
            </w:r>
          </w:p>
        </w:tc>
        <w:tc>
          <w:tcPr>
            <w:tcW w:w="1134" w:type="dxa"/>
            <w:tcBorders>
              <w:top w:val="single" w:sz="2" w:space="0" w:color="064EA8"/>
              <w:left w:val="nil"/>
              <w:bottom w:val="single" w:sz="4" w:space="0" w:color="1B0B38"/>
              <w:right w:val="nil"/>
            </w:tcBorders>
            <w:vAlign w:val="center"/>
          </w:tcPr>
          <w:p w14:paraId="64F6F303" w14:textId="2E186A5F" w:rsidR="000B433B" w:rsidRDefault="008D03BE">
            <w:pPr>
              <w:spacing w:before="0"/>
              <w:jc w:val="center"/>
              <w:rPr>
                <w:rFonts w:cs="Arial"/>
                <w:szCs w:val="18"/>
              </w:rPr>
            </w:pPr>
            <w:r>
              <w:rPr>
                <w:rFonts w:cs="Arial"/>
                <w:szCs w:val="18"/>
              </w:rPr>
              <w:t>-</w:t>
            </w:r>
            <w:r w:rsidR="00E933EF">
              <w:rPr>
                <w:rFonts w:cs="Arial"/>
                <w:szCs w:val="18"/>
              </w:rPr>
              <w:t>0.</w:t>
            </w:r>
            <w:r w:rsidR="00967BBC">
              <w:rPr>
                <w:rFonts w:cs="Arial"/>
                <w:szCs w:val="18"/>
              </w:rPr>
              <w:t>25</w:t>
            </w:r>
          </w:p>
        </w:tc>
      </w:tr>
      <w:tr w:rsidR="000B433B" w14:paraId="399DAD0C" w14:textId="7E64C956" w:rsidTr="00CD14BC">
        <w:trPr>
          <w:trHeight w:val="283"/>
        </w:trPr>
        <w:tc>
          <w:tcPr>
            <w:tcW w:w="6096" w:type="dxa"/>
            <w:tcBorders>
              <w:top w:val="single" w:sz="2" w:space="0" w:color="064EA8"/>
              <w:left w:val="nil"/>
              <w:bottom w:val="single" w:sz="2" w:space="0" w:color="064EA8"/>
              <w:right w:val="nil"/>
            </w:tcBorders>
            <w:vAlign w:val="center"/>
            <w:hideMark/>
          </w:tcPr>
          <w:p w14:paraId="60F81677" w14:textId="373F26AC" w:rsidR="000B433B" w:rsidRDefault="009D3850">
            <w:pPr>
              <w:spacing w:before="0"/>
              <w:jc w:val="right"/>
              <w:rPr>
                <w:rFonts w:cs="Arial"/>
                <w:szCs w:val="18"/>
              </w:rPr>
            </w:pPr>
            <w:r>
              <w:rPr>
                <w:rFonts w:cs="Arial"/>
                <w:b/>
                <w:bCs/>
                <w:szCs w:val="18"/>
              </w:rPr>
              <w:t xml:space="preserve">Sub </w:t>
            </w:r>
            <w:r w:rsidR="00594A8D">
              <w:rPr>
                <w:rFonts w:cs="Arial"/>
                <w:b/>
                <w:bCs/>
                <w:szCs w:val="18"/>
              </w:rPr>
              <w:t>t</w:t>
            </w:r>
            <w:r w:rsidR="000B433B">
              <w:rPr>
                <w:rFonts w:cs="Arial"/>
                <w:b/>
                <w:bCs/>
                <w:szCs w:val="18"/>
              </w:rPr>
              <w:t xml:space="preserve">otal </w:t>
            </w:r>
          </w:p>
        </w:tc>
        <w:tc>
          <w:tcPr>
            <w:tcW w:w="1262" w:type="dxa"/>
            <w:tcBorders>
              <w:top w:val="single" w:sz="2" w:space="0" w:color="064EA8"/>
              <w:left w:val="nil"/>
              <w:bottom w:val="single" w:sz="2" w:space="0" w:color="064EA8"/>
              <w:right w:val="nil"/>
            </w:tcBorders>
            <w:vAlign w:val="center"/>
            <w:hideMark/>
          </w:tcPr>
          <w:p w14:paraId="2882B670" w14:textId="0CBB5E4B" w:rsidR="000B433B" w:rsidRDefault="00DD25E0">
            <w:pPr>
              <w:spacing w:before="0"/>
              <w:jc w:val="center"/>
              <w:rPr>
                <w:rFonts w:cs="Arial"/>
                <w:szCs w:val="18"/>
              </w:rPr>
            </w:pPr>
            <w:r>
              <w:rPr>
                <w:rFonts w:cs="Arial"/>
                <w:b/>
                <w:bCs/>
                <w:szCs w:val="18"/>
              </w:rPr>
              <w:t>50</w:t>
            </w:r>
            <w:r w:rsidR="000B433B">
              <w:rPr>
                <w:rFonts w:cs="Arial"/>
                <w:b/>
                <w:bCs/>
                <w:szCs w:val="18"/>
              </w:rPr>
              <w:t>%</w:t>
            </w:r>
          </w:p>
        </w:tc>
        <w:tc>
          <w:tcPr>
            <w:tcW w:w="1006" w:type="dxa"/>
            <w:tcBorders>
              <w:top w:val="single" w:sz="2" w:space="0" w:color="064EA8"/>
              <w:left w:val="nil"/>
              <w:bottom w:val="single" w:sz="2" w:space="0" w:color="064EA8"/>
              <w:right w:val="nil"/>
            </w:tcBorders>
            <w:vAlign w:val="center"/>
          </w:tcPr>
          <w:p w14:paraId="274DC6FC" w14:textId="0FD7CE93" w:rsidR="000B433B" w:rsidRDefault="00E933EF">
            <w:pPr>
              <w:spacing w:before="0"/>
              <w:jc w:val="center"/>
              <w:rPr>
                <w:rFonts w:cs="Arial"/>
                <w:b/>
                <w:bCs/>
                <w:szCs w:val="18"/>
              </w:rPr>
            </w:pPr>
            <w:r>
              <w:rPr>
                <w:rFonts w:cs="Arial"/>
                <w:b/>
                <w:bCs/>
                <w:szCs w:val="18"/>
              </w:rPr>
              <w:t>0.00</w:t>
            </w:r>
          </w:p>
        </w:tc>
        <w:tc>
          <w:tcPr>
            <w:tcW w:w="1134" w:type="dxa"/>
            <w:tcBorders>
              <w:top w:val="single" w:sz="2" w:space="0" w:color="064EA8"/>
              <w:left w:val="nil"/>
              <w:bottom w:val="single" w:sz="2" w:space="0" w:color="064EA8"/>
              <w:right w:val="nil"/>
            </w:tcBorders>
            <w:vAlign w:val="center"/>
          </w:tcPr>
          <w:p w14:paraId="7B8CEE5C" w14:textId="602E2C45" w:rsidR="000B433B" w:rsidRDefault="00E933EF">
            <w:pPr>
              <w:spacing w:before="0"/>
              <w:jc w:val="center"/>
              <w:rPr>
                <w:rFonts w:cs="Arial"/>
                <w:b/>
                <w:bCs/>
                <w:szCs w:val="18"/>
              </w:rPr>
            </w:pPr>
            <w:r>
              <w:rPr>
                <w:rFonts w:cs="Arial"/>
                <w:b/>
                <w:bCs/>
                <w:szCs w:val="18"/>
              </w:rPr>
              <w:t>0.00</w:t>
            </w:r>
          </w:p>
        </w:tc>
      </w:tr>
      <w:tr w:rsidR="0005099E" w14:paraId="2B0C8B78" w14:textId="77777777" w:rsidTr="00CD14BC">
        <w:trPr>
          <w:trHeight w:val="283"/>
        </w:trPr>
        <w:tc>
          <w:tcPr>
            <w:tcW w:w="6096" w:type="dxa"/>
            <w:tcBorders>
              <w:top w:val="single" w:sz="2" w:space="0" w:color="064EA8"/>
              <w:left w:val="nil"/>
              <w:bottom w:val="single" w:sz="2" w:space="0" w:color="064EA8"/>
              <w:right w:val="nil"/>
            </w:tcBorders>
            <w:vAlign w:val="center"/>
          </w:tcPr>
          <w:p w14:paraId="35E67E1A" w14:textId="55D9DD9B" w:rsidR="0005099E" w:rsidRDefault="002742B4">
            <w:pPr>
              <w:spacing w:before="0"/>
              <w:jc w:val="right"/>
              <w:rPr>
                <w:rFonts w:cs="Arial"/>
                <w:b/>
                <w:bCs/>
                <w:szCs w:val="18"/>
              </w:rPr>
            </w:pPr>
            <w:r>
              <w:rPr>
                <w:rFonts w:cs="Arial"/>
                <w:b/>
                <w:bCs/>
                <w:szCs w:val="18"/>
              </w:rPr>
              <w:t xml:space="preserve">Element 3 - </w:t>
            </w:r>
            <w:r w:rsidR="0005099E" w:rsidRPr="00C952C6">
              <w:rPr>
                <w:b/>
                <w:bCs/>
                <w:szCs w:val="18"/>
              </w:rPr>
              <w:t>weighted score</w:t>
            </w:r>
          </w:p>
        </w:tc>
        <w:tc>
          <w:tcPr>
            <w:tcW w:w="1262" w:type="dxa"/>
            <w:tcBorders>
              <w:top w:val="single" w:sz="2" w:space="0" w:color="064EA8"/>
              <w:left w:val="nil"/>
              <w:bottom w:val="single" w:sz="2" w:space="0" w:color="064EA8"/>
              <w:right w:val="nil"/>
            </w:tcBorders>
            <w:vAlign w:val="center"/>
          </w:tcPr>
          <w:p w14:paraId="66807762" w14:textId="70C08590" w:rsidR="0005099E" w:rsidRDefault="0045124E">
            <w:pPr>
              <w:spacing w:before="0"/>
              <w:jc w:val="center"/>
              <w:rPr>
                <w:rFonts w:cs="Arial"/>
                <w:b/>
                <w:bCs/>
                <w:szCs w:val="18"/>
              </w:rPr>
            </w:pPr>
            <w:r>
              <w:rPr>
                <w:rFonts w:cs="Arial"/>
                <w:b/>
                <w:bCs/>
                <w:szCs w:val="18"/>
              </w:rPr>
              <w:t>100%</w:t>
            </w:r>
          </w:p>
        </w:tc>
        <w:tc>
          <w:tcPr>
            <w:tcW w:w="1006" w:type="dxa"/>
            <w:tcBorders>
              <w:top w:val="single" w:sz="2" w:space="0" w:color="064EA8"/>
              <w:left w:val="nil"/>
              <w:bottom w:val="single" w:sz="2" w:space="0" w:color="064EA8"/>
              <w:right w:val="nil"/>
            </w:tcBorders>
            <w:vAlign w:val="center"/>
          </w:tcPr>
          <w:p w14:paraId="6970DB24" w14:textId="032BED32" w:rsidR="0005099E" w:rsidRDefault="001F16BE">
            <w:pPr>
              <w:spacing w:before="0"/>
              <w:jc w:val="center"/>
              <w:rPr>
                <w:rFonts w:cs="Arial"/>
                <w:b/>
                <w:bCs/>
                <w:szCs w:val="18"/>
              </w:rPr>
            </w:pPr>
            <w:r>
              <w:rPr>
                <w:rFonts w:cs="Arial"/>
                <w:b/>
                <w:bCs/>
                <w:szCs w:val="18"/>
              </w:rPr>
              <w:t>0.</w:t>
            </w:r>
            <w:r w:rsidR="00627B0C">
              <w:rPr>
                <w:rFonts w:cs="Arial"/>
                <w:b/>
                <w:bCs/>
                <w:szCs w:val="18"/>
              </w:rPr>
              <w:t>25</w:t>
            </w:r>
          </w:p>
        </w:tc>
        <w:tc>
          <w:tcPr>
            <w:tcW w:w="1134" w:type="dxa"/>
            <w:tcBorders>
              <w:top w:val="single" w:sz="2" w:space="0" w:color="064EA8"/>
              <w:left w:val="nil"/>
              <w:bottom w:val="single" w:sz="2" w:space="0" w:color="064EA8"/>
              <w:right w:val="nil"/>
            </w:tcBorders>
            <w:vAlign w:val="center"/>
          </w:tcPr>
          <w:p w14:paraId="2993ED8A" w14:textId="7674BF1A" w:rsidR="0005099E" w:rsidRDefault="002B74F3">
            <w:pPr>
              <w:spacing w:before="0"/>
              <w:jc w:val="center"/>
              <w:rPr>
                <w:rFonts w:cs="Arial"/>
                <w:b/>
                <w:bCs/>
                <w:szCs w:val="18"/>
              </w:rPr>
            </w:pPr>
            <w:r>
              <w:rPr>
                <w:rFonts w:cs="Arial"/>
                <w:b/>
                <w:bCs/>
                <w:szCs w:val="18"/>
              </w:rPr>
              <w:t>3</w:t>
            </w:r>
            <w:r w:rsidR="001F16BE">
              <w:rPr>
                <w:rFonts w:cs="Arial"/>
                <w:b/>
                <w:bCs/>
                <w:szCs w:val="18"/>
              </w:rPr>
              <w:t>.</w:t>
            </w:r>
            <w:r>
              <w:rPr>
                <w:rFonts w:cs="Arial"/>
                <w:b/>
                <w:bCs/>
                <w:szCs w:val="18"/>
              </w:rPr>
              <w:t>25</w:t>
            </w:r>
          </w:p>
        </w:tc>
      </w:tr>
      <w:tr w:rsidR="009D3850" w14:paraId="25127CFB" w14:textId="77777777" w:rsidTr="00191FD3">
        <w:trPr>
          <w:trHeight w:val="283"/>
        </w:trPr>
        <w:tc>
          <w:tcPr>
            <w:tcW w:w="6096" w:type="dxa"/>
            <w:tcBorders>
              <w:top w:val="single" w:sz="2" w:space="0" w:color="064EA8"/>
              <w:left w:val="nil"/>
              <w:bottom w:val="single" w:sz="4" w:space="0" w:color="1B0B38"/>
              <w:right w:val="nil"/>
            </w:tcBorders>
            <w:vAlign w:val="center"/>
          </w:tcPr>
          <w:p w14:paraId="0A8AA37F" w14:textId="5D991ABA" w:rsidR="009D3850" w:rsidRPr="00C952C6" w:rsidRDefault="00594A8D">
            <w:pPr>
              <w:spacing w:before="0"/>
              <w:jc w:val="right"/>
              <w:rPr>
                <w:rFonts w:cs="Arial"/>
                <w:b/>
                <w:bCs/>
                <w:szCs w:val="18"/>
              </w:rPr>
            </w:pPr>
            <w:r>
              <w:rPr>
                <w:rFonts w:cs="Arial"/>
                <w:b/>
                <w:bCs/>
                <w:szCs w:val="18"/>
              </w:rPr>
              <w:t>TOTAL WEIGHTED SCORE</w:t>
            </w:r>
          </w:p>
        </w:tc>
        <w:tc>
          <w:tcPr>
            <w:tcW w:w="1262" w:type="dxa"/>
            <w:tcBorders>
              <w:top w:val="single" w:sz="2" w:space="0" w:color="064EA8"/>
              <w:left w:val="nil"/>
              <w:bottom w:val="single" w:sz="4" w:space="0" w:color="1B0B38"/>
              <w:right w:val="nil"/>
            </w:tcBorders>
            <w:vAlign w:val="center"/>
          </w:tcPr>
          <w:p w14:paraId="03AEE56E" w14:textId="77777777" w:rsidR="009D3850" w:rsidRDefault="009D3850">
            <w:pPr>
              <w:spacing w:before="0"/>
              <w:jc w:val="center"/>
              <w:rPr>
                <w:rFonts w:cs="Arial"/>
                <w:b/>
                <w:bCs/>
                <w:szCs w:val="18"/>
              </w:rPr>
            </w:pPr>
          </w:p>
        </w:tc>
        <w:tc>
          <w:tcPr>
            <w:tcW w:w="1006" w:type="dxa"/>
            <w:tcBorders>
              <w:top w:val="single" w:sz="2" w:space="0" w:color="064EA8"/>
              <w:left w:val="nil"/>
              <w:bottom w:val="single" w:sz="4" w:space="0" w:color="1B0B38"/>
              <w:right w:val="nil"/>
            </w:tcBorders>
          </w:tcPr>
          <w:p w14:paraId="67A45977" w14:textId="1F046984" w:rsidR="009D3850" w:rsidRDefault="00424DB7">
            <w:pPr>
              <w:spacing w:before="0"/>
              <w:jc w:val="center"/>
              <w:rPr>
                <w:rFonts w:cs="Arial"/>
                <w:b/>
                <w:bCs/>
                <w:szCs w:val="18"/>
              </w:rPr>
            </w:pPr>
            <w:r>
              <w:rPr>
                <w:rFonts w:cs="Arial"/>
                <w:b/>
                <w:bCs/>
                <w:szCs w:val="18"/>
              </w:rPr>
              <w:t>1.83</w:t>
            </w:r>
          </w:p>
        </w:tc>
        <w:tc>
          <w:tcPr>
            <w:tcW w:w="1134" w:type="dxa"/>
            <w:tcBorders>
              <w:top w:val="single" w:sz="2" w:space="0" w:color="064EA8"/>
              <w:left w:val="nil"/>
              <w:bottom w:val="single" w:sz="4" w:space="0" w:color="1B0B38"/>
              <w:right w:val="nil"/>
            </w:tcBorders>
          </w:tcPr>
          <w:p w14:paraId="27092663" w14:textId="21B85112" w:rsidR="009D3850" w:rsidRDefault="00424DB7">
            <w:pPr>
              <w:spacing w:before="0"/>
              <w:jc w:val="center"/>
              <w:rPr>
                <w:rFonts w:cs="Arial"/>
                <w:b/>
                <w:bCs/>
                <w:szCs w:val="18"/>
              </w:rPr>
            </w:pPr>
            <w:r>
              <w:rPr>
                <w:rFonts w:cs="Arial"/>
                <w:b/>
                <w:bCs/>
                <w:szCs w:val="18"/>
              </w:rPr>
              <w:t>5.92</w:t>
            </w:r>
          </w:p>
        </w:tc>
      </w:tr>
    </w:tbl>
    <w:p w14:paraId="71046E56" w14:textId="7859EA13" w:rsidR="00FC415F" w:rsidRDefault="00FC415F" w:rsidP="00FC415F">
      <w:r>
        <w:t xml:space="preserve">The weights assigned to each criterion in MCA can have a significant effect on the outcome of the assessment. Neutral weights of </w:t>
      </w:r>
      <w:r w:rsidR="006E2E86">
        <w:t>50</w:t>
      </w:r>
      <w:r w:rsidR="006279E1">
        <w:t xml:space="preserve"> per cent</w:t>
      </w:r>
      <w:r>
        <w:t xml:space="preserve"> in total for the benefit</w:t>
      </w:r>
      <w:r w:rsidR="006C22B4">
        <w:t xml:space="preserve"> </w:t>
      </w:r>
      <w:r>
        <w:t xml:space="preserve">related criteria and </w:t>
      </w:r>
      <w:r w:rsidR="006E2E86">
        <w:t>50</w:t>
      </w:r>
      <w:r w:rsidR="006279E1">
        <w:t xml:space="preserve"> per cent</w:t>
      </w:r>
      <w:r>
        <w:t xml:space="preserve"> in total for the cost</w:t>
      </w:r>
      <w:r w:rsidR="00CE7C63">
        <w:t xml:space="preserve"> </w:t>
      </w:r>
      <w:r>
        <w:t xml:space="preserve">related criteria have been applied to ensure that there is no cost or benefit bias in the weighted scores. </w:t>
      </w:r>
    </w:p>
    <w:p w14:paraId="5209D64C" w14:textId="75CF07F6" w:rsidR="00FC415F" w:rsidRDefault="00FC415F" w:rsidP="00FC415F">
      <w:pPr>
        <w:spacing w:before="0" w:after="0"/>
        <w:rPr>
          <w:rFonts w:ascii="Times New Roman" w:eastAsiaTheme="minorHAnsi" w:hAnsi="Times New Roman"/>
          <w:color w:val="auto"/>
          <w:sz w:val="24"/>
          <w:szCs w:val="24"/>
          <w:lang w:eastAsia="en-AU"/>
        </w:rPr>
      </w:pPr>
      <w:r>
        <w:t>The sub-weights assigned for each criterion reflect the equal weighting that government gives to achieving the objectives within each part of the regulatory frameworks</w:t>
      </w:r>
      <w:r w:rsidR="002C6B52">
        <w:t xml:space="preserve"> and the cost impost on government and industry</w:t>
      </w:r>
      <w:r>
        <w:t>.</w:t>
      </w:r>
      <w:r>
        <w:rPr>
          <w:rFonts w:ascii="Times New Roman" w:eastAsiaTheme="minorHAnsi" w:hAnsi="Times New Roman"/>
          <w:color w:val="auto"/>
          <w:sz w:val="24"/>
          <w:szCs w:val="24"/>
          <w:lang w:eastAsia="en-AU"/>
        </w:rPr>
        <w:t xml:space="preserve"> </w:t>
      </w:r>
    </w:p>
    <w:p w14:paraId="5E6F0197" w14:textId="77777777" w:rsidR="00FC415F" w:rsidRDefault="00FC415F" w:rsidP="00CD14BC">
      <w:pPr>
        <w:spacing w:after="120"/>
      </w:pPr>
      <w:r>
        <w:t>Results of the analysis are summarised below. Options 1 and 2 are both preferred to the status quo. This reflects that:</w:t>
      </w:r>
    </w:p>
    <w:p w14:paraId="639CF1D8" w14:textId="77777777" w:rsidR="00FC415F" w:rsidRDefault="00FC415F" w:rsidP="00CD14BC">
      <w:pPr>
        <w:pStyle w:val="dotpoints"/>
        <w:numPr>
          <w:ilvl w:val="0"/>
          <w:numId w:val="110"/>
        </w:numPr>
        <w:spacing w:after="120"/>
        <w:ind w:left="357" w:hanging="357"/>
      </w:pPr>
      <w:r>
        <w:t xml:space="preserve">Options 1 and 2 are expected to result in better management of declared mine risks compared to the status quo as mine operators are required to submit a DMRP and provide additional detail with regard to rehabilitation planning; and </w:t>
      </w:r>
    </w:p>
    <w:p w14:paraId="16F6CC34" w14:textId="77777777" w:rsidR="00FC415F" w:rsidRDefault="00FC415F" w:rsidP="00CD14BC">
      <w:pPr>
        <w:pStyle w:val="dotpoints"/>
        <w:numPr>
          <w:ilvl w:val="0"/>
          <w:numId w:val="110"/>
        </w:numPr>
        <w:spacing w:after="120"/>
        <w:ind w:left="357" w:hanging="357"/>
      </w:pPr>
      <w:r>
        <w:lastRenderedPageBreak/>
        <w:t>Options 1 and 2 provide additional clarity around decision-making processes with regards to mine closure compared to the status quo.</w:t>
      </w:r>
    </w:p>
    <w:p w14:paraId="1504AD7A" w14:textId="33C10830" w:rsidR="00FC415F" w:rsidRDefault="00FC415F" w:rsidP="00FC415F">
      <w:r>
        <w:t xml:space="preserve">Option 2 received a higher score than Option 1 in </w:t>
      </w:r>
      <w:r w:rsidR="009027C7">
        <w:t xml:space="preserve">the </w:t>
      </w:r>
      <w:r w:rsidR="0043680A">
        <w:t>majority of</w:t>
      </w:r>
      <w:r>
        <w:t xml:space="preserve"> assessment criteri</w:t>
      </w:r>
      <w:r w:rsidR="009027C7">
        <w:t>a</w:t>
      </w:r>
      <w:r>
        <w:t xml:space="preserve"> (see chapter 6 for further detail). </w:t>
      </w:r>
      <w:r w:rsidR="00162A91">
        <w:t xml:space="preserve">In all three elements of the regulatory framework, the benefits achieved by Option 2 also outweighed the associated costs to industry and government. </w:t>
      </w:r>
      <w:r>
        <w:t xml:space="preserve">This reflects that Option 2 facilitates better management of declared mine risk and more accurate assessment of liability through a transparent and flexible planning approach, which is more suited to the uncertain environment in which declared mine rehabilitation is occurring. </w:t>
      </w:r>
    </w:p>
    <w:p w14:paraId="32230B6D" w14:textId="15D7E1AB" w:rsidR="00B97436" w:rsidRPr="007D74B2" w:rsidRDefault="00906364" w:rsidP="00CD14BC">
      <w:pPr>
        <w:spacing w:after="120"/>
      </w:pPr>
      <w:r w:rsidRPr="007D74B2">
        <w:t>Option 2 yield</w:t>
      </w:r>
      <w:r w:rsidR="002E13DA" w:rsidRPr="007D74B2">
        <w:t>ed</w:t>
      </w:r>
      <w:r w:rsidRPr="007D74B2">
        <w:t xml:space="preserve"> a higher net benefit </w:t>
      </w:r>
      <w:r w:rsidR="00CB52DE" w:rsidRPr="007D74B2">
        <w:t>when accounting for costs to industry and government</w:t>
      </w:r>
      <w:r w:rsidR="002F265F" w:rsidRPr="007D74B2">
        <w:t xml:space="preserve"> by prescribing details to operationalise three areas of the Amendment Act</w:t>
      </w:r>
      <w:r w:rsidR="006F54D6" w:rsidRPr="007D74B2">
        <w:t>, the criteria, outlined below</w:t>
      </w:r>
      <w:r w:rsidR="002F265F" w:rsidRPr="007D74B2">
        <w:t>.</w:t>
      </w:r>
    </w:p>
    <w:p w14:paraId="5E9120BC" w14:textId="77777777" w:rsidR="006F54D6" w:rsidRPr="00CD14BC" w:rsidRDefault="001114DE" w:rsidP="006F54D6">
      <w:pPr>
        <w:rPr>
          <w:b/>
          <w:bCs/>
          <w:color w:val="003A7D" w:themeColor="text2" w:themeShade="BF"/>
          <w:sz w:val="22"/>
          <w:szCs w:val="22"/>
        </w:rPr>
      </w:pPr>
      <w:r w:rsidRPr="00CD14BC">
        <w:rPr>
          <w:b/>
          <w:bCs/>
          <w:color w:val="003A7D" w:themeColor="text2" w:themeShade="BF"/>
          <w:sz w:val="22"/>
          <w:szCs w:val="22"/>
        </w:rPr>
        <w:t>Declared Mine Rehabilitation Plans</w:t>
      </w:r>
      <w:r w:rsidR="00145C34" w:rsidRPr="00CD14BC">
        <w:rPr>
          <w:b/>
          <w:bCs/>
          <w:color w:val="003A7D" w:themeColor="text2" w:themeShade="BF"/>
          <w:sz w:val="22"/>
          <w:szCs w:val="22"/>
        </w:rPr>
        <w:t xml:space="preserve"> </w:t>
      </w:r>
    </w:p>
    <w:p w14:paraId="0916C7F7" w14:textId="7AA5CAC1" w:rsidR="003619AC" w:rsidRPr="007D74B2" w:rsidRDefault="006F54D6">
      <w:r w:rsidRPr="007D74B2">
        <w:t xml:space="preserve">DMRPs </w:t>
      </w:r>
      <w:r w:rsidR="00145C34" w:rsidRPr="007D74B2">
        <w:t xml:space="preserve">submitted </w:t>
      </w:r>
      <w:r w:rsidR="008F7834" w:rsidRPr="007D74B2">
        <w:t xml:space="preserve">under </w:t>
      </w:r>
      <w:r w:rsidR="00145C34" w:rsidRPr="007D74B2">
        <w:t>Option 2</w:t>
      </w:r>
      <w:r w:rsidR="00EA53F1" w:rsidRPr="007D74B2">
        <w:t xml:space="preserve"> </w:t>
      </w:r>
      <w:r w:rsidR="00583323">
        <w:t xml:space="preserve">would </w:t>
      </w:r>
      <w:r w:rsidR="00EA53F1" w:rsidRPr="007D74B2">
        <w:t xml:space="preserve">enable improved management </w:t>
      </w:r>
      <w:r w:rsidR="00DF400B" w:rsidRPr="007D74B2">
        <w:t>of the risks posed by declare land compared with Option 1</w:t>
      </w:r>
      <w:r w:rsidR="00944A1F" w:rsidRPr="007D74B2">
        <w:t xml:space="preserve"> due to longer time periods</w:t>
      </w:r>
      <w:r w:rsidR="0052231D" w:rsidRPr="007D74B2">
        <w:t xml:space="preserve"> to assess </w:t>
      </w:r>
      <w:r w:rsidR="008D2F66" w:rsidRPr="007D74B2">
        <w:t xml:space="preserve">declared mine rehabilitation </w:t>
      </w:r>
      <w:r w:rsidR="0052231D" w:rsidRPr="007D74B2">
        <w:t xml:space="preserve">liability </w:t>
      </w:r>
      <w:r w:rsidR="00E1274A" w:rsidRPr="007D74B2">
        <w:t>amounting to more information collected</w:t>
      </w:r>
      <w:r w:rsidR="00ED611B" w:rsidRPr="007D74B2">
        <w:t xml:space="preserve"> on declared mines over time. </w:t>
      </w:r>
      <w:r w:rsidR="00F636DF" w:rsidRPr="007D74B2">
        <w:t xml:space="preserve">Option 2 accounts for the risk under Option 1 that DMRPs </w:t>
      </w:r>
      <w:r w:rsidR="003E7EEB" w:rsidRPr="007D74B2">
        <w:t xml:space="preserve">will require information about the mine site to be collected before </w:t>
      </w:r>
      <w:r w:rsidR="000C6F5E" w:rsidRPr="007D74B2">
        <w:t xml:space="preserve">all the technical features and potential risks posed by the land are understood. </w:t>
      </w:r>
      <w:r w:rsidR="00FF6745" w:rsidRPr="007D74B2">
        <w:t xml:space="preserve">The additional requirement of </w:t>
      </w:r>
      <w:r w:rsidR="00A41B58" w:rsidRPr="007D74B2">
        <w:t>extended consultation referrals</w:t>
      </w:r>
      <w:r w:rsidR="000C6F5E" w:rsidRPr="007D74B2">
        <w:t xml:space="preserve"> on</w:t>
      </w:r>
      <w:r w:rsidR="0051193D" w:rsidRPr="007D74B2">
        <w:t xml:space="preserve"> the matters </w:t>
      </w:r>
      <w:r w:rsidR="00337CED" w:rsidRPr="007D74B2">
        <w:t xml:space="preserve">that must be considered in DMRPs and evidence to be provided </w:t>
      </w:r>
      <w:r w:rsidR="00394FB7" w:rsidRPr="007D74B2">
        <w:t xml:space="preserve">on how </w:t>
      </w:r>
      <w:r w:rsidR="001F0C36">
        <w:t xml:space="preserve">matters </w:t>
      </w:r>
      <w:r w:rsidR="007147D9" w:rsidRPr="007D74B2">
        <w:t xml:space="preserve">required of a DMRP </w:t>
      </w:r>
      <w:r w:rsidR="008238AB" w:rsidRPr="007D74B2">
        <w:t>by the decision-maker will be met</w:t>
      </w:r>
      <w:r w:rsidR="00576678" w:rsidRPr="007D74B2">
        <w:t>,</w:t>
      </w:r>
      <w:r w:rsidR="008238AB" w:rsidRPr="007D74B2">
        <w:t xml:space="preserve"> provide </w:t>
      </w:r>
      <w:r w:rsidR="00E737EF" w:rsidRPr="007D74B2">
        <w:t xml:space="preserve">strengthened transparency and </w:t>
      </w:r>
      <w:r w:rsidR="00576678" w:rsidRPr="007D74B2">
        <w:t xml:space="preserve">accountability for </w:t>
      </w:r>
      <w:r w:rsidR="00B23621" w:rsidRPr="007D74B2">
        <w:t xml:space="preserve">the </w:t>
      </w:r>
      <w:r w:rsidR="00576678" w:rsidRPr="007D74B2">
        <w:t xml:space="preserve">rehabilitation requirements of the </w:t>
      </w:r>
      <w:r w:rsidR="00D45ABF" w:rsidRPr="007D74B2">
        <w:t>landowner</w:t>
      </w:r>
      <w:r w:rsidR="002A3F5F" w:rsidRPr="007D74B2">
        <w:t xml:space="preserve"> and the monitoring</w:t>
      </w:r>
      <w:r w:rsidR="004262FA" w:rsidRPr="007D74B2">
        <w:t xml:space="preserve"> </w:t>
      </w:r>
      <w:r w:rsidR="00B23621" w:rsidRPr="007D74B2">
        <w:t>party</w:t>
      </w:r>
      <w:r w:rsidR="00601DC7" w:rsidRPr="007D74B2">
        <w:t xml:space="preserve"> under Option 2</w:t>
      </w:r>
      <w:r w:rsidR="00576678" w:rsidRPr="007D74B2">
        <w:t>.</w:t>
      </w:r>
      <w:r w:rsidR="009E7EFD" w:rsidRPr="007D74B2">
        <w:t xml:space="preserve"> </w:t>
      </w:r>
    </w:p>
    <w:p w14:paraId="75161C38" w14:textId="1AD8C553" w:rsidR="00576678" w:rsidRPr="007D74B2" w:rsidRDefault="000F7D09" w:rsidP="00CD14BC">
      <w:r w:rsidRPr="007D74B2">
        <w:t>Collection</w:t>
      </w:r>
      <w:r w:rsidR="006018E3" w:rsidRPr="007D74B2">
        <w:t>,</w:t>
      </w:r>
      <w:r w:rsidR="00B64ECD" w:rsidRPr="007D74B2">
        <w:t xml:space="preserve"> </w:t>
      </w:r>
      <w:r w:rsidRPr="007D74B2">
        <w:t>r</w:t>
      </w:r>
      <w:r w:rsidR="009E7EFD" w:rsidRPr="007D74B2">
        <w:t>eporting</w:t>
      </w:r>
      <w:r w:rsidRPr="007D74B2">
        <w:t xml:space="preserve"> </w:t>
      </w:r>
      <w:r w:rsidR="006018E3" w:rsidRPr="007D74B2">
        <w:t xml:space="preserve">and outsourcing </w:t>
      </w:r>
      <w:r w:rsidRPr="007D74B2">
        <w:t xml:space="preserve">activities will be greater </w:t>
      </w:r>
      <w:r w:rsidR="0074256E" w:rsidRPr="007D74B2">
        <w:t xml:space="preserve">under </w:t>
      </w:r>
      <w:r w:rsidRPr="007D74B2">
        <w:t xml:space="preserve">Option 2 </w:t>
      </w:r>
      <w:r w:rsidR="006018E3" w:rsidRPr="007D74B2">
        <w:t xml:space="preserve">for industry compared to Option 1 </w:t>
      </w:r>
      <w:r w:rsidRPr="007D74B2">
        <w:t xml:space="preserve">and will </w:t>
      </w:r>
      <w:r w:rsidR="00CF2496" w:rsidRPr="007D74B2">
        <w:t xml:space="preserve">also </w:t>
      </w:r>
      <w:r w:rsidRPr="007D74B2">
        <w:t xml:space="preserve">result in greater </w:t>
      </w:r>
      <w:r w:rsidR="0074256E" w:rsidRPr="007D74B2">
        <w:t xml:space="preserve">costs to government </w:t>
      </w:r>
      <w:r w:rsidR="00CF2496" w:rsidRPr="007D74B2">
        <w:t xml:space="preserve">due to increased assessment, monitoring and </w:t>
      </w:r>
      <w:r w:rsidR="00C7036F" w:rsidRPr="007D74B2">
        <w:t xml:space="preserve">evaluation of </w:t>
      </w:r>
      <w:r w:rsidR="00AD5AB9" w:rsidRPr="007D74B2">
        <w:t>industry rehabilitation planning and activity.</w:t>
      </w:r>
    </w:p>
    <w:p w14:paraId="4CB43B8F" w14:textId="77777777" w:rsidR="00FE326B" w:rsidRPr="00CD14BC" w:rsidRDefault="00451565" w:rsidP="006F54D6">
      <w:pPr>
        <w:rPr>
          <w:b/>
          <w:bCs/>
          <w:color w:val="003A7D" w:themeColor="text2" w:themeShade="BF"/>
          <w:sz w:val="22"/>
          <w:szCs w:val="22"/>
        </w:rPr>
      </w:pPr>
      <w:r w:rsidRPr="00CD14BC">
        <w:rPr>
          <w:b/>
          <w:bCs/>
          <w:color w:val="003A7D" w:themeColor="text2" w:themeShade="BF"/>
          <w:sz w:val="22"/>
          <w:szCs w:val="22"/>
        </w:rPr>
        <w:t xml:space="preserve">Mine closure determinations </w:t>
      </w:r>
    </w:p>
    <w:p w14:paraId="4818F413" w14:textId="77777777" w:rsidR="003619AC" w:rsidRDefault="0021049A" w:rsidP="006F54D6">
      <w:r w:rsidRPr="00CD14BC">
        <w:t xml:space="preserve">Mine closure determinations </w:t>
      </w:r>
      <w:r w:rsidR="00372DDF" w:rsidRPr="007D74B2">
        <w:t>w</w:t>
      </w:r>
      <w:r w:rsidR="003E05D0" w:rsidRPr="00CD14BC">
        <w:t xml:space="preserve">ere better aided by Option 2 relative to Option 1 overall. </w:t>
      </w:r>
      <w:r w:rsidR="00744953" w:rsidRPr="007D74B2">
        <w:t>Since</w:t>
      </w:r>
      <w:r w:rsidR="00064296" w:rsidRPr="00CD14BC">
        <w:t xml:space="preserve"> the </w:t>
      </w:r>
      <w:r w:rsidR="003F0125" w:rsidRPr="00CD14BC">
        <w:t xml:space="preserve">landform </w:t>
      </w:r>
      <w:r w:rsidR="000A3D0C" w:rsidRPr="00CD14BC">
        <w:t xml:space="preserve">outcomes </w:t>
      </w:r>
      <w:r w:rsidR="003F0125" w:rsidRPr="00CD14BC">
        <w:t xml:space="preserve">of the declared mine land </w:t>
      </w:r>
      <w:r w:rsidR="004A072C" w:rsidRPr="00CD14BC">
        <w:t xml:space="preserve">after </w:t>
      </w:r>
      <w:r w:rsidR="003F0125" w:rsidRPr="00CD14BC">
        <w:t>rehabilitation</w:t>
      </w:r>
      <w:r w:rsidR="004A072C" w:rsidRPr="00CD14BC">
        <w:t xml:space="preserve"> </w:t>
      </w:r>
      <w:r w:rsidR="00C55825" w:rsidRPr="00CD14BC">
        <w:t xml:space="preserve">are known </w:t>
      </w:r>
      <w:r w:rsidR="003A4462" w:rsidRPr="00CD14BC">
        <w:t xml:space="preserve">at the outset, Option 1 in fact scored higher </w:t>
      </w:r>
      <w:r w:rsidR="00B910F2" w:rsidRPr="00CD14BC">
        <w:t xml:space="preserve">than Option 2 </w:t>
      </w:r>
      <w:r w:rsidR="00F61F95" w:rsidRPr="00CD14BC">
        <w:t>o</w:t>
      </w:r>
      <w:r w:rsidR="00B910F2" w:rsidRPr="00CD14BC">
        <w:t>n the criterion of supporting informed decision-making</w:t>
      </w:r>
      <w:r w:rsidR="00F61F95" w:rsidRPr="00CD14BC">
        <w:t xml:space="preserve"> to ensure rehabilitation meet</w:t>
      </w:r>
      <w:r w:rsidR="003A0AC0" w:rsidRPr="00CD14BC">
        <w:t>s</w:t>
      </w:r>
      <w:r w:rsidR="00F61F95" w:rsidRPr="00CD14BC">
        <w:t xml:space="preserve"> legislative objectives. </w:t>
      </w:r>
      <w:r w:rsidR="003A0AC0" w:rsidRPr="00CD14BC">
        <w:t xml:space="preserve">While Option 2 </w:t>
      </w:r>
      <w:r w:rsidR="00FA7079" w:rsidRPr="00CD14BC">
        <w:t>still supports</w:t>
      </w:r>
      <w:r w:rsidR="00FA7079" w:rsidRPr="007D74B2">
        <w:t xml:space="preserve"> informed decision-making to ensure </w:t>
      </w:r>
      <w:r w:rsidR="00744953" w:rsidRPr="007D74B2">
        <w:t>rehabilitation</w:t>
      </w:r>
      <w:r w:rsidR="00FA7079" w:rsidRPr="007D74B2">
        <w:t xml:space="preserve"> meets</w:t>
      </w:r>
      <w:r w:rsidR="00744953" w:rsidRPr="007D74B2">
        <w:t xml:space="preserve"> legislative objectives, </w:t>
      </w:r>
      <w:r w:rsidR="001F33ED" w:rsidRPr="007D74B2">
        <w:t xml:space="preserve">the final landform is </w:t>
      </w:r>
      <w:r w:rsidR="00266842" w:rsidRPr="007D74B2">
        <w:t>known in the distan</w:t>
      </w:r>
      <w:r w:rsidR="00B133A6" w:rsidRPr="007D74B2">
        <w:t>t</w:t>
      </w:r>
      <w:r w:rsidR="00266842" w:rsidRPr="007D74B2">
        <w:t xml:space="preserve"> future </w:t>
      </w:r>
      <w:r w:rsidR="001F33ED" w:rsidRPr="007D74B2">
        <w:t xml:space="preserve">and hence more uncertainty exists </w:t>
      </w:r>
      <w:r w:rsidR="00C8260F" w:rsidRPr="007D74B2">
        <w:t xml:space="preserve">for industry, government and community </w:t>
      </w:r>
      <w:r w:rsidR="00855A61" w:rsidRPr="007D74B2">
        <w:t xml:space="preserve">under Option 2 compared to Option 1 </w:t>
      </w:r>
      <w:r w:rsidR="00C8260F" w:rsidRPr="007D74B2">
        <w:t xml:space="preserve">on </w:t>
      </w:r>
      <w:r w:rsidR="00B133A6" w:rsidRPr="007D74B2">
        <w:t xml:space="preserve">decision-making </w:t>
      </w:r>
      <w:r w:rsidR="00C8260F" w:rsidRPr="007D74B2">
        <w:t>that concerns rehabilitation that is consistent with legislative objectives.</w:t>
      </w:r>
      <w:r w:rsidR="00855A61" w:rsidRPr="007D74B2">
        <w:t xml:space="preserve"> It must </w:t>
      </w:r>
      <w:r w:rsidR="007E082B" w:rsidRPr="007D74B2">
        <w:t xml:space="preserve">also </w:t>
      </w:r>
      <w:r w:rsidR="00855A61" w:rsidRPr="007D74B2">
        <w:t xml:space="preserve">be </w:t>
      </w:r>
      <w:r w:rsidR="00F26170" w:rsidRPr="007D74B2">
        <w:t xml:space="preserve">recognised </w:t>
      </w:r>
      <w:r w:rsidR="00855A61" w:rsidRPr="007D74B2">
        <w:t xml:space="preserve">that </w:t>
      </w:r>
      <w:r w:rsidR="0094690D" w:rsidRPr="007D74B2">
        <w:t>the decreased certainty o</w:t>
      </w:r>
      <w:r w:rsidR="00BA15EF" w:rsidRPr="007D74B2">
        <w:t>f</w:t>
      </w:r>
      <w:r w:rsidR="0094690D" w:rsidRPr="007D74B2">
        <w:t xml:space="preserve"> </w:t>
      </w:r>
      <w:r w:rsidR="002B07EF" w:rsidRPr="007D74B2">
        <w:t>rehabilitation</w:t>
      </w:r>
      <w:r w:rsidR="0094690D" w:rsidRPr="007D74B2">
        <w:t xml:space="preserve"> </w:t>
      </w:r>
      <w:r w:rsidR="002B07EF" w:rsidRPr="007D74B2">
        <w:t xml:space="preserve">meeting legislative objectives under Option 2 </w:t>
      </w:r>
      <w:r w:rsidR="00822DFD" w:rsidRPr="007D74B2">
        <w:t>is accompanied by a</w:t>
      </w:r>
      <w:r w:rsidR="008671D5" w:rsidRPr="007D74B2">
        <w:t xml:space="preserve"> more transparent decision-making process over Option 1 since more </w:t>
      </w:r>
      <w:r w:rsidR="00B018E5" w:rsidRPr="007D74B2">
        <w:t xml:space="preserve">time </w:t>
      </w:r>
      <w:r w:rsidR="00DE6B2C" w:rsidRPr="007D74B2">
        <w:t xml:space="preserve">to decide rehabilitation outcomes allows for more </w:t>
      </w:r>
      <w:r w:rsidR="00DA6B2B" w:rsidRPr="007D74B2">
        <w:t>stakeholders</w:t>
      </w:r>
      <w:r w:rsidR="000345DC" w:rsidRPr="007D74B2">
        <w:t xml:space="preserve"> to have legitimate input</w:t>
      </w:r>
      <w:r w:rsidR="00DA6B2B" w:rsidRPr="007D74B2">
        <w:t xml:space="preserve"> into decision-making</w:t>
      </w:r>
      <w:r w:rsidR="0086606E" w:rsidRPr="007D74B2">
        <w:t xml:space="preserve"> and the preferred option does not presuppose</w:t>
      </w:r>
      <w:r w:rsidR="00A81D5D" w:rsidRPr="007D74B2">
        <w:t xml:space="preserve"> </w:t>
      </w:r>
      <w:r w:rsidR="00372DDF" w:rsidRPr="007D74B2">
        <w:t>rehabilitation</w:t>
      </w:r>
      <w:r w:rsidR="009D7A7F" w:rsidRPr="007D74B2">
        <w:t xml:space="preserve"> outcome</w:t>
      </w:r>
      <w:r w:rsidR="00A81D5D" w:rsidRPr="007D74B2">
        <w:t>s</w:t>
      </w:r>
      <w:r w:rsidR="009D7A7F" w:rsidRPr="007D74B2">
        <w:t xml:space="preserve"> without </w:t>
      </w:r>
      <w:r w:rsidR="00372DDF" w:rsidRPr="007D74B2">
        <w:t>consulting with those who are most affected by the declared mines.</w:t>
      </w:r>
      <w:r w:rsidR="003648C8">
        <w:t xml:space="preserve"> </w:t>
      </w:r>
    </w:p>
    <w:p w14:paraId="420EE3D0" w14:textId="2A777274" w:rsidR="00FA7079" w:rsidRPr="00CD14BC" w:rsidRDefault="003648C8" w:rsidP="006F54D6">
      <w:r>
        <w:t xml:space="preserve">Option </w:t>
      </w:r>
      <w:r w:rsidR="003A6FC8">
        <w:t>1</w:t>
      </w:r>
      <w:r w:rsidR="00922B6A">
        <w:t xml:space="preserve"> would </w:t>
      </w:r>
      <w:r w:rsidR="00BA3B4B">
        <w:t>entail</w:t>
      </w:r>
      <w:r w:rsidR="003A6FC8">
        <w:t xml:space="preserve"> more</w:t>
      </w:r>
      <w:r w:rsidR="00BA3B4B">
        <w:t xml:space="preserve"> costs</w:t>
      </w:r>
      <w:r w:rsidR="00BE47C4">
        <w:t xml:space="preserve"> </w:t>
      </w:r>
      <w:r w:rsidR="00DB5706">
        <w:t xml:space="preserve">to </w:t>
      </w:r>
      <w:r w:rsidR="00BE47C4">
        <w:t xml:space="preserve">industry than Option </w:t>
      </w:r>
      <w:r w:rsidR="003A6FC8">
        <w:t>2</w:t>
      </w:r>
      <w:r w:rsidR="00443B6E">
        <w:t xml:space="preserve"> due to the external verification requirements</w:t>
      </w:r>
      <w:r w:rsidR="00F21376">
        <w:t xml:space="preserve"> on matters to be consider</w:t>
      </w:r>
      <w:r w:rsidR="000E05C9">
        <w:t>ed for closure</w:t>
      </w:r>
      <w:r w:rsidR="00432EDE">
        <w:t xml:space="preserve">, but Option 2 </w:t>
      </w:r>
      <w:r w:rsidR="00C932FE">
        <w:t>has</w:t>
      </w:r>
      <w:r w:rsidR="00432EDE">
        <w:t xml:space="preserve"> greater costs to government </w:t>
      </w:r>
      <w:r w:rsidR="00C932FE">
        <w:t>than</w:t>
      </w:r>
      <w:r w:rsidR="00432EDE">
        <w:t xml:space="preserve"> Option 1</w:t>
      </w:r>
      <w:r w:rsidR="00AF7002">
        <w:t xml:space="preserve"> </w:t>
      </w:r>
      <w:r w:rsidR="00AF7002" w:rsidRPr="00AF7002">
        <w:t>as the Minister is required to assess the evidence provided by the licensee in support of their closure determination</w:t>
      </w:r>
      <w:r w:rsidR="00986832">
        <w:t>.</w:t>
      </w:r>
    </w:p>
    <w:p w14:paraId="207FEB80" w14:textId="3D29F2EC" w:rsidR="00073BEC" w:rsidRPr="00CD14BC" w:rsidRDefault="00073BEC" w:rsidP="006F54D6">
      <w:pPr>
        <w:rPr>
          <w:b/>
          <w:bCs/>
          <w:color w:val="003A7D" w:themeColor="text2" w:themeShade="BF"/>
          <w:sz w:val="22"/>
          <w:szCs w:val="22"/>
        </w:rPr>
      </w:pPr>
      <w:r w:rsidRPr="00CD14BC">
        <w:rPr>
          <w:b/>
          <w:bCs/>
          <w:color w:val="003A7D" w:themeColor="text2" w:themeShade="BF"/>
          <w:sz w:val="22"/>
          <w:szCs w:val="22"/>
        </w:rPr>
        <w:t>Mine land registration</w:t>
      </w:r>
    </w:p>
    <w:p w14:paraId="55F911C8" w14:textId="436E96D8" w:rsidR="004C2658" w:rsidRDefault="00235CC1" w:rsidP="004C2658">
      <w:r w:rsidRPr="00CD14BC">
        <w:t xml:space="preserve">As compared to Option 1, </w:t>
      </w:r>
      <w:r w:rsidR="00C95309" w:rsidRPr="009C0109">
        <w:t xml:space="preserve">Option 2 yields </w:t>
      </w:r>
      <w:r w:rsidR="00216986" w:rsidRPr="00CD14BC">
        <w:t xml:space="preserve">greater </w:t>
      </w:r>
      <w:r w:rsidR="00C95309" w:rsidRPr="009C0109">
        <w:t xml:space="preserve">benefit </w:t>
      </w:r>
      <w:r w:rsidR="00EE07D6" w:rsidRPr="009C0109">
        <w:t>to the sub-criteri</w:t>
      </w:r>
      <w:r w:rsidR="00216986" w:rsidRPr="00CD14BC">
        <w:t>on</w:t>
      </w:r>
      <w:r w:rsidR="00EE07D6" w:rsidRPr="009C0109">
        <w:t xml:space="preserve"> </w:t>
      </w:r>
      <w:r w:rsidR="00B42C42" w:rsidRPr="009C0109">
        <w:t xml:space="preserve">of </w:t>
      </w:r>
      <w:r w:rsidR="00CF63FB" w:rsidRPr="009C0109">
        <w:t xml:space="preserve">obtaining </w:t>
      </w:r>
      <w:r w:rsidR="00216986" w:rsidRPr="00CD14BC">
        <w:t xml:space="preserve">sufficiently </w:t>
      </w:r>
      <w:r w:rsidR="00CF63FB" w:rsidRPr="009C0109">
        <w:t xml:space="preserve">more information </w:t>
      </w:r>
      <w:r w:rsidR="00E17720" w:rsidRPr="009C0109">
        <w:t xml:space="preserve">about </w:t>
      </w:r>
      <w:r w:rsidR="00D0779A" w:rsidRPr="009C0109">
        <w:t>declared mine sites be</w:t>
      </w:r>
      <w:r w:rsidR="00ED6F8B" w:rsidRPr="009C0109">
        <w:t>ing</w:t>
      </w:r>
      <w:r w:rsidR="00D0779A" w:rsidRPr="009C0109">
        <w:t xml:space="preserve"> registered</w:t>
      </w:r>
      <w:r w:rsidR="00D0779A" w:rsidRPr="00CD14BC">
        <w:t xml:space="preserve"> </w:t>
      </w:r>
      <w:r w:rsidR="000F273A" w:rsidRPr="00CD14BC">
        <w:t xml:space="preserve">and </w:t>
      </w:r>
      <w:r w:rsidR="00AC04E6">
        <w:t xml:space="preserve">hence </w:t>
      </w:r>
      <w:r w:rsidR="004C2658" w:rsidRPr="00CD14BC">
        <w:t xml:space="preserve">available </w:t>
      </w:r>
      <w:r w:rsidR="000F273A" w:rsidRPr="009C0109">
        <w:t xml:space="preserve">to government, stakeholders and </w:t>
      </w:r>
      <w:r w:rsidR="00E17720" w:rsidRPr="009C0109">
        <w:t xml:space="preserve">the </w:t>
      </w:r>
      <w:r w:rsidR="000F273A" w:rsidRPr="009C0109">
        <w:t xml:space="preserve">community to inform future decision-making about the declared mine </w:t>
      </w:r>
      <w:r w:rsidR="00A359A5">
        <w:t>s</w:t>
      </w:r>
      <w:r w:rsidR="000F273A" w:rsidRPr="009C0109">
        <w:t>ites after closure.</w:t>
      </w:r>
      <w:r w:rsidRPr="009C0109">
        <w:t xml:space="preserve"> Th</w:t>
      </w:r>
      <w:r w:rsidR="008A0796">
        <w:t xml:space="preserve">e </w:t>
      </w:r>
      <w:r w:rsidRPr="009C0109">
        <w:t>improve</w:t>
      </w:r>
      <w:r w:rsidR="0048643B">
        <w:t>d</w:t>
      </w:r>
      <w:r w:rsidRPr="009C0109">
        <w:t xml:space="preserve"> information registered against </w:t>
      </w:r>
      <w:r w:rsidR="00E17720">
        <w:t>declared mine land</w:t>
      </w:r>
      <w:r w:rsidR="008C0233">
        <w:t xml:space="preserve"> </w:t>
      </w:r>
      <w:r w:rsidR="008E3FAC">
        <w:t xml:space="preserve">aids </w:t>
      </w:r>
      <w:r w:rsidR="00897582">
        <w:t xml:space="preserve">fairer and </w:t>
      </w:r>
      <w:r w:rsidR="00DD53C5">
        <w:t>more transparen</w:t>
      </w:r>
      <w:r w:rsidR="00897582">
        <w:t xml:space="preserve">t </w:t>
      </w:r>
      <w:r w:rsidR="008C7FC1">
        <w:t xml:space="preserve">estimations of operator </w:t>
      </w:r>
      <w:r w:rsidR="00D95922">
        <w:t>contribution requirements</w:t>
      </w:r>
      <w:r w:rsidR="00E0611A">
        <w:t xml:space="preserve"> </w:t>
      </w:r>
      <w:r w:rsidR="00D95922">
        <w:t xml:space="preserve">into </w:t>
      </w:r>
      <w:r w:rsidR="00D95922" w:rsidRPr="009C0109">
        <w:t xml:space="preserve">the </w:t>
      </w:r>
      <w:r w:rsidR="00D52C6B" w:rsidRPr="009C0109">
        <w:t>D</w:t>
      </w:r>
      <w:r w:rsidR="00D95922" w:rsidRPr="009C0109">
        <w:t xml:space="preserve">eclared </w:t>
      </w:r>
      <w:r w:rsidR="00D52C6B" w:rsidRPr="009C0109">
        <w:t>M</w:t>
      </w:r>
      <w:r w:rsidR="00D95922" w:rsidRPr="009C0109">
        <w:t>ine Fund</w:t>
      </w:r>
      <w:r w:rsidR="00986832">
        <w:t xml:space="preserve"> </w:t>
      </w:r>
      <w:r w:rsidR="00FC353A">
        <w:t>in Option 2</w:t>
      </w:r>
      <w:r w:rsidR="00986832" w:rsidRPr="009C0109">
        <w:t xml:space="preserve"> compared to Option 1</w:t>
      </w:r>
      <w:r w:rsidR="00D95922" w:rsidRPr="009C0109">
        <w:t>.</w:t>
      </w:r>
    </w:p>
    <w:p w14:paraId="2F83B4E9" w14:textId="049DB9FC" w:rsidR="00073BEC" w:rsidRDefault="001F27D7" w:rsidP="00CD14BC">
      <w:r w:rsidRPr="001F27D7">
        <w:t>While Option 2 impose</w:t>
      </w:r>
      <w:r w:rsidR="000E7C57">
        <w:t>s</w:t>
      </w:r>
      <w:r w:rsidRPr="001F27D7">
        <w:t xml:space="preserve"> </w:t>
      </w:r>
      <w:r w:rsidR="009C1980">
        <w:t xml:space="preserve">more </w:t>
      </w:r>
      <w:r w:rsidRPr="001F27D7">
        <w:t xml:space="preserve">costs </w:t>
      </w:r>
      <w:r w:rsidR="000E7C57">
        <w:t>to industry</w:t>
      </w:r>
      <w:r w:rsidR="009C1980">
        <w:t xml:space="preserve"> than Option 1 </w:t>
      </w:r>
      <w:r w:rsidRPr="001F27D7">
        <w:t xml:space="preserve">through requiring licensees to </w:t>
      </w:r>
      <w:r w:rsidR="00255AE8">
        <w:t xml:space="preserve">collect and </w:t>
      </w:r>
      <w:r w:rsidRPr="001F27D7">
        <w:t xml:space="preserve">provide more </w:t>
      </w:r>
      <w:r w:rsidR="00255AE8">
        <w:t xml:space="preserve">mine site </w:t>
      </w:r>
      <w:r w:rsidRPr="001F27D7">
        <w:t xml:space="preserve">information, this </w:t>
      </w:r>
      <w:r w:rsidR="003D542C" w:rsidRPr="001F27D7">
        <w:t>is</w:t>
      </w:r>
      <w:r w:rsidRPr="001F27D7">
        <w:t xml:space="preserve"> outweighed by the cost savings resulting from greater certainty about the extent of post-closure liability. </w:t>
      </w:r>
      <w:r w:rsidR="003D542C" w:rsidRPr="003D542C">
        <w:t xml:space="preserve">It is considered that Option 2 would lead to slightly higher costs for government compared to </w:t>
      </w:r>
      <w:r w:rsidR="00FC0BF4">
        <w:t>Option1</w:t>
      </w:r>
      <w:r w:rsidR="003D542C" w:rsidRPr="003D542C">
        <w:t>, due to the</w:t>
      </w:r>
      <w:r w:rsidR="008265AF">
        <w:t xml:space="preserve"> increased efforts</w:t>
      </w:r>
      <w:r w:rsidR="002725A4">
        <w:t xml:space="preserve"> associated with</w:t>
      </w:r>
      <w:r w:rsidR="003D542C" w:rsidRPr="003D542C">
        <w:t xml:space="preserve"> calculation of the post closure liability following the prescribed method. </w:t>
      </w:r>
      <w:r w:rsidR="005605ED">
        <w:t xml:space="preserve"> </w:t>
      </w:r>
    </w:p>
    <w:p w14:paraId="6F7FD8D7" w14:textId="7006C7B8" w:rsidR="00FC415F" w:rsidRDefault="00FC415F" w:rsidP="00CD14BC">
      <w:pPr>
        <w:pStyle w:val="dotpoints"/>
        <w:numPr>
          <w:ilvl w:val="0"/>
          <w:numId w:val="0"/>
        </w:numPr>
        <w:spacing w:after="120"/>
      </w:pPr>
      <w:r>
        <w:t>On this basis, the draft Regulations (</w:t>
      </w:r>
      <w:r w:rsidR="0051690F">
        <w:t xml:space="preserve">based on </w:t>
      </w:r>
      <w:r>
        <w:t xml:space="preserve">Option 2), provide the best outcome for government, community and industry in effectively facilitating rehabilitation and planning to manage risks posed by declared mine land. </w:t>
      </w:r>
    </w:p>
    <w:tbl>
      <w:tblPr>
        <w:tblStyle w:val="TableGrid"/>
        <w:tblW w:w="0" w:type="auto"/>
        <w:tblCellMar>
          <w:top w:w="142" w:type="dxa"/>
          <w:left w:w="142" w:type="dxa"/>
          <w:bottom w:w="142" w:type="dxa"/>
          <w:right w:w="142" w:type="dxa"/>
        </w:tblCellMar>
        <w:tblLook w:val="04A0" w:firstRow="1" w:lastRow="0" w:firstColumn="1" w:lastColumn="0" w:noHBand="0" w:noVBand="1"/>
      </w:tblPr>
      <w:tblGrid>
        <w:gridCol w:w="9016"/>
      </w:tblGrid>
      <w:tr w:rsidR="00FC415F" w14:paraId="3B8031CE" w14:textId="77777777" w:rsidTr="101B9388">
        <w:tc>
          <w:tcPr>
            <w:tcW w:w="9016" w:type="dxa"/>
            <w:tcBorders>
              <w:top w:val="single" w:sz="4" w:space="0" w:color="auto"/>
              <w:left w:val="single" w:sz="4" w:space="0" w:color="auto"/>
              <w:bottom w:val="single" w:sz="4" w:space="0" w:color="auto"/>
              <w:right w:val="single" w:sz="4" w:space="0" w:color="auto"/>
            </w:tcBorders>
            <w:hideMark/>
          </w:tcPr>
          <w:p w14:paraId="16AEA0CD" w14:textId="28575836" w:rsidR="00FC415F" w:rsidRDefault="00FC415F">
            <w:pPr>
              <w:spacing w:before="0"/>
              <w:rPr>
                <w:b/>
                <w:bCs/>
              </w:rPr>
            </w:pPr>
            <w:r>
              <w:rPr>
                <w:b/>
                <w:bCs/>
              </w:rPr>
              <w:t xml:space="preserve">Summary of </w:t>
            </w:r>
            <w:r w:rsidR="00C44587">
              <w:rPr>
                <w:b/>
                <w:bCs/>
              </w:rPr>
              <w:t xml:space="preserve">the analysis of </w:t>
            </w:r>
            <w:r>
              <w:rPr>
                <w:b/>
                <w:bCs/>
              </w:rPr>
              <w:t>Option 2 – iterative approach</w:t>
            </w:r>
          </w:p>
          <w:p w14:paraId="445B9324" w14:textId="77777777" w:rsidR="00FC415F" w:rsidRDefault="00FC415F" w:rsidP="0071080F">
            <w:pPr>
              <w:pStyle w:val="dotpoints"/>
            </w:pPr>
            <w:r>
              <w:lastRenderedPageBreak/>
              <w:t xml:space="preserve">Supports better integrated government decision-making and rehabilitation planning due to the additional information required under the DMRP and annual reporting. </w:t>
            </w:r>
          </w:p>
          <w:p w14:paraId="0828AE8A" w14:textId="77777777" w:rsidR="00FC415F" w:rsidRDefault="00FC415F" w:rsidP="0071080F">
            <w:pPr>
              <w:pStyle w:val="dotpoints"/>
            </w:pPr>
            <w:r>
              <w:t xml:space="preserve">Facilitates better management of declared mine risk and more accurate assessment of liability through a flexible approach. </w:t>
            </w:r>
          </w:p>
          <w:p w14:paraId="1BBC8B2C" w14:textId="272BAB03" w:rsidR="00FC415F" w:rsidRDefault="00FC415F" w:rsidP="0071080F">
            <w:pPr>
              <w:pStyle w:val="dotpoints"/>
            </w:pPr>
            <w:r>
              <w:t>Is more suited to the uncertain</w:t>
            </w:r>
            <w:r w:rsidR="00983311">
              <w:t>ties of</w:t>
            </w:r>
            <w:r>
              <w:t xml:space="preserve"> </w:t>
            </w:r>
            <w:r w:rsidR="00C529B4">
              <w:t>large-scale</w:t>
            </w:r>
            <w:r w:rsidR="001E1675">
              <w:t xml:space="preserve"> mine </w:t>
            </w:r>
            <w:r>
              <w:t>rehabilitation</w:t>
            </w:r>
            <w:r w:rsidR="1BB6834A">
              <w:t>, allowing</w:t>
            </w:r>
            <w:r w:rsidR="67123FDE">
              <w:t xml:space="preserve"> for</w:t>
            </w:r>
            <w:r>
              <w:t xml:space="preserve"> changing circumstances through the iterative approach to planning and the </w:t>
            </w:r>
            <w:r w:rsidR="009449B0">
              <w:t>annual</w:t>
            </w:r>
            <w:r>
              <w:t xml:space="preserve"> review</w:t>
            </w:r>
            <w:r w:rsidR="00CB49CD">
              <w:t xml:space="preserve"> of rehabilitation and post-closure management risks</w:t>
            </w:r>
            <w:r>
              <w:t xml:space="preserve">. </w:t>
            </w:r>
          </w:p>
          <w:p w14:paraId="2B33E2D0" w14:textId="26B1ED18" w:rsidR="00FC415F" w:rsidRDefault="00FC415F" w:rsidP="0071080F">
            <w:pPr>
              <w:pStyle w:val="dotpoints"/>
            </w:pPr>
            <w:r>
              <w:t>Enables appropriate and integrated decision-making as it prescribes matters to be considered and parties to be consulted</w:t>
            </w:r>
            <w:r w:rsidR="002C0A3E">
              <w:t>,</w:t>
            </w:r>
            <w:r>
              <w:t xml:space="preserve"> </w:t>
            </w:r>
            <w:r w:rsidR="67123FDE">
              <w:t>provid</w:t>
            </w:r>
            <w:r w:rsidR="6D60EB40">
              <w:t>ing</w:t>
            </w:r>
            <w:r>
              <w:t xml:space="preserve"> a greater level of clarity for both government and industry. </w:t>
            </w:r>
          </w:p>
          <w:p w14:paraId="00911883" w14:textId="77777777" w:rsidR="00FC415F" w:rsidRDefault="00FC415F" w:rsidP="0071080F">
            <w:pPr>
              <w:pStyle w:val="dotpoints"/>
            </w:pPr>
            <w:r>
              <w:t xml:space="preserve">Provides a significantly more transparent approach to the mine closure determination decision-making process. </w:t>
            </w:r>
          </w:p>
          <w:p w14:paraId="59660FFD" w14:textId="77777777" w:rsidR="00FC415F" w:rsidRDefault="00FC415F" w:rsidP="0071080F">
            <w:pPr>
              <w:pStyle w:val="dotpoints"/>
            </w:pPr>
            <w:r>
              <w:t xml:space="preserve">Allows government to more effectively obtain and record information about declared mine land. </w:t>
            </w:r>
          </w:p>
        </w:tc>
      </w:tr>
    </w:tbl>
    <w:p w14:paraId="4003896C" w14:textId="77777777" w:rsidR="00FC415F" w:rsidRPr="00563274" w:rsidRDefault="00FC415F" w:rsidP="00563274">
      <w:pPr>
        <w:spacing w:before="400"/>
        <w:rPr>
          <w:bCs/>
          <w:color w:val="78BF42"/>
          <w:sz w:val="28"/>
          <w:szCs w:val="26"/>
        </w:rPr>
      </w:pPr>
      <w:r w:rsidRPr="00563274">
        <w:rPr>
          <w:bCs/>
          <w:color w:val="78BF42"/>
          <w:sz w:val="28"/>
          <w:szCs w:val="26"/>
        </w:rPr>
        <w:lastRenderedPageBreak/>
        <w:t>Preferred option</w:t>
      </w:r>
    </w:p>
    <w:p w14:paraId="62BBC90D" w14:textId="75E5C237" w:rsidR="00FC415F" w:rsidRDefault="00FC415F" w:rsidP="00FC415F">
      <w:r>
        <w:t xml:space="preserve">Overall, Option 2 is assessed as providing the highest net benefit across all the elements of the regulatory framework and is significantly more effective at operationalising the declared mine framework and achieving the objectives of the Act. As such, it is the preferred option. The preferred option is incorporated in </w:t>
      </w:r>
      <w:r w:rsidRPr="00AB1548">
        <w:t>the attached draft Regulations – the Mineral</w:t>
      </w:r>
      <w:r w:rsidR="009C2388">
        <w:t xml:space="preserve"> Resources</w:t>
      </w:r>
      <w:r w:rsidRPr="00AB1548">
        <w:t xml:space="preserve"> (Sustainable Development) (Mineral Industries) Regulations 202</w:t>
      </w:r>
      <w:r w:rsidR="00BD34A0" w:rsidRPr="00AB1548">
        <w:t>2</w:t>
      </w:r>
      <w:r w:rsidR="00D73272">
        <w:t xml:space="preserve"> which can be found at Engage Victoria</w:t>
      </w:r>
      <w:r w:rsidRPr="00AB1548">
        <w:t>.</w:t>
      </w:r>
    </w:p>
    <w:p w14:paraId="591CE93D" w14:textId="22716B7E" w:rsidR="00FC415F" w:rsidRDefault="00FC415F" w:rsidP="00FC415F">
      <w:r>
        <w:t xml:space="preserve">The </w:t>
      </w:r>
      <w:r w:rsidR="006D439C">
        <w:t>department</w:t>
      </w:r>
      <w:r>
        <w:t xml:space="preserve"> has undertaken pre-RIS consultation to inform the development of the proposed Regulations and the RIS. Operators and other consulted mining regulators supported the consideration of Option 2, as it aligns with international best practice and planning approaches for large, complex mines.</w:t>
      </w:r>
    </w:p>
    <w:p w14:paraId="452CAA1E" w14:textId="77777777" w:rsidR="00FC415F" w:rsidRPr="009A2A48" w:rsidRDefault="00FC415F" w:rsidP="009A2A48">
      <w:pPr>
        <w:rPr>
          <w:b/>
          <w:bCs/>
          <w:color w:val="003A7D" w:themeColor="text2" w:themeShade="BF"/>
          <w:sz w:val="22"/>
          <w:szCs w:val="22"/>
        </w:rPr>
      </w:pPr>
      <w:r w:rsidRPr="009A2A48">
        <w:rPr>
          <w:b/>
          <w:bCs/>
          <w:color w:val="003A7D" w:themeColor="text2" w:themeShade="BF"/>
          <w:sz w:val="22"/>
          <w:szCs w:val="22"/>
        </w:rPr>
        <w:t>Small business impact &amp; competition assessment</w:t>
      </w:r>
    </w:p>
    <w:p w14:paraId="5D871C62" w14:textId="27AD06E1" w:rsidR="00FC415F" w:rsidRDefault="00FC415F" w:rsidP="00FC415F">
      <w:pPr>
        <w:rPr>
          <w:highlight w:val="yellow"/>
        </w:rPr>
      </w:pPr>
      <w:r>
        <w:t xml:space="preserve">Small businesses may experience disproportionate effects from regulatory requirements for a range of reasons, including limited resources to interpret compliance requirements, or to keep pace with regulatory changes and the cumulative effect of different requirements. However, the </w:t>
      </w:r>
      <w:r w:rsidR="006D027C">
        <w:t>proposed Regulations</w:t>
      </w:r>
      <w:r>
        <w:t xml:space="preserve"> support a legislative framework that applies only to especially hazardous mines. Three mines have been declared by the Minister since the introduction of the power to declare mines in 2010. All three mines are owned by very large, multi-national companies. Given the characteristics of the existing declared mines, it is considered highly unlikely that any mine declared in future would be operated by a small business. Accordingly, the proposed Regulations are not considered to have any small business impacts. </w:t>
      </w:r>
    </w:p>
    <w:p w14:paraId="2358D37D" w14:textId="77777777" w:rsidR="00FC415F" w:rsidRDefault="00FC415F" w:rsidP="00FC415F">
      <w:r>
        <w:t>Any regulatory proposal needs to be scrutinised carefully to assess whether it is having an adverse impact on the ability of firms or individuals to enter and participate in the market. The preferred option is expected to have very small impacts on competition.</w:t>
      </w:r>
    </w:p>
    <w:p w14:paraId="21B62DDD" w14:textId="1196AAD8" w:rsidR="00FC415F" w:rsidRPr="00563274" w:rsidRDefault="00FC415F" w:rsidP="00563274">
      <w:pPr>
        <w:spacing w:before="400"/>
        <w:rPr>
          <w:bCs/>
          <w:color w:val="78BF42"/>
          <w:sz w:val="28"/>
          <w:szCs w:val="26"/>
        </w:rPr>
      </w:pPr>
      <w:r w:rsidRPr="00563274">
        <w:rPr>
          <w:bCs/>
          <w:color w:val="78BF42"/>
          <w:sz w:val="28"/>
          <w:szCs w:val="26"/>
        </w:rPr>
        <w:t>Implementation plan</w:t>
      </w:r>
    </w:p>
    <w:p w14:paraId="56E677DF" w14:textId="1B68747E" w:rsidR="00B36129" w:rsidRDefault="00B36129" w:rsidP="00B36129">
      <w:r>
        <w:t xml:space="preserve">Implementation will require a deliberate and extensive program of preparatory work, capacity building </w:t>
      </w:r>
      <w:r w:rsidR="007F1654">
        <w:t xml:space="preserve">of </w:t>
      </w:r>
      <w:r>
        <w:t xml:space="preserve">the regulator, the Authority and </w:t>
      </w:r>
      <w:r w:rsidR="005C3A2B">
        <w:t xml:space="preserve">coordination with </w:t>
      </w:r>
      <w:r>
        <w:t xml:space="preserve">co-regulators. The immense complexity and volume of information expected to be received and assessed under these regulations, dictates the regulator will need to </w:t>
      </w:r>
      <w:r w:rsidR="008A07C8">
        <w:t xml:space="preserve">scale-up </w:t>
      </w:r>
      <w:r>
        <w:t xml:space="preserve">its </w:t>
      </w:r>
      <w:r w:rsidR="00AD281B">
        <w:t xml:space="preserve">in-house </w:t>
      </w:r>
      <w:r>
        <w:t>expertise and</w:t>
      </w:r>
      <w:r w:rsidR="00AD281B">
        <w:t>/or</w:t>
      </w:r>
      <w:r>
        <w:t xml:space="preserve"> engage </w:t>
      </w:r>
      <w:r w:rsidR="00AA2C8E">
        <w:t xml:space="preserve">procured </w:t>
      </w:r>
      <w:r>
        <w:t xml:space="preserve">specialists to undertake this significant work to meet the expectations of the community. The Authority will require similar expertise and adequate resourcing in its role in relation to declared mines, with the capacity and understanding of co-regulators also critical to effective implementation of these regulations. </w:t>
      </w:r>
    </w:p>
    <w:p w14:paraId="137E99AE" w14:textId="70703220" w:rsidR="008E0BF0" w:rsidRDefault="00025E57" w:rsidP="00B36129">
      <w:r>
        <w:t>The m</w:t>
      </w:r>
      <w:r w:rsidR="003955EC">
        <w:t xml:space="preserve">ajority of </w:t>
      </w:r>
      <w:r w:rsidR="006773ED">
        <w:t>implementation activities for</w:t>
      </w:r>
      <w:r w:rsidR="00D072FD">
        <w:t xml:space="preserve"> the proposed Regulations</w:t>
      </w:r>
      <w:r w:rsidR="00086F4B">
        <w:t xml:space="preserve"> are scheduled </w:t>
      </w:r>
      <w:r w:rsidR="00797322">
        <w:t>to</w:t>
      </w:r>
      <w:r w:rsidR="0075609A">
        <w:t xml:space="preserve"> b</w:t>
      </w:r>
      <w:r w:rsidR="00D072FD">
        <w:t xml:space="preserve">e </w:t>
      </w:r>
      <w:r w:rsidR="006773ED">
        <w:t>completed</w:t>
      </w:r>
      <w:r w:rsidR="00D072FD">
        <w:t xml:space="preserve"> by 2024, namely consist</w:t>
      </w:r>
      <w:r w:rsidR="00000F63">
        <w:t>ing</w:t>
      </w:r>
      <w:r w:rsidR="00D072FD">
        <w:t xml:space="preserve"> of </w:t>
      </w:r>
      <w:r w:rsidR="00473CF4">
        <w:t xml:space="preserve">developing </w:t>
      </w:r>
      <w:r w:rsidR="00B779B0">
        <w:t xml:space="preserve">Ministerial guidance, policies and procedures on how to </w:t>
      </w:r>
      <w:r w:rsidR="00B63FF3">
        <w:t xml:space="preserve">prepare adequate rehabilitation </w:t>
      </w:r>
      <w:r w:rsidR="00B779B0">
        <w:t>plan</w:t>
      </w:r>
      <w:r w:rsidR="00E902EC">
        <w:t xml:space="preserve">s </w:t>
      </w:r>
      <w:r w:rsidR="007858A0">
        <w:t>under</w:t>
      </w:r>
      <w:r w:rsidR="00E902EC">
        <w:t xml:space="preserve"> the proposed Regulations</w:t>
      </w:r>
      <w:r w:rsidR="00B779B0">
        <w:t xml:space="preserve">, </w:t>
      </w:r>
      <w:r w:rsidR="00DF2251">
        <w:t xml:space="preserve">matters to be addressed in </w:t>
      </w:r>
      <w:r w:rsidR="00812A6E">
        <w:t xml:space="preserve">operator </w:t>
      </w:r>
      <w:r w:rsidR="00DF2251">
        <w:t>post</w:t>
      </w:r>
      <w:r w:rsidR="00812A6E">
        <w:t xml:space="preserve"> </w:t>
      </w:r>
      <w:r w:rsidR="002A032C">
        <w:t xml:space="preserve">closure </w:t>
      </w:r>
      <w:r w:rsidR="001B2A03">
        <w:t xml:space="preserve">management plan submissions </w:t>
      </w:r>
      <w:r w:rsidR="00E902EC">
        <w:t xml:space="preserve">to </w:t>
      </w:r>
      <w:r w:rsidR="00AC5DD1">
        <w:t>achieve closure criteria</w:t>
      </w:r>
      <w:r w:rsidR="00000F63">
        <w:t xml:space="preserve">, </w:t>
      </w:r>
      <w:r w:rsidR="0070781D">
        <w:t xml:space="preserve">the information requirements concerning risk of the declared mine sites to be submitted </w:t>
      </w:r>
      <w:r w:rsidR="00C87C8C">
        <w:t xml:space="preserve">into the declared mine land register </w:t>
      </w:r>
      <w:r w:rsidR="0023763F">
        <w:t xml:space="preserve">and how to </w:t>
      </w:r>
      <w:r w:rsidR="00D06196">
        <w:t xml:space="preserve">evaluate </w:t>
      </w:r>
      <w:r w:rsidR="00E94A5C">
        <w:t>min</w:t>
      </w:r>
      <w:r w:rsidR="00D83A73">
        <w:t>ing</w:t>
      </w:r>
      <w:r w:rsidR="00E94A5C">
        <w:t xml:space="preserve"> </w:t>
      </w:r>
      <w:r w:rsidR="00D06196">
        <w:t>rehabilitation liability.</w:t>
      </w:r>
      <w:r w:rsidR="00871A22">
        <w:t xml:space="preserve"> </w:t>
      </w:r>
      <w:r w:rsidR="00F328B3">
        <w:t xml:space="preserve">Activities </w:t>
      </w:r>
      <w:r w:rsidR="004F6AB2">
        <w:t xml:space="preserve">such as communication </w:t>
      </w:r>
      <w:r w:rsidR="002C03D8">
        <w:t xml:space="preserve">and direction </w:t>
      </w:r>
      <w:r w:rsidR="00271DF1">
        <w:t xml:space="preserve">around commencement of the regulations </w:t>
      </w:r>
      <w:r w:rsidR="00F328B3">
        <w:t xml:space="preserve">have already begun and will continue throughout </w:t>
      </w:r>
      <w:r w:rsidR="00090500">
        <w:t>the</w:t>
      </w:r>
      <w:r w:rsidR="00271DF1">
        <w:t xml:space="preserve"> </w:t>
      </w:r>
      <w:r w:rsidR="00090500">
        <w:t>2023 financial year</w:t>
      </w:r>
      <w:r w:rsidR="00271DF1">
        <w:t>.</w:t>
      </w:r>
      <w:r w:rsidR="003F1E5A">
        <w:t xml:space="preserve"> The register of declared mine land will take affect from 2025</w:t>
      </w:r>
      <w:r w:rsidR="00052A23">
        <w:t xml:space="preserve"> as will the creation of the Fund</w:t>
      </w:r>
      <w:r w:rsidR="00D103CC">
        <w:t>.</w:t>
      </w:r>
    </w:p>
    <w:p w14:paraId="5755B01E" w14:textId="77777777" w:rsidR="00FC415F" w:rsidRPr="00563274" w:rsidRDefault="00FC415F" w:rsidP="00563274">
      <w:pPr>
        <w:spacing w:before="400"/>
        <w:rPr>
          <w:bCs/>
          <w:color w:val="78BF42"/>
          <w:sz w:val="28"/>
          <w:szCs w:val="26"/>
        </w:rPr>
      </w:pPr>
      <w:r w:rsidRPr="00563274">
        <w:rPr>
          <w:bCs/>
          <w:color w:val="78BF42"/>
          <w:sz w:val="28"/>
          <w:szCs w:val="26"/>
        </w:rPr>
        <w:lastRenderedPageBreak/>
        <w:t>Evaluation strategy</w:t>
      </w:r>
    </w:p>
    <w:p w14:paraId="0D5241EC" w14:textId="6ADF1BF6" w:rsidR="00FC415F" w:rsidRDefault="00FC415F" w:rsidP="00FC415F">
      <w:r>
        <w:t xml:space="preserve">The proposed Regulations will be subject to an ongoing evaluation strategy, which will focus on assessing the costs and benefits of the proposed Regulations. The </w:t>
      </w:r>
      <w:r w:rsidR="006D439C">
        <w:t>department</w:t>
      </w:r>
      <w:r>
        <w:t xml:space="preserve"> will continue to engage with stakeholders on a regular basis to discuss the effectiveness of the Regulations and any suggestions for change. Periodic review of the data and key performance indicators may indicate changes in the overall trends and may provide indicative information about the effectiveness of the </w:t>
      </w:r>
      <w:r w:rsidR="008F3324">
        <w:t xml:space="preserve">proposed </w:t>
      </w:r>
      <w:r>
        <w:t xml:space="preserve">Regulations in reducing negative impacts and enhancing positive impacts </w:t>
      </w:r>
      <w:r w:rsidR="00A53005">
        <w:t>for the</w:t>
      </w:r>
      <w:r>
        <w:t xml:space="preserve"> minerals industr</w:t>
      </w:r>
      <w:r w:rsidR="00A53005">
        <w:t>y</w:t>
      </w:r>
      <w:r>
        <w:t xml:space="preserve">. Earth Resources Policy and Programs staff will liaise with ERR and field staff to monitor the effectiveness of </w:t>
      </w:r>
      <w:r w:rsidR="008F3324">
        <w:t xml:space="preserve">the proposed </w:t>
      </w:r>
      <w:r>
        <w:t>Regulations on an ongoing basis.</w:t>
      </w:r>
    </w:p>
    <w:p w14:paraId="27B7B81A" w14:textId="77777777" w:rsidR="00FC415F" w:rsidRDefault="00FC415F" w:rsidP="00FC415F">
      <w:pPr>
        <w:spacing w:before="400"/>
        <w:rPr>
          <w:bCs/>
          <w:color w:val="78BF42"/>
          <w:sz w:val="28"/>
          <w:szCs w:val="26"/>
        </w:rPr>
      </w:pPr>
      <w:r>
        <w:rPr>
          <w:bCs/>
          <w:color w:val="78BF42"/>
          <w:sz w:val="28"/>
          <w:szCs w:val="26"/>
        </w:rPr>
        <w:t>Public consultation</w:t>
      </w:r>
    </w:p>
    <w:p w14:paraId="4E1E8E38" w14:textId="0199624B" w:rsidR="00FC415F" w:rsidRDefault="00FC415F" w:rsidP="00FC415F">
      <w:r>
        <w:t xml:space="preserve">The </w:t>
      </w:r>
      <w:r w:rsidR="006D439C">
        <w:t>department</w:t>
      </w:r>
      <w:r>
        <w:t xml:space="preserve"> welcomes feedback from all interested members of the public on any matters they feel would improve the proposed Regulations.</w:t>
      </w:r>
    </w:p>
    <w:p w14:paraId="0542CCD8" w14:textId="0D3B9763" w:rsidR="00FC415F" w:rsidRDefault="570A3BBA" w:rsidP="00FC415F">
      <w:r>
        <w:t xml:space="preserve">The consultation period for this RIS will be for 28 days, with written comments required by </w:t>
      </w:r>
      <w:r w:rsidRPr="1465A4CF">
        <w:rPr>
          <w:b/>
          <w:bCs/>
        </w:rPr>
        <w:t>5.00</w:t>
      </w:r>
      <w:r w:rsidR="00BA2B0C" w:rsidRPr="1465A4CF">
        <w:rPr>
          <w:b/>
          <w:bCs/>
        </w:rPr>
        <w:t xml:space="preserve"> </w:t>
      </w:r>
      <w:r w:rsidRPr="1465A4CF">
        <w:rPr>
          <w:b/>
          <w:bCs/>
        </w:rPr>
        <w:t xml:space="preserve">pm, </w:t>
      </w:r>
      <w:r w:rsidR="005D5846">
        <w:rPr>
          <w:b/>
          <w:bCs/>
        </w:rPr>
        <w:t>1</w:t>
      </w:r>
      <w:r w:rsidR="00576A8E">
        <w:rPr>
          <w:b/>
          <w:bCs/>
        </w:rPr>
        <w:t>7</w:t>
      </w:r>
      <w:r w:rsidR="005D5846">
        <w:rPr>
          <w:b/>
          <w:bCs/>
        </w:rPr>
        <w:t xml:space="preserve"> </w:t>
      </w:r>
      <w:r w:rsidR="00FE2996">
        <w:rPr>
          <w:b/>
          <w:bCs/>
        </w:rPr>
        <w:t xml:space="preserve">August </w:t>
      </w:r>
      <w:r w:rsidRPr="1465A4CF">
        <w:rPr>
          <w:b/>
          <w:bCs/>
        </w:rPr>
        <w:t>20</w:t>
      </w:r>
      <w:r w:rsidR="6B7C6A81" w:rsidRPr="1465A4CF">
        <w:rPr>
          <w:b/>
          <w:bCs/>
        </w:rPr>
        <w:t>2</w:t>
      </w:r>
      <w:r w:rsidRPr="1465A4CF">
        <w:rPr>
          <w:b/>
          <w:bCs/>
        </w:rPr>
        <w:t>2</w:t>
      </w:r>
      <w:r>
        <w:t>.The</w:t>
      </w:r>
      <w:r w:rsidR="009D496A">
        <w:t xml:space="preserve"> drafted</w:t>
      </w:r>
      <w:r w:rsidR="7751FE0B">
        <w:t xml:space="preserve"> Regulations</w:t>
      </w:r>
      <w:r>
        <w:t xml:space="preserve"> are not final, and improvements or changes may be made in response to public comment.</w:t>
      </w:r>
    </w:p>
    <w:p w14:paraId="4972B3BE" w14:textId="7F204180" w:rsidR="00C64E68" w:rsidRPr="00C64E68" w:rsidRDefault="00C64E68" w:rsidP="00C64E68">
      <w:pPr>
        <w:sectPr w:rsidR="00C64E68" w:rsidRPr="00C64E68" w:rsidSect="000C4306">
          <w:footerReference w:type="default" r:id="rId20"/>
          <w:pgSz w:w="11906" w:h="16838"/>
          <w:pgMar w:top="1440" w:right="1440" w:bottom="1440" w:left="1440" w:header="708" w:footer="137" w:gutter="0"/>
          <w:pgNumType w:fmt="lowerRoman"/>
          <w:cols w:space="708"/>
          <w:docGrid w:linePitch="360"/>
        </w:sectPr>
      </w:pPr>
    </w:p>
    <w:p w14:paraId="06B9E2C5" w14:textId="68E8E3A9" w:rsidR="004371F6" w:rsidRPr="0095190E" w:rsidRDefault="00832715" w:rsidP="00154A79">
      <w:pPr>
        <w:pStyle w:val="Heading1"/>
      </w:pPr>
      <w:bookmarkStart w:id="9" w:name="_Toc104217647"/>
      <w:r>
        <w:lastRenderedPageBreak/>
        <w:t>Introduction</w:t>
      </w:r>
      <w:bookmarkEnd w:id="9"/>
    </w:p>
    <w:p w14:paraId="243D57B1" w14:textId="1B3FF3CF" w:rsidR="004371F6" w:rsidRPr="0095190E" w:rsidRDefault="00534047" w:rsidP="006E7788">
      <w:pPr>
        <w:pStyle w:val="Heading2"/>
      </w:pPr>
      <w:bookmarkStart w:id="10" w:name="_Toc314821339"/>
      <w:bookmarkStart w:id="11" w:name="_Toc314822261"/>
      <w:bookmarkStart w:id="12" w:name="_Toc315765091"/>
      <w:bookmarkStart w:id="13" w:name="_Toc104217648"/>
      <w:r w:rsidRPr="0095190E">
        <w:t>Regulatory Impact Statement process</w:t>
      </w:r>
      <w:bookmarkEnd w:id="10"/>
      <w:bookmarkEnd w:id="11"/>
      <w:bookmarkEnd w:id="12"/>
      <w:bookmarkEnd w:id="13"/>
    </w:p>
    <w:p w14:paraId="623BC1A5" w14:textId="38704341" w:rsidR="00D44574" w:rsidRDefault="00D44574" w:rsidP="00D44574">
      <w:r>
        <w:t xml:space="preserve">This Regulatory Impact Statement (‘RIS’) assesses proposed Regulations to be made under the </w:t>
      </w:r>
      <w:r w:rsidRPr="78FD8530">
        <w:rPr>
          <w:i/>
          <w:iCs/>
        </w:rPr>
        <w:t>Mineral Resources (Sustainable Development) Act 1990</w:t>
      </w:r>
      <w:r w:rsidR="002767BF">
        <w:t xml:space="preserve"> (‘the Act’)</w:t>
      </w:r>
      <w:r>
        <w:t xml:space="preserve">. </w:t>
      </w:r>
    </w:p>
    <w:p w14:paraId="2980D160" w14:textId="69D8A5C8" w:rsidR="00D44574" w:rsidRDefault="00D44574" w:rsidP="00D44574">
      <w:r>
        <w:t>Changes were made to the Act by the Amendment Act</w:t>
      </w:r>
      <w:r w:rsidR="00167C56">
        <w:t xml:space="preserve"> which</w:t>
      </w:r>
      <w:r>
        <w:t xml:space="preserve"> introduced new rehabilitation and post-closure requirements for declared mines,</w:t>
      </w:r>
      <w:r w:rsidDel="00DE786A">
        <w:t xml:space="preserve"> </w:t>
      </w:r>
      <w:r>
        <w:t xml:space="preserve">established the Mine Land Rehabilitation Authority (‘the Authority’) and </w:t>
      </w:r>
      <w:r w:rsidR="006817FC">
        <w:t>a</w:t>
      </w:r>
      <w:r w:rsidR="007C3710">
        <w:t xml:space="preserve"> </w:t>
      </w:r>
      <w:r>
        <w:t>Declared Mine Fund. The declared mine regulatory framework in the Act is enabling</w:t>
      </w:r>
      <w:r w:rsidR="00155BD3">
        <w:t>;</w:t>
      </w:r>
      <w:r>
        <w:t xml:space="preserve"> it is designed to be supported by detail in accompanying regulations. New regulations are needed to support the powers and processes introduced by the Amendment Act. This RIS assesses the impacts of possible options for these regulations.</w:t>
      </w:r>
    </w:p>
    <w:p w14:paraId="4DED2212" w14:textId="0D579FF6" w:rsidR="00D44574" w:rsidRDefault="00D44574" w:rsidP="00D44574">
      <w:r>
        <w:t>Before new regulations are made, the</w:t>
      </w:r>
      <w:r w:rsidRPr="00AE40DA">
        <w:rPr>
          <w:i/>
          <w:iCs/>
        </w:rPr>
        <w:t xml:space="preserve"> </w:t>
      </w:r>
      <w:r w:rsidRPr="00E60142">
        <w:t xml:space="preserve">Subordinate Legislation Act </w:t>
      </w:r>
      <w:r w:rsidR="00136F2D" w:rsidRPr="00E60142">
        <w:t>r</w:t>
      </w:r>
      <w:r w:rsidRPr="00E60142">
        <w:t>equires</w:t>
      </w:r>
      <w:r>
        <w:t>:</w:t>
      </w:r>
    </w:p>
    <w:p w14:paraId="6CA2B0B4" w14:textId="77777777" w:rsidR="00534047" w:rsidRDefault="006F700F" w:rsidP="00B63B43">
      <w:r w:rsidRPr="00AE3913">
        <w:rPr>
          <w:rFonts w:cs="Arial"/>
          <w:noProof/>
          <w:color w:val="auto"/>
          <w:sz w:val="22"/>
          <w:lang w:val="en-GB" w:eastAsia="en-GB"/>
        </w:rPr>
        <w:drawing>
          <wp:inline distT="0" distB="0" distL="0" distR="0" wp14:anchorId="7A935522" wp14:editId="0135F7AF">
            <wp:extent cx="5652135" cy="887095"/>
            <wp:effectExtent l="0" t="0" r="43815"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A5850E3" w14:textId="77777777" w:rsidR="00832715" w:rsidRDefault="00832715" w:rsidP="00832715">
      <w:r>
        <w:t xml:space="preserve">To support good decision-making and assist parties with review and comment on the proposed Regulations, the </w:t>
      </w:r>
      <w:r w:rsidRPr="00534047">
        <w:rPr>
          <w:i/>
        </w:rPr>
        <w:t>Subordinate Legislation Act 1994</w:t>
      </w:r>
      <w:r>
        <w:t xml:space="preserve"> requires the preparation of a RIS for any regulations that impose a significant economic or social burden on a sector of the public, to be made available with the proposed Regulations. </w:t>
      </w:r>
    </w:p>
    <w:p w14:paraId="5923F366" w14:textId="77777777" w:rsidR="00832715" w:rsidRDefault="00832715" w:rsidP="00832715">
      <w:r>
        <w:t>A RIS must include:</w:t>
      </w:r>
    </w:p>
    <w:p w14:paraId="533D6F36" w14:textId="7CFEBA77" w:rsidR="00832715" w:rsidRDefault="00832715" w:rsidP="00832715">
      <w:pPr>
        <w:pStyle w:val="dotpoints"/>
      </w:pPr>
      <w:r>
        <w:t xml:space="preserve">a statement of the objectives of the proposed </w:t>
      </w:r>
      <w:r w:rsidR="006D027C">
        <w:t>r</w:t>
      </w:r>
      <w:r>
        <w:t>egulations;</w:t>
      </w:r>
    </w:p>
    <w:p w14:paraId="76E05EAE" w14:textId="02CAD8DE" w:rsidR="00832715" w:rsidRDefault="00832715" w:rsidP="00832715">
      <w:pPr>
        <w:pStyle w:val="dotpoints"/>
      </w:pPr>
      <w:r>
        <w:t xml:space="preserve">a statement explaining the effect of the proposed </w:t>
      </w:r>
      <w:r w:rsidR="006D027C">
        <w:t>r</w:t>
      </w:r>
      <w:r>
        <w:t>egulations;</w:t>
      </w:r>
    </w:p>
    <w:p w14:paraId="189D20EA" w14:textId="77777777" w:rsidR="00832715" w:rsidRDefault="00832715" w:rsidP="00832715">
      <w:pPr>
        <w:pStyle w:val="ListBullet"/>
      </w:pPr>
      <w:r>
        <w:t>a statement of other practicable means of achieving those objectives, including other regulatory as well as non-regulatory options;</w:t>
      </w:r>
    </w:p>
    <w:p w14:paraId="5F047378" w14:textId="77777777" w:rsidR="00832715" w:rsidRDefault="00832715" w:rsidP="00832715">
      <w:pPr>
        <w:pStyle w:val="ListBullet"/>
      </w:pPr>
      <w:r>
        <w:t>an assessment of the costs and benefits of the proposed Regulations and of any other practicable means of achieving the same objectives; and</w:t>
      </w:r>
    </w:p>
    <w:p w14:paraId="48CEA0DA" w14:textId="77777777" w:rsidR="00832715" w:rsidRDefault="00832715" w:rsidP="00832715">
      <w:pPr>
        <w:pStyle w:val="ListBullet"/>
      </w:pPr>
      <w:r>
        <w:t>the reasons why the other means are not appropriate.</w:t>
      </w:r>
    </w:p>
    <w:p w14:paraId="39FDB85E" w14:textId="60EBBD57" w:rsidR="00832715" w:rsidRDefault="00832715" w:rsidP="00832715">
      <w:r w:rsidRPr="006F700F">
        <w:t xml:space="preserve">The Commissioner for Better Regulation provides an independent assessment of </w:t>
      </w:r>
      <w:r>
        <w:t>RIS’</w:t>
      </w:r>
      <w:r w:rsidRPr="006F700F">
        <w:t xml:space="preserve"> against the </w:t>
      </w:r>
      <w:r w:rsidRPr="006F700F">
        <w:rPr>
          <w:i/>
        </w:rPr>
        <w:t>Victorian Guide to Regulation</w:t>
      </w:r>
      <w:r w:rsidRPr="009A78E2">
        <w:t>.</w:t>
      </w:r>
      <w:r w:rsidRPr="001D2851">
        <w:t xml:space="preserve"> </w:t>
      </w:r>
      <w:r w:rsidRPr="00CD14BC">
        <w:t xml:space="preserve">The Commissioner </w:t>
      </w:r>
      <w:r w:rsidR="00A6334C" w:rsidRPr="00CD14BC">
        <w:t xml:space="preserve">has </w:t>
      </w:r>
      <w:r w:rsidR="00AC2C53" w:rsidRPr="00CD14BC">
        <w:t>advis</w:t>
      </w:r>
      <w:r w:rsidR="00A6334C" w:rsidRPr="00CD14BC">
        <w:t xml:space="preserve">ed that </w:t>
      </w:r>
      <w:r w:rsidRPr="00CD14BC">
        <w:t>this RIS meets the requirements of the Subordinate Legislation Act</w:t>
      </w:r>
      <w:r w:rsidR="00A011C5" w:rsidRPr="00CD14BC">
        <w:t xml:space="preserve"> on</w:t>
      </w:r>
      <w:r w:rsidR="00940F04" w:rsidRPr="00CD14BC">
        <w:t xml:space="preserve"> </w:t>
      </w:r>
      <w:r w:rsidR="00805069" w:rsidRPr="00CD14BC">
        <w:t>1</w:t>
      </w:r>
      <w:r w:rsidR="00701E94">
        <w:t>6</w:t>
      </w:r>
      <w:r w:rsidR="00940F04" w:rsidRPr="00CD14BC">
        <w:t xml:space="preserve"> </w:t>
      </w:r>
      <w:r w:rsidR="00805069" w:rsidRPr="00CD14BC">
        <w:t>May</w:t>
      </w:r>
      <w:r w:rsidR="00940F04" w:rsidRPr="00CD14BC">
        <w:t xml:space="preserve"> 2022</w:t>
      </w:r>
      <w:r w:rsidRPr="00CD14BC">
        <w:t>.</w:t>
      </w:r>
    </w:p>
    <w:p w14:paraId="5596BA93" w14:textId="4DA44A87" w:rsidR="00832715" w:rsidRDefault="00832715" w:rsidP="00832715">
      <w:r>
        <w:t xml:space="preserve">Following consideration of all submissions received in response to the proposed Regulations, a notice of decision and statement of reasons will be published. Once the Regulations are made, copies of all submissions are provided to the Parliament’s Scrutiny of Acts and Regulations Committee (SARC). SARC examines these submissions to check that </w:t>
      </w:r>
      <w:r w:rsidR="00AC2182">
        <w:t>the department</w:t>
      </w:r>
      <w:r>
        <w:t xml:space="preserve"> has considered the views of stakeholders.</w:t>
      </w:r>
    </w:p>
    <w:p w14:paraId="7AC25985" w14:textId="3A203386" w:rsidR="00832715" w:rsidRDefault="00832715" w:rsidP="006E1000">
      <w:pPr>
        <w:pStyle w:val="Heading2"/>
      </w:pPr>
      <w:bookmarkStart w:id="14" w:name="_Toc104217649"/>
      <w:r>
        <w:t>Consultation on the proposed Regulations</w:t>
      </w:r>
      <w:bookmarkEnd w:id="14"/>
    </w:p>
    <w:p w14:paraId="206C003C" w14:textId="5E7E0372" w:rsidR="00832715" w:rsidRDefault="0D8EB80B" w:rsidP="00832715">
      <w:r>
        <w:t>The Department of Jobs, Precincts and Regions has undertaken targeted</w:t>
      </w:r>
      <w:r w:rsidR="60120F3C">
        <w:t xml:space="preserve"> pre-consultation program and impact assessment</w:t>
      </w:r>
      <w:r w:rsidR="4137502B">
        <w:t xml:space="preserve"> </w:t>
      </w:r>
      <w:r>
        <w:t>with parties likely to be directly affected by the proposed Regulations.</w:t>
      </w:r>
      <w:r w:rsidRPr="44AE50F4">
        <w:rPr>
          <w:color w:val="auto"/>
        </w:rPr>
        <w:t xml:space="preserve"> </w:t>
      </w:r>
      <w:r>
        <w:t>Affected parties and the public will have 28 days to consider the proposed Regulations and may make submissions to the department by</w:t>
      </w:r>
      <w:r w:rsidR="1201539C">
        <w:t xml:space="preserve"> </w:t>
      </w:r>
      <w:r w:rsidR="0041079C">
        <w:t>5:00</w:t>
      </w:r>
      <w:r w:rsidR="00896AD6">
        <w:t xml:space="preserve"> </w:t>
      </w:r>
      <w:r w:rsidR="0041079C" w:rsidRPr="00354E92">
        <w:t>pm,</w:t>
      </w:r>
      <w:r w:rsidRPr="00354E92">
        <w:t xml:space="preserve"> </w:t>
      </w:r>
      <w:r w:rsidR="005D5846" w:rsidRPr="00354E92">
        <w:t>1</w:t>
      </w:r>
      <w:r w:rsidR="00576A8E">
        <w:t>7</w:t>
      </w:r>
      <w:r w:rsidR="00896AD6" w:rsidRPr="00354E92">
        <w:t xml:space="preserve"> August</w:t>
      </w:r>
      <w:r w:rsidR="005D5846" w:rsidRPr="00354E92">
        <w:t xml:space="preserve"> </w:t>
      </w:r>
      <w:r w:rsidRPr="004B2F37">
        <w:t>20</w:t>
      </w:r>
      <w:r w:rsidR="0FF7064F" w:rsidRPr="004B2F37">
        <w:t>2</w:t>
      </w:r>
      <w:r w:rsidRPr="004B2F37">
        <w:t>2.</w:t>
      </w:r>
    </w:p>
    <w:p w14:paraId="375F249F" w14:textId="23570249" w:rsidR="00F77A2B" w:rsidRPr="00765851" w:rsidRDefault="00F77A2B" w:rsidP="00765851">
      <w:r w:rsidRPr="00765851">
        <w:t xml:space="preserve">The Engage Victoria website is the preferred method for receiving submissions. Submissions can also be received by post, marked ‘Mineral Resources (Sustainable Development) (Mineral Industries) </w:t>
      </w:r>
      <w:r w:rsidR="00004429">
        <w:t xml:space="preserve">Amendment </w:t>
      </w:r>
      <w:r w:rsidRPr="00765851">
        <w:t xml:space="preserve">Regulations </w:t>
      </w:r>
      <w:r>
        <w:t>20</w:t>
      </w:r>
      <w:r w:rsidR="00D76086">
        <w:t>2</w:t>
      </w:r>
      <w:r w:rsidR="00E12D9A">
        <w:t>2</w:t>
      </w:r>
      <w:r w:rsidR="000E4C96">
        <w:t xml:space="preserve"> (‘Draft Regulation</w:t>
      </w:r>
      <w:r w:rsidR="00576A8E">
        <w:t>s</w:t>
      </w:r>
      <w:r w:rsidR="000E4C96">
        <w:t>’)</w:t>
      </w:r>
      <w:r>
        <w:t>’</w:t>
      </w:r>
      <w:r w:rsidRPr="00765851">
        <w:t xml:space="preserve"> and addressed to:</w:t>
      </w:r>
    </w:p>
    <w:p w14:paraId="580CA9C6" w14:textId="77777777" w:rsidR="00F77A2B" w:rsidRPr="00765851" w:rsidRDefault="00F77A2B" w:rsidP="00765851">
      <w:pPr>
        <w:spacing w:after="0"/>
        <w:ind w:left="720" w:right="852"/>
      </w:pPr>
      <w:r w:rsidRPr="00765851">
        <w:lastRenderedPageBreak/>
        <w:t>Director, Policy and Legislation</w:t>
      </w:r>
      <w:r w:rsidRPr="00765851">
        <w:br/>
        <w:t>Earth Resources Policy and Programs</w:t>
      </w:r>
      <w:r w:rsidRPr="00765851">
        <w:br/>
        <w:t>Department of Jobs, Precincts and Regions</w:t>
      </w:r>
      <w:r w:rsidRPr="00765851">
        <w:br/>
        <w:t>GPO Box 4509</w:t>
      </w:r>
      <w:r w:rsidRPr="00765851">
        <w:br/>
        <w:t>Melbourne VIC 3001</w:t>
      </w:r>
    </w:p>
    <w:p w14:paraId="3F273B41" w14:textId="06BE3C12" w:rsidR="00F77A2B" w:rsidRDefault="00F77A2B" w:rsidP="00EA15C0">
      <w:r w:rsidRPr="00765851">
        <w:t>Copies of the RIS and proposed Regulations can be obtained from the Engage Victoria website at</w:t>
      </w:r>
      <w:r w:rsidR="000F4EFC">
        <w:t xml:space="preserve"> </w:t>
      </w:r>
      <w:r w:rsidR="000F4EFC" w:rsidRPr="000F4EFC">
        <w:t>https://engage.vic.gov.au/draft-declared-mine-regulations-ris</w:t>
      </w:r>
      <w:r w:rsidR="000F4EFC">
        <w:t>.</w:t>
      </w:r>
    </w:p>
    <w:p w14:paraId="6DF3FD2E" w14:textId="2BBB0354" w:rsidR="006E1000" w:rsidRDefault="006E1000">
      <w:pPr>
        <w:spacing w:before="0" w:line="276" w:lineRule="auto"/>
      </w:pPr>
      <w:r>
        <w:br w:type="page"/>
      </w:r>
    </w:p>
    <w:p w14:paraId="0FD83B23" w14:textId="0DC0DCD5" w:rsidR="00832715" w:rsidRPr="00DA7F73" w:rsidRDefault="00832715" w:rsidP="006E1000">
      <w:pPr>
        <w:pStyle w:val="Heading1"/>
      </w:pPr>
      <w:bookmarkStart w:id="15" w:name="_Toc104217650"/>
      <w:r>
        <w:lastRenderedPageBreak/>
        <w:t>Context</w:t>
      </w:r>
      <w:bookmarkEnd w:id="15"/>
    </w:p>
    <w:p w14:paraId="1597957B" w14:textId="31F16F05" w:rsidR="006F700F" w:rsidRPr="00F52842" w:rsidRDefault="00832715" w:rsidP="006E7788">
      <w:pPr>
        <w:pStyle w:val="Heading2"/>
      </w:pPr>
      <w:bookmarkStart w:id="16" w:name="_Toc54366733"/>
      <w:bookmarkStart w:id="17" w:name="_Toc54366734"/>
      <w:bookmarkStart w:id="18" w:name="_Toc54366735"/>
      <w:bookmarkStart w:id="19" w:name="_Toc54366736"/>
      <w:bookmarkStart w:id="20" w:name="_Toc54366737"/>
      <w:bookmarkStart w:id="21" w:name="_Toc54366738"/>
      <w:bookmarkStart w:id="22" w:name="_Toc54366739"/>
      <w:bookmarkStart w:id="23" w:name="_Toc54366740"/>
      <w:bookmarkStart w:id="24" w:name="_Toc54366741"/>
      <w:bookmarkStart w:id="25" w:name="_Toc54366742"/>
      <w:bookmarkStart w:id="26" w:name="_Toc54366743"/>
      <w:bookmarkStart w:id="27" w:name="_Toc54366744"/>
      <w:bookmarkStart w:id="28" w:name="_Toc104217651"/>
      <w:bookmarkEnd w:id="16"/>
      <w:bookmarkEnd w:id="17"/>
      <w:bookmarkEnd w:id="18"/>
      <w:bookmarkEnd w:id="19"/>
      <w:bookmarkEnd w:id="20"/>
      <w:bookmarkEnd w:id="21"/>
      <w:bookmarkEnd w:id="22"/>
      <w:bookmarkEnd w:id="23"/>
      <w:bookmarkEnd w:id="24"/>
      <w:bookmarkEnd w:id="25"/>
      <w:bookmarkEnd w:id="26"/>
      <w:bookmarkEnd w:id="27"/>
      <w:r>
        <w:t>Mining in Victoria</w:t>
      </w:r>
      <w:bookmarkEnd w:id="28"/>
    </w:p>
    <w:p w14:paraId="16D7E97C" w14:textId="7FF19D40" w:rsidR="002956BD" w:rsidRDefault="006F700F" w:rsidP="00341DA4">
      <w:r w:rsidRPr="006F700F">
        <w:t xml:space="preserve">The </w:t>
      </w:r>
      <w:r w:rsidR="009C555F">
        <w:t>resources</w:t>
      </w:r>
      <w:r w:rsidR="009C555F" w:rsidRPr="006F700F">
        <w:t xml:space="preserve"> </w:t>
      </w:r>
      <w:r w:rsidRPr="006F700F">
        <w:t xml:space="preserve">sector is important </w:t>
      </w:r>
      <w:r w:rsidR="00590CBD">
        <w:t xml:space="preserve">to </w:t>
      </w:r>
      <w:r w:rsidRPr="006F700F">
        <w:t xml:space="preserve">Victoria’s economy, particularly </w:t>
      </w:r>
      <w:r w:rsidR="00590CBD">
        <w:t>in</w:t>
      </w:r>
      <w:r w:rsidR="00590CBD" w:rsidRPr="006F700F">
        <w:t xml:space="preserve"> </w:t>
      </w:r>
      <w:r w:rsidRPr="006F700F">
        <w:t xml:space="preserve">regional </w:t>
      </w:r>
      <w:r w:rsidR="00590CBD">
        <w:t>areas</w:t>
      </w:r>
      <w:r w:rsidRPr="006F700F">
        <w:t xml:space="preserve">. </w:t>
      </w:r>
      <w:r w:rsidR="009455CE" w:rsidRPr="00942F9D">
        <w:t>The</w:t>
      </w:r>
      <w:r w:rsidR="00A7165E">
        <w:t xml:space="preserve"> </w:t>
      </w:r>
      <w:r w:rsidR="002767BF">
        <w:t>Act regulates two distinct groups</w:t>
      </w:r>
      <w:r w:rsidR="000532F6">
        <w:t>:</w:t>
      </w:r>
      <w:r w:rsidR="009C555F">
        <w:t xml:space="preserve"> </w:t>
      </w:r>
      <w:r w:rsidR="009455CE" w:rsidRPr="00942F9D">
        <w:t xml:space="preserve">‘minerals’ (including </w:t>
      </w:r>
      <w:r w:rsidR="000532F6">
        <w:t xml:space="preserve">exploration and mining </w:t>
      </w:r>
      <w:r w:rsidR="003B6676">
        <w:t>for</w:t>
      </w:r>
      <w:r w:rsidR="000532F6">
        <w:t xml:space="preserve"> </w:t>
      </w:r>
      <w:r w:rsidR="009455CE" w:rsidRPr="00942F9D">
        <w:t>coal, gold and heavy mineral sands) and ‘extractives’ (</w:t>
      </w:r>
      <w:r w:rsidR="0065343D" w:rsidRPr="00942F9D">
        <w:t>e.g.,</w:t>
      </w:r>
      <w:r w:rsidR="009455CE" w:rsidRPr="00942F9D">
        <w:t xml:space="preserve"> </w:t>
      </w:r>
      <w:r w:rsidR="009455CE">
        <w:t xml:space="preserve">sand, </w:t>
      </w:r>
      <w:r w:rsidR="009455CE" w:rsidRPr="00942F9D">
        <w:t>quarrying stone</w:t>
      </w:r>
      <w:r w:rsidR="009455CE">
        <w:t>, gravel</w:t>
      </w:r>
      <w:r w:rsidR="009455CE" w:rsidRPr="00942F9D">
        <w:t>).</w:t>
      </w:r>
      <w:r w:rsidR="0065343D">
        <w:t xml:space="preserve"> </w:t>
      </w:r>
      <w:r w:rsidR="00B33345">
        <w:t>Coal mining ma</w:t>
      </w:r>
      <w:r w:rsidR="004138F4">
        <w:t>kes</w:t>
      </w:r>
      <w:r w:rsidR="00B33345">
        <w:t xml:space="preserve"> up a significant portion of the </w:t>
      </w:r>
      <w:r w:rsidR="00B723C7">
        <w:t>minerals</w:t>
      </w:r>
      <w:r w:rsidR="00B33345">
        <w:t xml:space="preserve"> </w:t>
      </w:r>
      <w:r w:rsidR="004C066F">
        <w:t>industry</w:t>
      </w:r>
      <w:r w:rsidR="00B33345">
        <w:t xml:space="preserve"> and has played a key role in the social and economic development of the Latrobe Valley region</w:t>
      </w:r>
      <w:r w:rsidR="00A27996">
        <w:t xml:space="preserve"> over many decades</w:t>
      </w:r>
      <w:r w:rsidR="00B33345">
        <w:t xml:space="preserve">. </w:t>
      </w:r>
      <w:r w:rsidR="00B04041">
        <w:t xml:space="preserve">Victoria has one of the largest brown </w:t>
      </w:r>
      <w:bookmarkStart w:id="29" w:name="_Int_jJm4MJ7F"/>
      <w:r w:rsidR="00B04041">
        <w:t>coal</w:t>
      </w:r>
      <w:bookmarkEnd w:id="29"/>
      <w:r w:rsidR="00B04041">
        <w:t xml:space="preserve"> (lignite) deposits in the world, with a total estimated resource of around 430 billion tonnes. More than 80 per cent of the resource is in the Latrobe Valley, with around 65 billion tonnes of measured resource identified.</w:t>
      </w:r>
      <w:r w:rsidR="00F62FE4">
        <w:t xml:space="preserve"> </w:t>
      </w:r>
      <w:r w:rsidR="00B04041">
        <w:t>Brown coal is produced primarily at large, open-cut mines in the Latrobe Valley (Loy Yang and Yallourn) to provide fuel for electricity generation.</w:t>
      </w:r>
      <w:r w:rsidR="00B04041" w:rsidRPr="00B04041">
        <w:t xml:space="preserve"> </w:t>
      </w:r>
      <w:r w:rsidR="00B04041">
        <w:t>These mines are the state’s largest mines</w:t>
      </w:r>
      <w:r w:rsidR="00B04041" w:rsidRPr="000547A1">
        <w:t>.</w:t>
      </w:r>
      <w:r w:rsidR="00013ECA" w:rsidRPr="000547A1">
        <w:t xml:space="preserve"> </w:t>
      </w:r>
      <w:r w:rsidR="00A83C00" w:rsidRPr="006951E6">
        <w:t>The production of coal increased by 4.7 per cent from 40,372 tonnes in 2019-20 to 42,263 tonnes in 2020-21.</w:t>
      </w:r>
      <w:r w:rsidR="00A903F3">
        <w:t xml:space="preserve"> </w:t>
      </w:r>
      <w:r w:rsidR="006877A0">
        <w:t xml:space="preserve">As </w:t>
      </w:r>
      <w:r w:rsidR="00C7054C">
        <w:t xml:space="preserve">Victoria transitions to a net zero emissions future, planning for the end of coal mining for power generation is </w:t>
      </w:r>
      <w:r w:rsidR="00E125FD">
        <w:t xml:space="preserve">accelerating. </w:t>
      </w:r>
      <w:r w:rsidR="00B90C49" w:rsidRPr="00B90C49">
        <w:t>The Hazelwood mine and power station retired operations in 2017 and the Yallourn mine and power station are scheduled to conclude operations in 2028. Earlier this year AGL announced plans to end coal mining at Loy Yang around 2040-2045.</w:t>
      </w:r>
    </w:p>
    <w:p w14:paraId="746E52E3" w14:textId="77777777" w:rsidR="00E27BBA" w:rsidRDefault="00E27BBA" w:rsidP="00DD3F07">
      <w:pPr>
        <w:pStyle w:val="Heading2"/>
        <w:numPr>
          <w:ilvl w:val="1"/>
          <w:numId w:val="123"/>
        </w:numPr>
      </w:pPr>
      <w:bookmarkStart w:id="30" w:name="_Toc54366746"/>
      <w:bookmarkStart w:id="31" w:name="_Toc54366747"/>
      <w:bookmarkStart w:id="32" w:name="_Toc54366748"/>
      <w:bookmarkStart w:id="33" w:name="_Toc54366749"/>
      <w:bookmarkStart w:id="34" w:name="_Toc54366750"/>
      <w:bookmarkStart w:id="35" w:name="_Toc54366751"/>
      <w:bookmarkStart w:id="36" w:name="_Toc54366752"/>
      <w:bookmarkStart w:id="37" w:name="_Toc54366753"/>
      <w:bookmarkStart w:id="38" w:name="_Toc54366754"/>
      <w:bookmarkStart w:id="39" w:name="_Toc54366755"/>
      <w:bookmarkStart w:id="40" w:name="_Toc104217652"/>
      <w:bookmarkEnd w:id="30"/>
      <w:bookmarkEnd w:id="31"/>
      <w:bookmarkEnd w:id="32"/>
      <w:bookmarkEnd w:id="33"/>
      <w:bookmarkEnd w:id="34"/>
      <w:bookmarkEnd w:id="35"/>
      <w:bookmarkEnd w:id="36"/>
      <w:bookmarkEnd w:id="37"/>
      <w:bookmarkEnd w:id="38"/>
      <w:bookmarkEnd w:id="39"/>
      <w:r>
        <w:t>Regulation of mining in Victoria</w:t>
      </w:r>
      <w:bookmarkEnd w:id="40"/>
    </w:p>
    <w:p w14:paraId="133D4B9C" w14:textId="7414AFC0" w:rsidR="007B6F61" w:rsidRDefault="3130A73F" w:rsidP="007B6F61">
      <w:r w:rsidRPr="007962DE">
        <w:t xml:space="preserve">The Crown </w:t>
      </w:r>
      <w:r w:rsidR="0D65A597">
        <w:t xml:space="preserve">asserts ownership of </w:t>
      </w:r>
      <w:r w:rsidRPr="007962DE">
        <w:t>all minerals in Victoria, subject to some minor exemptions</w:t>
      </w:r>
      <w:r>
        <w:t>.</w:t>
      </w:r>
      <w:r w:rsidR="007B6F61">
        <w:rPr>
          <w:rStyle w:val="FootnoteReference"/>
        </w:rPr>
        <w:footnoteReference w:id="10"/>
      </w:r>
      <w:r>
        <w:t xml:space="preserve"> </w:t>
      </w:r>
      <w:r w:rsidR="0D573562">
        <w:t>In terms of realising</w:t>
      </w:r>
      <w:r w:rsidR="38E6B9BB">
        <w:t xml:space="preserve"> the economic value of these assets, the private sector has greater </w:t>
      </w:r>
      <w:r w:rsidR="3987EA1B">
        <w:t xml:space="preserve">financial risk appetite and </w:t>
      </w:r>
      <w:r w:rsidR="38E6B9BB">
        <w:t>expertise in mini</w:t>
      </w:r>
      <w:r w:rsidR="0DAD3122">
        <w:t>ng compared to the governmen</w:t>
      </w:r>
      <w:r w:rsidR="3B426027">
        <w:t>t</w:t>
      </w:r>
      <w:r w:rsidR="2D73C7AF">
        <w:t xml:space="preserve">. </w:t>
      </w:r>
      <w:r w:rsidRPr="007962DE">
        <w:t>The Act establishes a system where rights to Crown-owned minerals are allocated to private parties.</w:t>
      </w:r>
      <w:r w:rsidR="007B6F61">
        <w:rPr>
          <w:rStyle w:val="FootnoteReference"/>
        </w:rPr>
        <w:footnoteReference w:id="11"/>
      </w:r>
      <w:r>
        <w:t xml:space="preserve"> This framework is designed to ensure that mining works are only undertaken where there is evidence of a mineral resource </w:t>
      </w:r>
      <w:r w:rsidR="3A991D9A">
        <w:t>to</w:t>
      </w:r>
      <w:r>
        <w:t xml:space="preserve"> minimise unnecessary disturbance to the environment and communities</w:t>
      </w:r>
      <w:r w:rsidR="00D00613">
        <w:t xml:space="preserve">. Of relevance to the </w:t>
      </w:r>
      <w:r w:rsidR="006D027C">
        <w:t>proposed Regulations</w:t>
      </w:r>
      <w:r w:rsidR="00D00613">
        <w:t xml:space="preserve">, </w:t>
      </w:r>
      <w:r w:rsidR="00A20643">
        <w:t>t</w:t>
      </w:r>
      <w:r w:rsidR="00D00613">
        <w:t>he Act</w:t>
      </w:r>
      <w:r>
        <w:t xml:space="preserve"> </w:t>
      </w:r>
      <w:r w:rsidR="00EB6D15">
        <w:t xml:space="preserve">also </w:t>
      </w:r>
      <w:r>
        <w:t>ensure</w:t>
      </w:r>
      <w:r w:rsidR="00EB6D15">
        <w:t>s</w:t>
      </w:r>
      <w:r>
        <w:t xml:space="preserve"> that </w:t>
      </w:r>
      <w:r w:rsidR="003A6F68">
        <w:t xml:space="preserve">extractive </w:t>
      </w:r>
      <w:r>
        <w:t xml:space="preserve">mining </w:t>
      </w:r>
      <w:r w:rsidR="002720C5">
        <w:t xml:space="preserve">activity is </w:t>
      </w:r>
      <w:r>
        <w:t xml:space="preserve">only undertaken by appropriately qualified and equipped parties, </w:t>
      </w:r>
      <w:r w:rsidR="1862AA78">
        <w:t xml:space="preserve">capable of </w:t>
      </w:r>
      <w:r w:rsidR="599E3461">
        <w:t>manag</w:t>
      </w:r>
      <w:r w:rsidR="1862AA78">
        <w:t xml:space="preserve">ing the associated </w:t>
      </w:r>
      <w:r>
        <w:t xml:space="preserve">risks. </w:t>
      </w:r>
    </w:p>
    <w:p w14:paraId="25F4A454" w14:textId="4722D7C8" w:rsidR="007B6F61" w:rsidRDefault="007B6F61" w:rsidP="007B6F61">
      <w:r w:rsidRPr="00DB35C2">
        <w:t xml:space="preserve">Communities and government expect mined land to be rehabilitated to a safe, stable and sustainable landform that supports future land uses. Where effective risk management and rehabilitation does not occur, mining can result in significant negative impacts on the environment and communities. When these costs are not ‘internalised’ </w:t>
      </w:r>
      <w:r w:rsidR="00A06383">
        <w:t>or taken into account</w:t>
      </w:r>
      <w:r w:rsidRPr="00DB35C2">
        <w:t xml:space="preserve"> by the operator through rehabilitation and post-closure management, the</w:t>
      </w:r>
      <w:r w:rsidR="00A06383">
        <w:t xml:space="preserve"> costs</w:t>
      </w:r>
      <w:r w:rsidRPr="00DB35C2">
        <w:t xml:space="preserve"> are imposed on the community</w:t>
      </w:r>
      <w:r w:rsidR="00A06383">
        <w:t xml:space="preserve"> and Government</w:t>
      </w:r>
      <w:r w:rsidRPr="00DB35C2">
        <w:t>. This is a type of market failure know as an ‘externality</w:t>
      </w:r>
      <w:r>
        <w:t>.</w:t>
      </w:r>
      <w:r w:rsidRPr="00DB35C2">
        <w:t>’</w:t>
      </w:r>
      <w:r>
        <w:rPr>
          <w:rStyle w:val="FootnoteReference"/>
        </w:rPr>
        <w:footnoteReference w:id="12"/>
      </w:r>
      <w:r w:rsidR="00847566">
        <w:t xml:space="preserve"> </w:t>
      </w:r>
      <w:r w:rsidR="00A06383">
        <w:t xml:space="preserve">In </w:t>
      </w:r>
      <w:r w:rsidR="00992BBB">
        <w:t xml:space="preserve">order to address this externality and manage risks, </w:t>
      </w:r>
      <w:r w:rsidRPr="00DB35C2">
        <w:t xml:space="preserve">the Act </w:t>
      </w:r>
      <w:r>
        <w:t>impos</w:t>
      </w:r>
      <w:r w:rsidR="00A06383">
        <w:t>es</w:t>
      </w:r>
      <w:r>
        <w:t xml:space="preserve"> obligations on mining licensees to minimise risks associated with their works and to rehabilitate disturbed land to a safe, stable and sustainable landform. </w:t>
      </w:r>
    </w:p>
    <w:p w14:paraId="035C6BCB" w14:textId="64043FC0" w:rsidR="007B6F61" w:rsidRDefault="00F74BD6" w:rsidP="00D86BBC">
      <w:pPr>
        <w:pStyle w:val="Heading3"/>
        <w:numPr>
          <w:ilvl w:val="2"/>
          <w:numId w:val="123"/>
        </w:numPr>
      </w:pPr>
      <w:bookmarkStart w:id="41" w:name="_Toc104217653"/>
      <w:r>
        <w:t>The Act</w:t>
      </w:r>
      <w:bookmarkEnd w:id="41"/>
    </w:p>
    <w:p w14:paraId="31E3C941" w14:textId="2AC25EBB" w:rsidR="007B6F61" w:rsidRDefault="007B6F61" w:rsidP="007B6F61">
      <w:r>
        <w:t xml:space="preserve">The Minister for Resources is responsible for administering the </w:t>
      </w:r>
      <w:r w:rsidRPr="0070132B">
        <w:t>Act</w:t>
      </w:r>
      <w:r>
        <w:t xml:space="preserve">. The purpose of the Act is to encourage economically viable mining and extractive industries that make the best use of resources, compatible with the economic, social and environmental objectives of the State. The Act seeks to do this by encouraging and facilitating minerals exploration and </w:t>
      </w:r>
      <w:r w:rsidR="00832C87">
        <w:t xml:space="preserve">development </w:t>
      </w:r>
      <w:r>
        <w:t xml:space="preserve">by providing for an efficient and effective system for the granting of licences </w:t>
      </w:r>
      <w:r w:rsidR="00832C87">
        <w:t xml:space="preserve">and </w:t>
      </w:r>
      <w:r>
        <w:t>co-ordinati</w:t>
      </w:r>
      <w:r w:rsidR="00832C87">
        <w:t>on</w:t>
      </w:r>
      <w:r>
        <w:t xml:space="preserve"> </w:t>
      </w:r>
      <w:r w:rsidR="00832C87">
        <w:t>of</w:t>
      </w:r>
      <w:r>
        <w:t xml:space="preserve"> related approvals. It also seeks to establish an economically efficient system of royalties, rentals, fees and charges, and sets out principles of sustainable development, applicable to the administration of the Act. </w:t>
      </w:r>
    </w:p>
    <w:p w14:paraId="53234A28" w14:textId="23A4266B" w:rsidR="007B6F61" w:rsidRDefault="007B6F61" w:rsidP="007B6F61">
      <w:r>
        <w:lastRenderedPageBreak/>
        <w:t>The Act includes provisions to</w:t>
      </w:r>
      <w:r w:rsidRPr="00883C6A">
        <w:t xml:space="preserve"> manage risks posed to the environment, to members of the public, or to land, property or infrastructure by work being done under a licence</w:t>
      </w:r>
      <w:r>
        <w:t>.</w:t>
      </w:r>
      <w:r w:rsidRPr="00883C6A">
        <w:t xml:space="preserve"> </w:t>
      </w:r>
      <w:r>
        <w:t xml:space="preserve">This ensures that </w:t>
      </w:r>
      <w:r w:rsidRPr="00883C6A">
        <w:t>risks are identified and eliminated</w:t>
      </w:r>
      <w:r w:rsidR="00832C87">
        <w:t>,</w:t>
      </w:r>
      <w:r w:rsidRPr="00883C6A">
        <w:t xml:space="preserve"> or minimised as far as reasonably practicable, and</w:t>
      </w:r>
      <w:r>
        <w:t xml:space="preserve"> that</w:t>
      </w:r>
      <w:r w:rsidRPr="00883C6A">
        <w:t xml:space="preserve"> land is rehabilitated. </w:t>
      </w:r>
    </w:p>
    <w:p w14:paraId="0EC87A45" w14:textId="0C775EED" w:rsidR="2DB9FB20" w:rsidRDefault="2DB9FB20">
      <w:r>
        <w:t>All mining operations create some degree of risk, both within the mine site and through impacts on the surrounding landscape. However, some mines pose particularly significant risks to public safety, the environment and/or infrastructure. Under section 7C of the Act, the Minister has the power to ‘declare’ such mines. Mines that are declared are subject to special regulatory measures designed to manage and mitigate the greater risks they pose. Declared mines are subject to additional risk prevention requirements</w:t>
      </w:r>
      <w:r w:rsidR="006C37D7">
        <w:t xml:space="preserve"> and pay a mine stability levy t</w:t>
      </w:r>
      <w:r w:rsidR="006208D4">
        <w:t xml:space="preserve">o </w:t>
      </w:r>
      <w:r w:rsidR="006C37D7">
        <w:t>fund</w:t>
      </w:r>
      <w:r w:rsidR="006208D4">
        <w:t xml:space="preserve"> research and technical advice</w:t>
      </w:r>
      <w:r>
        <w:t>.</w:t>
      </w:r>
      <w:r w:rsidR="006208D4">
        <w:t xml:space="preserve"> There are three declared mines in Victoria: Hazelwood, Yallourn and Loy Yang</w:t>
      </w:r>
      <w:r w:rsidR="00B71330">
        <w:t xml:space="preserve"> coal mines</w:t>
      </w:r>
      <w:r w:rsidR="006208D4">
        <w:t>.</w:t>
      </w:r>
    </w:p>
    <w:p w14:paraId="169BD7D8" w14:textId="58EB9021" w:rsidR="004A5F8E" w:rsidRDefault="004A5F8E" w:rsidP="00D86BBC">
      <w:pPr>
        <w:pStyle w:val="Heading3"/>
        <w:numPr>
          <w:ilvl w:val="2"/>
          <w:numId w:val="123"/>
        </w:numPr>
      </w:pPr>
      <w:bookmarkStart w:id="42" w:name="_Ref62463248"/>
      <w:bookmarkStart w:id="43" w:name="_Toc104217654"/>
      <w:r>
        <w:t>Declared mine rehabilitation framework</w:t>
      </w:r>
      <w:bookmarkEnd w:id="42"/>
      <w:bookmarkEnd w:id="43"/>
      <w:r w:rsidR="00BE7C79">
        <w:t xml:space="preserve"> </w:t>
      </w:r>
    </w:p>
    <w:p w14:paraId="3605C34A" w14:textId="5628631B" w:rsidR="00CD55D2" w:rsidRDefault="00FD0DCE" w:rsidP="00CD55D2">
      <w:r>
        <w:t xml:space="preserve">The DMRP must include criteria for the closure of the mine and a plan for the management and monitoring of the mine land after closure. Rehabilitation is the responsibility of the mine licensee until the Minister determines that the criteria for the closure of the mine have been met, and their licence is relinquished. After closure and registration, post-closure management of the mine land becomes the responsibility of the landowner (which may be the mine licensee) and/or the Mine Land Rehabilitation Authority. </w:t>
      </w:r>
      <w:r w:rsidR="00CD55D2">
        <w:t>The rehabilitation of declared mine land is regulated by both the general provisions relating to rehabilitation of all mines under the Act</w:t>
      </w:r>
      <w:r w:rsidR="0060676B">
        <w:rPr>
          <w:rStyle w:val="FootnoteReference"/>
        </w:rPr>
        <w:footnoteReference w:id="13"/>
      </w:r>
      <w:r w:rsidR="00CD55D2">
        <w:t xml:space="preserve"> and by the special declared mine rehabilitation framework introduced by the Amendment Act.</w:t>
      </w:r>
      <w:r w:rsidR="00F90762">
        <w:t xml:space="preserve"> </w:t>
      </w:r>
      <w:r w:rsidR="00CD55D2">
        <w:t xml:space="preserve">Declared mines are subject to more extensive rehabilitation requirements compared to other mines. Continuing the Victorian Government’s response to the </w:t>
      </w:r>
      <w:r w:rsidR="004A5F8E">
        <w:t>Hazelwood Mine Fire Inquiry (</w:t>
      </w:r>
      <w:r w:rsidR="00CD55D2">
        <w:t>HMFI</w:t>
      </w:r>
      <w:r w:rsidR="5E6994A5">
        <w:t>)</w:t>
      </w:r>
      <w:r w:rsidR="004E6DC8">
        <w:t xml:space="preserve"> </w:t>
      </w:r>
      <w:r w:rsidR="00B71330">
        <w:t>(</w:t>
      </w:r>
      <w:r w:rsidR="004E6DC8">
        <w:t>see</w:t>
      </w:r>
      <w:r>
        <w:t xml:space="preserve"> section</w:t>
      </w:r>
      <w:r w:rsidR="004E6DC8">
        <w:t xml:space="preserve"> </w:t>
      </w:r>
      <w:r w:rsidR="00820053">
        <w:fldChar w:fldCharType="begin"/>
      </w:r>
      <w:r w:rsidR="00820053">
        <w:instrText xml:space="preserve"> REF _Ref101474683 \r \h </w:instrText>
      </w:r>
      <w:r w:rsidR="00820053">
        <w:fldChar w:fldCharType="separate"/>
      </w:r>
      <w:r w:rsidR="000B3BF6">
        <w:t>2.4.3</w:t>
      </w:r>
      <w:r w:rsidR="00820053">
        <w:fldChar w:fldCharType="end"/>
      </w:r>
      <w:r w:rsidR="00820053">
        <w:t xml:space="preserve"> </w:t>
      </w:r>
      <w:r w:rsidR="00016500">
        <w:t xml:space="preserve"> </w:t>
      </w:r>
      <w:r w:rsidR="004E6DC8">
        <w:t>below</w:t>
      </w:r>
      <w:r w:rsidR="00B71330">
        <w:t>)</w:t>
      </w:r>
      <w:r w:rsidR="00CB6BDB">
        <w:t>,</w:t>
      </w:r>
      <w:r w:rsidR="00CD55D2">
        <w:t xml:space="preserve"> the Amendment Act introduced a new framework for the regulation of declared mine rehabilitation designed to address the </w:t>
      </w:r>
      <w:r w:rsidR="002A3169">
        <w:t xml:space="preserve">HMFI’s </w:t>
      </w:r>
      <w:r w:rsidR="00CD55D2">
        <w:t xml:space="preserve">key findings and recommendations. </w:t>
      </w:r>
    </w:p>
    <w:p w14:paraId="0DA407FB" w14:textId="45DFE04E" w:rsidR="008E1C72" w:rsidRDefault="00CD55D2" w:rsidP="008E1C72">
      <w:pPr>
        <w:spacing w:before="0"/>
      </w:pPr>
      <w:r>
        <w:t xml:space="preserve">Rehabilitation of mine sites occurs during the operation of the mine (‘progressive rehabilitation’) and as part of its closure (‘final rehabilitation’). For mines other than declared mines, the Act </w:t>
      </w:r>
      <w:r w:rsidR="007436B1">
        <w:t>prescrib</w:t>
      </w:r>
      <w:r>
        <w:t xml:space="preserve">es that rehabilitation of the mine site creates a safe, stable and sustainable landform by the point of closure, and that the mine licensee’s obligations in relation to the mine land and any risks it poses cease upon closure and the relinquishment of the relevant licence. </w:t>
      </w:r>
      <w:r w:rsidR="008E1C72">
        <w:t>For declared mines, the Act requires the Minister to determine whether closure criteria in the declared mine rehabilitation plan have been met before returning the bond. These provisions were added to the Act to address HMFI concerns about the lack of regulatory certainty over success of rehabilitation which led to a recommendation for the regulatory framework to include closure criteria (see section</w:t>
      </w:r>
      <w:r w:rsidR="00820053">
        <w:t xml:space="preserve"> </w:t>
      </w:r>
      <w:r w:rsidR="00820053">
        <w:fldChar w:fldCharType="begin"/>
      </w:r>
      <w:r w:rsidR="00820053">
        <w:instrText xml:space="preserve"> REF _Ref57622787 \r \h </w:instrText>
      </w:r>
      <w:r w:rsidR="00820053">
        <w:fldChar w:fldCharType="separate"/>
      </w:r>
      <w:r w:rsidR="000B3BF6">
        <w:t>2.4.2</w:t>
      </w:r>
      <w:r w:rsidR="00820053">
        <w:fldChar w:fldCharType="end"/>
      </w:r>
      <w:r w:rsidR="008E1C72">
        <w:t xml:space="preserve"> below). </w:t>
      </w:r>
    </w:p>
    <w:p w14:paraId="39275E5C" w14:textId="353A5463" w:rsidR="00CD55D2" w:rsidRDefault="00CD55D2" w:rsidP="00CD55D2">
      <w:r w:rsidRPr="002A497A">
        <w:t>A</w:t>
      </w:r>
      <w:r w:rsidR="008E1C72" w:rsidRPr="002A497A">
        <w:t>nother</w:t>
      </w:r>
      <w:r w:rsidRPr="002A497A">
        <w:t xml:space="preserve"> key difference between the declared mine rehabilitation framework and rehabilitation obligations for other mines is that the Act provides for the planning </w:t>
      </w:r>
      <w:r w:rsidR="00D90064" w:rsidRPr="002A497A">
        <w:t>and undertaking of the</w:t>
      </w:r>
      <w:r w:rsidRPr="002A497A">
        <w:t xml:space="preserve"> management of declared mine sites after the point of closure.</w:t>
      </w:r>
      <w:r w:rsidRPr="00B307BE">
        <w:t xml:space="preserve"> This recognises </w:t>
      </w:r>
      <w:r w:rsidR="0003605E" w:rsidRPr="007C2CB9">
        <w:t>that the</w:t>
      </w:r>
      <w:r w:rsidRPr="00C14904">
        <w:t xml:space="preserve"> significant and complex nature of the risks posed by the declared mines means that the mine sites</w:t>
      </w:r>
      <w:r>
        <w:t xml:space="preserve"> will require ongoing management to protect against damage to </w:t>
      </w:r>
      <w:r w:rsidR="005D566D">
        <w:t>surrounding infrastructure,</w:t>
      </w:r>
      <w:r w:rsidR="0076275B">
        <w:t xml:space="preserve"> environment,</w:t>
      </w:r>
      <w:r w:rsidR="005D566D">
        <w:t xml:space="preserve"> landscapes and communities</w:t>
      </w:r>
      <w:r>
        <w:t xml:space="preserve"> for a considerable period into the future. As such, the rehabilitation component of the work plan that must be prepared by mine licensees includes activities for progressive rehabilitation of the mine land during operation</w:t>
      </w:r>
      <w:r w:rsidR="0003605E">
        <w:t>,</w:t>
      </w:r>
      <w:r>
        <w:t xml:space="preserve"> and concepts for the post-closure landform of the mine site.</w:t>
      </w:r>
      <w:r w:rsidR="00D63990">
        <w:rPr>
          <w:rStyle w:val="FootnoteReference"/>
        </w:rPr>
        <w:footnoteReference w:id="14"/>
      </w:r>
      <w:r>
        <w:t xml:space="preserve"> </w:t>
      </w:r>
    </w:p>
    <w:p w14:paraId="23526628" w14:textId="65601A93" w:rsidR="00137DD9" w:rsidRDefault="00137DD9" w:rsidP="00137DD9">
      <w:r>
        <w:t>The scheme for the rehabilitation and post-closure management of declared mine land introduced by the Amendment Act includes:</w:t>
      </w:r>
    </w:p>
    <w:p w14:paraId="0D35CD26" w14:textId="3C3DA0E6" w:rsidR="007A3C00" w:rsidRDefault="007A3C00" w:rsidP="007A3C00">
      <w:pPr>
        <w:pStyle w:val="dotpoints"/>
      </w:pPr>
      <w:r>
        <w:t>the need for Declared Mine Land Rehabilitation Plans (DMRPs) that recognise the sites will require ongoing monitoring and management to remain safe, stable and sustainable after rehabilitation is completed;</w:t>
      </w:r>
    </w:p>
    <w:p w14:paraId="640BE253" w14:textId="09B66180" w:rsidR="007A3C00" w:rsidRDefault="00EC3EA5" w:rsidP="007A3C00">
      <w:pPr>
        <w:pStyle w:val="dotpoints"/>
      </w:pPr>
      <w:r>
        <w:lastRenderedPageBreak/>
        <w:t>establishing a register of declared mine land that includes the land, any conditions or prescribed matters applying to the land, and a post-closure plan against it;</w:t>
      </w:r>
      <w:r>
        <w:rPr>
          <w:rStyle w:val="FootnoteReference"/>
        </w:rPr>
        <w:footnoteReference w:id="15"/>
      </w:r>
      <w:r w:rsidR="007A3C00">
        <w:t xml:space="preserve"> </w:t>
      </w:r>
    </w:p>
    <w:p w14:paraId="36F67AD8" w14:textId="377791BF" w:rsidR="007A3C00" w:rsidRDefault="007A3C00" w:rsidP="007A3C00">
      <w:pPr>
        <w:pStyle w:val="dotpoints"/>
      </w:pPr>
      <w:r>
        <w:t>a Mine Land Rehabilitation Authority (‘the Authority’) to be created with functions and responsibilities for the rehabilitation of declared mine land through guidance provided by the Latrobe Valley Regional Rehabilitation Strategy (LVRRS)</w:t>
      </w:r>
      <w:r w:rsidR="00351FD7">
        <w:t xml:space="preserve"> where appropriate</w:t>
      </w:r>
      <w:r>
        <w:t>;</w:t>
      </w:r>
      <w:r>
        <w:rPr>
          <w:rStyle w:val="FootnoteReference"/>
        </w:rPr>
        <w:footnoteReference w:id="16"/>
      </w:r>
      <w:r>
        <w:t xml:space="preserve"> and </w:t>
      </w:r>
    </w:p>
    <w:p w14:paraId="28D39181" w14:textId="77777777" w:rsidR="007A3C00" w:rsidRDefault="007A3C00" w:rsidP="007A3C00">
      <w:pPr>
        <w:pStyle w:val="dotpoints"/>
      </w:pPr>
      <w:r>
        <w:t>the Declared Mine Fund to meet the ongoing costs associated with the post-closure management of declared mine land if the land is transferred to the Authority.</w:t>
      </w:r>
    </w:p>
    <w:p w14:paraId="31B5B730" w14:textId="77777777" w:rsidR="00CD55D2" w:rsidRPr="007C2CB9" w:rsidRDefault="00CD55D2" w:rsidP="00CD55D2">
      <w:r w:rsidRPr="002A497A">
        <w:t>The declared mine land framework in the Act is enabling: much of the detail is ‘prescribed’, meaning that it is assumed to be set out in supporting regulations.</w:t>
      </w:r>
      <w:r w:rsidRPr="00B307BE">
        <w:t xml:space="preserve"> </w:t>
      </w:r>
    </w:p>
    <w:p w14:paraId="7343C888" w14:textId="7AEF5556" w:rsidR="00F74BD6" w:rsidRDefault="00F74BD6" w:rsidP="00D86BBC">
      <w:pPr>
        <w:pStyle w:val="Heading3"/>
        <w:numPr>
          <w:ilvl w:val="2"/>
          <w:numId w:val="123"/>
        </w:numPr>
      </w:pPr>
      <w:bookmarkStart w:id="44" w:name="_Toc59184617"/>
      <w:bookmarkStart w:id="45" w:name="_Toc59184714"/>
      <w:bookmarkStart w:id="46" w:name="_Toc59184879"/>
      <w:bookmarkStart w:id="47" w:name="_Toc104217655"/>
      <w:bookmarkEnd w:id="44"/>
      <w:bookmarkEnd w:id="45"/>
      <w:bookmarkEnd w:id="46"/>
      <w:r w:rsidRPr="00C14904">
        <w:t>Regulations and other subordinate</w:t>
      </w:r>
      <w:r>
        <w:t xml:space="preserve"> instruments</w:t>
      </w:r>
      <w:bookmarkEnd w:id="47"/>
    </w:p>
    <w:p w14:paraId="4AAB7CBC" w14:textId="782D06DF" w:rsidR="00F74BD6" w:rsidRDefault="00F74BD6">
      <w:r>
        <w:t xml:space="preserve">The Mineral Resources (Sustainable Development) (Mineral Industries) Regulations 2019 operationalise some key elements of the Act, including by providing detail around licence applications, information required in work plans, reporting and notice obligations and fees. </w:t>
      </w:r>
    </w:p>
    <w:p w14:paraId="2FDD070C" w14:textId="6CC3225A" w:rsidR="00F74BD6" w:rsidRPr="00B63B43" w:rsidRDefault="00F74BD6" w:rsidP="00F74BD6">
      <w:r>
        <w:t xml:space="preserve">The 2019 Regulations remade the previous set of regulations under the </w:t>
      </w:r>
      <w:r w:rsidR="001950E0">
        <w:t>Act and</w:t>
      </w:r>
      <w:r w:rsidR="005B3039">
        <w:t xml:space="preserve"> included the </w:t>
      </w:r>
      <w:r>
        <w:t>introduc</w:t>
      </w:r>
      <w:r w:rsidR="005B3039">
        <w:t>tion of</w:t>
      </w:r>
      <w:r>
        <w:t xml:space="preserve"> new requirements for the rehabilitation </w:t>
      </w:r>
      <w:r w:rsidR="1A5ECEE8">
        <w:t xml:space="preserve">plan </w:t>
      </w:r>
      <w:r>
        <w:t>component of work plans. Under Regulation 43, work plans must include details about the proposed rehabilitation of the mine site, including a safe, stable and sustainable landform, a proposed land use, rehabilitation objectives, closure criteria, progressive rehabilitation milestones and relevant post-closure management information. Regulation 43 applies to all mines, including declared mines, but only to work plans lodged or varied on or after 1 July 2020. This is discussed in greater detail below.</w:t>
      </w:r>
    </w:p>
    <w:p w14:paraId="4D642D87" w14:textId="7416A249" w:rsidR="00F74BD6" w:rsidRDefault="00F74BD6" w:rsidP="00F74BD6">
      <w:r>
        <w:t xml:space="preserve">In addition to the regulations, there are two other forms of subordinate instrument made under the Act – Ministerial Guidelines and Codes of Practice. The </w:t>
      </w:r>
      <w:r w:rsidR="006D439C">
        <w:t>department</w:t>
      </w:r>
      <w:r>
        <w:t xml:space="preserve"> also publishes a considerable amount of (non-statutory) guidance material.</w:t>
      </w:r>
    </w:p>
    <w:p w14:paraId="7128F0D1" w14:textId="726D8DE6" w:rsidR="00F74BD6" w:rsidRDefault="0A67EA25" w:rsidP="006E1000">
      <w:r w:rsidRPr="00883C6A">
        <w:t>The Act empowers the Minister to make guidelines relating to any of the objectives or purposes of the Act</w:t>
      </w:r>
      <w:r w:rsidR="53EC3B7F" w:rsidRPr="00883C6A">
        <w:t xml:space="preserve"> or the Regulations made under the Act</w:t>
      </w:r>
      <w:r>
        <w:t>.</w:t>
      </w:r>
      <w:r w:rsidR="00F74BD6">
        <w:rPr>
          <w:rStyle w:val="FootnoteReference"/>
        </w:rPr>
        <w:footnoteReference w:id="17"/>
      </w:r>
      <w:r>
        <w:t xml:space="preserve"> </w:t>
      </w:r>
      <w:r w:rsidR="1E8FE709">
        <w:t>Guidelines have been published in relation to the rehabilitation of mine sites, and in support of other aspects of rehabilitation under the Act (such as rehabilitation bonds).</w:t>
      </w:r>
      <w:r w:rsidRPr="00883C6A">
        <w:t xml:space="preserve"> The Act also empowers the Minister to make Codes of Practice</w:t>
      </w:r>
      <w:r>
        <w:t>.</w:t>
      </w:r>
      <w:r w:rsidR="00F74BD6">
        <w:rPr>
          <w:rStyle w:val="FootnoteReference"/>
        </w:rPr>
        <w:footnoteReference w:id="18"/>
      </w:r>
      <w:r>
        <w:t xml:space="preserve"> </w:t>
      </w:r>
      <w:r w:rsidRPr="00883C6A">
        <w:t>Codes of practice have been issued for minerals exploration, and for low-risk mines</w:t>
      </w:r>
      <w:r>
        <w:t xml:space="preserve"> as defined in the Act.</w:t>
      </w:r>
      <w:r w:rsidR="00F74BD6">
        <w:rPr>
          <w:rStyle w:val="FootnoteReference"/>
        </w:rPr>
        <w:footnoteReference w:id="19"/>
      </w:r>
      <w:r>
        <w:t xml:space="preserve"> </w:t>
      </w:r>
    </w:p>
    <w:p w14:paraId="45CC8010" w14:textId="732AA10D" w:rsidR="00451909" w:rsidRPr="000073E6" w:rsidRDefault="00451909" w:rsidP="00D86BBC">
      <w:pPr>
        <w:pStyle w:val="Heading3"/>
        <w:numPr>
          <w:ilvl w:val="2"/>
          <w:numId w:val="123"/>
        </w:numPr>
      </w:pPr>
      <w:bookmarkStart w:id="48" w:name="_Ref102752063"/>
      <w:bookmarkStart w:id="49" w:name="_Toc104217656"/>
      <w:r w:rsidRPr="000073E6">
        <w:t>Earth Resources Regulation</w:t>
      </w:r>
      <w:bookmarkEnd w:id="48"/>
      <w:bookmarkEnd w:id="49"/>
    </w:p>
    <w:p w14:paraId="63ECB883" w14:textId="48B38FBB" w:rsidR="001002F9" w:rsidRDefault="001002F9" w:rsidP="00451909">
      <w:r w:rsidRPr="00883C6A">
        <w:t xml:space="preserve">The Minister and Department Head have powers under the legislation to administer the Act. </w:t>
      </w:r>
      <w:r w:rsidR="0080366C">
        <w:t>The Earth Resources Regulation unit (‘</w:t>
      </w:r>
      <w:r>
        <w:t>ERR</w:t>
      </w:r>
      <w:r w:rsidR="0080366C">
        <w:t>’)</w:t>
      </w:r>
      <w:r>
        <w:t xml:space="preserve"> is </w:t>
      </w:r>
      <w:r w:rsidRPr="00883C6A">
        <w:t>their operational delegate and</w:t>
      </w:r>
      <w:r>
        <w:t xml:space="preserve">, in practice, </w:t>
      </w:r>
      <w:r w:rsidRPr="00883C6A">
        <w:t xml:space="preserve">is responsible </w:t>
      </w:r>
      <w:r>
        <w:t>for</w:t>
      </w:r>
      <w:r w:rsidRPr="00883C6A">
        <w:t xml:space="preserve"> regulat</w:t>
      </w:r>
      <w:r>
        <w:t>ing</w:t>
      </w:r>
      <w:r w:rsidRPr="00883C6A">
        <w:t xml:space="preserve"> Victoria’s </w:t>
      </w:r>
      <w:r w:rsidR="00CB79D7">
        <w:t xml:space="preserve">resources </w:t>
      </w:r>
      <w:r>
        <w:t>sector.</w:t>
      </w:r>
      <w:r w:rsidR="003D1B8D">
        <w:t xml:space="preserve"> </w:t>
      </w:r>
      <w:r>
        <w:t xml:space="preserve">ERR’s roles </w:t>
      </w:r>
      <w:r w:rsidRPr="00883C6A">
        <w:t>include licensing, work plan approvals, risk management, enforcing compliance and stakeholder engagement. Much of ERR’s focus over the past few years has been on implementing a risk-based approach to regulation; particularly through approvals processes.</w:t>
      </w:r>
    </w:p>
    <w:p w14:paraId="0B6F6976" w14:textId="7643F517" w:rsidR="001002F9" w:rsidRDefault="001002F9" w:rsidP="00451909">
      <w:r w:rsidRPr="00883C6A">
        <w:t>ERR has the following responsibilities</w:t>
      </w:r>
      <w:r>
        <w:t xml:space="preserve"> pursuant to nine Acts of Parliament</w:t>
      </w:r>
      <w:r w:rsidRPr="00883C6A">
        <w:t>:</w:t>
      </w:r>
    </w:p>
    <w:p w14:paraId="4C2D8E9C" w14:textId="281E5B6F" w:rsidR="001002F9" w:rsidRPr="00883C6A" w:rsidRDefault="001002F9" w:rsidP="00451909">
      <w:pPr>
        <w:pStyle w:val="ListBullet"/>
      </w:pPr>
      <w:r w:rsidRPr="00883C6A">
        <w:t xml:space="preserve">allocating rights to explore and </w:t>
      </w:r>
      <w:r w:rsidR="00C02123">
        <w:t>extract earth resources</w:t>
      </w:r>
      <w:r w:rsidRPr="00883C6A">
        <w:t xml:space="preserve"> through licensing and tenders</w:t>
      </w:r>
      <w:r>
        <w:t>;</w:t>
      </w:r>
    </w:p>
    <w:p w14:paraId="0AC4E019" w14:textId="2FA67057" w:rsidR="001002F9" w:rsidRPr="00883C6A" w:rsidRDefault="001002F9" w:rsidP="00451909">
      <w:pPr>
        <w:pStyle w:val="ListBullet"/>
      </w:pPr>
      <w:r w:rsidRPr="00883C6A">
        <w:t>authorising exploration, production and other activities (e.g. retention)</w:t>
      </w:r>
      <w:r>
        <w:t>;</w:t>
      </w:r>
    </w:p>
    <w:p w14:paraId="3DD5E85D" w14:textId="77777777" w:rsidR="001002F9" w:rsidRDefault="001002F9" w:rsidP="00451909">
      <w:pPr>
        <w:pStyle w:val="ListBullet"/>
      </w:pPr>
      <w:r w:rsidRPr="00883C6A">
        <w:t xml:space="preserve">assessing and approving licensee operations works and rehabilitation </w:t>
      </w:r>
      <w:r>
        <w:t>(</w:t>
      </w:r>
      <w:r w:rsidRPr="00883C6A">
        <w:t>through work plans)</w:t>
      </w:r>
      <w:r>
        <w:t>;</w:t>
      </w:r>
    </w:p>
    <w:p w14:paraId="524003FD" w14:textId="77777777" w:rsidR="001002F9" w:rsidRDefault="001002F9" w:rsidP="00451909">
      <w:pPr>
        <w:pStyle w:val="ListBullet"/>
      </w:pPr>
      <w:r w:rsidRPr="007F7FE3">
        <w:t>compliance and enforcement activities</w:t>
      </w:r>
      <w:r>
        <w:t>;</w:t>
      </w:r>
      <w:r w:rsidRPr="007F7FE3">
        <w:t xml:space="preserve"> and</w:t>
      </w:r>
    </w:p>
    <w:p w14:paraId="7CE5D055" w14:textId="77777777" w:rsidR="001002F9" w:rsidRPr="00B63B43" w:rsidRDefault="001002F9" w:rsidP="00451909">
      <w:pPr>
        <w:pStyle w:val="ListBullet"/>
      </w:pPr>
      <w:r w:rsidRPr="007F7FE3">
        <w:t>other functions such as stakeholder engagement and education.</w:t>
      </w:r>
    </w:p>
    <w:p w14:paraId="5B63D509" w14:textId="4EC48D59" w:rsidR="001002F9" w:rsidRDefault="001002F9">
      <w:r>
        <w:lastRenderedPageBreak/>
        <w:t>The Victorian Budget 2020/21 provided $16.5 million over two years to ensure Victoria’s resources sector can continue to grow and support jobs across the state through efficient regulation and industry development. This includes new funds for ERR to ensure it can meet the minerals licensing and work authority demand created by a booming resources sector. The Victorian Budget 2020/21 also provided $21.1 million over four years to ensure effective rehabilitation for the Latrobe Valley coal mines and resources sites across the state, including funding for the new Mine Land Rehabilitation Authority.</w:t>
      </w:r>
    </w:p>
    <w:p w14:paraId="73602F34" w14:textId="2049AE46" w:rsidR="007C1820" w:rsidRPr="002D69D2" w:rsidRDefault="007C1820" w:rsidP="003F70FF">
      <w:pPr>
        <w:pStyle w:val="Heading6"/>
      </w:pPr>
      <w:r w:rsidRPr="002D69D2">
        <w:t>Audit by the Victorian Auditor-General’s Office (‘VAGO’)</w:t>
      </w:r>
    </w:p>
    <w:p w14:paraId="760E5850" w14:textId="2433BDFF" w:rsidR="00F57ED9" w:rsidRDefault="00F57ED9" w:rsidP="00F57ED9">
      <w:r>
        <w:t xml:space="preserve">On 5 August 2020, </w:t>
      </w:r>
      <w:r w:rsidR="00306AE9">
        <w:t xml:space="preserve">the Victorian Auditor-General </w:t>
      </w:r>
      <w:r w:rsidR="007F4692">
        <w:t>tabled an</w:t>
      </w:r>
      <w:r>
        <w:t xml:space="preserve"> audit of the Victorian government’s management of its exposure to liabilities from the rehabilitation of mines.</w:t>
      </w:r>
      <w:r>
        <w:rPr>
          <w:rStyle w:val="FootnoteReference"/>
        </w:rPr>
        <w:footnoteReference w:id="20"/>
      </w:r>
      <w:r>
        <w:t xml:space="preserve"> The report, </w:t>
      </w:r>
      <w:r>
        <w:rPr>
          <w:i/>
          <w:iCs/>
        </w:rPr>
        <w:t>Rehabilitating Mines</w:t>
      </w:r>
      <w:r>
        <w:t xml:space="preserve">, examined how </w:t>
      </w:r>
      <w:r w:rsidR="007A42D4">
        <w:t xml:space="preserve">the </w:t>
      </w:r>
      <w:r w:rsidR="006D439C">
        <w:t>department</w:t>
      </w:r>
      <w:r>
        <w:t xml:space="preserve"> regulates mining rehabilitation through ERR, and whether ERR’s work effectively minimises and manages the State’s exposure to rehabilitation liabilities. VAGO also considered the department’s coordination with other government agencies.</w:t>
      </w:r>
    </w:p>
    <w:p w14:paraId="55E42006" w14:textId="3868B18F" w:rsidR="00724CA7" w:rsidRDefault="00724CA7" w:rsidP="00F57ED9">
      <w:r>
        <w:t>The Latrobe Valley coal mines were expressly excluded from the scope of the audit because of the ongoing work on the regional strategy for the area at the time the audit was undertaken.</w:t>
      </w:r>
      <w:r>
        <w:rPr>
          <w:rStyle w:val="FootnoteReference"/>
        </w:rPr>
        <w:footnoteReference w:id="21"/>
      </w:r>
      <w:r>
        <w:t xml:space="preserve"> The audit’s findings are relevant to this RIS insofar as ERR is responsible for administering key elements of the declared mine rehabilitation framework, and any new regulations made in support of it. As such, the findings are discussed in sections of the RIS assessment as context related to ERR’s regulatory capacity and how changes made through new regulations might or might not support improved administration of the framework.</w:t>
      </w:r>
    </w:p>
    <w:p w14:paraId="2BAD6CFC" w14:textId="77777777" w:rsidR="00724CA7" w:rsidRDefault="09C6A1CD" w:rsidP="00F57ED9">
      <w:r>
        <w:t>The audit concluded that the d</w:t>
      </w:r>
      <w:r w:rsidRPr="6D4BA357">
        <w:t>epartment</w:t>
      </w:r>
      <w:r>
        <w:t xml:space="preserve"> ‘is not effectively regulating operators’ compliance with their rehabilitation responsibilities [which] exposes the state to significant financial risk’.</w:t>
      </w:r>
      <w:r w:rsidR="00724CA7">
        <w:rPr>
          <w:rStyle w:val="FootnoteReference"/>
        </w:rPr>
        <w:footnoteReference w:id="22"/>
      </w:r>
      <w:r>
        <w:t xml:space="preserve"> </w:t>
      </w:r>
    </w:p>
    <w:p w14:paraId="373ABB1E" w14:textId="77777777" w:rsidR="00724CA7" w:rsidRDefault="00724CA7" w:rsidP="00F57ED9">
      <w:r>
        <w:t>VAGO recommended that the department:</w:t>
      </w:r>
    </w:p>
    <w:p w14:paraId="632930E2" w14:textId="77777777" w:rsidR="00724CA7" w:rsidRDefault="00724CA7" w:rsidP="00F57ED9">
      <w:pPr>
        <w:pStyle w:val="ListBullet"/>
      </w:pPr>
      <w:r>
        <w:t>reduce the state’s mining rehabilitation contingent liability by ensuring that the rehabilitation bonds are sufficient to cover rehabilitation costs and are compliant with regulatory requirements;</w:t>
      </w:r>
    </w:p>
    <w:p w14:paraId="3E4536C7" w14:textId="77777777" w:rsidR="00724CA7" w:rsidRDefault="00724CA7" w:rsidP="00F57ED9">
      <w:pPr>
        <w:pStyle w:val="ListBullet"/>
      </w:pPr>
      <w:r>
        <w:t>review all mine and quarry rehabilitation plans to ensure regulatory compliance;</w:t>
      </w:r>
    </w:p>
    <w:p w14:paraId="0053409F" w14:textId="700C9AD4" w:rsidR="00724CA7" w:rsidRDefault="00724CA7" w:rsidP="00F57ED9">
      <w:pPr>
        <w:pStyle w:val="ListBullet"/>
      </w:pPr>
      <w:r>
        <w:t xml:space="preserve">consult with </w:t>
      </w:r>
      <w:r w:rsidR="00AC2182">
        <w:t>the d</w:t>
      </w:r>
      <w:r>
        <w:t>epartment of Environment, Land, Water and Planning (DELWP), the Environment Protection Authority (EPA) and the Latrobe Valley Mine Rehabilitation Commissioner (now the Mine Land Rehabilitation Authority) on the definition of terms in the Act that trigger increased rehabilitation information requirements from licensees;</w:t>
      </w:r>
    </w:p>
    <w:p w14:paraId="14E2BC73" w14:textId="77777777" w:rsidR="00724CA7" w:rsidRDefault="00724CA7" w:rsidP="00F57ED9">
      <w:pPr>
        <w:pStyle w:val="ListBullet"/>
      </w:pPr>
      <w:r>
        <w:t>develop and implement a rehabilitation-specific inspection and monitoring program;</w:t>
      </w:r>
    </w:p>
    <w:p w14:paraId="59645375" w14:textId="77777777" w:rsidR="00724CA7" w:rsidRDefault="00724CA7" w:rsidP="00F57ED9">
      <w:pPr>
        <w:pStyle w:val="ListBullet"/>
      </w:pPr>
      <w:r>
        <w:t>develop and implement policy and guidance documents for various aspects of the regulatory framework, including setting, reviewing and returning bonds;</w:t>
      </w:r>
    </w:p>
    <w:p w14:paraId="78E282E1" w14:textId="77777777" w:rsidR="00724CA7" w:rsidRDefault="00724CA7" w:rsidP="00F57ED9">
      <w:pPr>
        <w:pStyle w:val="ListBullet"/>
      </w:pPr>
      <w:r>
        <w:t xml:space="preserve">develop and implement an evaluation and reporting framework for ERR’s </w:t>
      </w:r>
      <w:r>
        <w:rPr>
          <w:i/>
          <w:iCs/>
        </w:rPr>
        <w:t>2020 Regulatory Practice Strategy</w:t>
      </w:r>
      <w:r w:rsidRPr="1F888995">
        <w:t>;</w:t>
      </w:r>
    </w:p>
    <w:p w14:paraId="24C3D9D1" w14:textId="2E9CA3E3" w:rsidR="00724CA7" w:rsidRDefault="00724CA7" w:rsidP="00F57ED9">
      <w:pPr>
        <w:pStyle w:val="ListBullet"/>
      </w:pPr>
      <w:r>
        <w:t xml:space="preserve">advise relevant Ministers on options to eliminate the conflict of interest between ERR’s role as regulator and </w:t>
      </w:r>
      <w:r w:rsidR="00AC2182">
        <w:t>the d</w:t>
      </w:r>
      <w:r>
        <w:t>epartment’s role in supporting and developing the mining industry; and</w:t>
      </w:r>
    </w:p>
    <w:p w14:paraId="0887E5F2" w14:textId="77777777" w:rsidR="00724CA7" w:rsidRPr="00883C6A" w:rsidRDefault="00724CA7" w:rsidP="00F57ED9">
      <w:pPr>
        <w:pStyle w:val="ListBullet"/>
      </w:pPr>
      <w:r>
        <w:t>develop an updated information management system.</w:t>
      </w:r>
    </w:p>
    <w:p w14:paraId="02D070C1" w14:textId="7E03EB17" w:rsidR="00D9263E" w:rsidRDefault="46156338" w:rsidP="008406B3">
      <w:r>
        <w:t xml:space="preserve">The </w:t>
      </w:r>
      <w:r w:rsidR="0CDA3CE9">
        <w:t>d</w:t>
      </w:r>
      <w:r>
        <w:t xml:space="preserve">epartment has accepted in full all but one of these recommendations, accepting in principle </w:t>
      </w:r>
      <w:r w:rsidR="398B3C9B">
        <w:t>one</w:t>
      </w:r>
      <w:r>
        <w:t xml:space="preserve"> recommendation to advise the Ministers on eliminating the conflict of interest.</w:t>
      </w:r>
      <w:r w:rsidR="00F57ED9">
        <w:rPr>
          <w:rStyle w:val="FootnoteReference"/>
        </w:rPr>
        <w:footnoteReference w:id="23"/>
      </w:r>
      <w:r w:rsidR="119A6D59">
        <w:t xml:space="preserve"> </w:t>
      </w:r>
      <w:r w:rsidR="1F8D6555">
        <w:t xml:space="preserve">ERR has committed </w:t>
      </w:r>
      <w:r w:rsidR="5634D4DF">
        <w:t xml:space="preserve">to </w:t>
      </w:r>
      <w:r w:rsidR="562E7FD8">
        <w:t>ten</w:t>
      </w:r>
      <w:r w:rsidR="1F8D6555">
        <w:t xml:space="preserve"> </w:t>
      </w:r>
      <w:r w:rsidR="1EC930B9">
        <w:t>recommendation</w:t>
      </w:r>
      <w:r w:rsidR="1F8D6555">
        <w:t xml:space="preserve">s </w:t>
      </w:r>
      <w:r w:rsidR="1F8116AF">
        <w:t xml:space="preserve">from the </w:t>
      </w:r>
      <w:r w:rsidR="1F8D6555">
        <w:t>VAGO audit</w:t>
      </w:r>
      <w:r w:rsidR="54972B09">
        <w:t xml:space="preserve"> and accept</w:t>
      </w:r>
      <w:r w:rsidR="6ACF90C4">
        <w:t>ed</w:t>
      </w:r>
      <w:r w:rsidR="562E7FD8">
        <w:t xml:space="preserve"> eight in full.</w:t>
      </w:r>
      <w:r w:rsidR="562E7FD8" w:rsidRPr="008D6D3C">
        <w:rPr>
          <w:rStyle w:val="FootnoteReference"/>
        </w:rPr>
        <w:t xml:space="preserve"> </w:t>
      </w:r>
      <w:r w:rsidR="008D6D3C">
        <w:rPr>
          <w:rStyle w:val="FootnoteReference"/>
        </w:rPr>
        <w:footnoteReference w:id="24"/>
      </w:r>
      <w:r w:rsidR="562E7FD8">
        <w:t xml:space="preserve"> </w:t>
      </w:r>
      <w:r w:rsidR="7CD2EB1D" w:rsidRPr="00E66B33">
        <w:t xml:space="preserve">Two recommendations </w:t>
      </w:r>
      <w:r w:rsidR="682213B4">
        <w:t>were</w:t>
      </w:r>
      <w:r w:rsidR="7CD2EB1D" w:rsidRPr="00E66B33">
        <w:t xml:space="preserve"> accepted in principle given their complexity and need for Government consideration</w:t>
      </w:r>
      <w:r w:rsidR="32DC8181">
        <w:t>.</w:t>
      </w:r>
      <w:r w:rsidR="53978DF4">
        <w:t xml:space="preserve"> </w:t>
      </w:r>
      <w:r w:rsidR="10DC7CB6">
        <w:t xml:space="preserve">ERR </w:t>
      </w:r>
      <w:r w:rsidR="64E46FDC">
        <w:t xml:space="preserve">agreed to undertake </w:t>
      </w:r>
      <w:r w:rsidR="0794324F">
        <w:t>37 actions</w:t>
      </w:r>
      <w:r w:rsidR="693DDA06">
        <w:t xml:space="preserve"> to address </w:t>
      </w:r>
      <w:r w:rsidR="46457DA8">
        <w:t xml:space="preserve">the </w:t>
      </w:r>
      <w:r w:rsidR="168EB28C">
        <w:t>10 reco</w:t>
      </w:r>
      <w:r w:rsidR="143A6D70">
        <w:t>mmendations from VAGO</w:t>
      </w:r>
      <w:r w:rsidR="10DC7CB6">
        <w:t xml:space="preserve"> </w:t>
      </w:r>
      <w:r w:rsidR="6C679293">
        <w:t xml:space="preserve">and </w:t>
      </w:r>
      <w:r w:rsidR="6B097656">
        <w:t>ha</w:t>
      </w:r>
      <w:r w:rsidR="49BDDD74">
        <w:t>d completed more than half of those</w:t>
      </w:r>
      <w:r w:rsidR="7ACB3031">
        <w:t xml:space="preserve"> </w:t>
      </w:r>
      <w:r w:rsidR="70844F1C">
        <w:t>actions by</w:t>
      </w:r>
      <w:r w:rsidR="28D2800A">
        <w:t xml:space="preserve"> March 2022.</w:t>
      </w:r>
      <w:r w:rsidR="28693E7F" w:rsidDel="008D6D3C">
        <w:rPr>
          <w:rStyle w:val="FootnoteReference"/>
        </w:rPr>
        <w:t xml:space="preserve"> </w:t>
      </w:r>
      <w:r w:rsidR="008D6D3C">
        <w:rPr>
          <w:rStyle w:val="FootnoteReference"/>
        </w:rPr>
        <w:footnoteReference w:id="25"/>
      </w:r>
    </w:p>
    <w:p w14:paraId="76852DB9" w14:textId="51884BA3" w:rsidR="00F57ED9" w:rsidRPr="00EE2957" w:rsidRDefault="46156338" w:rsidP="00F57ED9">
      <w:r>
        <w:lastRenderedPageBreak/>
        <w:t xml:space="preserve">VAGO also recommended that the </w:t>
      </w:r>
      <w:r w:rsidR="7EC38A1C">
        <w:t>d</w:t>
      </w:r>
      <w:r>
        <w:t xml:space="preserve">epartment and DELWP develop a state-wide framework for managing abandoned mines and quarries, and that </w:t>
      </w:r>
      <w:r w:rsidR="5ABF591A">
        <w:t xml:space="preserve">the departments </w:t>
      </w:r>
      <w:r>
        <w:t>update their memorandum of understanding.</w:t>
      </w:r>
      <w:r w:rsidR="00F57ED9">
        <w:rPr>
          <w:rStyle w:val="FootnoteReference"/>
        </w:rPr>
        <w:footnoteReference w:id="26"/>
      </w:r>
      <w:r>
        <w:t xml:space="preserve"> Both recommendations were accepted.</w:t>
      </w:r>
      <w:r w:rsidR="44AD0D56" w:rsidRPr="002A497A">
        <w:t xml:space="preserve"> A joint statement between the department, DELWP and Parks Victoria about respective roles in managing of abandoned and legacy</w:t>
      </w:r>
      <w:r w:rsidR="398B3C9B" w:rsidRPr="002A497A">
        <w:t xml:space="preserve"> mines and quarries</w:t>
      </w:r>
      <w:r w:rsidR="44AD0D56" w:rsidRPr="002A497A">
        <w:t xml:space="preserve"> </w:t>
      </w:r>
      <w:r w:rsidR="15D180BB" w:rsidRPr="002A497A">
        <w:t>was released on 29 December 2020</w:t>
      </w:r>
      <w:r w:rsidR="44AD0D56" w:rsidRPr="002A497A">
        <w:t>, and the</w:t>
      </w:r>
      <w:r w:rsidR="3247F743" w:rsidRPr="00EF067D">
        <w:t xml:space="preserve"> memorandum of understanding was updated in 2021, with supporting schedules due to be finalised in </w:t>
      </w:r>
      <w:r w:rsidR="2A0F463E">
        <w:t>2022</w:t>
      </w:r>
      <w:r w:rsidR="3D435447" w:rsidRPr="000740D6">
        <w:t>.</w:t>
      </w:r>
      <w:r w:rsidR="007D0120" w:rsidRPr="002A497A">
        <w:rPr>
          <w:rStyle w:val="FootnoteReference"/>
        </w:rPr>
        <w:footnoteReference w:id="27"/>
      </w:r>
      <w:r w:rsidR="00792608">
        <w:t xml:space="preserve"> The MLRA</w:t>
      </w:r>
      <w:r w:rsidR="00556A14">
        <w:t xml:space="preserve"> </w:t>
      </w:r>
      <w:r w:rsidR="00E9183A">
        <w:t xml:space="preserve">provides </w:t>
      </w:r>
      <w:r w:rsidR="00836F54">
        <w:t xml:space="preserve">further </w:t>
      </w:r>
      <w:r w:rsidR="002651AC">
        <w:t xml:space="preserve">instruments of </w:t>
      </w:r>
      <w:r w:rsidR="00E9183A">
        <w:t xml:space="preserve">governance </w:t>
      </w:r>
      <w:r w:rsidR="008C4F41">
        <w:t>to the future administration and monitoring of declared mines.</w:t>
      </w:r>
      <w:r w:rsidR="00556A14">
        <w:t xml:space="preserve"> </w:t>
      </w:r>
    </w:p>
    <w:p w14:paraId="49394458" w14:textId="77777777" w:rsidR="00FE35D0" w:rsidRPr="00DA7F73" w:rsidRDefault="00FE35D0" w:rsidP="00D86BBC">
      <w:pPr>
        <w:pStyle w:val="Heading2"/>
        <w:numPr>
          <w:ilvl w:val="1"/>
          <w:numId w:val="123"/>
        </w:numPr>
      </w:pPr>
      <w:bookmarkStart w:id="50" w:name="_Toc54366760"/>
      <w:bookmarkStart w:id="51" w:name="_Toc54366761"/>
      <w:bookmarkStart w:id="52" w:name="_Toc54366762"/>
      <w:bookmarkStart w:id="53" w:name="_Toc104217657"/>
      <w:bookmarkEnd w:id="50"/>
      <w:bookmarkEnd w:id="51"/>
      <w:bookmarkEnd w:id="52"/>
      <w:r>
        <w:t>Regulation of declared mine land rehabilitation</w:t>
      </w:r>
      <w:bookmarkStart w:id="54" w:name="_Toc54366820"/>
      <w:bookmarkStart w:id="55" w:name="_Ref54594894"/>
      <w:bookmarkEnd w:id="53"/>
      <w:bookmarkEnd w:id="54"/>
    </w:p>
    <w:bookmarkEnd w:id="55"/>
    <w:p w14:paraId="0909B939" w14:textId="5C2D9731" w:rsidR="00FE35D0" w:rsidRPr="000073E6" w:rsidRDefault="00FE35D0" w:rsidP="00DE4290">
      <w:r>
        <w:t xml:space="preserve">As described in </w:t>
      </w:r>
      <w:r w:rsidR="00E83AEF">
        <w:fldChar w:fldCharType="begin"/>
      </w:r>
      <w:r w:rsidR="00E83AEF">
        <w:instrText xml:space="preserve"> REF _Ref62463248 \r \h </w:instrText>
      </w:r>
      <w:r w:rsidR="00E83AEF">
        <w:fldChar w:fldCharType="separate"/>
      </w:r>
      <w:r w:rsidR="000B3BF6">
        <w:t>2.2.2</w:t>
      </w:r>
      <w:r w:rsidR="00E83AEF">
        <w:fldChar w:fldCharType="end"/>
      </w:r>
      <w:r>
        <w:t xml:space="preserve"> above, the rehabilitation of declared mine land is regulated by the general provisions relating to rehabilitation of all mines under the Act and 2019 Regulations, and the special declared mine rehabilitation framework introduced by the Amendment Act.</w:t>
      </w:r>
    </w:p>
    <w:p w14:paraId="5513714F" w14:textId="31712D58" w:rsidR="00FE35D0" w:rsidRDefault="00FE35D0" w:rsidP="00FE35D0">
      <w:r>
        <w:t xml:space="preserve">The declared mine land framework in the Act is </w:t>
      </w:r>
      <w:r w:rsidR="0093478F">
        <w:t>enabling</w:t>
      </w:r>
      <w:r w:rsidR="001F6058">
        <w:t>, with</w:t>
      </w:r>
      <w:r>
        <w:t xml:space="preserve"> much of the detail to be ‘prescribed’</w:t>
      </w:r>
      <w:r w:rsidR="002C6510">
        <w:t>,</w:t>
      </w:r>
      <w:r w:rsidR="00582986">
        <w:t xml:space="preserve"> </w:t>
      </w:r>
      <w:r w:rsidR="005E550C">
        <w:t>i.e.,</w:t>
      </w:r>
      <w:r w:rsidR="000C23BE">
        <w:t xml:space="preserve"> </w:t>
      </w:r>
      <w:r w:rsidR="00914BE4">
        <w:t xml:space="preserve">an assumption </w:t>
      </w:r>
      <w:r w:rsidR="00FB2AEF">
        <w:t xml:space="preserve">this information will </w:t>
      </w:r>
      <w:r>
        <w:t xml:space="preserve">be set out in supporting regulations. </w:t>
      </w:r>
    </w:p>
    <w:p w14:paraId="65EEC6FA" w14:textId="36579E0F" w:rsidR="00FE35D0" w:rsidRDefault="00FE35D0" w:rsidP="00FE35D0">
      <w:pPr>
        <w:sectPr w:rsidR="00FE35D0" w:rsidSect="00623898">
          <w:headerReference w:type="default" r:id="rId26"/>
          <w:pgSz w:w="11906" w:h="16838"/>
          <w:pgMar w:top="1440" w:right="1440" w:bottom="1440" w:left="1440" w:header="708" w:footer="137" w:gutter="0"/>
          <w:cols w:space="708"/>
          <w:docGrid w:linePitch="360"/>
        </w:sectPr>
      </w:pPr>
      <w:r>
        <w:fldChar w:fldCharType="begin"/>
      </w:r>
      <w:r>
        <w:instrText xml:space="preserve"> REF _Ref54165095 \h </w:instrText>
      </w:r>
      <w:r>
        <w:fldChar w:fldCharType="separate"/>
      </w:r>
      <w:r w:rsidR="000B3BF6">
        <w:t xml:space="preserve">Figure </w:t>
      </w:r>
      <w:r w:rsidR="000B3BF6">
        <w:rPr>
          <w:noProof/>
        </w:rPr>
        <w:t>2</w:t>
      </w:r>
      <w:r>
        <w:fldChar w:fldCharType="end"/>
      </w:r>
      <w:r>
        <w:t xml:space="preserve"> illustrates how the elements of the framework operate together over a mine’s lifecycle and indicates where the Act refers to prescribed matters or processes </w:t>
      </w:r>
      <w:r w:rsidR="00F74E07">
        <w:t xml:space="preserve">that </w:t>
      </w:r>
      <w:r>
        <w:t xml:space="preserve">are to be included in new supporting regulations. Options for these supporting regulations are the subject of the assessment in this RIS. </w:t>
      </w:r>
    </w:p>
    <w:p w14:paraId="14545883" w14:textId="19055869" w:rsidR="00FE35D0" w:rsidRDefault="00FE35D0" w:rsidP="00FE35D0">
      <w:pPr>
        <w:pStyle w:val="Caption"/>
        <w:spacing w:after="0"/>
        <w:rPr>
          <w:noProof/>
        </w:rPr>
      </w:pPr>
      <w:bookmarkStart w:id="56" w:name="_Ref54165095"/>
      <w:bookmarkStart w:id="57" w:name="_Toc104217606"/>
      <w:r>
        <w:lastRenderedPageBreak/>
        <w:t xml:space="preserve">Figure </w:t>
      </w:r>
      <w:r>
        <w:fldChar w:fldCharType="begin"/>
      </w:r>
      <w:r>
        <w:instrText>SEQ Figure \* ARABIC</w:instrText>
      </w:r>
      <w:r>
        <w:fldChar w:fldCharType="separate"/>
      </w:r>
      <w:r w:rsidR="000B3BF6">
        <w:rPr>
          <w:noProof/>
        </w:rPr>
        <w:t>2</w:t>
      </w:r>
      <w:r>
        <w:fldChar w:fldCharType="end"/>
      </w:r>
      <w:bookmarkEnd w:id="56"/>
      <w:r>
        <w:t xml:space="preserve">: </w:t>
      </w:r>
      <w:r w:rsidRPr="000A0BBE">
        <w:t>Declared mine land regulatory framework</w:t>
      </w:r>
      <w:bookmarkEnd w:id="57"/>
    </w:p>
    <w:p w14:paraId="02D45E74" w14:textId="77777777" w:rsidR="00FE35D0" w:rsidRDefault="00FE35D0" w:rsidP="008D7BB1">
      <w:pPr>
        <w:jc w:val="center"/>
      </w:pPr>
      <w:r>
        <w:rPr>
          <w:noProof/>
        </w:rPr>
        <w:drawing>
          <wp:inline distT="0" distB="0" distL="0" distR="0" wp14:anchorId="662568E7" wp14:editId="53FDEB7E">
            <wp:extent cx="7954550" cy="4477082"/>
            <wp:effectExtent l="0" t="0" r="8890" b="0"/>
            <wp:docPr id="1577419755" name="Picture 1577419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419755" name="Picture 1577419755"/>
                    <pic:cNvPicPr/>
                  </pic:nvPicPr>
                  <pic:blipFill>
                    <a:blip r:embed="rId27">
                      <a:extLst>
                        <a:ext uri="{28A0092B-C50C-407E-A947-70E740481C1C}">
                          <a14:useLocalDpi xmlns:a14="http://schemas.microsoft.com/office/drawing/2010/main" val="0"/>
                        </a:ext>
                      </a:extLst>
                    </a:blip>
                    <a:stretch>
                      <a:fillRect/>
                    </a:stretch>
                  </pic:blipFill>
                  <pic:spPr>
                    <a:xfrm>
                      <a:off x="0" y="0"/>
                      <a:ext cx="7954550" cy="4477082"/>
                    </a:xfrm>
                    <a:prstGeom prst="rect">
                      <a:avLst/>
                    </a:prstGeom>
                  </pic:spPr>
                </pic:pic>
              </a:graphicData>
            </a:graphic>
          </wp:inline>
        </w:drawing>
      </w:r>
    </w:p>
    <w:p w14:paraId="283838D9" w14:textId="213C199B" w:rsidR="00FE35D0" w:rsidRPr="00DA7F73" w:rsidRDefault="00FE35D0" w:rsidP="00FE35D0">
      <w:pPr>
        <w:sectPr w:rsidR="00FE35D0" w:rsidRPr="00DA7F73" w:rsidSect="00572714">
          <w:pgSz w:w="16838" w:h="11906" w:orient="landscape"/>
          <w:pgMar w:top="1440" w:right="1440" w:bottom="1440" w:left="1440" w:header="708" w:footer="137" w:gutter="0"/>
          <w:cols w:space="708"/>
          <w:docGrid w:linePitch="360"/>
        </w:sectPr>
      </w:pPr>
      <w:r>
        <w:fldChar w:fldCharType="begin"/>
      </w:r>
      <w:r>
        <w:instrText xml:space="preserve"> REF _Ref54165095 \h </w:instrText>
      </w:r>
      <w:r>
        <w:fldChar w:fldCharType="separate"/>
      </w:r>
      <w:r w:rsidR="000B3BF6">
        <w:t xml:space="preserve">Figure </w:t>
      </w:r>
      <w:r w:rsidR="000B3BF6">
        <w:rPr>
          <w:noProof/>
        </w:rPr>
        <w:t>2</w:t>
      </w:r>
      <w:r>
        <w:fldChar w:fldCharType="end"/>
      </w:r>
      <w:r>
        <w:t xml:space="preserve"> identifies the provisions within the Act that govern each action or decision, and the matters to be ‘prescribed’ in supporting regulations (the grey boxes). A full list of the </w:t>
      </w:r>
      <w:r w:rsidR="00A96767">
        <w:t>prescription</w:t>
      </w:r>
      <w:r>
        <w:t xml:space="preserve"> powers relating to declared mine rehabilitation is at Appendix C. The grey boxes with dotted outlines indicate areas that could be the subject of supporting </w:t>
      </w:r>
      <w:r w:rsidR="002F3098">
        <w:t>regulations but</w:t>
      </w:r>
      <w:r>
        <w:t xml:space="preserve"> are not specifically called out as being prescribed in the Act. For </w:t>
      </w:r>
      <w:r w:rsidR="00D80F34">
        <w:t xml:space="preserve">example, </w:t>
      </w:r>
      <w:r>
        <w:t xml:space="preserve">s.84AZU(3)(b) of the Act requires a DMRP to include ‘the </w:t>
      </w:r>
      <w:r w:rsidRPr="0070132B">
        <w:rPr>
          <w:i/>
          <w:iCs/>
        </w:rPr>
        <w:t>prescribed</w:t>
      </w:r>
      <w:r>
        <w:t xml:space="preserve"> closure criteria’, indicating that regulations will prescribe criteria. In contrast, the Act does not state that </w:t>
      </w:r>
      <w:r w:rsidR="00AC2182">
        <w:t xml:space="preserve">the </w:t>
      </w:r>
      <w:r w:rsidR="00E762FE">
        <w:t>D</w:t>
      </w:r>
      <w:r>
        <w:t xml:space="preserve">MRP must consider ‘the prescribed risks’ in developing closure criteria, but regulations </w:t>
      </w:r>
      <w:r w:rsidRPr="006E1000">
        <w:rPr>
          <w:i/>
          <w:iCs/>
        </w:rPr>
        <w:t>could</w:t>
      </w:r>
      <w:r>
        <w:t xml:space="preserve"> be made to prescribe a set of risks for this purpose.</w:t>
      </w:r>
    </w:p>
    <w:p w14:paraId="0FE992DC" w14:textId="77777777" w:rsidR="00FE35D0" w:rsidRDefault="00FE35D0" w:rsidP="00FE35D0">
      <w:pPr>
        <w:pStyle w:val="Heading6"/>
      </w:pPr>
      <w:r>
        <w:lastRenderedPageBreak/>
        <w:t>Mine Land Rehabilitation Authority (the Authority)</w:t>
      </w:r>
    </w:p>
    <w:p w14:paraId="0EB3CAFB" w14:textId="6A0D8A8F" w:rsidR="00FE35D0" w:rsidRDefault="00FE35D0" w:rsidP="00FE35D0">
      <w:bookmarkStart w:id="58" w:name="_Hlk54257011"/>
      <w:r>
        <w:t xml:space="preserve">The Authority was created by the Amendment Act. The Authority commenced operations on 1 July 2020, taking over the Latrobe Valley Mine Rehabilitation Commissioner’s roles in relation to rehabilitation and development and implementation of the LVRRS. </w:t>
      </w:r>
      <w:r w:rsidR="00EB21AB">
        <w:t xml:space="preserve">Where the Commissioner was responsible for </w:t>
      </w:r>
      <w:r w:rsidR="00EB21AB" w:rsidRPr="00CC78ED">
        <w:rPr>
          <w:rFonts w:asciiTheme="minorHAnsi" w:hAnsiTheme="minorHAnsi" w:cstheme="minorBidi"/>
        </w:rPr>
        <w:t>coordinating planning and improvements in mine rehabilitation in the Latrobe Valley</w:t>
      </w:r>
      <w:r w:rsidR="00EB21AB">
        <w:t xml:space="preserve">, the Authority’s role </w:t>
      </w:r>
      <w:r w:rsidR="00761CE1">
        <w:t xml:space="preserve">also </w:t>
      </w:r>
      <w:r w:rsidR="00EB21AB">
        <w:t xml:space="preserve">extends to declared mines </w:t>
      </w:r>
      <w:r w:rsidR="00761CE1">
        <w:t xml:space="preserve">more </w:t>
      </w:r>
      <w:r w:rsidR="00EB21AB">
        <w:t xml:space="preserve">generally. </w:t>
      </w:r>
      <w:r>
        <w:t xml:space="preserve">More information about the LVRRS is provided at section </w:t>
      </w:r>
      <w:r>
        <w:fldChar w:fldCharType="begin"/>
      </w:r>
      <w:r>
        <w:instrText xml:space="preserve"> REF _Ref57622701 \n \h </w:instrText>
      </w:r>
      <w:r>
        <w:fldChar w:fldCharType="separate"/>
      </w:r>
      <w:r w:rsidR="000B3BF6">
        <w:t>4.2.2</w:t>
      </w:r>
      <w:r>
        <w:fldChar w:fldCharType="end"/>
      </w:r>
      <w:r>
        <w:t xml:space="preserve">. </w:t>
      </w:r>
    </w:p>
    <w:bookmarkEnd w:id="58"/>
    <w:p w14:paraId="227EB67C" w14:textId="77777777" w:rsidR="00FE35D0" w:rsidRDefault="16E0041A" w:rsidP="00FE35D0">
      <w:r>
        <w:t>The Authority was established in response to the recommendation by the Hazelwood Mine Fire Inquiry that a Statutory Authority be established with ‘ongoing tenure until all mines have been successfully rehabilitated, and monitoring and maintenance of the Latrobe Valley mines is no longer required’.</w:t>
      </w:r>
      <w:r w:rsidR="00FE35D0">
        <w:rPr>
          <w:rStyle w:val="FootnoteReference"/>
        </w:rPr>
        <w:footnoteReference w:id="28"/>
      </w:r>
      <w:r>
        <w:t xml:space="preserve"> The LVRRS findings demonstrate that the Latrobe Valley mines will need to be managed for a considerable period into the future in order to manage the risks the declared mines pose to local communities, infrastructure and the environment. The Authority has been set up to hold responsibility for ongoing monitoring and management of the declared mine sites even after rehabilitation is complete. </w:t>
      </w:r>
    </w:p>
    <w:p w14:paraId="722B6878" w14:textId="77777777" w:rsidR="00FE35D0" w:rsidRDefault="00FE35D0" w:rsidP="00FE35D0">
      <w:r>
        <w:t>The Authority’s functions are to:</w:t>
      </w:r>
    </w:p>
    <w:p w14:paraId="0653B0FE" w14:textId="77777777" w:rsidR="00FE35D0" w:rsidRDefault="00FE35D0" w:rsidP="00FE35D0">
      <w:pPr>
        <w:pStyle w:val="ListBullet"/>
      </w:pPr>
      <w:r>
        <w:t>monitor and evaluate the risks posed by geotechnical, hydrogeological, water quality or hydrological factors for declared mine land in relation to public safety, the environment and relevant infrastructure;</w:t>
      </w:r>
    </w:p>
    <w:p w14:paraId="53B9BB3E" w14:textId="363EC3D1" w:rsidR="00FE35D0" w:rsidRDefault="00FE35D0" w:rsidP="00FE35D0">
      <w:pPr>
        <w:pStyle w:val="ListBullet"/>
      </w:pPr>
      <w:r>
        <w:t xml:space="preserve">monitor and </w:t>
      </w:r>
      <w:r w:rsidR="004E7E71">
        <w:t xml:space="preserve">evaluate </w:t>
      </w:r>
      <w:r w:rsidR="00306ED5">
        <w:t xml:space="preserve">declared mine </w:t>
      </w:r>
      <w:r>
        <w:t>licensees’ rehabilitation activities;</w:t>
      </w:r>
    </w:p>
    <w:p w14:paraId="1751117E" w14:textId="77777777" w:rsidR="00FE35D0" w:rsidRDefault="00FE35D0" w:rsidP="00FE35D0">
      <w:pPr>
        <w:pStyle w:val="ListBullet"/>
      </w:pPr>
      <w:r>
        <w:t>promote information sharing between parties;</w:t>
      </w:r>
    </w:p>
    <w:p w14:paraId="1C18CBB1" w14:textId="0C462CF9" w:rsidR="00FE35D0" w:rsidRDefault="00FE35D0" w:rsidP="00FE35D0">
      <w:pPr>
        <w:pStyle w:val="ListBullet"/>
      </w:pPr>
      <w:r>
        <w:t xml:space="preserve">inform the public of matters relating to </w:t>
      </w:r>
      <w:r w:rsidR="000A13B8">
        <w:t xml:space="preserve">declared </w:t>
      </w:r>
      <w:r>
        <w:t>mine rehabilitation;</w:t>
      </w:r>
    </w:p>
    <w:p w14:paraId="7E4B12A0" w14:textId="77777777" w:rsidR="00FE35D0" w:rsidRDefault="00FE35D0" w:rsidP="00FE35D0">
      <w:pPr>
        <w:pStyle w:val="ListBullet"/>
      </w:pPr>
      <w:r>
        <w:t>advise the Minister on the Regional Rehabilitation Strategy and post-closure maintenance of declared mine land; and</w:t>
      </w:r>
    </w:p>
    <w:p w14:paraId="21166F59" w14:textId="77777777" w:rsidR="00FE35D0" w:rsidRDefault="00FE35D0" w:rsidP="00FE35D0">
      <w:pPr>
        <w:pStyle w:val="ListBullet"/>
      </w:pPr>
      <w:r>
        <w:t>carry out investigations referred by the Minister.</w:t>
      </w:r>
    </w:p>
    <w:p w14:paraId="74BA8079" w14:textId="71FC3DB7" w:rsidR="00FE35D0" w:rsidRDefault="00FE35D0" w:rsidP="00FE35D0">
      <w:r>
        <w:t>The Authority will work with mine operators and Government departments and agencies to resolve rehabilitation issues as required. DMRPs or variations will be referred to the Authority so that they can provide independent, expert and authoritative advice</w:t>
      </w:r>
      <w:r w:rsidR="002363BC">
        <w:t xml:space="preserve"> to government</w:t>
      </w:r>
      <w:r>
        <w:t xml:space="preserve"> on </w:t>
      </w:r>
      <w:r w:rsidR="002363BC">
        <w:t xml:space="preserve">the </w:t>
      </w:r>
      <w:r>
        <w:t>content of plans.</w:t>
      </w:r>
    </w:p>
    <w:p w14:paraId="31DF8550" w14:textId="74D898FA" w:rsidR="00FE35D0" w:rsidRPr="00702468" w:rsidRDefault="00FE35D0" w:rsidP="00FE35D0">
      <w:r>
        <w:t xml:space="preserve">The Authority is also responsible for registering post-closure declared mine </w:t>
      </w:r>
      <w:r w:rsidR="00E643A1">
        <w:t>land and</w:t>
      </w:r>
      <w:r>
        <w:t xml:space="preserve"> may become the owner of such land if this is necessary to protect the public, infrastructure and the environment. The Authority is empowered to perform or contract for any functions arising from its role as landholder of declared mine land, for example managing ongoing risks associated with the land. </w:t>
      </w:r>
    </w:p>
    <w:p w14:paraId="670A2281" w14:textId="77777777" w:rsidR="00FE35D0" w:rsidRDefault="00FE35D0" w:rsidP="00FE35D0">
      <w:pPr>
        <w:pStyle w:val="Heading6"/>
      </w:pPr>
      <w:r>
        <w:t>Declared mine rehabilitation plans</w:t>
      </w:r>
    </w:p>
    <w:p w14:paraId="0ADAA3E8" w14:textId="39F1044C" w:rsidR="00FE35D0" w:rsidRDefault="00FE35D0" w:rsidP="00FE35D0">
      <w:r>
        <w:t xml:space="preserve">Under the </w:t>
      </w:r>
      <w:r w:rsidR="00D43392">
        <w:t xml:space="preserve">Amendment </w:t>
      </w:r>
      <w:r>
        <w:t>Act, declared mine licensees must prepare plans for the rehabilitation of the declared mine land covered by their licence.</w:t>
      </w:r>
      <w:r>
        <w:rPr>
          <w:rStyle w:val="FootnoteReference"/>
        </w:rPr>
        <w:footnoteReference w:id="29"/>
      </w:r>
      <w:r>
        <w:t xml:space="preserve"> Regulations will set the timeframe in which the licensee must prepare their initial plan. The Act requires DMRPs to include:</w:t>
      </w:r>
      <w:r>
        <w:rPr>
          <w:rStyle w:val="FootnoteReference"/>
        </w:rPr>
        <w:footnoteReference w:id="30"/>
      </w:r>
    </w:p>
    <w:p w14:paraId="00CEA41F" w14:textId="77777777" w:rsidR="00FE35D0" w:rsidRDefault="00FE35D0" w:rsidP="00FE35D0">
      <w:pPr>
        <w:pStyle w:val="ListBullet"/>
      </w:pPr>
      <w:r>
        <w:t>any rehabilitation plan or requirement that the licensee enter into a further rehabilitation bond;</w:t>
      </w:r>
    </w:p>
    <w:p w14:paraId="127AEC84" w14:textId="77777777" w:rsidR="00FE35D0" w:rsidRDefault="00FE35D0" w:rsidP="00FE35D0">
      <w:pPr>
        <w:pStyle w:val="ListBullet"/>
      </w:pPr>
      <w:r>
        <w:t>the prescribed criteria to be met by the licensee for the closure of the mine;</w:t>
      </w:r>
    </w:p>
    <w:p w14:paraId="10D040B9" w14:textId="77777777" w:rsidR="00FE35D0" w:rsidRDefault="00FE35D0" w:rsidP="00FE35D0">
      <w:pPr>
        <w:pStyle w:val="ListBullet"/>
      </w:pPr>
      <w:r>
        <w:t>a post-closure plan setting out the monitoring and maintenance to be carried out on the land;</w:t>
      </w:r>
    </w:p>
    <w:p w14:paraId="204FC41A" w14:textId="77777777" w:rsidR="00FE35D0" w:rsidRDefault="00FE35D0" w:rsidP="00FE35D0">
      <w:pPr>
        <w:pStyle w:val="ListBullet"/>
      </w:pPr>
      <w:r>
        <w:t>an undertaking by the licensee to pay the registration amount;</w:t>
      </w:r>
    </w:p>
    <w:p w14:paraId="2F22CED5" w14:textId="77777777" w:rsidR="00FE35D0" w:rsidRDefault="00FE35D0" w:rsidP="00FE35D0">
      <w:pPr>
        <w:pStyle w:val="ListBullet"/>
      </w:pPr>
      <w:r>
        <w:t>an assessment of the risks posed by factors within the declared mine land; and</w:t>
      </w:r>
    </w:p>
    <w:p w14:paraId="6565981B" w14:textId="77777777" w:rsidR="00FE35D0" w:rsidRDefault="00FE35D0" w:rsidP="00FE35D0">
      <w:pPr>
        <w:pStyle w:val="ListBullet"/>
        <w:spacing w:after="200"/>
        <w:ind w:left="357" w:hanging="357"/>
      </w:pPr>
      <w:r>
        <w:t>any other prescribed matter.</w:t>
      </w:r>
    </w:p>
    <w:p w14:paraId="05893A63" w14:textId="77777777" w:rsidR="00FE35D0" w:rsidRDefault="00FE35D0" w:rsidP="00FE35D0">
      <w:pPr>
        <w:pStyle w:val="NoSpacing"/>
      </w:pPr>
      <w:r>
        <w:t>The licensee must consult with the prescribed person or prescribed class of people in relation to the DMRP.</w:t>
      </w:r>
      <w:r>
        <w:rPr>
          <w:rStyle w:val="FootnoteReference"/>
        </w:rPr>
        <w:footnoteReference w:id="31"/>
      </w:r>
      <w:r>
        <w:t xml:space="preserve"> </w:t>
      </w:r>
    </w:p>
    <w:p w14:paraId="7C91996A" w14:textId="38789E09" w:rsidR="00FE35D0" w:rsidRDefault="49D1AE71" w:rsidP="00FE35D0">
      <w:r>
        <w:t xml:space="preserve">DMRPs differ from the rehabilitation component of work plans that all mine licensees are required to prepare under the Act because they must respond specifically to the risks that led to the mine being declared and accommodate the long-term, post-closure management of declared mine sites. The new provisions also </w:t>
      </w:r>
      <w:r>
        <w:lastRenderedPageBreak/>
        <w:t>empower ERR to prescribe a timeframe in which the rehabilitation plan must be prepared and submitted, in contrast to the largely licensee</w:t>
      </w:r>
      <w:r w:rsidR="00246AC7">
        <w:t xml:space="preserve"> </w:t>
      </w:r>
      <w:r>
        <w:t xml:space="preserve">driven </w:t>
      </w:r>
      <w:r w:rsidR="377722A8">
        <w:t xml:space="preserve">timeframes for the </w:t>
      </w:r>
      <w:r>
        <w:t>development and variation of the work plan.</w:t>
      </w:r>
    </w:p>
    <w:p w14:paraId="78B77336" w14:textId="65FCF2B3" w:rsidR="00FE35D0" w:rsidRDefault="00FE35D0" w:rsidP="00FE35D0">
      <w:r>
        <w:t xml:space="preserve">The DMRP was introduced in the Act to address known issues </w:t>
      </w:r>
      <w:r w:rsidR="00C2142A">
        <w:t xml:space="preserve">with regards to government having </w:t>
      </w:r>
      <w:r>
        <w:t xml:space="preserve">insufficient information about mine sites and rehabilitation planning, </w:t>
      </w:r>
      <w:r w:rsidR="00C54E1E">
        <w:t xml:space="preserve">as a result of </w:t>
      </w:r>
      <w:r>
        <w:t>the lack of detail in the Latrobe Valley mines’ current approved rehabilitation plans. The ways in which the DMRP responds to these issues are set out in the following paragraphs.</w:t>
      </w:r>
    </w:p>
    <w:p w14:paraId="30CBDAA0" w14:textId="77777777" w:rsidR="00FE35D0" w:rsidRDefault="00FE35D0" w:rsidP="00FE35D0">
      <w:pPr>
        <w:pStyle w:val="Heading7"/>
      </w:pPr>
      <w:r>
        <w:t>More detailed rehabilitation plans to facilitate accurate bond</w:t>
      </w:r>
      <w:r w:rsidRPr="1F888995">
        <w:t>-</w:t>
      </w:r>
      <w:r>
        <w:t>setting</w:t>
      </w:r>
    </w:p>
    <w:p w14:paraId="178EF748" w14:textId="424F51AC" w:rsidR="00FE35D0" w:rsidRDefault="49D1AE71" w:rsidP="00FE35D0">
      <w:r>
        <w:t>The Act manages the risk that the State may become liable for rehabilitating mine sites by requiring mine licensees to provide bonds based on the liability assessment for undertaking planned rehabilitation.</w:t>
      </w:r>
      <w:r w:rsidR="00361E33">
        <w:rPr>
          <w:rStyle w:val="FootnoteReference"/>
        </w:rPr>
        <w:footnoteReference w:id="32"/>
      </w:r>
      <w:r>
        <w:t xml:space="preserve"> Rehabilitation bonds are calculated </w:t>
      </w:r>
      <w:r w:rsidRPr="002906CE">
        <w:t>based on a point</w:t>
      </w:r>
      <w:r w:rsidR="00360FF4">
        <w:t xml:space="preserve"> </w:t>
      </w:r>
      <w:r w:rsidRPr="002906CE">
        <w:t>in</w:t>
      </w:r>
      <w:r w:rsidR="00360FF4">
        <w:t xml:space="preserve"> </w:t>
      </w:r>
      <w:r w:rsidRPr="002906CE">
        <w:t>time assessment of rehabilitation liability, which is estimated via information contained in the licensee’s rehabilitation plan.</w:t>
      </w:r>
      <w:r>
        <w:t xml:space="preserve"> </w:t>
      </w:r>
    </w:p>
    <w:p w14:paraId="62B13FC0" w14:textId="77777777" w:rsidR="00FE35D0" w:rsidRDefault="00FE35D0" w:rsidP="00FE35D0">
      <w:r>
        <w:t>Wh</w:t>
      </w:r>
      <w:r w:rsidRPr="002906CE">
        <w:t xml:space="preserve">ere rehabilitation plans are inadequate, it is difficult to assess rehabilitation costs. Subsequently, rehabilitation bonds may be insufficient to incentivise rehabilitation and protect the </w:t>
      </w:r>
      <w:r>
        <w:t>State</w:t>
      </w:r>
      <w:r w:rsidRPr="002906CE">
        <w:t xml:space="preserve"> from the costs of rehabilitation in the event of default by the licensee.</w:t>
      </w:r>
      <w:r>
        <w:t xml:space="preserve"> </w:t>
      </w:r>
      <w:r w:rsidRPr="002906CE">
        <w:t xml:space="preserve">This issue manifested in the mid-1990s when the Benambra Mine went into receivership and the Victorian Government was left with rehabilitation responsibilities and associated costs. The licensee’s rehabilitation plan did not contain </w:t>
      </w:r>
      <w:r>
        <w:t xml:space="preserve">sufficient </w:t>
      </w:r>
      <w:r w:rsidRPr="002906CE">
        <w:t xml:space="preserve">detail, which contributed to government holding a bond amount that did not cover rehabilitation costs. </w:t>
      </w:r>
    </w:p>
    <w:p w14:paraId="44E7843D" w14:textId="4E923170" w:rsidR="00FE35D0" w:rsidRDefault="16E0041A" w:rsidP="00FE35D0">
      <w:r>
        <w:t xml:space="preserve">The bonds for the Latrobe Valley mines were reassessed in 2014 as part of ERR’s Bond Review Project. At the same time, the HMFI considered the rehabilitation liability estimates and bond levels for the Latrobe Valley mines as part of its investigations. At the time of the HMFI, the bonds for the mines had not been increased </w:t>
      </w:r>
      <w:r w:rsidR="3FBFC350">
        <w:t xml:space="preserve">during </w:t>
      </w:r>
      <w:r>
        <w:t>the 20 years since the bonds were set</w:t>
      </w:r>
      <w:r w:rsidR="7C99B823">
        <w:t>.</w:t>
      </w:r>
      <w:r w:rsidR="00FE35D0">
        <w:rPr>
          <w:rStyle w:val="FootnoteReference"/>
        </w:rPr>
        <w:footnoteReference w:id="33"/>
      </w:r>
      <w:r>
        <w:t xml:space="preserve"> </w:t>
      </w:r>
      <w:r w:rsidR="7C99B823">
        <w:t>T</w:t>
      </w:r>
      <w:r>
        <w:t>he HMFI raised concerns about the discrepancies between:</w:t>
      </w:r>
    </w:p>
    <w:p w14:paraId="00C8E9B0" w14:textId="77777777" w:rsidR="00FE35D0" w:rsidRDefault="00FE35D0" w:rsidP="00FE35D0">
      <w:pPr>
        <w:pStyle w:val="dotpoints"/>
        <w:ind w:left="357" w:hanging="357"/>
      </w:pPr>
      <w:r>
        <w:t xml:space="preserve">the bond levels; </w:t>
      </w:r>
    </w:p>
    <w:p w14:paraId="36B9AA07" w14:textId="77777777" w:rsidR="00FE35D0" w:rsidRDefault="00FE35D0" w:rsidP="00FE35D0">
      <w:pPr>
        <w:pStyle w:val="dotpoints"/>
        <w:ind w:left="357" w:hanging="357"/>
      </w:pPr>
      <w:r>
        <w:t>the mine operators’ rehabilitation liability estimates; and</w:t>
      </w:r>
    </w:p>
    <w:p w14:paraId="0BBCA504" w14:textId="77777777" w:rsidR="00FE35D0" w:rsidRDefault="16E0041A" w:rsidP="00FE35D0">
      <w:pPr>
        <w:pStyle w:val="dotpoints"/>
        <w:ind w:left="357" w:hanging="357"/>
      </w:pPr>
      <w:r>
        <w:t>estimates prepared by an independent consultant for the Inquiry.</w:t>
      </w:r>
      <w:r w:rsidR="00FE35D0" w:rsidRPr="006E1000">
        <w:rPr>
          <w:vertAlign w:val="superscript"/>
        </w:rPr>
        <w:footnoteReference w:id="34"/>
      </w:r>
      <w:r w:rsidRPr="006E1000">
        <w:rPr>
          <w:vertAlign w:val="superscript"/>
        </w:rPr>
        <w:t xml:space="preserve"> </w:t>
      </w:r>
    </w:p>
    <w:p w14:paraId="5F133A8E" w14:textId="77777777" w:rsidR="00FE35D0" w:rsidRDefault="00FE35D0" w:rsidP="00FE35D0">
      <w:r>
        <w:t xml:space="preserve">Since the HMFI published its report, </w:t>
      </w:r>
      <w:r>
        <w:rPr>
          <w:rFonts w:asciiTheme="minorHAnsi" w:hAnsiTheme="minorHAnsi" w:cstheme="minorHAnsi"/>
          <w:szCs w:val="18"/>
        </w:rPr>
        <w:t>the Latrobe Valley mine bonds have been progressively increased by ERR as follows:</w:t>
      </w:r>
    </w:p>
    <w:p w14:paraId="7FBA4AF3" w14:textId="5CD54BFB" w:rsidR="00FE35D0" w:rsidRPr="007D1AC0" w:rsidRDefault="00FE35D0" w:rsidP="00FE35D0">
      <w:pPr>
        <w:pStyle w:val="Caption"/>
      </w:pPr>
      <w:bookmarkStart w:id="59" w:name="_Toc104217619"/>
      <w:r w:rsidRPr="007D1AC0">
        <w:t xml:space="preserve">Table </w:t>
      </w:r>
      <w:r>
        <w:fldChar w:fldCharType="begin"/>
      </w:r>
      <w:r>
        <w:instrText>SEQ Table \* ARABIC</w:instrText>
      </w:r>
      <w:r>
        <w:fldChar w:fldCharType="separate"/>
      </w:r>
      <w:r w:rsidR="000B3BF6">
        <w:rPr>
          <w:noProof/>
        </w:rPr>
        <w:t>3</w:t>
      </w:r>
      <w:r>
        <w:fldChar w:fldCharType="end"/>
      </w:r>
      <w:r>
        <w:t>:</w:t>
      </w:r>
      <w:r w:rsidRPr="007D1AC0">
        <w:t xml:space="preserve"> Latrobe Valley mines bond amounts</w:t>
      </w:r>
      <w:bookmarkEnd w:id="59"/>
    </w:p>
    <w:tbl>
      <w:tblPr>
        <w:tblStyle w:val="TableGrid"/>
        <w:tblW w:w="0" w:type="auto"/>
        <w:tblCellMar>
          <w:top w:w="28" w:type="dxa"/>
          <w:bottom w:w="28" w:type="dxa"/>
        </w:tblCellMar>
        <w:tblLook w:val="04A0" w:firstRow="1" w:lastRow="0" w:firstColumn="1" w:lastColumn="0" w:noHBand="0" w:noVBand="1"/>
      </w:tblPr>
      <w:tblGrid>
        <w:gridCol w:w="1502"/>
        <w:gridCol w:w="1502"/>
        <w:gridCol w:w="1503"/>
        <w:gridCol w:w="1503"/>
        <w:gridCol w:w="1503"/>
        <w:gridCol w:w="1503"/>
      </w:tblGrid>
      <w:tr w:rsidR="00FE35D0" w14:paraId="576EC466" w14:textId="77777777" w:rsidTr="00467BD3">
        <w:tc>
          <w:tcPr>
            <w:tcW w:w="1502" w:type="dxa"/>
            <w:vAlign w:val="center"/>
          </w:tcPr>
          <w:p w14:paraId="28DA45AA" w14:textId="77777777" w:rsidR="00FE35D0" w:rsidRDefault="00FE35D0" w:rsidP="00467BD3">
            <w:pPr>
              <w:spacing w:before="0"/>
              <w:rPr>
                <w:rFonts w:asciiTheme="minorHAnsi" w:hAnsiTheme="minorHAnsi" w:cstheme="minorHAnsi"/>
                <w:szCs w:val="18"/>
              </w:rPr>
            </w:pPr>
          </w:p>
        </w:tc>
        <w:tc>
          <w:tcPr>
            <w:tcW w:w="7514" w:type="dxa"/>
            <w:gridSpan w:val="5"/>
            <w:vAlign w:val="center"/>
          </w:tcPr>
          <w:p w14:paraId="58AF481F" w14:textId="77777777" w:rsidR="00FE35D0" w:rsidRPr="00751AF2" w:rsidRDefault="00FE35D0" w:rsidP="00467BD3">
            <w:pPr>
              <w:spacing w:before="0"/>
              <w:jc w:val="center"/>
              <w:rPr>
                <w:rFonts w:asciiTheme="minorHAnsi" w:hAnsiTheme="minorHAnsi" w:cstheme="minorHAnsi"/>
                <w:b/>
                <w:szCs w:val="18"/>
              </w:rPr>
            </w:pPr>
            <w:r w:rsidRPr="00751AF2">
              <w:rPr>
                <w:rFonts w:asciiTheme="minorHAnsi" w:hAnsiTheme="minorHAnsi" w:cstheme="minorHAnsi"/>
                <w:b/>
                <w:szCs w:val="18"/>
              </w:rPr>
              <w:t>Bond amount</w:t>
            </w:r>
          </w:p>
        </w:tc>
      </w:tr>
      <w:tr w:rsidR="00FE35D0" w14:paraId="6412D940" w14:textId="77777777" w:rsidTr="00467BD3">
        <w:tc>
          <w:tcPr>
            <w:tcW w:w="1502" w:type="dxa"/>
            <w:vAlign w:val="center"/>
          </w:tcPr>
          <w:p w14:paraId="4F714F8D" w14:textId="77777777" w:rsidR="00FE35D0" w:rsidRDefault="00FE35D0" w:rsidP="00467BD3">
            <w:pPr>
              <w:spacing w:before="0"/>
              <w:rPr>
                <w:rFonts w:asciiTheme="minorHAnsi" w:hAnsiTheme="minorHAnsi" w:cstheme="minorHAnsi"/>
                <w:szCs w:val="18"/>
              </w:rPr>
            </w:pPr>
          </w:p>
        </w:tc>
        <w:tc>
          <w:tcPr>
            <w:tcW w:w="1502" w:type="dxa"/>
            <w:vAlign w:val="center"/>
          </w:tcPr>
          <w:p w14:paraId="4905AD89" w14:textId="77777777" w:rsidR="00FE35D0" w:rsidRDefault="00FE35D0" w:rsidP="00467BD3">
            <w:pPr>
              <w:spacing w:before="0"/>
              <w:rPr>
                <w:rFonts w:asciiTheme="minorHAnsi" w:hAnsiTheme="minorHAnsi" w:cstheme="minorHAnsi"/>
                <w:szCs w:val="18"/>
              </w:rPr>
            </w:pPr>
            <w:r>
              <w:rPr>
                <w:rFonts w:asciiTheme="minorHAnsi" w:hAnsiTheme="minorHAnsi" w:cstheme="minorHAnsi"/>
                <w:szCs w:val="18"/>
              </w:rPr>
              <w:t>1995/96</w:t>
            </w:r>
          </w:p>
        </w:tc>
        <w:tc>
          <w:tcPr>
            <w:tcW w:w="1503" w:type="dxa"/>
            <w:vAlign w:val="center"/>
          </w:tcPr>
          <w:p w14:paraId="79DF4E63" w14:textId="77777777" w:rsidR="00FE35D0" w:rsidRDefault="00FE35D0" w:rsidP="00467BD3">
            <w:pPr>
              <w:spacing w:before="0"/>
              <w:rPr>
                <w:rFonts w:asciiTheme="minorHAnsi" w:hAnsiTheme="minorHAnsi" w:cstheme="minorHAnsi"/>
                <w:szCs w:val="18"/>
              </w:rPr>
            </w:pPr>
            <w:r>
              <w:rPr>
                <w:rFonts w:asciiTheme="minorHAnsi" w:hAnsiTheme="minorHAnsi" w:cstheme="minorHAnsi"/>
                <w:szCs w:val="18"/>
              </w:rPr>
              <w:t>2014/15</w:t>
            </w:r>
          </w:p>
        </w:tc>
        <w:tc>
          <w:tcPr>
            <w:tcW w:w="1503" w:type="dxa"/>
            <w:vAlign w:val="center"/>
          </w:tcPr>
          <w:p w14:paraId="06CF2235" w14:textId="77777777" w:rsidR="00FE35D0" w:rsidRDefault="00FE35D0" w:rsidP="00467BD3">
            <w:pPr>
              <w:spacing w:before="0"/>
              <w:rPr>
                <w:rFonts w:asciiTheme="minorHAnsi" w:hAnsiTheme="minorHAnsi" w:cstheme="minorHAnsi"/>
                <w:szCs w:val="18"/>
              </w:rPr>
            </w:pPr>
            <w:r>
              <w:rPr>
                <w:rFonts w:asciiTheme="minorHAnsi" w:hAnsiTheme="minorHAnsi" w:cstheme="minorHAnsi"/>
                <w:szCs w:val="18"/>
              </w:rPr>
              <w:t>2015/16</w:t>
            </w:r>
          </w:p>
        </w:tc>
        <w:tc>
          <w:tcPr>
            <w:tcW w:w="1503" w:type="dxa"/>
            <w:vAlign w:val="center"/>
          </w:tcPr>
          <w:p w14:paraId="535FF0A4" w14:textId="77777777" w:rsidR="00FE35D0" w:rsidRDefault="00FE35D0" w:rsidP="00467BD3">
            <w:pPr>
              <w:spacing w:before="0"/>
              <w:rPr>
                <w:rFonts w:asciiTheme="minorHAnsi" w:hAnsiTheme="minorHAnsi" w:cstheme="minorHAnsi"/>
                <w:szCs w:val="18"/>
              </w:rPr>
            </w:pPr>
            <w:r>
              <w:rPr>
                <w:rFonts w:asciiTheme="minorHAnsi" w:hAnsiTheme="minorHAnsi" w:cstheme="minorHAnsi"/>
                <w:szCs w:val="18"/>
              </w:rPr>
              <w:t>2016/17</w:t>
            </w:r>
          </w:p>
        </w:tc>
        <w:tc>
          <w:tcPr>
            <w:tcW w:w="1503" w:type="dxa"/>
            <w:vAlign w:val="center"/>
          </w:tcPr>
          <w:p w14:paraId="229FB5EC" w14:textId="77777777" w:rsidR="00FE35D0" w:rsidRDefault="00FE35D0" w:rsidP="00467BD3">
            <w:pPr>
              <w:spacing w:before="0"/>
              <w:rPr>
                <w:rFonts w:asciiTheme="minorHAnsi" w:hAnsiTheme="minorHAnsi" w:cstheme="minorHAnsi"/>
                <w:szCs w:val="18"/>
              </w:rPr>
            </w:pPr>
            <w:r>
              <w:rPr>
                <w:rFonts w:asciiTheme="minorHAnsi" w:hAnsiTheme="minorHAnsi" w:cstheme="minorHAnsi"/>
                <w:szCs w:val="18"/>
              </w:rPr>
              <w:t>2017/18</w:t>
            </w:r>
          </w:p>
        </w:tc>
      </w:tr>
      <w:tr w:rsidR="00FE35D0" w14:paraId="1D61FE80" w14:textId="77777777" w:rsidTr="00467BD3">
        <w:tc>
          <w:tcPr>
            <w:tcW w:w="1502" w:type="dxa"/>
            <w:vAlign w:val="center"/>
          </w:tcPr>
          <w:p w14:paraId="42256722" w14:textId="77777777" w:rsidR="00FE35D0" w:rsidRDefault="00FE35D0" w:rsidP="00467BD3">
            <w:pPr>
              <w:spacing w:before="0"/>
              <w:rPr>
                <w:rFonts w:asciiTheme="minorHAnsi" w:hAnsiTheme="minorHAnsi" w:cstheme="minorHAnsi"/>
                <w:szCs w:val="18"/>
              </w:rPr>
            </w:pPr>
            <w:r>
              <w:rPr>
                <w:rFonts w:asciiTheme="minorHAnsi" w:hAnsiTheme="minorHAnsi" w:cstheme="minorHAnsi"/>
                <w:szCs w:val="18"/>
              </w:rPr>
              <w:t>Loy Yang</w:t>
            </w:r>
          </w:p>
        </w:tc>
        <w:tc>
          <w:tcPr>
            <w:tcW w:w="1502" w:type="dxa"/>
            <w:vAlign w:val="center"/>
          </w:tcPr>
          <w:p w14:paraId="2FF258FF" w14:textId="77777777" w:rsidR="00FE35D0" w:rsidRDefault="00FE35D0" w:rsidP="00467BD3">
            <w:pPr>
              <w:spacing w:before="0"/>
              <w:rPr>
                <w:rFonts w:asciiTheme="minorHAnsi" w:hAnsiTheme="minorHAnsi" w:cstheme="minorHAnsi"/>
                <w:szCs w:val="18"/>
              </w:rPr>
            </w:pPr>
            <w:r>
              <w:rPr>
                <w:rFonts w:asciiTheme="minorHAnsi" w:hAnsiTheme="minorHAnsi" w:cstheme="minorHAnsi"/>
                <w:szCs w:val="18"/>
              </w:rPr>
              <w:t>$15m</w:t>
            </w:r>
          </w:p>
        </w:tc>
        <w:tc>
          <w:tcPr>
            <w:tcW w:w="1503" w:type="dxa"/>
            <w:vAlign w:val="center"/>
          </w:tcPr>
          <w:p w14:paraId="7F4CF9B6" w14:textId="77777777" w:rsidR="00FE35D0" w:rsidRDefault="00FE35D0" w:rsidP="00467BD3">
            <w:pPr>
              <w:spacing w:before="0"/>
              <w:rPr>
                <w:rFonts w:asciiTheme="minorHAnsi" w:hAnsiTheme="minorHAnsi" w:cstheme="minorHAnsi"/>
                <w:szCs w:val="18"/>
              </w:rPr>
            </w:pPr>
            <w:r>
              <w:rPr>
                <w:rFonts w:asciiTheme="minorHAnsi" w:hAnsiTheme="minorHAnsi" w:cstheme="minorHAnsi"/>
                <w:szCs w:val="18"/>
              </w:rPr>
              <w:t>$15m</w:t>
            </w:r>
          </w:p>
        </w:tc>
        <w:tc>
          <w:tcPr>
            <w:tcW w:w="1503" w:type="dxa"/>
            <w:vAlign w:val="center"/>
          </w:tcPr>
          <w:p w14:paraId="4714BB78" w14:textId="77777777" w:rsidR="00FE35D0" w:rsidRDefault="00FE35D0" w:rsidP="00467BD3">
            <w:pPr>
              <w:spacing w:before="0"/>
              <w:rPr>
                <w:rFonts w:asciiTheme="minorHAnsi" w:hAnsiTheme="minorHAnsi" w:cstheme="minorHAnsi"/>
                <w:szCs w:val="18"/>
              </w:rPr>
            </w:pPr>
            <w:r>
              <w:rPr>
                <w:rFonts w:asciiTheme="minorHAnsi" w:hAnsiTheme="minorHAnsi" w:cstheme="minorHAnsi"/>
                <w:szCs w:val="18"/>
              </w:rPr>
              <w:t>$56m</w:t>
            </w:r>
          </w:p>
        </w:tc>
        <w:tc>
          <w:tcPr>
            <w:tcW w:w="1503" w:type="dxa"/>
            <w:vAlign w:val="center"/>
          </w:tcPr>
          <w:p w14:paraId="0168CA48" w14:textId="77777777" w:rsidR="00FE35D0" w:rsidRDefault="00FE35D0" w:rsidP="00467BD3">
            <w:pPr>
              <w:spacing w:before="0"/>
              <w:rPr>
                <w:rFonts w:asciiTheme="minorHAnsi" w:hAnsiTheme="minorHAnsi" w:cstheme="minorHAnsi"/>
                <w:szCs w:val="18"/>
              </w:rPr>
            </w:pPr>
            <w:r>
              <w:rPr>
                <w:rFonts w:asciiTheme="minorHAnsi" w:hAnsiTheme="minorHAnsi" w:cstheme="minorHAnsi"/>
                <w:szCs w:val="18"/>
              </w:rPr>
              <w:t>$112m</w:t>
            </w:r>
          </w:p>
        </w:tc>
        <w:tc>
          <w:tcPr>
            <w:tcW w:w="1503" w:type="dxa"/>
            <w:vAlign w:val="center"/>
          </w:tcPr>
          <w:p w14:paraId="2C24DDE9" w14:textId="77777777" w:rsidR="00FE35D0" w:rsidRDefault="00FE35D0" w:rsidP="00467BD3">
            <w:pPr>
              <w:spacing w:before="0"/>
              <w:rPr>
                <w:rFonts w:asciiTheme="minorHAnsi" w:hAnsiTheme="minorHAnsi" w:cstheme="minorHAnsi"/>
                <w:szCs w:val="18"/>
              </w:rPr>
            </w:pPr>
            <w:r>
              <w:rPr>
                <w:rFonts w:asciiTheme="minorHAnsi" w:hAnsiTheme="minorHAnsi" w:cstheme="minorHAnsi"/>
                <w:szCs w:val="18"/>
              </w:rPr>
              <w:t>$154m</w:t>
            </w:r>
          </w:p>
        </w:tc>
      </w:tr>
      <w:tr w:rsidR="00FE35D0" w14:paraId="396D813E" w14:textId="77777777" w:rsidTr="00467BD3">
        <w:tc>
          <w:tcPr>
            <w:tcW w:w="1502" w:type="dxa"/>
            <w:vAlign w:val="center"/>
          </w:tcPr>
          <w:p w14:paraId="536D4516" w14:textId="77777777" w:rsidR="00FE35D0" w:rsidRDefault="00FE35D0" w:rsidP="00467BD3">
            <w:pPr>
              <w:spacing w:before="0"/>
              <w:rPr>
                <w:rFonts w:asciiTheme="minorHAnsi" w:hAnsiTheme="minorHAnsi" w:cstheme="minorHAnsi"/>
                <w:szCs w:val="18"/>
              </w:rPr>
            </w:pPr>
            <w:r>
              <w:rPr>
                <w:rFonts w:asciiTheme="minorHAnsi" w:hAnsiTheme="minorHAnsi" w:cstheme="minorHAnsi"/>
                <w:szCs w:val="18"/>
              </w:rPr>
              <w:t>Yallourn</w:t>
            </w:r>
          </w:p>
        </w:tc>
        <w:tc>
          <w:tcPr>
            <w:tcW w:w="1502" w:type="dxa"/>
            <w:vAlign w:val="center"/>
          </w:tcPr>
          <w:p w14:paraId="22003140" w14:textId="77777777" w:rsidR="00FE35D0" w:rsidRDefault="00FE35D0" w:rsidP="00467BD3">
            <w:pPr>
              <w:spacing w:before="0"/>
              <w:rPr>
                <w:rFonts w:asciiTheme="minorHAnsi" w:hAnsiTheme="minorHAnsi" w:cstheme="minorHAnsi"/>
                <w:szCs w:val="18"/>
              </w:rPr>
            </w:pPr>
            <w:r>
              <w:rPr>
                <w:rFonts w:asciiTheme="minorHAnsi" w:hAnsiTheme="minorHAnsi" w:cstheme="minorHAnsi"/>
                <w:szCs w:val="18"/>
              </w:rPr>
              <w:t>$15m</w:t>
            </w:r>
          </w:p>
        </w:tc>
        <w:tc>
          <w:tcPr>
            <w:tcW w:w="1503" w:type="dxa"/>
            <w:vAlign w:val="center"/>
          </w:tcPr>
          <w:p w14:paraId="7C6E34B8" w14:textId="77777777" w:rsidR="00FE35D0" w:rsidRDefault="00FE35D0" w:rsidP="00467BD3">
            <w:pPr>
              <w:spacing w:before="0"/>
              <w:rPr>
                <w:rFonts w:asciiTheme="minorHAnsi" w:hAnsiTheme="minorHAnsi" w:cstheme="minorHAnsi"/>
                <w:szCs w:val="18"/>
              </w:rPr>
            </w:pPr>
            <w:r>
              <w:rPr>
                <w:rFonts w:asciiTheme="minorHAnsi" w:hAnsiTheme="minorHAnsi" w:cstheme="minorHAnsi"/>
                <w:szCs w:val="18"/>
              </w:rPr>
              <w:t>$11.46m</w:t>
            </w:r>
          </w:p>
        </w:tc>
        <w:tc>
          <w:tcPr>
            <w:tcW w:w="1503" w:type="dxa"/>
            <w:vAlign w:val="center"/>
          </w:tcPr>
          <w:p w14:paraId="2AE97A32" w14:textId="77777777" w:rsidR="00FE35D0" w:rsidRDefault="00FE35D0" w:rsidP="00467BD3">
            <w:pPr>
              <w:spacing w:before="0"/>
              <w:rPr>
                <w:rFonts w:asciiTheme="minorHAnsi" w:hAnsiTheme="minorHAnsi" w:cstheme="minorHAnsi"/>
                <w:szCs w:val="18"/>
              </w:rPr>
            </w:pPr>
            <w:r>
              <w:rPr>
                <w:rFonts w:asciiTheme="minorHAnsi" w:hAnsiTheme="minorHAnsi" w:cstheme="minorHAnsi"/>
                <w:szCs w:val="18"/>
              </w:rPr>
              <w:t>$34.25m</w:t>
            </w:r>
          </w:p>
        </w:tc>
        <w:tc>
          <w:tcPr>
            <w:tcW w:w="1503" w:type="dxa"/>
            <w:vAlign w:val="center"/>
          </w:tcPr>
          <w:p w14:paraId="5A0193AC" w14:textId="77777777" w:rsidR="00FE35D0" w:rsidRDefault="00FE35D0" w:rsidP="00467BD3">
            <w:pPr>
              <w:spacing w:before="0"/>
              <w:rPr>
                <w:rFonts w:asciiTheme="minorHAnsi" w:hAnsiTheme="minorHAnsi" w:cstheme="minorHAnsi"/>
                <w:szCs w:val="18"/>
              </w:rPr>
            </w:pPr>
            <w:r>
              <w:rPr>
                <w:rFonts w:asciiTheme="minorHAnsi" w:hAnsiTheme="minorHAnsi" w:cstheme="minorHAnsi"/>
                <w:szCs w:val="18"/>
              </w:rPr>
              <w:t>$68.5m</w:t>
            </w:r>
          </w:p>
        </w:tc>
        <w:tc>
          <w:tcPr>
            <w:tcW w:w="1503" w:type="dxa"/>
            <w:vAlign w:val="center"/>
          </w:tcPr>
          <w:p w14:paraId="098B2094" w14:textId="77777777" w:rsidR="00FE35D0" w:rsidRDefault="00FE35D0" w:rsidP="00467BD3">
            <w:pPr>
              <w:spacing w:before="0"/>
              <w:rPr>
                <w:rFonts w:asciiTheme="minorHAnsi" w:hAnsiTheme="minorHAnsi" w:cstheme="minorHAnsi"/>
                <w:szCs w:val="18"/>
              </w:rPr>
            </w:pPr>
            <w:r>
              <w:rPr>
                <w:rFonts w:asciiTheme="minorHAnsi" w:hAnsiTheme="minorHAnsi" w:cstheme="minorHAnsi"/>
                <w:szCs w:val="18"/>
              </w:rPr>
              <w:t>$148m</w:t>
            </w:r>
          </w:p>
        </w:tc>
      </w:tr>
      <w:tr w:rsidR="00FE35D0" w14:paraId="56145362" w14:textId="77777777" w:rsidTr="00467BD3">
        <w:tc>
          <w:tcPr>
            <w:tcW w:w="1502" w:type="dxa"/>
            <w:vAlign w:val="center"/>
          </w:tcPr>
          <w:p w14:paraId="3903F932" w14:textId="77777777" w:rsidR="00FE35D0" w:rsidRDefault="00FE35D0" w:rsidP="00467BD3">
            <w:pPr>
              <w:spacing w:before="0"/>
              <w:rPr>
                <w:rFonts w:asciiTheme="minorHAnsi" w:hAnsiTheme="minorHAnsi" w:cstheme="minorHAnsi"/>
                <w:szCs w:val="18"/>
              </w:rPr>
            </w:pPr>
            <w:r>
              <w:rPr>
                <w:rFonts w:asciiTheme="minorHAnsi" w:hAnsiTheme="minorHAnsi" w:cstheme="minorHAnsi"/>
                <w:szCs w:val="18"/>
              </w:rPr>
              <w:t>Hazelwood</w:t>
            </w:r>
          </w:p>
        </w:tc>
        <w:tc>
          <w:tcPr>
            <w:tcW w:w="1502" w:type="dxa"/>
            <w:vAlign w:val="center"/>
          </w:tcPr>
          <w:p w14:paraId="687BCC8D" w14:textId="77777777" w:rsidR="00FE35D0" w:rsidRDefault="00FE35D0" w:rsidP="00467BD3">
            <w:pPr>
              <w:spacing w:before="0"/>
              <w:rPr>
                <w:rFonts w:asciiTheme="minorHAnsi" w:hAnsiTheme="minorHAnsi" w:cstheme="minorHAnsi"/>
                <w:szCs w:val="18"/>
              </w:rPr>
            </w:pPr>
            <w:r>
              <w:rPr>
                <w:rFonts w:asciiTheme="minorHAnsi" w:hAnsiTheme="minorHAnsi" w:cstheme="minorHAnsi"/>
                <w:szCs w:val="18"/>
              </w:rPr>
              <w:t>$15m</w:t>
            </w:r>
          </w:p>
        </w:tc>
        <w:tc>
          <w:tcPr>
            <w:tcW w:w="1503" w:type="dxa"/>
            <w:vAlign w:val="center"/>
          </w:tcPr>
          <w:p w14:paraId="706331CF" w14:textId="77777777" w:rsidR="00FE35D0" w:rsidRDefault="00FE35D0" w:rsidP="00467BD3">
            <w:pPr>
              <w:spacing w:before="0"/>
              <w:rPr>
                <w:rFonts w:asciiTheme="minorHAnsi" w:hAnsiTheme="minorHAnsi" w:cstheme="minorHAnsi"/>
                <w:szCs w:val="18"/>
              </w:rPr>
            </w:pPr>
            <w:r>
              <w:rPr>
                <w:rFonts w:asciiTheme="minorHAnsi" w:hAnsiTheme="minorHAnsi" w:cstheme="minorHAnsi"/>
                <w:szCs w:val="18"/>
              </w:rPr>
              <w:t>$15m</w:t>
            </w:r>
          </w:p>
        </w:tc>
        <w:tc>
          <w:tcPr>
            <w:tcW w:w="1503" w:type="dxa"/>
            <w:vAlign w:val="center"/>
          </w:tcPr>
          <w:p w14:paraId="287AC451" w14:textId="77777777" w:rsidR="00FE35D0" w:rsidRDefault="00FE35D0" w:rsidP="00467BD3">
            <w:pPr>
              <w:spacing w:before="0"/>
              <w:rPr>
                <w:rFonts w:asciiTheme="minorHAnsi" w:hAnsiTheme="minorHAnsi" w:cstheme="minorHAnsi"/>
                <w:szCs w:val="18"/>
              </w:rPr>
            </w:pPr>
            <w:r>
              <w:rPr>
                <w:rFonts w:asciiTheme="minorHAnsi" w:hAnsiTheme="minorHAnsi" w:cstheme="minorHAnsi"/>
                <w:szCs w:val="18"/>
              </w:rPr>
              <w:t>$36.7m</w:t>
            </w:r>
          </w:p>
        </w:tc>
        <w:tc>
          <w:tcPr>
            <w:tcW w:w="1503" w:type="dxa"/>
            <w:vAlign w:val="center"/>
          </w:tcPr>
          <w:p w14:paraId="08CA237B" w14:textId="77777777" w:rsidR="00FE35D0" w:rsidRDefault="00FE35D0" w:rsidP="00467BD3">
            <w:pPr>
              <w:spacing w:before="0"/>
              <w:rPr>
                <w:rFonts w:asciiTheme="minorHAnsi" w:hAnsiTheme="minorHAnsi" w:cstheme="minorHAnsi"/>
                <w:szCs w:val="18"/>
              </w:rPr>
            </w:pPr>
            <w:r>
              <w:rPr>
                <w:rFonts w:asciiTheme="minorHAnsi" w:hAnsiTheme="minorHAnsi" w:cstheme="minorHAnsi"/>
                <w:szCs w:val="18"/>
              </w:rPr>
              <w:t>$73.4m</w:t>
            </w:r>
          </w:p>
        </w:tc>
        <w:tc>
          <w:tcPr>
            <w:tcW w:w="1503" w:type="dxa"/>
            <w:vAlign w:val="center"/>
          </w:tcPr>
          <w:p w14:paraId="4DBFE72C" w14:textId="77777777" w:rsidR="00FE35D0" w:rsidRDefault="00FE35D0" w:rsidP="00467BD3">
            <w:pPr>
              <w:spacing w:before="0"/>
              <w:rPr>
                <w:rFonts w:asciiTheme="minorHAnsi" w:hAnsiTheme="minorHAnsi" w:cstheme="minorHAnsi"/>
                <w:szCs w:val="18"/>
              </w:rPr>
            </w:pPr>
            <w:r>
              <w:rPr>
                <w:rFonts w:asciiTheme="minorHAnsi" w:hAnsiTheme="minorHAnsi" w:cstheme="minorHAnsi"/>
                <w:szCs w:val="18"/>
              </w:rPr>
              <w:t>$289m</w:t>
            </w:r>
          </w:p>
        </w:tc>
      </w:tr>
      <w:tr w:rsidR="00FE35D0" w14:paraId="7509CB67" w14:textId="77777777" w:rsidTr="00467BD3">
        <w:tc>
          <w:tcPr>
            <w:tcW w:w="1502" w:type="dxa"/>
            <w:vAlign w:val="center"/>
          </w:tcPr>
          <w:p w14:paraId="64CFAC9E" w14:textId="77777777" w:rsidR="00FE35D0" w:rsidRPr="00751AF2" w:rsidRDefault="00FE35D0" w:rsidP="00467BD3">
            <w:pPr>
              <w:spacing w:before="0"/>
              <w:rPr>
                <w:rFonts w:asciiTheme="minorHAnsi" w:hAnsiTheme="minorHAnsi" w:cstheme="minorHAnsi"/>
                <w:b/>
                <w:szCs w:val="18"/>
              </w:rPr>
            </w:pPr>
            <w:r w:rsidRPr="00751AF2">
              <w:rPr>
                <w:rFonts w:asciiTheme="minorHAnsi" w:hAnsiTheme="minorHAnsi" w:cstheme="minorHAnsi"/>
                <w:b/>
                <w:szCs w:val="18"/>
              </w:rPr>
              <w:t>Total</w:t>
            </w:r>
          </w:p>
        </w:tc>
        <w:tc>
          <w:tcPr>
            <w:tcW w:w="1502" w:type="dxa"/>
            <w:vAlign w:val="center"/>
          </w:tcPr>
          <w:p w14:paraId="0E1E1752" w14:textId="77777777" w:rsidR="00FE35D0" w:rsidRPr="00751AF2" w:rsidRDefault="00FE35D0" w:rsidP="00467BD3">
            <w:pPr>
              <w:spacing w:before="0"/>
              <w:rPr>
                <w:rFonts w:asciiTheme="minorHAnsi" w:hAnsiTheme="minorHAnsi" w:cstheme="minorHAnsi"/>
                <w:b/>
                <w:szCs w:val="18"/>
              </w:rPr>
            </w:pPr>
            <w:r>
              <w:rPr>
                <w:rFonts w:asciiTheme="minorHAnsi" w:hAnsiTheme="minorHAnsi" w:cstheme="minorHAnsi"/>
                <w:b/>
                <w:szCs w:val="18"/>
              </w:rPr>
              <w:t>$45m</w:t>
            </w:r>
          </w:p>
        </w:tc>
        <w:tc>
          <w:tcPr>
            <w:tcW w:w="1503" w:type="dxa"/>
            <w:vAlign w:val="center"/>
          </w:tcPr>
          <w:p w14:paraId="33716A2C" w14:textId="77777777" w:rsidR="00FE35D0" w:rsidRPr="00751AF2" w:rsidRDefault="00FE35D0" w:rsidP="00467BD3">
            <w:pPr>
              <w:spacing w:before="0"/>
              <w:rPr>
                <w:rFonts w:asciiTheme="minorHAnsi" w:hAnsiTheme="minorHAnsi" w:cstheme="minorHAnsi"/>
                <w:b/>
                <w:szCs w:val="18"/>
              </w:rPr>
            </w:pPr>
            <w:r>
              <w:rPr>
                <w:rFonts w:asciiTheme="minorHAnsi" w:hAnsiTheme="minorHAnsi" w:cstheme="minorHAnsi"/>
                <w:b/>
                <w:szCs w:val="18"/>
              </w:rPr>
              <w:t>$41.46m</w:t>
            </w:r>
          </w:p>
        </w:tc>
        <w:tc>
          <w:tcPr>
            <w:tcW w:w="1503" w:type="dxa"/>
            <w:vAlign w:val="center"/>
          </w:tcPr>
          <w:p w14:paraId="2102FB78" w14:textId="77777777" w:rsidR="00FE35D0" w:rsidRPr="00751AF2" w:rsidRDefault="00FE35D0" w:rsidP="00467BD3">
            <w:pPr>
              <w:spacing w:before="0"/>
              <w:rPr>
                <w:rFonts w:asciiTheme="minorHAnsi" w:hAnsiTheme="minorHAnsi" w:cstheme="minorHAnsi"/>
                <w:b/>
                <w:szCs w:val="18"/>
              </w:rPr>
            </w:pPr>
            <w:r>
              <w:rPr>
                <w:rFonts w:asciiTheme="minorHAnsi" w:hAnsiTheme="minorHAnsi" w:cstheme="minorHAnsi"/>
                <w:b/>
                <w:szCs w:val="18"/>
              </w:rPr>
              <w:t>$126.95m</w:t>
            </w:r>
          </w:p>
        </w:tc>
        <w:tc>
          <w:tcPr>
            <w:tcW w:w="1503" w:type="dxa"/>
            <w:vAlign w:val="center"/>
          </w:tcPr>
          <w:p w14:paraId="0A75EA23" w14:textId="77777777" w:rsidR="00FE35D0" w:rsidRPr="00751AF2" w:rsidRDefault="00FE35D0" w:rsidP="00467BD3">
            <w:pPr>
              <w:spacing w:before="0"/>
              <w:rPr>
                <w:rFonts w:asciiTheme="minorHAnsi" w:hAnsiTheme="minorHAnsi" w:cstheme="minorHAnsi"/>
                <w:b/>
                <w:szCs w:val="18"/>
              </w:rPr>
            </w:pPr>
            <w:r>
              <w:rPr>
                <w:rFonts w:asciiTheme="minorHAnsi" w:hAnsiTheme="minorHAnsi" w:cstheme="minorHAnsi"/>
                <w:b/>
                <w:szCs w:val="18"/>
              </w:rPr>
              <w:t>$253.9m</w:t>
            </w:r>
          </w:p>
        </w:tc>
        <w:tc>
          <w:tcPr>
            <w:tcW w:w="1503" w:type="dxa"/>
            <w:vAlign w:val="center"/>
          </w:tcPr>
          <w:p w14:paraId="68A3F563" w14:textId="77777777" w:rsidR="00FE35D0" w:rsidRPr="00751AF2" w:rsidRDefault="00FE35D0" w:rsidP="00467BD3">
            <w:pPr>
              <w:spacing w:before="0"/>
              <w:rPr>
                <w:rFonts w:asciiTheme="minorHAnsi" w:hAnsiTheme="minorHAnsi" w:cstheme="minorHAnsi"/>
                <w:b/>
                <w:szCs w:val="18"/>
              </w:rPr>
            </w:pPr>
            <w:r>
              <w:rPr>
                <w:rFonts w:asciiTheme="minorHAnsi" w:hAnsiTheme="minorHAnsi" w:cstheme="minorHAnsi"/>
                <w:b/>
                <w:szCs w:val="18"/>
              </w:rPr>
              <w:t>$591m</w:t>
            </w:r>
          </w:p>
        </w:tc>
      </w:tr>
    </w:tbl>
    <w:p w14:paraId="13CD129A" w14:textId="6AA01D81" w:rsidR="00FE35D0" w:rsidRPr="00CF55B5" w:rsidRDefault="00FE35D0" w:rsidP="00FE35D0">
      <w:pPr>
        <w:pStyle w:val="EYSource"/>
      </w:pPr>
      <w:r w:rsidRPr="00CF55B5">
        <w:t xml:space="preserve">Source: </w:t>
      </w:r>
      <w:r w:rsidR="007A42D4">
        <w:t xml:space="preserve">The </w:t>
      </w:r>
      <w:r w:rsidR="006D439C">
        <w:t>department</w:t>
      </w:r>
    </w:p>
    <w:p w14:paraId="3D4F4BE0" w14:textId="7B5BA215" w:rsidR="00FE35D0" w:rsidRDefault="00FE35D0" w:rsidP="00FE35D0">
      <w:pPr>
        <w:rPr>
          <w:rFonts w:asciiTheme="minorHAnsi" w:hAnsiTheme="minorHAnsi" w:cstheme="minorBidi"/>
        </w:rPr>
      </w:pPr>
      <w:r>
        <w:rPr>
          <w:rFonts w:asciiTheme="minorHAnsi" w:hAnsiTheme="minorHAnsi" w:cstheme="minorBidi"/>
        </w:rPr>
        <w:t>The rehabilitation bond increases, informed by a thorough assessment, have ensured that mine operators have greater accountability for rehabilitation costs.</w:t>
      </w:r>
    </w:p>
    <w:p w14:paraId="03719AC4" w14:textId="2D572B7B" w:rsidR="00FE35D0" w:rsidRPr="007C2CB9" w:rsidRDefault="00B40A84" w:rsidP="00FE35D0">
      <w:r>
        <w:lastRenderedPageBreak/>
        <w:t>R</w:t>
      </w:r>
      <w:r w:rsidR="00FE35D0">
        <w:t xml:space="preserve">ehabilitation liabilities </w:t>
      </w:r>
      <w:r w:rsidR="00DC5096">
        <w:t xml:space="preserve">calculations are based on </w:t>
      </w:r>
      <w:r w:rsidR="00FE35D0">
        <w:t>the rehabilitation activities set out in the mine’s rehabilitation plan</w:t>
      </w:r>
      <w:r w:rsidR="00F0787A">
        <w:t>. I</w:t>
      </w:r>
      <w:r w:rsidR="00FE35D0">
        <w:t xml:space="preserve">f the plan does not comprehensively set out the necessary activities, there is a risk that the liability will be incorrectly assessed – as was illustrated in the Benambra Mine event. Where this is the case, government may be liable for risks that are the responsibility of mine operators. The HMFI also concluded that the work plans of the mines (including the rehabilitation components) </w:t>
      </w:r>
      <w:r w:rsidR="00FE35D0" w:rsidRPr="00B307BE">
        <w:t>are conceptual and lack detail.</w:t>
      </w:r>
      <w:r w:rsidR="00FE35D0" w:rsidRPr="00B307BE">
        <w:rPr>
          <w:rStyle w:val="FootnoteReference"/>
        </w:rPr>
        <w:footnoteReference w:id="35"/>
      </w:r>
      <w:r w:rsidR="00FE35D0" w:rsidRPr="00B307BE">
        <w:t xml:space="preserve"> </w:t>
      </w:r>
      <w:r w:rsidR="00FE35D0" w:rsidRPr="002A497A">
        <w:t xml:space="preserve">The DMRP requirements in the Act require more detailed and comprehensive rehabilitation planning </w:t>
      </w:r>
      <w:r w:rsidR="00F14872" w:rsidRPr="002A497A">
        <w:t xml:space="preserve">by declared mine operators </w:t>
      </w:r>
      <w:r w:rsidR="00FE35D0" w:rsidRPr="002A497A">
        <w:t>than was previously required under work plans. This is designed to support more accurate liability assessments which will, in turn, enable more accurate rehabilitation bond setting by government and more appropriate allocation of risk.</w:t>
      </w:r>
      <w:r w:rsidR="00FE35D0" w:rsidRPr="00B307BE">
        <w:t xml:space="preserve">  </w:t>
      </w:r>
    </w:p>
    <w:p w14:paraId="384B03B5" w14:textId="042BE0EF" w:rsidR="00FE35D0" w:rsidRPr="00C14904" w:rsidRDefault="00FE35D0" w:rsidP="00FE35D0">
      <w:pPr>
        <w:pStyle w:val="Heading7"/>
      </w:pPr>
      <w:r w:rsidRPr="00C14904">
        <w:t xml:space="preserve">Promoting the orderly and collaborative </w:t>
      </w:r>
      <w:r w:rsidR="008F2D39" w:rsidRPr="00C14904">
        <w:t xml:space="preserve">completion </w:t>
      </w:r>
      <w:r w:rsidRPr="00C14904">
        <w:t>of rehabilitation obligations for licensees</w:t>
      </w:r>
    </w:p>
    <w:p w14:paraId="30D9FA91" w14:textId="4F2ACAC6" w:rsidR="00FE35D0" w:rsidRDefault="00FE35D0" w:rsidP="00FE35D0">
      <w:r w:rsidRPr="00C14904">
        <w:t xml:space="preserve">The Act requires that the DMRP must include a set of closure criteria for the declared mine. </w:t>
      </w:r>
      <w:r w:rsidRPr="002A497A">
        <w:t xml:space="preserve">Closure criteria provide a mechanism for ERR and licensees to reach an agreement on an acceptable standard for </w:t>
      </w:r>
      <w:r w:rsidR="0033115A" w:rsidRPr="002A497A">
        <w:t xml:space="preserve">which </w:t>
      </w:r>
      <w:r w:rsidRPr="002A497A">
        <w:t xml:space="preserve">rehabilitation </w:t>
      </w:r>
      <w:r w:rsidR="0033115A" w:rsidRPr="002A497A">
        <w:t xml:space="preserve">is </w:t>
      </w:r>
      <w:r w:rsidRPr="002A497A">
        <w:t xml:space="preserve">considered </w:t>
      </w:r>
      <w:r w:rsidR="0033115A" w:rsidRPr="002A497A">
        <w:t xml:space="preserve">to be </w:t>
      </w:r>
      <w:r w:rsidRPr="002A497A">
        <w:t>complete</w:t>
      </w:r>
      <w:r w:rsidRPr="00B307BE">
        <w:t>. This is designed</w:t>
      </w:r>
      <w:r>
        <w:t xml:space="preserve"> to ensure that mine closure is an orderly, collaborative process which better manages and minimises the risks posed by declared mine land. Specifying closure criteria allows operators and the State to negotiate the optimal point at which responsibilities for land management </w:t>
      </w:r>
      <w:r w:rsidR="00F42B31">
        <w:t xml:space="preserve">can </w:t>
      </w:r>
      <w:r>
        <w:t xml:space="preserve">be transferred.  </w:t>
      </w:r>
    </w:p>
    <w:p w14:paraId="356E4EEA" w14:textId="77777777" w:rsidR="00FE35D0" w:rsidRPr="00AE16D2" w:rsidRDefault="00FE35D0" w:rsidP="00FE35D0">
      <w:pPr>
        <w:pStyle w:val="Heading7"/>
      </w:pPr>
      <w:r>
        <w:t>Obtaining more information to minimise costs and risks in the event of third-party rehabilitation</w:t>
      </w:r>
    </w:p>
    <w:p w14:paraId="63D6305C" w14:textId="77777777" w:rsidR="00FE35D0" w:rsidRDefault="00FE35D0" w:rsidP="00FE35D0">
      <w:r>
        <w:t xml:space="preserve">The DMRP provides a means for ERR to obtain more information about the technical characteristics of declared mine sites and proposed rehabilitation activities.  </w:t>
      </w:r>
    </w:p>
    <w:p w14:paraId="2B0A32F5" w14:textId="70AA515C" w:rsidR="00FE35D0" w:rsidRDefault="00FE35D0" w:rsidP="00FE35D0">
      <w:r>
        <w:t xml:space="preserve">If mining operators default on their rehabilitation obligations, government is left with the responsibility of rehabilitating mine land, as occurred at the Benambra Mine. This potential cost can be considered as the contingent liability and poses a significant financial risk for government. Further, given the ongoing risks posed by declared mine land after mine closure, responsibility for ongoing monitoring and management of the mine sites also rests with government. </w:t>
      </w:r>
    </w:p>
    <w:p w14:paraId="4151AC4F" w14:textId="2AF52BE5" w:rsidR="00FE35D0" w:rsidRDefault="16E0041A" w:rsidP="00FE35D0">
      <w:r>
        <w:t>Analysis supporting the Hazelwood Mine Fire Inquiry found that rehabilitation is likely to be costlier if undertaken by a third party, such as government, rather than the mine licensee</w:t>
      </w:r>
      <w:r w:rsidRPr="00CF55B5">
        <w:t>.</w:t>
      </w:r>
      <w:r w:rsidR="00FE35D0">
        <w:rPr>
          <w:rStyle w:val="FootnoteReference"/>
        </w:rPr>
        <w:footnoteReference w:id="36"/>
      </w:r>
      <w:r>
        <w:t xml:space="preserve"> In other words, the government’s contingent liability for mine rehabilitation exceeds the costs that would be incurred by mine operators for rehabilitating their </w:t>
      </w:r>
      <w:r w:rsidR="57A1338C">
        <w:t xml:space="preserve">own </w:t>
      </w:r>
      <w:r>
        <w:t>mine site</w:t>
      </w:r>
      <w:r w:rsidR="57A1338C">
        <w:t>s</w:t>
      </w:r>
      <w:r>
        <w:t xml:space="preserve">. This is in part because government does not have the same degree of technical information and experience relating to the mine as the operator. </w:t>
      </w:r>
    </w:p>
    <w:p w14:paraId="754C1B3A" w14:textId="55A37B57" w:rsidR="00FE35D0" w:rsidRDefault="00FE35D0" w:rsidP="00FE35D0">
      <w:r>
        <w:t xml:space="preserve">The DMRP addresses this issue by providing a new mechanism to obtain detailed information relevant to rehabilitation from mining operators before mine closure. </w:t>
      </w:r>
    </w:p>
    <w:p w14:paraId="03BD79AF" w14:textId="2DF0F69B" w:rsidR="00FE35D0" w:rsidRDefault="00FE35D0" w:rsidP="00FE35D0">
      <w:pPr>
        <w:pStyle w:val="Heading6"/>
      </w:pPr>
      <w:r>
        <w:t>Registration and post-closure management</w:t>
      </w:r>
    </w:p>
    <w:p w14:paraId="16F1DA8F" w14:textId="64A43CC9" w:rsidR="00FE35D0" w:rsidRPr="00C14904" w:rsidRDefault="00FE35D0" w:rsidP="00FE35D0">
      <w:r>
        <w:t xml:space="preserve">As noted above, the size, volatility, </w:t>
      </w:r>
      <w:r w:rsidR="00BF7F5B">
        <w:t xml:space="preserve">geotechnical </w:t>
      </w:r>
      <w:r>
        <w:t>and hydrogeological features of the current set of declared mines mean that active controls are needed to manage the fire and instability risks posed by the mine sites for some time into the future.</w:t>
      </w:r>
      <w:r w:rsidR="00FD5DCA">
        <w:rPr>
          <w:rStyle w:val="FootnoteReference"/>
        </w:rPr>
        <w:footnoteReference w:id="37"/>
      </w:r>
      <w:r>
        <w:t xml:space="preserve"> Prior to the amendments to the Act, </w:t>
      </w:r>
      <w:r w:rsidRPr="00B307BE">
        <w:t>there was no clear allocation of responsibility for ongoing monitoring and maintenance, creating significant uncertainty for ope</w:t>
      </w:r>
      <w:r w:rsidRPr="007C2CB9">
        <w:t xml:space="preserve">rators, the State and communities. </w:t>
      </w:r>
    </w:p>
    <w:p w14:paraId="575A6B53" w14:textId="7A572787" w:rsidR="00FE35D0" w:rsidRPr="007C2CB9" w:rsidRDefault="00FE35D0" w:rsidP="00FE35D0">
      <w:r w:rsidRPr="00C14904">
        <w:t xml:space="preserve">Additionally, there was no capacity for ERR to obtain or manage information about the post closure management of declared mine sites. </w:t>
      </w:r>
      <w:r w:rsidRPr="002A497A">
        <w:t xml:space="preserve">The amendments to the Act recognise that </w:t>
      </w:r>
      <w:r w:rsidR="008A4AF6" w:rsidRPr="008A4AF6">
        <w:t>maintenance, monitoring and</w:t>
      </w:r>
      <w:r w:rsidRPr="002A497A">
        <w:t xml:space="preserve"> management of the declared mines will be required for a considerable period after the expected closure of the mines,</w:t>
      </w:r>
      <w:r w:rsidR="00731CA2">
        <w:t xml:space="preserve"> </w:t>
      </w:r>
      <w:r w:rsidRPr="002A497A">
        <w:t>and return of their associated licences.</w:t>
      </w:r>
      <w:r w:rsidRPr="00B307BE">
        <w:t xml:space="preserve"> </w:t>
      </w:r>
    </w:p>
    <w:p w14:paraId="42D44504" w14:textId="19ADF503" w:rsidR="00FE35D0" w:rsidRDefault="00FE35D0" w:rsidP="00FE35D0">
      <w:r w:rsidRPr="00C14904">
        <w:t>The Amendment Act addressed these issues by introducing</w:t>
      </w:r>
      <w:r>
        <w:t xml:space="preserve"> a system for the registration of declared mine land and its rehabilitation plan, including the post-closure plan. Now, the landowner </w:t>
      </w:r>
      <w:r w:rsidR="001B4870">
        <w:t xml:space="preserve">(which may be </w:t>
      </w:r>
      <w:r>
        <w:t>the Authority</w:t>
      </w:r>
      <w:r w:rsidR="001B4870">
        <w:t>)</w:t>
      </w:r>
      <w:r>
        <w:t xml:space="preserve"> will be responsible for the ongoing management of registered declared mine land, and the Minister will have the power to enforce declared mines’ post-closure plans.</w:t>
      </w:r>
      <w:r w:rsidR="008C29AE">
        <w:rPr>
          <w:rStyle w:val="FootnoteReference"/>
        </w:rPr>
        <w:footnoteReference w:id="38"/>
      </w:r>
    </w:p>
    <w:p w14:paraId="64687993" w14:textId="78475124" w:rsidR="00FE35D0" w:rsidRDefault="00FE35D0" w:rsidP="00FE35D0">
      <w:pPr>
        <w:pStyle w:val="ListBullet"/>
        <w:numPr>
          <w:ilvl w:val="0"/>
          <w:numId w:val="0"/>
        </w:numPr>
        <w:spacing w:after="200"/>
      </w:pPr>
      <w:r>
        <w:lastRenderedPageBreak/>
        <w:t>A declared mine licensee can apply to the Minister for a determination that the closure criteria for the declared mine land have been met. The Minister must request advice from the Authority in considering the application, consult with other relevant Ministers, take into account any prescribed matter</w:t>
      </w:r>
      <w:r w:rsidR="00222528">
        <w:t>,</w:t>
      </w:r>
      <w:r>
        <w:t xml:space="preserve"> and follow any other prescribed process.</w:t>
      </w:r>
      <w:r>
        <w:rPr>
          <w:rStyle w:val="FootnoteReference"/>
        </w:rPr>
        <w:footnoteReference w:id="39"/>
      </w:r>
      <w:r>
        <w:t xml:space="preserve"> This determination is a condition of rehabilitation bonds being repaid to declared mine licensees.</w:t>
      </w:r>
      <w:r>
        <w:rPr>
          <w:rStyle w:val="FootnoteReference"/>
        </w:rPr>
        <w:footnoteReference w:id="40"/>
      </w:r>
      <w:r>
        <w:t xml:space="preserve"> If the Minister determines the closure criteria are met, they may return the balance of the rehabilitation bond</w:t>
      </w:r>
      <w:r w:rsidR="005913CB">
        <w:t>,</w:t>
      </w:r>
      <w:r>
        <w:t xml:space="preserve"> consent to the surrender of the mine licence</w:t>
      </w:r>
      <w:r w:rsidR="00CF53A3">
        <w:t>,</w:t>
      </w:r>
      <w:r>
        <w:t xml:space="preserve"> and direct the Authority to register the declared mine land and its post-closure plan.</w:t>
      </w:r>
      <w:r>
        <w:rPr>
          <w:rStyle w:val="FootnoteReference"/>
        </w:rPr>
        <w:footnoteReference w:id="41"/>
      </w:r>
    </w:p>
    <w:p w14:paraId="170CF56A" w14:textId="239B7D13" w:rsidR="00FE35D0" w:rsidRDefault="00FE35D0" w:rsidP="00FE35D0">
      <w:pPr>
        <w:pStyle w:val="ListBullet"/>
        <w:numPr>
          <w:ilvl w:val="0"/>
          <w:numId w:val="0"/>
        </w:numPr>
        <w:spacing w:after="200"/>
      </w:pPr>
      <w:r>
        <w:t>The registration direction may require the declared mine licensee to give the prescribed information and records to the Authority</w:t>
      </w:r>
      <w:r w:rsidR="00B268BA">
        <w:t>,</w:t>
      </w:r>
      <w:r w:rsidR="00731CA2">
        <w:t xml:space="preserve"> </w:t>
      </w:r>
      <w:r w:rsidR="00725759">
        <w:t>and</w:t>
      </w:r>
      <w:r>
        <w:t xml:space="preserve"> pay the Minister the specified registration amount</w:t>
      </w:r>
      <w:r w:rsidR="007A2058">
        <w:t>.</w:t>
      </w:r>
      <w:r>
        <w:t xml:space="preserve"> </w:t>
      </w:r>
      <w:r w:rsidR="00DA403B">
        <w:t>The registration direction may also require</w:t>
      </w:r>
      <w:r>
        <w:t xml:space="preserve"> the Authority to register the post-closure plan and land with any specified conditions</w:t>
      </w:r>
      <w:r w:rsidR="00EC137D">
        <w:t>,</w:t>
      </w:r>
      <w:r>
        <w:t xml:space="preserve"> and in accordance with the prescribed procedure (if any).</w:t>
      </w:r>
      <w:r>
        <w:rPr>
          <w:rStyle w:val="FootnoteReference"/>
        </w:rPr>
        <w:footnoteReference w:id="42"/>
      </w:r>
      <w:r>
        <w:t xml:space="preserve"> One of the functions of the Authority is to assess the amount of funds to be paid by licensees into the Declared Mine Fund upon registration.</w:t>
      </w:r>
      <w:r>
        <w:rPr>
          <w:rStyle w:val="FootnoteReference"/>
        </w:rPr>
        <w:footnoteReference w:id="43"/>
      </w:r>
    </w:p>
    <w:p w14:paraId="672FA465" w14:textId="05243B67" w:rsidR="00FE35D0" w:rsidRDefault="00FE35D0" w:rsidP="00FE35D0">
      <w:pPr>
        <w:pStyle w:val="ListBullet"/>
        <w:numPr>
          <w:ilvl w:val="0"/>
          <w:numId w:val="0"/>
        </w:numPr>
        <w:spacing w:after="200"/>
      </w:pPr>
      <w:r>
        <w:t>The Authority is responsible for establishing and maintaining the register of declared mine land. The Authority must, for each registration of declared mine land, register the following documents:</w:t>
      </w:r>
      <w:r>
        <w:rPr>
          <w:rStyle w:val="FootnoteReference"/>
        </w:rPr>
        <w:footnoteReference w:id="44"/>
      </w:r>
    </w:p>
    <w:p w14:paraId="29C29C12" w14:textId="77777777" w:rsidR="00FE35D0" w:rsidRDefault="00FE35D0" w:rsidP="00FE35D0">
      <w:pPr>
        <w:pStyle w:val="dotpoints"/>
      </w:pPr>
      <w:r>
        <w:t>Any licence (whether or not in force) that covers the land;</w:t>
      </w:r>
    </w:p>
    <w:p w14:paraId="29EA2F2A" w14:textId="77777777" w:rsidR="00FE35D0" w:rsidRDefault="00FE35D0" w:rsidP="00FE35D0">
      <w:pPr>
        <w:pStyle w:val="dotpoints"/>
      </w:pPr>
      <w:r>
        <w:t>The post-closure plan for the land; and</w:t>
      </w:r>
    </w:p>
    <w:p w14:paraId="182022D2" w14:textId="77777777" w:rsidR="00FE35D0" w:rsidRDefault="00FE35D0" w:rsidP="00FE35D0">
      <w:pPr>
        <w:pStyle w:val="dotpoints"/>
        <w:spacing w:after="120"/>
      </w:pPr>
      <w:r>
        <w:t>Any prescribed records or information that relate to the land.</w:t>
      </w:r>
    </w:p>
    <w:p w14:paraId="23E48D7C" w14:textId="77777777" w:rsidR="00FE35D0" w:rsidRDefault="00FE35D0" w:rsidP="00FE35D0">
      <w:pPr>
        <w:pStyle w:val="ListBullet"/>
        <w:numPr>
          <w:ilvl w:val="0"/>
          <w:numId w:val="0"/>
        </w:numPr>
        <w:spacing w:after="200"/>
      </w:pPr>
      <w:r>
        <w:t>The Authority must also record in the register:</w:t>
      </w:r>
    </w:p>
    <w:p w14:paraId="1214948F" w14:textId="77777777" w:rsidR="00FE35D0" w:rsidRDefault="00FE35D0" w:rsidP="00FE35D0">
      <w:pPr>
        <w:pStyle w:val="dotpoints"/>
      </w:pPr>
      <w:r>
        <w:t>The declared mine land;</w:t>
      </w:r>
    </w:p>
    <w:p w14:paraId="3A93E281" w14:textId="77777777" w:rsidR="00FE35D0" w:rsidRDefault="00FE35D0" w:rsidP="00FE35D0">
      <w:pPr>
        <w:pStyle w:val="dotpoints"/>
      </w:pPr>
      <w:r>
        <w:t>Any conditions that apply to the recording of the land; and</w:t>
      </w:r>
    </w:p>
    <w:p w14:paraId="56653D50" w14:textId="77777777" w:rsidR="00FE35D0" w:rsidRDefault="00FE35D0" w:rsidP="00FE35D0">
      <w:pPr>
        <w:pStyle w:val="dotpoints"/>
        <w:spacing w:after="120"/>
      </w:pPr>
      <w:r>
        <w:t>Any prescribed matters.</w:t>
      </w:r>
    </w:p>
    <w:p w14:paraId="04EE06B9" w14:textId="77777777" w:rsidR="00FE35D0" w:rsidRDefault="00FE35D0" w:rsidP="00FE35D0">
      <w:pPr>
        <w:pStyle w:val="ListBullet"/>
        <w:numPr>
          <w:ilvl w:val="0"/>
          <w:numId w:val="0"/>
        </w:numPr>
        <w:spacing w:after="200"/>
      </w:pPr>
      <w:r>
        <w:t>When a post-closure plan is registered, the Authority must lodge with the Registrar notice of any land other than unalienated Crown land (land in which no other person has a legal interest) affected by the registered post-closure plan.</w:t>
      </w:r>
      <w:r>
        <w:rPr>
          <w:rStyle w:val="FootnoteReference"/>
        </w:rPr>
        <w:footnoteReference w:id="45"/>
      </w:r>
      <w:r>
        <w:t xml:space="preserve"> The Registrar must record in the Register of land any information necessary to give effect to the notice.</w:t>
      </w:r>
      <w:r>
        <w:rPr>
          <w:rStyle w:val="FootnoteReference"/>
        </w:rPr>
        <w:footnoteReference w:id="46"/>
      </w:r>
    </w:p>
    <w:p w14:paraId="58BF0FD0" w14:textId="47E72821" w:rsidR="00410725" w:rsidRDefault="00410725" w:rsidP="00FE35D0">
      <w:pPr>
        <w:pStyle w:val="ListBullet"/>
        <w:numPr>
          <w:ilvl w:val="0"/>
          <w:numId w:val="0"/>
        </w:numPr>
        <w:spacing w:after="200"/>
      </w:pPr>
      <w:r>
        <w:t xml:space="preserve">A licence </w:t>
      </w:r>
      <w:r w:rsidR="00C736A9">
        <w:t>(other than an exploration licence during its first year)</w:t>
      </w:r>
      <w:r>
        <w:t xml:space="preserve"> may only be transferred with the Minister’s approval</w:t>
      </w:r>
      <w:r w:rsidR="005D66B7">
        <w:t>.</w:t>
      </w:r>
      <w:r w:rsidR="004B079D">
        <w:rPr>
          <w:rStyle w:val="FootnoteReference"/>
        </w:rPr>
        <w:footnoteReference w:id="47"/>
      </w:r>
      <w:r w:rsidR="005D66B7">
        <w:t xml:space="preserve"> </w:t>
      </w:r>
      <w:r w:rsidR="004B079D">
        <w:t>If the existing</w:t>
      </w:r>
      <w:r w:rsidR="00144032">
        <w:t xml:space="preserve"> licensee has </w:t>
      </w:r>
      <w:r w:rsidR="00EB47D0">
        <w:t xml:space="preserve">not paid all the outstanding </w:t>
      </w:r>
      <w:r w:rsidR="00483870">
        <w:t xml:space="preserve">fees, </w:t>
      </w:r>
      <w:r w:rsidR="002108C7">
        <w:t>bonds, royalties and rents in respect of the licence</w:t>
      </w:r>
      <w:r w:rsidR="0052741F">
        <w:t xml:space="preserve">, </w:t>
      </w:r>
      <w:r w:rsidR="00163FDE">
        <w:t xml:space="preserve">such approval </w:t>
      </w:r>
      <w:r w:rsidR="00EE712E">
        <w:t>may be subject to the</w:t>
      </w:r>
      <w:r w:rsidR="004B40E5">
        <w:t xml:space="preserve"> proposed</w:t>
      </w:r>
      <w:r w:rsidR="00EE712E">
        <w:t xml:space="preserve"> transferee</w:t>
      </w:r>
      <w:r w:rsidR="004B079D">
        <w:t xml:space="preserve"> </w:t>
      </w:r>
      <w:r w:rsidR="004B40E5">
        <w:t>agreeing to pay the</w:t>
      </w:r>
      <w:r w:rsidR="00744493">
        <w:t xml:space="preserve"> amounts</w:t>
      </w:r>
      <w:r w:rsidR="004B40E5">
        <w:t xml:space="preserve"> outstanding</w:t>
      </w:r>
      <w:r w:rsidR="00C60C9B">
        <w:t>.</w:t>
      </w:r>
      <w:r w:rsidR="00C60C9B">
        <w:rPr>
          <w:rStyle w:val="FootnoteReference"/>
        </w:rPr>
        <w:footnoteReference w:id="48"/>
      </w:r>
      <w:r w:rsidR="00DF2749">
        <w:t xml:space="preserve"> </w:t>
      </w:r>
      <w:r w:rsidR="00E01854">
        <w:t xml:space="preserve">If the </w:t>
      </w:r>
      <w:r w:rsidR="00FE230D">
        <w:t xml:space="preserve">Minister is not satisfied that the existing </w:t>
      </w:r>
      <w:r w:rsidR="00942796">
        <w:t>licensee</w:t>
      </w:r>
      <w:r w:rsidR="00AB0BE9">
        <w:t xml:space="preserve">’s work plan is adequate, </w:t>
      </w:r>
      <w:r w:rsidR="00FE34EE">
        <w:t xml:space="preserve">approval may be subject to the proposed transferee being required to submit a </w:t>
      </w:r>
      <w:r w:rsidR="001315D8">
        <w:t xml:space="preserve">new work plan for approval by </w:t>
      </w:r>
      <w:r w:rsidR="000F3D1F">
        <w:t xml:space="preserve">the Department Head </w:t>
      </w:r>
      <w:r w:rsidR="00AB111D">
        <w:t>within the time specified by the Minister.</w:t>
      </w:r>
      <w:r w:rsidR="00AB111D">
        <w:rPr>
          <w:rStyle w:val="FootnoteReference"/>
        </w:rPr>
        <w:footnoteReference w:id="49"/>
      </w:r>
    </w:p>
    <w:p w14:paraId="3A84A6D2" w14:textId="4CD31450" w:rsidR="00FE35D0" w:rsidRDefault="00FE35D0" w:rsidP="00FE35D0">
      <w:pPr>
        <w:pStyle w:val="ListBullet"/>
        <w:numPr>
          <w:ilvl w:val="0"/>
          <w:numId w:val="0"/>
        </w:numPr>
        <w:spacing w:after="200"/>
      </w:pPr>
      <w:r>
        <w:t>If the Minister cancels a mining licence relating to declared mine land because of non-compliance with a DMRP, the balance of a rehabilitation bond(s) may be paid into the Declared Mine Fund.</w:t>
      </w:r>
      <w:r>
        <w:rPr>
          <w:rStyle w:val="FootnoteReference"/>
        </w:rPr>
        <w:footnoteReference w:id="50"/>
      </w:r>
      <w:r>
        <w:t xml:space="preserve"> The Minister has discretion as to when the remaining bond money is paid into the Fund: the Minister can either use the bond money for the purposes of rehabilitation under the Act, or transfer it into the Fund for the Authority to use in rehabilitating the land itself.</w:t>
      </w:r>
      <w:r w:rsidR="00B10304">
        <w:t xml:space="preserve"> One outcome a</w:t>
      </w:r>
      <w:r w:rsidR="00DB56B6">
        <w:t xml:space="preserve">fter a licence is cancelled is that the Authority is likely to assume responsibility for management of the land. In such a circumstance, the Minister would </w:t>
      </w:r>
      <w:r w:rsidR="00876EB0">
        <w:t>transfer the bond money into the Fund for the Authority to use.</w:t>
      </w:r>
    </w:p>
    <w:p w14:paraId="0E00A84C" w14:textId="77777777" w:rsidR="00FE35D0" w:rsidRDefault="00FE35D0" w:rsidP="00FE35D0">
      <w:pPr>
        <w:pStyle w:val="ListBullet"/>
        <w:numPr>
          <w:ilvl w:val="0"/>
          <w:numId w:val="0"/>
        </w:numPr>
      </w:pPr>
      <w:r>
        <w:lastRenderedPageBreak/>
        <w:t>The Minister may direct that registered declared mine land be removed from the register if satisfied that the factors which posed a significant risk that existed upon registration are no longer present.</w:t>
      </w:r>
      <w:r>
        <w:rPr>
          <w:rStyle w:val="FootnoteReference"/>
        </w:rPr>
        <w:footnoteReference w:id="51"/>
      </w:r>
      <w:r>
        <w:t xml:space="preserve"> </w:t>
      </w:r>
    </w:p>
    <w:p w14:paraId="4A453590" w14:textId="77777777" w:rsidR="00FE35D0" w:rsidRDefault="00FE35D0" w:rsidP="00FE35D0">
      <w:pPr>
        <w:pStyle w:val="Heading6"/>
      </w:pPr>
      <w:r>
        <w:t>Declared Mine Fund</w:t>
      </w:r>
    </w:p>
    <w:p w14:paraId="49B96B44" w14:textId="7D968F24" w:rsidR="00A84770" w:rsidRDefault="00FE35D0" w:rsidP="00611EA1">
      <w:r>
        <w:t xml:space="preserve">Currently, government and the Victorian community may become liable for the ongoing risks associated with the declared mines, at significant expected cost. </w:t>
      </w:r>
      <w:r w:rsidR="00A84770" w:rsidRPr="00611EA1">
        <w:t xml:space="preserve">The licensees are liable to rehabilitate mine land under the Act. However, should they be unable to do so the Government and the community will bear the risks. The Amendment Act and the </w:t>
      </w:r>
      <w:r w:rsidR="00D36E27" w:rsidRPr="00611EA1">
        <w:t>Declared Mine F</w:t>
      </w:r>
      <w:r w:rsidR="00A84770" w:rsidRPr="00611EA1">
        <w:t xml:space="preserve">und recognise that there will be ongoing risks and liability because rehabilitation of these mines is likely to leave a need for active controls (ongoing monitoring and maintenance) for which there is currently no responsibility. This is </w:t>
      </w:r>
      <w:r w:rsidR="002D7D02">
        <w:t xml:space="preserve">also </w:t>
      </w:r>
      <w:r w:rsidR="00A84770" w:rsidRPr="00611EA1">
        <w:t>the case for all potential declared mines</w:t>
      </w:r>
      <w:r w:rsidR="00611EA1" w:rsidRPr="00611EA1">
        <w:t>. For example</w:t>
      </w:r>
      <w:r w:rsidR="00A421FA" w:rsidRPr="00611EA1">
        <w:t>,</w:t>
      </w:r>
      <w:r w:rsidR="00A84770" w:rsidRPr="00611EA1">
        <w:t xml:space="preserve"> </w:t>
      </w:r>
      <w:r w:rsidR="00F34751">
        <w:t xml:space="preserve">a ‘tailings </w:t>
      </w:r>
      <w:r w:rsidR="003C6CCD">
        <w:t xml:space="preserve">dam’ </w:t>
      </w:r>
      <w:r w:rsidR="00875F25" w:rsidRPr="00875F25">
        <w:t xml:space="preserve">is an earth-filled embankment that can be used to store </w:t>
      </w:r>
      <w:r w:rsidR="00360DBF">
        <w:t xml:space="preserve">the </w:t>
      </w:r>
      <w:r w:rsidR="00875F25" w:rsidRPr="00875F25">
        <w:t xml:space="preserve">toxic </w:t>
      </w:r>
      <w:r w:rsidR="00B40741">
        <w:t xml:space="preserve">minerals </w:t>
      </w:r>
      <w:r w:rsidR="009D43FF">
        <w:t xml:space="preserve">that become </w:t>
      </w:r>
      <w:r w:rsidR="00B40741">
        <w:t xml:space="preserve">exposed during mining </w:t>
      </w:r>
      <w:r w:rsidR="009D43FF">
        <w:t xml:space="preserve">activity </w:t>
      </w:r>
      <w:r w:rsidR="00360DBF">
        <w:t xml:space="preserve">that would otherwise be </w:t>
      </w:r>
      <w:r w:rsidR="003D63B2">
        <w:t xml:space="preserve">introduced </w:t>
      </w:r>
      <w:r w:rsidR="00360DBF">
        <w:t xml:space="preserve">to and contaminate </w:t>
      </w:r>
      <w:r w:rsidR="003D63B2">
        <w:t xml:space="preserve">adjacent </w:t>
      </w:r>
      <w:r w:rsidR="009D43FF">
        <w:t>waterways</w:t>
      </w:r>
      <w:r w:rsidR="007476D1">
        <w:t xml:space="preserve">. These </w:t>
      </w:r>
      <w:r w:rsidR="00A84770" w:rsidRPr="00611EA1">
        <w:t xml:space="preserve">tailing storage facilities are a reason for declaration and require maintenance to ensure that toxic material does not leach out and to avoid </w:t>
      </w:r>
      <w:r w:rsidR="00E942E3">
        <w:t xml:space="preserve">catastrophic </w:t>
      </w:r>
      <w:r w:rsidR="00A84770" w:rsidRPr="00611EA1">
        <w:t xml:space="preserve">failure of the </w:t>
      </w:r>
      <w:r w:rsidR="00E942E3">
        <w:t>facility</w:t>
      </w:r>
      <w:r w:rsidR="00A84770" w:rsidRPr="00611EA1">
        <w:t>.</w:t>
      </w:r>
    </w:p>
    <w:p w14:paraId="07FB4A5A" w14:textId="52F3AFC3" w:rsidR="00FE35D0" w:rsidRDefault="00FE35D0" w:rsidP="00FE35D0">
      <w:r>
        <w:t xml:space="preserve">Under the Act, the Minister may direct declared mine licensees to make a contribution into the Fund as part of their determination that the closure criteria for the mine have been met </w:t>
      </w:r>
      <w:r w:rsidR="004A6F4D">
        <w:t xml:space="preserve">or </w:t>
      </w:r>
      <w:r>
        <w:t>make a direction for the mine land to be registered. The Act requires that all money be paid into the Fund which is:</w:t>
      </w:r>
      <w:r>
        <w:rPr>
          <w:rStyle w:val="FootnoteReference"/>
        </w:rPr>
        <w:footnoteReference w:id="52"/>
      </w:r>
    </w:p>
    <w:p w14:paraId="4E6003DC" w14:textId="77777777" w:rsidR="00FE35D0" w:rsidRDefault="00FE35D0" w:rsidP="00FE35D0">
      <w:pPr>
        <w:pStyle w:val="dotpoints"/>
      </w:pPr>
      <w:r w:rsidRPr="00DA7F73">
        <w:t xml:space="preserve">appropriated by Parliament for the purposes of the Fund; </w:t>
      </w:r>
    </w:p>
    <w:p w14:paraId="5480EC5B" w14:textId="77777777" w:rsidR="00FE35D0" w:rsidRDefault="00FE35D0" w:rsidP="00FE35D0">
      <w:pPr>
        <w:pStyle w:val="dotpoints"/>
      </w:pPr>
      <w:r w:rsidRPr="00DA7F73">
        <w:t>received from</w:t>
      </w:r>
      <w:r w:rsidRPr="0050539E">
        <w:t xml:space="preserve"> investment of money in the</w:t>
      </w:r>
      <w:r>
        <w:t xml:space="preserve"> Fund; and</w:t>
      </w:r>
    </w:p>
    <w:p w14:paraId="70F84C4D" w14:textId="77777777" w:rsidR="00FE35D0" w:rsidRDefault="00FE35D0" w:rsidP="00FE35D0">
      <w:pPr>
        <w:pStyle w:val="dotpoints"/>
      </w:pPr>
      <w:r>
        <w:t>directed or authorised to be paid into the Fund under either the Act or other legislation.</w:t>
      </w:r>
    </w:p>
    <w:p w14:paraId="00941FBC" w14:textId="77777777" w:rsidR="00FE35D0" w:rsidRDefault="00FE35D0" w:rsidP="00FE35D0">
      <w:r>
        <w:t>The Act requires that amounts be paid out of the Fund which are authorised by the Minister to:</w:t>
      </w:r>
      <w:r>
        <w:rPr>
          <w:rStyle w:val="FootnoteReference"/>
        </w:rPr>
        <w:footnoteReference w:id="53"/>
      </w:r>
    </w:p>
    <w:p w14:paraId="4D922937" w14:textId="77777777" w:rsidR="00FE35D0" w:rsidRDefault="00FE35D0" w:rsidP="00FE35D0">
      <w:pPr>
        <w:pStyle w:val="dotpoints"/>
      </w:pPr>
      <w:r>
        <w:t xml:space="preserve">fund the cost of all or any part of the ongoing maintenance and rehabilitation of registered mine land; </w:t>
      </w:r>
    </w:p>
    <w:p w14:paraId="7B440C7A" w14:textId="77777777" w:rsidR="00FE35D0" w:rsidRDefault="00FE35D0" w:rsidP="00FE35D0">
      <w:pPr>
        <w:pStyle w:val="dotpoints"/>
      </w:pPr>
      <w:r>
        <w:t>fund the cost of unforeseen events in relation to declared mine land;</w:t>
      </w:r>
    </w:p>
    <w:p w14:paraId="7C9FA664" w14:textId="77777777" w:rsidR="00FE35D0" w:rsidRDefault="00FE35D0" w:rsidP="00FE35D0">
      <w:pPr>
        <w:pStyle w:val="dotpoints"/>
      </w:pPr>
      <w:r>
        <w:t>pay costs and expenses incurred in administering the Part of the Act relating to the monitoring and maintenance of declared mine land; and</w:t>
      </w:r>
    </w:p>
    <w:p w14:paraId="13BF571F" w14:textId="77777777" w:rsidR="00FE35D0" w:rsidRDefault="00FE35D0" w:rsidP="00FE35D0">
      <w:pPr>
        <w:pStyle w:val="dotpoints"/>
      </w:pPr>
      <w:r>
        <w:t>pay the costs of monitoring and reporting on the financial operations and position of the Fund.</w:t>
      </w:r>
    </w:p>
    <w:p w14:paraId="2E7DFF6D" w14:textId="1935540E" w:rsidR="00FE35D0" w:rsidRPr="00D44A05" w:rsidRDefault="00FE35D0" w:rsidP="00FE35D0">
      <w:bookmarkStart w:id="60" w:name="_Hlk54256962"/>
      <w:r>
        <w:t>The part of the Act relating to the rehabilitation of mine land generally provides that where government is required to expend money in relation to rehabilitation, that money is payable out of the Consolidated Fund.</w:t>
      </w:r>
      <w:r>
        <w:rPr>
          <w:rStyle w:val="FootnoteReference"/>
        </w:rPr>
        <w:footnoteReference w:id="54"/>
      </w:r>
      <w:r>
        <w:t xml:space="preserve"> The Consolidated Fund is the Victorian Government’s primary account, and payments from it are governed by the </w:t>
      </w:r>
      <w:r>
        <w:rPr>
          <w:i/>
          <w:iCs/>
        </w:rPr>
        <w:t>Financial Management Act 1994</w:t>
      </w:r>
      <w:r>
        <w:t xml:space="preserve"> (Vic).</w:t>
      </w:r>
    </w:p>
    <w:p w14:paraId="32BCD729" w14:textId="5FC5703C" w:rsidR="00FE35D0" w:rsidRDefault="00FE35D0" w:rsidP="00D86BBC">
      <w:pPr>
        <w:pStyle w:val="Heading3"/>
        <w:numPr>
          <w:ilvl w:val="2"/>
          <w:numId w:val="123"/>
        </w:numPr>
      </w:pPr>
      <w:bookmarkStart w:id="61" w:name="_Toc104217658"/>
      <w:bookmarkEnd w:id="60"/>
      <w:r>
        <w:t>Rehabilitation requirements in the 2019 Regulations</w:t>
      </w:r>
      <w:bookmarkEnd w:id="61"/>
    </w:p>
    <w:p w14:paraId="1196FC37" w14:textId="338472DA" w:rsidR="00FE35D0" w:rsidRDefault="16E0041A" w:rsidP="00FE35D0">
      <w:r>
        <w:t>The declared mines have work plans like all other mines licensed and regulated under the Act. As noted above, these work plans include rehabilitation components. The 2019 Regulations introduced new requirements for the rehabilitation part of work plans for all mines, including declared mines, although for existing mines these new requirements only apply</w:t>
      </w:r>
      <w:r w:rsidR="7D800E71">
        <w:t xml:space="preserve"> to</w:t>
      </w:r>
      <w:r>
        <w:t xml:space="preserve"> the existing rehabilitation plan</w:t>
      </w:r>
      <w:r w:rsidR="18FE265D">
        <w:t>s</w:t>
      </w:r>
      <w:r>
        <w:t xml:space="preserve"> i</w:t>
      </w:r>
      <w:r w:rsidR="1CEF60E5">
        <w:t>f</w:t>
      </w:r>
      <w:r>
        <w:t xml:space="preserve"> varied after 1 July 2020.</w:t>
      </w:r>
      <w:r w:rsidR="00FE35D0">
        <w:rPr>
          <w:rStyle w:val="FootnoteReference"/>
        </w:rPr>
        <w:footnoteReference w:id="55"/>
      </w:r>
      <w:r>
        <w:t xml:space="preserve">  </w:t>
      </w:r>
    </w:p>
    <w:p w14:paraId="685685EC" w14:textId="77777777" w:rsidR="00FE35D0" w:rsidRDefault="00FE35D0" w:rsidP="00FE35D0">
      <w:r>
        <w:t xml:space="preserve">Prior to the remake of the Regulations in 2019, the information required in work plan approvals or variations were: </w:t>
      </w:r>
    </w:p>
    <w:p w14:paraId="5A5C9490" w14:textId="77777777" w:rsidR="00FE35D0" w:rsidRDefault="00FE35D0" w:rsidP="00FE35D0">
      <w:pPr>
        <w:pStyle w:val="dotpoints"/>
      </w:pPr>
      <w:r w:rsidRPr="00182E47">
        <w:t xml:space="preserve">concepts for end utilisation of </w:t>
      </w:r>
      <w:r>
        <w:t xml:space="preserve">the </w:t>
      </w:r>
      <w:r w:rsidRPr="00182E47">
        <w:t>mine site;</w:t>
      </w:r>
    </w:p>
    <w:p w14:paraId="2CBC2C62" w14:textId="12477ED9" w:rsidR="00FE35D0" w:rsidRDefault="16E0041A" w:rsidP="00FE35D0">
      <w:pPr>
        <w:pStyle w:val="dotpoints"/>
      </w:pPr>
      <w:r>
        <w:t xml:space="preserve">proposals for progressive rehabilitation, stabilisation </w:t>
      </w:r>
      <w:r w:rsidR="1CEF60E5">
        <w:t xml:space="preserve">and </w:t>
      </w:r>
      <w:r>
        <w:t>revegetation;</w:t>
      </w:r>
    </w:p>
    <w:p w14:paraId="49FF7DCC" w14:textId="77777777" w:rsidR="00FE35D0" w:rsidRDefault="00FE35D0" w:rsidP="00FE35D0">
      <w:pPr>
        <w:pStyle w:val="dotpoints"/>
      </w:pPr>
      <w:r w:rsidRPr="00182E47">
        <w:t>proposals to minimise visual impact; and</w:t>
      </w:r>
    </w:p>
    <w:p w14:paraId="6989DEE9" w14:textId="77777777" w:rsidR="00FE35D0" w:rsidRPr="006E7362" w:rsidRDefault="16E0041A" w:rsidP="00FE35D0">
      <w:pPr>
        <w:pStyle w:val="dotpoints"/>
      </w:pPr>
      <w:r w:rsidRPr="00182E47">
        <w:t>proposals for final rehabilitation and closure of site.</w:t>
      </w:r>
      <w:r w:rsidR="00FE35D0" w:rsidRPr="006E7362">
        <w:rPr>
          <w:vertAlign w:val="superscript"/>
        </w:rPr>
        <w:footnoteReference w:id="56"/>
      </w:r>
    </w:p>
    <w:p w14:paraId="69398EBF" w14:textId="77777777" w:rsidR="00FE35D0" w:rsidRDefault="00FE35D0" w:rsidP="00FE35D0">
      <w:r>
        <w:lastRenderedPageBreak/>
        <w:t xml:space="preserve">The 2019 Regulations introduced new rehabilitation requirements. As these requirements involved a substantial change in what was expected, they were set to commence on 1 July 2020 to give time for guidelines to be developed. </w:t>
      </w:r>
    </w:p>
    <w:p w14:paraId="60262A20" w14:textId="77777777" w:rsidR="00FE35D0" w:rsidRDefault="00FE35D0" w:rsidP="00FE35D0">
      <w:pPr>
        <w:spacing w:before="0"/>
      </w:pPr>
      <w:r>
        <w:t>Under the 2019 Regulations, all work plans lodged on or after 1 July 2020 must include:</w:t>
      </w:r>
    </w:p>
    <w:p w14:paraId="332AE751" w14:textId="77777777" w:rsidR="00FE35D0" w:rsidRPr="00D44D55" w:rsidRDefault="00FE35D0" w:rsidP="00FE35D0">
      <w:pPr>
        <w:pStyle w:val="dotpoints"/>
      </w:pPr>
      <w:r w:rsidRPr="00182E47">
        <w:t>details of the proposed rehabilitation including proposed land uses;</w:t>
      </w:r>
    </w:p>
    <w:p w14:paraId="0FF8D22A" w14:textId="77777777" w:rsidR="00FE35D0" w:rsidRPr="00D44D55" w:rsidRDefault="00FE35D0" w:rsidP="00FE35D0">
      <w:pPr>
        <w:pStyle w:val="dotpoints"/>
      </w:pPr>
      <w:r w:rsidRPr="00182E47">
        <w:t>a land form to achieve complete rehabilitation (must be safe, stable and sustainable and capable of supporting the proposed land uses);</w:t>
      </w:r>
    </w:p>
    <w:p w14:paraId="57A35086" w14:textId="77777777" w:rsidR="00FE35D0" w:rsidRPr="00D44D55" w:rsidRDefault="00FE35D0" w:rsidP="00FE35D0">
      <w:pPr>
        <w:pStyle w:val="dotpoints"/>
      </w:pPr>
      <w:r w:rsidRPr="00182E47">
        <w:t xml:space="preserve">objectives setting out rehabilitation domains; </w:t>
      </w:r>
    </w:p>
    <w:p w14:paraId="2F551885" w14:textId="77777777" w:rsidR="00FE35D0" w:rsidRPr="00D44D55" w:rsidRDefault="00FE35D0" w:rsidP="00FE35D0">
      <w:pPr>
        <w:pStyle w:val="dotpoints"/>
      </w:pPr>
      <w:r w:rsidRPr="00182E47">
        <w:t>criteria for measuring objectives;</w:t>
      </w:r>
    </w:p>
    <w:p w14:paraId="6E9A791C" w14:textId="77777777" w:rsidR="00FE35D0" w:rsidRPr="00D44D55" w:rsidRDefault="00FE35D0" w:rsidP="00FE35D0">
      <w:pPr>
        <w:pStyle w:val="dotpoints"/>
      </w:pPr>
      <w:r w:rsidRPr="00182E47">
        <w:t>description and schedule of rehabilitation milestones;</w:t>
      </w:r>
      <w:r>
        <w:t xml:space="preserve"> and</w:t>
      </w:r>
    </w:p>
    <w:p w14:paraId="37251C5C" w14:textId="77777777" w:rsidR="00FE35D0" w:rsidRDefault="16E0041A" w:rsidP="00FE35D0">
      <w:pPr>
        <w:pStyle w:val="dotpoints"/>
      </w:pPr>
      <w:r w:rsidRPr="00182E47">
        <w:t>identification of risks.</w:t>
      </w:r>
      <w:r w:rsidR="00FE35D0" w:rsidRPr="44AE50F4">
        <w:rPr>
          <w:rFonts w:asciiTheme="majorHAnsi" w:hAnsiTheme="majorHAnsi" w:cstheme="majorBidi"/>
          <w:vertAlign w:val="superscript"/>
        </w:rPr>
        <w:footnoteReference w:id="57"/>
      </w:r>
    </w:p>
    <w:p w14:paraId="25BDD28F" w14:textId="7FE2099A" w:rsidR="00FE35D0" w:rsidRDefault="757E7913" w:rsidP="0FC14199">
      <w:pPr>
        <w:spacing w:after="60"/>
        <w:rPr>
          <w:rFonts w:asciiTheme="minorHAnsi" w:hAnsiTheme="minorHAnsi" w:cstheme="minorBidi"/>
        </w:rPr>
      </w:pPr>
      <w:r w:rsidRPr="0FC14199">
        <w:rPr>
          <w:rFonts w:asciiTheme="minorHAnsi" w:hAnsiTheme="minorHAnsi" w:cstheme="minorBidi"/>
        </w:rPr>
        <w:t>If a licensee holding an approved work plan (whether lodged pre or post</w:t>
      </w:r>
      <w:r w:rsidR="0001505F">
        <w:rPr>
          <w:rFonts w:asciiTheme="minorHAnsi" w:hAnsiTheme="minorHAnsi" w:cstheme="minorBidi"/>
        </w:rPr>
        <w:t xml:space="preserve"> </w:t>
      </w:r>
      <w:r w:rsidRPr="0FC14199">
        <w:rPr>
          <w:rFonts w:asciiTheme="minorHAnsi" w:hAnsiTheme="minorHAnsi" w:cstheme="minorBidi"/>
        </w:rPr>
        <w:t>July 2020) wishes to apply to vary the work plan, the application must include the information listed above for new plans lodged after 1 July 2020.</w:t>
      </w:r>
      <w:r w:rsidR="00FE35D0">
        <w:rPr>
          <w:rStyle w:val="FootnoteReference"/>
        </w:rPr>
        <w:footnoteReference w:id="58"/>
      </w:r>
    </w:p>
    <w:p w14:paraId="7E438951" w14:textId="048CCDBB" w:rsidR="00FE35D0" w:rsidRDefault="16E0041A" w:rsidP="00FE35D0">
      <w:pPr>
        <w:spacing w:before="0"/>
      </w:pPr>
      <w:r>
        <w:t xml:space="preserve">The new information requirements only apply to new work plans lodged from </w:t>
      </w:r>
      <w:r w:rsidR="00FE35D0" w:rsidDel="16E0041A">
        <w:t>1 July 2020</w:t>
      </w:r>
      <w:r>
        <w:t xml:space="preserve"> and will apply for existing lodged work plans if a plan variation is submitted after 1 July 2020.</w:t>
      </w:r>
      <w:r w:rsidR="00FE35D0">
        <w:rPr>
          <w:rStyle w:val="FootnoteReference"/>
        </w:rPr>
        <w:footnoteReference w:id="59"/>
      </w:r>
      <w:r>
        <w:t xml:space="preserve"> There is an exception: if the Department Head determines that the work set out in a licensee’s work plan ‘may pose an unacceptable risk to the environment, to any member of the public, or to land, property or infrastructure in the vicinity of that work’, they may direct the work plan be varied so that it meets the new information requirements.</w:t>
      </w:r>
      <w:r w:rsidR="00FE35D0">
        <w:rPr>
          <w:rStyle w:val="FootnoteReference"/>
        </w:rPr>
        <w:footnoteReference w:id="60"/>
      </w:r>
      <w:r>
        <w:t xml:space="preserve"> ERR is not able to set a time by which the variation must be submitted. </w:t>
      </w:r>
    </w:p>
    <w:p w14:paraId="4BEF4BD4" w14:textId="77777777" w:rsidR="00FB6488" w:rsidRDefault="00FE35D0" w:rsidP="00FB6488">
      <w:r>
        <w:t xml:space="preserve">Mine operators can apply for approval of a variation to their work plan at any time. </w:t>
      </w:r>
    </w:p>
    <w:p w14:paraId="5BEBAB5F" w14:textId="51447FFF" w:rsidR="00422A20" w:rsidRPr="006E7788" w:rsidRDefault="00422A20" w:rsidP="00D86BBC">
      <w:pPr>
        <w:pStyle w:val="Heading2"/>
        <w:numPr>
          <w:ilvl w:val="1"/>
          <w:numId w:val="123"/>
        </w:numPr>
      </w:pPr>
      <w:bookmarkStart w:id="62" w:name="_Toc104217659"/>
      <w:r w:rsidRPr="006E7788">
        <w:t>Declared mines</w:t>
      </w:r>
      <w:bookmarkEnd w:id="62"/>
    </w:p>
    <w:p w14:paraId="665E374C" w14:textId="40FD3782" w:rsidR="00C470CA" w:rsidRDefault="00D307BC" w:rsidP="00FB3D09">
      <w:pPr>
        <w:rPr>
          <w:rStyle w:val="FootnoteReference"/>
        </w:rPr>
      </w:pPr>
      <w:r>
        <w:t>The power to declare mines</w:t>
      </w:r>
      <w:r w:rsidR="0098617F">
        <w:t xml:space="preserve"> was established in </w:t>
      </w:r>
      <w:r w:rsidR="00707D02">
        <w:t>2009</w:t>
      </w:r>
      <w:r w:rsidR="0098617F">
        <w:t>, in response to the recommendations of an inquiry into a collapse in the walls of the Yallourn brown coal mine</w:t>
      </w:r>
      <w:r>
        <w:t xml:space="preserve"> in 2007</w:t>
      </w:r>
      <w:r w:rsidR="0098617F">
        <w:t>.</w:t>
      </w:r>
      <w:r w:rsidR="00707D02">
        <w:rPr>
          <w:rStyle w:val="FootnoteReference"/>
        </w:rPr>
        <w:footnoteReference w:id="61"/>
      </w:r>
      <w:r w:rsidR="0098617F">
        <w:t xml:space="preserve"> </w:t>
      </w:r>
      <w:r w:rsidR="00C470CA">
        <w:t>The three Latrobe Valley mines were declared in 2010.</w:t>
      </w:r>
    </w:p>
    <w:p w14:paraId="63F015A6" w14:textId="7082BEDB" w:rsidR="00D026E9" w:rsidRDefault="006074E2" w:rsidP="00FB3D09">
      <w:r>
        <w:t>The power was originally limited to scenarios in which there were geotechnical or hydrogeological factors within mines (or quarries) that posed significant risks</w:t>
      </w:r>
      <w:r w:rsidR="00717D1C">
        <w:t xml:space="preserve"> to public safety, </w:t>
      </w:r>
      <w:r w:rsidR="00CA478E">
        <w:t xml:space="preserve">the environment, or </w:t>
      </w:r>
      <w:r w:rsidR="00717D1C">
        <w:t>infrastructure or the environment</w:t>
      </w:r>
      <w:r>
        <w:t>. The Amendment Act expanded the list of triggering factors to include ‘water quality or hydrological’ as well.</w:t>
      </w:r>
    </w:p>
    <w:p w14:paraId="16DDB459" w14:textId="77777777" w:rsidR="00ED2C70" w:rsidRDefault="00ED2C70" w:rsidP="00D86BBC">
      <w:pPr>
        <w:pStyle w:val="Heading3"/>
        <w:numPr>
          <w:ilvl w:val="2"/>
          <w:numId w:val="123"/>
        </w:numPr>
      </w:pPr>
      <w:bookmarkStart w:id="63" w:name="_Ref101708273"/>
      <w:bookmarkStart w:id="64" w:name="_Toc104217660"/>
      <w:bookmarkStart w:id="65" w:name="_Ref54109878"/>
      <w:r>
        <w:t>Mines currently declared</w:t>
      </w:r>
      <w:bookmarkEnd w:id="63"/>
      <w:bookmarkEnd w:id="64"/>
    </w:p>
    <w:p w14:paraId="51ED97AF" w14:textId="5772F8B3" w:rsidR="00ED2C70" w:rsidRDefault="07F8EBD9" w:rsidP="00ED2C70">
      <w:r>
        <w:t xml:space="preserve">As </w:t>
      </w:r>
      <w:r w:rsidR="2F7EA258">
        <w:t>of</w:t>
      </w:r>
      <w:r>
        <w:t xml:space="preserve"> </w:t>
      </w:r>
      <w:r w:rsidR="19D3DDCC">
        <w:t xml:space="preserve">April </w:t>
      </w:r>
      <w:r>
        <w:t>202</w:t>
      </w:r>
      <w:r w:rsidR="19D3DDCC">
        <w:t>2</w:t>
      </w:r>
      <w:r>
        <w:t>, the only mines that have been declared are the three Latrobe Valley brown coal mines. Any mine with a current mining licence can be declared if the Minister is satisfied that the requirements in the Act are met</w:t>
      </w:r>
      <w:r w:rsidR="76E89095">
        <w:t>,</w:t>
      </w:r>
      <w:r>
        <w:t xml:space="preserve"> that is, it has geotechnical, hydrogeological, hydrological or water quality factors that pose a significant risk to public safety, the environment or infrastructure. The Minister for Resources may decide to declare other mines in future. </w:t>
      </w:r>
    </w:p>
    <w:p w14:paraId="34773461" w14:textId="4DB3D609" w:rsidR="00ED2C70" w:rsidRDefault="07F8EBD9" w:rsidP="00ED2C70">
      <w:r>
        <w:t>The three opencut brown coal mines in the Latrobe Valley have been at the centre of Victoria’s coal mining and power generation activities since the beginning of the 20</w:t>
      </w:r>
      <w:r w:rsidRPr="00C96580">
        <w:rPr>
          <w:vertAlign w:val="superscript"/>
        </w:rPr>
        <w:t>th</w:t>
      </w:r>
      <w:r>
        <w:t xml:space="preserve"> century.</w:t>
      </w:r>
      <w:r w:rsidR="00ED2C70">
        <w:rPr>
          <w:rStyle w:val="FootnoteReference"/>
        </w:rPr>
        <w:footnoteReference w:id="62"/>
      </w:r>
      <w:r>
        <w:t xml:space="preserve"> The Yallourn power station was constructed in 1924, Hazelwood was opened in 1971 and Loy Yang A in 1988. Following decades of state ownership, the mines – and the associated power stations – were privatised in the mid-1990s.</w:t>
      </w:r>
      <w:r w:rsidRPr="00341DA4">
        <w:t xml:space="preserve"> </w:t>
      </w:r>
      <w:r>
        <w:t xml:space="preserve">The Hazelwood power station and open cut mine were privatised in </w:t>
      </w:r>
      <w:r w:rsidR="003006CE">
        <w:t>1996 and</w:t>
      </w:r>
      <w:r>
        <w:t xml:space="preserve"> </w:t>
      </w:r>
      <w:r w:rsidR="6BDD7AF0">
        <w:t xml:space="preserve">were </w:t>
      </w:r>
      <w:r>
        <w:t>owned and operated by GD Suez (now known as ENGIE</w:t>
      </w:r>
      <w:r w:rsidR="2F7EA258">
        <w:t>)</w:t>
      </w:r>
      <w:r>
        <w:t xml:space="preserve"> from that point until the power station was decommissioned in 2017. Hazelwood is the first of the Latrobe Valley power stations to be decommissioned. Yallourn station and mine were also privatised in 1996 and are currently owned </w:t>
      </w:r>
      <w:r>
        <w:lastRenderedPageBreak/>
        <w:t xml:space="preserve">by </w:t>
      </w:r>
      <w:r w:rsidR="66A67078">
        <w:t>EnergyAustralia</w:t>
      </w:r>
      <w:r>
        <w:t xml:space="preserve">. Loy Yang was privatised in 1995 and is currently owned by </w:t>
      </w:r>
      <w:r w:rsidR="66A67078">
        <w:t>AGL (</w:t>
      </w:r>
      <w:r w:rsidR="63F794D3">
        <w:t xml:space="preserve">Loy Yang mine and </w:t>
      </w:r>
      <w:r w:rsidR="66A67078">
        <w:t>Loy Yang A</w:t>
      </w:r>
      <w:r w:rsidR="63F794D3">
        <w:t xml:space="preserve"> power station</w:t>
      </w:r>
      <w:r w:rsidR="66A67078">
        <w:t xml:space="preserve">) and </w:t>
      </w:r>
      <w:r>
        <w:t>Alinta</w:t>
      </w:r>
      <w:r w:rsidR="66A67078">
        <w:t xml:space="preserve"> (Loy Yang B</w:t>
      </w:r>
      <w:r w:rsidR="63F794D3">
        <w:t xml:space="preserve"> power station</w:t>
      </w:r>
      <w:r w:rsidR="66A67078">
        <w:t>)</w:t>
      </w:r>
      <w:r>
        <w:t>.</w:t>
      </w:r>
    </w:p>
    <w:p w14:paraId="5C213FCF" w14:textId="77777777" w:rsidR="00ED2C70" w:rsidRDefault="00ED2C70" w:rsidP="00ED2C70">
      <w:r>
        <w:t>The three mines (and the associated power stations) are at different stages in their lifecycle:</w:t>
      </w:r>
    </w:p>
    <w:p w14:paraId="0299C87C" w14:textId="07134619" w:rsidR="00ED2C70" w:rsidRDefault="00ED2C70" w:rsidP="00ED2C70">
      <w:pPr>
        <w:pStyle w:val="ListBullet"/>
        <w:ind w:left="357" w:hanging="357"/>
      </w:pPr>
      <w:r>
        <w:t xml:space="preserve">Hazelwood power station has been decommissioned and </w:t>
      </w:r>
      <w:r w:rsidR="006A7E34">
        <w:t>ENGIE</w:t>
      </w:r>
      <w:r w:rsidR="00274EC3">
        <w:t xml:space="preserve"> are</w:t>
      </w:r>
      <w:r w:rsidR="002F02B4">
        <w:t xml:space="preserve"> </w:t>
      </w:r>
      <w:r w:rsidR="00503D74">
        <w:t>working toward</w:t>
      </w:r>
      <w:r w:rsidR="0032554C">
        <w:t>s</w:t>
      </w:r>
      <w:r w:rsidR="00830ED2">
        <w:t xml:space="preserve"> closure and </w:t>
      </w:r>
      <w:r w:rsidR="002F62A1">
        <w:t>relinquishment</w:t>
      </w:r>
      <w:r w:rsidR="0048129D">
        <w:t xml:space="preserve"> of </w:t>
      </w:r>
      <w:r>
        <w:t>the mine site</w:t>
      </w:r>
      <w:r w:rsidR="002F62A1">
        <w:t>.</w:t>
      </w:r>
    </w:p>
    <w:p w14:paraId="60AD002E" w14:textId="70254FAC" w:rsidR="00ED2C70" w:rsidRDefault="00ED2C70" w:rsidP="00ED2C70">
      <w:pPr>
        <w:pStyle w:val="ListBullet"/>
        <w:ind w:left="357" w:hanging="357"/>
      </w:pPr>
      <w:r>
        <w:t xml:space="preserve">Yallourn is scheduled </w:t>
      </w:r>
      <w:r w:rsidR="00C73D9F">
        <w:t xml:space="preserve">to </w:t>
      </w:r>
      <w:r w:rsidR="00FE0D81">
        <w:t>cease mining activity</w:t>
      </w:r>
      <w:r>
        <w:t xml:space="preserve"> </w:t>
      </w:r>
      <w:r w:rsidR="00AC1F7B">
        <w:t>in 2028</w:t>
      </w:r>
      <w:r>
        <w:t>.</w:t>
      </w:r>
    </w:p>
    <w:p w14:paraId="67ECDB53" w14:textId="13C4566D" w:rsidR="00ED2C70" w:rsidRPr="00CF55B5" w:rsidRDefault="00ED2C70" w:rsidP="00ED2C70">
      <w:pPr>
        <w:pStyle w:val="ListBullet"/>
        <w:ind w:left="357" w:hanging="357"/>
      </w:pPr>
      <w:r>
        <w:t xml:space="preserve">Loy Yang is scheduled </w:t>
      </w:r>
      <w:r w:rsidR="246FA6D0">
        <w:t>to finish mining operations</w:t>
      </w:r>
      <w:r>
        <w:t xml:space="preserve"> in 2048</w:t>
      </w:r>
      <w:r w:rsidR="00144718">
        <w:t>,</w:t>
      </w:r>
      <w:r w:rsidR="00B90FA2">
        <w:t xml:space="preserve"> though AGL </w:t>
      </w:r>
      <w:r w:rsidR="00A22C6C">
        <w:t xml:space="preserve">recently </w:t>
      </w:r>
      <w:r w:rsidR="00F014BE">
        <w:t>announced</w:t>
      </w:r>
      <w:r w:rsidR="00B90FA2">
        <w:t xml:space="preserve"> that </w:t>
      </w:r>
      <w:r w:rsidR="00B43A26">
        <w:t xml:space="preserve">this may </w:t>
      </w:r>
      <w:r w:rsidR="00B90FA2">
        <w:t>be brought forward to 2040-2045.</w:t>
      </w:r>
      <w:r>
        <w:t xml:space="preserve"> </w:t>
      </w:r>
      <w:r w:rsidR="00E072A0" w:rsidRPr="00E072A0">
        <w:t xml:space="preserve">Alinta Energy </w:t>
      </w:r>
      <w:r w:rsidR="002D7F1E">
        <w:t>acknowledged</w:t>
      </w:r>
      <w:r w:rsidR="002D7F1E" w:rsidRPr="00E072A0">
        <w:t xml:space="preserve"> </w:t>
      </w:r>
      <w:r w:rsidR="00E072A0" w:rsidRPr="00E072A0">
        <w:t xml:space="preserve">the Loy Yang B power generator may shutdown </w:t>
      </w:r>
      <w:r w:rsidR="3B45482F">
        <w:t>not long</w:t>
      </w:r>
      <w:r w:rsidR="00E072A0" w:rsidRPr="00E072A0">
        <w:t xml:space="preserve"> after 2030</w:t>
      </w:r>
      <w:r w:rsidR="00FB2491">
        <w:t>.</w:t>
      </w:r>
      <w:r w:rsidR="00FB2491">
        <w:rPr>
          <w:rStyle w:val="FootnoteReference"/>
        </w:rPr>
        <w:footnoteReference w:id="63"/>
      </w:r>
    </w:p>
    <w:p w14:paraId="5E08CF8F" w14:textId="7901ABC6" w:rsidR="00ED2C70" w:rsidRPr="00CF55B5" w:rsidRDefault="00ED2C70" w:rsidP="00267AFC">
      <w:r>
        <w:t xml:space="preserve">The Latrobe Valley brown coal mines are some of the largest in the world, and the voids’ size and proximity to nearby townships, infrastructure and waterways carry significant consequences for their safety and stability. </w:t>
      </w:r>
      <w:r w:rsidRPr="00CF55B5">
        <w:t xml:space="preserve">The Latrobe Valley coal mines are markedly different from other mines in the </w:t>
      </w:r>
      <w:r>
        <w:t>S</w:t>
      </w:r>
      <w:r w:rsidRPr="00CF55B5">
        <w:t>tate, for several reasons:</w:t>
      </w:r>
    </w:p>
    <w:p w14:paraId="130F88BA" w14:textId="77777777" w:rsidR="00ED2C70" w:rsidRPr="00CF55B5" w:rsidRDefault="00ED2C70" w:rsidP="00ED2C70">
      <w:pPr>
        <w:pStyle w:val="ListBullet"/>
        <w:ind w:left="357" w:hanging="357"/>
      </w:pPr>
      <w:r w:rsidRPr="00CF55B5">
        <w:t xml:space="preserve">The mines are exceptionally large – the Latrobe Valley coal mine licences cover roughly </w:t>
      </w:r>
      <w:r w:rsidRPr="00F21AD3">
        <w:t>13,000 hectares</w:t>
      </w:r>
      <w:r w:rsidRPr="00CF55B5">
        <w:t xml:space="preserve"> and are among the biggest </w:t>
      </w:r>
      <w:r>
        <w:t>mines in the world.</w:t>
      </w:r>
    </w:p>
    <w:p w14:paraId="55FD1100" w14:textId="53CC5B63" w:rsidR="00ED2C70" w:rsidRPr="00CF55B5" w:rsidRDefault="00ED2C70" w:rsidP="00ED2C70">
      <w:pPr>
        <w:pStyle w:val="ListBullet"/>
        <w:ind w:left="357" w:hanging="357"/>
      </w:pPr>
      <w:r w:rsidRPr="00CF55B5">
        <w:t xml:space="preserve">The mines cannot be rehabilitated using </w:t>
      </w:r>
      <w:r>
        <w:t xml:space="preserve">mining </w:t>
      </w:r>
      <w:r w:rsidRPr="00CF55B5">
        <w:t>waste</w:t>
      </w:r>
      <w:r>
        <w:t xml:space="preserve"> </w:t>
      </w:r>
      <w:r w:rsidRPr="00CF55B5">
        <w:t xml:space="preserve">– </w:t>
      </w:r>
      <w:r w:rsidR="00514093">
        <w:t>relative to the</w:t>
      </w:r>
      <w:r w:rsidR="0049633B">
        <w:t xml:space="preserve"> volumes of coal, the Latrobe Valley mines excavate o</w:t>
      </w:r>
      <w:r w:rsidR="00C66877">
        <w:t>n</w:t>
      </w:r>
      <w:r w:rsidR="0049633B">
        <w:t>ly minor amounts of excess material</w:t>
      </w:r>
      <w:r w:rsidR="00073F50">
        <w:t xml:space="preserve"> including</w:t>
      </w:r>
      <w:r w:rsidR="00C66877">
        <w:t xml:space="preserve"> sand</w:t>
      </w:r>
      <w:r w:rsidR="006F22E6">
        <w:t xml:space="preserve">, </w:t>
      </w:r>
      <w:r w:rsidR="00307071">
        <w:t>clay,</w:t>
      </w:r>
      <w:r w:rsidR="00C66877">
        <w:t xml:space="preserve"> and silt</w:t>
      </w:r>
      <w:r w:rsidR="007B6C14">
        <w:t xml:space="preserve"> as the</w:t>
      </w:r>
      <w:r w:rsidR="00644FE7">
        <w:t>se</w:t>
      </w:r>
      <w:r w:rsidR="007B6C14">
        <w:t xml:space="preserve"> deposits are highly </w:t>
      </w:r>
      <w:r w:rsidR="001130B1">
        <w:t>concentrated</w:t>
      </w:r>
      <w:r w:rsidR="00C66877">
        <w:t>.</w:t>
      </w:r>
      <w:r w:rsidRPr="00CF55B5">
        <w:t xml:space="preserve"> As a result, these mines have created large voids</w:t>
      </w:r>
      <w:r w:rsidR="00EF1C26" w:rsidRPr="00EF1C26">
        <w:t xml:space="preserve"> </w:t>
      </w:r>
      <w:r w:rsidR="00EF1C26" w:rsidRPr="00CF55B5">
        <w:t xml:space="preserve">over </w:t>
      </w:r>
      <w:r w:rsidR="00EF1C26">
        <w:t>their operating lives</w:t>
      </w:r>
      <w:r>
        <w:t>.</w:t>
      </w:r>
    </w:p>
    <w:p w14:paraId="68820723" w14:textId="5D80EC9E" w:rsidR="00ED2C70" w:rsidRPr="00CF55B5" w:rsidRDefault="00ED2C70" w:rsidP="00ED2C70">
      <w:pPr>
        <w:pStyle w:val="ListBullet"/>
        <w:ind w:left="357" w:hanging="357"/>
      </w:pPr>
      <w:r w:rsidRPr="00CF55B5">
        <w:t xml:space="preserve">The mines need to be constantly maintained to prevent harms to human life, the environment or infrastructure, as the coal mine </w:t>
      </w:r>
      <w:r w:rsidR="00285729">
        <w:t>walls and floo</w:t>
      </w:r>
      <w:r w:rsidR="0006293B">
        <w:t>r</w:t>
      </w:r>
      <w:r w:rsidRPr="00CF55B5">
        <w:t xml:space="preserve"> are inherently unstable</w:t>
      </w:r>
      <w:r>
        <w:t xml:space="preserve"> and fire prone</w:t>
      </w:r>
      <w:r w:rsidR="00EF1C26">
        <w:t>.</w:t>
      </w:r>
      <w:r w:rsidDel="00EF1C26">
        <w:t xml:space="preserve"> </w:t>
      </w:r>
      <w:r w:rsidR="00EF1C26">
        <w:t xml:space="preserve">Ground </w:t>
      </w:r>
      <w:r>
        <w:t xml:space="preserve">instability could harm workers in the mine and/or damage nearby infrastructure and communities, and </w:t>
      </w:r>
      <w:r w:rsidR="00DB75DB">
        <w:t>fire is a constant risk. S</w:t>
      </w:r>
      <w:r>
        <w:t xml:space="preserve">moke from the fire at Hazelwood caused long-term harm to both workers and people in the surrounding community. </w:t>
      </w:r>
    </w:p>
    <w:p w14:paraId="525C6929" w14:textId="1F4669DE" w:rsidR="00ED2C70" w:rsidRDefault="00ED2C70" w:rsidP="00ED2C70">
      <w:r>
        <w:t xml:space="preserve">These mines are extremely large, deep incisions into unstable ground, intersected by significant volumes of groundwater, and the coal itself is capable of self-combustion. This combination of features makes the mines prone to hazardous events, and, as noted throughout </w:t>
      </w:r>
      <w:r w:rsidR="00DA2092">
        <w:t>the following section,</w:t>
      </w:r>
      <w:r>
        <w:t xml:space="preserve"> several major incidents over the history of the mines have damaged nearby infrastructure and endangered community safety in the region. </w:t>
      </w:r>
    </w:p>
    <w:p w14:paraId="6848FB90" w14:textId="3AFD3445" w:rsidR="00257144" w:rsidRDefault="00257144" w:rsidP="00D86BBC">
      <w:pPr>
        <w:pStyle w:val="Heading3"/>
        <w:numPr>
          <w:ilvl w:val="2"/>
          <w:numId w:val="123"/>
        </w:numPr>
      </w:pPr>
      <w:bookmarkStart w:id="67" w:name="_Ref57622787"/>
      <w:bookmarkStart w:id="68" w:name="_Toc104217661"/>
      <w:r>
        <w:t>Physical risks associated with declared mines</w:t>
      </w:r>
      <w:bookmarkEnd w:id="65"/>
      <w:bookmarkEnd w:id="67"/>
      <w:bookmarkEnd w:id="68"/>
    </w:p>
    <w:p w14:paraId="52E7AB2A" w14:textId="5D2C25B0" w:rsidR="00257144" w:rsidRDefault="00257144" w:rsidP="00257144">
      <w:r>
        <w:t>The following section discusses the types of major physical risks associated with the current declared mines</w:t>
      </w:r>
      <w:r w:rsidR="00DB75DB">
        <w:t>.</w:t>
      </w:r>
      <w:r>
        <w:t xml:space="preserve"> </w:t>
      </w:r>
      <w:r w:rsidR="4AA03244">
        <w:t>T</w:t>
      </w:r>
      <w:r w:rsidR="2637351E">
        <w:t>he</w:t>
      </w:r>
      <w:r>
        <w:t xml:space="preserve"> presence of these risks is a factor for consideration in the potential declaration of future mines. </w:t>
      </w:r>
    </w:p>
    <w:p w14:paraId="1C9E3AA9" w14:textId="77777777" w:rsidR="00257144" w:rsidRDefault="00257144" w:rsidP="003F70FF">
      <w:pPr>
        <w:pStyle w:val="Heading6"/>
      </w:pPr>
      <w:r>
        <w:t>Land instability</w:t>
      </w:r>
    </w:p>
    <w:p w14:paraId="7D3D150C" w14:textId="61D9A7F9" w:rsidR="00257144" w:rsidRDefault="12191EEC" w:rsidP="00257144">
      <w:r>
        <w:t xml:space="preserve">Ground movement associated with mining occurs when stresses within the earth are redistributed during or </w:t>
      </w:r>
      <w:r w:rsidR="0E33F82F">
        <w:t>because</w:t>
      </w:r>
      <w:r>
        <w:t xml:space="preserve"> of mining works. Incidents and consequences of land instability can be confined to the mine site or can extend beyond its perimeters. </w:t>
      </w:r>
    </w:p>
    <w:p w14:paraId="2B5D5B48" w14:textId="1E06033F" w:rsidR="00257144" w:rsidRDefault="009E05AA" w:rsidP="00257144">
      <w:r w:rsidRPr="009E05AA">
        <w:t xml:space="preserve">The Latrobe Valley mines involve large-scale excavation of coal, a material that is friable and mechanically weak, leading </w:t>
      </w:r>
      <w:r w:rsidR="53CAF00C">
        <w:t xml:space="preserve">to the </w:t>
      </w:r>
      <w:r w:rsidR="009C1D2C">
        <w:t>potential</w:t>
      </w:r>
      <w:r w:rsidR="00D50CD6">
        <w:t xml:space="preserve"> </w:t>
      </w:r>
      <w:r w:rsidR="009C1D2C">
        <w:t>for</w:t>
      </w:r>
      <w:r w:rsidR="53CAF00C">
        <w:t xml:space="preserve"> </w:t>
      </w:r>
      <w:r w:rsidR="4BC0437B">
        <w:t xml:space="preserve">ground movements </w:t>
      </w:r>
      <w:r w:rsidR="53CAF00C">
        <w:t>in the surrounding land that spread a considerable distance from the mine perimeters.</w:t>
      </w:r>
      <w:r w:rsidR="00257144">
        <w:rPr>
          <w:rStyle w:val="FootnoteReference"/>
        </w:rPr>
        <w:footnoteReference w:id="64"/>
      </w:r>
      <w:r w:rsidR="53CAF00C">
        <w:t xml:space="preserve"> </w:t>
      </w:r>
      <w:r w:rsidR="560D254C">
        <w:t>Ground movements occur due to the nature of the rocks</w:t>
      </w:r>
      <w:r w:rsidR="00276FB8">
        <w:t xml:space="preserve">/geology </w:t>
      </w:r>
      <w:r w:rsidR="00F66D5D">
        <w:t xml:space="preserve">within </w:t>
      </w:r>
      <w:r w:rsidR="560D254C">
        <w:t>the Latrobe Valley, the significant volumes of coal and sediments extracted through mining</w:t>
      </w:r>
      <w:r w:rsidR="008A237D">
        <w:t>,</w:t>
      </w:r>
      <w:r w:rsidR="560D254C">
        <w:t xml:space="preserve"> the nature of the surface and subsurface water bodies and the hydraulic pressures that they exert on the rock</w:t>
      </w:r>
      <w:r w:rsidR="560D254C" w:rsidRPr="003A202C">
        <w:t>s.</w:t>
      </w:r>
      <w:r w:rsidR="53CAF00C">
        <w:t xml:space="preserve"> The following types of ground movement have been identified as being of significance to the rehabilitation of the current declared mines:</w:t>
      </w:r>
      <w:r w:rsidR="00257144">
        <w:rPr>
          <w:rStyle w:val="FootnoteReference"/>
        </w:rPr>
        <w:footnoteReference w:id="65"/>
      </w:r>
    </w:p>
    <w:p w14:paraId="37839E9E" w14:textId="264C4D1A" w:rsidR="00257144" w:rsidRDefault="00257144" w:rsidP="00257144">
      <w:pPr>
        <w:pStyle w:val="ListBullet"/>
      </w:pPr>
      <w:r>
        <w:t>Block sliding</w:t>
      </w:r>
    </w:p>
    <w:p w14:paraId="4F68D57C" w14:textId="555FF241" w:rsidR="00257144" w:rsidRDefault="00257144" w:rsidP="00257144">
      <w:pPr>
        <w:pStyle w:val="ListBullet"/>
      </w:pPr>
      <w:r>
        <w:t>Sinkhole formation</w:t>
      </w:r>
    </w:p>
    <w:p w14:paraId="03D2D7D5" w14:textId="1603715F" w:rsidR="00257144" w:rsidRDefault="00257144" w:rsidP="00257144">
      <w:pPr>
        <w:pStyle w:val="ListBullet"/>
      </w:pPr>
      <w:r>
        <w:t>Floor heave</w:t>
      </w:r>
    </w:p>
    <w:p w14:paraId="4AAEBB6E" w14:textId="5C667285" w:rsidR="00257144" w:rsidRDefault="00257144" w:rsidP="00257144">
      <w:pPr>
        <w:pStyle w:val="ListBullet"/>
      </w:pPr>
      <w:r>
        <w:lastRenderedPageBreak/>
        <w:t>Subsidence</w:t>
      </w:r>
      <w:r w:rsidR="00CD7B7E">
        <w:t>.</w:t>
      </w:r>
      <w:r>
        <w:t xml:space="preserve"> </w:t>
      </w:r>
    </w:p>
    <w:p w14:paraId="2C593584" w14:textId="78F438D0" w:rsidR="00257144" w:rsidRDefault="00257144" w:rsidP="00257144">
      <w:r w:rsidRPr="0021481A">
        <w:rPr>
          <w:b/>
        </w:rPr>
        <w:t>Block sliding</w:t>
      </w:r>
      <w:r>
        <w:t xml:space="preserve"> occur</w:t>
      </w:r>
      <w:r w:rsidR="00C95E61">
        <w:t xml:space="preserve"> whe</w:t>
      </w:r>
      <w:r w:rsidR="00115541">
        <w:t>n</w:t>
      </w:r>
      <w:r w:rsidR="00C95E61">
        <w:t xml:space="preserve"> </w:t>
      </w:r>
      <w:r w:rsidR="00115541">
        <w:t>high groundwater levels developing within joints/cracks exert a horizontal pressure, destabilizing the mine wall and potentially inducing large blocks of coal to slide along low-friction clay layers (inter-seams)</w:t>
      </w:r>
      <w:r>
        <w:t xml:space="preserve">. Despite significant operational efforts to mitigate groundwater pressures within coal (most significantly, a network of horizontal drains and surface water diversions), several large-scale batter movements involving block sliding have occurred over the recent history of the Latrobe Valley </w:t>
      </w:r>
      <w:r w:rsidR="00E103A8">
        <w:t xml:space="preserve">coal </w:t>
      </w:r>
      <w:r>
        <w:t>mines:</w:t>
      </w:r>
    </w:p>
    <w:p w14:paraId="7566D886" w14:textId="026A86F9" w:rsidR="00257144" w:rsidRPr="0021481A" w:rsidRDefault="00257144" w:rsidP="00257144">
      <w:pPr>
        <w:pStyle w:val="ListBullet"/>
        <w:rPr>
          <w:bCs/>
        </w:rPr>
      </w:pPr>
      <w:r w:rsidRPr="0021481A">
        <w:rPr>
          <w:bCs/>
        </w:rPr>
        <w:t xml:space="preserve">In February 2011, cracks appeared in the Princes Highway just north of the Hazelwood mine, leading to the closure of portions of the highway for seven months. The incident followed a period of unusually heavy </w:t>
      </w:r>
      <w:r w:rsidR="00B85819" w:rsidRPr="0021481A">
        <w:rPr>
          <w:bCs/>
        </w:rPr>
        <w:t>rains and</w:t>
      </w:r>
      <w:r w:rsidRPr="0021481A">
        <w:rPr>
          <w:bCs/>
        </w:rPr>
        <w:t xml:space="preserve"> was partly caused by poor maintenance of a large drain located on the mine site.</w:t>
      </w:r>
      <w:r w:rsidRPr="0021481A">
        <w:rPr>
          <w:vertAlign w:val="superscript"/>
        </w:rPr>
        <w:footnoteReference w:id="66"/>
      </w:r>
    </w:p>
    <w:p w14:paraId="21D2D251" w14:textId="59F32E49" w:rsidR="00257144" w:rsidRDefault="53CAF00C" w:rsidP="003A202C">
      <w:pPr>
        <w:pStyle w:val="ListBullet"/>
      </w:pPr>
      <w:r w:rsidRPr="44AE50F4">
        <w:t xml:space="preserve">In November 2007, a section of the Yallourn coal mine </w:t>
      </w:r>
      <w:r w:rsidR="009D0135">
        <w:t xml:space="preserve">wall/batter </w:t>
      </w:r>
      <w:r w:rsidRPr="44AE50F4">
        <w:t>collapsed, encompassing approximately 6 million cubic metres of material moving across an area 500m long from a height of 80m.</w:t>
      </w:r>
      <w:r w:rsidR="00257144" w:rsidRPr="0021481A">
        <w:rPr>
          <w:vertAlign w:val="superscript"/>
        </w:rPr>
        <w:footnoteReference w:id="67"/>
      </w:r>
      <w:r w:rsidRPr="44AE50F4">
        <w:t xml:space="preserve"> An Inquiry by the Mining Warden found that the failure was attributable to water pressure in a crack in the coal seam behind the area that collapsed exerting horizontal pressure on the coal block, and to water pressures in the seam of clay underneath the block of coal.</w:t>
      </w:r>
      <w:r w:rsidR="00257144" w:rsidRPr="0021481A">
        <w:rPr>
          <w:vertAlign w:val="superscript"/>
        </w:rPr>
        <w:footnoteReference w:id="68"/>
      </w:r>
      <w:r w:rsidRPr="44AE50F4">
        <w:t xml:space="preserve"> These pressures caused a buoyancy effect on the coal, reducing its resistance to sliding.</w:t>
      </w:r>
    </w:p>
    <w:p w14:paraId="2FDB35A8" w14:textId="6F56ECBF" w:rsidR="00257144" w:rsidRPr="0098180C" w:rsidRDefault="00257144" w:rsidP="00257144">
      <w:pPr>
        <w:pStyle w:val="Caption"/>
      </w:pPr>
      <w:bookmarkStart w:id="69" w:name="_Toc104217607"/>
      <w:r w:rsidRPr="0098180C">
        <w:t xml:space="preserve">Figure </w:t>
      </w:r>
      <w:r>
        <w:fldChar w:fldCharType="begin"/>
      </w:r>
      <w:r>
        <w:instrText>SEQ Figure \* ARABIC</w:instrText>
      </w:r>
      <w:r>
        <w:fldChar w:fldCharType="separate"/>
      </w:r>
      <w:r w:rsidR="000B3BF6">
        <w:rPr>
          <w:noProof/>
        </w:rPr>
        <w:t>3</w:t>
      </w:r>
      <w:r>
        <w:fldChar w:fldCharType="end"/>
      </w:r>
      <w:r w:rsidR="00BE790A">
        <w:t>:</w:t>
      </w:r>
      <w:r w:rsidRPr="0098180C">
        <w:t xml:space="preserve"> Simplified cross-section showing </w:t>
      </w:r>
      <w:r w:rsidR="007A42D4">
        <w:t>‘</w:t>
      </w:r>
      <w:r w:rsidRPr="0098180C">
        <w:t>block sliding</w:t>
      </w:r>
      <w:r w:rsidR="007A42D4">
        <w:t>’</w:t>
      </w:r>
      <w:r w:rsidRPr="0098180C">
        <w:t xml:space="preserve"> mechanism</w:t>
      </w:r>
      <w:bookmarkEnd w:id="69"/>
    </w:p>
    <w:p w14:paraId="07A64BC5" w14:textId="77777777" w:rsidR="00257144" w:rsidRDefault="00257144" w:rsidP="003A202C">
      <w:pPr>
        <w:pStyle w:val="ListBullet"/>
        <w:keepNext/>
        <w:numPr>
          <w:ilvl w:val="0"/>
          <w:numId w:val="0"/>
        </w:numPr>
        <w:jc w:val="center"/>
      </w:pPr>
      <w:r>
        <w:rPr>
          <w:noProof/>
        </w:rPr>
        <w:drawing>
          <wp:inline distT="0" distB="0" distL="0" distR="0" wp14:anchorId="489E67D8" wp14:editId="55B28052">
            <wp:extent cx="4932000" cy="2338131"/>
            <wp:effectExtent l="0" t="0" r="254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8">
                      <a:extLst>
                        <a:ext uri="{28A0092B-C50C-407E-A947-70E740481C1C}">
                          <a14:useLocalDpi xmlns:a14="http://schemas.microsoft.com/office/drawing/2010/main" val="0"/>
                        </a:ext>
                      </a:extLst>
                    </a:blip>
                    <a:stretch>
                      <a:fillRect/>
                    </a:stretch>
                  </pic:blipFill>
                  <pic:spPr>
                    <a:xfrm>
                      <a:off x="0" y="0"/>
                      <a:ext cx="4932000" cy="2338131"/>
                    </a:xfrm>
                    <a:prstGeom prst="rect">
                      <a:avLst/>
                    </a:prstGeom>
                  </pic:spPr>
                </pic:pic>
              </a:graphicData>
            </a:graphic>
          </wp:inline>
        </w:drawing>
      </w:r>
    </w:p>
    <w:p w14:paraId="11B580F6" w14:textId="77777777" w:rsidR="00257144" w:rsidRPr="0098180C" w:rsidRDefault="00257144" w:rsidP="00257144">
      <w:pPr>
        <w:pStyle w:val="EYSource"/>
        <w:rPr>
          <w:rFonts w:ascii="Arial" w:hAnsi="Arial" w:cs="Arial"/>
        </w:rPr>
      </w:pPr>
      <w:r w:rsidRPr="0098180C">
        <w:rPr>
          <w:rFonts w:ascii="Arial" w:hAnsi="Arial" w:cs="Arial"/>
        </w:rPr>
        <w:t>Source: L</w:t>
      </w:r>
      <w:r w:rsidRPr="07289AF3">
        <w:rPr>
          <w:rFonts w:ascii="Arial" w:hAnsi="Arial" w:cs="Arial"/>
        </w:rPr>
        <w:t>VRRS</w:t>
      </w:r>
      <w:r w:rsidRPr="0098180C">
        <w:rPr>
          <w:rFonts w:ascii="Arial" w:hAnsi="Arial" w:cs="Arial"/>
        </w:rPr>
        <w:t>, Geotechnical Study Synopsis, version 9, pg. 7.</w:t>
      </w:r>
    </w:p>
    <w:p w14:paraId="7B212046" w14:textId="77777777" w:rsidR="00257144" w:rsidRDefault="00257144" w:rsidP="00257144">
      <w:pPr>
        <w:pStyle w:val="ListBullet"/>
        <w:numPr>
          <w:ilvl w:val="0"/>
          <w:numId w:val="0"/>
        </w:numPr>
        <w:rPr>
          <w:b/>
          <w:bCs/>
        </w:rPr>
      </w:pPr>
    </w:p>
    <w:p w14:paraId="40E02580" w14:textId="77777777" w:rsidR="00257144" w:rsidRDefault="53CAF00C" w:rsidP="00257144">
      <w:pPr>
        <w:pStyle w:val="ListBullet"/>
        <w:numPr>
          <w:ilvl w:val="0"/>
          <w:numId w:val="0"/>
        </w:numPr>
        <w:rPr>
          <w:bCs/>
        </w:rPr>
      </w:pPr>
      <w:r>
        <w:rPr>
          <w:b/>
          <w:bCs/>
        </w:rPr>
        <w:t>Sinkholes</w:t>
      </w:r>
      <w:r w:rsidRPr="44AE50F4">
        <w:t xml:space="preserve"> can form when surface water flows into cracks or joints in the coal or surrounding land, leading to internal erosion that ultimately creates a void large enough to cause surface collapse. This process is known as ‘piping erosion’.</w:t>
      </w:r>
      <w:r w:rsidR="00257144" w:rsidRPr="44AE50F4">
        <w:rPr>
          <w:rStyle w:val="FootnoteReference"/>
        </w:rPr>
        <w:footnoteReference w:id="69"/>
      </w:r>
      <w:r w:rsidRPr="44AE50F4">
        <w:t xml:space="preserve"> Sinkholes have been identified in and around the declared mine sites, including:</w:t>
      </w:r>
    </w:p>
    <w:p w14:paraId="720B73F1" w14:textId="59DC8847" w:rsidR="00257144" w:rsidRDefault="00257144" w:rsidP="00257144">
      <w:pPr>
        <w:pStyle w:val="ListBullet"/>
        <w:rPr>
          <w:bCs/>
        </w:rPr>
      </w:pPr>
      <w:r>
        <w:rPr>
          <w:bCs/>
        </w:rPr>
        <w:t xml:space="preserve">In the Morwell Main Drain in 2011, when the ground cracked </w:t>
      </w:r>
      <w:r w:rsidR="7279A060">
        <w:t>due</w:t>
      </w:r>
      <w:r w:rsidR="00FD1A8A">
        <w:rPr>
          <w:bCs/>
        </w:rPr>
        <w:t xml:space="preserve"> to</w:t>
      </w:r>
      <w:r>
        <w:rPr>
          <w:bCs/>
        </w:rPr>
        <w:t xml:space="preserve"> internal movement and significant amounts of water entered during heavy rainfall.</w:t>
      </w:r>
    </w:p>
    <w:p w14:paraId="3C6BD997" w14:textId="77777777" w:rsidR="00257144" w:rsidRDefault="00257144" w:rsidP="00257144">
      <w:pPr>
        <w:pStyle w:val="ListBullet"/>
        <w:rPr>
          <w:bCs/>
        </w:rPr>
      </w:pPr>
      <w:r>
        <w:rPr>
          <w:bCs/>
        </w:rPr>
        <w:t>Along forest drains near the Yallourn boundary, evident in November 2018.</w:t>
      </w:r>
    </w:p>
    <w:p w14:paraId="10874535" w14:textId="289E09DC" w:rsidR="00257144" w:rsidRDefault="007F53C7" w:rsidP="00257144">
      <w:pPr>
        <w:pStyle w:val="ListBullet"/>
        <w:numPr>
          <w:ilvl w:val="0"/>
          <w:numId w:val="0"/>
        </w:numPr>
        <w:rPr>
          <w:bCs/>
        </w:rPr>
      </w:pPr>
      <w:r>
        <w:rPr>
          <w:bCs/>
        </w:rPr>
        <w:t>A</w:t>
      </w:r>
      <w:r w:rsidR="00257144">
        <w:rPr>
          <w:bCs/>
        </w:rPr>
        <w:t xml:space="preserve"> geotechnical study com</w:t>
      </w:r>
      <w:r>
        <w:rPr>
          <w:bCs/>
        </w:rPr>
        <w:t xml:space="preserve">pleted in 2019 </w:t>
      </w:r>
      <w:r w:rsidR="00257144">
        <w:rPr>
          <w:bCs/>
        </w:rPr>
        <w:t xml:space="preserve">to assist in </w:t>
      </w:r>
      <w:r>
        <w:rPr>
          <w:bCs/>
        </w:rPr>
        <w:t xml:space="preserve">regional rehabilitation planning </w:t>
      </w:r>
      <w:r w:rsidR="00257144">
        <w:rPr>
          <w:bCs/>
        </w:rPr>
        <w:t xml:space="preserve">considered that ‘sinkhole formation is likely to be an ongoing feature of the areas adjacent to the </w:t>
      </w:r>
      <w:r w:rsidR="00257144" w:rsidRPr="00DC3B09">
        <w:rPr>
          <w:bCs/>
        </w:rPr>
        <w:t>[Latrobe Valley]’</w:t>
      </w:r>
      <w:r w:rsidR="003A202C">
        <w:rPr>
          <w:bCs/>
        </w:rPr>
        <w:t xml:space="preserve"> mines</w:t>
      </w:r>
      <w:r w:rsidR="00257144" w:rsidRPr="00DC3B09">
        <w:rPr>
          <w:bCs/>
        </w:rPr>
        <w:t>.</w:t>
      </w:r>
      <w:r w:rsidR="00257144" w:rsidRPr="00DC3B09">
        <w:rPr>
          <w:rStyle w:val="FootnoteReference"/>
          <w:bCs/>
        </w:rPr>
        <w:footnoteReference w:id="70"/>
      </w:r>
    </w:p>
    <w:p w14:paraId="3076C371" w14:textId="77777777" w:rsidR="00257144" w:rsidRDefault="00257144" w:rsidP="00257144">
      <w:pPr>
        <w:pStyle w:val="ListBullet"/>
        <w:numPr>
          <w:ilvl w:val="0"/>
          <w:numId w:val="0"/>
        </w:numPr>
        <w:rPr>
          <w:b/>
          <w:bCs/>
        </w:rPr>
      </w:pPr>
    </w:p>
    <w:p w14:paraId="5734A0F0" w14:textId="0B5C4AFC" w:rsidR="00257144" w:rsidRPr="00EA55B5" w:rsidRDefault="00257144" w:rsidP="00257144">
      <w:pPr>
        <w:pStyle w:val="Caption"/>
      </w:pPr>
      <w:bookmarkStart w:id="70" w:name="_Toc104217608"/>
      <w:r w:rsidRPr="00EA55B5">
        <w:lastRenderedPageBreak/>
        <w:t xml:space="preserve">Figure </w:t>
      </w:r>
      <w:r>
        <w:fldChar w:fldCharType="begin"/>
      </w:r>
      <w:r>
        <w:instrText>SEQ Figure \* ARABIC</w:instrText>
      </w:r>
      <w:r>
        <w:fldChar w:fldCharType="separate"/>
      </w:r>
      <w:r w:rsidR="000B3BF6">
        <w:rPr>
          <w:noProof/>
        </w:rPr>
        <w:t>4</w:t>
      </w:r>
      <w:r>
        <w:fldChar w:fldCharType="end"/>
      </w:r>
      <w:r w:rsidR="00BE790A">
        <w:t xml:space="preserve">: </w:t>
      </w:r>
      <w:r>
        <w:t>Before and after s</w:t>
      </w:r>
      <w:r w:rsidRPr="00EA55B5">
        <w:t>chematic representation of sinkhole formation</w:t>
      </w:r>
      <w:bookmarkEnd w:id="70"/>
    </w:p>
    <w:p w14:paraId="190EFDB1" w14:textId="77777777" w:rsidR="00257144" w:rsidRPr="00CF55B5" w:rsidRDefault="00257144" w:rsidP="00257144">
      <w:pPr>
        <w:pStyle w:val="NoSpacing"/>
        <w:jc w:val="center"/>
      </w:pPr>
      <w:r>
        <w:rPr>
          <w:noProof/>
        </w:rPr>
        <w:drawing>
          <wp:inline distT="0" distB="0" distL="0" distR="0" wp14:anchorId="024DF32C" wp14:editId="241B28A0">
            <wp:extent cx="4932000" cy="2589500"/>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9">
                      <a:extLst>
                        <a:ext uri="{28A0092B-C50C-407E-A947-70E740481C1C}">
                          <a14:useLocalDpi xmlns:a14="http://schemas.microsoft.com/office/drawing/2010/main" val="0"/>
                        </a:ext>
                      </a:extLst>
                    </a:blip>
                    <a:stretch>
                      <a:fillRect/>
                    </a:stretch>
                  </pic:blipFill>
                  <pic:spPr>
                    <a:xfrm>
                      <a:off x="0" y="0"/>
                      <a:ext cx="4932000" cy="2589500"/>
                    </a:xfrm>
                    <a:prstGeom prst="rect">
                      <a:avLst/>
                    </a:prstGeom>
                  </pic:spPr>
                </pic:pic>
              </a:graphicData>
            </a:graphic>
          </wp:inline>
        </w:drawing>
      </w:r>
    </w:p>
    <w:p w14:paraId="6F27355B" w14:textId="77777777" w:rsidR="00257144" w:rsidRPr="0098180C" w:rsidRDefault="00257144" w:rsidP="00257144">
      <w:pPr>
        <w:pStyle w:val="EYSource"/>
        <w:rPr>
          <w:rFonts w:ascii="Arial" w:hAnsi="Arial" w:cs="Arial"/>
        </w:rPr>
      </w:pPr>
      <w:r w:rsidRPr="0098180C">
        <w:rPr>
          <w:rFonts w:ascii="Arial" w:hAnsi="Arial" w:cs="Arial"/>
        </w:rPr>
        <w:t>Source: Latrobe Valley Regional Rehabilitation Strategy, Geotechnical Study Synopsis, version 9, pg. 8.</w:t>
      </w:r>
    </w:p>
    <w:p w14:paraId="4E36DDE4" w14:textId="77777777" w:rsidR="00257144" w:rsidRDefault="00257144" w:rsidP="00257144">
      <w:pPr>
        <w:pStyle w:val="ListBullet"/>
        <w:numPr>
          <w:ilvl w:val="0"/>
          <w:numId w:val="0"/>
        </w:numPr>
        <w:rPr>
          <w:b/>
          <w:bCs/>
        </w:rPr>
      </w:pPr>
    </w:p>
    <w:p w14:paraId="29EB5B28" w14:textId="77777777" w:rsidR="00257144" w:rsidRDefault="00257144" w:rsidP="00257144">
      <w:pPr>
        <w:pStyle w:val="ListBullet"/>
        <w:numPr>
          <w:ilvl w:val="0"/>
          <w:numId w:val="0"/>
        </w:numPr>
        <w:rPr>
          <w:bCs/>
        </w:rPr>
      </w:pPr>
      <w:r>
        <w:rPr>
          <w:b/>
          <w:bCs/>
        </w:rPr>
        <w:t>Floor heave</w:t>
      </w:r>
      <w:r>
        <w:rPr>
          <w:bCs/>
        </w:rPr>
        <w:t xml:space="preserve"> refers to the upward movement of mine floors. It occurs when the upward pressure created by groundwater in aquifers below the mine floor exceeds the downward pressure created by the weight of the remaining coal and sediments above the floor. Floor heave impacts on the stability of mining machinery and can reduce the lateral resistance forces that keep mine batters (walls) in place. </w:t>
      </w:r>
    </w:p>
    <w:p w14:paraId="4514D384" w14:textId="6F5E0664" w:rsidR="00257144" w:rsidRDefault="00257144" w:rsidP="00257144">
      <w:pPr>
        <w:pStyle w:val="ListBullet"/>
        <w:numPr>
          <w:ilvl w:val="0"/>
          <w:numId w:val="0"/>
        </w:numPr>
        <w:rPr>
          <w:bCs/>
        </w:rPr>
      </w:pPr>
      <w:r>
        <w:rPr>
          <w:bCs/>
        </w:rPr>
        <w:t>Currently, floor heave is avoided by pumps at each mine site which remove considerable amounts of groundwater from the aquifers to maintain the balance between the groundwater and coal weight pressures;</w:t>
      </w:r>
      <w:r>
        <w:rPr>
          <w:rStyle w:val="FootnoteReference"/>
          <w:bCs/>
        </w:rPr>
        <w:footnoteReference w:id="71"/>
      </w:r>
      <w:r>
        <w:rPr>
          <w:bCs/>
        </w:rPr>
        <w:t xml:space="preserve"> </w:t>
      </w:r>
      <w:r w:rsidR="00E103A8">
        <w:rPr>
          <w:bCs/>
        </w:rPr>
        <w:t xml:space="preserve">but </w:t>
      </w:r>
      <w:r>
        <w:rPr>
          <w:bCs/>
        </w:rPr>
        <w:t>if pumping were to cease, it could be expected that groundwater pressures will increase over time.</w:t>
      </w:r>
      <w:r>
        <w:rPr>
          <w:rStyle w:val="FootnoteReference"/>
          <w:bCs/>
        </w:rPr>
        <w:footnoteReference w:id="72"/>
      </w:r>
    </w:p>
    <w:p w14:paraId="4B033B74" w14:textId="77777777" w:rsidR="00257144" w:rsidRDefault="00257144" w:rsidP="00257144">
      <w:pPr>
        <w:pStyle w:val="ListBullet"/>
        <w:numPr>
          <w:ilvl w:val="0"/>
          <w:numId w:val="0"/>
        </w:numPr>
        <w:rPr>
          <w:b/>
          <w:bCs/>
        </w:rPr>
      </w:pPr>
    </w:p>
    <w:p w14:paraId="560CBC70" w14:textId="5055E650" w:rsidR="00257144" w:rsidRPr="00EA55B5" w:rsidRDefault="00257144" w:rsidP="00257144">
      <w:pPr>
        <w:pStyle w:val="Caption"/>
      </w:pPr>
      <w:bookmarkStart w:id="71" w:name="_Toc104217609"/>
      <w:r w:rsidRPr="00EA55B5">
        <w:lastRenderedPageBreak/>
        <w:t xml:space="preserve">Figure </w:t>
      </w:r>
      <w:r>
        <w:fldChar w:fldCharType="begin"/>
      </w:r>
      <w:r>
        <w:instrText>SEQ Figure \* ARABIC</w:instrText>
      </w:r>
      <w:r>
        <w:fldChar w:fldCharType="separate"/>
      </w:r>
      <w:r w:rsidR="000B3BF6">
        <w:rPr>
          <w:noProof/>
        </w:rPr>
        <w:t>5</w:t>
      </w:r>
      <w:r>
        <w:fldChar w:fldCharType="end"/>
      </w:r>
      <w:r w:rsidR="00BE790A">
        <w:t>:</w:t>
      </w:r>
      <w:r w:rsidRPr="00EA55B5">
        <w:t xml:space="preserve"> Simplified cross-section showing </w:t>
      </w:r>
      <w:r w:rsidR="007A42D4">
        <w:t>‘</w:t>
      </w:r>
      <w:r w:rsidRPr="00EA55B5">
        <w:t>floor heave</w:t>
      </w:r>
      <w:r w:rsidR="007A42D4">
        <w:t>’</w:t>
      </w:r>
      <w:r w:rsidRPr="00EA55B5">
        <w:t xml:space="preserve"> mechanism</w:t>
      </w:r>
      <w:bookmarkEnd w:id="71"/>
    </w:p>
    <w:p w14:paraId="41A5F2B9" w14:textId="77777777" w:rsidR="00257144" w:rsidRPr="00CF55B5" w:rsidRDefault="00257144" w:rsidP="003006CE">
      <w:pPr>
        <w:pStyle w:val="NoSpacing"/>
        <w:jc w:val="center"/>
      </w:pPr>
      <w:r>
        <w:rPr>
          <w:noProof/>
        </w:rPr>
        <w:drawing>
          <wp:inline distT="0" distB="0" distL="0" distR="0" wp14:anchorId="778FD05B" wp14:editId="637D0887">
            <wp:extent cx="5731510" cy="3977640"/>
            <wp:effectExtent l="0" t="0" r="254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0">
                      <a:extLst>
                        <a:ext uri="{28A0092B-C50C-407E-A947-70E740481C1C}">
                          <a14:useLocalDpi xmlns:a14="http://schemas.microsoft.com/office/drawing/2010/main" val="0"/>
                        </a:ext>
                      </a:extLst>
                    </a:blip>
                    <a:stretch>
                      <a:fillRect/>
                    </a:stretch>
                  </pic:blipFill>
                  <pic:spPr>
                    <a:xfrm>
                      <a:off x="0" y="0"/>
                      <a:ext cx="5731510" cy="3977640"/>
                    </a:xfrm>
                    <a:prstGeom prst="rect">
                      <a:avLst/>
                    </a:prstGeom>
                  </pic:spPr>
                </pic:pic>
              </a:graphicData>
            </a:graphic>
          </wp:inline>
        </w:drawing>
      </w:r>
    </w:p>
    <w:p w14:paraId="165D7B7A" w14:textId="77777777" w:rsidR="00257144" w:rsidRPr="00CF55B5" w:rsidRDefault="00257144" w:rsidP="00257144">
      <w:pPr>
        <w:pStyle w:val="EYSource"/>
      </w:pPr>
      <w:r w:rsidRPr="00CF55B5">
        <w:t>Source: Latrobe Valley Regional Rehabilitation Strategy, Geotechnical Study Synopsis, version 9, pg. 9.</w:t>
      </w:r>
    </w:p>
    <w:p w14:paraId="1B56A9C0" w14:textId="77777777" w:rsidR="00257144" w:rsidRDefault="00257144" w:rsidP="00257144">
      <w:pPr>
        <w:pStyle w:val="ListBullet"/>
        <w:numPr>
          <w:ilvl w:val="0"/>
          <w:numId w:val="0"/>
        </w:numPr>
        <w:rPr>
          <w:b/>
          <w:bCs/>
        </w:rPr>
      </w:pPr>
    </w:p>
    <w:p w14:paraId="66BAE797" w14:textId="16E4B18A" w:rsidR="00257144" w:rsidRDefault="00257144" w:rsidP="00257144">
      <w:pPr>
        <w:pStyle w:val="ListBullet"/>
        <w:numPr>
          <w:ilvl w:val="0"/>
          <w:numId w:val="0"/>
        </w:numPr>
      </w:pPr>
      <w:r>
        <w:rPr>
          <w:b/>
          <w:bCs/>
        </w:rPr>
        <w:t>Subsidence</w:t>
      </w:r>
      <w:r>
        <w:rPr>
          <w:bCs/>
        </w:rPr>
        <w:t xml:space="preserve"> </w:t>
      </w:r>
      <w:r>
        <w:t xml:space="preserve">is the gradual or sudden sinking of the Earth’s surface. Subsidence can occur when large volumes of groundwater are extracted from or otherwise leave </w:t>
      </w:r>
      <w:r w:rsidR="00E103A8">
        <w:t xml:space="preserve">geological </w:t>
      </w:r>
      <w:r>
        <w:t>layers within the Earth. Changes in land level have been observed across the Latrobe Valley region since the 1950s, resulting from the steady removal of groundwater from aquifers underlying the region.</w:t>
      </w:r>
      <w:r>
        <w:rPr>
          <w:rStyle w:val="FootnoteReference"/>
        </w:rPr>
        <w:footnoteReference w:id="73"/>
      </w:r>
      <w:r>
        <w:t xml:space="preserve"> The geotechnical study for the LVRRS concluded that while a total subsidence of up to 2.6m has been observed so far across the Latrobe Valley region, this subsidence,</w:t>
      </w:r>
      <w:r w:rsidDel="00257144">
        <w:t xml:space="preserve"> </w:t>
      </w:r>
      <w:r>
        <w:t>and the rebound that can be expected to occur if aquifer pumping ceases,</w:t>
      </w:r>
      <w:r w:rsidDel="00257144">
        <w:t xml:space="preserve"> </w:t>
      </w:r>
      <w:r>
        <w:t>have not had and are not expected to have significant impacts on the region’s built or natural environment.</w:t>
      </w:r>
      <w:r>
        <w:rPr>
          <w:rStyle w:val="FootnoteReference"/>
        </w:rPr>
        <w:footnoteReference w:id="74"/>
      </w:r>
    </w:p>
    <w:p w14:paraId="2B537894" w14:textId="77777777" w:rsidR="00257144" w:rsidRDefault="00257144" w:rsidP="003F70FF">
      <w:pPr>
        <w:pStyle w:val="Heading6"/>
      </w:pPr>
      <w:r>
        <w:t>Fire</w:t>
      </w:r>
    </w:p>
    <w:p w14:paraId="3C458EBF" w14:textId="7A64849C" w:rsidR="00257144" w:rsidRDefault="00257144" w:rsidP="00257144">
      <w:r>
        <w:t>Extreme fire danger routinely occurs in Victoria during the summer period. Since the 1970s, extreme fire weather has increased and fire seasons across Australia, including in Victoria, have lengthened.</w:t>
      </w:r>
      <w:r>
        <w:rPr>
          <w:rStyle w:val="FootnoteReference"/>
        </w:rPr>
        <w:footnoteReference w:id="75"/>
      </w:r>
      <w:r>
        <w:t xml:space="preserve"> Victoria </w:t>
      </w:r>
      <w:r w:rsidR="00A32A36">
        <w:t>has an annual fire season</w:t>
      </w:r>
      <w:r>
        <w:t>, some of which are catastrophic and lead to significant loss of life and property, many of which affect the Gippsland region. Bushfires can spread through wind blowing embers ahead of the fire, which start spot fires beyond the main fire front. This adds to the difficulty of fire-fighting responses.</w:t>
      </w:r>
    </w:p>
    <w:p w14:paraId="53820C14" w14:textId="08CC685D" w:rsidR="00257144" w:rsidRDefault="00257144" w:rsidP="00257144">
      <w:r>
        <w:t>The mining of brown coal</w:t>
      </w:r>
      <w:r w:rsidR="00292D0B">
        <w:t>,</w:t>
      </w:r>
      <w:r>
        <w:t xml:space="preserve"> especially in open-cut mines</w:t>
      </w:r>
      <w:r w:rsidR="00292D0B">
        <w:t>,</w:t>
      </w:r>
      <w:r w:rsidDel="00292D0B">
        <w:t xml:space="preserve"> </w:t>
      </w:r>
      <w:r>
        <w:t>creates particular fire risks. Brown coal is volatile when dry: it can self-combust and is also highly flammable. Brown coal is also porous</w:t>
      </w:r>
      <w:r w:rsidR="00C6068C">
        <w:t>,</w:t>
      </w:r>
      <w:r w:rsidR="005C61FD">
        <w:t xml:space="preserve"> such that there is sufficient space for oxygen within the coal seams to sustain and spread a smouldering fire below ground</w:t>
      </w:r>
      <w:r w:rsidR="00524E90">
        <w:t xml:space="preserve"> </w:t>
      </w:r>
      <w:r w:rsidR="0071432E">
        <w:t xml:space="preserve">making </w:t>
      </w:r>
      <w:r w:rsidR="00736CA5">
        <w:t>fire extinguishment</w:t>
      </w:r>
      <w:r w:rsidR="00593C6E">
        <w:t xml:space="preserve"> extremely difficult</w:t>
      </w:r>
      <w:r>
        <w:t>.</w:t>
      </w:r>
      <w:r>
        <w:rPr>
          <w:rStyle w:val="FootnoteReference"/>
        </w:rPr>
        <w:footnoteReference w:id="76"/>
      </w:r>
      <w:r>
        <w:t xml:space="preserve"> Victoria’s brown coal deposits are also particularly vulnerable because the coal seams are located relatively close to the surface</w:t>
      </w:r>
      <w:r w:rsidR="00182CF6">
        <w:t>;</w:t>
      </w:r>
      <w:r>
        <w:t xml:space="preserve"> there is only a thin layer of other material (‘overburden’) </w:t>
      </w:r>
      <w:r>
        <w:lastRenderedPageBreak/>
        <w:t xml:space="preserve">sitting above </w:t>
      </w:r>
      <w:r w:rsidR="00E16C83">
        <w:t>thick</w:t>
      </w:r>
      <w:r>
        <w:t xml:space="preserve"> coal seams.</w:t>
      </w:r>
      <w:r>
        <w:rPr>
          <w:rStyle w:val="FootnoteReference"/>
        </w:rPr>
        <w:footnoteReference w:id="77"/>
      </w:r>
      <w:r>
        <w:t xml:space="preserve"> </w:t>
      </w:r>
      <w:r w:rsidR="000620D5">
        <w:t xml:space="preserve">Numerous ‘fire holes’ </w:t>
      </w:r>
      <w:r w:rsidR="001F7F1F">
        <w:t>in the area</w:t>
      </w:r>
      <w:r w:rsidR="001E31D5">
        <w:t xml:space="preserve"> </w:t>
      </w:r>
      <w:r w:rsidR="00B84E7B">
        <w:t xml:space="preserve">from historic </w:t>
      </w:r>
      <w:r w:rsidR="00C1712E">
        <w:t xml:space="preserve">lightning </w:t>
      </w:r>
      <w:r w:rsidR="00FE1EB1">
        <w:t xml:space="preserve">strike </w:t>
      </w:r>
      <w:r w:rsidR="00C1712E">
        <w:t>and s</w:t>
      </w:r>
      <w:r w:rsidR="00821DC5">
        <w:t>pon</w:t>
      </w:r>
      <w:r w:rsidR="00CB2067">
        <w:t xml:space="preserve">taneous </w:t>
      </w:r>
      <w:r w:rsidR="00C1712E">
        <w:t xml:space="preserve">combustion events </w:t>
      </w:r>
      <w:r w:rsidR="003070EA">
        <w:t>fur</w:t>
      </w:r>
      <w:r w:rsidR="00E86443">
        <w:t xml:space="preserve">ther </w:t>
      </w:r>
      <w:r w:rsidR="007A72D7">
        <w:t>elucidate</w:t>
      </w:r>
      <w:r w:rsidR="00E86443">
        <w:t xml:space="preserve"> the </w:t>
      </w:r>
      <w:r w:rsidR="000C1449">
        <w:t>volatility of</w:t>
      </w:r>
      <w:r w:rsidR="00BC3A18">
        <w:t xml:space="preserve"> re</w:t>
      </w:r>
      <w:r w:rsidR="003B734A">
        <w:t>source</w:t>
      </w:r>
      <w:r w:rsidR="00FB0A32">
        <w:t xml:space="preserve"> </w:t>
      </w:r>
      <w:r w:rsidR="00F47C1E">
        <w:t>and th</w:t>
      </w:r>
      <w:r w:rsidR="004055CE">
        <w:t>e inherent fire risks</w:t>
      </w:r>
      <w:r w:rsidR="003B734A">
        <w:t xml:space="preserve"> posed </w:t>
      </w:r>
      <w:r w:rsidR="00A91682">
        <w:t>by</w:t>
      </w:r>
      <w:r w:rsidR="007A72D7">
        <w:t xml:space="preserve"> </w:t>
      </w:r>
      <w:r w:rsidR="00BC3A18">
        <w:t>e</w:t>
      </w:r>
      <w:r>
        <w:t>xposed brown coal.</w:t>
      </w:r>
    </w:p>
    <w:p w14:paraId="3F163B2D" w14:textId="3DC557E0" w:rsidR="00257144" w:rsidRDefault="53CAF00C" w:rsidP="00257144">
      <w:r>
        <w:t xml:space="preserve">Fires have occurred at the Latrobe Valley </w:t>
      </w:r>
      <w:r w:rsidR="397A7B5C">
        <w:t xml:space="preserve">coal </w:t>
      </w:r>
      <w:r>
        <w:t>mines throughout their history. In 1944, a fire at the Yallourn coal mine ignited as a result of burning material floating into the mine from a nearby bushfire.</w:t>
      </w:r>
      <w:r w:rsidR="00257144">
        <w:rPr>
          <w:rStyle w:val="FootnoteReference"/>
        </w:rPr>
        <w:footnoteReference w:id="78"/>
      </w:r>
      <w:r>
        <w:t xml:space="preserve"> In 1977, a fire at the Hazelwood mine was started by a spark from a vehicle.</w:t>
      </w:r>
      <w:r w:rsidR="00257144">
        <w:rPr>
          <w:rStyle w:val="FootnoteReference"/>
        </w:rPr>
        <w:footnoteReference w:id="79"/>
      </w:r>
      <w:r>
        <w:t xml:space="preserve"> The fire spread to cover about one-third of the open cut mine.</w:t>
      </w:r>
      <w:r w:rsidR="00257144">
        <w:rPr>
          <w:rStyle w:val="FootnoteReference"/>
        </w:rPr>
        <w:footnoteReference w:id="80"/>
      </w:r>
    </w:p>
    <w:p w14:paraId="52E8F401" w14:textId="77777777" w:rsidR="00257144" w:rsidRDefault="00257144" w:rsidP="00257144">
      <w:r>
        <w:t xml:space="preserve">In February 2014, spotting embers from a nearby bushfire ignited material at the Hazelwood mine. The resulting fire at the mine burned for 45 days, sending smoke and ash over the town of Morwell and much of the surrounding areas. </w:t>
      </w:r>
    </w:p>
    <w:p w14:paraId="4DE5AF37" w14:textId="70C188E7" w:rsidR="00257144" w:rsidRDefault="53CAF00C" w:rsidP="00257144">
      <w:r>
        <w:t>The subsequent Inquiry into the fire found that the fire started as a series of smaller fires that ignited in various places on the batters and floor of the Hazelwood mine on 9 February 2014.</w:t>
      </w:r>
      <w:r w:rsidR="00257144">
        <w:rPr>
          <w:rStyle w:val="FootnoteReference"/>
        </w:rPr>
        <w:footnoteReference w:id="81"/>
      </w:r>
      <w:r>
        <w:t xml:space="preserve"> The fires spread quickly, and firefighting efforts by both mine staff and emergency services personnel were hampered by various factors including the failure of power supply to water pumping stations and the mine’s Emergency Command Centre; a lack of optimum firefighting equipment for brown coal fires; and the fact that the fire services water system did not extend to large parts of the mine area.</w:t>
      </w:r>
      <w:r w:rsidR="00257144">
        <w:rPr>
          <w:rStyle w:val="FootnoteReference"/>
        </w:rPr>
        <w:footnoteReference w:id="82"/>
      </w:r>
    </w:p>
    <w:p w14:paraId="7F7FBD8C" w14:textId="16E42489" w:rsidR="00257144" w:rsidRDefault="78D1D602" w:rsidP="00257144">
      <w:r>
        <w:t>T</w:t>
      </w:r>
      <w:r w:rsidR="53CAF00C">
        <w:t>he fire also caused significant amounts of pollutants, including particulate matter; ash and smoke to spread over the surrounding areas. Inhalation of these pollutant and exposure to smoke can be hazardous to community health, particularly the elderly, those with pre-existing cardiovascular and respiratory conditions, children, pregnant women and their unborn babies.</w:t>
      </w:r>
      <w:r w:rsidR="00257144">
        <w:rPr>
          <w:rStyle w:val="FootnoteReference"/>
        </w:rPr>
        <w:footnoteReference w:id="83"/>
      </w:r>
      <w:r w:rsidR="53CAF00C">
        <w:t xml:space="preserve"> The Inquiry found that although local residents sought more advice from general practitioners than usual during and after the fire, there was no increase in attendances at emergency departments or other hospital admissions.</w:t>
      </w:r>
      <w:r w:rsidR="00257144">
        <w:rPr>
          <w:rStyle w:val="FootnoteReference"/>
        </w:rPr>
        <w:footnoteReference w:id="84"/>
      </w:r>
      <w:r w:rsidR="53CAF00C">
        <w:t xml:space="preserve"> However, the Inquiry noted serious concerns of longer-term health consequences from the extended exposure to particulate matter, including the aggravation or progression of existing conditions.</w:t>
      </w:r>
      <w:r w:rsidR="00257144">
        <w:rPr>
          <w:rStyle w:val="FootnoteReference"/>
        </w:rPr>
        <w:footnoteReference w:id="85"/>
      </w:r>
      <w:r w:rsidR="53CAF00C">
        <w:t xml:space="preserve"> Firefighters and mine staff were exposed to particular hazardous conditions associated with the brown coal fire, particularly elevated levels of potentially lethal carbon monoxide</w:t>
      </w:r>
      <w:r w:rsidR="1315519C">
        <w:t>.</w:t>
      </w:r>
      <w:r w:rsidR="53CAF00C">
        <w:t xml:space="preserve"> </w:t>
      </w:r>
      <w:r w:rsidR="4F4B69F6">
        <w:t>Some</w:t>
      </w:r>
      <w:r w:rsidR="53CAF00C">
        <w:t xml:space="preserve"> presented to hospital but none ultimately required admission.</w:t>
      </w:r>
      <w:r w:rsidR="00257144">
        <w:rPr>
          <w:rStyle w:val="FootnoteReference"/>
        </w:rPr>
        <w:footnoteReference w:id="86"/>
      </w:r>
    </w:p>
    <w:p w14:paraId="6297ABA1" w14:textId="77777777" w:rsidR="00257144" w:rsidRPr="008C5EC0" w:rsidRDefault="00257144" w:rsidP="003F70FF">
      <w:pPr>
        <w:pStyle w:val="Heading6"/>
      </w:pPr>
      <w:r w:rsidRPr="008C5EC0">
        <w:t>Water quality</w:t>
      </w:r>
    </w:p>
    <w:p w14:paraId="6FA01E6B" w14:textId="70512BDA" w:rsidR="00257144" w:rsidRDefault="00257144" w:rsidP="00257144">
      <w:r>
        <w:t xml:space="preserve">Mining activities can pose risks to local water quality through contamination of adjacent waterways with </w:t>
      </w:r>
      <w:r w:rsidR="005C4746">
        <w:t xml:space="preserve">minerals </w:t>
      </w:r>
      <w:r>
        <w:t>exposed during the mining process. A ‘tailings dam’ is an earth-filled embankment dam that can be used to store these kinds of toxic by-products.</w:t>
      </w:r>
      <w:r w:rsidR="00F055D0">
        <w:t xml:space="preserve"> There is also a contamination risk to groundwater or aquifers from poorly </w:t>
      </w:r>
      <w:r w:rsidR="00F63E6B">
        <w:t xml:space="preserve">managed </w:t>
      </w:r>
      <w:r w:rsidR="00F055D0">
        <w:t xml:space="preserve">mine waste, </w:t>
      </w:r>
      <w:r w:rsidR="00C80A2C">
        <w:t xml:space="preserve">or </w:t>
      </w:r>
      <w:r w:rsidR="00F055D0">
        <w:t>storage facilities within or adjacent to mine workings.</w:t>
      </w:r>
    </w:p>
    <w:p w14:paraId="6CBBF464" w14:textId="495A4847" w:rsidR="00257144" w:rsidRDefault="00257144" w:rsidP="00257144">
      <w:r>
        <w:t>The Benambra copper mine provides an example of a mine creating serious risks to water quality. This mine was operational in the 1990s and was based on extraction of copper ore from a</w:t>
      </w:r>
      <w:r w:rsidR="00A755CF">
        <w:t>n</w:t>
      </w:r>
      <w:r>
        <w:t xml:space="preserve"> </w:t>
      </w:r>
      <w:r w:rsidR="00A755CF">
        <w:t>ore</w:t>
      </w:r>
      <w:r>
        <w:t xml:space="preserve">body containing copper and zinc sulphides. Sulphides turn to sulphates when exposed to oxygen and water, which in turn produces sulphuric acid. The toxic by-products of the copper mine were stored in a </w:t>
      </w:r>
      <w:r w:rsidDel="004136CF">
        <w:t>seven</w:t>
      </w:r>
      <w:r w:rsidR="004136CF">
        <w:t>-hectare</w:t>
      </w:r>
      <w:r>
        <w:t xml:space="preserve"> tailings dam, where water was kept at a sufficient depth to cover the sulphides and prevent oxidisation – known as a ‘wet cover’. </w:t>
      </w:r>
    </w:p>
    <w:p w14:paraId="019B948C" w14:textId="77E01B15" w:rsidR="00257144" w:rsidRDefault="00257144" w:rsidP="00257144">
      <w:r>
        <w:t>A wet cover</w:t>
      </w:r>
      <w:r w:rsidDel="00257144">
        <w:t xml:space="preserve"> </w:t>
      </w:r>
      <w:r w:rsidR="004136CF">
        <w:t xml:space="preserve">requires </w:t>
      </w:r>
      <w:r>
        <w:t>an unending maintenance regime</w:t>
      </w:r>
      <w:r w:rsidR="004136CF">
        <w:t xml:space="preserve"> for safety</w:t>
      </w:r>
      <w:r>
        <w:t xml:space="preserve">, both to ensure that the water retains a sufficient depth to prevent oxidation; and to ensure that the dam wall is stable. In the case of the Benambra mine, a collapse of the tailings dam wall could lead to the leakage of toxic waste into the adjacent Tambo River, which drains into the environmentally significant Gippsland wetlands. The Benambra mine site now requires ongoing </w:t>
      </w:r>
      <w:r>
        <w:lastRenderedPageBreak/>
        <w:t xml:space="preserve">management to ensure that the tailings dam </w:t>
      </w:r>
      <w:r w:rsidR="00C7543D">
        <w:t xml:space="preserve">holds sufficient </w:t>
      </w:r>
      <w:r w:rsidDel="00C7543D">
        <w:t>water</w:t>
      </w:r>
      <w:r w:rsidR="00A25376">
        <w:t xml:space="preserve"> and </w:t>
      </w:r>
      <w:r>
        <w:t>does not collapse and affect local water quality.</w:t>
      </w:r>
    </w:p>
    <w:p w14:paraId="679AF446" w14:textId="321AB839" w:rsidR="00524823" w:rsidRDefault="00524823" w:rsidP="00D86BBC">
      <w:pPr>
        <w:pStyle w:val="Heading3"/>
        <w:numPr>
          <w:ilvl w:val="2"/>
          <w:numId w:val="123"/>
        </w:numPr>
      </w:pPr>
      <w:bookmarkStart w:id="72" w:name="_Ref101474683"/>
      <w:bookmarkStart w:id="73" w:name="_Toc104217662"/>
      <w:r>
        <w:t xml:space="preserve">Mining rehabilitation inquiries </w:t>
      </w:r>
      <w:r w:rsidR="00930549">
        <w:t>and developments</w:t>
      </w:r>
      <w:bookmarkEnd w:id="72"/>
      <w:bookmarkEnd w:id="73"/>
    </w:p>
    <w:p w14:paraId="639EE66C" w14:textId="1193122D" w:rsidR="004D59E4" w:rsidRDefault="004D59E4" w:rsidP="00832A2F">
      <w:r>
        <w:t xml:space="preserve">The hazardous events that have occurred over the course of the Latrobe Valley </w:t>
      </w:r>
      <w:r w:rsidR="00E103A8">
        <w:t xml:space="preserve">coal </w:t>
      </w:r>
      <w:r>
        <w:t xml:space="preserve">mines’ history have led to several inquiries into the regulation and management of the mines, which have led to incremental changes to the regulatory framework governing the mines and their rehabilitation. </w:t>
      </w:r>
      <w:r w:rsidR="00C47C42">
        <w:t xml:space="preserve">The inquiries and reforms are summarised in </w:t>
      </w:r>
      <w:r w:rsidR="00C47C42">
        <w:fldChar w:fldCharType="begin"/>
      </w:r>
      <w:r w:rsidR="00C47C42">
        <w:instrText xml:space="preserve"> REF _Ref50101582 \h </w:instrText>
      </w:r>
      <w:r w:rsidR="00C47C42">
        <w:fldChar w:fldCharType="separate"/>
      </w:r>
      <w:r w:rsidR="000B3BF6" w:rsidRPr="00A115A8">
        <w:t xml:space="preserve">Figure </w:t>
      </w:r>
      <w:r w:rsidR="000B3BF6">
        <w:rPr>
          <w:noProof/>
        </w:rPr>
        <w:t>6</w:t>
      </w:r>
      <w:r w:rsidR="00C47C42">
        <w:fldChar w:fldCharType="end"/>
      </w:r>
      <w:r w:rsidR="00C47C42">
        <w:t xml:space="preserve">, and more detail is provided below. The resulting regulatory framework that currently applies to declared mines is described in detail at section </w:t>
      </w:r>
      <w:r w:rsidR="00DA2092">
        <w:fldChar w:fldCharType="begin"/>
      </w:r>
      <w:r w:rsidR="00DA2092">
        <w:instrText xml:space="preserve"> REF _Ref54594894 \r \h </w:instrText>
      </w:r>
      <w:r w:rsidR="00DA2092">
        <w:fldChar w:fldCharType="separate"/>
      </w:r>
      <w:r w:rsidR="000B3BF6">
        <w:t>2.3</w:t>
      </w:r>
      <w:r w:rsidR="00DA2092">
        <w:fldChar w:fldCharType="end"/>
      </w:r>
      <w:r w:rsidR="00DA2092">
        <w:t>.</w:t>
      </w:r>
    </w:p>
    <w:p w14:paraId="76299BBC" w14:textId="046E8550" w:rsidR="00C47C42" w:rsidRPr="0044505A" w:rsidRDefault="00C47C42" w:rsidP="003E1E96">
      <w:pPr>
        <w:pStyle w:val="Caption"/>
      </w:pPr>
      <w:bookmarkStart w:id="74" w:name="_Ref50101582"/>
      <w:bookmarkStart w:id="75" w:name="_Toc104217610"/>
      <w:r w:rsidRPr="00A115A8">
        <w:t xml:space="preserve">Figure </w:t>
      </w:r>
      <w:r>
        <w:fldChar w:fldCharType="begin"/>
      </w:r>
      <w:r>
        <w:instrText>SEQ Figure \* ARABIC</w:instrText>
      </w:r>
      <w:r>
        <w:fldChar w:fldCharType="separate"/>
      </w:r>
      <w:r w:rsidR="000B3BF6">
        <w:rPr>
          <w:noProof/>
        </w:rPr>
        <w:t>6</w:t>
      </w:r>
      <w:r>
        <w:fldChar w:fldCharType="end"/>
      </w:r>
      <w:bookmarkEnd w:id="74"/>
      <w:r w:rsidR="00BE790A" w:rsidRPr="00A115A8">
        <w:t>:</w:t>
      </w:r>
      <w:r w:rsidRPr="00A115A8">
        <w:t xml:space="preserve"> Timeline of</w:t>
      </w:r>
      <w:r w:rsidR="00427654" w:rsidRPr="00A115A8">
        <w:t xml:space="preserve"> Latrobe Valley</w:t>
      </w:r>
      <w:r w:rsidRPr="00A115A8">
        <w:t xml:space="preserve"> </w:t>
      </w:r>
      <w:r w:rsidR="006D148A" w:rsidRPr="00A115A8">
        <w:t>mining</w:t>
      </w:r>
      <w:r w:rsidR="00427654" w:rsidRPr="00A115A8">
        <w:t xml:space="preserve"> </w:t>
      </w:r>
      <w:r w:rsidR="00B64CE4" w:rsidRPr="00A115A8">
        <w:t>events,</w:t>
      </w:r>
      <w:r w:rsidR="006D148A" w:rsidRPr="00A115A8">
        <w:t xml:space="preserve"> inquiries and </w:t>
      </w:r>
      <w:r w:rsidR="003A71E3">
        <w:t>developments</w:t>
      </w:r>
      <w:bookmarkEnd w:id="75"/>
    </w:p>
    <w:p w14:paraId="2EE2F4AD" w14:textId="748F2D6B" w:rsidR="00766C77" w:rsidRDefault="00766C77" w:rsidP="00005215">
      <w:pPr>
        <w:jc w:val="center"/>
      </w:pPr>
      <w:r>
        <w:rPr>
          <w:noProof/>
        </w:rPr>
        <w:drawing>
          <wp:inline distT="0" distB="0" distL="0" distR="0" wp14:anchorId="33CE4B99" wp14:editId="196868BD">
            <wp:extent cx="5731510" cy="2224602"/>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2224602"/>
                    </a:xfrm>
                    <a:prstGeom prst="rect">
                      <a:avLst/>
                    </a:prstGeom>
                  </pic:spPr>
                </pic:pic>
              </a:graphicData>
            </a:graphic>
          </wp:inline>
        </w:drawing>
      </w:r>
    </w:p>
    <w:p w14:paraId="7D65F215" w14:textId="77777777" w:rsidR="00EC4ED2" w:rsidRDefault="00EC4ED2" w:rsidP="00832A2F"/>
    <w:p w14:paraId="5FC4A925" w14:textId="2D49ADF0" w:rsidR="004D59E4" w:rsidRDefault="004D59E4" w:rsidP="003F70FF">
      <w:pPr>
        <w:pStyle w:val="Heading6"/>
      </w:pPr>
      <w:r>
        <w:t>Yallourn Mine Batter Failure – Mining Warden’s Inquiry</w:t>
      </w:r>
    </w:p>
    <w:p w14:paraId="73B30265" w14:textId="7591667D" w:rsidR="004D59E4" w:rsidRDefault="004D59E4" w:rsidP="00832A2F">
      <w:r>
        <w:t>The large-scale batter failure at Yallourn mine in November 2007 was investigated by appointed Mining Warden Tim Sullivan. The Warden’s report, published in 2008, described the physical causes of the failure – water pressure in a crack in the coal, and water pressures in the interseam clays underlying the coal.</w:t>
      </w:r>
      <w:r>
        <w:rPr>
          <w:rStyle w:val="FootnoteReference"/>
        </w:rPr>
        <w:footnoteReference w:id="87"/>
      </w:r>
      <w:r>
        <w:t xml:space="preserve"> The Warden’s </w:t>
      </w:r>
      <w:r w:rsidR="0000127A">
        <w:t>report also</w:t>
      </w:r>
      <w:r>
        <w:t xml:space="preserve"> made broader findings about planning and risk management for both Yallourn and the Latrobe Valley </w:t>
      </w:r>
      <w:r w:rsidR="00E103A8">
        <w:t xml:space="preserve">coal </w:t>
      </w:r>
      <w:r>
        <w:t xml:space="preserve">mines in general. The Warden recommended a ‘more all-encompassing approach’ to ground and surface water and to planning in the Latrobe Valley, that Government investigate the establishment of a technical review board to review mining operations and their potential impacts; and that </w:t>
      </w:r>
      <w:r w:rsidR="00C47C42">
        <w:t>mine plans are thoroughly evaluated from a geotechnical and hydrogeological perspective before being adopted.</w:t>
      </w:r>
      <w:r w:rsidR="00C47C42">
        <w:rPr>
          <w:rStyle w:val="FootnoteReference"/>
        </w:rPr>
        <w:footnoteReference w:id="88"/>
      </w:r>
    </w:p>
    <w:p w14:paraId="38484B1D" w14:textId="3FE4BA8D" w:rsidR="00C47C42" w:rsidRDefault="00C47C42" w:rsidP="00832A2F">
      <w:r>
        <w:t xml:space="preserve">The Warden’s findings led to regulatory changes implemented by the </w:t>
      </w:r>
      <w:r>
        <w:rPr>
          <w:i/>
          <w:iCs/>
        </w:rPr>
        <w:t>Energy and Resources Legislation Amendment Act 2009</w:t>
      </w:r>
      <w:r>
        <w:t>. This Act created the Minister’s power to declare mines and a new set of stability obligations for declared mines.</w:t>
      </w:r>
    </w:p>
    <w:p w14:paraId="2F63E7C0" w14:textId="43D856F9" w:rsidR="00790FC7" w:rsidRDefault="00790FC7" w:rsidP="006951E6">
      <w:pPr>
        <w:pStyle w:val="Heading7"/>
      </w:pPr>
      <w:r>
        <w:t>Risks identified since Mini</w:t>
      </w:r>
      <w:r w:rsidR="00522095">
        <w:t>ng Warden’s Inquiry</w:t>
      </w:r>
    </w:p>
    <w:p w14:paraId="29EA38EC" w14:textId="2F22753B" w:rsidR="003010B0" w:rsidRDefault="17926F41" w:rsidP="003010B0">
      <w:pPr>
        <w:pStyle w:val="BodyText1"/>
        <w:spacing w:after="200" w:line="240" w:lineRule="auto"/>
        <w:rPr>
          <w:rFonts w:ascii="Arial" w:hAnsi="Arial" w:cs="Times New Roman"/>
          <w:color w:val="53565A"/>
          <w:sz w:val="18"/>
          <w:szCs w:val="18"/>
          <w:lang w:val="en-AU" w:eastAsia="en-US"/>
        </w:rPr>
      </w:pPr>
      <w:r w:rsidRPr="2B11BB45">
        <w:rPr>
          <w:rFonts w:ascii="Arial" w:hAnsi="Arial" w:cs="Times New Roman"/>
          <w:color w:val="53565A"/>
          <w:sz w:val="18"/>
          <w:szCs w:val="18"/>
          <w:lang w:val="en-AU" w:eastAsia="en-US"/>
        </w:rPr>
        <w:t xml:space="preserve">Since the Warden’s findings, cracks appeared immediately north of the Hazelwood mine in February 2011, leading to closure of portions of the Princes </w:t>
      </w:r>
      <w:r w:rsidR="00D162B8">
        <w:rPr>
          <w:rFonts w:ascii="Arial" w:hAnsi="Arial" w:cs="Times New Roman"/>
          <w:color w:val="53565A"/>
          <w:sz w:val="18"/>
          <w:szCs w:val="18"/>
          <w:lang w:val="en-AU" w:eastAsia="en-US"/>
        </w:rPr>
        <w:t>High</w:t>
      </w:r>
      <w:r w:rsidRPr="2B11BB45">
        <w:rPr>
          <w:rFonts w:ascii="Arial" w:hAnsi="Arial" w:cs="Times New Roman"/>
          <w:color w:val="53565A"/>
          <w:sz w:val="18"/>
          <w:szCs w:val="18"/>
          <w:lang w:val="en-AU" w:eastAsia="en-US"/>
        </w:rPr>
        <w:t xml:space="preserve">way for seven months. A Supreme Court of Victoria hearing determined that one of the factors leading to the event was inadequate maintenance of the </w:t>
      </w:r>
      <w:r w:rsidRPr="0097216D">
        <w:rPr>
          <w:rFonts w:ascii="Arial" w:hAnsi="Arial" w:cs="Times New Roman"/>
          <w:color w:val="53565A"/>
          <w:sz w:val="18"/>
          <w:szCs w:val="18"/>
          <w:lang w:val="en-AU" w:eastAsia="en-US"/>
        </w:rPr>
        <w:t xml:space="preserve">Morwell </w:t>
      </w:r>
      <w:r w:rsidR="00B45C0C" w:rsidRPr="0097216D">
        <w:rPr>
          <w:rFonts w:ascii="Arial" w:hAnsi="Arial" w:cs="Times New Roman"/>
          <w:color w:val="53565A"/>
          <w:sz w:val="18"/>
          <w:szCs w:val="18"/>
          <w:lang w:val="en-AU" w:eastAsia="en-US"/>
        </w:rPr>
        <w:t>m</w:t>
      </w:r>
      <w:r w:rsidRPr="0097216D">
        <w:rPr>
          <w:rFonts w:ascii="Arial" w:hAnsi="Arial" w:cs="Times New Roman"/>
          <w:color w:val="53565A"/>
          <w:sz w:val="18"/>
          <w:szCs w:val="18"/>
          <w:lang w:val="en-AU" w:eastAsia="en-US"/>
        </w:rPr>
        <w:t xml:space="preserve">ain </w:t>
      </w:r>
      <w:r w:rsidR="00B45C0C" w:rsidRPr="0097216D">
        <w:rPr>
          <w:rFonts w:ascii="Arial" w:hAnsi="Arial" w:cs="Times New Roman"/>
          <w:color w:val="53565A"/>
          <w:sz w:val="18"/>
          <w:szCs w:val="18"/>
          <w:lang w:val="en-AU" w:eastAsia="en-US"/>
        </w:rPr>
        <w:t>d</w:t>
      </w:r>
      <w:r w:rsidRPr="0097216D">
        <w:rPr>
          <w:rFonts w:ascii="Arial" w:hAnsi="Arial" w:cs="Times New Roman"/>
          <w:color w:val="53565A"/>
          <w:sz w:val="18"/>
          <w:szCs w:val="18"/>
          <w:lang w:val="en-AU" w:eastAsia="en-US"/>
        </w:rPr>
        <w:t>rain.</w:t>
      </w:r>
      <w:r w:rsidR="003010B0" w:rsidRPr="0097216D">
        <w:rPr>
          <w:rStyle w:val="FootnoteReference"/>
          <w:rFonts w:ascii="Arial" w:hAnsi="Arial" w:cs="Times New Roman"/>
          <w:color w:val="53565A"/>
          <w:sz w:val="18"/>
          <w:szCs w:val="20"/>
          <w:lang w:val="en-AU" w:eastAsia="en-US"/>
        </w:rPr>
        <w:footnoteReference w:id="89"/>
      </w:r>
      <w:r w:rsidRPr="0097216D">
        <w:rPr>
          <w:rFonts w:ascii="Arial" w:hAnsi="Arial" w:cs="Times New Roman"/>
          <w:color w:val="53565A"/>
          <w:sz w:val="18"/>
          <w:szCs w:val="18"/>
          <w:lang w:val="en-AU" w:eastAsia="en-US"/>
        </w:rPr>
        <w:t xml:space="preserve"> Soon after, the </w:t>
      </w:r>
      <w:r w:rsidR="00822C10" w:rsidRPr="0097216D">
        <w:rPr>
          <w:rFonts w:ascii="Arial" w:hAnsi="Arial" w:cs="Times New Roman"/>
          <w:color w:val="53565A"/>
          <w:sz w:val="18"/>
          <w:szCs w:val="18"/>
          <w:lang w:val="en-AU" w:eastAsia="en-US"/>
        </w:rPr>
        <w:t xml:space="preserve">elevated </w:t>
      </w:r>
      <w:r w:rsidRPr="0097216D">
        <w:rPr>
          <w:rFonts w:ascii="Arial" w:hAnsi="Arial" w:cs="Times New Roman"/>
          <w:color w:val="53565A"/>
          <w:sz w:val="18"/>
          <w:szCs w:val="18"/>
          <w:lang w:val="en-AU" w:eastAsia="en-US"/>
        </w:rPr>
        <w:t xml:space="preserve">Morwell River Diversion (MRD) </w:t>
      </w:r>
      <w:r w:rsidR="00E85926" w:rsidRPr="0097216D">
        <w:rPr>
          <w:rFonts w:ascii="Arial" w:hAnsi="Arial" w:cs="Times New Roman"/>
          <w:color w:val="53565A"/>
          <w:sz w:val="18"/>
          <w:szCs w:val="18"/>
          <w:lang w:val="en-AU" w:eastAsia="en-US"/>
        </w:rPr>
        <w:t xml:space="preserve">channel traversing the Yallourn mine </w:t>
      </w:r>
      <w:r w:rsidRPr="0097216D">
        <w:rPr>
          <w:rFonts w:ascii="Arial" w:hAnsi="Arial" w:cs="Times New Roman"/>
          <w:color w:val="53565A"/>
          <w:sz w:val="18"/>
          <w:szCs w:val="18"/>
          <w:lang w:val="en-AU" w:eastAsia="en-US"/>
        </w:rPr>
        <w:t xml:space="preserve">collapsed amidst flooding to Gippsland in </w:t>
      </w:r>
      <w:r w:rsidR="0026620B" w:rsidRPr="0097216D">
        <w:rPr>
          <w:rFonts w:ascii="Arial" w:hAnsi="Arial" w:cs="Times New Roman"/>
          <w:color w:val="53565A"/>
          <w:sz w:val="18"/>
          <w:szCs w:val="18"/>
          <w:lang w:val="en-AU" w:eastAsia="en-US"/>
        </w:rPr>
        <w:t xml:space="preserve">June </w:t>
      </w:r>
      <w:r w:rsidRPr="0097216D">
        <w:rPr>
          <w:rFonts w:ascii="Arial" w:hAnsi="Arial" w:cs="Times New Roman"/>
          <w:color w:val="53565A"/>
          <w:sz w:val="18"/>
          <w:szCs w:val="18"/>
          <w:lang w:val="en-AU" w:eastAsia="en-US"/>
        </w:rPr>
        <w:t>2012, sending millions of litres of water into the open</w:t>
      </w:r>
      <w:r w:rsidR="009C72D7" w:rsidRPr="0097216D">
        <w:rPr>
          <w:rFonts w:ascii="Arial" w:hAnsi="Arial" w:cs="Times New Roman"/>
          <w:color w:val="53565A"/>
          <w:sz w:val="18"/>
          <w:szCs w:val="18"/>
          <w:lang w:val="en-AU" w:eastAsia="en-US"/>
        </w:rPr>
        <w:t xml:space="preserve"> </w:t>
      </w:r>
      <w:r w:rsidRPr="0097216D">
        <w:rPr>
          <w:rFonts w:ascii="Arial" w:hAnsi="Arial" w:cs="Times New Roman"/>
          <w:color w:val="53565A"/>
          <w:sz w:val="18"/>
          <w:szCs w:val="18"/>
          <w:lang w:val="en-AU" w:eastAsia="en-US"/>
        </w:rPr>
        <w:t xml:space="preserve">cut mine. </w:t>
      </w:r>
      <w:r w:rsidR="00634A60" w:rsidRPr="0097216D">
        <w:rPr>
          <w:rFonts w:ascii="Arial" w:hAnsi="Arial" w:cs="Times New Roman"/>
          <w:color w:val="53565A"/>
          <w:sz w:val="18"/>
          <w:szCs w:val="18"/>
          <w:lang w:val="en-AU" w:eastAsia="en-US"/>
        </w:rPr>
        <w:t>A</w:t>
      </w:r>
      <w:r w:rsidR="00634A60">
        <w:rPr>
          <w:rFonts w:ascii="Arial" w:hAnsi="Arial" w:cs="Times New Roman"/>
          <w:color w:val="53565A"/>
          <w:sz w:val="18"/>
          <w:szCs w:val="18"/>
          <w:lang w:val="en-AU" w:eastAsia="en-US"/>
        </w:rPr>
        <w:t xml:space="preserve"> su</w:t>
      </w:r>
      <w:r w:rsidR="00DB02A1">
        <w:rPr>
          <w:rFonts w:ascii="Arial" w:hAnsi="Arial" w:cs="Times New Roman"/>
          <w:color w:val="53565A"/>
          <w:sz w:val="18"/>
          <w:szCs w:val="18"/>
          <w:lang w:val="en-AU" w:eastAsia="en-US"/>
        </w:rPr>
        <w:t xml:space="preserve">bsequent </w:t>
      </w:r>
      <w:r w:rsidRPr="2B11BB45">
        <w:rPr>
          <w:rFonts w:ascii="Arial" w:hAnsi="Arial" w:cs="Times New Roman"/>
          <w:color w:val="53565A"/>
          <w:sz w:val="18"/>
          <w:szCs w:val="18"/>
          <w:lang w:val="en-AU" w:eastAsia="en-US"/>
        </w:rPr>
        <w:t xml:space="preserve">inquiry by the Victorian Department of Primary Industries in 2013 outlined that the failure occurred due to a flaw in the design and </w:t>
      </w:r>
      <w:r w:rsidRPr="2B11BB45">
        <w:rPr>
          <w:rFonts w:ascii="Arial" w:hAnsi="Arial" w:cs="Times New Roman"/>
          <w:color w:val="53565A"/>
          <w:sz w:val="18"/>
          <w:szCs w:val="18"/>
          <w:lang w:val="en-AU" w:eastAsia="en-US"/>
        </w:rPr>
        <w:lastRenderedPageBreak/>
        <w:t>construction process where the materials required to fulfill the design were not available.</w:t>
      </w:r>
      <w:r w:rsidR="003010B0">
        <w:rPr>
          <w:rStyle w:val="FootnoteReference"/>
          <w:rFonts w:ascii="Arial" w:hAnsi="Arial" w:cs="Times New Roman"/>
          <w:color w:val="53565A"/>
          <w:sz w:val="18"/>
          <w:szCs w:val="20"/>
          <w:lang w:val="en-AU" w:eastAsia="en-US"/>
        </w:rPr>
        <w:footnoteReference w:id="90"/>
      </w:r>
      <w:r w:rsidRPr="2B11BB45">
        <w:rPr>
          <w:rFonts w:ascii="Arial" w:hAnsi="Arial" w:cs="Times New Roman"/>
          <w:color w:val="53565A"/>
          <w:sz w:val="18"/>
          <w:szCs w:val="18"/>
          <w:lang w:val="en-AU" w:eastAsia="en-US"/>
        </w:rPr>
        <w:t xml:space="preserve"> Subsequent flooding to Gippsland from June 2021 also led to the identification of damage to </w:t>
      </w:r>
      <w:r w:rsidR="0012502E">
        <w:rPr>
          <w:rFonts w:ascii="Arial" w:hAnsi="Arial" w:cs="Times New Roman"/>
          <w:color w:val="53565A"/>
          <w:sz w:val="18"/>
          <w:szCs w:val="18"/>
          <w:lang w:val="en-AU" w:eastAsia="en-US"/>
        </w:rPr>
        <w:t xml:space="preserve">the </w:t>
      </w:r>
      <w:r w:rsidR="00ED0E7B">
        <w:rPr>
          <w:rFonts w:ascii="Arial" w:hAnsi="Arial" w:cs="Times New Roman"/>
          <w:color w:val="53565A"/>
          <w:sz w:val="18"/>
          <w:szCs w:val="18"/>
          <w:lang w:val="en-AU" w:eastAsia="en-US"/>
        </w:rPr>
        <w:t>e</w:t>
      </w:r>
      <w:r w:rsidR="00ED0E7B" w:rsidRPr="00ED0E7B">
        <w:rPr>
          <w:rFonts w:ascii="Arial" w:hAnsi="Arial" w:cs="Times New Roman"/>
          <w:color w:val="53565A"/>
          <w:sz w:val="18"/>
          <w:szCs w:val="18"/>
          <w:lang w:val="en-AU" w:eastAsia="en-US"/>
        </w:rPr>
        <w:t xml:space="preserve">levated MRD channel traversing the </w:t>
      </w:r>
      <w:r w:rsidR="0012502E">
        <w:rPr>
          <w:rFonts w:ascii="Arial" w:hAnsi="Arial" w:cs="Times New Roman"/>
          <w:color w:val="53565A"/>
          <w:sz w:val="18"/>
          <w:szCs w:val="18"/>
          <w:lang w:val="en-AU" w:eastAsia="en-US"/>
        </w:rPr>
        <w:t xml:space="preserve">Yallourn </w:t>
      </w:r>
      <w:r w:rsidR="00ED0E7B" w:rsidRPr="00ED0E7B">
        <w:rPr>
          <w:rFonts w:ascii="Arial" w:hAnsi="Arial" w:cs="Times New Roman"/>
          <w:color w:val="53565A"/>
          <w:sz w:val="18"/>
          <w:szCs w:val="18"/>
          <w:lang w:val="en-AU" w:eastAsia="en-US"/>
        </w:rPr>
        <w:t>mine</w:t>
      </w:r>
      <w:r w:rsidRPr="2B11BB45">
        <w:rPr>
          <w:rFonts w:ascii="Arial" w:hAnsi="Arial" w:cs="Times New Roman"/>
          <w:color w:val="53565A"/>
          <w:sz w:val="18"/>
          <w:szCs w:val="18"/>
          <w:lang w:val="en-AU" w:eastAsia="en-US"/>
        </w:rPr>
        <w:t>. The 2021 event forced EnergyAustralia to operate power production at one-quarter of its capacity, resulting in over 25,000 Dandenong Ranges</w:t>
      </w:r>
      <w:r w:rsidR="00D400A8">
        <w:rPr>
          <w:rFonts w:ascii="Arial" w:hAnsi="Arial" w:cs="Times New Roman"/>
          <w:color w:val="53565A"/>
          <w:sz w:val="18"/>
          <w:szCs w:val="18"/>
          <w:lang w:val="en-AU" w:eastAsia="en-US"/>
        </w:rPr>
        <w:t xml:space="preserve"> </w:t>
      </w:r>
      <w:r w:rsidRPr="2B11BB45">
        <w:rPr>
          <w:rFonts w:ascii="Arial" w:hAnsi="Arial" w:cs="Times New Roman"/>
          <w:color w:val="53565A"/>
          <w:sz w:val="18"/>
          <w:szCs w:val="18"/>
          <w:lang w:val="en-AU" w:eastAsia="en-US"/>
        </w:rPr>
        <w:t xml:space="preserve">properties being unpowered during the peak of Victoria’s winter. On Thursday 17 June 2021, Victoria declared a state of energy emergency. The 2021 flooding was one of the most significant rainfall events to occur in Victoria for 14 years with EnergyAustralia noting the river channel saw more than 30 times the standard volume of water </w:t>
      </w:r>
      <w:r w:rsidR="00B449F1">
        <w:rPr>
          <w:rFonts w:ascii="Arial" w:hAnsi="Arial" w:cs="Times New Roman"/>
          <w:color w:val="53565A"/>
          <w:sz w:val="18"/>
          <w:szCs w:val="18"/>
          <w:lang w:val="en-AU" w:eastAsia="en-US"/>
        </w:rPr>
        <w:t xml:space="preserve">to </w:t>
      </w:r>
      <w:r w:rsidRPr="2B11BB45">
        <w:rPr>
          <w:rFonts w:ascii="Arial" w:hAnsi="Arial" w:cs="Times New Roman"/>
          <w:color w:val="53565A"/>
          <w:sz w:val="18"/>
          <w:szCs w:val="18"/>
          <w:lang w:val="en-AU" w:eastAsia="en-US"/>
        </w:rPr>
        <w:t>impact the MRD area.</w:t>
      </w:r>
      <w:r w:rsidR="003010B0">
        <w:rPr>
          <w:rStyle w:val="FootnoteReference"/>
          <w:rFonts w:ascii="Arial" w:hAnsi="Arial" w:cs="Times New Roman"/>
          <w:color w:val="53565A"/>
          <w:sz w:val="18"/>
          <w:szCs w:val="20"/>
          <w:lang w:val="en-AU" w:eastAsia="en-US"/>
        </w:rPr>
        <w:footnoteReference w:id="91"/>
      </w:r>
      <w:r w:rsidR="00B449F1">
        <w:rPr>
          <w:rFonts w:ascii="Arial" w:hAnsi="Arial" w:cs="Times New Roman"/>
          <w:color w:val="53565A"/>
          <w:sz w:val="18"/>
          <w:szCs w:val="18"/>
          <w:lang w:val="en-AU" w:eastAsia="en-US"/>
        </w:rPr>
        <w:t xml:space="preserve"> </w:t>
      </w:r>
    </w:p>
    <w:p w14:paraId="05ABC67C" w14:textId="4CAB9374" w:rsidR="003010B0" w:rsidRDefault="003010B0" w:rsidP="00800A3B">
      <w:pPr>
        <w:pStyle w:val="BodyText1"/>
        <w:spacing w:after="200" w:line="240" w:lineRule="auto"/>
        <w:rPr>
          <w:rFonts w:ascii="Arial" w:hAnsi="Arial" w:cs="Times New Roman"/>
          <w:color w:val="53565A"/>
          <w:sz w:val="18"/>
          <w:szCs w:val="18"/>
          <w:lang w:val="en-AU" w:eastAsia="en-US"/>
        </w:rPr>
      </w:pPr>
      <w:r w:rsidRPr="7B3EF51E">
        <w:rPr>
          <w:rFonts w:ascii="Arial" w:hAnsi="Arial" w:cs="Times New Roman"/>
          <w:color w:val="53565A"/>
          <w:sz w:val="18"/>
          <w:szCs w:val="18"/>
          <w:lang w:val="en-AU" w:eastAsia="en-US"/>
        </w:rPr>
        <w:t xml:space="preserve">Work is underway to redirect river flows around the </w:t>
      </w:r>
      <w:r w:rsidR="00C7492A">
        <w:rPr>
          <w:rFonts w:ascii="Arial" w:hAnsi="Arial" w:cs="Times New Roman"/>
          <w:color w:val="53565A"/>
          <w:sz w:val="18"/>
          <w:szCs w:val="18"/>
          <w:lang w:val="en-AU" w:eastAsia="en-US"/>
        </w:rPr>
        <w:t xml:space="preserve">MRD </w:t>
      </w:r>
      <w:r w:rsidRPr="7B3EF51E">
        <w:rPr>
          <w:rFonts w:ascii="Arial" w:hAnsi="Arial" w:cs="Times New Roman"/>
          <w:color w:val="53565A"/>
          <w:sz w:val="18"/>
          <w:szCs w:val="18"/>
          <w:lang w:val="en-AU" w:eastAsia="en-US"/>
        </w:rPr>
        <w:t xml:space="preserve">channel </w:t>
      </w:r>
      <w:r w:rsidR="00C7492A">
        <w:rPr>
          <w:rFonts w:ascii="Arial" w:hAnsi="Arial" w:cs="Times New Roman"/>
          <w:color w:val="53565A"/>
          <w:sz w:val="18"/>
          <w:szCs w:val="18"/>
          <w:lang w:val="en-AU" w:eastAsia="en-US"/>
        </w:rPr>
        <w:t>traversing the Yallourn mine</w:t>
      </w:r>
      <w:r w:rsidRPr="7B3EF51E">
        <w:rPr>
          <w:rFonts w:ascii="Arial" w:hAnsi="Arial" w:cs="Times New Roman"/>
          <w:color w:val="53565A"/>
          <w:sz w:val="18"/>
          <w:szCs w:val="18"/>
          <w:lang w:val="en-AU" w:eastAsia="en-US"/>
        </w:rPr>
        <w:t xml:space="preserve"> to conduct remediation repairs since 2021, but any future excessive flows or flooding event will be a risk to the integrity of the MRD, temporary works, and the mine site. The operator is progressing repairs on the MRD water bypass system with temporary repairs finalised. The operator has been granted Victorian Government approval to dewater the MRD channel to assess the damage to the MRD and estimate what additional repairs are needed. After dewatering, construction and repairs are estimated to take up to 18 months to complete.</w:t>
      </w:r>
      <w:r>
        <w:rPr>
          <w:rStyle w:val="FootnoteReference"/>
          <w:rFonts w:ascii="Arial" w:hAnsi="Arial" w:cs="Times New Roman"/>
          <w:color w:val="53565A"/>
          <w:sz w:val="18"/>
          <w:szCs w:val="20"/>
          <w:lang w:val="en-AU" w:eastAsia="en-US"/>
        </w:rPr>
        <w:footnoteReference w:id="92"/>
      </w:r>
      <w:r w:rsidRPr="7B3EF51E">
        <w:rPr>
          <w:rFonts w:ascii="Arial" w:hAnsi="Arial" w:cs="Times New Roman"/>
          <w:color w:val="53565A"/>
          <w:sz w:val="18"/>
          <w:szCs w:val="18"/>
          <w:lang w:val="en-AU" w:eastAsia="en-US"/>
        </w:rPr>
        <w:t xml:space="preserve"> </w:t>
      </w:r>
    </w:p>
    <w:p w14:paraId="44D58113" w14:textId="08CF8F4E" w:rsidR="00C47C42" w:rsidRPr="00800A3B" w:rsidRDefault="00C47C42" w:rsidP="001165C1">
      <w:pPr>
        <w:pStyle w:val="Heading6"/>
      </w:pPr>
      <w:r w:rsidRPr="00800A3B">
        <w:t>Hazelwood Mine Fire Inquiry</w:t>
      </w:r>
      <w:r w:rsidR="00832A2F" w:rsidRPr="00800A3B">
        <w:t xml:space="preserve"> (HMFI)</w:t>
      </w:r>
    </w:p>
    <w:p w14:paraId="432B25AC" w14:textId="7D20C64D" w:rsidR="003704C8" w:rsidRPr="00800A3B" w:rsidRDefault="00C47C42" w:rsidP="00800A3B">
      <w:pPr>
        <w:pStyle w:val="BodyText1"/>
        <w:spacing w:after="200" w:line="240" w:lineRule="auto"/>
        <w:rPr>
          <w:rFonts w:ascii="Arial" w:hAnsi="Arial" w:cs="Times New Roman"/>
          <w:color w:val="53565A"/>
          <w:sz w:val="18"/>
          <w:szCs w:val="18"/>
          <w:lang w:val="en-AU" w:eastAsia="en-US"/>
        </w:rPr>
      </w:pPr>
      <w:r w:rsidRPr="7B023A31">
        <w:rPr>
          <w:rFonts w:ascii="Arial" w:hAnsi="Arial" w:cs="Times New Roman"/>
          <w:color w:val="53565A"/>
          <w:sz w:val="18"/>
          <w:szCs w:val="18"/>
          <w:lang w:val="en-AU" w:eastAsia="en-US"/>
        </w:rPr>
        <w:t xml:space="preserve">The </w:t>
      </w:r>
      <w:r w:rsidR="00832A2F" w:rsidRPr="7B023A31">
        <w:rPr>
          <w:rFonts w:ascii="Arial" w:hAnsi="Arial" w:cs="Times New Roman"/>
          <w:color w:val="53565A"/>
          <w:sz w:val="18"/>
          <w:szCs w:val="18"/>
          <w:lang w:val="en-AU" w:eastAsia="en-US"/>
        </w:rPr>
        <w:t>Inquiry</w:t>
      </w:r>
      <w:r w:rsidRPr="7B023A31">
        <w:rPr>
          <w:rFonts w:ascii="Arial" w:hAnsi="Arial" w:cs="Times New Roman"/>
          <w:color w:val="53565A"/>
          <w:sz w:val="18"/>
          <w:szCs w:val="18"/>
          <w:lang w:val="en-AU" w:eastAsia="en-US"/>
        </w:rPr>
        <w:t xml:space="preserve"> into the 2014 fire at the Hazelwood mine investigated the causes, </w:t>
      </w:r>
      <w:r w:rsidRPr="7B023A31" w:rsidDel="00A27027">
        <w:rPr>
          <w:rFonts w:ascii="Arial" w:hAnsi="Arial" w:cs="Times New Roman"/>
          <w:color w:val="53565A"/>
          <w:sz w:val="18"/>
          <w:szCs w:val="18"/>
          <w:lang w:val="en-AU" w:eastAsia="en-US"/>
        </w:rPr>
        <w:t>management</w:t>
      </w:r>
      <w:r w:rsidR="00A27027" w:rsidRPr="7B023A31">
        <w:rPr>
          <w:rFonts w:ascii="Arial" w:hAnsi="Arial" w:cs="Times New Roman"/>
          <w:color w:val="53565A"/>
          <w:sz w:val="18"/>
          <w:szCs w:val="18"/>
          <w:lang w:val="en-AU" w:eastAsia="en-US"/>
        </w:rPr>
        <w:t>,</w:t>
      </w:r>
      <w:r w:rsidRPr="7B023A31">
        <w:rPr>
          <w:rFonts w:ascii="Arial" w:hAnsi="Arial" w:cs="Times New Roman"/>
          <w:color w:val="53565A"/>
          <w:sz w:val="18"/>
          <w:szCs w:val="18"/>
          <w:lang w:val="en-AU" w:eastAsia="en-US"/>
        </w:rPr>
        <w:t xml:space="preserve"> and consequences of the fire</w:t>
      </w:r>
      <w:r w:rsidR="00832A2F" w:rsidRPr="7B023A31">
        <w:rPr>
          <w:rFonts w:ascii="Arial" w:hAnsi="Arial" w:cs="Times New Roman"/>
          <w:color w:val="53565A"/>
          <w:sz w:val="18"/>
          <w:szCs w:val="18"/>
          <w:lang w:val="en-AU" w:eastAsia="en-US"/>
        </w:rPr>
        <w:t xml:space="preserve">. </w:t>
      </w:r>
      <w:r w:rsidR="003704C8" w:rsidRPr="7B023A31">
        <w:rPr>
          <w:rFonts w:ascii="Arial" w:hAnsi="Arial" w:cs="Times New Roman"/>
          <w:color w:val="53565A"/>
          <w:sz w:val="18"/>
          <w:szCs w:val="18"/>
          <w:lang w:val="en-AU" w:eastAsia="en-US"/>
        </w:rPr>
        <w:t>The final report released by the HMFI made extensive findings in relation to the viability of proposed rehabilitation options for the Latrobe Valley</w:t>
      </w:r>
      <w:r w:rsidR="00AC032E" w:rsidRPr="7B023A31">
        <w:rPr>
          <w:rFonts w:ascii="Arial" w:hAnsi="Arial" w:cs="Times New Roman"/>
          <w:color w:val="53565A"/>
          <w:sz w:val="18"/>
          <w:szCs w:val="18"/>
          <w:lang w:val="en-AU" w:eastAsia="en-US"/>
        </w:rPr>
        <w:t xml:space="preserve"> coal</w:t>
      </w:r>
      <w:r w:rsidR="003704C8" w:rsidRPr="7B023A31">
        <w:rPr>
          <w:rFonts w:ascii="Arial" w:hAnsi="Arial" w:cs="Times New Roman"/>
          <w:color w:val="53565A"/>
          <w:sz w:val="18"/>
          <w:szCs w:val="18"/>
          <w:lang w:val="en-AU" w:eastAsia="en-US"/>
        </w:rPr>
        <w:t xml:space="preserve"> mines</w:t>
      </w:r>
      <w:r w:rsidR="004A18C6" w:rsidRPr="7B023A31">
        <w:rPr>
          <w:rFonts w:ascii="Arial" w:hAnsi="Arial" w:cs="Times New Roman"/>
          <w:color w:val="53565A"/>
          <w:sz w:val="18"/>
          <w:szCs w:val="18"/>
          <w:lang w:val="en-AU" w:eastAsia="en-US"/>
        </w:rPr>
        <w:t>, the accuracy of the liability assessments for the rehabilitation of the mines,</w:t>
      </w:r>
      <w:r w:rsidR="003704C8" w:rsidRPr="7B023A31">
        <w:rPr>
          <w:rFonts w:ascii="Arial" w:hAnsi="Arial" w:cs="Times New Roman"/>
          <w:color w:val="53565A"/>
          <w:sz w:val="18"/>
          <w:szCs w:val="18"/>
          <w:lang w:val="en-AU" w:eastAsia="en-US"/>
        </w:rPr>
        <w:t xml:space="preserve"> and the framework regulating mining rehabilitation.</w:t>
      </w:r>
    </w:p>
    <w:p w14:paraId="154C0499" w14:textId="07DC0AF0" w:rsidR="00832A2F" w:rsidRDefault="1C64EBC7" w:rsidP="00800A3B">
      <w:r>
        <w:t>In relation to the rehabilitation options for the mines, t</w:t>
      </w:r>
      <w:r w:rsidR="7ED97749">
        <w:t>he</w:t>
      </w:r>
      <w:r w:rsidR="115F0B97">
        <w:t xml:space="preserve"> HMFI </w:t>
      </w:r>
      <w:r w:rsidR="7ED97749">
        <w:t>concluded that there were many unresolved issues and gaps</w:t>
      </w:r>
      <w:r w:rsidR="115F0B97">
        <w:t xml:space="preserve"> in mine operators’ and government knowledge about rehabilitation pathways for the Latrobe Valley </w:t>
      </w:r>
      <w:r w:rsidR="0067EA0E">
        <w:t xml:space="preserve">coal </w:t>
      </w:r>
      <w:r w:rsidR="115F0B97">
        <w:t>mines</w:t>
      </w:r>
      <w:r w:rsidR="7ED97749">
        <w:t>, particularly in relation to the viability of rehabilitation to the mines’ proposed post-mining pit lake landform.</w:t>
      </w:r>
      <w:r w:rsidR="00344757">
        <w:rPr>
          <w:rStyle w:val="FootnoteReference"/>
        </w:rPr>
        <w:footnoteReference w:id="93"/>
      </w:r>
      <w:r>
        <w:t xml:space="preserve"> In response, a process for developing a region-wide rehabilitation planning strategy, with parallel research into the mine sites and rehabilitation pathways, was initiated. The resulting </w:t>
      </w:r>
      <w:r w:rsidRPr="44AE50F4">
        <w:rPr>
          <w:i/>
          <w:iCs/>
        </w:rPr>
        <w:t>Latrobe Valley Regional Rehabilitation Strategy</w:t>
      </w:r>
      <w:r>
        <w:t xml:space="preserve"> </w:t>
      </w:r>
      <w:r w:rsidR="181009BA">
        <w:t xml:space="preserve">(‘LVRRS’) </w:t>
      </w:r>
      <w:r>
        <w:t>is described in more detail below. The role of the Latrobe Valley Mine Rehabilitation Commissioner was also created through amendments to the Act in 2017. The Commissioner’s role was to oversee and report to government on progress in developing the regional strategy and in rehabilitation planning by the mine operators. The Commissioner also played a role in promoting participation of local community and stakeholders within the Latrobe Valley in mine rehabilitation.</w:t>
      </w:r>
      <w:r w:rsidR="003704C8">
        <w:rPr>
          <w:rStyle w:val="FootnoteReference"/>
        </w:rPr>
        <w:footnoteReference w:id="94"/>
      </w:r>
    </w:p>
    <w:p w14:paraId="106D156C" w14:textId="5E388E35" w:rsidR="004A18C6" w:rsidRDefault="608D88E7" w:rsidP="00832A2F">
      <w:r>
        <w:t>The HM</w:t>
      </w:r>
      <w:r w:rsidR="5133B85B">
        <w:t>F</w:t>
      </w:r>
      <w:r>
        <w:t>I concluded that the rehabilitation liability estimates for the mine were likely to be based on some unsound assumptions, and that significant further research and planning would be required to accurately determine the likely rehabilitation costs for the mines.</w:t>
      </w:r>
      <w:r w:rsidR="004A18C6">
        <w:rPr>
          <w:rStyle w:val="FootnoteReference"/>
        </w:rPr>
        <w:footnoteReference w:id="95"/>
      </w:r>
      <w:r w:rsidR="3DC85627">
        <w:t xml:space="preserve"> The Inquiry also considered the functioning of the system for setting bonds, and the adequacy of the bonds set for each of the Latrobe Valley mines. </w:t>
      </w:r>
      <w:r w:rsidR="5133B85B">
        <w:t>Several liability assessments were reviewed by the HMFI, including the mine operators’ assessments and an independent set completed by consultant AECOM. The bonds set for the mines were lower than both sets of liability assessment, which the HMFI concluded exposed the State to the risk that it would bear a significant proportion of the cost of rehabilitation in the event of default by one or more of the mine operators.</w:t>
      </w:r>
      <w:r w:rsidR="009525CE">
        <w:rPr>
          <w:rStyle w:val="FootnoteReference"/>
        </w:rPr>
        <w:footnoteReference w:id="96"/>
      </w:r>
      <w:r w:rsidR="5133B85B">
        <w:t xml:space="preserve"> </w:t>
      </w:r>
    </w:p>
    <w:p w14:paraId="0375AA06" w14:textId="49FDD371" w:rsidR="009525CE" w:rsidRDefault="5133B85B" w:rsidP="00832A2F">
      <w:r>
        <w:t>Finally, the HMFI concluded that the work plans of the mines (in relation to rehabilitation) were conceptual and lacked detail.</w:t>
      </w:r>
      <w:r w:rsidR="009525CE">
        <w:rPr>
          <w:rStyle w:val="FootnoteReference"/>
        </w:rPr>
        <w:footnoteReference w:id="97"/>
      </w:r>
      <w:r>
        <w:t xml:space="preserve"> This was considered to be a consequence of the regulatory framework.</w:t>
      </w:r>
      <w:r w:rsidR="0D4363FC">
        <w:t xml:space="preserve"> More generally, the HMFI considered that the regulatory scheme was ‘ill-suited to contemporary needs’, and that the legislation should be ‘more concerned with ensuring that relevant risks are addressed by mine operators’.</w:t>
      </w:r>
      <w:r w:rsidR="00E81EA4">
        <w:rPr>
          <w:rStyle w:val="FootnoteReference"/>
        </w:rPr>
        <w:footnoteReference w:id="98"/>
      </w:r>
      <w:r w:rsidR="0D4363FC">
        <w:t xml:space="preserve"> In part, this was because although the mine operators had complied with their rehabilitation obligations under the Act, the obligations themselves and their implementation were insufficient to ensure that rehabilitation would be successful.</w:t>
      </w:r>
      <w:r w:rsidR="00E81EA4">
        <w:rPr>
          <w:rStyle w:val="FootnoteReference"/>
        </w:rPr>
        <w:footnoteReference w:id="99"/>
      </w:r>
      <w:r w:rsidR="0D4363FC">
        <w:t xml:space="preserve"> In light </w:t>
      </w:r>
      <w:r w:rsidR="0D4363FC">
        <w:lastRenderedPageBreak/>
        <w:t>of its findings about the regulatory framework, the HMFI recommended improvements to the Act and its supporting regulations to address the need for:</w:t>
      </w:r>
      <w:r w:rsidR="00E81EA4">
        <w:rPr>
          <w:rStyle w:val="FootnoteReference"/>
        </w:rPr>
        <w:footnoteReference w:id="100"/>
      </w:r>
    </w:p>
    <w:p w14:paraId="0C10FA22" w14:textId="1928A2F0" w:rsidR="00E81EA4" w:rsidRDefault="00E81EA4" w:rsidP="00AB22B6">
      <w:pPr>
        <w:pStyle w:val="dotpoints"/>
      </w:pPr>
      <w:r>
        <w:t>A dedicated Part of the Mineral Resources Act that exclusively regulates the Latrobe Valley</w:t>
      </w:r>
      <w:r w:rsidR="00FA3456">
        <w:t xml:space="preserve"> coal</w:t>
      </w:r>
      <w:r>
        <w:t xml:space="preserve"> mines</w:t>
      </w:r>
    </w:p>
    <w:p w14:paraId="4211A714" w14:textId="7AB90B2C" w:rsidR="00E81EA4" w:rsidRDefault="00E81EA4" w:rsidP="00AB22B6">
      <w:pPr>
        <w:pStyle w:val="dotpoints"/>
      </w:pPr>
      <w:r>
        <w:t>Definitions and criteria for progressive and final rehabilitation</w:t>
      </w:r>
    </w:p>
    <w:p w14:paraId="79B30417" w14:textId="27EEA041" w:rsidR="00E81EA4" w:rsidRDefault="00E81EA4" w:rsidP="00AB22B6">
      <w:pPr>
        <w:pStyle w:val="dotpoints"/>
      </w:pPr>
      <w:r>
        <w:t>Definitions and criteria for closure</w:t>
      </w:r>
    </w:p>
    <w:p w14:paraId="1D4822B9" w14:textId="57A275FC" w:rsidR="00E81EA4" w:rsidRDefault="00E81EA4" w:rsidP="00E81EA4">
      <w:pPr>
        <w:pStyle w:val="dotpoints"/>
      </w:pPr>
      <w:r>
        <w:t>Transparent processes for the referral of work plans and work plan variations to relevant State agencies and referral authorities, which compel the Mining Regulator to act on the advice received</w:t>
      </w:r>
    </w:p>
    <w:p w14:paraId="183E7ADB" w14:textId="0DE5950C" w:rsidR="00E81EA4" w:rsidRDefault="00E81EA4" w:rsidP="00E81EA4">
      <w:pPr>
        <w:pStyle w:val="dotpoints"/>
      </w:pPr>
      <w:r>
        <w:t>Strengthened criteria for community consultation and engagement under s. 39A of the Mineral Resources Act and/or in community engagement plans</w:t>
      </w:r>
    </w:p>
    <w:p w14:paraId="6FBF5489" w14:textId="26386E9B" w:rsidR="00E81EA4" w:rsidRDefault="00E81EA4" w:rsidP="00E81EA4">
      <w:pPr>
        <w:pStyle w:val="dotpoints"/>
      </w:pPr>
      <w:r>
        <w:t>Clarity about the roles of the mine operators and the State in ongoing post-closure monitoring and maintenance</w:t>
      </w:r>
    </w:p>
    <w:p w14:paraId="0C7D096C" w14:textId="77104679" w:rsidR="00E81EA4" w:rsidRDefault="00E81EA4" w:rsidP="00AB22B6">
      <w:pPr>
        <w:pStyle w:val="dotpoints"/>
      </w:pPr>
      <w:r>
        <w:t>Clarity about the role and required skills and expertise of auditors of rehabilitation liability assessments and the auditor accreditation process</w:t>
      </w:r>
    </w:p>
    <w:p w14:paraId="559F0D99" w14:textId="78CCFDDB" w:rsidR="00E81EA4" w:rsidRDefault="00E81EA4" w:rsidP="00AB22B6">
      <w:r>
        <w:t xml:space="preserve">These findings and recommendations ultimately led to the development and enactment of the Amendment Act in 2019. More detail about how each element of the declared mine rehabilitation framework introduced by the Amendment Act responds to </w:t>
      </w:r>
      <w:r w:rsidR="007C1820">
        <w:t xml:space="preserve">the HMFI recommendations is included in </w:t>
      </w:r>
      <w:r w:rsidR="0025679A">
        <w:fldChar w:fldCharType="begin"/>
      </w:r>
      <w:r w:rsidR="0025679A">
        <w:instrText xml:space="preserve"> REF _Ref62463248 \r \h </w:instrText>
      </w:r>
      <w:r w:rsidR="0025679A">
        <w:fldChar w:fldCharType="separate"/>
      </w:r>
      <w:r w:rsidR="000B3BF6">
        <w:t>2.2.2</w:t>
      </w:r>
      <w:r w:rsidR="0025679A">
        <w:fldChar w:fldCharType="end"/>
      </w:r>
      <w:r w:rsidR="00C470CA">
        <w:t>.</w:t>
      </w:r>
    </w:p>
    <w:p w14:paraId="4B7795B9" w14:textId="7468CAB5" w:rsidR="007C1820" w:rsidRPr="00DA7F73" w:rsidRDefault="007C1820" w:rsidP="003F70FF">
      <w:pPr>
        <w:pStyle w:val="Heading6"/>
      </w:pPr>
      <w:r>
        <w:t>Latrobe Valley Regional Rehabilitation Strategy</w:t>
      </w:r>
    </w:p>
    <w:p w14:paraId="2913FED8" w14:textId="77777777" w:rsidR="007C1820" w:rsidRDefault="007C1820" w:rsidP="007C1820">
      <w:r>
        <w:t>The LVRRS is the centrepiece of the government’s response to the Hazelwood Mine Fire Inquiry, and delivers on the legislated requirement under the Act for the Minister for Resources to prepare a document that sets out a strategy in relation to:</w:t>
      </w:r>
    </w:p>
    <w:p w14:paraId="7F245E4F" w14:textId="77777777" w:rsidR="007C1820" w:rsidRDefault="007C1820" w:rsidP="007C1820">
      <w:pPr>
        <w:pStyle w:val="ListBullet"/>
      </w:pPr>
      <w:r>
        <w:t>the safety, stability and sustainability of coal mine land and any adjacent land;</w:t>
      </w:r>
    </w:p>
    <w:p w14:paraId="31430598" w14:textId="77777777" w:rsidR="007C1820" w:rsidRDefault="007C1820" w:rsidP="007C1820">
      <w:pPr>
        <w:pStyle w:val="ListBullet"/>
      </w:pPr>
      <w:r>
        <w:t xml:space="preserve">the planning for the Latrobe Valley region in relation to the rehabilitation of coal mine land and any adjacent land, and the relationship between each mine void; and </w:t>
      </w:r>
    </w:p>
    <w:p w14:paraId="733A6CA9" w14:textId="77777777" w:rsidR="007C1820" w:rsidRDefault="5F474FDA" w:rsidP="007C1820">
      <w:pPr>
        <w:pStyle w:val="ListBullet"/>
      </w:pPr>
      <w:r>
        <w:t>the development of a plan for the monitoring and evaluation of coal mine land after rehabilitation of that land is complete.</w:t>
      </w:r>
      <w:r w:rsidR="007C1820">
        <w:rPr>
          <w:rStyle w:val="FootnoteReference"/>
        </w:rPr>
        <w:footnoteReference w:id="101"/>
      </w:r>
    </w:p>
    <w:p w14:paraId="2367846F" w14:textId="6D78B1BB" w:rsidR="007C1820" w:rsidRDefault="5F474FDA" w:rsidP="007C1820">
      <w:r>
        <w:t>The LVRRS supports integrated planning and decision-making for the rehabilitation of the Latrobe Valley coal mines by providing guidance to the community, mine licensees, public sector bodies and other stakeholders on matters relevant to the rehabilitation of the mines.</w:t>
      </w:r>
      <w:r w:rsidR="007C1820">
        <w:rPr>
          <w:rStyle w:val="FootnoteReference"/>
        </w:rPr>
        <w:footnoteReference w:id="102"/>
      </w:r>
      <w:r w:rsidR="589CDE36">
        <w:t xml:space="preserve"> </w:t>
      </w:r>
    </w:p>
    <w:p w14:paraId="7417A930" w14:textId="77777777" w:rsidR="00C470CA" w:rsidRDefault="030CB1DC" w:rsidP="00C470CA">
      <w:r>
        <w:t>The LVRRS also sought to address knowledge gaps that have been identified in the viability of proposed rehabilitation options for the mines (i.e., pit lakes).</w:t>
      </w:r>
      <w:r w:rsidR="00C470CA">
        <w:rPr>
          <w:rStyle w:val="FootnoteReference"/>
        </w:rPr>
        <w:footnoteReference w:id="103"/>
      </w:r>
      <w:r>
        <w:t xml:space="preserve"> Technical studies of the region’s water and geotechnical characteristics were completed as part of the LVRSS program.</w:t>
      </w:r>
    </w:p>
    <w:p w14:paraId="4AC295BE" w14:textId="7534F81E" w:rsidR="00C470CA" w:rsidRDefault="030CB1DC" w:rsidP="00C470CA">
      <w:r>
        <w:t>The LVRRS Geotechnical Study found that</w:t>
      </w:r>
      <w:r w:rsidR="04303D4A">
        <w:t xml:space="preserve"> without </w:t>
      </w:r>
      <w:r w:rsidR="00585C07">
        <w:t xml:space="preserve">active </w:t>
      </w:r>
      <w:r w:rsidR="04303D4A">
        <w:t xml:space="preserve">rehabilitation </w:t>
      </w:r>
      <w:r>
        <w:t xml:space="preserve">controls </w:t>
      </w:r>
      <w:r w:rsidR="57CE60A1">
        <w:t>(</w:t>
      </w:r>
      <w:r w:rsidR="00C61534">
        <w:t>i.e.,</w:t>
      </w:r>
      <w:r w:rsidR="57CE60A1">
        <w:t xml:space="preserve"> maintaining horizontal bores in the batters, groundwater depressurisation, surface water diversions, ground movement monitoring, fire suppression systems) </w:t>
      </w:r>
      <w:r>
        <w:t xml:space="preserve">and regulation practices cannot guarantee the prevention of major ground movements or coal fires. </w:t>
      </w:r>
      <w:r w:rsidR="04303D4A">
        <w:t xml:space="preserve">Rehabilitation would </w:t>
      </w:r>
      <w:r w:rsidR="00E72088">
        <w:t xml:space="preserve">implement and </w:t>
      </w:r>
      <w:r w:rsidR="003F36DE">
        <w:t xml:space="preserve">maximise the use of </w:t>
      </w:r>
      <w:r w:rsidR="04303D4A">
        <w:t>p</w:t>
      </w:r>
      <w:r>
        <w:t xml:space="preserve">assive controls </w:t>
      </w:r>
      <w:r w:rsidR="002857FB">
        <w:t xml:space="preserve">to supplant </w:t>
      </w:r>
      <w:r w:rsidR="006A4D98">
        <w:t xml:space="preserve">active controls </w:t>
      </w:r>
      <w:r>
        <w:t xml:space="preserve">i.e., the use of materials to stabilise mine floors and </w:t>
      </w:r>
      <w:r w:rsidR="009A1DF8">
        <w:t>batters and</w:t>
      </w:r>
      <w:r>
        <w:t xml:space="preserve"> cover </w:t>
      </w:r>
      <w:r w:rsidR="57CE60A1">
        <w:t xml:space="preserve">exposed </w:t>
      </w:r>
      <w:r>
        <w:t>coal</w:t>
      </w:r>
      <w:r w:rsidR="57CE60A1">
        <w:t xml:space="preserve"> </w:t>
      </w:r>
      <w:r>
        <w:t xml:space="preserve">faces </w:t>
      </w:r>
      <w:r w:rsidR="009A1DF8">
        <w:t>to provide</w:t>
      </w:r>
      <w:r>
        <w:t xml:space="preserve"> a more sustainable and effective way of minimising these risks</w:t>
      </w:r>
      <w:r w:rsidR="00583059">
        <w:t>.</w:t>
      </w:r>
      <w:r w:rsidR="00D573F8">
        <w:rPr>
          <w:rStyle w:val="FootnoteReference"/>
        </w:rPr>
        <w:footnoteReference w:id="104"/>
      </w:r>
      <w:r>
        <w:t xml:space="preserve"> Accordingly, the LVRRS considers that as the Latrobe Valley </w:t>
      </w:r>
      <w:r w:rsidR="0F41C903">
        <w:t xml:space="preserve">coal </w:t>
      </w:r>
      <w:r>
        <w:t xml:space="preserve">mines close, it will be ‘highly desirable’ to </w:t>
      </w:r>
      <w:r w:rsidR="4C123AAD">
        <w:t xml:space="preserve">rehabilitate </w:t>
      </w:r>
      <w:r w:rsidR="009A1DF8">
        <w:t>i.e.,</w:t>
      </w:r>
      <w:r w:rsidR="4C123AAD">
        <w:t xml:space="preserve"> </w:t>
      </w:r>
      <w:r>
        <w:t>transition to passive controls</w:t>
      </w:r>
      <w:r w:rsidR="4C123AAD">
        <w:t xml:space="preserve"> rather than using active controls to keep empty mine voids safe</w:t>
      </w:r>
      <w:r>
        <w:t>.</w:t>
      </w:r>
      <w:r w:rsidR="00C470CA">
        <w:rPr>
          <w:rStyle w:val="FootnoteReference"/>
        </w:rPr>
        <w:footnoteReference w:id="105"/>
      </w:r>
      <w:r>
        <w:t xml:space="preserve">  </w:t>
      </w:r>
    </w:p>
    <w:p w14:paraId="25F764E1" w14:textId="77FC20DA" w:rsidR="00C470CA" w:rsidRDefault="030CB1DC" w:rsidP="00C470CA">
      <w:r>
        <w:t xml:space="preserve">The LVRRS Water Study assessed the </w:t>
      </w:r>
      <w:r w:rsidR="0F41C903">
        <w:t xml:space="preserve">regional water resource and </w:t>
      </w:r>
      <w:r>
        <w:t>ecological</w:t>
      </w:r>
      <w:r w:rsidR="0F41C903">
        <w:t xml:space="preserve"> </w:t>
      </w:r>
      <w:r>
        <w:t xml:space="preserve">impacts arising from the full or partial filling of the mine voids with water taken from the Latrobe Valley river system and aquifers. The </w:t>
      </w:r>
      <w:r w:rsidR="00E97AB9">
        <w:t>LVRRS water s</w:t>
      </w:r>
      <w:r>
        <w:t xml:space="preserve">tudy assessed the amount of water required to fill the mine voids and the rate at which the voids would need to be filled. It concluded that there is ‘significant uncertainty’ about whether water required for water-based rehabilitation would be available from the </w:t>
      </w:r>
      <w:r w:rsidR="30D944C8">
        <w:t>Latrobe River</w:t>
      </w:r>
      <w:r>
        <w:t xml:space="preserve"> systems under the expected drying climate conditions. </w:t>
      </w:r>
      <w:r>
        <w:lastRenderedPageBreak/>
        <w:t xml:space="preserve">The </w:t>
      </w:r>
      <w:r w:rsidR="00E97AB9">
        <w:t>LVRRS water s</w:t>
      </w:r>
      <w:r>
        <w:t>tudy also found that in a dry climate scenario, water from the river system would not be available for mine rehabilitation because it would have ‘unacceptable impacts’ on existing water entitlement holders and environmental flows.</w:t>
      </w:r>
      <w:r w:rsidR="00C470CA">
        <w:rPr>
          <w:rStyle w:val="FootnoteReference"/>
        </w:rPr>
        <w:footnoteReference w:id="106"/>
      </w:r>
      <w:r>
        <w:t xml:space="preserve"> </w:t>
      </w:r>
    </w:p>
    <w:p w14:paraId="0B4E7586" w14:textId="50F50AB4" w:rsidR="009A347E" w:rsidRPr="009A347E" w:rsidRDefault="009A347E" w:rsidP="009A347E">
      <w:r>
        <w:t xml:space="preserve">The LVRRS outlined a series of implementation actions, including the development of the Declared Mine Regulations </w:t>
      </w:r>
      <w:r w:rsidR="00E97AB9">
        <w:t xml:space="preserve">and </w:t>
      </w:r>
      <w:r>
        <w:t>other implementation activities include:</w:t>
      </w:r>
    </w:p>
    <w:p w14:paraId="5BFF5E5C" w14:textId="15BCDBE7" w:rsidR="009A347E" w:rsidRPr="009A347E" w:rsidRDefault="009A347E" w:rsidP="009A347E">
      <w:pPr>
        <w:pStyle w:val="ListBullet"/>
      </w:pPr>
      <w:r>
        <w:t>The provision of guidance on the use of climate change scenarios for water resource planning for mine rehabilitation.</w:t>
      </w:r>
    </w:p>
    <w:p w14:paraId="6ED3D09A" w14:textId="2B1A75D4" w:rsidR="009A347E" w:rsidRPr="009A347E" w:rsidRDefault="000542F6" w:rsidP="00971CC3">
      <w:pPr>
        <w:pStyle w:val="ListBullet"/>
        <w:ind w:left="357" w:hanging="357"/>
      </w:pPr>
      <w:r>
        <w:t>P</w:t>
      </w:r>
      <w:r w:rsidR="009A347E">
        <w:t>reliminary findings on guidance on potential water sources and access arrangements, the feasibility of alternative water sources and alternative/contingency rehabilitation options to manage land stability and fire risks if sufficient water is not available. These findings have been discussed with stakeholders and are being finalised.</w:t>
      </w:r>
    </w:p>
    <w:p w14:paraId="79EA66EC" w14:textId="5F903FBE" w:rsidR="002D45BE" w:rsidRDefault="009A347E" w:rsidP="00C470CA">
      <w:pPr>
        <w:pStyle w:val="ListBullet"/>
      </w:pPr>
      <w:r w:rsidRPr="009A347E">
        <w:t>Continued support for</w:t>
      </w:r>
      <w:r w:rsidR="00E97AB9">
        <w:t xml:space="preserve"> the</w:t>
      </w:r>
      <w:r w:rsidRPr="009A347E">
        <w:t xml:space="preserve"> Integrated Mines Research Group</w:t>
      </w:r>
      <w:r w:rsidR="0064311E">
        <w:t>.</w:t>
      </w:r>
    </w:p>
    <w:p w14:paraId="555065AC" w14:textId="3ABBBAB9" w:rsidR="007C1820" w:rsidRDefault="007C1820" w:rsidP="007C1820">
      <w:r>
        <w:t>The consideration of relevant regional/other policy documents is envisaged at various points in the Act.</w:t>
      </w:r>
      <w:r w:rsidR="00AB22B6">
        <w:t xml:space="preserve"> The principles from the LVRRS informed the development of the regulatory options assessed in this RIS and are set out in section</w:t>
      </w:r>
      <w:r w:rsidR="00BE790A">
        <w:t xml:space="preserve"> </w:t>
      </w:r>
      <w:r>
        <w:fldChar w:fldCharType="begin"/>
      </w:r>
      <w:r>
        <w:instrText xml:space="preserve"> REF _Ref57622444 \n \h </w:instrText>
      </w:r>
      <w:r>
        <w:fldChar w:fldCharType="separate"/>
      </w:r>
      <w:r w:rsidR="000B3BF6">
        <w:t>4.2.2</w:t>
      </w:r>
      <w:r>
        <w:fldChar w:fldCharType="end"/>
      </w:r>
      <w:r w:rsidR="00AB22B6">
        <w:t xml:space="preserve">. </w:t>
      </w:r>
    </w:p>
    <w:p w14:paraId="60B8D582" w14:textId="7F41A255" w:rsidR="00F75F6C" w:rsidRDefault="00F75F6C" w:rsidP="00D86BBC">
      <w:pPr>
        <w:pStyle w:val="Heading3"/>
        <w:numPr>
          <w:ilvl w:val="2"/>
          <w:numId w:val="123"/>
        </w:numPr>
      </w:pPr>
      <w:bookmarkStart w:id="76" w:name="_Toc54366767"/>
      <w:bookmarkStart w:id="77" w:name="_Toc54366768"/>
      <w:bookmarkStart w:id="78" w:name="_Toc54366769"/>
      <w:bookmarkStart w:id="79" w:name="_Toc54366770"/>
      <w:bookmarkStart w:id="80" w:name="_Toc54366771"/>
      <w:bookmarkStart w:id="81" w:name="_Toc54366772"/>
      <w:bookmarkStart w:id="82" w:name="_Toc54366773"/>
      <w:bookmarkStart w:id="83" w:name="_Toc54366774"/>
      <w:bookmarkStart w:id="84" w:name="_Toc54366775"/>
      <w:bookmarkStart w:id="85" w:name="_Toc54366776"/>
      <w:bookmarkStart w:id="86" w:name="_Toc54366777"/>
      <w:bookmarkStart w:id="87" w:name="_Toc54366778"/>
      <w:bookmarkStart w:id="88" w:name="_Toc54366779"/>
      <w:bookmarkStart w:id="89" w:name="_Toc54366780"/>
      <w:bookmarkStart w:id="90" w:name="_Toc54366781"/>
      <w:bookmarkStart w:id="91" w:name="_Toc54366782"/>
      <w:bookmarkStart w:id="92" w:name="_Toc54366783"/>
      <w:bookmarkStart w:id="93" w:name="_Toc54366784"/>
      <w:bookmarkStart w:id="94" w:name="_Toc54366785"/>
      <w:bookmarkStart w:id="95" w:name="_Toc54366786"/>
      <w:bookmarkStart w:id="96" w:name="_Toc54366811"/>
      <w:bookmarkStart w:id="97" w:name="_Toc54366812"/>
      <w:bookmarkStart w:id="98" w:name="_Toc54366813"/>
      <w:bookmarkStart w:id="99" w:name="_Toc54366814"/>
      <w:bookmarkStart w:id="100" w:name="_Toc54366815"/>
      <w:bookmarkStart w:id="101" w:name="_Toc54366816"/>
      <w:bookmarkStart w:id="102" w:name="_Ref32575534"/>
      <w:bookmarkStart w:id="103" w:name="_Toc104217663"/>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t>Challenges in declared mine rehabilitation planning</w:t>
      </w:r>
      <w:bookmarkEnd w:id="102"/>
      <w:bookmarkEnd w:id="103"/>
    </w:p>
    <w:p w14:paraId="3B516153" w14:textId="77777777" w:rsidR="00F75F6C" w:rsidRPr="00A26C25" w:rsidRDefault="00F75F6C" w:rsidP="00F75F6C">
      <w:r w:rsidRPr="00A26C25">
        <w:t>The current set of declared mines pose significant physical risks to the communities, environment and infrastructure that surround them. As noted above, rehabilitation during mine operation, and management of residual risks after closure, seek to mitigate these risks.</w:t>
      </w:r>
    </w:p>
    <w:p w14:paraId="3C0F8E56" w14:textId="73CD902E" w:rsidR="00F75F6C" w:rsidRDefault="00F75F6C" w:rsidP="0016745E">
      <w:r w:rsidRPr="00A26C25">
        <w:t xml:space="preserve">However, </w:t>
      </w:r>
      <w:r w:rsidR="00DC41AB" w:rsidRPr="00A26C25">
        <w:t xml:space="preserve">there are </w:t>
      </w:r>
      <w:r w:rsidR="007101D7" w:rsidRPr="00A26C25">
        <w:t>several</w:t>
      </w:r>
      <w:r w:rsidR="00DC41AB" w:rsidRPr="00A26C25">
        <w:t xml:space="preserve"> risks</w:t>
      </w:r>
      <w:r w:rsidR="005864E0" w:rsidRPr="00A26C25">
        <w:t xml:space="preserve"> and </w:t>
      </w:r>
      <w:r w:rsidR="00AB0612" w:rsidRPr="00A26C25">
        <w:t>uncertainties</w:t>
      </w:r>
      <w:r w:rsidR="00DC41AB" w:rsidRPr="00A26C25">
        <w:t xml:space="preserve"> that </w:t>
      </w:r>
      <w:r w:rsidRPr="00A26C25">
        <w:t xml:space="preserve">both mine operators and government </w:t>
      </w:r>
      <w:r w:rsidR="00DC41AB" w:rsidRPr="00A26C25">
        <w:t>need to consider</w:t>
      </w:r>
      <w:r w:rsidRPr="00A26C25">
        <w:t xml:space="preserve"> in planning for the rehabilitation of these declared mines. </w:t>
      </w:r>
      <w:r w:rsidR="00C64104" w:rsidRPr="00A26C25">
        <w:t xml:space="preserve">Inter-related economic and environmental factors – particularly </w:t>
      </w:r>
      <w:r w:rsidR="00DC774C" w:rsidRPr="00A26C25">
        <w:t xml:space="preserve">concerning </w:t>
      </w:r>
      <w:r w:rsidR="00C64104" w:rsidRPr="00A26C25">
        <w:t xml:space="preserve">water </w:t>
      </w:r>
      <w:r w:rsidR="00C35269" w:rsidRPr="00A26C25">
        <w:t>allocations</w:t>
      </w:r>
      <w:r w:rsidR="00950275" w:rsidRPr="00A26C25">
        <w:t>, climate change</w:t>
      </w:r>
      <w:r w:rsidR="00C64104" w:rsidRPr="00A26C25">
        <w:t xml:space="preserve"> and </w:t>
      </w:r>
      <w:r w:rsidR="00950275" w:rsidRPr="00A26C25">
        <w:t>environmental</w:t>
      </w:r>
      <w:r w:rsidR="00C64104" w:rsidRPr="00A26C25">
        <w:t xml:space="preserve"> policies – </w:t>
      </w:r>
      <w:r w:rsidR="006E699D" w:rsidRPr="00A26C25">
        <w:t xml:space="preserve">bring uncertainty to </w:t>
      </w:r>
      <w:r w:rsidR="00C64104" w:rsidRPr="00A26C25">
        <w:t>the operating environment and</w:t>
      </w:r>
      <w:r w:rsidR="005864E0" w:rsidRPr="00A26C25">
        <w:t xml:space="preserve"> can impact the</w:t>
      </w:r>
      <w:r w:rsidR="00C64104" w:rsidRPr="00A26C25">
        <w:t xml:space="preserve"> commercial feasibility of the mines</w:t>
      </w:r>
      <w:r w:rsidR="005864E0" w:rsidRPr="00A26C25">
        <w:t xml:space="preserve">. </w:t>
      </w:r>
      <w:r w:rsidR="00203FBE" w:rsidRPr="00A26C25">
        <w:t>These uncertainties also d</w:t>
      </w:r>
      <w:r w:rsidR="00C64104" w:rsidRPr="00A26C25">
        <w:t>irectly</w:t>
      </w:r>
      <w:r w:rsidR="006E699D" w:rsidRPr="00A26C25">
        <w:t xml:space="preserve"> affect</w:t>
      </w:r>
      <w:r w:rsidR="00C64104" w:rsidRPr="00A26C25">
        <w:t xml:space="preserve"> the rehabilitation options available to the licensees. </w:t>
      </w:r>
      <w:r w:rsidR="009676B8" w:rsidRPr="00A26C25">
        <w:t>M</w:t>
      </w:r>
      <w:r w:rsidR="00C64104" w:rsidRPr="00A26C25">
        <w:t>anaging</w:t>
      </w:r>
      <w:r w:rsidRPr="00A26C25">
        <w:t xml:space="preserve"> and regulating the current set of declared mines </w:t>
      </w:r>
      <w:r w:rsidR="009676B8" w:rsidRPr="00A26C25">
        <w:t xml:space="preserve">also </w:t>
      </w:r>
      <w:r w:rsidRPr="00A26C25">
        <w:t xml:space="preserve">carries potential implications for energy security in Victoria because of possible flow-on impacts to the power stations attached to the mines. </w:t>
      </w:r>
    </w:p>
    <w:p w14:paraId="62CFCB39" w14:textId="50BEC8F1" w:rsidR="001312F6" w:rsidRPr="00A26C25" w:rsidRDefault="007101D7" w:rsidP="001312F6">
      <w:pPr>
        <w:pStyle w:val="Heading6"/>
      </w:pPr>
      <w:r>
        <w:t>Viable rehabilitation options</w:t>
      </w:r>
    </w:p>
    <w:p w14:paraId="50087D8C" w14:textId="634350A0" w:rsidR="00032F13" w:rsidRPr="007101D7" w:rsidRDefault="244F9D29" w:rsidP="00640237">
      <w:r w:rsidRPr="00354E92">
        <w:t>All three of the Latrobe Valley mines have current work plans that have identified a form of pit lake as their preferred rehabilitation option.</w:t>
      </w:r>
      <w:r w:rsidRPr="00A26C25">
        <w:t xml:space="preserve"> </w:t>
      </w:r>
      <w:r w:rsidR="00DE5AC5" w:rsidRPr="00A26C25">
        <w:t xml:space="preserve">The </w:t>
      </w:r>
      <w:r w:rsidR="00CB71BE" w:rsidRPr="00A26C25">
        <w:t xml:space="preserve">safest solutions to </w:t>
      </w:r>
      <w:r w:rsidR="00997E3A" w:rsidRPr="00A26C25">
        <w:t>rehabilitating the mines</w:t>
      </w:r>
      <w:r w:rsidR="00DE5AC5" w:rsidRPr="00A26C25">
        <w:t xml:space="preserve"> depend </w:t>
      </w:r>
      <w:r w:rsidR="00CB71BE" w:rsidRPr="00A26C25">
        <w:t>on three</w:t>
      </w:r>
      <w:r w:rsidR="00A97E62" w:rsidRPr="00A26C25">
        <w:t xml:space="preserve"> key</w:t>
      </w:r>
      <w:r w:rsidR="00EE5607" w:rsidRPr="00A26C25">
        <w:t xml:space="preserve"> </w:t>
      </w:r>
      <w:r w:rsidR="0087529D" w:rsidRPr="00A26C25">
        <w:t>f</w:t>
      </w:r>
      <w:r w:rsidR="00932F72" w:rsidRPr="00A26C25">
        <w:t>actors</w:t>
      </w:r>
      <w:r w:rsidR="0087529D" w:rsidRPr="00A26C25">
        <w:t xml:space="preserve"> of </w:t>
      </w:r>
      <w:r w:rsidR="0087529D" w:rsidRPr="007101D7">
        <w:t>the mine sites</w:t>
      </w:r>
      <w:r w:rsidR="00932F72" w:rsidRPr="007101D7">
        <w:t xml:space="preserve"> </w:t>
      </w:r>
      <w:r w:rsidR="002555E6" w:rsidRPr="007101D7">
        <w:t xml:space="preserve">that must be adequately </w:t>
      </w:r>
      <w:r w:rsidR="003324DC" w:rsidRPr="007101D7">
        <w:t>managed</w:t>
      </w:r>
      <w:r w:rsidR="00834DAF">
        <w:t>,</w:t>
      </w:r>
      <w:r w:rsidR="00420ABD" w:rsidRPr="007101D7">
        <w:t xml:space="preserve"> n</w:t>
      </w:r>
      <w:r w:rsidR="00032F13" w:rsidRPr="007101D7">
        <w:t>amely</w:t>
      </w:r>
      <w:r w:rsidR="00834DAF">
        <w:t>:</w:t>
      </w:r>
    </w:p>
    <w:p w14:paraId="5D71C471" w14:textId="78D9A019" w:rsidR="00032F13" w:rsidRDefault="00E94445" w:rsidP="00CE62F3">
      <w:pPr>
        <w:pStyle w:val="ListBullet"/>
        <w:ind w:left="357" w:hanging="357"/>
        <w:rPr>
          <w:rFonts w:asciiTheme="minorHAnsi" w:hAnsiTheme="minorHAnsi" w:cstheme="minorHAnsi"/>
          <w:szCs w:val="18"/>
        </w:rPr>
      </w:pPr>
      <w:r w:rsidRPr="00475F68">
        <w:rPr>
          <w:rFonts w:asciiTheme="minorHAnsi" w:hAnsiTheme="minorHAnsi" w:cstheme="minorHAnsi"/>
          <w:szCs w:val="18"/>
        </w:rPr>
        <w:t xml:space="preserve">Vertical </w:t>
      </w:r>
      <w:r w:rsidR="008E5B0B" w:rsidRPr="00475F68">
        <w:rPr>
          <w:rFonts w:asciiTheme="minorHAnsi" w:hAnsiTheme="minorHAnsi" w:cstheme="minorHAnsi"/>
          <w:szCs w:val="18"/>
        </w:rPr>
        <w:t xml:space="preserve">groundwater pressures </w:t>
      </w:r>
      <w:r w:rsidR="005051F0" w:rsidRPr="00475F68">
        <w:rPr>
          <w:rFonts w:asciiTheme="minorHAnsi" w:hAnsiTheme="minorHAnsi" w:cstheme="minorHAnsi"/>
          <w:szCs w:val="18"/>
        </w:rPr>
        <w:t>o</w:t>
      </w:r>
      <w:r w:rsidR="0087555C" w:rsidRPr="00475F68">
        <w:rPr>
          <w:rFonts w:asciiTheme="minorHAnsi" w:hAnsiTheme="minorHAnsi" w:cstheme="minorHAnsi"/>
          <w:szCs w:val="18"/>
        </w:rPr>
        <w:t>f</w:t>
      </w:r>
      <w:r w:rsidR="005051F0" w:rsidRPr="00475F68">
        <w:rPr>
          <w:rFonts w:asciiTheme="minorHAnsi" w:hAnsiTheme="minorHAnsi" w:cstheme="minorHAnsi"/>
          <w:szCs w:val="18"/>
        </w:rPr>
        <w:t xml:space="preserve"> the </w:t>
      </w:r>
      <w:r w:rsidRPr="00475F68">
        <w:rPr>
          <w:rFonts w:asciiTheme="minorHAnsi" w:hAnsiTheme="minorHAnsi" w:cstheme="minorHAnsi"/>
          <w:szCs w:val="18"/>
        </w:rPr>
        <w:t>min</w:t>
      </w:r>
      <w:r w:rsidR="00950414" w:rsidRPr="00475F68">
        <w:rPr>
          <w:rFonts w:asciiTheme="minorHAnsi" w:hAnsiTheme="minorHAnsi" w:cstheme="minorHAnsi"/>
          <w:szCs w:val="18"/>
        </w:rPr>
        <w:t>e</w:t>
      </w:r>
      <w:r w:rsidRPr="00475F68">
        <w:rPr>
          <w:rFonts w:asciiTheme="minorHAnsi" w:hAnsiTheme="minorHAnsi" w:cstheme="minorHAnsi"/>
          <w:szCs w:val="18"/>
        </w:rPr>
        <w:t xml:space="preserve"> pit </w:t>
      </w:r>
      <w:r w:rsidR="005051F0" w:rsidRPr="00475F68">
        <w:rPr>
          <w:rFonts w:asciiTheme="minorHAnsi" w:hAnsiTheme="minorHAnsi" w:cstheme="minorHAnsi"/>
          <w:szCs w:val="18"/>
        </w:rPr>
        <w:t>floor</w:t>
      </w:r>
      <w:r w:rsidR="00950414" w:rsidRPr="00475F68">
        <w:rPr>
          <w:rFonts w:asciiTheme="minorHAnsi" w:hAnsiTheme="minorHAnsi" w:cstheme="minorHAnsi"/>
          <w:szCs w:val="18"/>
        </w:rPr>
        <w:t xml:space="preserve"> must be managed to </w:t>
      </w:r>
      <w:r w:rsidR="00291FAA" w:rsidRPr="00475F68">
        <w:rPr>
          <w:rFonts w:asciiTheme="minorHAnsi" w:hAnsiTheme="minorHAnsi" w:cstheme="minorHAnsi"/>
          <w:szCs w:val="18"/>
        </w:rPr>
        <w:t>prevent sinkhole and floor heave formation</w:t>
      </w:r>
      <w:r w:rsidR="00A26C25" w:rsidRPr="00475F68">
        <w:rPr>
          <w:rFonts w:asciiTheme="minorHAnsi" w:hAnsiTheme="minorHAnsi" w:cstheme="minorHAnsi"/>
          <w:szCs w:val="18"/>
        </w:rPr>
        <w:t xml:space="preserve"> as outlined in </w:t>
      </w:r>
      <w:r w:rsidR="00A26C25" w:rsidRPr="00475F68">
        <w:rPr>
          <w:rFonts w:asciiTheme="minorHAnsi" w:hAnsiTheme="minorHAnsi" w:cstheme="minorHAnsi"/>
          <w:szCs w:val="18"/>
        </w:rPr>
        <w:fldChar w:fldCharType="begin"/>
      </w:r>
      <w:r w:rsidR="00A26C25" w:rsidRPr="00475F68">
        <w:rPr>
          <w:rFonts w:asciiTheme="minorHAnsi" w:hAnsiTheme="minorHAnsi" w:cstheme="minorHAnsi"/>
          <w:szCs w:val="18"/>
        </w:rPr>
        <w:instrText xml:space="preserve"> REF _Ref57622787 \r \h  \* MERGEFORMAT </w:instrText>
      </w:r>
      <w:r w:rsidR="00A26C25" w:rsidRPr="00475F68">
        <w:rPr>
          <w:rFonts w:asciiTheme="minorHAnsi" w:hAnsiTheme="minorHAnsi" w:cstheme="minorHAnsi"/>
          <w:szCs w:val="18"/>
        </w:rPr>
      </w:r>
      <w:r w:rsidR="00A26C25" w:rsidRPr="00475F68">
        <w:rPr>
          <w:rFonts w:asciiTheme="minorHAnsi" w:hAnsiTheme="minorHAnsi" w:cstheme="minorHAnsi"/>
          <w:szCs w:val="18"/>
        </w:rPr>
        <w:fldChar w:fldCharType="separate"/>
      </w:r>
      <w:r w:rsidR="000B3BF6">
        <w:rPr>
          <w:rFonts w:asciiTheme="minorHAnsi" w:hAnsiTheme="minorHAnsi" w:cstheme="minorHAnsi"/>
          <w:szCs w:val="18"/>
        </w:rPr>
        <w:t>2.4.2</w:t>
      </w:r>
      <w:r w:rsidR="00A26C25" w:rsidRPr="00475F68">
        <w:rPr>
          <w:rFonts w:asciiTheme="minorHAnsi" w:hAnsiTheme="minorHAnsi" w:cstheme="minorHAnsi"/>
          <w:szCs w:val="18"/>
        </w:rPr>
        <w:fldChar w:fldCharType="end"/>
      </w:r>
      <w:r w:rsidR="00A26C25" w:rsidRPr="00475F68">
        <w:rPr>
          <w:rFonts w:asciiTheme="minorHAnsi" w:hAnsiTheme="minorHAnsi" w:cstheme="minorHAnsi"/>
          <w:szCs w:val="18"/>
        </w:rPr>
        <w:t>.</w:t>
      </w:r>
      <w:r w:rsidR="00FE07EB" w:rsidRPr="00475F68">
        <w:rPr>
          <w:rFonts w:asciiTheme="minorHAnsi" w:hAnsiTheme="minorHAnsi" w:cstheme="minorHAnsi"/>
          <w:szCs w:val="18"/>
        </w:rPr>
        <w:t xml:space="preserve"> </w:t>
      </w:r>
      <w:r w:rsidR="00951FB1" w:rsidRPr="00475F68">
        <w:rPr>
          <w:rFonts w:asciiTheme="minorHAnsi" w:hAnsiTheme="minorHAnsi" w:cstheme="minorHAnsi"/>
          <w:szCs w:val="18"/>
        </w:rPr>
        <w:t>This u</w:t>
      </w:r>
      <w:r w:rsidR="00FE07EB" w:rsidRPr="00475F68">
        <w:rPr>
          <w:rFonts w:asciiTheme="minorHAnsi" w:hAnsiTheme="minorHAnsi" w:cstheme="minorHAnsi"/>
          <w:szCs w:val="18"/>
        </w:rPr>
        <w:t xml:space="preserve">pward pressure is currently managed </w:t>
      </w:r>
      <w:r w:rsidR="00951FB1" w:rsidRPr="00475F68">
        <w:rPr>
          <w:rFonts w:asciiTheme="minorHAnsi" w:hAnsiTheme="minorHAnsi" w:cstheme="minorHAnsi"/>
          <w:szCs w:val="18"/>
        </w:rPr>
        <w:t xml:space="preserve">at the Hazelwood and Loy Yang mine sites through </w:t>
      </w:r>
      <w:r w:rsidR="00A709F8" w:rsidRPr="00475F68">
        <w:rPr>
          <w:rFonts w:asciiTheme="minorHAnsi" w:hAnsiTheme="minorHAnsi" w:cstheme="minorHAnsi"/>
          <w:szCs w:val="18"/>
        </w:rPr>
        <w:t xml:space="preserve">continuous </w:t>
      </w:r>
      <w:r w:rsidR="006763D2" w:rsidRPr="00475F68">
        <w:rPr>
          <w:rFonts w:asciiTheme="minorHAnsi" w:hAnsiTheme="minorHAnsi" w:cstheme="minorHAnsi"/>
          <w:szCs w:val="18"/>
        </w:rPr>
        <w:t>groundwater pumping</w:t>
      </w:r>
      <w:r w:rsidR="00A709F8" w:rsidRPr="00475F68">
        <w:rPr>
          <w:rFonts w:asciiTheme="minorHAnsi" w:hAnsiTheme="minorHAnsi" w:cstheme="minorHAnsi"/>
          <w:szCs w:val="18"/>
        </w:rPr>
        <w:t xml:space="preserve"> </w:t>
      </w:r>
      <w:r w:rsidR="00475F68" w:rsidRPr="00475F68">
        <w:rPr>
          <w:rFonts w:asciiTheme="minorHAnsi" w:hAnsiTheme="minorHAnsi" w:cstheme="minorHAnsi"/>
          <w:szCs w:val="18"/>
        </w:rPr>
        <w:t>to minimise the risks associated with vertical pressures.</w:t>
      </w:r>
    </w:p>
    <w:p w14:paraId="0C9439BF" w14:textId="5B7CFA25" w:rsidR="00A23755" w:rsidRDefault="00070AC8" w:rsidP="00F42C1C">
      <w:pPr>
        <w:pStyle w:val="ListBullet"/>
        <w:ind w:left="357" w:hanging="357"/>
        <w:rPr>
          <w:rFonts w:asciiTheme="minorHAnsi" w:hAnsiTheme="minorHAnsi" w:cstheme="minorHAnsi"/>
          <w:szCs w:val="18"/>
        </w:rPr>
      </w:pPr>
      <w:r w:rsidRPr="00F42C1C">
        <w:t>Horizontal</w:t>
      </w:r>
      <w:r>
        <w:rPr>
          <w:rFonts w:asciiTheme="minorHAnsi" w:hAnsiTheme="minorHAnsi" w:cstheme="minorHAnsi"/>
          <w:szCs w:val="18"/>
        </w:rPr>
        <w:t xml:space="preserve"> pressures </w:t>
      </w:r>
      <w:r w:rsidR="00275A79">
        <w:rPr>
          <w:rFonts w:asciiTheme="minorHAnsi" w:hAnsiTheme="minorHAnsi" w:cstheme="minorHAnsi"/>
          <w:szCs w:val="18"/>
        </w:rPr>
        <w:t>of the mine pit wal</w:t>
      </w:r>
      <w:r w:rsidR="00593A61">
        <w:rPr>
          <w:rFonts w:asciiTheme="minorHAnsi" w:hAnsiTheme="minorHAnsi" w:cstheme="minorHAnsi"/>
          <w:szCs w:val="18"/>
        </w:rPr>
        <w:t xml:space="preserve">ls must be managed to </w:t>
      </w:r>
      <w:r w:rsidR="00114485">
        <w:rPr>
          <w:rFonts w:asciiTheme="minorHAnsi" w:hAnsiTheme="minorHAnsi" w:cstheme="minorHAnsi"/>
          <w:szCs w:val="18"/>
        </w:rPr>
        <w:t>prevent the risks of land instability</w:t>
      </w:r>
      <w:r w:rsidR="002971C0">
        <w:rPr>
          <w:rFonts w:asciiTheme="minorHAnsi" w:hAnsiTheme="minorHAnsi" w:cstheme="minorHAnsi"/>
          <w:szCs w:val="18"/>
        </w:rPr>
        <w:t xml:space="preserve"> events associated with </w:t>
      </w:r>
      <w:r w:rsidR="00D31379">
        <w:rPr>
          <w:rFonts w:asciiTheme="minorHAnsi" w:hAnsiTheme="minorHAnsi" w:cstheme="minorHAnsi"/>
          <w:szCs w:val="18"/>
        </w:rPr>
        <w:t>groundwater</w:t>
      </w:r>
      <w:r w:rsidR="002971C0">
        <w:rPr>
          <w:rFonts w:asciiTheme="minorHAnsi" w:hAnsiTheme="minorHAnsi" w:cstheme="minorHAnsi"/>
          <w:szCs w:val="18"/>
        </w:rPr>
        <w:t xml:space="preserve"> </w:t>
      </w:r>
      <w:r w:rsidR="00D31379">
        <w:rPr>
          <w:rFonts w:asciiTheme="minorHAnsi" w:hAnsiTheme="minorHAnsi" w:cstheme="minorHAnsi"/>
          <w:szCs w:val="18"/>
        </w:rPr>
        <w:t xml:space="preserve">the exert lateral pressures on the mine site. </w:t>
      </w:r>
      <w:r w:rsidR="00796FA9">
        <w:rPr>
          <w:rFonts w:asciiTheme="minorHAnsi" w:hAnsiTheme="minorHAnsi" w:cstheme="minorHAnsi"/>
          <w:szCs w:val="18"/>
        </w:rPr>
        <w:t>For example, t</w:t>
      </w:r>
      <w:r w:rsidR="00D31379">
        <w:rPr>
          <w:rFonts w:asciiTheme="minorHAnsi" w:hAnsiTheme="minorHAnsi" w:cstheme="minorHAnsi"/>
          <w:szCs w:val="18"/>
        </w:rPr>
        <w:t>his can include block sliding</w:t>
      </w:r>
      <w:r w:rsidR="00D6683A">
        <w:rPr>
          <w:rFonts w:asciiTheme="minorHAnsi" w:hAnsiTheme="minorHAnsi" w:cstheme="minorHAnsi"/>
          <w:szCs w:val="18"/>
        </w:rPr>
        <w:t xml:space="preserve"> as outlined in </w:t>
      </w:r>
      <w:r w:rsidR="00D6683A">
        <w:rPr>
          <w:rFonts w:asciiTheme="minorHAnsi" w:hAnsiTheme="minorHAnsi" w:cstheme="minorHAnsi"/>
          <w:szCs w:val="18"/>
        </w:rPr>
        <w:fldChar w:fldCharType="begin"/>
      </w:r>
      <w:r w:rsidR="00D6683A">
        <w:rPr>
          <w:rFonts w:asciiTheme="minorHAnsi" w:hAnsiTheme="minorHAnsi" w:cstheme="minorHAnsi"/>
          <w:szCs w:val="18"/>
        </w:rPr>
        <w:instrText xml:space="preserve"> REF _Ref57622787 \r \h </w:instrText>
      </w:r>
      <w:r w:rsidR="00D6683A">
        <w:rPr>
          <w:rFonts w:asciiTheme="minorHAnsi" w:hAnsiTheme="minorHAnsi" w:cstheme="minorHAnsi"/>
          <w:szCs w:val="18"/>
        </w:rPr>
      </w:r>
      <w:r w:rsidR="00D6683A">
        <w:rPr>
          <w:rFonts w:asciiTheme="minorHAnsi" w:hAnsiTheme="minorHAnsi" w:cstheme="minorHAnsi"/>
          <w:szCs w:val="18"/>
        </w:rPr>
        <w:fldChar w:fldCharType="separate"/>
      </w:r>
      <w:r w:rsidR="000B3BF6">
        <w:rPr>
          <w:rFonts w:asciiTheme="minorHAnsi" w:hAnsiTheme="minorHAnsi" w:cstheme="minorHAnsi"/>
          <w:szCs w:val="18"/>
        </w:rPr>
        <w:t>2.4.2</w:t>
      </w:r>
      <w:r w:rsidR="00D6683A">
        <w:rPr>
          <w:rFonts w:asciiTheme="minorHAnsi" w:hAnsiTheme="minorHAnsi" w:cstheme="minorHAnsi"/>
          <w:szCs w:val="18"/>
        </w:rPr>
        <w:fldChar w:fldCharType="end"/>
      </w:r>
      <w:r w:rsidR="00796FA9">
        <w:rPr>
          <w:rFonts w:asciiTheme="minorHAnsi" w:hAnsiTheme="minorHAnsi" w:cstheme="minorHAnsi"/>
          <w:szCs w:val="18"/>
        </w:rPr>
        <w:t xml:space="preserve">. </w:t>
      </w:r>
      <w:r w:rsidR="002F748C">
        <w:rPr>
          <w:rFonts w:asciiTheme="minorHAnsi" w:hAnsiTheme="minorHAnsi" w:cstheme="minorHAnsi"/>
          <w:szCs w:val="18"/>
        </w:rPr>
        <w:t xml:space="preserve">Currently, </w:t>
      </w:r>
      <w:r w:rsidR="00555B89">
        <w:rPr>
          <w:rFonts w:asciiTheme="minorHAnsi" w:hAnsiTheme="minorHAnsi" w:cstheme="minorHAnsi"/>
          <w:szCs w:val="18"/>
        </w:rPr>
        <w:t xml:space="preserve">such </w:t>
      </w:r>
      <w:r w:rsidR="002F748C">
        <w:rPr>
          <w:rFonts w:asciiTheme="minorHAnsi" w:hAnsiTheme="minorHAnsi" w:cstheme="minorHAnsi"/>
          <w:szCs w:val="18"/>
        </w:rPr>
        <w:t>pressure at the Hazelwood and Loy Yang mine sites are</w:t>
      </w:r>
      <w:r w:rsidR="00D6683A">
        <w:rPr>
          <w:rFonts w:asciiTheme="minorHAnsi" w:hAnsiTheme="minorHAnsi" w:cstheme="minorHAnsi"/>
          <w:szCs w:val="18"/>
        </w:rPr>
        <w:t xml:space="preserve"> managed through continued drainage of </w:t>
      </w:r>
      <w:r w:rsidR="00555B89">
        <w:rPr>
          <w:rFonts w:asciiTheme="minorHAnsi" w:hAnsiTheme="minorHAnsi" w:cstheme="minorHAnsi"/>
          <w:szCs w:val="18"/>
        </w:rPr>
        <w:t xml:space="preserve">groundwater </w:t>
      </w:r>
      <w:r w:rsidR="00983C82">
        <w:rPr>
          <w:rFonts w:asciiTheme="minorHAnsi" w:hAnsiTheme="minorHAnsi" w:cstheme="minorHAnsi"/>
          <w:szCs w:val="18"/>
        </w:rPr>
        <w:t>from behind the mine pit walls.</w:t>
      </w:r>
      <w:r w:rsidR="00D31379">
        <w:rPr>
          <w:rFonts w:asciiTheme="minorHAnsi" w:hAnsiTheme="minorHAnsi" w:cstheme="minorHAnsi"/>
          <w:szCs w:val="18"/>
        </w:rPr>
        <w:t xml:space="preserve"> </w:t>
      </w:r>
    </w:p>
    <w:p w14:paraId="70ABF5FC" w14:textId="50075BD0" w:rsidR="00971CC3" w:rsidRDefault="00160211" w:rsidP="00C567D9">
      <w:pPr>
        <w:pStyle w:val="ListBullet"/>
        <w:ind w:left="357" w:hanging="357"/>
        <w:rPr>
          <w:rFonts w:asciiTheme="minorHAnsi" w:hAnsiTheme="minorHAnsi" w:cstheme="minorHAnsi"/>
          <w:szCs w:val="18"/>
        </w:rPr>
      </w:pPr>
      <w:r w:rsidRPr="009D7D09">
        <w:rPr>
          <w:rFonts w:asciiTheme="minorHAnsi" w:hAnsiTheme="minorHAnsi" w:cstheme="minorHAnsi"/>
          <w:szCs w:val="18"/>
        </w:rPr>
        <w:t>Coal that has become e</w:t>
      </w:r>
      <w:r w:rsidR="00DA0F7C" w:rsidRPr="009D7D09">
        <w:rPr>
          <w:rFonts w:asciiTheme="minorHAnsi" w:hAnsiTheme="minorHAnsi" w:cstheme="minorHAnsi"/>
          <w:szCs w:val="18"/>
        </w:rPr>
        <w:t>xposed</w:t>
      </w:r>
      <w:r w:rsidR="001F7B32">
        <w:rPr>
          <w:rFonts w:asciiTheme="minorHAnsi" w:hAnsiTheme="minorHAnsi" w:cstheme="minorHAnsi"/>
          <w:szCs w:val="18"/>
        </w:rPr>
        <w:t xml:space="preserve"> due to</w:t>
      </w:r>
      <w:r w:rsidR="00DC4838" w:rsidRPr="009D7D09">
        <w:rPr>
          <w:rFonts w:asciiTheme="minorHAnsi" w:hAnsiTheme="minorHAnsi" w:cstheme="minorHAnsi"/>
          <w:szCs w:val="18"/>
        </w:rPr>
        <w:t xml:space="preserve"> </w:t>
      </w:r>
      <w:r w:rsidR="00DA0F7C" w:rsidRPr="009D7D09">
        <w:rPr>
          <w:rFonts w:asciiTheme="minorHAnsi" w:hAnsiTheme="minorHAnsi" w:cstheme="minorHAnsi"/>
          <w:szCs w:val="18"/>
        </w:rPr>
        <w:t xml:space="preserve">the open cut </w:t>
      </w:r>
      <w:r w:rsidR="00DC4838" w:rsidRPr="009D7D09">
        <w:rPr>
          <w:rFonts w:asciiTheme="minorHAnsi" w:hAnsiTheme="minorHAnsi" w:cstheme="minorHAnsi"/>
          <w:szCs w:val="18"/>
        </w:rPr>
        <w:t xml:space="preserve">nature of the </w:t>
      </w:r>
      <w:r w:rsidR="00DA0F7C" w:rsidRPr="009D7D09">
        <w:rPr>
          <w:rFonts w:asciiTheme="minorHAnsi" w:hAnsiTheme="minorHAnsi" w:cstheme="minorHAnsi"/>
          <w:szCs w:val="18"/>
        </w:rPr>
        <w:t>mine</w:t>
      </w:r>
      <w:r w:rsidR="000833AA" w:rsidRPr="009D7D09">
        <w:rPr>
          <w:rFonts w:asciiTheme="minorHAnsi" w:hAnsiTheme="minorHAnsi" w:cstheme="minorHAnsi"/>
          <w:szCs w:val="18"/>
        </w:rPr>
        <w:t xml:space="preserve"> site </w:t>
      </w:r>
      <w:r w:rsidR="00CD594E" w:rsidRPr="009D7D09">
        <w:rPr>
          <w:rFonts w:asciiTheme="minorHAnsi" w:hAnsiTheme="minorHAnsi" w:cstheme="minorHAnsi"/>
          <w:szCs w:val="18"/>
        </w:rPr>
        <w:t xml:space="preserve">must be managed to control </w:t>
      </w:r>
      <w:r w:rsidR="00796FA9" w:rsidRPr="009D7D09">
        <w:rPr>
          <w:rFonts w:asciiTheme="minorHAnsi" w:hAnsiTheme="minorHAnsi" w:cstheme="minorHAnsi"/>
          <w:szCs w:val="18"/>
        </w:rPr>
        <w:t xml:space="preserve">for </w:t>
      </w:r>
      <w:r w:rsidR="000833AA" w:rsidRPr="009D7D09">
        <w:rPr>
          <w:rFonts w:asciiTheme="minorHAnsi" w:hAnsiTheme="minorHAnsi" w:cstheme="minorHAnsi"/>
          <w:szCs w:val="18"/>
        </w:rPr>
        <w:t xml:space="preserve">fire risks </w:t>
      </w:r>
      <w:r w:rsidR="00FB4797" w:rsidRPr="009D7D09">
        <w:rPr>
          <w:rFonts w:asciiTheme="minorHAnsi" w:hAnsiTheme="minorHAnsi" w:cstheme="minorHAnsi"/>
          <w:szCs w:val="18"/>
        </w:rPr>
        <w:t>that arise</w:t>
      </w:r>
      <w:r w:rsidR="00AB5988">
        <w:rPr>
          <w:rFonts w:asciiTheme="minorHAnsi" w:hAnsiTheme="minorHAnsi" w:cstheme="minorHAnsi"/>
          <w:szCs w:val="18"/>
        </w:rPr>
        <w:t xml:space="preserve"> from</w:t>
      </w:r>
      <w:r w:rsidR="005D22FD" w:rsidRPr="009D7D09">
        <w:rPr>
          <w:rFonts w:asciiTheme="minorHAnsi" w:hAnsiTheme="minorHAnsi" w:cstheme="minorHAnsi"/>
          <w:szCs w:val="18"/>
        </w:rPr>
        <w:t xml:space="preserve"> </w:t>
      </w:r>
      <w:r w:rsidR="00894CAB" w:rsidRPr="009D7D09">
        <w:rPr>
          <w:rFonts w:asciiTheme="minorHAnsi" w:hAnsiTheme="minorHAnsi" w:cstheme="minorHAnsi"/>
          <w:szCs w:val="18"/>
        </w:rPr>
        <w:t xml:space="preserve">the </w:t>
      </w:r>
      <w:r w:rsidRPr="009D7D09">
        <w:rPr>
          <w:rFonts w:asciiTheme="minorHAnsi" w:hAnsiTheme="minorHAnsi" w:cstheme="minorHAnsi"/>
          <w:szCs w:val="18"/>
        </w:rPr>
        <w:t xml:space="preserve">porous and flammable </w:t>
      </w:r>
      <w:r w:rsidR="005D22FD" w:rsidRPr="009D7D09">
        <w:rPr>
          <w:rFonts w:asciiTheme="minorHAnsi" w:hAnsiTheme="minorHAnsi" w:cstheme="minorHAnsi"/>
          <w:szCs w:val="18"/>
        </w:rPr>
        <w:t xml:space="preserve">properties of the resource. </w:t>
      </w:r>
      <w:r w:rsidR="00DD702B" w:rsidRPr="009D7D09">
        <w:rPr>
          <w:rFonts w:asciiTheme="minorHAnsi" w:hAnsiTheme="minorHAnsi" w:cstheme="minorHAnsi"/>
          <w:szCs w:val="18"/>
        </w:rPr>
        <w:t xml:space="preserve">Any rehabilitation solution must </w:t>
      </w:r>
      <w:r w:rsidR="00731356" w:rsidRPr="009D7D09">
        <w:rPr>
          <w:rFonts w:asciiTheme="minorHAnsi" w:hAnsiTheme="minorHAnsi" w:cstheme="minorHAnsi"/>
          <w:szCs w:val="18"/>
        </w:rPr>
        <w:t xml:space="preserve">account for the maintenance of cover </w:t>
      </w:r>
      <w:r w:rsidRPr="009D7D09">
        <w:rPr>
          <w:rFonts w:asciiTheme="minorHAnsi" w:hAnsiTheme="minorHAnsi" w:cstheme="minorHAnsi"/>
          <w:szCs w:val="18"/>
        </w:rPr>
        <w:t xml:space="preserve">material </w:t>
      </w:r>
      <w:r w:rsidR="00864B61" w:rsidRPr="009D7D09">
        <w:rPr>
          <w:rFonts w:asciiTheme="minorHAnsi" w:hAnsiTheme="minorHAnsi" w:cstheme="minorHAnsi"/>
          <w:szCs w:val="18"/>
        </w:rPr>
        <w:t>used to cover th</w:t>
      </w:r>
      <w:r w:rsidR="00CF2C32">
        <w:rPr>
          <w:rFonts w:asciiTheme="minorHAnsi" w:hAnsiTheme="minorHAnsi" w:cstheme="minorHAnsi"/>
          <w:szCs w:val="18"/>
        </w:rPr>
        <w:t>is</w:t>
      </w:r>
      <w:r w:rsidR="00864B61" w:rsidRPr="009D7D09">
        <w:rPr>
          <w:rFonts w:asciiTheme="minorHAnsi" w:hAnsiTheme="minorHAnsi" w:cstheme="minorHAnsi"/>
          <w:szCs w:val="18"/>
        </w:rPr>
        <w:t xml:space="preserve"> exposed coal. </w:t>
      </w:r>
    </w:p>
    <w:p w14:paraId="44EE3FBD" w14:textId="285C868D" w:rsidR="003F6F21" w:rsidRDefault="003001E7" w:rsidP="00640237">
      <w:pPr>
        <w:pStyle w:val="ListBullet"/>
        <w:numPr>
          <w:ilvl w:val="0"/>
          <w:numId w:val="0"/>
        </w:numPr>
        <w:spacing w:before="120" w:after="200"/>
        <w:rPr>
          <w:rFonts w:asciiTheme="minorHAnsi" w:hAnsiTheme="minorHAnsi" w:cstheme="minorHAnsi"/>
          <w:szCs w:val="18"/>
        </w:rPr>
      </w:pPr>
      <w:r>
        <w:rPr>
          <w:rFonts w:asciiTheme="minorHAnsi" w:hAnsiTheme="minorHAnsi" w:cstheme="minorHAnsi"/>
          <w:szCs w:val="18"/>
        </w:rPr>
        <w:t xml:space="preserve">These factors all currently involve a significant level of </w:t>
      </w:r>
      <w:r w:rsidR="00430FC0">
        <w:rPr>
          <w:rFonts w:asciiTheme="minorHAnsi" w:hAnsiTheme="minorHAnsi" w:cstheme="minorHAnsi"/>
          <w:szCs w:val="18"/>
        </w:rPr>
        <w:t xml:space="preserve">active controls being applied to </w:t>
      </w:r>
      <w:r w:rsidR="003F4CDD">
        <w:rPr>
          <w:rFonts w:asciiTheme="minorHAnsi" w:hAnsiTheme="minorHAnsi" w:cstheme="minorHAnsi"/>
          <w:szCs w:val="18"/>
        </w:rPr>
        <w:t xml:space="preserve">mediate </w:t>
      </w:r>
      <w:r w:rsidR="00766196">
        <w:rPr>
          <w:rFonts w:asciiTheme="minorHAnsi" w:hAnsiTheme="minorHAnsi" w:cstheme="minorHAnsi"/>
          <w:szCs w:val="18"/>
        </w:rPr>
        <w:t xml:space="preserve">the risks </w:t>
      </w:r>
      <w:r w:rsidR="002F5E78">
        <w:rPr>
          <w:rFonts w:asciiTheme="minorHAnsi" w:hAnsiTheme="minorHAnsi" w:cstheme="minorHAnsi"/>
          <w:szCs w:val="18"/>
        </w:rPr>
        <w:t xml:space="preserve">of land instability and fire events </w:t>
      </w:r>
      <w:r w:rsidR="00766196">
        <w:rPr>
          <w:rFonts w:asciiTheme="minorHAnsi" w:hAnsiTheme="minorHAnsi" w:cstheme="minorHAnsi"/>
          <w:szCs w:val="18"/>
        </w:rPr>
        <w:t xml:space="preserve">associated with the </w:t>
      </w:r>
      <w:r w:rsidR="00614216">
        <w:rPr>
          <w:rFonts w:asciiTheme="minorHAnsi" w:hAnsiTheme="minorHAnsi" w:cstheme="minorHAnsi"/>
          <w:szCs w:val="18"/>
        </w:rPr>
        <w:t>Latrobe</w:t>
      </w:r>
      <w:r w:rsidR="00766196">
        <w:rPr>
          <w:rFonts w:asciiTheme="minorHAnsi" w:hAnsiTheme="minorHAnsi" w:cstheme="minorHAnsi"/>
          <w:szCs w:val="18"/>
        </w:rPr>
        <w:t xml:space="preserve"> Valley </w:t>
      </w:r>
      <w:r w:rsidR="00B6186E">
        <w:rPr>
          <w:rFonts w:asciiTheme="minorHAnsi" w:hAnsiTheme="minorHAnsi" w:cstheme="minorHAnsi"/>
          <w:szCs w:val="18"/>
        </w:rPr>
        <w:t xml:space="preserve">coal </w:t>
      </w:r>
      <w:r w:rsidR="00766196">
        <w:rPr>
          <w:rFonts w:asciiTheme="minorHAnsi" w:hAnsiTheme="minorHAnsi" w:cstheme="minorHAnsi"/>
          <w:szCs w:val="18"/>
        </w:rPr>
        <w:t>mines.</w:t>
      </w:r>
      <w:r w:rsidR="00C63703">
        <w:rPr>
          <w:rFonts w:asciiTheme="minorHAnsi" w:hAnsiTheme="minorHAnsi" w:cstheme="minorHAnsi"/>
          <w:szCs w:val="18"/>
        </w:rPr>
        <w:t xml:space="preserve"> </w:t>
      </w:r>
      <w:r w:rsidR="00BE0D09">
        <w:rPr>
          <w:rFonts w:asciiTheme="minorHAnsi" w:hAnsiTheme="minorHAnsi" w:cstheme="minorHAnsi"/>
          <w:szCs w:val="18"/>
        </w:rPr>
        <w:t xml:space="preserve">The most </w:t>
      </w:r>
      <w:r w:rsidR="00C63703">
        <w:rPr>
          <w:rFonts w:asciiTheme="minorHAnsi" w:hAnsiTheme="minorHAnsi" w:cstheme="minorHAnsi"/>
          <w:szCs w:val="18"/>
        </w:rPr>
        <w:t xml:space="preserve">ideal rehabilitation solution </w:t>
      </w:r>
      <w:r w:rsidR="00D80046">
        <w:rPr>
          <w:rFonts w:asciiTheme="minorHAnsi" w:hAnsiTheme="minorHAnsi" w:cstheme="minorHAnsi"/>
          <w:szCs w:val="18"/>
        </w:rPr>
        <w:t>needs to transition</w:t>
      </w:r>
      <w:r w:rsidR="00980CCB">
        <w:rPr>
          <w:rFonts w:asciiTheme="minorHAnsi" w:hAnsiTheme="minorHAnsi" w:cstheme="minorHAnsi"/>
          <w:szCs w:val="18"/>
        </w:rPr>
        <w:t xml:space="preserve"> active mine site controls </w:t>
      </w:r>
      <w:r w:rsidR="005F530D">
        <w:rPr>
          <w:rFonts w:asciiTheme="minorHAnsi" w:hAnsiTheme="minorHAnsi" w:cstheme="minorHAnsi"/>
          <w:szCs w:val="18"/>
        </w:rPr>
        <w:t xml:space="preserve">to that of passive controls </w:t>
      </w:r>
      <w:r w:rsidR="00D80046">
        <w:rPr>
          <w:rFonts w:asciiTheme="minorHAnsi" w:hAnsiTheme="minorHAnsi" w:cstheme="minorHAnsi"/>
          <w:szCs w:val="18"/>
        </w:rPr>
        <w:t>in the future.</w:t>
      </w:r>
      <w:r w:rsidR="00545112">
        <w:rPr>
          <w:rFonts w:asciiTheme="minorHAnsi" w:hAnsiTheme="minorHAnsi" w:cstheme="minorHAnsi"/>
          <w:szCs w:val="18"/>
        </w:rPr>
        <w:t xml:space="preserve"> </w:t>
      </w:r>
      <w:r w:rsidR="005C537B">
        <w:rPr>
          <w:rFonts w:asciiTheme="minorHAnsi" w:hAnsiTheme="minorHAnsi" w:cstheme="minorHAnsi"/>
          <w:szCs w:val="18"/>
        </w:rPr>
        <w:t xml:space="preserve">Ranking the rehabilitation solutions </w:t>
      </w:r>
      <w:r w:rsidR="00C15DC5">
        <w:rPr>
          <w:rFonts w:asciiTheme="minorHAnsi" w:hAnsiTheme="minorHAnsi" w:cstheme="minorHAnsi"/>
          <w:szCs w:val="18"/>
        </w:rPr>
        <w:t>from the</w:t>
      </w:r>
      <w:r w:rsidR="004C34F7">
        <w:rPr>
          <w:rFonts w:asciiTheme="minorHAnsi" w:hAnsiTheme="minorHAnsi" w:cstheme="minorHAnsi"/>
          <w:szCs w:val="18"/>
        </w:rPr>
        <w:t xml:space="preserve"> </w:t>
      </w:r>
      <w:r w:rsidR="00283024">
        <w:rPr>
          <w:rFonts w:asciiTheme="minorHAnsi" w:hAnsiTheme="minorHAnsi" w:cstheme="minorHAnsi"/>
          <w:szCs w:val="18"/>
        </w:rPr>
        <w:t xml:space="preserve">most ideal to </w:t>
      </w:r>
      <w:r w:rsidR="003F6F21">
        <w:rPr>
          <w:rFonts w:asciiTheme="minorHAnsi" w:hAnsiTheme="minorHAnsi" w:cstheme="minorHAnsi"/>
          <w:szCs w:val="18"/>
        </w:rPr>
        <w:t>the least safe option consists of:</w:t>
      </w:r>
    </w:p>
    <w:p w14:paraId="2AE85F4B" w14:textId="7DBBBF23" w:rsidR="003F6F21" w:rsidRDefault="003F6F21" w:rsidP="003F6F21">
      <w:pPr>
        <w:pStyle w:val="ListBullet"/>
        <w:ind w:left="357" w:hanging="357"/>
        <w:rPr>
          <w:rFonts w:asciiTheme="minorHAnsi" w:hAnsiTheme="minorHAnsi" w:cstheme="minorHAnsi"/>
          <w:szCs w:val="18"/>
        </w:rPr>
      </w:pPr>
      <w:r>
        <w:rPr>
          <w:rFonts w:asciiTheme="minorHAnsi" w:hAnsiTheme="minorHAnsi" w:cstheme="minorHAnsi"/>
          <w:szCs w:val="18"/>
        </w:rPr>
        <w:t xml:space="preserve">A </w:t>
      </w:r>
      <w:r w:rsidR="00B00DAB">
        <w:rPr>
          <w:rFonts w:asciiTheme="minorHAnsi" w:hAnsiTheme="minorHAnsi" w:cstheme="minorHAnsi"/>
          <w:szCs w:val="18"/>
        </w:rPr>
        <w:t>‘</w:t>
      </w:r>
      <w:r w:rsidRPr="00354E92">
        <w:rPr>
          <w:rFonts w:asciiTheme="minorHAnsi" w:hAnsiTheme="minorHAnsi" w:cstheme="minorHAnsi"/>
          <w:szCs w:val="18"/>
        </w:rPr>
        <w:t>full</w:t>
      </w:r>
      <w:r w:rsidR="00B00DAB" w:rsidRPr="00354E92">
        <w:rPr>
          <w:rFonts w:asciiTheme="minorHAnsi" w:hAnsiTheme="minorHAnsi" w:cstheme="minorHAnsi"/>
          <w:szCs w:val="18"/>
        </w:rPr>
        <w:t xml:space="preserve"> pit lake’</w:t>
      </w:r>
      <w:r w:rsidR="00B00DAB">
        <w:rPr>
          <w:rFonts w:asciiTheme="minorHAnsi" w:hAnsiTheme="minorHAnsi" w:cstheme="minorHAnsi"/>
          <w:szCs w:val="18"/>
        </w:rPr>
        <w:t xml:space="preserve"> that fills the mine void with water </w:t>
      </w:r>
      <w:r w:rsidR="000D18FB">
        <w:rPr>
          <w:rFonts w:asciiTheme="minorHAnsi" w:hAnsiTheme="minorHAnsi" w:cstheme="minorHAnsi"/>
          <w:szCs w:val="18"/>
        </w:rPr>
        <w:t>is recognised as the safest solution to rehabilitating the coal mines</w:t>
      </w:r>
      <w:r w:rsidR="00DE51E5">
        <w:rPr>
          <w:rFonts w:asciiTheme="minorHAnsi" w:hAnsiTheme="minorHAnsi" w:cstheme="minorHAnsi"/>
          <w:szCs w:val="18"/>
        </w:rPr>
        <w:t xml:space="preserve"> by mediating</w:t>
      </w:r>
      <w:r w:rsidR="00A5346E">
        <w:rPr>
          <w:rFonts w:asciiTheme="minorHAnsi" w:hAnsiTheme="minorHAnsi" w:cstheme="minorHAnsi"/>
          <w:szCs w:val="18"/>
        </w:rPr>
        <w:t xml:space="preserve"> the vertical and horizontal pressures</w:t>
      </w:r>
      <w:r w:rsidR="00D91AC5">
        <w:rPr>
          <w:rFonts w:asciiTheme="minorHAnsi" w:hAnsiTheme="minorHAnsi" w:cstheme="minorHAnsi"/>
          <w:szCs w:val="18"/>
        </w:rPr>
        <w:t xml:space="preserve"> applied to open pit </w:t>
      </w:r>
      <w:r w:rsidR="00CA76CB">
        <w:rPr>
          <w:rFonts w:asciiTheme="minorHAnsi" w:hAnsiTheme="minorHAnsi" w:cstheme="minorHAnsi"/>
          <w:szCs w:val="18"/>
        </w:rPr>
        <w:t>mine voids</w:t>
      </w:r>
      <w:r w:rsidR="003878E7">
        <w:rPr>
          <w:rFonts w:asciiTheme="minorHAnsi" w:hAnsiTheme="minorHAnsi" w:cstheme="minorHAnsi"/>
          <w:szCs w:val="18"/>
        </w:rPr>
        <w:t xml:space="preserve"> </w:t>
      </w:r>
      <w:r w:rsidR="00DE51E5">
        <w:rPr>
          <w:rFonts w:asciiTheme="minorHAnsi" w:hAnsiTheme="minorHAnsi" w:cstheme="minorHAnsi"/>
          <w:szCs w:val="18"/>
        </w:rPr>
        <w:t xml:space="preserve">that result in ground </w:t>
      </w:r>
      <w:r w:rsidR="007E0106">
        <w:rPr>
          <w:rFonts w:asciiTheme="minorHAnsi" w:hAnsiTheme="minorHAnsi" w:cstheme="minorHAnsi"/>
          <w:szCs w:val="18"/>
        </w:rPr>
        <w:t xml:space="preserve">land </w:t>
      </w:r>
      <w:r w:rsidR="00DE51E5">
        <w:rPr>
          <w:rFonts w:asciiTheme="minorHAnsi" w:hAnsiTheme="minorHAnsi" w:cstheme="minorHAnsi"/>
          <w:szCs w:val="18"/>
        </w:rPr>
        <w:t>instability</w:t>
      </w:r>
      <w:r w:rsidR="007E0106">
        <w:rPr>
          <w:rFonts w:asciiTheme="minorHAnsi" w:hAnsiTheme="minorHAnsi" w:cstheme="minorHAnsi"/>
          <w:szCs w:val="18"/>
        </w:rPr>
        <w:t xml:space="preserve"> events </w:t>
      </w:r>
      <w:r w:rsidR="003878E7">
        <w:rPr>
          <w:rFonts w:asciiTheme="minorHAnsi" w:hAnsiTheme="minorHAnsi" w:cstheme="minorHAnsi"/>
          <w:szCs w:val="18"/>
        </w:rPr>
        <w:t>and the coverage provided to expose</w:t>
      </w:r>
      <w:r w:rsidR="006E60ED">
        <w:rPr>
          <w:rFonts w:asciiTheme="minorHAnsi" w:hAnsiTheme="minorHAnsi" w:cstheme="minorHAnsi"/>
          <w:szCs w:val="18"/>
        </w:rPr>
        <w:t>d</w:t>
      </w:r>
      <w:r w:rsidR="00DE51E5">
        <w:rPr>
          <w:rFonts w:asciiTheme="minorHAnsi" w:hAnsiTheme="minorHAnsi" w:cstheme="minorHAnsi"/>
          <w:szCs w:val="18"/>
        </w:rPr>
        <w:t xml:space="preserve"> coal</w:t>
      </w:r>
      <w:r w:rsidR="004673AA">
        <w:rPr>
          <w:rFonts w:asciiTheme="minorHAnsi" w:hAnsiTheme="minorHAnsi" w:cstheme="minorHAnsi"/>
          <w:szCs w:val="18"/>
        </w:rPr>
        <w:t xml:space="preserve"> to control for fire risks.</w:t>
      </w:r>
      <w:r w:rsidR="00ED6297">
        <w:rPr>
          <w:rFonts w:asciiTheme="minorHAnsi" w:hAnsiTheme="minorHAnsi" w:cstheme="minorHAnsi"/>
          <w:szCs w:val="18"/>
        </w:rPr>
        <w:t xml:space="preserve"> This solution would </w:t>
      </w:r>
      <w:r w:rsidR="00ED6297">
        <w:rPr>
          <w:rFonts w:asciiTheme="minorHAnsi" w:hAnsiTheme="minorHAnsi" w:cstheme="minorHAnsi"/>
          <w:szCs w:val="18"/>
        </w:rPr>
        <w:lastRenderedPageBreak/>
        <w:t>reduce the level of active controls required of the mine site in the future which would be supplanted to passive controls</w:t>
      </w:r>
      <w:r w:rsidR="00DC308C">
        <w:rPr>
          <w:rFonts w:asciiTheme="minorHAnsi" w:hAnsiTheme="minorHAnsi" w:cstheme="minorHAnsi"/>
          <w:szCs w:val="18"/>
        </w:rPr>
        <w:t xml:space="preserve"> which are </w:t>
      </w:r>
      <w:r w:rsidR="00E324E9">
        <w:rPr>
          <w:rFonts w:asciiTheme="minorHAnsi" w:hAnsiTheme="minorHAnsi" w:cstheme="minorHAnsi"/>
          <w:szCs w:val="18"/>
        </w:rPr>
        <w:t xml:space="preserve">more </w:t>
      </w:r>
      <w:r w:rsidR="00DC308C">
        <w:rPr>
          <w:rFonts w:asciiTheme="minorHAnsi" w:hAnsiTheme="minorHAnsi" w:cstheme="minorHAnsi"/>
          <w:szCs w:val="18"/>
        </w:rPr>
        <w:t xml:space="preserve">feasible </w:t>
      </w:r>
      <w:r w:rsidR="005A3775">
        <w:rPr>
          <w:rFonts w:asciiTheme="minorHAnsi" w:hAnsiTheme="minorHAnsi" w:cstheme="minorHAnsi"/>
          <w:szCs w:val="18"/>
        </w:rPr>
        <w:t>practically and financially</w:t>
      </w:r>
      <w:r w:rsidR="0048571B">
        <w:rPr>
          <w:rFonts w:asciiTheme="minorHAnsi" w:hAnsiTheme="minorHAnsi" w:cstheme="minorHAnsi"/>
          <w:szCs w:val="18"/>
        </w:rPr>
        <w:t xml:space="preserve"> to </w:t>
      </w:r>
      <w:r w:rsidR="00DC308C">
        <w:rPr>
          <w:rFonts w:asciiTheme="minorHAnsi" w:hAnsiTheme="minorHAnsi" w:cstheme="minorHAnsi"/>
          <w:szCs w:val="18"/>
        </w:rPr>
        <w:t xml:space="preserve">the </w:t>
      </w:r>
      <w:r w:rsidR="00E7772E">
        <w:rPr>
          <w:rFonts w:asciiTheme="minorHAnsi" w:hAnsiTheme="minorHAnsi" w:cstheme="minorHAnsi"/>
          <w:szCs w:val="18"/>
        </w:rPr>
        <w:t>landowner</w:t>
      </w:r>
      <w:r w:rsidR="00DC308C">
        <w:rPr>
          <w:rFonts w:asciiTheme="minorHAnsi" w:hAnsiTheme="minorHAnsi" w:cstheme="minorHAnsi"/>
          <w:szCs w:val="18"/>
        </w:rPr>
        <w:t>.</w:t>
      </w:r>
    </w:p>
    <w:p w14:paraId="40D4CD3D" w14:textId="2D843633" w:rsidR="0048571B" w:rsidRDefault="00E52F89" w:rsidP="003F6F21">
      <w:pPr>
        <w:pStyle w:val="ListBullet"/>
        <w:ind w:left="357" w:hanging="357"/>
        <w:rPr>
          <w:rFonts w:asciiTheme="minorHAnsi" w:hAnsiTheme="minorHAnsi" w:cstheme="minorHAnsi"/>
          <w:szCs w:val="18"/>
        </w:rPr>
      </w:pPr>
      <w:r>
        <w:rPr>
          <w:rFonts w:asciiTheme="minorHAnsi" w:hAnsiTheme="minorHAnsi" w:cstheme="minorHAnsi"/>
          <w:szCs w:val="18"/>
        </w:rPr>
        <w:t>A ‘</w:t>
      </w:r>
      <w:r w:rsidRPr="005C6526">
        <w:rPr>
          <w:rFonts w:asciiTheme="minorHAnsi" w:hAnsiTheme="minorHAnsi" w:cstheme="minorHAnsi"/>
          <w:szCs w:val="18"/>
        </w:rPr>
        <w:t>partial pit lake’</w:t>
      </w:r>
      <w:r>
        <w:rPr>
          <w:rFonts w:asciiTheme="minorHAnsi" w:hAnsiTheme="minorHAnsi" w:cstheme="minorHAnsi"/>
          <w:szCs w:val="18"/>
        </w:rPr>
        <w:t xml:space="preserve"> </w:t>
      </w:r>
      <w:r w:rsidR="004F605D">
        <w:rPr>
          <w:rFonts w:asciiTheme="minorHAnsi" w:hAnsiTheme="minorHAnsi" w:cstheme="minorHAnsi"/>
          <w:szCs w:val="18"/>
        </w:rPr>
        <w:t xml:space="preserve">involves filling </w:t>
      </w:r>
      <w:r w:rsidR="00AF1F79">
        <w:rPr>
          <w:rFonts w:asciiTheme="minorHAnsi" w:hAnsiTheme="minorHAnsi" w:cstheme="minorHAnsi"/>
          <w:szCs w:val="18"/>
        </w:rPr>
        <w:t xml:space="preserve">part of </w:t>
      </w:r>
      <w:r w:rsidR="004F605D">
        <w:rPr>
          <w:rFonts w:asciiTheme="minorHAnsi" w:hAnsiTheme="minorHAnsi" w:cstheme="minorHAnsi"/>
          <w:szCs w:val="18"/>
        </w:rPr>
        <w:t xml:space="preserve">the mine pit void </w:t>
      </w:r>
      <w:r w:rsidR="00D3715F">
        <w:rPr>
          <w:rFonts w:asciiTheme="minorHAnsi" w:hAnsiTheme="minorHAnsi" w:cstheme="minorHAnsi"/>
          <w:szCs w:val="18"/>
        </w:rPr>
        <w:t xml:space="preserve">with water and </w:t>
      </w:r>
      <w:r w:rsidR="00AF1F79">
        <w:rPr>
          <w:rFonts w:asciiTheme="minorHAnsi" w:hAnsiTheme="minorHAnsi" w:cstheme="minorHAnsi"/>
          <w:szCs w:val="18"/>
        </w:rPr>
        <w:t xml:space="preserve">some </w:t>
      </w:r>
      <w:r w:rsidR="00D3715F">
        <w:rPr>
          <w:rFonts w:asciiTheme="minorHAnsi" w:hAnsiTheme="minorHAnsi" w:cstheme="minorHAnsi"/>
          <w:szCs w:val="18"/>
        </w:rPr>
        <w:t xml:space="preserve">earthwork material that includes less water than a full pit lake solution. </w:t>
      </w:r>
      <w:r w:rsidR="0086050F">
        <w:rPr>
          <w:rFonts w:asciiTheme="minorHAnsi" w:hAnsiTheme="minorHAnsi" w:cstheme="minorHAnsi"/>
          <w:szCs w:val="18"/>
        </w:rPr>
        <w:t xml:space="preserve">This option opposes </w:t>
      </w:r>
      <w:r w:rsidR="007101D7">
        <w:rPr>
          <w:rFonts w:asciiTheme="minorHAnsi" w:hAnsiTheme="minorHAnsi" w:cstheme="minorHAnsi"/>
          <w:szCs w:val="18"/>
        </w:rPr>
        <w:t xml:space="preserve">the </w:t>
      </w:r>
      <w:r w:rsidR="00F52349">
        <w:rPr>
          <w:rFonts w:asciiTheme="minorHAnsi" w:hAnsiTheme="minorHAnsi" w:cstheme="minorHAnsi"/>
          <w:szCs w:val="18"/>
        </w:rPr>
        <w:t xml:space="preserve">vertical pressures </w:t>
      </w:r>
      <w:r w:rsidR="000844C5">
        <w:rPr>
          <w:rFonts w:asciiTheme="minorHAnsi" w:hAnsiTheme="minorHAnsi" w:cstheme="minorHAnsi"/>
          <w:szCs w:val="18"/>
        </w:rPr>
        <w:t xml:space="preserve">exerted </w:t>
      </w:r>
      <w:r w:rsidR="00F52349">
        <w:rPr>
          <w:rFonts w:asciiTheme="minorHAnsi" w:hAnsiTheme="minorHAnsi" w:cstheme="minorHAnsi"/>
          <w:szCs w:val="18"/>
        </w:rPr>
        <w:t xml:space="preserve">on the pit void </w:t>
      </w:r>
      <w:r w:rsidR="000844C5">
        <w:rPr>
          <w:rFonts w:asciiTheme="minorHAnsi" w:hAnsiTheme="minorHAnsi" w:cstheme="minorHAnsi"/>
          <w:szCs w:val="18"/>
        </w:rPr>
        <w:t xml:space="preserve">but </w:t>
      </w:r>
      <w:r w:rsidR="002219E1">
        <w:rPr>
          <w:rFonts w:asciiTheme="minorHAnsi" w:hAnsiTheme="minorHAnsi" w:cstheme="minorHAnsi"/>
          <w:szCs w:val="18"/>
        </w:rPr>
        <w:t xml:space="preserve">does not adequately mediate </w:t>
      </w:r>
      <w:r w:rsidR="00AF1F79">
        <w:rPr>
          <w:rFonts w:asciiTheme="minorHAnsi" w:hAnsiTheme="minorHAnsi" w:cstheme="minorHAnsi"/>
          <w:szCs w:val="18"/>
        </w:rPr>
        <w:t xml:space="preserve">the lateral pressures </w:t>
      </w:r>
      <w:r w:rsidR="00BB375B">
        <w:rPr>
          <w:rFonts w:asciiTheme="minorHAnsi" w:hAnsiTheme="minorHAnsi" w:cstheme="minorHAnsi"/>
          <w:szCs w:val="18"/>
        </w:rPr>
        <w:t xml:space="preserve">that exist </w:t>
      </w:r>
      <w:r w:rsidR="007101D7">
        <w:rPr>
          <w:rFonts w:asciiTheme="minorHAnsi" w:hAnsiTheme="minorHAnsi" w:cstheme="minorHAnsi"/>
          <w:szCs w:val="18"/>
        </w:rPr>
        <w:t>o</w:t>
      </w:r>
      <w:r w:rsidR="00BB375B">
        <w:rPr>
          <w:rFonts w:asciiTheme="minorHAnsi" w:hAnsiTheme="minorHAnsi" w:cstheme="minorHAnsi"/>
          <w:szCs w:val="18"/>
        </w:rPr>
        <w:t xml:space="preserve">n the </w:t>
      </w:r>
      <w:r w:rsidR="00AF1F79">
        <w:rPr>
          <w:rFonts w:asciiTheme="minorHAnsi" w:hAnsiTheme="minorHAnsi" w:cstheme="minorHAnsi"/>
          <w:szCs w:val="18"/>
        </w:rPr>
        <w:t xml:space="preserve">pit void and </w:t>
      </w:r>
      <w:r w:rsidR="007C27A6">
        <w:rPr>
          <w:rFonts w:asciiTheme="minorHAnsi" w:hAnsiTheme="minorHAnsi" w:cstheme="minorHAnsi"/>
          <w:szCs w:val="18"/>
        </w:rPr>
        <w:t xml:space="preserve">results in more exposed coal which must </w:t>
      </w:r>
      <w:r w:rsidR="006100E9">
        <w:rPr>
          <w:rFonts w:asciiTheme="minorHAnsi" w:hAnsiTheme="minorHAnsi" w:cstheme="minorHAnsi"/>
          <w:szCs w:val="18"/>
        </w:rPr>
        <w:t>be covered by some other material to control for fire risks.</w:t>
      </w:r>
    </w:p>
    <w:p w14:paraId="29E22042" w14:textId="4B11FB5B" w:rsidR="006100E9" w:rsidRDefault="006100E9" w:rsidP="003F6F21">
      <w:pPr>
        <w:pStyle w:val="ListBullet"/>
        <w:ind w:left="357" w:hanging="357"/>
        <w:rPr>
          <w:rFonts w:asciiTheme="minorHAnsi" w:hAnsiTheme="minorHAnsi" w:cstheme="minorHAnsi"/>
          <w:szCs w:val="18"/>
        </w:rPr>
      </w:pPr>
      <w:r>
        <w:rPr>
          <w:rFonts w:asciiTheme="minorHAnsi" w:hAnsiTheme="minorHAnsi" w:cstheme="minorHAnsi"/>
          <w:szCs w:val="18"/>
        </w:rPr>
        <w:t>A</w:t>
      </w:r>
      <w:r w:rsidR="0023559C">
        <w:rPr>
          <w:rFonts w:asciiTheme="minorHAnsi" w:hAnsiTheme="minorHAnsi" w:cstheme="minorHAnsi"/>
          <w:szCs w:val="18"/>
        </w:rPr>
        <w:t xml:space="preserve"> ‘dry void’ solution is deemed the </w:t>
      </w:r>
      <w:r w:rsidR="00466BB2">
        <w:rPr>
          <w:rFonts w:asciiTheme="minorHAnsi" w:hAnsiTheme="minorHAnsi" w:cstheme="minorHAnsi"/>
          <w:szCs w:val="18"/>
        </w:rPr>
        <w:t xml:space="preserve">most unideal solution </w:t>
      </w:r>
      <w:r w:rsidR="00EC54E0">
        <w:rPr>
          <w:rFonts w:asciiTheme="minorHAnsi" w:hAnsiTheme="minorHAnsi" w:cstheme="minorHAnsi"/>
          <w:szCs w:val="18"/>
        </w:rPr>
        <w:t>for mine rehabilitation due to the significant level of active controls that remain to keep the</w:t>
      </w:r>
      <w:r w:rsidR="00466BB2">
        <w:rPr>
          <w:rFonts w:asciiTheme="minorHAnsi" w:hAnsiTheme="minorHAnsi" w:cstheme="minorHAnsi"/>
          <w:szCs w:val="18"/>
        </w:rPr>
        <w:t xml:space="preserve"> pit void</w:t>
      </w:r>
      <w:r w:rsidR="00EC54E0">
        <w:rPr>
          <w:rFonts w:asciiTheme="minorHAnsi" w:hAnsiTheme="minorHAnsi" w:cstheme="minorHAnsi"/>
          <w:szCs w:val="18"/>
        </w:rPr>
        <w:t xml:space="preserve"> s</w:t>
      </w:r>
      <w:r w:rsidR="008A09E3">
        <w:rPr>
          <w:rFonts w:asciiTheme="minorHAnsi" w:hAnsiTheme="minorHAnsi" w:cstheme="minorHAnsi"/>
          <w:szCs w:val="18"/>
        </w:rPr>
        <w:t xml:space="preserve">table. A dry void option does not adequately </w:t>
      </w:r>
      <w:r w:rsidR="003C3D5D">
        <w:rPr>
          <w:rFonts w:asciiTheme="minorHAnsi" w:hAnsiTheme="minorHAnsi" w:cstheme="minorHAnsi"/>
          <w:szCs w:val="18"/>
        </w:rPr>
        <w:t xml:space="preserve">combat the horizontal and lateral pressures experienced </w:t>
      </w:r>
      <w:r w:rsidR="007F7DAD">
        <w:rPr>
          <w:rFonts w:asciiTheme="minorHAnsi" w:hAnsiTheme="minorHAnsi" w:cstheme="minorHAnsi"/>
          <w:szCs w:val="18"/>
        </w:rPr>
        <w:t>in</w:t>
      </w:r>
      <w:r w:rsidR="00856DC3">
        <w:rPr>
          <w:rFonts w:asciiTheme="minorHAnsi" w:hAnsiTheme="minorHAnsi" w:cstheme="minorHAnsi"/>
          <w:szCs w:val="18"/>
        </w:rPr>
        <w:t xml:space="preserve"> </w:t>
      </w:r>
      <w:r w:rsidR="007F7DAD">
        <w:rPr>
          <w:rFonts w:asciiTheme="minorHAnsi" w:hAnsiTheme="minorHAnsi" w:cstheme="minorHAnsi"/>
          <w:szCs w:val="18"/>
        </w:rPr>
        <w:t xml:space="preserve">pit voids </w:t>
      </w:r>
      <w:r w:rsidR="00856DC3">
        <w:rPr>
          <w:rFonts w:asciiTheme="minorHAnsi" w:hAnsiTheme="minorHAnsi" w:cstheme="minorHAnsi"/>
          <w:szCs w:val="18"/>
        </w:rPr>
        <w:t xml:space="preserve">and </w:t>
      </w:r>
      <w:r w:rsidR="00F347B2">
        <w:rPr>
          <w:rFonts w:asciiTheme="minorHAnsi" w:hAnsiTheme="minorHAnsi" w:cstheme="minorHAnsi"/>
          <w:szCs w:val="18"/>
        </w:rPr>
        <w:t xml:space="preserve">implicates </w:t>
      </w:r>
      <w:r w:rsidR="00856DC3">
        <w:rPr>
          <w:rFonts w:asciiTheme="minorHAnsi" w:hAnsiTheme="minorHAnsi" w:cstheme="minorHAnsi"/>
          <w:szCs w:val="18"/>
        </w:rPr>
        <w:t>the</w:t>
      </w:r>
      <w:r w:rsidR="006C3529">
        <w:rPr>
          <w:rFonts w:asciiTheme="minorHAnsi" w:hAnsiTheme="minorHAnsi" w:cstheme="minorHAnsi"/>
          <w:szCs w:val="18"/>
        </w:rPr>
        <w:t xml:space="preserve"> largest amount of coal resource</w:t>
      </w:r>
      <w:r w:rsidR="00F347B2">
        <w:rPr>
          <w:rFonts w:asciiTheme="minorHAnsi" w:hAnsiTheme="minorHAnsi" w:cstheme="minorHAnsi"/>
          <w:szCs w:val="18"/>
        </w:rPr>
        <w:t>s</w:t>
      </w:r>
      <w:r w:rsidR="006C3529">
        <w:rPr>
          <w:rFonts w:asciiTheme="minorHAnsi" w:hAnsiTheme="minorHAnsi" w:cstheme="minorHAnsi"/>
          <w:szCs w:val="18"/>
        </w:rPr>
        <w:t xml:space="preserve"> exposed to the open environment. This option also relies on a significant amount of earthworks material to fill the mine void </w:t>
      </w:r>
      <w:r w:rsidR="00C806B4">
        <w:rPr>
          <w:rFonts w:asciiTheme="minorHAnsi" w:hAnsiTheme="minorHAnsi" w:cstheme="minorHAnsi"/>
          <w:szCs w:val="18"/>
        </w:rPr>
        <w:t xml:space="preserve">which cannot be sourced </w:t>
      </w:r>
      <w:r w:rsidR="005E1BBF">
        <w:rPr>
          <w:rFonts w:asciiTheme="minorHAnsi" w:hAnsiTheme="minorHAnsi" w:cstheme="minorHAnsi"/>
          <w:szCs w:val="18"/>
        </w:rPr>
        <w:t xml:space="preserve">from </w:t>
      </w:r>
      <w:r w:rsidR="003C46EF">
        <w:rPr>
          <w:rFonts w:asciiTheme="minorHAnsi" w:hAnsiTheme="minorHAnsi" w:cstheme="minorHAnsi"/>
          <w:szCs w:val="18"/>
        </w:rPr>
        <w:t xml:space="preserve">local material or onsite </w:t>
      </w:r>
      <w:r w:rsidR="005E1BBF">
        <w:rPr>
          <w:rFonts w:asciiTheme="minorHAnsi" w:hAnsiTheme="minorHAnsi" w:cstheme="minorHAnsi"/>
          <w:szCs w:val="18"/>
        </w:rPr>
        <w:t xml:space="preserve">mining waste due </w:t>
      </w:r>
      <w:r w:rsidR="00556A9B">
        <w:rPr>
          <w:rFonts w:asciiTheme="minorHAnsi" w:hAnsiTheme="minorHAnsi" w:cstheme="minorHAnsi"/>
          <w:szCs w:val="18"/>
        </w:rPr>
        <w:t xml:space="preserve">to the </w:t>
      </w:r>
      <w:r w:rsidR="00D32353">
        <w:rPr>
          <w:rFonts w:asciiTheme="minorHAnsi" w:hAnsiTheme="minorHAnsi" w:cstheme="minorHAnsi"/>
          <w:szCs w:val="18"/>
        </w:rPr>
        <w:t xml:space="preserve">high concentration of </w:t>
      </w:r>
      <w:r w:rsidR="00556A9B">
        <w:rPr>
          <w:rFonts w:asciiTheme="minorHAnsi" w:hAnsiTheme="minorHAnsi" w:cstheme="minorHAnsi"/>
          <w:szCs w:val="18"/>
        </w:rPr>
        <w:t>coal</w:t>
      </w:r>
      <w:r w:rsidR="00D32353">
        <w:rPr>
          <w:rFonts w:asciiTheme="minorHAnsi" w:hAnsiTheme="minorHAnsi" w:cstheme="minorHAnsi"/>
          <w:szCs w:val="18"/>
        </w:rPr>
        <w:t xml:space="preserve"> deposits</w:t>
      </w:r>
      <w:r w:rsidR="00C416AD">
        <w:rPr>
          <w:rFonts w:asciiTheme="minorHAnsi" w:hAnsiTheme="minorHAnsi" w:cstheme="minorHAnsi"/>
          <w:szCs w:val="18"/>
        </w:rPr>
        <w:t xml:space="preserve"> in the Latrobe Valley</w:t>
      </w:r>
      <w:r w:rsidR="00A30EE2">
        <w:rPr>
          <w:rFonts w:asciiTheme="minorHAnsi" w:hAnsiTheme="minorHAnsi" w:cstheme="minorHAnsi"/>
          <w:szCs w:val="18"/>
        </w:rPr>
        <w:t xml:space="preserve"> mines</w:t>
      </w:r>
      <w:r w:rsidR="00C416AD">
        <w:rPr>
          <w:rFonts w:asciiTheme="minorHAnsi" w:hAnsiTheme="minorHAnsi" w:cstheme="minorHAnsi"/>
          <w:szCs w:val="18"/>
        </w:rPr>
        <w:t xml:space="preserve"> as outlined in </w:t>
      </w:r>
      <w:r w:rsidR="00503E88">
        <w:rPr>
          <w:rFonts w:asciiTheme="minorHAnsi" w:hAnsiTheme="minorHAnsi" w:cstheme="minorHAnsi"/>
          <w:szCs w:val="18"/>
        </w:rPr>
        <w:fldChar w:fldCharType="begin"/>
      </w:r>
      <w:r w:rsidR="00503E88">
        <w:rPr>
          <w:rFonts w:asciiTheme="minorHAnsi" w:hAnsiTheme="minorHAnsi" w:cstheme="minorHAnsi"/>
          <w:szCs w:val="18"/>
        </w:rPr>
        <w:instrText xml:space="preserve"> REF _Ref101708273 \r \h </w:instrText>
      </w:r>
      <w:r w:rsidR="00503E88">
        <w:rPr>
          <w:rFonts w:asciiTheme="minorHAnsi" w:hAnsiTheme="minorHAnsi" w:cstheme="minorHAnsi"/>
          <w:szCs w:val="18"/>
        </w:rPr>
      </w:r>
      <w:r w:rsidR="00503E88">
        <w:rPr>
          <w:rFonts w:asciiTheme="minorHAnsi" w:hAnsiTheme="minorHAnsi" w:cstheme="minorHAnsi"/>
          <w:szCs w:val="18"/>
        </w:rPr>
        <w:fldChar w:fldCharType="separate"/>
      </w:r>
      <w:r w:rsidR="000B3BF6">
        <w:rPr>
          <w:rFonts w:asciiTheme="minorHAnsi" w:hAnsiTheme="minorHAnsi" w:cstheme="minorHAnsi"/>
          <w:szCs w:val="18"/>
        </w:rPr>
        <w:t>2.4.1</w:t>
      </w:r>
      <w:r w:rsidR="00503E88">
        <w:rPr>
          <w:rFonts w:asciiTheme="minorHAnsi" w:hAnsiTheme="minorHAnsi" w:cstheme="minorHAnsi"/>
          <w:szCs w:val="18"/>
        </w:rPr>
        <w:fldChar w:fldCharType="end"/>
      </w:r>
      <w:r w:rsidR="00C416AD">
        <w:rPr>
          <w:rFonts w:asciiTheme="minorHAnsi" w:hAnsiTheme="minorHAnsi" w:cstheme="minorHAnsi"/>
          <w:szCs w:val="18"/>
        </w:rPr>
        <w:t>.</w:t>
      </w:r>
    </w:p>
    <w:p w14:paraId="6415F745" w14:textId="469E8412" w:rsidR="00C476F7" w:rsidRDefault="00C337A0" w:rsidP="000E35C3">
      <w:pPr>
        <w:pStyle w:val="Heading7"/>
      </w:pPr>
      <w:r>
        <w:t xml:space="preserve">Available resources </w:t>
      </w:r>
      <w:r w:rsidR="00C476F7">
        <w:t>for min</w:t>
      </w:r>
      <w:r w:rsidR="00533CCC">
        <w:t>e site</w:t>
      </w:r>
      <w:r w:rsidR="00C476F7">
        <w:t xml:space="preserve"> </w:t>
      </w:r>
      <w:r w:rsidR="00E958E3">
        <w:t>rehabilitation</w:t>
      </w:r>
    </w:p>
    <w:p w14:paraId="554E55CF" w14:textId="5E510012" w:rsidR="00F1634D" w:rsidRPr="00A26C25" w:rsidRDefault="00F1634D" w:rsidP="00F1634D">
      <w:r w:rsidRPr="00A26C25">
        <w:t xml:space="preserve">The declared mines are extremely large structures. For example, the area of the Loy Yang mine alone is as large as Melbourne City from Docklands to Richmond with a maximum depth of over 200m. Ensuring that the mine walls and floor are stable is critical to ensure future productive uses of the mine </w:t>
      </w:r>
      <w:r w:rsidR="00135091">
        <w:t>site</w:t>
      </w:r>
      <w:r w:rsidRPr="00A26C25">
        <w:t xml:space="preserve"> as well as protecting local waterways and infrastructure around the </w:t>
      </w:r>
      <w:r w:rsidRPr="0098244E">
        <w:t>mine.</w:t>
      </w:r>
      <w:r w:rsidR="00EB2B41" w:rsidRPr="0098244E">
        <w:t xml:space="preserve"> The current rehabilitation options for each of the mines requires a significant amount of water over many </w:t>
      </w:r>
      <w:r w:rsidR="00EB2B41" w:rsidRPr="00BF48BB">
        <w:t xml:space="preserve">decades. </w:t>
      </w:r>
      <w:r w:rsidR="005777FC" w:rsidRPr="00BF48BB">
        <w:t>Future water volume entitlement</w:t>
      </w:r>
      <w:r w:rsidR="00E403C7" w:rsidRPr="00BF48BB">
        <w:t>s</w:t>
      </w:r>
      <w:r w:rsidR="005777FC" w:rsidRPr="00BF48BB">
        <w:t xml:space="preserve"> have a significant impact on the timeframes for planning rehabilitation and the objectives </w:t>
      </w:r>
      <w:r w:rsidR="00804284" w:rsidRPr="00BF48BB">
        <w:t xml:space="preserve">of the </w:t>
      </w:r>
      <w:r w:rsidR="00BF48BB">
        <w:t xml:space="preserve">proposed </w:t>
      </w:r>
      <w:r w:rsidR="00804284" w:rsidRPr="00BF48BB">
        <w:t xml:space="preserve">landform </w:t>
      </w:r>
      <w:r w:rsidR="00EC5555">
        <w:t>after closure</w:t>
      </w:r>
      <w:r w:rsidR="00BF48BB" w:rsidRPr="00BF48BB">
        <w:t>.</w:t>
      </w:r>
      <w:r w:rsidR="00BF48BB">
        <w:t xml:space="preserve"> </w:t>
      </w:r>
      <w:r w:rsidR="00EB2B41" w:rsidRPr="0098244E">
        <w:t>These timeframes could be significantly extended if dry conditions reduce the availability of surface water sources.</w:t>
      </w:r>
      <w:r w:rsidR="00EB2B41" w:rsidRPr="0098244E">
        <w:rPr>
          <w:rStyle w:val="FootnoteReference"/>
        </w:rPr>
        <w:footnoteReference w:id="107"/>
      </w:r>
    </w:p>
    <w:p w14:paraId="42D2FAFD" w14:textId="640E8466" w:rsidR="00626DA7" w:rsidRPr="006B60A2" w:rsidRDefault="00C77E63" w:rsidP="00F75F6C">
      <w:pPr>
        <w:rPr>
          <w:rFonts w:asciiTheme="minorHAnsi" w:hAnsiTheme="minorHAnsi" w:cstheme="minorHAnsi"/>
          <w:szCs w:val="18"/>
        </w:rPr>
      </w:pPr>
      <w:r>
        <w:rPr>
          <w:rFonts w:asciiTheme="minorHAnsi" w:hAnsiTheme="minorHAnsi" w:cstheme="minorHAnsi"/>
          <w:szCs w:val="18"/>
        </w:rPr>
        <w:t>T</w:t>
      </w:r>
      <w:r w:rsidRPr="00591BB5">
        <w:rPr>
          <w:rFonts w:asciiTheme="minorHAnsi" w:hAnsiTheme="minorHAnsi" w:cstheme="minorHAnsi"/>
          <w:szCs w:val="18"/>
        </w:rPr>
        <w:t xml:space="preserve">he total amount of water estimated to create full pit lakes at the three </w:t>
      </w:r>
      <w:r w:rsidR="00256D32">
        <w:rPr>
          <w:rFonts w:asciiTheme="minorHAnsi" w:hAnsiTheme="minorHAnsi" w:cstheme="minorHAnsi"/>
          <w:szCs w:val="18"/>
        </w:rPr>
        <w:t xml:space="preserve">Latrobe Valley </w:t>
      </w:r>
      <w:r w:rsidRPr="00591BB5">
        <w:rPr>
          <w:rFonts w:asciiTheme="minorHAnsi" w:hAnsiTheme="minorHAnsi" w:cstheme="minorHAnsi"/>
          <w:szCs w:val="18"/>
        </w:rPr>
        <w:t xml:space="preserve">mine sites is </w:t>
      </w:r>
      <w:r w:rsidR="00256D32">
        <w:rPr>
          <w:rFonts w:asciiTheme="minorHAnsi" w:hAnsiTheme="minorHAnsi" w:cstheme="minorHAnsi"/>
          <w:szCs w:val="18"/>
        </w:rPr>
        <w:t>more than</w:t>
      </w:r>
      <w:r w:rsidRPr="00591BB5">
        <w:rPr>
          <w:rFonts w:asciiTheme="minorHAnsi" w:hAnsiTheme="minorHAnsi" w:cstheme="minorHAnsi"/>
          <w:szCs w:val="18"/>
        </w:rPr>
        <w:t xml:space="preserve"> </w:t>
      </w:r>
      <w:r w:rsidR="00C85422">
        <w:rPr>
          <w:rFonts w:asciiTheme="minorHAnsi" w:hAnsiTheme="minorHAnsi" w:cstheme="minorHAnsi"/>
          <w:szCs w:val="18"/>
        </w:rPr>
        <w:t>four</w:t>
      </w:r>
      <w:r w:rsidRPr="00591BB5">
        <w:rPr>
          <w:rFonts w:asciiTheme="minorHAnsi" w:hAnsiTheme="minorHAnsi" w:cstheme="minorHAnsi"/>
          <w:szCs w:val="18"/>
        </w:rPr>
        <w:t xml:space="preserve"> times the amount of water</w:t>
      </w:r>
      <w:r w:rsidR="00EC5555">
        <w:rPr>
          <w:rFonts w:asciiTheme="minorHAnsi" w:hAnsiTheme="minorHAnsi" w:cstheme="minorHAnsi"/>
          <w:szCs w:val="18"/>
        </w:rPr>
        <w:t xml:space="preserve"> that exists</w:t>
      </w:r>
      <w:r w:rsidRPr="00591BB5">
        <w:rPr>
          <w:rFonts w:asciiTheme="minorHAnsi" w:hAnsiTheme="minorHAnsi" w:cstheme="minorHAnsi"/>
          <w:szCs w:val="18"/>
        </w:rPr>
        <w:t xml:space="preserve"> in the </w:t>
      </w:r>
      <w:r w:rsidR="00256D32" w:rsidRPr="00C77E63">
        <w:rPr>
          <w:rFonts w:asciiTheme="minorHAnsi" w:hAnsiTheme="minorHAnsi" w:cstheme="minorHAnsi"/>
          <w:szCs w:val="18"/>
        </w:rPr>
        <w:t>Sydney Harbour</w:t>
      </w:r>
      <w:r w:rsidR="00256D32">
        <w:rPr>
          <w:rFonts w:asciiTheme="minorHAnsi" w:hAnsiTheme="minorHAnsi" w:cstheme="minorHAnsi"/>
          <w:szCs w:val="18"/>
        </w:rPr>
        <w:t xml:space="preserve"> </w:t>
      </w:r>
      <w:r w:rsidR="00256D32" w:rsidRPr="00193D47">
        <w:rPr>
          <w:rFonts w:asciiTheme="minorHAnsi" w:hAnsiTheme="minorHAnsi" w:cstheme="minorHAnsi"/>
          <w:szCs w:val="18"/>
        </w:rPr>
        <w:t>Bay</w:t>
      </w:r>
      <w:r w:rsidRPr="00591BB5">
        <w:rPr>
          <w:rFonts w:asciiTheme="minorHAnsi" w:hAnsiTheme="minorHAnsi" w:cstheme="minorHAnsi"/>
          <w:szCs w:val="18"/>
        </w:rPr>
        <w:t>.</w:t>
      </w:r>
      <w:r w:rsidR="005F794F" w:rsidRPr="00193D47">
        <w:rPr>
          <w:rStyle w:val="FootnoteReference"/>
          <w:color w:val="auto"/>
        </w:rPr>
        <w:t xml:space="preserve"> </w:t>
      </w:r>
      <w:r w:rsidR="005F794F" w:rsidRPr="00193D47">
        <w:rPr>
          <w:rStyle w:val="FootnoteReference"/>
          <w:color w:val="auto"/>
        </w:rPr>
        <w:footnoteReference w:id="108"/>
      </w:r>
      <w:r w:rsidRPr="00591BB5">
        <w:rPr>
          <w:rFonts w:asciiTheme="minorHAnsi" w:hAnsiTheme="minorHAnsi" w:cstheme="minorHAnsi"/>
          <w:szCs w:val="18"/>
        </w:rPr>
        <w:t xml:space="preserve"> The </w:t>
      </w:r>
      <w:r w:rsidR="00256D32">
        <w:rPr>
          <w:rFonts w:asciiTheme="minorHAnsi" w:hAnsiTheme="minorHAnsi" w:cstheme="minorHAnsi"/>
          <w:szCs w:val="18"/>
        </w:rPr>
        <w:t xml:space="preserve">LVRRS </w:t>
      </w:r>
      <w:r w:rsidRPr="00591BB5">
        <w:rPr>
          <w:rFonts w:asciiTheme="minorHAnsi" w:hAnsiTheme="minorHAnsi" w:cstheme="minorHAnsi"/>
          <w:szCs w:val="18"/>
        </w:rPr>
        <w:t xml:space="preserve">Water Study found that given the volumes required for a comprehensive water-based approach to mine site rehabilitation, it is unlikely such an option can be fulfilled from </w:t>
      </w:r>
      <w:r w:rsidR="00F556BD">
        <w:rPr>
          <w:rFonts w:asciiTheme="minorHAnsi" w:hAnsiTheme="minorHAnsi" w:cstheme="minorHAnsi"/>
          <w:szCs w:val="18"/>
        </w:rPr>
        <w:t xml:space="preserve">surface </w:t>
      </w:r>
      <w:r w:rsidRPr="00591BB5">
        <w:rPr>
          <w:rFonts w:asciiTheme="minorHAnsi" w:hAnsiTheme="minorHAnsi" w:cstheme="minorHAnsi"/>
          <w:szCs w:val="18"/>
        </w:rPr>
        <w:t>water catchments alone in</w:t>
      </w:r>
      <w:r w:rsidRPr="00C77E63">
        <w:rPr>
          <w:rFonts w:asciiTheme="minorHAnsi" w:hAnsiTheme="minorHAnsi" w:cstheme="minorHAnsi"/>
          <w:szCs w:val="18"/>
        </w:rPr>
        <w:t xml:space="preserve"> the</w:t>
      </w:r>
      <w:r w:rsidRPr="00591BB5">
        <w:rPr>
          <w:rFonts w:asciiTheme="minorHAnsi" w:hAnsiTheme="minorHAnsi" w:cstheme="minorHAnsi"/>
          <w:szCs w:val="18"/>
        </w:rPr>
        <w:t xml:space="preserve"> Latrobe River and Gippsland system.</w:t>
      </w:r>
      <w:r w:rsidR="00085379" w:rsidRPr="00A26C25">
        <w:rPr>
          <w:rStyle w:val="FootnoteReference"/>
        </w:rPr>
        <w:footnoteReference w:id="109"/>
      </w:r>
      <w:r w:rsidR="006B60A2">
        <w:rPr>
          <w:rFonts w:asciiTheme="minorHAnsi" w:hAnsiTheme="minorHAnsi" w:cstheme="minorHAnsi"/>
          <w:szCs w:val="18"/>
        </w:rPr>
        <w:t xml:space="preserve"> </w:t>
      </w:r>
      <w:r w:rsidR="00E57431" w:rsidRPr="005C6526">
        <w:t xml:space="preserve">The mines’ current rehabilitation bonds have also been determined </w:t>
      </w:r>
      <w:r w:rsidR="00135091" w:rsidRPr="005C6526">
        <w:t>based on</w:t>
      </w:r>
      <w:r w:rsidR="00E57431" w:rsidRPr="005C6526">
        <w:t xml:space="preserve"> their current work plans to undertake</w:t>
      </w:r>
      <w:r w:rsidR="006B60A2" w:rsidRPr="005C6526">
        <w:t xml:space="preserve"> </w:t>
      </w:r>
      <w:r w:rsidR="009F3962" w:rsidRPr="005C6526">
        <w:t xml:space="preserve">a </w:t>
      </w:r>
      <w:r w:rsidR="00E57431" w:rsidRPr="005C6526">
        <w:t>pit lake rehabilitation.</w:t>
      </w:r>
    </w:p>
    <w:p w14:paraId="6644814A" w14:textId="6CD1B806" w:rsidR="00E25BD3" w:rsidRDefault="00186783" w:rsidP="00186783">
      <w:r w:rsidRPr="00A26C25">
        <w:t xml:space="preserve">Water from the Latrobe River system </w:t>
      </w:r>
      <w:r w:rsidR="00706C40" w:rsidRPr="00A26C25">
        <w:t>must</w:t>
      </w:r>
      <w:r w:rsidRPr="00A26C25">
        <w:t xml:space="preserve"> be responsibly managed by considering the diversity of users seeking resource entitlements, the various us</w:t>
      </w:r>
      <w:r w:rsidR="006B60A2">
        <w:t>es</w:t>
      </w:r>
      <w:r w:rsidRPr="00A26C25">
        <w:t xml:space="preserve"> for which water entitlements a</w:t>
      </w:r>
      <w:r w:rsidR="00D44331" w:rsidRPr="00A26C25">
        <w:t>r</w:t>
      </w:r>
      <w:r w:rsidRPr="00A26C25">
        <w:t xml:space="preserve">e intended and </w:t>
      </w:r>
      <w:r w:rsidR="00AD1973" w:rsidRPr="00A26C25">
        <w:t>where future water supplies will be sourced from</w:t>
      </w:r>
      <w:r w:rsidRPr="00A26C25">
        <w:t xml:space="preserve">. </w:t>
      </w:r>
      <w:r w:rsidR="00E25BD3" w:rsidRPr="00A26C25">
        <w:t>The variety of users that rely on water in the Central and Gippsland Region and values underpinning their use is plentiful; including farmers, town, regional and urban users, and private industry who all possess a claim on water entitlements for us</w:t>
      </w:r>
      <w:r w:rsidR="00E25BD3">
        <w:t>e which includes</w:t>
      </w:r>
      <w:r w:rsidR="00E25BD3" w:rsidRPr="00A26C25">
        <w:t xml:space="preserve"> domestic and stock use, agriculture, electricity generation</w:t>
      </w:r>
      <w:r w:rsidR="00E25BD3">
        <w:t>,</w:t>
      </w:r>
      <w:r w:rsidR="00E25BD3" w:rsidRPr="00A26C25">
        <w:t xml:space="preserve"> mine land rehabilitation and </w:t>
      </w:r>
      <w:r w:rsidR="00E25BD3">
        <w:t>environmental preservation, among others.</w:t>
      </w:r>
    </w:p>
    <w:p w14:paraId="50F82FD0" w14:textId="1E7FCBE8" w:rsidR="00186783" w:rsidRDefault="00186783" w:rsidP="00186783">
      <w:r w:rsidRPr="00A26C25">
        <w:t xml:space="preserve">Recent drier </w:t>
      </w:r>
      <w:r w:rsidR="00F0206F" w:rsidRPr="00A26C25">
        <w:t xml:space="preserve">and warmer </w:t>
      </w:r>
      <w:r w:rsidR="00750222">
        <w:t xml:space="preserve">climate </w:t>
      </w:r>
      <w:r w:rsidR="00744CFD">
        <w:t xml:space="preserve">conditions </w:t>
      </w:r>
      <w:r w:rsidR="00D211E5" w:rsidRPr="00A26C25">
        <w:t xml:space="preserve">have been accompanied by less average rainfall and </w:t>
      </w:r>
      <w:r w:rsidR="00DD372B" w:rsidRPr="00A26C25">
        <w:t xml:space="preserve">more </w:t>
      </w:r>
      <w:r w:rsidR="001C7A9C" w:rsidRPr="00A26C25">
        <w:t xml:space="preserve">variability </w:t>
      </w:r>
      <w:r w:rsidR="006D2BB4" w:rsidRPr="00A26C25">
        <w:t>each year.</w:t>
      </w:r>
      <w:r w:rsidR="003E54F6" w:rsidRPr="00A26C25">
        <w:rPr>
          <w:rStyle w:val="FootnoteReference"/>
        </w:rPr>
        <w:footnoteReference w:id="110"/>
      </w:r>
      <w:r w:rsidR="006D2BB4" w:rsidRPr="00A26C25">
        <w:t xml:space="preserve"> </w:t>
      </w:r>
      <w:r w:rsidR="001410F3" w:rsidRPr="00A26C25">
        <w:t>As a result, the amount of water flowing into river</w:t>
      </w:r>
      <w:r w:rsidR="003A4879" w:rsidRPr="00A26C25">
        <w:t xml:space="preserve"> systems</w:t>
      </w:r>
      <w:r w:rsidR="001410F3" w:rsidRPr="00A26C25">
        <w:t xml:space="preserve"> to refill water storages</w:t>
      </w:r>
      <w:r w:rsidR="003A4879" w:rsidRPr="00A26C25">
        <w:t xml:space="preserve"> </w:t>
      </w:r>
      <w:r w:rsidR="00CD6153" w:rsidRPr="00A26C25">
        <w:t>has</w:t>
      </w:r>
      <w:r w:rsidR="001410F3" w:rsidRPr="00A26C25">
        <w:t xml:space="preserve"> </w:t>
      </w:r>
      <w:r w:rsidR="00CD6153" w:rsidRPr="00A26C25">
        <w:t xml:space="preserve">been </w:t>
      </w:r>
      <w:r w:rsidR="001410F3" w:rsidRPr="00A26C25">
        <w:t xml:space="preserve">declining </w:t>
      </w:r>
      <w:r w:rsidR="00165B59" w:rsidRPr="00A26C25">
        <w:t>since the early</w:t>
      </w:r>
      <w:r w:rsidR="00F11C37" w:rsidRPr="00A26C25">
        <w:t xml:space="preserve"> 2000s</w:t>
      </w:r>
      <w:r w:rsidR="00AF128D">
        <w:t xml:space="preserve"> accompanied by </w:t>
      </w:r>
      <w:r w:rsidRPr="00A26C25">
        <w:t>increased surface temperatures</w:t>
      </w:r>
      <w:r w:rsidR="007B13DA">
        <w:t>,</w:t>
      </w:r>
      <w:r w:rsidRPr="00A26C25">
        <w:t xml:space="preserve"> extended periods of drought</w:t>
      </w:r>
      <w:r w:rsidR="009A3FD4">
        <w:t xml:space="preserve"> and </w:t>
      </w:r>
      <w:r w:rsidRPr="00A26C25">
        <w:t>greater environmental damage to dry lands from flood</w:t>
      </w:r>
      <w:r w:rsidR="009A3FD4">
        <w:t>ing event</w:t>
      </w:r>
      <w:r w:rsidR="00FF4DA7">
        <w:t>s</w:t>
      </w:r>
      <w:r w:rsidRPr="00A26C25">
        <w:t xml:space="preserve"> and extreme bushfires.</w:t>
      </w:r>
      <w:r w:rsidR="00BD0D64" w:rsidRPr="00A26C25">
        <w:rPr>
          <w:rStyle w:val="FootnoteReference"/>
        </w:rPr>
        <w:footnoteReference w:id="111"/>
      </w:r>
      <w:r w:rsidRPr="00A26C25">
        <w:t xml:space="preserve"> Climate change will continue to affect streamflow and the conditions of already stressed waterways.</w:t>
      </w:r>
      <w:r w:rsidR="00AE5C77" w:rsidRPr="00AE5C77">
        <w:rPr>
          <w:rStyle w:val="FootnoteReference"/>
        </w:rPr>
        <w:t xml:space="preserve"> </w:t>
      </w:r>
      <w:r w:rsidR="00AE5C77" w:rsidRPr="00A26C25">
        <w:rPr>
          <w:rStyle w:val="FootnoteReference"/>
        </w:rPr>
        <w:footnoteReference w:id="112"/>
      </w:r>
      <w:r w:rsidRPr="00A26C25">
        <w:t xml:space="preserve"> Although it makes up less than 25</w:t>
      </w:r>
      <w:r w:rsidR="00AE5C77">
        <w:t xml:space="preserve"> per cent</w:t>
      </w:r>
      <w:r w:rsidRPr="00A26C25">
        <w:t xml:space="preserve"> of Victoria’s land area, the Central and Gippsland Region supplies water to more than 90</w:t>
      </w:r>
      <w:r w:rsidR="00AE5C77">
        <w:t xml:space="preserve"> per cent</w:t>
      </w:r>
      <w:r w:rsidRPr="00A26C25">
        <w:t xml:space="preserve"> of Victoria’s population, placing this figure at over 6 million individual urban users</w:t>
      </w:r>
      <w:r w:rsidR="00AE5C77">
        <w:t xml:space="preserve"> and growing</w:t>
      </w:r>
      <w:r w:rsidRPr="00A26C25">
        <w:t>. While not the only sources of water, less than 10</w:t>
      </w:r>
      <w:r w:rsidR="00AE5C77">
        <w:t xml:space="preserve"> per cent</w:t>
      </w:r>
      <w:r w:rsidRPr="00A26C25">
        <w:t xml:space="preserve"> of the surface and groundwater entitlements in the </w:t>
      </w:r>
      <w:r w:rsidR="00DF018B">
        <w:t>Central and Gippsland R</w:t>
      </w:r>
      <w:r w:rsidRPr="00A26C25">
        <w:t>egion are dedicated to electricity generation and mine site rehabilitation</w:t>
      </w:r>
      <w:r w:rsidR="00DF018B">
        <w:t>, with greater</w:t>
      </w:r>
      <w:r w:rsidR="001D34D9">
        <w:t xml:space="preserve"> entitlement</w:t>
      </w:r>
      <w:r w:rsidR="00692A5A">
        <w:t xml:space="preserve"> volumes</w:t>
      </w:r>
      <w:r w:rsidR="00AD0D72">
        <w:t xml:space="preserve"> reserved for </w:t>
      </w:r>
      <w:r w:rsidR="00645439">
        <w:t>energy production than mining rehabilitation</w:t>
      </w:r>
      <w:r w:rsidR="00591BB5">
        <w:t>.</w:t>
      </w:r>
      <w:r w:rsidR="00AD6A56">
        <w:rPr>
          <w:rStyle w:val="FootnoteReference"/>
        </w:rPr>
        <w:footnoteReference w:id="113"/>
      </w:r>
      <w:r w:rsidR="00D31295">
        <w:t xml:space="preserve"> </w:t>
      </w:r>
      <w:r w:rsidR="00D17DC2">
        <w:t xml:space="preserve">The </w:t>
      </w:r>
      <w:r w:rsidR="00FE3D97" w:rsidRPr="00CD14BC">
        <w:t>LVRRS outlines that decisions on water allocation for rehabilitation will be made 5 years before the scheduled closure date of each mine.</w:t>
      </w:r>
    </w:p>
    <w:p w14:paraId="77C53A64" w14:textId="77777777" w:rsidR="003C2F56" w:rsidRPr="004310C2" w:rsidRDefault="003C2F56" w:rsidP="007D4231">
      <w:pPr>
        <w:pStyle w:val="Heading7"/>
      </w:pPr>
      <w:r w:rsidRPr="00F374D5">
        <w:lastRenderedPageBreak/>
        <w:t>Market-led proposals for future water security</w:t>
      </w:r>
    </w:p>
    <w:p w14:paraId="51B743E5" w14:textId="5BC66F45" w:rsidR="00FF308C" w:rsidRPr="00A26C25" w:rsidRDefault="003C2F56" w:rsidP="009C03C2">
      <w:r w:rsidRPr="00C337A0">
        <w:t>Part of the Victorian Government strategy to address anticipated future water shortages involves establishing a commercial solution on alternative water sources that account for diverse stakeholders and planned usage. Setting the market value of bulk water entitlements is a highly complex process that must capture relevant factors including but not limited to current and future market segments, demand forecasting, regulator revenue requirements, the feasibility and quality of proposed water sources and the pricing structure adopted for the Victorian market.</w:t>
      </w:r>
      <w:r w:rsidR="00955121" w:rsidRPr="00955121">
        <w:rPr>
          <w:rStyle w:val="FootnoteReference"/>
        </w:rPr>
        <w:t xml:space="preserve"> </w:t>
      </w:r>
      <w:r w:rsidR="00955121" w:rsidRPr="00C337A0">
        <w:rPr>
          <w:rStyle w:val="FootnoteReference"/>
        </w:rPr>
        <w:footnoteReference w:id="114"/>
      </w:r>
      <w:r w:rsidRPr="00C337A0">
        <w:t xml:space="preserve"> The sources of manufactured </w:t>
      </w:r>
      <w:r w:rsidRPr="006F4BA0">
        <w:t xml:space="preserve">water responses for example can include recycled water from wastewater processing, desalinated water and stormwater. </w:t>
      </w:r>
      <w:r w:rsidR="006F4BA0" w:rsidRPr="006F4BA0">
        <w:t>Th</w:t>
      </w:r>
      <w:r w:rsidR="00B06F9E">
        <w:t>e current</w:t>
      </w:r>
      <w:r w:rsidR="006F4BA0" w:rsidRPr="006F4BA0">
        <w:t xml:space="preserve"> </w:t>
      </w:r>
      <w:r w:rsidR="00B06F9E">
        <w:t xml:space="preserve">operating </w:t>
      </w:r>
      <w:r w:rsidR="006F4BA0" w:rsidRPr="006F4BA0">
        <w:t>environment has prompted a Victorian Government strategy to develop viable policy initiatives that use water more efficiently and incrementally expand the available water resource pool</w:t>
      </w:r>
      <w:r w:rsidR="0033575E">
        <w:t xml:space="preserve"> for all users</w:t>
      </w:r>
      <w:r w:rsidR="006F4BA0" w:rsidRPr="006F4BA0">
        <w:t>.</w:t>
      </w:r>
      <w:r w:rsidR="00B06F9E">
        <w:t xml:space="preserve"> </w:t>
      </w:r>
      <w:r w:rsidR="009C03C2">
        <w:t xml:space="preserve">Options for rehabilitation that do not </w:t>
      </w:r>
      <w:r w:rsidR="00DA7F37">
        <w:t xml:space="preserve">solely </w:t>
      </w:r>
      <w:r w:rsidR="009C03C2">
        <w:t>rely on water from the Latrobe River system are being considered</w:t>
      </w:r>
      <w:r w:rsidR="000C6E9C">
        <w:t xml:space="preserve"> under this</w:t>
      </w:r>
      <w:r w:rsidR="0015024B">
        <w:t xml:space="preserve"> which, for instance</w:t>
      </w:r>
      <w:r w:rsidR="00407521">
        <w:t>, include</w:t>
      </w:r>
      <w:r w:rsidR="00D17DC2">
        <w:t>s</w:t>
      </w:r>
      <w:r w:rsidR="00407521">
        <w:t xml:space="preserve"> </w:t>
      </w:r>
      <w:r w:rsidR="00EC6885">
        <w:t xml:space="preserve">manufactured water </w:t>
      </w:r>
      <w:r w:rsidR="00D17DC2">
        <w:t>sources</w:t>
      </w:r>
      <w:r w:rsidR="009C03C2">
        <w:t>.</w:t>
      </w:r>
    </w:p>
    <w:p w14:paraId="0F6B7174" w14:textId="556D5853" w:rsidR="00186783" w:rsidRPr="00DB7337" w:rsidRDefault="00186783" w:rsidP="00186783">
      <w:r w:rsidRPr="00DB7337">
        <w:t xml:space="preserve">The region’s drying and variable climate presents both challenges and opportunities for developing </w:t>
      </w:r>
      <w:r w:rsidR="00444ABD" w:rsidRPr="00DB7337">
        <w:t xml:space="preserve">future </w:t>
      </w:r>
      <w:r w:rsidR="009B3FCD" w:rsidRPr="00DB7337">
        <w:t xml:space="preserve">rehabilitation options </w:t>
      </w:r>
      <w:r w:rsidR="00E94BE8" w:rsidRPr="00DB7337">
        <w:t>that include water</w:t>
      </w:r>
      <w:r w:rsidR="00785565" w:rsidRPr="00DB7337">
        <w:t xml:space="preserve"> sourcing. </w:t>
      </w:r>
      <w:r w:rsidR="00530274" w:rsidRPr="00DB7337">
        <w:t xml:space="preserve">Future rehabilitation </w:t>
      </w:r>
      <w:r w:rsidR="00955121" w:rsidRPr="00DB7337">
        <w:t>solutions</w:t>
      </w:r>
      <w:r w:rsidR="00530274" w:rsidRPr="00DB7337">
        <w:t xml:space="preserve"> </w:t>
      </w:r>
      <w:r w:rsidRPr="00DB7337">
        <w:t xml:space="preserve">that </w:t>
      </w:r>
      <w:r w:rsidR="00D2701E" w:rsidRPr="00DB7337">
        <w:t xml:space="preserve">can adapt to </w:t>
      </w:r>
      <w:r w:rsidR="008E76CF" w:rsidRPr="00DB7337">
        <w:t xml:space="preserve">new </w:t>
      </w:r>
      <w:r w:rsidR="00FA4CD7" w:rsidRPr="00DB7337">
        <w:t xml:space="preserve">climate </w:t>
      </w:r>
      <w:r w:rsidR="008E76CF" w:rsidRPr="00DB7337">
        <w:t>real</w:t>
      </w:r>
      <w:r w:rsidR="00BE7E82" w:rsidRPr="00DB7337">
        <w:t xml:space="preserve">ities </w:t>
      </w:r>
      <w:r w:rsidRPr="00DB7337">
        <w:t xml:space="preserve">while </w:t>
      </w:r>
      <w:r w:rsidR="00922B09" w:rsidRPr="00DB7337">
        <w:t xml:space="preserve">curtailing </w:t>
      </w:r>
      <w:r w:rsidRPr="00DB7337">
        <w:t xml:space="preserve">the financial costs of </w:t>
      </w:r>
      <w:r w:rsidR="003F2942" w:rsidRPr="00DB7337">
        <w:t xml:space="preserve">viable options </w:t>
      </w:r>
      <w:r w:rsidRPr="00DB7337">
        <w:t>that protect water security</w:t>
      </w:r>
      <w:r w:rsidR="00955121" w:rsidRPr="00DB7337">
        <w:t xml:space="preserve"> will be integral to </w:t>
      </w:r>
      <w:r w:rsidR="00DB7337" w:rsidRPr="00DB7337">
        <w:t xml:space="preserve">the feasibility of rehabilitating </w:t>
      </w:r>
      <w:r w:rsidR="00955121" w:rsidRPr="00DB7337">
        <w:t>mine sit</w:t>
      </w:r>
      <w:r w:rsidR="00DB7337" w:rsidRPr="00DB7337">
        <w:t>es</w:t>
      </w:r>
      <w:r w:rsidRPr="00DB7337">
        <w:t xml:space="preserve">. </w:t>
      </w:r>
    </w:p>
    <w:p w14:paraId="6FBBE9C4" w14:textId="67EF1DA1" w:rsidR="004E5C36" w:rsidRDefault="00955121" w:rsidP="00F75F6C">
      <w:pPr>
        <w:rPr>
          <w:highlight w:val="yellow"/>
        </w:rPr>
      </w:pPr>
      <w:r w:rsidRPr="00DB7337">
        <w:t>The instruments governing the allocation of water entitlements fall outside the scope of the Act and the proposed Regulations assessed in this RIS.</w:t>
      </w:r>
    </w:p>
    <w:p w14:paraId="0E72A0C5" w14:textId="77777777" w:rsidR="00F75F6C" w:rsidRDefault="00F75F6C" w:rsidP="003F70FF">
      <w:pPr>
        <w:pStyle w:val="Heading6"/>
      </w:pPr>
      <w:r>
        <w:t>Economic uncertainty</w:t>
      </w:r>
    </w:p>
    <w:p w14:paraId="5E8E5FA2" w14:textId="01AD5950" w:rsidR="00F75F6C" w:rsidRDefault="00F75F6C" w:rsidP="00F75F6C">
      <w:r>
        <w:t>The operators of the declared mines are currently operating in a climate of significant economic uncertainty</w:t>
      </w:r>
      <w:r w:rsidR="001A571B">
        <w:t xml:space="preserve">, with the </w:t>
      </w:r>
      <w:r w:rsidR="001A571B" w:rsidRPr="00D37641">
        <w:t xml:space="preserve">COVID-19 </w:t>
      </w:r>
      <w:r w:rsidR="00292366" w:rsidRPr="00D37641">
        <w:t>pandemic</w:t>
      </w:r>
      <w:r w:rsidR="001A571B" w:rsidRPr="00D37641">
        <w:t>, and government policies relating to climate change and the transition towards renewable power generation, all impacting on the</w:t>
      </w:r>
      <w:r w:rsidR="001A571B">
        <w:t xml:space="preserve"> commercial feasibility of the mines</w:t>
      </w:r>
      <w:r w:rsidR="00837D31">
        <w:t xml:space="preserve"> and associated power stations</w:t>
      </w:r>
      <w:r w:rsidR="001A571B">
        <w:t>.</w:t>
      </w:r>
      <w:r w:rsidR="00B65B18">
        <w:t xml:space="preserve"> These factors influence the operating environment of the mines, including planning for rehabilitation</w:t>
      </w:r>
      <w:r w:rsidR="001A571B">
        <w:t>.</w:t>
      </w:r>
    </w:p>
    <w:p w14:paraId="27C580A6" w14:textId="34AFD9B7" w:rsidR="001A571B" w:rsidRDefault="001A571B" w:rsidP="00F75F6C">
      <w:r>
        <w:t xml:space="preserve">The Victorian Government has set a long-term emissions reduction target of zero net emissions by 2050 under the </w:t>
      </w:r>
      <w:r>
        <w:rPr>
          <w:i/>
          <w:iCs/>
        </w:rPr>
        <w:t>Climate Change Act 2017</w:t>
      </w:r>
      <w:r>
        <w:t>.</w:t>
      </w:r>
      <w:r>
        <w:rPr>
          <w:rStyle w:val="FootnoteReference"/>
        </w:rPr>
        <w:footnoteReference w:id="115"/>
      </w:r>
      <w:r>
        <w:t xml:space="preserve"> The Government has also committed to sourcing 50</w:t>
      </w:r>
      <w:r w:rsidR="00DC0542">
        <w:t xml:space="preserve"> per cent</w:t>
      </w:r>
      <w:r>
        <w:t xml:space="preserve"> of the state’s energy needs from renewable sources by 2030.</w:t>
      </w:r>
      <w:r w:rsidR="00B65B18">
        <w:rPr>
          <w:rStyle w:val="FootnoteReference"/>
        </w:rPr>
        <w:footnoteReference w:id="116"/>
      </w:r>
      <w:r>
        <w:t xml:space="preserve"> These targets</w:t>
      </w:r>
      <w:r w:rsidR="00F75F6C">
        <w:t xml:space="preserve"> set the scene for a transition away from the state’s traditional reliance on coal-fired power generation</w:t>
      </w:r>
      <w:r w:rsidR="00B65B18">
        <w:t>, which becomes a factor in decision-making by the declared mines</w:t>
      </w:r>
      <w:r w:rsidR="00F75F6C">
        <w:t xml:space="preserve">. </w:t>
      </w:r>
    </w:p>
    <w:p w14:paraId="150C946B" w14:textId="5F70602E" w:rsidR="00030E8D" w:rsidRPr="0016745E" w:rsidRDefault="00BF6E1F" w:rsidP="0016083E">
      <w:r w:rsidRPr="00BF6E1F">
        <w:t xml:space="preserve">This decline in demand for coal is echoed on </w:t>
      </w:r>
      <w:r w:rsidR="00596BC5">
        <w:t>a national</w:t>
      </w:r>
      <w:r w:rsidRPr="00BF6E1F">
        <w:t xml:space="preserve"> and global scale. Primary energy production from brown coal in Australia decreased from mid-2009 to mid-2019 at an average rate of -5.1</w:t>
      </w:r>
      <w:r w:rsidR="00DC0542">
        <w:t xml:space="preserve"> per cent</w:t>
      </w:r>
      <w:r w:rsidRPr="00BF6E1F">
        <w:t xml:space="preserve"> per annum.</w:t>
      </w:r>
      <w:r w:rsidR="00BD34CD">
        <w:rPr>
          <w:rStyle w:val="FootnoteReference"/>
        </w:rPr>
        <w:footnoteReference w:id="117"/>
      </w:r>
      <w:r w:rsidRPr="00BF6E1F">
        <w:t xml:space="preserve">  Approximately 83</w:t>
      </w:r>
      <w:r w:rsidR="0040528C">
        <w:t xml:space="preserve"> per cent</w:t>
      </w:r>
      <w:r w:rsidRPr="00BF6E1F">
        <w:t xml:space="preserve"> of Australia’s brown coal reserves reside in Victoria.</w:t>
      </w:r>
      <w:r w:rsidR="008A46B0">
        <w:rPr>
          <w:rStyle w:val="FootnoteReference"/>
        </w:rPr>
        <w:footnoteReference w:id="118"/>
      </w:r>
      <w:r w:rsidRPr="00BF6E1F">
        <w:t xml:space="preserve">  According to the International Energy Association’s (‘IEA’) </w:t>
      </w:r>
      <w:r w:rsidRPr="004D2999">
        <w:rPr>
          <w:i/>
          <w:iCs/>
        </w:rPr>
        <w:t>World Energy Outlook</w:t>
      </w:r>
      <w:r w:rsidRPr="00BF6E1F">
        <w:t xml:space="preserve"> released in October 2021, a future global outlook based on stated policy scenarios from public and private sectors shows aggregate fossil fuel demand slowing to a plateau in the 2030s with subsequent falls up until 2050.</w:t>
      </w:r>
      <w:r w:rsidR="00440307">
        <w:rPr>
          <w:rStyle w:val="FootnoteReference"/>
        </w:rPr>
        <w:footnoteReference w:id="119"/>
      </w:r>
      <w:r w:rsidRPr="00BF6E1F">
        <w:t xml:space="preserve"> This is particularly noted for coal where its demand is anticipated to grow sluggishly </w:t>
      </w:r>
      <w:r w:rsidR="00C77329">
        <w:t xml:space="preserve">up </w:t>
      </w:r>
      <w:r w:rsidRPr="00BF6E1F">
        <w:t>until 2024 and subsequently rapidly decline after 2030.</w:t>
      </w:r>
      <w:r w:rsidR="00440307">
        <w:rPr>
          <w:rStyle w:val="FootnoteReference"/>
        </w:rPr>
        <w:footnoteReference w:id="120"/>
      </w:r>
      <w:r w:rsidRPr="00BF6E1F">
        <w:t xml:space="preserve"> There has been a steep increase in coal energy plant retirements across the globe and approvals of new coal-fired plants have slowed dramatically in recent years, stemmed by </w:t>
      </w:r>
      <w:r w:rsidR="006A3DB6">
        <w:t>decreas</w:t>
      </w:r>
      <w:r w:rsidR="00E356E9">
        <w:t xml:space="preserve">es </w:t>
      </w:r>
      <w:r w:rsidR="005B0469">
        <w:t>s</w:t>
      </w:r>
      <w:r w:rsidR="00E356E9">
        <w:t xml:space="preserve">in the cost of energy generation </w:t>
      </w:r>
      <w:r w:rsidR="003439EE">
        <w:t xml:space="preserve">from </w:t>
      </w:r>
      <w:r w:rsidRPr="00BF6E1F">
        <w:t xml:space="preserve">renewable </w:t>
      </w:r>
      <w:r w:rsidR="009B2412">
        <w:t>sources</w:t>
      </w:r>
      <w:r w:rsidRPr="00BF6E1F">
        <w:t xml:space="preserve"> </w:t>
      </w:r>
      <w:r w:rsidR="00D2566A">
        <w:t xml:space="preserve">and greater costs associated with </w:t>
      </w:r>
      <w:r w:rsidR="00290FCD">
        <w:t xml:space="preserve">financing </w:t>
      </w:r>
      <w:r w:rsidR="00E27B73">
        <w:t xml:space="preserve">raw </w:t>
      </w:r>
      <w:r w:rsidR="004D0C3E">
        <w:t>mineral resource</w:t>
      </w:r>
      <w:r w:rsidR="00856C5C">
        <w:t xml:space="preserve"> mining</w:t>
      </w:r>
      <w:r w:rsidR="000B0C39">
        <w:t xml:space="preserve"> </w:t>
      </w:r>
      <w:r w:rsidR="004316DE">
        <w:t>activity</w:t>
      </w:r>
      <w:r w:rsidRPr="00BF6E1F">
        <w:t>.</w:t>
      </w:r>
      <w:r w:rsidR="00FA3F0C">
        <w:rPr>
          <w:rStyle w:val="FootnoteReference"/>
        </w:rPr>
        <w:footnoteReference w:id="121"/>
      </w:r>
      <w:r w:rsidRPr="00BF6E1F">
        <w:t xml:space="preserve"> Since 2010, </w:t>
      </w:r>
      <w:r w:rsidRPr="00BF6E1F">
        <w:lastRenderedPageBreak/>
        <w:t xml:space="preserve">international coal power plant retirements have averaged around 25 GW each year, largely reflecting the closure of ageing plants in Europe and the United States. The same IEA report predicts that </w:t>
      </w:r>
      <w:r w:rsidR="00604A86">
        <w:t xml:space="preserve">by </w:t>
      </w:r>
      <w:r w:rsidRPr="00BF6E1F">
        <w:t>2030</w:t>
      </w:r>
      <w:r w:rsidR="00604A86">
        <w:t>,</w:t>
      </w:r>
      <w:r w:rsidRPr="00BF6E1F">
        <w:t xml:space="preserve"> carbon emissions from existing coal-fired power plants will be three-quarters below the levels of 2020. IEA’s modelling </w:t>
      </w:r>
      <w:r w:rsidR="00001600">
        <w:t>shows</w:t>
      </w:r>
      <w:r w:rsidRPr="00BF6E1F">
        <w:t xml:space="preserve"> almost all future net growth in energy demand will come from low emissions sources. A separate report by British Petroleum the </w:t>
      </w:r>
      <w:r w:rsidRPr="00651C11">
        <w:rPr>
          <w:i/>
          <w:iCs/>
        </w:rPr>
        <w:t>Statistical Review of World Energy</w:t>
      </w:r>
      <w:r w:rsidRPr="00BF6E1F">
        <w:t xml:space="preserve"> released July 2021 found global coal consumption fell by 4.2</w:t>
      </w:r>
      <w:r w:rsidR="009F0581">
        <w:t xml:space="preserve"> per cent</w:t>
      </w:r>
      <w:r w:rsidRPr="00BF6E1F">
        <w:t xml:space="preserve"> in 2020.</w:t>
      </w:r>
      <w:r w:rsidR="00277963">
        <w:rPr>
          <w:rStyle w:val="FootnoteReference"/>
        </w:rPr>
        <w:footnoteReference w:id="122"/>
      </w:r>
    </w:p>
    <w:p w14:paraId="6ED222A8" w14:textId="6A8054D4" w:rsidR="00F75F6C" w:rsidRDefault="00F75F6C" w:rsidP="00720821">
      <w:r>
        <w:t xml:space="preserve">These local and global conditions </w:t>
      </w:r>
      <w:r w:rsidR="00184B7E">
        <w:t>can impact the commercial feasibility of</w:t>
      </w:r>
      <w:r>
        <w:t xml:space="preserve"> the declared mine</w:t>
      </w:r>
      <w:r w:rsidR="00184B7E">
        <w:t>s</w:t>
      </w:r>
      <w:r>
        <w:t>. The energy executive of EnergyAustralia, Yallourn’s operator, indicated in late July 2020 that the company could be forced to bring forward the power station’s scheduled closure date as a result of such external factors</w:t>
      </w:r>
      <w:r w:rsidR="009F1CE0">
        <w:t>. The company announced</w:t>
      </w:r>
      <w:r>
        <w:t xml:space="preserve"> the potential purchase of an aluminium smelter in Portland in an attempt to secure the demand for its power created by the smelter’s operations.</w:t>
      </w:r>
      <w:r>
        <w:rPr>
          <w:rStyle w:val="FootnoteReference"/>
        </w:rPr>
        <w:footnoteReference w:id="123"/>
      </w:r>
      <w:r>
        <w:t xml:space="preserve"> </w:t>
      </w:r>
      <w:r w:rsidR="00720821" w:rsidRPr="00720821">
        <w:t xml:space="preserve"> </w:t>
      </w:r>
      <w:r w:rsidR="00720821">
        <w:t xml:space="preserve">On 30 June 2021, AGL </w:t>
      </w:r>
      <w:r w:rsidR="00C56AD8">
        <w:t xml:space="preserve">planned </w:t>
      </w:r>
      <w:r w:rsidR="00720821">
        <w:t>to demerge</w:t>
      </w:r>
      <w:r w:rsidR="00D2420D">
        <w:t xml:space="preserve"> its business</w:t>
      </w:r>
      <w:r w:rsidR="00720821">
        <w:t xml:space="preserve"> to become two entities, AGL Australia and Accel Energy.</w:t>
      </w:r>
      <w:r w:rsidR="00F046D3">
        <w:rPr>
          <w:rStyle w:val="FootnoteReference"/>
        </w:rPr>
        <w:footnoteReference w:id="124"/>
      </w:r>
      <w:r w:rsidR="00720821">
        <w:t xml:space="preserve"> The demerger include</w:t>
      </w:r>
      <w:r w:rsidR="00F45379">
        <w:t>d</w:t>
      </w:r>
      <w:r w:rsidR="00720821">
        <w:t xml:space="preserve"> their power generation assets in the Latrobe Valley and </w:t>
      </w:r>
      <w:r w:rsidR="00F45379">
        <w:t>was to be</w:t>
      </w:r>
      <w:r w:rsidR="00720821">
        <w:t xml:space="preserve"> subject to regulatory, court and shareholder approvals. If the demerger </w:t>
      </w:r>
      <w:r w:rsidR="00F45379">
        <w:t>went</w:t>
      </w:r>
      <w:r w:rsidR="00720821">
        <w:t xml:space="preserve"> ahead, it </w:t>
      </w:r>
      <w:r w:rsidR="000777B0">
        <w:t xml:space="preserve">would have </w:t>
      </w:r>
      <w:r w:rsidR="00720821">
        <w:t>result</w:t>
      </w:r>
      <w:r w:rsidR="000777B0">
        <w:t>ed</w:t>
      </w:r>
      <w:r w:rsidR="00720821">
        <w:t xml:space="preserve"> in an application to transfer licences held by</w:t>
      </w:r>
      <w:r w:rsidR="006F3DE5">
        <w:t xml:space="preserve"> </w:t>
      </w:r>
      <w:r w:rsidR="00720821">
        <w:t>subsidiaries of AGL under the Act.</w:t>
      </w:r>
      <w:r w:rsidR="000C7F15">
        <w:t xml:space="preserve"> AGL </w:t>
      </w:r>
      <w:r w:rsidR="000777B0">
        <w:t>were</w:t>
      </w:r>
      <w:r w:rsidR="000C7F15">
        <w:t xml:space="preserve"> targeting a demerger </w:t>
      </w:r>
      <w:r w:rsidR="005040E9" w:rsidRPr="005040E9">
        <w:t>to be implemented through a court-approved Scheme of Arrangement</w:t>
      </w:r>
      <w:r w:rsidR="005040E9">
        <w:t xml:space="preserve"> by the end of June 2022</w:t>
      </w:r>
      <w:r w:rsidR="0008103B">
        <w:t xml:space="preserve"> but advised the ASX </w:t>
      </w:r>
      <w:r w:rsidR="00094451">
        <w:t>it would withdraw the demerger proposal on 20 May 2022</w:t>
      </w:r>
      <w:r w:rsidR="00C4031A">
        <w:t>.</w:t>
      </w:r>
      <w:r w:rsidR="008A0C5E">
        <w:rPr>
          <w:rStyle w:val="FootnoteReference"/>
        </w:rPr>
        <w:footnoteReference w:id="125"/>
      </w:r>
    </w:p>
    <w:p w14:paraId="1C5C34C9" w14:textId="1A15F081" w:rsidR="00F75F6C" w:rsidRDefault="00F75F6C" w:rsidP="00F75F6C">
      <w:r>
        <w:t>Mine operator ENGIE announced the</w:t>
      </w:r>
      <w:r w:rsidR="00DB38B2">
        <w:t xml:space="preserve"> retirement</w:t>
      </w:r>
      <w:r>
        <w:t xml:space="preserve"> of its Hazelwood power station in November 2016, citing the company’s planned transition to low-carbon projects for power generation along with ‘difficult market conditions’ for the power station.</w:t>
      </w:r>
      <w:r>
        <w:rPr>
          <w:rStyle w:val="FootnoteReference"/>
        </w:rPr>
        <w:footnoteReference w:id="126"/>
      </w:r>
      <w:r>
        <w:t xml:space="preserve"> The ENGIE announcement illustrates how mine operators may respond to</w:t>
      </w:r>
      <w:r w:rsidR="00DA2092">
        <w:t xml:space="preserve"> changing government environment and energy policies combined with significant economic uncertainty.</w:t>
      </w:r>
      <w:r>
        <w:t xml:space="preserve"> </w:t>
      </w:r>
    </w:p>
    <w:p w14:paraId="1861C1BD" w14:textId="73570FB7" w:rsidR="00F75F6C" w:rsidRDefault="00F75F6C" w:rsidP="003F70FF">
      <w:pPr>
        <w:pStyle w:val="Heading6"/>
      </w:pPr>
      <w:r>
        <w:t xml:space="preserve">Impacts on electricity supply </w:t>
      </w:r>
    </w:p>
    <w:p w14:paraId="79522468" w14:textId="3C4B4BBA" w:rsidR="00F75F6C" w:rsidRDefault="00F75F6C" w:rsidP="00F75F6C">
      <w:r>
        <w:t xml:space="preserve">The </w:t>
      </w:r>
      <w:r w:rsidR="00660B7B">
        <w:t xml:space="preserve">two declared mines that are still operational </w:t>
      </w:r>
      <w:r>
        <w:t>contribute significantly to Victoria’s electricity supply. Managing and regulating the current set of declared mines carries potential implications for energy security in Victoria because of possible flow-on impacts to the power stations attached to the mines. These impacts may not be relevant to future declared mines.</w:t>
      </w:r>
    </w:p>
    <w:p w14:paraId="5F4BA530" w14:textId="3B3B1F17" w:rsidR="00F75F6C" w:rsidRDefault="00F75F6C" w:rsidP="00F75F6C">
      <w:r>
        <w:t>In 201</w:t>
      </w:r>
      <w:r w:rsidR="00E055D6">
        <w:t>9</w:t>
      </w:r>
      <w:r>
        <w:t>, Victoria sourced 7</w:t>
      </w:r>
      <w:r w:rsidR="00E055D6">
        <w:t>0</w:t>
      </w:r>
      <w:r w:rsidR="0040528C">
        <w:t xml:space="preserve"> per cent</w:t>
      </w:r>
      <w:r>
        <w:t xml:space="preserve"> of its electricity from burning brown coal produced by the three Latrobe Valley </w:t>
      </w:r>
      <w:r w:rsidR="005A2F2E">
        <w:t xml:space="preserve">coal </w:t>
      </w:r>
      <w:r>
        <w:t>mines.</w:t>
      </w:r>
      <w:r>
        <w:rPr>
          <w:rStyle w:val="FootnoteReference"/>
        </w:rPr>
        <w:footnoteReference w:id="127"/>
      </w:r>
      <w:r>
        <w:t xml:space="preserve"> Although this represents a reduction on previous years – in 2015, brown coal accounted for 85</w:t>
      </w:r>
      <w:r w:rsidR="0040528C">
        <w:t xml:space="preserve"> per cent</w:t>
      </w:r>
      <w:r>
        <w:t xml:space="preserve"> of Victoria’s electricity production</w:t>
      </w:r>
      <w:r>
        <w:rPr>
          <w:rStyle w:val="FootnoteReference"/>
        </w:rPr>
        <w:footnoteReference w:id="128"/>
      </w:r>
      <w:r>
        <w:t xml:space="preserve"> – Victoria remains heavily reliant on coal-fired power stations for its electricity supply.</w:t>
      </w:r>
    </w:p>
    <w:p w14:paraId="740D0291" w14:textId="44971C41" w:rsidR="00F75F6C" w:rsidRDefault="00F75F6C" w:rsidP="00F75F6C">
      <w:r>
        <w:t xml:space="preserve">Unexpected or unmanaged disruption to electricity supplies, including those caused by the unexpected or early closure of mines and associated power stations, or fire and </w:t>
      </w:r>
      <w:r w:rsidR="0051689C">
        <w:t xml:space="preserve">ground </w:t>
      </w:r>
      <w:r>
        <w:t xml:space="preserve">instability events, can have significant negative consequences. </w:t>
      </w:r>
    </w:p>
    <w:p w14:paraId="3228769A" w14:textId="47BB87B4" w:rsidR="00F75F6C" w:rsidRDefault="00F75F6C" w:rsidP="00F75F6C">
      <w:r>
        <w:t>While</w:t>
      </w:r>
      <w:r w:rsidR="00ED60C2">
        <w:t xml:space="preserve"> critical </w:t>
      </w:r>
      <w:r w:rsidR="000012D5">
        <w:t>facilities such as</w:t>
      </w:r>
      <w:r>
        <w:t xml:space="preserve"> hospitals and aged care units typically have emergency back-up electricity supplies, the average household does not. Some parts of the Victorian community are vulnerable to harm </w:t>
      </w:r>
      <w:r>
        <w:lastRenderedPageBreak/>
        <w:t xml:space="preserve">associated with extreme heat – particularly the elderly, sick or injured, and </w:t>
      </w:r>
      <w:r w:rsidR="000012D5">
        <w:t xml:space="preserve">the </w:t>
      </w:r>
      <w:r>
        <w:t>very young.</w:t>
      </w:r>
      <w:r>
        <w:rPr>
          <w:rStyle w:val="FootnoteReference"/>
        </w:rPr>
        <w:footnoteReference w:id="129"/>
      </w:r>
      <w:r>
        <w:t xml:space="preserve"> Electricity supply disruption can also have adverse effects on public health</w:t>
      </w:r>
      <w:r w:rsidR="000012D5">
        <w:t>, for example</w:t>
      </w:r>
      <w:r w:rsidDel="000012D5">
        <w:t xml:space="preserve"> </w:t>
      </w:r>
      <w:r>
        <w:t>making it difficult to store food safely.</w:t>
      </w:r>
      <w:r>
        <w:rPr>
          <w:rStyle w:val="FootnoteReference"/>
        </w:rPr>
        <w:footnoteReference w:id="130"/>
      </w:r>
    </w:p>
    <w:p w14:paraId="555ACA96" w14:textId="30BFB25C" w:rsidR="00F75F6C" w:rsidRDefault="00F75F6C" w:rsidP="00F75F6C">
      <w:r>
        <w:t>Meanwhile, numerous economic and infrastructure-related consequences can arise from prolonged and temporary electricity supply disruptions</w:t>
      </w:r>
      <w:r w:rsidR="00351D0A">
        <w:t>,</w:t>
      </w:r>
      <w:r>
        <w:t xml:space="preserve"> including transport, healthcare and banking system failures</w:t>
      </w:r>
      <w:r w:rsidR="00351D0A">
        <w:t>,</w:t>
      </w:r>
      <w:r>
        <w:t xml:space="preserve"> issues in agricultural processes such as milking</w:t>
      </w:r>
      <w:r w:rsidR="00351D0A">
        <w:t>,</w:t>
      </w:r>
      <w:r>
        <w:t xml:space="preserve"> and overall productivity losses.</w:t>
      </w:r>
      <w:r>
        <w:rPr>
          <w:rStyle w:val="FootnoteReference"/>
        </w:rPr>
        <w:footnoteReference w:id="131"/>
      </w:r>
      <w:r>
        <w:t xml:space="preserve"> Environmental problems can also ensue. For example, the failure of electricity to a sewage treatment facility could lead to untreated sewage being </w:t>
      </w:r>
      <w:r w:rsidR="00E055D6">
        <w:t xml:space="preserve">discharged </w:t>
      </w:r>
      <w:r>
        <w:t>directly into waterways.</w:t>
      </w:r>
      <w:r>
        <w:rPr>
          <w:rStyle w:val="FootnoteReference"/>
        </w:rPr>
        <w:footnoteReference w:id="132"/>
      </w:r>
    </w:p>
    <w:p w14:paraId="45C257C1" w14:textId="4EA401DD" w:rsidR="009C3548" w:rsidRDefault="009C3548" w:rsidP="00F75F6C">
      <w:r w:rsidRPr="009C3548">
        <w:t>Although there are other sources of electricity in Victoria,</w:t>
      </w:r>
      <w:r w:rsidDel="009C3548">
        <w:t xml:space="preserve"> </w:t>
      </w:r>
      <w:r w:rsidRPr="009C3548">
        <w:t xml:space="preserve">including solar, wind, hydro and natural </w:t>
      </w:r>
      <w:r w:rsidR="00B53890" w:rsidRPr="009C3548">
        <w:t>gas, renewable</w:t>
      </w:r>
      <w:r w:rsidRPr="009C3548">
        <w:t xml:space="preserve"> energy sources are intermittent. </w:t>
      </w:r>
      <w:r w:rsidRPr="009C3548" w:rsidDel="00E02F35">
        <w:t>However</w:t>
      </w:r>
      <w:r w:rsidR="00E02F35" w:rsidRPr="009C3548">
        <w:t>,</w:t>
      </w:r>
      <w:r w:rsidR="00E02F35">
        <w:t xml:space="preserve"> </w:t>
      </w:r>
      <w:r w:rsidRPr="009C3548">
        <w:t>the construction of energy infrastructure is a time</w:t>
      </w:r>
      <w:r w:rsidR="00E02F35">
        <w:t xml:space="preserve"> </w:t>
      </w:r>
      <w:r w:rsidRPr="009C3548">
        <w:t>and resource</w:t>
      </w:r>
      <w:r w:rsidR="00E02F35">
        <w:t xml:space="preserve"> </w:t>
      </w:r>
      <w:r w:rsidRPr="009C3548">
        <w:t>intensive process, requiring considerable planning and implementation lead-in. In relation to the Yallourn mine and power station specifically, modelling by the Australian Energy Market Operator (AEMO) identified increased energy supply scarcity risks in Victoria’s network due to decreased reliability of coal-fired power generation.</w:t>
      </w:r>
      <w:r w:rsidR="00A81FE0">
        <w:rPr>
          <w:rStyle w:val="FootnoteReference"/>
        </w:rPr>
        <w:footnoteReference w:id="133"/>
      </w:r>
      <w:r w:rsidRPr="009C3548">
        <w:t xml:space="preserve"> It is anticipated that this trend of decreased energy reliability from coal-fired generators will continue. AEMO also highlighted that the Yallourn power station’s planned retirement being brought forward from 2029-2032 to 2028 raises a potential reliability gap in Victoria in 2030-31 due to the power system becoming more exposed to extreme weather events that could lead to supply scarcity.</w:t>
      </w:r>
      <w:r w:rsidR="005E5422">
        <w:rPr>
          <w:rStyle w:val="FootnoteReference"/>
        </w:rPr>
        <w:footnoteReference w:id="134"/>
      </w:r>
      <w:r w:rsidRPr="009C3548">
        <w:t xml:space="preserve"> This capacity risk exists due to a high reliance on proposed renewable energy projects in Victoria that are not yet committed or commenced which must be delivered to satisfy the predicted energy generation gap. This identified supply gap is also independent of the increased likelihood of Loy Yang A and B power stations closing earlier than planned.</w:t>
      </w:r>
      <w:r w:rsidR="00B35445">
        <w:rPr>
          <w:rStyle w:val="FootnoteReference"/>
        </w:rPr>
        <w:footnoteReference w:id="135"/>
      </w:r>
    </w:p>
    <w:p w14:paraId="43C5DCD0" w14:textId="2C5000EC" w:rsidR="007758BB" w:rsidRPr="00DA7F73" w:rsidRDefault="00F75F6C" w:rsidP="006A277A">
      <w:r w:rsidRPr="00B070E7">
        <w:t xml:space="preserve">The </w:t>
      </w:r>
      <w:r w:rsidR="006233F6" w:rsidRPr="00B070E7">
        <w:t xml:space="preserve">immediate, </w:t>
      </w:r>
      <w:r w:rsidRPr="00B070E7">
        <w:t xml:space="preserve">unmanaged or unexpected closure of any of the current declared brown coal mines, </w:t>
      </w:r>
      <w:r w:rsidR="00886CBF" w:rsidRPr="00B070E7">
        <w:t>irrespective of the cause</w:t>
      </w:r>
      <w:r w:rsidRPr="00B070E7">
        <w:t>, would have significant adverse effects for Victoria’s people, environment and economy.</w:t>
      </w:r>
    </w:p>
    <w:p w14:paraId="7C455825" w14:textId="66F77724" w:rsidR="00524823" w:rsidRDefault="00204956" w:rsidP="00D86BBC">
      <w:pPr>
        <w:pStyle w:val="Heading2"/>
        <w:numPr>
          <w:ilvl w:val="1"/>
          <w:numId w:val="123"/>
        </w:numPr>
      </w:pPr>
      <w:bookmarkStart w:id="104" w:name="_Toc54366824"/>
      <w:bookmarkStart w:id="105" w:name="_Toc104217664"/>
      <w:bookmarkEnd w:id="104"/>
      <w:r>
        <w:t xml:space="preserve">Current </w:t>
      </w:r>
      <w:r w:rsidR="005E232C">
        <w:t xml:space="preserve">state of declared mine regulation </w:t>
      </w:r>
      <w:r w:rsidR="00E03C58">
        <w:t>and planning</w:t>
      </w:r>
      <w:bookmarkEnd w:id="105"/>
      <w:r w:rsidR="00E03C58">
        <w:t xml:space="preserve"> </w:t>
      </w:r>
    </w:p>
    <w:p w14:paraId="4AA7509F" w14:textId="2A717BCC" w:rsidR="00F74BD6" w:rsidRDefault="005E232C" w:rsidP="00204956">
      <w:r>
        <w:t xml:space="preserve">This RIS assesses potential options for new regulations under the Act. These regulations </w:t>
      </w:r>
      <w:r w:rsidR="00431769">
        <w:t>are developed</w:t>
      </w:r>
      <w:r w:rsidR="009E0BD7">
        <w:t xml:space="preserve"> </w:t>
      </w:r>
      <w:r w:rsidR="00C85131">
        <w:t>to align with</w:t>
      </w:r>
      <w:r w:rsidR="00E03C58">
        <w:t xml:space="preserve"> ongoing </w:t>
      </w:r>
      <w:r w:rsidR="000D3233">
        <w:t xml:space="preserve">broader </w:t>
      </w:r>
      <w:r w:rsidR="00E03C58">
        <w:t>reform and planning for the rehabilitation of the Latrobe Valley mines</w:t>
      </w:r>
      <w:r w:rsidR="00C83B22">
        <w:t xml:space="preserve">, and to </w:t>
      </w:r>
      <w:r w:rsidR="00E03C58">
        <w:t xml:space="preserve">apply to any mines that are declared in future. </w:t>
      </w:r>
    </w:p>
    <w:p w14:paraId="4D359A54" w14:textId="76CA656A" w:rsidR="00E03C58" w:rsidRDefault="00E03C58" w:rsidP="00D86BBC">
      <w:pPr>
        <w:pStyle w:val="Heading3"/>
        <w:numPr>
          <w:ilvl w:val="2"/>
          <w:numId w:val="123"/>
        </w:numPr>
      </w:pPr>
      <w:bookmarkStart w:id="106" w:name="_Toc104217665"/>
      <w:r>
        <w:t>Regulation and policy instruments in effect</w:t>
      </w:r>
      <w:bookmarkEnd w:id="106"/>
    </w:p>
    <w:p w14:paraId="4DA19A87" w14:textId="0A006E33" w:rsidR="00E03C58" w:rsidRDefault="00E03C58" w:rsidP="00204956">
      <w:r>
        <w:t>In summary, the current state of play with respect to regulation and policy instruments governing the rehabilitation of declared mine land is:</w:t>
      </w:r>
    </w:p>
    <w:p w14:paraId="4D90428A" w14:textId="4AFAAB9C" w:rsidR="00E03C58" w:rsidRDefault="00E03C58" w:rsidP="0050539E">
      <w:pPr>
        <w:pStyle w:val="dotpoints"/>
      </w:pPr>
      <w:r>
        <w:t>The declared mine rehabilitation framework introduced by the Amendment Act is in force bu</w:t>
      </w:r>
      <w:r w:rsidR="00BD539E">
        <w:t>t requires supporting regulations to ensure</w:t>
      </w:r>
      <w:r w:rsidR="00A06637">
        <w:t xml:space="preserve"> it can be </w:t>
      </w:r>
      <w:r>
        <w:t xml:space="preserve">effectively </w:t>
      </w:r>
      <w:r w:rsidR="00A06637">
        <w:t>applied</w:t>
      </w:r>
      <w:r>
        <w:t xml:space="preserve"> to the mines and their licensees.</w:t>
      </w:r>
    </w:p>
    <w:p w14:paraId="3EBBD356" w14:textId="35861A5F" w:rsidR="00E03C58" w:rsidRDefault="75C58321" w:rsidP="0050539E">
      <w:pPr>
        <w:pStyle w:val="dotpoints"/>
      </w:pPr>
      <w:r>
        <w:t xml:space="preserve">The new, more detailed requirements for the rehabilitation component of work plans introduced by the 2019 Regulations are in force, but do not apply retrospectively and </w:t>
      </w:r>
      <w:r w:rsidR="1E86711F">
        <w:t>will not automatically</w:t>
      </w:r>
      <w:r>
        <w:t xml:space="preserve"> apply to the mines and their licensees.</w:t>
      </w:r>
      <w:r w:rsidR="5525442D">
        <w:t xml:space="preserve"> </w:t>
      </w:r>
      <w:r w:rsidR="1005C7C6">
        <w:t xml:space="preserve">In February 2020, </w:t>
      </w:r>
      <w:r w:rsidR="7DF78AFA">
        <w:t>the department</w:t>
      </w:r>
      <w:r w:rsidR="05011A68">
        <w:t xml:space="preserve"> issued g</w:t>
      </w:r>
      <w:r w:rsidR="6231E2D9">
        <w:t xml:space="preserve">uidelines </w:t>
      </w:r>
      <w:r w:rsidR="7BA030D9">
        <w:t xml:space="preserve">on making a rehabilitation plan under </w:t>
      </w:r>
      <w:r w:rsidR="6231E2D9">
        <w:t xml:space="preserve">the </w:t>
      </w:r>
      <w:r w:rsidR="7BA030D9">
        <w:t>2019 Regulations.</w:t>
      </w:r>
      <w:r w:rsidR="008E44B8">
        <w:rPr>
          <w:rStyle w:val="FootnoteReference"/>
        </w:rPr>
        <w:footnoteReference w:id="136"/>
      </w:r>
    </w:p>
    <w:p w14:paraId="09964891" w14:textId="329E1A41" w:rsidR="00E03C58" w:rsidRDefault="007758BB" w:rsidP="006E1000">
      <w:pPr>
        <w:pStyle w:val="dotpoints"/>
      </w:pPr>
      <w:r>
        <w:t xml:space="preserve">The LVRRS has been </w:t>
      </w:r>
      <w:r w:rsidDel="007758BB">
        <w:t>published</w:t>
      </w:r>
      <w:r>
        <w:t xml:space="preserve"> and sets out principles for decisions,</w:t>
      </w:r>
      <w:r w:rsidDel="007758BB">
        <w:t xml:space="preserve"> </w:t>
      </w:r>
      <w:r>
        <w:t>by government and licensees alike,</w:t>
      </w:r>
      <w:r w:rsidDel="007758BB">
        <w:t xml:space="preserve"> </w:t>
      </w:r>
      <w:r>
        <w:t xml:space="preserve">made in relation to the rehabilitation of the Latrobe Valley </w:t>
      </w:r>
      <w:r w:rsidR="005A2F2E">
        <w:t xml:space="preserve">coal </w:t>
      </w:r>
      <w:r>
        <w:t>mine sites.</w:t>
      </w:r>
    </w:p>
    <w:p w14:paraId="47314F45" w14:textId="573EB925" w:rsidR="00E03C58" w:rsidRDefault="00E03C58" w:rsidP="00D86BBC">
      <w:pPr>
        <w:pStyle w:val="Heading3"/>
        <w:numPr>
          <w:ilvl w:val="2"/>
          <w:numId w:val="123"/>
        </w:numPr>
      </w:pPr>
      <w:bookmarkStart w:id="107" w:name="_Ref101454605"/>
      <w:bookmarkStart w:id="108" w:name="_Toc104217666"/>
      <w:r>
        <w:lastRenderedPageBreak/>
        <w:t>Next steps in the reform project</w:t>
      </w:r>
      <w:bookmarkEnd w:id="107"/>
      <w:bookmarkEnd w:id="108"/>
    </w:p>
    <w:p w14:paraId="19EE0FBE" w14:textId="6674C435" w:rsidR="00E03C58" w:rsidRDefault="007758BB" w:rsidP="00204956">
      <w:r>
        <w:t xml:space="preserve">The LVRRS established the strategic framework for rehabilitation planning in the Latrobe Valley. The Water Study and Geotechnical Study prepared to support the LVRRS made progress towards filling the knowledge gaps identified by the HMFI. </w:t>
      </w:r>
    </w:p>
    <w:p w14:paraId="3DEECD3B" w14:textId="77777777" w:rsidR="00CC4F6E" w:rsidRDefault="00CC4F6E" w:rsidP="00CC4F6E">
      <w:r>
        <w:t xml:space="preserve">The LVRRS has set out the parameters within which water decisions in the Latrobe Valley will be made. </w:t>
      </w:r>
    </w:p>
    <w:p w14:paraId="772124DB" w14:textId="65FD3533" w:rsidR="00CC4F6E" w:rsidRDefault="00CC4F6E" w:rsidP="00CC4F6E">
      <w:r>
        <w:t>Work is underway to deliver the six implementation actions prescribed with within the LVRRS. This work will include, among other things, further consideration of the costs, benefits and risks associated with alternative water sources to support mine rehabilitation, as well as rehabilitation options that don’t rely on water.</w:t>
      </w:r>
    </w:p>
    <w:p w14:paraId="7761F2A9" w14:textId="4E1A7AE1" w:rsidR="007A4A4A" w:rsidRDefault="007A4A4A">
      <w:pPr>
        <w:spacing w:before="0" w:line="276" w:lineRule="auto"/>
      </w:pPr>
      <w:r>
        <w:br w:type="page"/>
      </w:r>
    </w:p>
    <w:p w14:paraId="71C209A5" w14:textId="1A9BB407" w:rsidR="00930549" w:rsidRDefault="00930549" w:rsidP="00D86BBC">
      <w:pPr>
        <w:pStyle w:val="Heading1"/>
        <w:numPr>
          <w:ilvl w:val="0"/>
          <w:numId w:val="123"/>
        </w:numPr>
      </w:pPr>
      <w:bookmarkStart w:id="109" w:name="_Toc54366828"/>
      <w:bookmarkStart w:id="110" w:name="_Toc104217667"/>
      <w:bookmarkEnd w:id="109"/>
      <w:r>
        <w:lastRenderedPageBreak/>
        <w:t>The nature and extent of the problem</w:t>
      </w:r>
      <w:bookmarkEnd w:id="110"/>
    </w:p>
    <w:p w14:paraId="20FBAEBE" w14:textId="1582C05A" w:rsidR="00743B11" w:rsidRDefault="00743B11" w:rsidP="00D50C43">
      <w:pPr>
        <w:pStyle w:val="Heading2"/>
        <w:numPr>
          <w:ilvl w:val="1"/>
          <w:numId w:val="124"/>
        </w:numPr>
      </w:pPr>
      <w:bookmarkStart w:id="111" w:name="_Toc104217668"/>
      <w:r>
        <w:t xml:space="preserve">Scope of this </w:t>
      </w:r>
      <w:r w:rsidR="002603CF">
        <w:t>RIS</w:t>
      </w:r>
      <w:bookmarkEnd w:id="111"/>
    </w:p>
    <w:p w14:paraId="234E8D3E" w14:textId="4725C68D" w:rsidR="00743B11" w:rsidRDefault="00743B11" w:rsidP="009E7F2A">
      <w:r>
        <w:t xml:space="preserve">This RIS assesses options for new regulations to support the declared mine rehabilitation framework introduced by the Amendment Act. The RIS also considers whether non-regulatory options could be sufficient to achieve the objectives of the framework. </w:t>
      </w:r>
    </w:p>
    <w:p w14:paraId="70A6C688" w14:textId="6C5A13CD" w:rsidR="00743B11" w:rsidRPr="00D44A05" w:rsidRDefault="00A472D4" w:rsidP="006E1000">
      <w:r>
        <w:t>The</w:t>
      </w:r>
      <w:r w:rsidR="00743B11">
        <w:t xml:space="preserve"> scope </w:t>
      </w:r>
      <w:r>
        <w:t xml:space="preserve">of the RIS </w:t>
      </w:r>
      <w:r w:rsidR="00743B11">
        <w:t>is limited to the assessment of various pathways to operationalise the declared mine rehabilitation framework under the Act</w:t>
      </w:r>
      <w:r w:rsidR="00C60E2C">
        <w:t xml:space="preserve">, and will not assess </w:t>
      </w:r>
      <w:r w:rsidR="005B61C2">
        <w:t>the broader LVRRS actions</w:t>
      </w:r>
      <w:r w:rsidR="00A77D2F">
        <w:t>,</w:t>
      </w:r>
      <w:r w:rsidR="005B61C2">
        <w:t xml:space="preserve"> other </w:t>
      </w:r>
      <w:r w:rsidR="006B1261">
        <w:t xml:space="preserve">supporting </w:t>
      </w:r>
      <w:r w:rsidR="005B61C2">
        <w:t xml:space="preserve">government rehabilitation </w:t>
      </w:r>
      <w:r w:rsidR="00D364FA">
        <w:t>actions</w:t>
      </w:r>
      <w:r w:rsidR="00A77D2F">
        <w:t xml:space="preserve"> or decisions required under other legislation</w:t>
      </w:r>
      <w:r w:rsidR="00D364FA">
        <w:t>.</w:t>
      </w:r>
    </w:p>
    <w:p w14:paraId="1AEACFEC" w14:textId="24746963" w:rsidR="00930549" w:rsidRDefault="00930549" w:rsidP="00D50C43">
      <w:pPr>
        <w:pStyle w:val="Heading2"/>
        <w:numPr>
          <w:ilvl w:val="1"/>
          <w:numId w:val="124"/>
        </w:numPr>
      </w:pPr>
      <w:bookmarkStart w:id="112" w:name="_Toc104217669"/>
      <w:r>
        <w:t xml:space="preserve">The need to </w:t>
      </w:r>
      <w:r w:rsidR="008F7AC0">
        <w:t>give effect to rehabilitation planning obligations</w:t>
      </w:r>
      <w:bookmarkEnd w:id="112"/>
      <w:r>
        <w:t xml:space="preserve"> </w:t>
      </w:r>
    </w:p>
    <w:p w14:paraId="44451550" w14:textId="11E38B97" w:rsidR="00DA7F73" w:rsidRDefault="00DA7F73" w:rsidP="008F7AC0">
      <w:r>
        <w:t>The Amendment Act and the 2019 Regulations both introduced requirements</w:t>
      </w:r>
      <w:r w:rsidR="00902C74">
        <w:t xml:space="preserve"> designed to increase the level of detail in rehabilitation planning by declared mine licensees. However, neither set of requirements appl</w:t>
      </w:r>
      <w:r w:rsidR="00172FE2">
        <w:t>y</w:t>
      </w:r>
      <w:r w:rsidR="00902C74">
        <w:t xml:space="preserve"> </w:t>
      </w:r>
      <w:r w:rsidR="001072D0">
        <w:t xml:space="preserve">unconditionally </w:t>
      </w:r>
      <w:r w:rsidR="00902C74">
        <w:t xml:space="preserve">to the current set of declared mines. This means that </w:t>
      </w:r>
      <w:r w:rsidR="00524A80">
        <w:t xml:space="preserve">without supporting regulations </w:t>
      </w:r>
      <w:r w:rsidR="00902C74">
        <w:t xml:space="preserve">the problems associated with vague and conceptual rehabilitation plans will persist, </w:t>
      </w:r>
      <w:r w:rsidR="00EC5D01">
        <w:t xml:space="preserve">diminishing </w:t>
      </w:r>
      <w:r w:rsidR="00902C74">
        <w:t xml:space="preserve">the objectives of the legislative reforms. </w:t>
      </w:r>
      <w:r w:rsidR="00CC2E8E">
        <w:t>T</w:t>
      </w:r>
      <w:r w:rsidR="00A03132">
        <w:t xml:space="preserve">he </w:t>
      </w:r>
      <w:r w:rsidR="00CC2E8E">
        <w:t xml:space="preserve">current </w:t>
      </w:r>
      <w:r w:rsidR="00A03132">
        <w:t xml:space="preserve">2019 Regulations requirements do not encompass post-closure planning. As a result, responsibility for planning and undertaking the ongoing work to monitor and maintain the mine sites after closure would remain unclear. </w:t>
      </w:r>
    </w:p>
    <w:p w14:paraId="65DE1B82" w14:textId="77777777" w:rsidR="00902C74" w:rsidRDefault="00902C74" w:rsidP="00D50C43">
      <w:pPr>
        <w:pStyle w:val="Heading3"/>
        <w:numPr>
          <w:ilvl w:val="2"/>
          <w:numId w:val="124"/>
        </w:numPr>
      </w:pPr>
      <w:bookmarkStart w:id="113" w:name="_Toc104217670"/>
      <w:r>
        <w:t>Prescribing a period for the preparation of the DMRP</w:t>
      </w:r>
      <w:bookmarkEnd w:id="113"/>
    </w:p>
    <w:p w14:paraId="48DE42E4" w14:textId="525DDBBA" w:rsidR="002138AC" w:rsidRDefault="002138AC" w:rsidP="00902C74">
      <w:r w:rsidRPr="06782B65">
        <w:rPr>
          <w:rFonts w:asciiTheme="minorHAnsi" w:hAnsiTheme="minorHAnsi" w:cstheme="minorBidi"/>
        </w:rPr>
        <w:t>The DMRP element of the Act is designed to promote comprehensive and adequate rehabilitation planning (including post-closure management) by licensees</w:t>
      </w:r>
      <w:r w:rsidR="005E10E4">
        <w:rPr>
          <w:rFonts w:asciiTheme="minorHAnsi" w:hAnsiTheme="minorHAnsi" w:cstheme="minorBidi"/>
        </w:rPr>
        <w:t>,</w:t>
      </w:r>
      <w:r w:rsidRPr="06782B65">
        <w:rPr>
          <w:rFonts w:asciiTheme="minorHAnsi" w:hAnsiTheme="minorHAnsi" w:cstheme="minorBidi"/>
        </w:rPr>
        <w:t xml:space="preserve"> to ensure that government has sufficient information to assess and manage rehabilitation-related risk to the State</w:t>
      </w:r>
      <w:r w:rsidR="005E10E4">
        <w:rPr>
          <w:rFonts w:asciiTheme="minorHAnsi" w:hAnsiTheme="minorHAnsi" w:cstheme="minorBidi"/>
        </w:rPr>
        <w:t>,</w:t>
      </w:r>
      <w:r w:rsidRPr="06782B65">
        <w:rPr>
          <w:rFonts w:asciiTheme="minorHAnsi" w:hAnsiTheme="minorHAnsi" w:cstheme="minorBidi"/>
        </w:rPr>
        <w:t xml:space="preserve"> and to manage the mine sites post closure. The obligation to prepare a DMRP forms the crux of the rehabilitation framework introduced by the Amendment Act, </w:t>
      </w:r>
      <w:r w:rsidR="00804E7A">
        <w:rPr>
          <w:rFonts w:asciiTheme="minorHAnsi" w:hAnsiTheme="minorHAnsi" w:cstheme="minorBidi"/>
        </w:rPr>
        <w:t xml:space="preserve">and was </w:t>
      </w:r>
      <w:r w:rsidR="00A36B5A">
        <w:rPr>
          <w:rFonts w:asciiTheme="minorHAnsi" w:hAnsiTheme="minorHAnsi" w:cstheme="minorBidi"/>
        </w:rPr>
        <w:t xml:space="preserve">developed </w:t>
      </w:r>
      <w:r w:rsidRPr="06782B65">
        <w:rPr>
          <w:rFonts w:asciiTheme="minorHAnsi" w:hAnsiTheme="minorHAnsi" w:cstheme="minorBidi"/>
        </w:rPr>
        <w:t xml:space="preserve">in response to the issues identified by the Hazelwood Mine Fire Inquiry with </w:t>
      </w:r>
      <w:r w:rsidR="00F065B4">
        <w:rPr>
          <w:rFonts w:asciiTheme="minorHAnsi" w:hAnsiTheme="minorHAnsi" w:cstheme="minorBidi"/>
        </w:rPr>
        <w:t xml:space="preserve">respect to </w:t>
      </w:r>
      <w:r w:rsidRPr="06782B65">
        <w:rPr>
          <w:rFonts w:asciiTheme="minorHAnsi" w:hAnsiTheme="minorHAnsi" w:cstheme="minorBidi"/>
        </w:rPr>
        <w:t>the existing declared mines’ work plans, and to problems with rehabilitation regulation more broadly found by other inquiries in recent years.</w:t>
      </w:r>
    </w:p>
    <w:p w14:paraId="544881DE" w14:textId="10C16E4D" w:rsidR="002138AC" w:rsidRDefault="2BE7AEC9" w:rsidP="00902C74">
      <w:r>
        <w:t>The Act requires declared mine licensees to prepare a DMRP ‘within the prescribed period.’</w:t>
      </w:r>
      <w:r w:rsidR="001D5624">
        <w:rPr>
          <w:rStyle w:val="FootnoteReference"/>
        </w:rPr>
        <w:footnoteReference w:id="137"/>
      </w:r>
      <w:r w:rsidR="005D22F1">
        <w:t xml:space="preserve"> </w:t>
      </w:r>
      <w:r w:rsidR="3F569827">
        <w:t>Without regulations to prescribe this period, this obligation,</w:t>
      </w:r>
      <w:r w:rsidR="005D22F1">
        <w:t xml:space="preserve"> </w:t>
      </w:r>
      <w:r w:rsidR="3F569827">
        <w:t>which underpins m</w:t>
      </w:r>
      <w:r w:rsidR="7FA56B3E">
        <w:t>uch</w:t>
      </w:r>
      <w:r w:rsidR="3F569827">
        <w:t xml:space="preserve"> of the declared mine </w:t>
      </w:r>
      <w:r w:rsidR="7FA56B3E">
        <w:t xml:space="preserve">rehabilitation </w:t>
      </w:r>
      <w:r w:rsidR="3F569827">
        <w:t xml:space="preserve">framework, is effectively redundant. </w:t>
      </w:r>
    </w:p>
    <w:p w14:paraId="79833078" w14:textId="206334F6" w:rsidR="00902C74" w:rsidRDefault="00902C74" w:rsidP="00D50C43">
      <w:pPr>
        <w:pStyle w:val="Heading3"/>
        <w:numPr>
          <w:ilvl w:val="2"/>
          <w:numId w:val="124"/>
        </w:numPr>
      </w:pPr>
      <w:bookmarkStart w:id="114" w:name="_Toc104217671"/>
      <w:r>
        <w:t>The 2019 Regulations do not apply</w:t>
      </w:r>
      <w:r w:rsidR="00A03132">
        <w:t xml:space="preserve"> </w:t>
      </w:r>
      <w:r w:rsidR="002138AC">
        <w:t>to the current declared mines</w:t>
      </w:r>
      <w:bookmarkEnd w:id="114"/>
    </w:p>
    <w:p w14:paraId="41577F16" w14:textId="65FC6760" w:rsidR="002138AC" w:rsidRDefault="009B0C1E" w:rsidP="0050539E">
      <w:r>
        <w:t xml:space="preserve">While the 2019 remaking of the Regulations sought to address the risk of inadequate rehabilitation planning, these obligations do not automatically apply to the current set of declared mines. </w:t>
      </w:r>
      <w:r w:rsidR="00A03132">
        <w:t>The requirements introduced in the 2019 regulations will only apply if and when</w:t>
      </w:r>
      <w:r w:rsidR="002138AC">
        <w:t>:</w:t>
      </w:r>
    </w:p>
    <w:p w14:paraId="7D991E10" w14:textId="5C34A2EE" w:rsidR="002138AC" w:rsidRDefault="002138AC" w:rsidP="0050539E">
      <w:pPr>
        <w:pStyle w:val="dotpoints"/>
      </w:pPr>
      <w:r>
        <w:t>A mine licensee</w:t>
      </w:r>
      <w:r w:rsidR="00A03132">
        <w:t xml:space="preserve"> submit</w:t>
      </w:r>
      <w:r>
        <w:t>s</w:t>
      </w:r>
      <w:r w:rsidR="00A03132">
        <w:t xml:space="preserve"> a variation to their work plan</w:t>
      </w:r>
      <w:r>
        <w:t>; or</w:t>
      </w:r>
    </w:p>
    <w:p w14:paraId="6A5B69B0" w14:textId="20E164D6" w:rsidR="002138AC" w:rsidRDefault="002138AC" w:rsidP="006E1000">
      <w:pPr>
        <w:pStyle w:val="dotpoints"/>
        <w:spacing w:after="120"/>
      </w:pPr>
      <w:r>
        <w:t>The Department Head determines that operations at the mine pose an ‘unacceptable risk’ and directs that the licensee submit a work plan variation.</w:t>
      </w:r>
    </w:p>
    <w:p w14:paraId="01E62BCE" w14:textId="67B1382B" w:rsidR="002138AC" w:rsidRDefault="002138AC">
      <w:r>
        <w:t xml:space="preserve">There is no </w:t>
      </w:r>
      <w:r w:rsidR="00262E68">
        <w:t xml:space="preserve">direct </w:t>
      </w:r>
      <w:r>
        <w:t>capacity for ERR to set a timeframe around the submission of a work plan variation</w:t>
      </w:r>
      <w:r w:rsidR="0054725C">
        <w:t>,</w:t>
      </w:r>
      <w:r>
        <w:t xml:space="preserve"> </w:t>
      </w:r>
      <w:r w:rsidR="0054725C">
        <w:t>so</w:t>
      </w:r>
      <w:r>
        <w:t xml:space="preserve"> </w:t>
      </w:r>
      <w:r w:rsidR="00E974F3">
        <w:t xml:space="preserve">the timeframe for </w:t>
      </w:r>
      <w:r>
        <w:t xml:space="preserve">the application of the 2019 Regulations requirements </w:t>
      </w:r>
      <w:r w:rsidR="00E974F3">
        <w:t>cannot be specified</w:t>
      </w:r>
      <w:r>
        <w:t xml:space="preserve"> under either scenario.</w:t>
      </w:r>
    </w:p>
    <w:p w14:paraId="59278A51" w14:textId="14348562" w:rsidR="00DA7F73" w:rsidRDefault="00A03132" w:rsidP="008F7AC0">
      <w:r>
        <w:t xml:space="preserve">Delays in </w:t>
      </w:r>
      <w:r w:rsidR="003A1810">
        <w:t xml:space="preserve">operators’ </w:t>
      </w:r>
      <w:r>
        <w:t xml:space="preserve">submission and </w:t>
      </w:r>
      <w:r w:rsidR="003A1810">
        <w:t>regulator</w:t>
      </w:r>
      <w:r w:rsidR="00C455F6">
        <w:t>y</w:t>
      </w:r>
      <w:r w:rsidR="003A1810">
        <w:t xml:space="preserve"> </w:t>
      </w:r>
      <w:r>
        <w:t>approval of detailed rehabilitation plans create uncertainty for government and operators in reaching an agreement on acceptable closure outcomes and rehabilitation plan requirements to meet obligations in the Act</w:t>
      </w:r>
      <w:r w:rsidR="002138AC">
        <w:t>.</w:t>
      </w:r>
    </w:p>
    <w:p w14:paraId="40540076" w14:textId="761E66CF" w:rsidR="002138AC" w:rsidRDefault="002138AC" w:rsidP="00D50C43">
      <w:pPr>
        <w:pStyle w:val="Heading3"/>
        <w:numPr>
          <w:ilvl w:val="2"/>
          <w:numId w:val="124"/>
        </w:numPr>
      </w:pPr>
      <w:bookmarkStart w:id="115" w:name="_Toc104217672"/>
      <w:r>
        <w:lastRenderedPageBreak/>
        <w:t>The 2019 Regulations do not extend to post-closure planning</w:t>
      </w:r>
      <w:bookmarkEnd w:id="115"/>
    </w:p>
    <w:p w14:paraId="138C6D03" w14:textId="5EF9B98A" w:rsidR="002138AC" w:rsidRDefault="002138AC" w:rsidP="002138AC">
      <w:pPr>
        <w:rPr>
          <w:rFonts w:asciiTheme="minorHAnsi" w:hAnsiTheme="minorHAnsi" w:cstheme="minorHAnsi"/>
          <w:szCs w:val="18"/>
        </w:rPr>
      </w:pPr>
      <w:r>
        <w:rPr>
          <w:rFonts w:asciiTheme="minorHAnsi" w:hAnsiTheme="minorHAnsi" w:cstheme="minorHAnsi"/>
          <w:szCs w:val="18"/>
        </w:rPr>
        <w:t xml:space="preserve">Even if the 2019 Regulations were to apply to the current declared mines as a result of a work plan variation, the rehabilitation planning requirements do not </w:t>
      </w:r>
      <w:r w:rsidR="006E08CD">
        <w:rPr>
          <w:rFonts w:asciiTheme="minorHAnsi" w:hAnsiTheme="minorHAnsi" w:cstheme="minorHAnsi"/>
          <w:szCs w:val="18"/>
        </w:rPr>
        <w:t>require</w:t>
      </w:r>
      <w:r w:rsidR="00D548FC">
        <w:rPr>
          <w:rFonts w:asciiTheme="minorHAnsi" w:hAnsiTheme="minorHAnsi" w:cstheme="minorHAnsi"/>
          <w:szCs w:val="18"/>
        </w:rPr>
        <w:t xml:space="preserve"> detailed</w:t>
      </w:r>
      <w:r>
        <w:rPr>
          <w:rFonts w:asciiTheme="minorHAnsi" w:hAnsiTheme="minorHAnsi" w:cstheme="minorHAnsi"/>
          <w:szCs w:val="18"/>
        </w:rPr>
        <w:t xml:space="preserve"> post-closure planning.</w:t>
      </w:r>
      <w:r w:rsidR="0021226A">
        <w:rPr>
          <w:rFonts w:asciiTheme="minorHAnsi" w:hAnsiTheme="minorHAnsi" w:cstheme="minorHAnsi"/>
          <w:szCs w:val="18"/>
        </w:rPr>
        <w:t xml:space="preserve"> The </w:t>
      </w:r>
      <w:r w:rsidR="00906E78">
        <w:rPr>
          <w:rFonts w:asciiTheme="minorHAnsi" w:hAnsiTheme="minorHAnsi" w:cstheme="minorHAnsi"/>
          <w:szCs w:val="18"/>
        </w:rPr>
        <w:t>2019 Regulations only require information about likely post closure risk, activities to mitigate risks and cost for the rehabilitation land for the purpose of assessing whether the proposed</w:t>
      </w:r>
      <w:r w:rsidR="00A72CD7">
        <w:rPr>
          <w:rFonts w:asciiTheme="minorHAnsi" w:hAnsiTheme="minorHAnsi" w:cstheme="minorHAnsi"/>
          <w:szCs w:val="18"/>
        </w:rPr>
        <w:t xml:space="preserve"> rehabilitation outcome has been achieved. The licensee is not bound to plan </w:t>
      </w:r>
      <w:r w:rsidR="00F145C7">
        <w:rPr>
          <w:rFonts w:asciiTheme="minorHAnsi" w:hAnsiTheme="minorHAnsi" w:cstheme="minorHAnsi"/>
          <w:szCs w:val="18"/>
        </w:rPr>
        <w:t>for or</w:t>
      </w:r>
      <w:r w:rsidR="00A72CD7">
        <w:rPr>
          <w:rFonts w:asciiTheme="minorHAnsi" w:hAnsiTheme="minorHAnsi" w:cstheme="minorHAnsi"/>
          <w:szCs w:val="18"/>
        </w:rPr>
        <w:t xml:space="preserve"> undertake the activities to mitigate risks.</w:t>
      </w:r>
    </w:p>
    <w:p w14:paraId="77880356" w14:textId="5D3098E8" w:rsidR="002138AC" w:rsidRDefault="005C69CB" w:rsidP="002138AC">
      <w:pPr>
        <w:rPr>
          <w:rFonts w:asciiTheme="minorHAnsi" w:hAnsiTheme="minorHAnsi" w:cstheme="minorHAnsi"/>
          <w:szCs w:val="18"/>
        </w:rPr>
      </w:pPr>
      <w:r>
        <w:rPr>
          <w:rFonts w:asciiTheme="minorHAnsi" w:hAnsiTheme="minorHAnsi" w:cstheme="minorHAnsi"/>
          <w:szCs w:val="18"/>
        </w:rPr>
        <w:t>D</w:t>
      </w:r>
      <w:r w:rsidR="002138AC" w:rsidRPr="00B04712">
        <w:rPr>
          <w:rFonts w:asciiTheme="minorHAnsi" w:hAnsiTheme="minorHAnsi" w:cstheme="minorHAnsi"/>
          <w:szCs w:val="18"/>
        </w:rPr>
        <w:t>ue to the nature of the mine sites and the surrounding landscapes, intervention</w:t>
      </w:r>
      <w:r w:rsidR="00A02CD6">
        <w:rPr>
          <w:rFonts w:asciiTheme="minorHAnsi" w:hAnsiTheme="minorHAnsi" w:cstheme="minorHAnsi"/>
          <w:szCs w:val="18"/>
        </w:rPr>
        <w:t xml:space="preserve">, </w:t>
      </w:r>
      <w:r w:rsidR="0083069C" w:rsidRPr="00B04712">
        <w:rPr>
          <w:rFonts w:asciiTheme="minorHAnsi" w:hAnsiTheme="minorHAnsi" w:cstheme="minorHAnsi"/>
          <w:szCs w:val="18"/>
        </w:rPr>
        <w:t>management,</w:t>
      </w:r>
      <w:r w:rsidR="002138AC" w:rsidRPr="00B04712">
        <w:rPr>
          <w:rFonts w:asciiTheme="minorHAnsi" w:hAnsiTheme="minorHAnsi" w:cstheme="minorHAnsi"/>
          <w:szCs w:val="18"/>
        </w:rPr>
        <w:t xml:space="preserve"> </w:t>
      </w:r>
      <w:r w:rsidR="00A02CD6">
        <w:rPr>
          <w:rFonts w:asciiTheme="minorHAnsi" w:hAnsiTheme="minorHAnsi" w:cstheme="minorHAnsi"/>
          <w:szCs w:val="18"/>
        </w:rPr>
        <w:t xml:space="preserve">and monitoring </w:t>
      </w:r>
      <w:r w:rsidR="002138AC" w:rsidRPr="00B04712">
        <w:rPr>
          <w:rFonts w:asciiTheme="minorHAnsi" w:hAnsiTheme="minorHAnsi" w:cstheme="minorHAnsi"/>
          <w:szCs w:val="18"/>
        </w:rPr>
        <w:t xml:space="preserve">will need to continue </w:t>
      </w:r>
      <w:r w:rsidR="004F72CC">
        <w:rPr>
          <w:rFonts w:asciiTheme="minorHAnsi" w:hAnsiTheme="minorHAnsi" w:cstheme="minorHAnsi"/>
          <w:szCs w:val="18"/>
        </w:rPr>
        <w:t>in perpetuity</w:t>
      </w:r>
      <w:r w:rsidR="0083069C">
        <w:rPr>
          <w:rFonts w:asciiTheme="minorHAnsi" w:hAnsiTheme="minorHAnsi" w:cstheme="minorHAnsi"/>
          <w:szCs w:val="18"/>
        </w:rPr>
        <w:t xml:space="preserve"> </w:t>
      </w:r>
      <w:r w:rsidR="001B7C0B">
        <w:rPr>
          <w:rFonts w:asciiTheme="minorHAnsi" w:hAnsiTheme="minorHAnsi" w:cstheme="minorHAnsi"/>
          <w:szCs w:val="18"/>
        </w:rPr>
        <w:t>dependent</w:t>
      </w:r>
      <w:r w:rsidR="008511C7">
        <w:rPr>
          <w:rFonts w:asciiTheme="minorHAnsi" w:hAnsiTheme="minorHAnsi" w:cstheme="minorHAnsi"/>
          <w:szCs w:val="18"/>
        </w:rPr>
        <w:t xml:space="preserve"> on the </w:t>
      </w:r>
      <w:r w:rsidR="00697A45">
        <w:rPr>
          <w:rFonts w:asciiTheme="minorHAnsi" w:hAnsiTheme="minorHAnsi" w:cstheme="minorHAnsi"/>
          <w:szCs w:val="18"/>
        </w:rPr>
        <w:t xml:space="preserve">rehabilitation landform </w:t>
      </w:r>
      <w:r w:rsidR="00733501">
        <w:rPr>
          <w:rFonts w:asciiTheme="minorHAnsi" w:hAnsiTheme="minorHAnsi" w:cstheme="minorHAnsi"/>
          <w:szCs w:val="18"/>
        </w:rPr>
        <w:t xml:space="preserve">achieved </w:t>
      </w:r>
      <w:r w:rsidR="002138AC">
        <w:rPr>
          <w:rFonts w:asciiTheme="minorHAnsi" w:hAnsiTheme="minorHAnsi" w:cstheme="minorHAnsi"/>
          <w:szCs w:val="18"/>
        </w:rPr>
        <w:t>and the end of the licensees’ rehabilitation obligations</w:t>
      </w:r>
      <w:r w:rsidR="002138AC" w:rsidRPr="00B04712">
        <w:rPr>
          <w:rFonts w:asciiTheme="minorHAnsi" w:hAnsiTheme="minorHAnsi" w:cstheme="minorHAnsi"/>
          <w:szCs w:val="18"/>
        </w:rPr>
        <w:t xml:space="preserve"> to avoid and mitigate the risks identified at </w:t>
      </w:r>
      <w:r w:rsidR="002138AC">
        <w:rPr>
          <w:rFonts w:asciiTheme="minorHAnsi" w:hAnsiTheme="minorHAnsi" w:cstheme="minorHAnsi"/>
          <w:szCs w:val="18"/>
        </w:rPr>
        <w:t xml:space="preserve">section </w:t>
      </w:r>
      <w:r w:rsidR="002138AC">
        <w:rPr>
          <w:rFonts w:asciiTheme="minorHAnsi" w:hAnsiTheme="minorHAnsi" w:cstheme="minorHAnsi"/>
          <w:szCs w:val="18"/>
        </w:rPr>
        <w:fldChar w:fldCharType="begin"/>
      </w:r>
      <w:r w:rsidR="002138AC">
        <w:rPr>
          <w:rFonts w:asciiTheme="minorHAnsi" w:hAnsiTheme="minorHAnsi" w:cstheme="minorHAnsi"/>
          <w:szCs w:val="18"/>
        </w:rPr>
        <w:instrText xml:space="preserve"> REF _Ref54109878 \r \h </w:instrText>
      </w:r>
      <w:r w:rsidR="002138AC">
        <w:rPr>
          <w:rFonts w:asciiTheme="minorHAnsi" w:hAnsiTheme="minorHAnsi" w:cstheme="minorHAnsi"/>
          <w:szCs w:val="18"/>
        </w:rPr>
      </w:r>
      <w:r w:rsidR="002138AC">
        <w:rPr>
          <w:rFonts w:asciiTheme="minorHAnsi" w:hAnsiTheme="minorHAnsi" w:cstheme="minorHAnsi"/>
          <w:szCs w:val="18"/>
        </w:rPr>
        <w:fldChar w:fldCharType="separate"/>
      </w:r>
      <w:r w:rsidR="000B3BF6">
        <w:rPr>
          <w:rFonts w:asciiTheme="minorHAnsi" w:hAnsiTheme="minorHAnsi" w:cstheme="minorHAnsi"/>
          <w:szCs w:val="18"/>
        </w:rPr>
        <w:t>2.4.1</w:t>
      </w:r>
      <w:r w:rsidR="002138AC">
        <w:rPr>
          <w:rFonts w:asciiTheme="minorHAnsi" w:hAnsiTheme="minorHAnsi" w:cstheme="minorHAnsi"/>
          <w:szCs w:val="18"/>
        </w:rPr>
        <w:fldChar w:fldCharType="end"/>
      </w:r>
      <w:r w:rsidR="002138AC" w:rsidRPr="00B04712">
        <w:rPr>
          <w:rFonts w:asciiTheme="minorHAnsi" w:hAnsiTheme="minorHAnsi" w:cstheme="minorHAnsi"/>
          <w:szCs w:val="18"/>
        </w:rPr>
        <w:t>.</w:t>
      </w:r>
    </w:p>
    <w:p w14:paraId="5DC8AA28" w14:textId="14C4AC4E" w:rsidR="00A03132" w:rsidRDefault="0050539E" w:rsidP="008F7AC0">
      <w:r>
        <w:t>This means that</w:t>
      </w:r>
      <w:r w:rsidR="00845E96">
        <w:t xml:space="preserve"> without new regulations</w:t>
      </w:r>
      <w:r w:rsidR="00614966">
        <w:t xml:space="preserve">, there is a continued </w:t>
      </w:r>
      <w:r>
        <w:t xml:space="preserve">lack of clarity </w:t>
      </w:r>
      <w:r w:rsidR="009D6BAD">
        <w:t xml:space="preserve">on assigning </w:t>
      </w:r>
      <w:r>
        <w:t>responsibility for the planning and undertaking of ongoing management at the declared mine sites</w:t>
      </w:r>
      <w:r w:rsidR="00D14D21">
        <w:t>,</w:t>
      </w:r>
      <w:r w:rsidR="000D54CD">
        <w:t xml:space="preserve"> creating significant risks for the State and community</w:t>
      </w:r>
      <w:r>
        <w:t xml:space="preserve">. </w:t>
      </w:r>
    </w:p>
    <w:p w14:paraId="768B1C54" w14:textId="77777777" w:rsidR="006E1000" w:rsidRDefault="006E1000" w:rsidP="00D50C43">
      <w:pPr>
        <w:pStyle w:val="Heading2"/>
        <w:numPr>
          <w:ilvl w:val="1"/>
          <w:numId w:val="124"/>
        </w:numPr>
      </w:pPr>
      <w:bookmarkStart w:id="116" w:name="_Toc54366835"/>
      <w:bookmarkStart w:id="117" w:name="_Toc54366840"/>
      <w:bookmarkStart w:id="118" w:name="_Toc104217673"/>
      <w:bookmarkEnd w:id="116"/>
      <w:r>
        <w:t>The need to operationalise the declared mine rehabilitation framework</w:t>
      </w:r>
      <w:bookmarkEnd w:id="117"/>
      <w:bookmarkEnd w:id="118"/>
    </w:p>
    <w:p w14:paraId="51CAC4D1" w14:textId="6865D19E" w:rsidR="006E1000" w:rsidRDefault="006E1000" w:rsidP="006E1000">
      <w:r w:rsidRPr="00933BFD">
        <w:t>The Act</w:t>
      </w:r>
      <w:r>
        <w:t xml:space="preserve"> provides </w:t>
      </w:r>
      <w:r w:rsidRPr="00933BFD">
        <w:t xml:space="preserve">a framework for managing the risks and associated financial liability </w:t>
      </w:r>
      <w:r>
        <w:t xml:space="preserve">of declared mines </w:t>
      </w:r>
      <w:r w:rsidRPr="00933BFD">
        <w:t>but without additional supporting</w:t>
      </w:r>
      <w:r>
        <w:t xml:space="preserve"> detail this framework cannot function effectively. </w:t>
      </w:r>
    </w:p>
    <w:p w14:paraId="6AED5AF8" w14:textId="62BC7611" w:rsidR="006E1000" w:rsidRDefault="000E3155" w:rsidP="006E1000">
      <w:r>
        <w:t>As noted in the amending bill’s second reading speech, m</w:t>
      </w:r>
      <w:r w:rsidR="006E1000">
        <w:t xml:space="preserve">ost of the declared mine rehabilitation provisions in the Amendment Act were ‘enabling’, with detail to be contained in regulations. Without supporting regulations, the Act’s provisions have insufficient detail to achieve legislative objectives and ensure adequate regulatory decision-making to manage risks and liability, </w:t>
      </w:r>
      <w:r w:rsidR="00881C2E">
        <w:t xml:space="preserve">to </w:t>
      </w:r>
      <w:r w:rsidR="006E1000">
        <w:t>create certainty for operators around their responsibilities, or</w:t>
      </w:r>
      <w:r w:rsidR="00881C2E">
        <w:t xml:space="preserve"> to</w:t>
      </w:r>
      <w:r w:rsidR="006E1000">
        <w:t xml:space="preserve"> inform the community around the post-closure state of declared mine land. </w:t>
      </w:r>
    </w:p>
    <w:p w14:paraId="2EC7BC27" w14:textId="77777777" w:rsidR="006E1000" w:rsidRPr="00C2444E" w:rsidRDefault="006E1000" w:rsidP="00D50C43">
      <w:pPr>
        <w:pStyle w:val="Heading3"/>
        <w:numPr>
          <w:ilvl w:val="2"/>
          <w:numId w:val="124"/>
        </w:numPr>
      </w:pPr>
      <w:bookmarkStart w:id="119" w:name="_Toc54366841"/>
      <w:bookmarkStart w:id="120" w:name="_Toc104217674"/>
      <w:r>
        <w:t>Rehabilitation planning and oversight</w:t>
      </w:r>
      <w:bookmarkEnd w:id="119"/>
      <w:bookmarkEnd w:id="120"/>
    </w:p>
    <w:p w14:paraId="3F89F8EA" w14:textId="77777777" w:rsidR="006E1000" w:rsidRPr="00B56B6E" w:rsidRDefault="006E1000" w:rsidP="006E1000">
      <w:r>
        <w:rPr>
          <w:rFonts w:asciiTheme="minorHAnsi" w:hAnsiTheme="minorHAnsi" w:cstheme="minorHAnsi"/>
          <w:noProof/>
          <w:szCs w:val="18"/>
          <w:lang w:val="en-GB" w:eastAsia="en-GB"/>
        </w:rPr>
        <mc:AlternateContent>
          <mc:Choice Requires="wps">
            <w:drawing>
              <wp:inline distT="0" distB="0" distL="0" distR="0" wp14:anchorId="1A4893A7" wp14:editId="6D552663">
                <wp:extent cx="5705475" cy="792366"/>
                <wp:effectExtent l="0" t="0" r="9525" b="8255"/>
                <wp:docPr id="1577419761" name="Rectangle 1577419761"/>
                <wp:cNvGraphicFramePr/>
                <a:graphic xmlns:a="http://schemas.openxmlformats.org/drawingml/2006/main">
                  <a:graphicData uri="http://schemas.microsoft.com/office/word/2010/wordprocessingShape">
                    <wps:wsp>
                      <wps:cNvSpPr/>
                      <wps:spPr>
                        <a:xfrm>
                          <a:off x="0" y="0"/>
                          <a:ext cx="5705475" cy="79236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17CC2E" w14:textId="77777777" w:rsidR="00314925" w:rsidRPr="00450798" w:rsidRDefault="00314925" w:rsidP="006E1000">
                            <w:pPr>
                              <w:rPr>
                                <w:b/>
                                <w:bCs/>
                              </w:rPr>
                            </w:pPr>
                            <w:r>
                              <w:rPr>
                                <w:rFonts w:asciiTheme="minorHAnsi" w:hAnsiTheme="minorHAnsi" w:cstheme="minorHAnsi"/>
                                <w:b/>
                                <w:bCs/>
                                <w:szCs w:val="18"/>
                              </w:rPr>
                              <w:t>Problem statement</w:t>
                            </w:r>
                          </w:p>
                          <w:p w14:paraId="4900E125" w14:textId="0BA94994" w:rsidR="00314925" w:rsidRDefault="00314925" w:rsidP="006E1000">
                            <w:r w:rsidRPr="00B56B6E">
                              <w:t>The</w:t>
                            </w:r>
                            <w:r>
                              <w:t xml:space="preserve"> </w:t>
                            </w:r>
                            <w:r w:rsidRPr="00B56B6E">
                              <w:t>current rehabilitation plans</w:t>
                            </w:r>
                            <w:r>
                              <w:t xml:space="preserve"> and planning requirements</w:t>
                            </w:r>
                            <w:r w:rsidRPr="00B56B6E">
                              <w:t xml:space="preserve"> do not identify and respond to ongoing declared</w:t>
                            </w:r>
                            <w:r>
                              <w:t xml:space="preserve"> </w:t>
                            </w:r>
                            <w:r w:rsidRPr="00B56B6E">
                              <w:t>mine risks sufficiently to achieve legislative objectives</w:t>
                            </w:r>
                            <w:r w:rsidR="00E7383C">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4893A7" id="Rectangle 1577419761" o:spid="_x0000_s1027" style="width:449.25pt;height:6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" fillcolor="#d8d8d8 [2732]" stroked="f" strokeweight="2pt">
                <v:textbox>
                  <w:txbxContent>
                    <w:p w14:paraId="4117CC2E" w14:textId="77777777" w:rsidR="00314925" w:rsidRPr="00450798" w:rsidRDefault="00314925" w:rsidP="006E1000">
                      <w:pPr>
                        <w:rPr>
                          <w:b/>
                          <w:bCs/>
                        </w:rPr>
                      </w:pPr>
                      <w:r>
                        <w:rPr>
                          <w:rFonts w:asciiTheme="minorHAnsi" w:hAnsiTheme="minorHAnsi" w:cstheme="minorHAnsi"/>
                          <w:b/>
                          <w:bCs/>
                          <w:szCs w:val="18"/>
                        </w:rPr>
                        <w:t>Problem statement</w:t>
                      </w:r>
                    </w:p>
                    <w:p w14:paraId="4900E125" w14:textId="0BA94994" w:rsidR="00314925" w:rsidRDefault="00314925" w:rsidP="006E1000">
                      <w:r w:rsidRPr="00B56B6E">
                        <w:t>The</w:t>
                      </w:r>
                      <w:r>
                        <w:t xml:space="preserve"> </w:t>
                      </w:r>
                      <w:r w:rsidRPr="00B56B6E">
                        <w:t>current rehabilitation plans</w:t>
                      </w:r>
                      <w:r>
                        <w:t xml:space="preserve"> and planning requirements</w:t>
                      </w:r>
                      <w:r w:rsidRPr="00B56B6E">
                        <w:t xml:space="preserve"> do not identify and respond to ongoing declared</w:t>
                      </w:r>
                      <w:r>
                        <w:t xml:space="preserve"> </w:t>
                      </w:r>
                      <w:r w:rsidRPr="00B56B6E">
                        <w:t>mine risks sufficiently to achieve legislative objectives</w:t>
                      </w:r>
                      <w:r w:rsidR="00E7383C">
                        <w:t>.</w:t>
                      </w:r>
                    </w:p>
                  </w:txbxContent>
                </v:textbox>
                <w10:anchorlock/>
              </v:rect>
            </w:pict>
          </mc:Fallback>
        </mc:AlternateContent>
      </w:r>
    </w:p>
    <w:p w14:paraId="2B1EED32" w14:textId="77777777" w:rsidR="006E1000" w:rsidRDefault="02FF59BA" w:rsidP="006E1000">
      <w:r>
        <w:t>As noted above, the HMFI concluded that the current declared mines’ rehabilitation plans (contained in the mines’ work plans) were conceptual and vague, and that the regulatory framework was not sufficiently concerned with ensuring that relevant risks were addressed by mine operators. Although the mine operators were complying with their rehabilitation obligations under the former framework, these obligations were not successfully ensuring that rehabilitation would be successful.</w:t>
      </w:r>
      <w:r w:rsidR="006E1000">
        <w:rPr>
          <w:rStyle w:val="FootnoteReference"/>
        </w:rPr>
        <w:footnoteReference w:id="138"/>
      </w:r>
    </w:p>
    <w:p w14:paraId="5C7E55E1" w14:textId="77777777" w:rsidR="006E1000" w:rsidRDefault="006E1000" w:rsidP="006E1000">
      <w:r>
        <w:t>The requirement to prepare a DMRP introduced by the Amendment Act seeks to address this problem. However, the Act does not provide any guidance as to what is to be included in the plan beyond the core components of closure criteria, a post-closure plan, an undertaking to pay the registration amount, and an assessment of the risks posed by the declared mine. The Act envisages that detail to support these requirements will be ‘prescribed’ by Regulations.</w:t>
      </w:r>
    </w:p>
    <w:p w14:paraId="75B173D9" w14:textId="52AA1142" w:rsidR="006E1000" w:rsidRDefault="006E1000" w:rsidP="006E1000">
      <w:r>
        <w:t>Without additional detail, the current plans and planning requirements do not provide enough guidance to promote</w:t>
      </w:r>
      <w:r w:rsidRPr="00B56B6E">
        <w:t xml:space="preserve"> rehabilitation to </w:t>
      </w:r>
      <w:r>
        <w:t>a safe, stable and sustainable landform and to ensure the comprehensive planning for the post-closure management of the site.</w:t>
      </w:r>
    </w:p>
    <w:p w14:paraId="33B6473D" w14:textId="77777777" w:rsidR="006E1000" w:rsidRDefault="006E1000" w:rsidP="006E1000">
      <w:r>
        <w:t xml:space="preserve">The lack of supporting detail also impairs the Act’s ability to ensure that government has sufficient information about the declared mine sites to: </w:t>
      </w:r>
    </w:p>
    <w:p w14:paraId="72D7CF4A" w14:textId="77777777" w:rsidR="006E1000" w:rsidRDefault="006E1000" w:rsidP="006E1000">
      <w:pPr>
        <w:pStyle w:val="dotpoints"/>
      </w:pPr>
      <w:r>
        <w:lastRenderedPageBreak/>
        <w:t>understand the risks and technical features of mine sites;</w:t>
      </w:r>
    </w:p>
    <w:p w14:paraId="5C384BCF" w14:textId="77777777" w:rsidR="006E1000" w:rsidRDefault="006E1000" w:rsidP="006E1000">
      <w:pPr>
        <w:pStyle w:val="dotpoints"/>
      </w:pPr>
      <w:r>
        <w:t>set appropriate rehabilitation bond amounts;</w:t>
      </w:r>
    </w:p>
    <w:p w14:paraId="76C11CD6" w14:textId="77777777" w:rsidR="006E1000" w:rsidRDefault="006E1000" w:rsidP="006E1000">
      <w:pPr>
        <w:pStyle w:val="dotpoints"/>
      </w:pPr>
      <w:r>
        <w:t>undertake its own rehabilitation in the event of default;</w:t>
      </w:r>
    </w:p>
    <w:p w14:paraId="697C395F" w14:textId="77777777" w:rsidR="006E1000" w:rsidRDefault="006E1000" w:rsidP="006E1000">
      <w:pPr>
        <w:pStyle w:val="dotpoints"/>
      </w:pPr>
      <w:r>
        <w:t>plan for and undertake post-closure management of declared mine sites; and</w:t>
      </w:r>
    </w:p>
    <w:p w14:paraId="5DB1E6A0" w14:textId="77777777" w:rsidR="006E1000" w:rsidRDefault="006E1000" w:rsidP="006E1000">
      <w:pPr>
        <w:pStyle w:val="dotpoints"/>
      </w:pPr>
      <w:r>
        <w:t xml:space="preserve">engage in integrated and informed decision-making across government (for example, with respect to water allocation decisions). </w:t>
      </w:r>
    </w:p>
    <w:p w14:paraId="0CE95E4C" w14:textId="77777777" w:rsidR="006E1000" w:rsidRDefault="006E1000" w:rsidP="006E1000">
      <w:pPr>
        <w:pStyle w:val="Heading4"/>
        <w:spacing w:after="240"/>
      </w:pPr>
      <w:r>
        <w:t>Mine closure determination</w:t>
      </w:r>
    </w:p>
    <w:p w14:paraId="6FD338BD" w14:textId="77777777" w:rsidR="006E1000" w:rsidRDefault="006E1000" w:rsidP="006E1000">
      <w:pPr>
        <w:pStyle w:val="Heading4"/>
        <w:spacing w:before="0"/>
      </w:pPr>
      <w:r w:rsidRPr="0087759F">
        <w:rPr>
          <w:rFonts w:asciiTheme="minorHAnsi" w:hAnsiTheme="minorHAnsi" w:cstheme="minorHAnsi"/>
          <w:noProof/>
          <w:color w:val="383834" w:themeColor="background2" w:themeShade="40"/>
          <w:szCs w:val="18"/>
          <w:lang w:val="en-GB" w:eastAsia="en-GB"/>
        </w:rPr>
        <mc:AlternateContent>
          <mc:Choice Requires="wps">
            <w:drawing>
              <wp:inline distT="0" distB="0" distL="0" distR="0" wp14:anchorId="76AE910F" wp14:editId="21FFD846">
                <wp:extent cx="5819775" cy="771525"/>
                <wp:effectExtent l="0" t="0" r="9525" b="9525"/>
                <wp:docPr id="1577419762" name="Rectangle 1577419762"/>
                <wp:cNvGraphicFramePr/>
                <a:graphic xmlns:a="http://schemas.openxmlformats.org/drawingml/2006/main">
                  <a:graphicData uri="http://schemas.microsoft.com/office/word/2010/wordprocessingShape">
                    <wps:wsp>
                      <wps:cNvSpPr/>
                      <wps:spPr>
                        <a:xfrm>
                          <a:off x="0" y="0"/>
                          <a:ext cx="5819775" cy="7715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CA1984" w14:textId="77777777" w:rsidR="00314925" w:rsidRPr="0087759F" w:rsidRDefault="00314925" w:rsidP="006E1000">
                            <w:pPr>
                              <w:pStyle w:val="Heading4"/>
                              <w:spacing w:before="0"/>
                            </w:pPr>
                            <w:r>
                              <w:rPr>
                                <w:color w:val="383834" w:themeColor="background2" w:themeShade="40"/>
                              </w:rPr>
                              <w:t>P</w:t>
                            </w:r>
                            <w:r w:rsidRPr="0087759F">
                              <w:rPr>
                                <w:color w:val="383834" w:themeColor="background2" w:themeShade="40"/>
                              </w:rPr>
                              <w:t>roblem statement</w:t>
                            </w:r>
                          </w:p>
                          <w:p w14:paraId="0141A4F7" w14:textId="77777777" w:rsidR="00314925" w:rsidRPr="00B56B6E" w:rsidRDefault="00314925" w:rsidP="006E1000">
                            <w:pPr>
                              <w:spacing w:after="0"/>
                            </w:pPr>
                            <w:r w:rsidRPr="00B56B6E">
                              <w:t>The current regulatory framework does not include specific requirements for the closure process or decisions on whether rehabilitation is satisfactory</w:t>
                            </w:r>
                            <w:r>
                              <w:t xml:space="preserve">, or </w:t>
                            </w:r>
                            <w:r w:rsidRPr="00B56B6E">
                              <w:t>ensure integrated decision-making with relevant regulators and other appropriate parties.</w:t>
                            </w:r>
                          </w:p>
                          <w:p w14:paraId="4E623A32" w14:textId="77777777" w:rsidR="00314925" w:rsidRDefault="00314925" w:rsidP="006E10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6AE910F" id="Rectangle 1577419762" o:spid="_x0000_s1028" style="width:458.25pt;height:6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" fillcolor="#d8d8d8 [2732]" stroked="f" strokeweight="2pt">
                <v:textbox>
                  <w:txbxContent>
                    <w:p w14:paraId="41CA1984" w14:textId="77777777" w:rsidR="00314925" w:rsidRPr="0087759F" w:rsidRDefault="00314925" w:rsidP="006E1000">
                      <w:pPr>
                        <w:pStyle w:val="Heading4"/>
                        <w:spacing w:before="0"/>
                      </w:pPr>
                      <w:r>
                        <w:rPr>
                          <w:color w:val="383834" w:themeColor="background2" w:themeShade="40"/>
                        </w:rPr>
                        <w:t>P</w:t>
                      </w:r>
                      <w:r w:rsidRPr="0087759F">
                        <w:rPr>
                          <w:color w:val="383834" w:themeColor="background2" w:themeShade="40"/>
                        </w:rPr>
                        <w:t>roblem statement</w:t>
                      </w:r>
                    </w:p>
                    <w:p w14:paraId="0141A4F7" w14:textId="77777777" w:rsidR="00314925" w:rsidRPr="00B56B6E" w:rsidRDefault="00314925" w:rsidP="006E1000">
                      <w:pPr>
                        <w:spacing w:after="0"/>
                      </w:pPr>
                      <w:r w:rsidRPr="00B56B6E">
                        <w:t>The current regulatory framework does not include specific requirements for the closure process or decisions on whether rehabilitation is satisfactory</w:t>
                      </w:r>
                      <w:r>
                        <w:t xml:space="preserve">, or </w:t>
                      </w:r>
                      <w:r w:rsidRPr="00B56B6E">
                        <w:t>ensure integrated decision-making with relevant regulators and other appropriate parties.</w:t>
                      </w:r>
                    </w:p>
                    <w:p w14:paraId="4E623A32" w14:textId="77777777" w:rsidR="00314925" w:rsidRDefault="00314925" w:rsidP="006E1000">
                      <w:pPr>
                        <w:jc w:val="center"/>
                      </w:pPr>
                    </w:p>
                  </w:txbxContent>
                </v:textbox>
                <w10:anchorlock/>
              </v:rect>
            </w:pict>
          </mc:Fallback>
        </mc:AlternateContent>
      </w:r>
    </w:p>
    <w:p w14:paraId="15348E2B" w14:textId="77777777" w:rsidR="006E1000" w:rsidRDefault="006E1000" w:rsidP="006E1000">
      <w:r>
        <w:t xml:space="preserve">The Act provides that an application for determination that the closure criteria for a mine have been met must be accompanied by the prescribed information, and that the Minister must make their decision upon closure by taking into account the prescribed matters and following the prescribed process. This part of the Act provides an added mechanism for ensuring that decision-making in relation to mine closure is integrated across government and fully informed by appropriate material and advice. However, without additional detail, the Act cannot achieve these objectives. </w:t>
      </w:r>
    </w:p>
    <w:p w14:paraId="1C3EC37E" w14:textId="1BE93A66" w:rsidR="006E1000" w:rsidRDefault="006E1000" w:rsidP="006E1000">
      <w:r>
        <w:t>Currently, there is no information or process prescribed in regulations</w:t>
      </w:r>
      <w:r w:rsidR="00C1734A">
        <w:t xml:space="preserve"> to support decision-making on </w:t>
      </w:r>
      <w:r w:rsidR="001779D3">
        <w:t>mine closure</w:t>
      </w:r>
      <w:r w:rsidR="007F2AAF">
        <w:t xml:space="preserve"> criteria</w:t>
      </w:r>
      <w:r>
        <w:t xml:space="preserve">, meaning that the decision on mine closure may not be informed by sufficient information </w:t>
      </w:r>
      <w:r w:rsidR="005455B2">
        <w:t>on the ongoing risks</w:t>
      </w:r>
      <w:r w:rsidR="00B06E78">
        <w:t xml:space="preserve"> </w:t>
      </w:r>
      <w:r w:rsidR="00745BB6">
        <w:t>of the post-closure landform</w:t>
      </w:r>
      <w:r w:rsidR="00984199">
        <w:t>, technical understanding</w:t>
      </w:r>
      <w:r w:rsidR="005920DB">
        <w:t xml:space="preserve"> </w:t>
      </w:r>
      <w:r w:rsidR="007135E8">
        <w:t>of the post-closure manag</w:t>
      </w:r>
      <w:r w:rsidR="00707035">
        <w:t>ement process</w:t>
      </w:r>
      <w:r w:rsidR="005920DB">
        <w:t xml:space="preserve"> </w:t>
      </w:r>
      <w:r>
        <w:t>or properly integrated with other government decisions.</w:t>
      </w:r>
    </w:p>
    <w:p w14:paraId="2EDE7145" w14:textId="77777777" w:rsidR="006E1000" w:rsidRDefault="006E1000" w:rsidP="006E1000">
      <w:pPr>
        <w:pStyle w:val="Heading4"/>
        <w:spacing w:after="240"/>
      </w:pPr>
      <w:r>
        <w:t>Mine land registration</w:t>
      </w:r>
    </w:p>
    <w:p w14:paraId="26AC3C42" w14:textId="77777777" w:rsidR="006E1000" w:rsidRPr="00E05F92" w:rsidRDefault="006E1000" w:rsidP="006E1000">
      <w:r>
        <w:rPr>
          <w:rFonts w:asciiTheme="minorHAnsi" w:hAnsiTheme="minorHAnsi" w:cstheme="minorHAnsi"/>
          <w:noProof/>
          <w:szCs w:val="18"/>
          <w:lang w:val="en-GB" w:eastAsia="en-GB"/>
        </w:rPr>
        <mc:AlternateContent>
          <mc:Choice Requires="wps">
            <w:drawing>
              <wp:inline distT="0" distB="0" distL="0" distR="0" wp14:anchorId="6F18B797" wp14:editId="2248049B">
                <wp:extent cx="5731510" cy="1419225"/>
                <wp:effectExtent l="0" t="0" r="2540" b="9525"/>
                <wp:docPr id="1577419763" name="Rectangle 1577419763"/>
                <wp:cNvGraphicFramePr/>
                <a:graphic xmlns:a="http://schemas.openxmlformats.org/drawingml/2006/main">
                  <a:graphicData uri="http://schemas.microsoft.com/office/word/2010/wordprocessingShape">
                    <wps:wsp>
                      <wps:cNvSpPr/>
                      <wps:spPr>
                        <a:xfrm>
                          <a:off x="0" y="0"/>
                          <a:ext cx="5731510" cy="14192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5F7F49" w14:textId="77777777" w:rsidR="00314925" w:rsidRPr="00AE16D2" w:rsidRDefault="00314925" w:rsidP="006E1000">
                            <w:pPr>
                              <w:spacing w:before="0"/>
                              <w:rPr>
                                <w:b/>
                                <w:bCs/>
                              </w:rPr>
                            </w:pPr>
                            <w:r>
                              <w:rPr>
                                <w:b/>
                                <w:bCs/>
                              </w:rPr>
                              <w:t>P</w:t>
                            </w:r>
                            <w:r w:rsidRPr="00AE16D2">
                              <w:rPr>
                                <w:b/>
                                <w:bCs/>
                              </w:rPr>
                              <w:t>roblem statement</w:t>
                            </w:r>
                          </w:p>
                          <w:p w14:paraId="4FA2E0C5" w14:textId="77777777" w:rsidR="00314925" w:rsidRDefault="00314925" w:rsidP="006E1000">
                            <w:r w:rsidRPr="00B56B6E">
                              <w:t xml:space="preserve">Declared mine land will require ongoing monitoring, maintenance and management to meet legislative rehabilitation objectives. The current framework does not ensure that sufficient information is handed over to government to enable </w:t>
                            </w:r>
                            <w:r>
                              <w:t xml:space="preserve">the </w:t>
                            </w:r>
                            <w:r w:rsidRPr="00B56B6E">
                              <w:t xml:space="preserve">ongoing monitoring, maintenance and management of rehabilitated land. </w:t>
                            </w:r>
                          </w:p>
                          <w:p w14:paraId="3695C9D2" w14:textId="77777777" w:rsidR="00314925" w:rsidRDefault="00314925" w:rsidP="006E1000">
                            <w:r w:rsidRPr="00B56B6E">
                              <w:t xml:space="preserve">The Act creates a mechanism for mine operators to contribute to the costs of post-closure management of declared mine land through the declared mine fund, but does not set a process for how contributions to the fund will be calculated, creating uncertainty for mine operators and </w:t>
                            </w:r>
                            <w:r>
                              <w:t>the government on how contribution amounts will be d</w:t>
                            </w:r>
                            <w:r w:rsidRPr="00B56B6E">
                              <w:t>etermined.</w:t>
                            </w:r>
                            <w:r>
                              <w:t xml:space="preserve"> </w:t>
                            </w:r>
                          </w:p>
                          <w:p w14:paraId="2B6C587A" w14:textId="77777777" w:rsidR="00314925" w:rsidRDefault="00314925" w:rsidP="006E10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F18B797" id="Rectangle 1577419763" o:spid="_x0000_s1029" style="width:451.3pt;height:11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" fillcolor="#d8d8d8 [2732]" stroked="f" strokeweight="2pt">
                <v:textbox>
                  <w:txbxContent>
                    <w:p w14:paraId="295F7F49" w14:textId="77777777" w:rsidR="00314925" w:rsidRPr="00AE16D2" w:rsidRDefault="00314925" w:rsidP="006E1000">
                      <w:pPr>
                        <w:spacing w:before="0"/>
                        <w:rPr>
                          <w:b/>
                          <w:bCs/>
                        </w:rPr>
                      </w:pPr>
                      <w:r>
                        <w:rPr>
                          <w:b/>
                          <w:bCs/>
                        </w:rPr>
                        <w:t>P</w:t>
                      </w:r>
                      <w:r w:rsidRPr="00AE16D2">
                        <w:rPr>
                          <w:b/>
                          <w:bCs/>
                        </w:rPr>
                        <w:t>roblem statement</w:t>
                      </w:r>
                    </w:p>
                    <w:p w14:paraId="4FA2E0C5" w14:textId="77777777" w:rsidR="00314925" w:rsidRDefault="00314925" w:rsidP="006E1000">
                      <w:r w:rsidRPr="00B56B6E">
                        <w:t xml:space="preserve">Declared mine land will require ongoing monitoring, maintenance and management to meet legislative rehabilitation objectives. The current framework does not ensure that sufficient information is handed over to government to enable </w:t>
                      </w:r>
                      <w:r>
                        <w:t xml:space="preserve">the </w:t>
                      </w:r>
                      <w:r w:rsidRPr="00B56B6E">
                        <w:t xml:space="preserve">ongoing monitoring, maintenance and management of rehabilitated land. </w:t>
                      </w:r>
                    </w:p>
                    <w:p w14:paraId="3695C9D2" w14:textId="77777777" w:rsidR="00314925" w:rsidRDefault="00314925" w:rsidP="006E1000">
                      <w:r w:rsidRPr="00B56B6E">
                        <w:t xml:space="preserve">The Act creates a mechanism for mine operators to contribute to the costs of post-closure management of declared mine land through the declared mine fund, but does not set a process for how contributions to the fund will be calculated, creating uncertainty for mine operators and </w:t>
                      </w:r>
                      <w:r>
                        <w:t>the government on how contribution amounts will be d</w:t>
                      </w:r>
                      <w:r w:rsidRPr="00B56B6E">
                        <w:t>etermined.</w:t>
                      </w:r>
                      <w:r>
                        <w:t xml:space="preserve"> </w:t>
                      </w:r>
                    </w:p>
                    <w:p w14:paraId="2B6C587A" w14:textId="77777777" w:rsidR="00314925" w:rsidRDefault="00314925" w:rsidP="006E1000">
                      <w:pPr>
                        <w:jc w:val="center"/>
                      </w:pPr>
                    </w:p>
                  </w:txbxContent>
                </v:textbox>
                <w10:anchorlock/>
              </v:rect>
            </w:pict>
          </mc:Fallback>
        </mc:AlternateContent>
      </w:r>
    </w:p>
    <w:p w14:paraId="389081CD" w14:textId="050DDCF0" w:rsidR="006E1000" w:rsidRDefault="006E1000" w:rsidP="006E1000">
      <w:r>
        <w:t>Declared mine operators hold technical information about the operation and rehabilitation of their mine sites. Under the current regulatory framework there are limited mechanisms for the government to require mining operators to provide information about the mine sites (including details of their historic and future rehabilitation) upon mine closure. Once mining operations cease and licences are relinquished, important information about the characteristics, rehabilitation activities and safety of the mine land can therefore be lost. This creates the risk of events similar to what occurred following the closure of the Benambra copper mine, where government was left with the responsibility for rehabilitating the mine land without detailed information about the mine site, increasing the costs of rehabilitation (see section</w:t>
      </w:r>
      <w:r w:rsidR="0050271E">
        <w:t xml:space="preserve"> </w:t>
      </w:r>
      <w:r>
        <w:fldChar w:fldCharType="begin"/>
      </w:r>
      <w:r>
        <w:instrText xml:space="preserve"> REF _Ref57622787 \n \h </w:instrText>
      </w:r>
      <w:r>
        <w:fldChar w:fldCharType="separate"/>
      </w:r>
      <w:r w:rsidR="000B3BF6">
        <w:t>2.4.2</w:t>
      </w:r>
      <w:r>
        <w:fldChar w:fldCharType="end"/>
      </w:r>
      <w:r>
        <w:t xml:space="preserve">). </w:t>
      </w:r>
      <w:r w:rsidR="003443A8">
        <w:t xml:space="preserve">There is also a public interest </w:t>
      </w:r>
      <w:r w:rsidR="00787C4C">
        <w:t xml:space="preserve">in </w:t>
      </w:r>
      <w:r w:rsidR="003443A8">
        <w:t>i</w:t>
      </w:r>
      <w:r w:rsidR="00B450B6">
        <w:t xml:space="preserve">nformation about </w:t>
      </w:r>
      <w:r w:rsidR="006B7A1E">
        <w:t>d</w:t>
      </w:r>
      <w:r w:rsidR="00787C4C">
        <w:t xml:space="preserve">eclared mine land </w:t>
      </w:r>
      <w:r w:rsidR="00A674D3">
        <w:t xml:space="preserve">because </w:t>
      </w:r>
      <w:r w:rsidR="00C44F5F">
        <w:t xml:space="preserve">of </w:t>
      </w:r>
      <w:r w:rsidR="007D1FA9">
        <w:t xml:space="preserve">the ongoing risks </w:t>
      </w:r>
      <w:r w:rsidR="00417766">
        <w:t>of negative impacts introduced to areas beyond the</w:t>
      </w:r>
      <w:r w:rsidR="00BB1C0B">
        <w:t xml:space="preserve"> area of declared mine </w:t>
      </w:r>
      <w:r w:rsidR="004B0D95">
        <w:t>land. For</w:t>
      </w:r>
      <w:r w:rsidR="007B1A8A">
        <w:t xml:space="preserve"> example, </w:t>
      </w:r>
      <w:r w:rsidR="004052F3">
        <w:t xml:space="preserve">subsidence </w:t>
      </w:r>
      <w:r w:rsidR="004535FB">
        <w:t xml:space="preserve">and other ground stability issues </w:t>
      </w:r>
      <w:r w:rsidR="00B62C61">
        <w:t>created by the L</w:t>
      </w:r>
      <w:r w:rsidR="007A42D4">
        <w:t xml:space="preserve">atrobe </w:t>
      </w:r>
      <w:r w:rsidR="00B62C61">
        <w:t>V</w:t>
      </w:r>
      <w:r w:rsidR="007A42D4">
        <w:t>alley</w:t>
      </w:r>
      <w:r w:rsidR="00B62C61">
        <w:t xml:space="preserve"> coal</w:t>
      </w:r>
      <w:r w:rsidR="007A42D4">
        <w:t xml:space="preserve"> mines</w:t>
      </w:r>
      <w:r w:rsidR="00B62C61">
        <w:t xml:space="preserve"> </w:t>
      </w:r>
      <w:r w:rsidR="004535FB">
        <w:t>may occur in adjacent land</w:t>
      </w:r>
      <w:r w:rsidR="00EC3CAA">
        <w:t>.</w:t>
      </w:r>
    </w:p>
    <w:p w14:paraId="1AD05670" w14:textId="61603783" w:rsidR="006E1000" w:rsidRDefault="006E1000" w:rsidP="006E1000">
      <w:r>
        <w:t>The Amendment Act sought to address th</w:t>
      </w:r>
      <w:r w:rsidR="00626B68">
        <w:t>ese</w:t>
      </w:r>
      <w:r>
        <w:t xml:space="preserve"> issue</w:t>
      </w:r>
      <w:r w:rsidR="00626B68">
        <w:t>s</w:t>
      </w:r>
      <w:r>
        <w:t xml:space="preserve"> through the introduction of the </w:t>
      </w:r>
      <w:r w:rsidR="00626B68">
        <w:t xml:space="preserve">public </w:t>
      </w:r>
      <w:r>
        <w:t xml:space="preserve">Declared Mine Land Register. Information about declared mine rehabilitation and risks are obtained by government through two mechanisms under the </w:t>
      </w:r>
      <w:r w:rsidR="003A1D6E">
        <w:t xml:space="preserve">Amendment </w:t>
      </w:r>
      <w:r>
        <w:t>Act</w:t>
      </w:r>
      <w:r w:rsidR="003A1D6E">
        <w:t xml:space="preserve"> and the Act</w:t>
      </w:r>
      <w:r>
        <w:t>:</w:t>
      </w:r>
    </w:p>
    <w:p w14:paraId="4590CCAC" w14:textId="77777777" w:rsidR="006E1000" w:rsidRDefault="006E1000" w:rsidP="006E1000">
      <w:pPr>
        <w:pStyle w:val="dotpoints"/>
      </w:pPr>
      <w:r>
        <w:t>the Minister’s direction to the Authority to register declared mine land may require the licensee to give the prescribed records and information to the Authority; and</w:t>
      </w:r>
    </w:p>
    <w:p w14:paraId="5F08AEFC" w14:textId="77777777" w:rsidR="006E1000" w:rsidRDefault="006E1000" w:rsidP="006E1000">
      <w:pPr>
        <w:pStyle w:val="dotpoints"/>
      </w:pPr>
      <w:r>
        <w:t>the Authority’s obligation to record the post-closure plan and prescribed records or information for the declared mine land on the Register.</w:t>
      </w:r>
    </w:p>
    <w:p w14:paraId="6B2DE4D8" w14:textId="77777777" w:rsidR="006E1000" w:rsidRDefault="006E1000" w:rsidP="006E1000">
      <w:r>
        <w:lastRenderedPageBreak/>
        <w:t>Neither mechanism will function effectively without additional regulations to detail the records and information to be transferred or registered.</w:t>
      </w:r>
    </w:p>
    <w:p w14:paraId="5AB11081" w14:textId="3511615E" w:rsidR="006E1000" w:rsidRDefault="006E1000" w:rsidP="006E1000">
      <w:r>
        <w:t xml:space="preserve">The Declared Mine Fund was implemented by the Amendment Act to provide a source of funds to </w:t>
      </w:r>
      <w:r w:rsidR="008F46F5">
        <w:t>supplement</w:t>
      </w:r>
      <w:r w:rsidR="00EC08D3">
        <w:t xml:space="preserve"> </w:t>
      </w:r>
      <w:r>
        <w:t>the post-closure costs of the ongoing management of declared mine sites. The Act provides for the Fund to be set up, and for payments to be made into and out of it through the Minister’s registration direction. However, the Act does not specify how contribution amounts are to be determined.</w:t>
      </w:r>
    </w:p>
    <w:p w14:paraId="442F082F" w14:textId="55D2FD34" w:rsidR="007962DE" w:rsidRDefault="006E1000" w:rsidP="006E1000">
      <w:r>
        <w:t xml:space="preserve">The declared mine regulations need to prescribe </w:t>
      </w:r>
      <w:r w:rsidRPr="00BD3800">
        <w:t>a transparent and fair mechanism to calculate Fund contribution amounts</w:t>
      </w:r>
      <w:r>
        <w:t xml:space="preserve"> to manage post-closure risks, and to ensure that sufficient funds are recovered and apportioned to manage the financial liabilities flowing from ongoing management of the mine sites.</w:t>
      </w:r>
      <w:r w:rsidR="007962DE">
        <w:br w:type="page"/>
      </w:r>
    </w:p>
    <w:p w14:paraId="1BB5E64E" w14:textId="77777777" w:rsidR="003B1ED7" w:rsidRPr="00C25EB6" w:rsidRDefault="003B1ED7" w:rsidP="00D50C43">
      <w:pPr>
        <w:pStyle w:val="Heading1"/>
        <w:numPr>
          <w:ilvl w:val="0"/>
          <w:numId w:val="124"/>
        </w:numPr>
      </w:pPr>
      <w:bookmarkStart w:id="121" w:name="_Toc54366842"/>
      <w:bookmarkStart w:id="122" w:name="_Toc54366843"/>
      <w:bookmarkStart w:id="123" w:name="_Toc54366848"/>
      <w:bookmarkStart w:id="124" w:name="_Toc54366849"/>
      <w:bookmarkStart w:id="125" w:name="_Toc54366850"/>
      <w:bookmarkStart w:id="126" w:name="_Toc54366851"/>
      <w:bookmarkStart w:id="127" w:name="_Toc54366852"/>
      <w:bookmarkStart w:id="128" w:name="_Toc54366853"/>
      <w:bookmarkStart w:id="129" w:name="_Toc54366854"/>
      <w:bookmarkStart w:id="130" w:name="_Toc54366855"/>
      <w:bookmarkStart w:id="131" w:name="_Toc54366856"/>
      <w:bookmarkStart w:id="132" w:name="_Toc54366857"/>
      <w:bookmarkStart w:id="133" w:name="_Toc54366858"/>
      <w:bookmarkStart w:id="134" w:name="_Toc54366859"/>
      <w:bookmarkStart w:id="135" w:name="_Toc54366860"/>
      <w:bookmarkStart w:id="136" w:name="_Toc54366861"/>
      <w:bookmarkStart w:id="137" w:name="_Toc54366862"/>
      <w:bookmarkStart w:id="138" w:name="_Toc54366863"/>
      <w:bookmarkStart w:id="139" w:name="_Toc54366864"/>
      <w:bookmarkStart w:id="140" w:name="_Toc54366865"/>
      <w:bookmarkStart w:id="141" w:name="_Toc54366866"/>
      <w:bookmarkStart w:id="142" w:name="_Toc54366867"/>
      <w:bookmarkStart w:id="143" w:name="_Toc54366868"/>
      <w:bookmarkStart w:id="144" w:name="_Toc54366869"/>
      <w:bookmarkStart w:id="145" w:name="_Toc54366870"/>
      <w:bookmarkStart w:id="146" w:name="_Toc54366871"/>
      <w:bookmarkStart w:id="147" w:name="_Toc54366872"/>
      <w:bookmarkStart w:id="148" w:name="_Toc54366873"/>
      <w:bookmarkStart w:id="149" w:name="_Toc54366874"/>
      <w:bookmarkStart w:id="150" w:name="_Toc54366875"/>
      <w:bookmarkStart w:id="151" w:name="_Toc54366876"/>
      <w:bookmarkStart w:id="152" w:name="_Toc54366877"/>
      <w:bookmarkStart w:id="153" w:name="_Toc54366878"/>
      <w:bookmarkStart w:id="154" w:name="_Toc54366879"/>
      <w:bookmarkStart w:id="155" w:name="_Toc54366880"/>
      <w:bookmarkStart w:id="156" w:name="_Toc54366881"/>
      <w:bookmarkStart w:id="157" w:name="_Toc54366882"/>
      <w:bookmarkStart w:id="158" w:name="_Toc54366883"/>
      <w:bookmarkStart w:id="159" w:name="_Toc54366884"/>
      <w:bookmarkStart w:id="160" w:name="_Toc54366885"/>
      <w:bookmarkStart w:id="161" w:name="_Toc54366886"/>
      <w:bookmarkStart w:id="162" w:name="_Toc54366887"/>
      <w:bookmarkStart w:id="163" w:name="_Toc54366888"/>
      <w:bookmarkStart w:id="164" w:name="_Toc54366889"/>
      <w:bookmarkStart w:id="165" w:name="_Toc54366890"/>
      <w:bookmarkStart w:id="166" w:name="_Toc54366891"/>
      <w:bookmarkStart w:id="167" w:name="_Toc54366892"/>
      <w:bookmarkStart w:id="168" w:name="_Toc54366893"/>
      <w:bookmarkStart w:id="169" w:name="_Toc54366894"/>
      <w:bookmarkStart w:id="170" w:name="_Toc54366895"/>
      <w:bookmarkStart w:id="171" w:name="_Toc54366896"/>
      <w:bookmarkStart w:id="172" w:name="_Toc54366897"/>
      <w:bookmarkStart w:id="173" w:name="_Toc54366898"/>
      <w:bookmarkStart w:id="174" w:name="_Toc54366899"/>
      <w:bookmarkStart w:id="175" w:name="_Toc54366900"/>
      <w:bookmarkStart w:id="176" w:name="_Toc54366901"/>
      <w:bookmarkStart w:id="177" w:name="_Toc54366902"/>
      <w:bookmarkStart w:id="178" w:name="_Toc54366903"/>
      <w:bookmarkStart w:id="179" w:name="_Toc54366904"/>
      <w:bookmarkStart w:id="180" w:name="_Toc54366905"/>
      <w:bookmarkStart w:id="181" w:name="_Toc54366906"/>
      <w:bookmarkStart w:id="182" w:name="_Toc54366907"/>
      <w:bookmarkStart w:id="183" w:name="_Toc54366908"/>
      <w:bookmarkStart w:id="184" w:name="_Toc54366909"/>
      <w:bookmarkStart w:id="185" w:name="_Toc54366910"/>
      <w:bookmarkStart w:id="186" w:name="_Toc54366911"/>
      <w:bookmarkStart w:id="187" w:name="_Toc54366912"/>
      <w:bookmarkStart w:id="188" w:name="_Toc54366913"/>
      <w:bookmarkStart w:id="189" w:name="_Toc54366914"/>
      <w:bookmarkStart w:id="190" w:name="_Toc54366915"/>
      <w:bookmarkStart w:id="191" w:name="_Toc54366916"/>
      <w:bookmarkStart w:id="192" w:name="_Toc54366917"/>
      <w:bookmarkStart w:id="193" w:name="_Toc54366918"/>
      <w:bookmarkStart w:id="194" w:name="_Toc54366919"/>
      <w:bookmarkStart w:id="195" w:name="_Toc54366920"/>
      <w:bookmarkStart w:id="196" w:name="_Toc54366921"/>
      <w:bookmarkStart w:id="197" w:name="_Toc54366922"/>
      <w:bookmarkStart w:id="198" w:name="_Toc54366925"/>
      <w:bookmarkStart w:id="199" w:name="_Toc54366960"/>
      <w:bookmarkStart w:id="200" w:name="_Toc54366961"/>
      <w:bookmarkStart w:id="201" w:name="_Toc54366962"/>
      <w:bookmarkStart w:id="202" w:name="_Toc54366963"/>
      <w:bookmarkStart w:id="203" w:name="_Toc54366964"/>
      <w:bookmarkStart w:id="204" w:name="_Toc54366965"/>
      <w:bookmarkStart w:id="205" w:name="_Toc54366966"/>
      <w:bookmarkStart w:id="206" w:name="_Toc54366967"/>
      <w:bookmarkStart w:id="207" w:name="_Toc54366968"/>
      <w:bookmarkStart w:id="208" w:name="_Toc54366969"/>
      <w:bookmarkStart w:id="209" w:name="_Toc54366970"/>
      <w:bookmarkStart w:id="210" w:name="_Toc54366971"/>
      <w:bookmarkStart w:id="211" w:name="_Toc54366972"/>
      <w:bookmarkStart w:id="212" w:name="_Toc54366973"/>
      <w:bookmarkStart w:id="213" w:name="_Toc54366974"/>
      <w:bookmarkStart w:id="214" w:name="_Toc54366975"/>
      <w:bookmarkStart w:id="215" w:name="_Toc54366976"/>
      <w:bookmarkStart w:id="216" w:name="_Toc54366977"/>
      <w:bookmarkStart w:id="217" w:name="_Toc54366978"/>
      <w:bookmarkStart w:id="218" w:name="_Toc54366979"/>
      <w:bookmarkStart w:id="219" w:name="_Toc54366980"/>
      <w:bookmarkStart w:id="220" w:name="_Toc54366981"/>
      <w:bookmarkStart w:id="221" w:name="_Toc54366982"/>
      <w:bookmarkStart w:id="222" w:name="_Toc54366983"/>
      <w:bookmarkStart w:id="223" w:name="_Toc54366984"/>
      <w:bookmarkStart w:id="224" w:name="_Toc54366985"/>
      <w:bookmarkStart w:id="225" w:name="_Toc54366986"/>
      <w:bookmarkStart w:id="226" w:name="_Toc54366987"/>
      <w:bookmarkStart w:id="227" w:name="_Toc54366988"/>
      <w:bookmarkStart w:id="228" w:name="_Toc54366989"/>
      <w:bookmarkStart w:id="229" w:name="_Toc54366990"/>
      <w:bookmarkStart w:id="230" w:name="_Toc54366991"/>
      <w:bookmarkStart w:id="231" w:name="_Toc54366992"/>
      <w:bookmarkStart w:id="232" w:name="_Toc54366993"/>
      <w:bookmarkStart w:id="233" w:name="_Toc54366994"/>
      <w:bookmarkStart w:id="234" w:name="_Toc54366995"/>
      <w:bookmarkStart w:id="235" w:name="_Toc54366996"/>
      <w:bookmarkStart w:id="236" w:name="_Toc54366997"/>
      <w:bookmarkStart w:id="237" w:name="_Toc54366998"/>
      <w:bookmarkStart w:id="238" w:name="_Toc54366999"/>
      <w:bookmarkStart w:id="239" w:name="_Toc54367000"/>
      <w:bookmarkStart w:id="240" w:name="_Toc54367001"/>
      <w:bookmarkStart w:id="241" w:name="_Toc54367002"/>
      <w:bookmarkStart w:id="242" w:name="_Toc54367003"/>
      <w:bookmarkStart w:id="243" w:name="_Ref4080172"/>
      <w:bookmarkStart w:id="244" w:name="_Toc104217675"/>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C25EB6">
        <w:lastRenderedPageBreak/>
        <w:t>Objectives of the regulations</w:t>
      </w:r>
      <w:bookmarkEnd w:id="243"/>
      <w:bookmarkEnd w:id="244"/>
    </w:p>
    <w:p w14:paraId="2C50F795" w14:textId="77777777" w:rsidR="003B1ED7" w:rsidRDefault="003B1ED7" w:rsidP="00D50C43">
      <w:pPr>
        <w:pStyle w:val="Heading2"/>
        <w:numPr>
          <w:ilvl w:val="1"/>
          <w:numId w:val="124"/>
        </w:numPr>
      </w:pPr>
      <w:bookmarkStart w:id="245" w:name="_Toc104217676"/>
      <w:r w:rsidRPr="003B1ED7">
        <w:t>Legislative purpose and objectives</w:t>
      </w:r>
      <w:bookmarkEnd w:id="245"/>
    </w:p>
    <w:p w14:paraId="43801AFD" w14:textId="5DCF1D7F" w:rsidR="00AE16D2" w:rsidRDefault="00607BD2" w:rsidP="00B63B43">
      <w:r>
        <w:t>Re</w:t>
      </w:r>
      <w:r w:rsidR="00C70DB8">
        <w:t xml:space="preserve">levant </w:t>
      </w:r>
      <w:r w:rsidR="008C29EA">
        <w:t xml:space="preserve">to the </w:t>
      </w:r>
      <w:r w:rsidR="006D027C">
        <w:t>proposed Regulations</w:t>
      </w:r>
      <w:r w:rsidR="008C29EA">
        <w:t>, t</w:t>
      </w:r>
      <w:r w:rsidR="077FA46F" w:rsidRPr="003B1ED7">
        <w:t xml:space="preserve">he purpose of the legislation is to encourage economically viable mining and extractive industries which make the best use of, and extract the value from, earth resources in a way that is compatible with the economic, social and environmental objectives of the </w:t>
      </w:r>
      <w:r w:rsidR="51B5697E">
        <w:t>State</w:t>
      </w:r>
      <w:r w:rsidR="077FA46F">
        <w:t>.</w:t>
      </w:r>
      <w:r w:rsidR="003B1ED7">
        <w:rPr>
          <w:rStyle w:val="FootnoteReference"/>
        </w:rPr>
        <w:footnoteReference w:id="139"/>
      </w:r>
      <w:r w:rsidR="077FA46F">
        <w:t xml:space="preserve"> </w:t>
      </w:r>
      <w:r w:rsidR="077FA46F" w:rsidRPr="003B1ED7">
        <w:t>The Act came into force in 1990 and has undergone incremental amendment</w:t>
      </w:r>
      <w:r w:rsidR="00A35A44">
        <w:t>s</w:t>
      </w:r>
      <w:r w:rsidR="077FA46F" w:rsidRPr="003B1ED7">
        <w:t xml:space="preserve"> over the years to reflect changes in the expectations of society</w:t>
      </w:r>
      <w:r w:rsidR="3A762E83">
        <w:t xml:space="preserve"> and to respond to safety concerns prompted by hazardous events at various mines. </w:t>
      </w:r>
    </w:p>
    <w:p w14:paraId="3936E047" w14:textId="094F5517" w:rsidR="003B1ED7" w:rsidRDefault="003B1ED7" w:rsidP="00B63B43">
      <w:r w:rsidRPr="003B1ED7">
        <w:t>In summary, the Act establishes a regulatory framework that provides for:</w:t>
      </w:r>
    </w:p>
    <w:p w14:paraId="0946D2C5" w14:textId="76D12365" w:rsidR="003B1ED7" w:rsidRPr="003B1ED7" w:rsidRDefault="003B1ED7" w:rsidP="003B1ED7">
      <w:pPr>
        <w:pStyle w:val="ListBullet"/>
      </w:pPr>
      <w:r w:rsidRPr="003B1ED7">
        <w:t>an efficient and effective process for licensing and approvals; co-ordinating applications; rights allocation</w:t>
      </w:r>
      <w:r w:rsidR="005F5A73">
        <w:t>;</w:t>
      </w:r>
      <w:r w:rsidRPr="003B1ED7">
        <w:t xml:space="preserve"> decision-making for mineral resources</w:t>
      </w:r>
      <w:r w:rsidR="00805FD7">
        <w:t>;</w:t>
      </w:r>
      <w:r w:rsidRPr="003B1ED7">
        <w:t xml:space="preserve"> and economically efficient royalties, rental, fees and charges; and </w:t>
      </w:r>
    </w:p>
    <w:p w14:paraId="7D109446" w14:textId="77777777" w:rsidR="003B1ED7" w:rsidRPr="00B63B43" w:rsidRDefault="003B1ED7" w:rsidP="0042219C">
      <w:pPr>
        <w:pStyle w:val="ListBullet"/>
      </w:pPr>
      <w:r w:rsidRPr="003B1ED7">
        <w:t>a legal framework aimed at ensuring</w:t>
      </w:r>
      <w:r>
        <w:t>:</w:t>
      </w:r>
    </w:p>
    <w:p w14:paraId="001530ED" w14:textId="77777777" w:rsidR="003B1ED7" w:rsidRDefault="003B1ED7" w:rsidP="0083776A">
      <w:pPr>
        <w:pStyle w:val="dotpoints2"/>
      </w:pPr>
      <w:r>
        <w:t>risks to the public, environment and infrastructure are identified and eliminated or minimised as far as reasonably practicable;</w:t>
      </w:r>
    </w:p>
    <w:p w14:paraId="4802B25D" w14:textId="77777777" w:rsidR="003B1ED7" w:rsidRDefault="003B1ED7" w:rsidP="0083776A">
      <w:pPr>
        <w:pStyle w:val="dotpoints2"/>
      </w:pPr>
      <w:r>
        <w:t>consultation mechanisms are effective;</w:t>
      </w:r>
    </w:p>
    <w:p w14:paraId="2A817174" w14:textId="77777777" w:rsidR="003B1ED7" w:rsidRDefault="003B1ED7" w:rsidP="0083776A">
      <w:pPr>
        <w:pStyle w:val="dotpoints2"/>
      </w:pPr>
      <w:r>
        <w:t>mined land is rehabilitated;</w:t>
      </w:r>
    </w:p>
    <w:p w14:paraId="42EA442F" w14:textId="3DF4EC4D" w:rsidR="003B1ED7" w:rsidRDefault="003B1ED7" w:rsidP="0083776A">
      <w:pPr>
        <w:pStyle w:val="dotpoints2"/>
      </w:pPr>
      <w:r>
        <w:t>appropriate compensation is paid for the use of private land for</w:t>
      </w:r>
      <w:r w:rsidR="008720F6">
        <w:t xml:space="preserve"> extractive </w:t>
      </w:r>
      <w:r>
        <w:t>mining;</w:t>
      </w:r>
    </w:p>
    <w:p w14:paraId="30469F22" w14:textId="77777777" w:rsidR="003B1ED7" w:rsidRDefault="003B1ED7" w:rsidP="0083776A">
      <w:pPr>
        <w:pStyle w:val="dotpoints2"/>
      </w:pPr>
      <w:r>
        <w:t>conditions in licences and approvals are enforced; and</w:t>
      </w:r>
    </w:p>
    <w:p w14:paraId="2053AFF3" w14:textId="3A1E1796" w:rsidR="003B1ED7" w:rsidRDefault="003B1ED7" w:rsidP="0083776A">
      <w:pPr>
        <w:pStyle w:val="dotpoints2"/>
      </w:pPr>
      <w:r>
        <w:t>dispute resolution procedures are effective.</w:t>
      </w:r>
    </w:p>
    <w:p w14:paraId="6770F25F" w14:textId="77777777" w:rsidR="00AE16D2" w:rsidRDefault="00AE16D2" w:rsidP="00C25EB6">
      <w:pPr>
        <w:pStyle w:val="ListBullet2"/>
        <w:numPr>
          <w:ilvl w:val="0"/>
          <w:numId w:val="0"/>
        </w:numPr>
      </w:pPr>
    </w:p>
    <w:p w14:paraId="7C4D6FB2" w14:textId="09A66905" w:rsidR="00AE16D2" w:rsidRDefault="00AE16D2" w:rsidP="0083776A">
      <w:r>
        <w:t xml:space="preserve">The Act also provides that the principles of sustainable development </w:t>
      </w:r>
      <w:r w:rsidR="00427862">
        <w:t>should</w:t>
      </w:r>
      <w:r>
        <w:t xml:space="preserve"> be considered in the administration of its provisions.</w:t>
      </w:r>
    </w:p>
    <w:p w14:paraId="6D6019A0" w14:textId="30DC375C" w:rsidR="00C25EB6" w:rsidRPr="00AB1D65" w:rsidRDefault="6C1521FD" w:rsidP="00C25EB6">
      <w:pPr>
        <w:pStyle w:val="ListBullet2"/>
        <w:numPr>
          <w:ilvl w:val="0"/>
          <w:numId w:val="0"/>
        </w:numPr>
      </w:pPr>
      <w:r>
        <w:t>Relevant to this RIS, the objectives of the 2019 amendments to the Act were to</w:t>
      </w:r>
      <w:r w:rsidR="0369C6A1">
        <w:t xml:space="preserve"> implement recommendations from the Hazelwood Mine Fire Inquiry relating to responsibility for the rehabilitation and ongoing management of the Latrobe Valley </w:t>
      </w:r>
      <w:r w:rsidR="7E560D87">
        <w:t xml:space="preserve">coal </w:t>
      </w:r>
      <w:r w:rsidR="0369C6A1">
        <w:t>mines.</w:t>
      </w:r>
      <w:r w:rsidR="00C2444E">
        <w:rPr>
          <w:rStyle w:val="FootnoteReference"/>
        </w:rPr>
        <w:footnoteReference w:id="140"/>
      </w:r>
      <w:r w:rsidR="0369C6A1">
        <w:t xml:space="preserve"> However, the amendments were also designed to enable expansion of the framework to future mines that present a significant risk to public safety, the environment and infrastructure.</w:t>
      </w:r>
      <w:r w:rsidR="00C2444E">
        <w:rPr>
          <w:rStyle w:val="FootnoteReference"/>
        </w:rPr>
        <w:footnoteReference w:id="141"/>
      </w:r>
    </w:p>
    <w:p w14:paraId="4591B387" w14:textId="77777777" w:rsidR="003B1ED7" w:rsidRDefault="003B1ED7" w:rsidP="00D50C43">
      <w:pPr>
        <w:pStyle w:val="Heading2"/>
        <w:numPr>
          <w:ilvl w:val="1"/>
          <w:numId w:val="124"/>
        </w:numPr>
      </w:pPr>
      <w:bookmarkStart w:id="246" w:name="_Toc104217677"/>
      <w:r w:rsidRPr="003B1ED7">
        <w:t xml:space="preserve">Government </w:t>
      </w:r>
      <w:r>
        <w:t>p</w:t>
      </w:r>
      <w:r w:rsidRPr="003B1ED7">
        <w:t>olicy</w:t>
      </w:r>
      <w:bookmarkEnd w:id="246"/>
    </w:p>
    <w:p w14:paraId="18B06398" w14:textId="11857A0F" w:rsidR="00DE4AB2" w:rsidRDefault="00DE4AB2" w:rsidP="00DE4AB2">
      <w:r>
        <w:t xml:space="preserve">The </w:t>
      </w:r>
      <w:r w:rsidR="006D027C">
        <w:t>proposed Regulations</w:t>
      </w:r>
      <w:r w:rsidR="00C6171C">
        <w:t xml:space="preserve"> </w:t>
      </w:r>
      <w:r>
        <w:t>form the latest step in a series of reforms designed to implement changing government policy with respect to mining in Victoria</w:t>
      </w:r>
      <w:r w:rsidR="00C6171C">
        <w:t>, in particular policy relating to the regulation of mining rehabilitation</w:t>
      </w:r>
      <w:r>
        <w:t>.</w:t>
      </w:r>
    </w:p>
    <w:p w14:paraId="4F5AA5B3" w14:textId="7C779301" w:rsidR="00DF6F5A" w:rsidRDefault="00CD3390" w:rsidP="00D50C43">
      <w:pPr>
        <w:pStyle w:val="Heading3"/>
        <w:numPr>
          <w:ilvl w:val="2"/>
          <w:numId w:val="124"/>
        </w:numPr>
      </w:pPr>
      <w:bookmarkStart w:id="247" w:name="_Toc104217678"/>
      <w:r>
        <w:t>Minerals policies</w:t>
      </w:r>
      <w:bookmarkEnd w:id="247"/>
      <w:r>
        <w:t xml:space="preserve"> </w:t>
      </w:r>
    </w:p>
    <w:p w14:paraId="027BC9C4" w14:textId="3D21882A" w:rsidR="001A6F91" w:rsidRPr="00B327E9" w:rsidRDefault="001A6F91" w:rsidP="00955941">
      <w:r w:rsidRPr="00B327E9">
        <w:t xml:space="preserve">In May 2018, ERR released </w:t>
      </w:r>
      <w:r w:rsidRPr="00B327E9">
        <w:rPr>
          <w:i/>
        </w:rPr>
        <w:t>Statement of Operating Change: Our New Approach to Earth Resources Regulation</w:t>
      </w:r>
      <w:r>
        <w:t xml:space="preserve"> (statement)</w:t>
      </w:r>
      <w:r w:rsidRPr="00B327E9">
        <w:t>. Th</w:t>
      </w:r>
      <w:r>
        <w:t>is</w:t>
      </w:r>
      <w:r w:rsidRPr="00B327E9">
        <w:t xml:space="preserve"> statement focuses on outcomes that minimise costs to businesses, meet community expectations and support government objectives. </w:t>
      </w:r>
    </w:p>
    <w:p w14:paraId="01A10901" w14:textId="3E8A762C" w:rsidR="003B1ED7" w:rsidRDefault="077FA46F" w:rsidP="00B63B43">
      <w:r w:rsidRPr="003B1ED7">
        <w:t>In August 2018</w:t>
      </w:r>
      <w:r>
        <w:t>,</w:t>
      </w:r>
      <w:r w:rsidRPr="003B1ED7">
        <w:t xml:space="preserve"> the Government released </w:t>
      </w:r>
      <w:r w:rsidRPr="2B11BB45">
        <w:rPr>
          <w:i/>
          <w:iCs/>
        </w:rPr>
        <w:t>State of Discovery – Mineral Resources Strategy 2018-2023</w:t>
      </w:r>
      <w:r w:rsidRPr="003B1ED7">
        <w:t>. Th</w:t>
      </w:r>
      <w:r w:rsidR="00734266">
        <w:t>is s</w:t>
      </w:r>
      <w:r w:rsidRPr="003B1ED7">
        <w:t xml:space="preserve">trategy states that the Government is committed to responsibly growing the minerals sector in a way that keeps Victoria clean and safe while meeting community expectations. This strategy is targeting significant mineral discoveries through increased mineral exploration investment over the next decade under a more modern, proportionate and robust regulatory system. The </w:t>
      </w:r>
      <w:r w:rsidR="006F7BAA">
        <w:t>Government’s s</w:t>
      </w:r>
      <w:r w:rsidRPr="003B1ED7">
        <w:t>trategy provides settings to underpin the long-</w:t>
      </w:r>
      <w:r w:rsidRPr="003B1ED7">
        <w:lastRenderedPageBreak/>
        <w:t>term development of socially and environmentally responsible mineral exploration and mining in regional Victoria</w:t>
      </w:r>
      <w:r>
        <w:t>.</w:t>
      </w:r>
      <w:r w:rsidR="003B1ED7">
        <w:rPr>
          <w:rStyle w:val="FootnoteReference"/>
        </w:rPr>
        <w:footnoteReference w:id="142"/>
      </w:r>
    </w:p>
    <w:p w14:paraId="79D2F717" w14:textId="5DE9BA4C" w:rsidR="00DF6F5A" w:rsidRDefault="00C470CA" w:rsidP="00D50C43">
      <w:pPr>
        <w:pStyle w:val="Heading3"/>
        <w:numPr>
          <w:ilvl w:val="2"/>
          <w:numId w:val="124"/>
        </w:numPr>
      </w:pPr>
      <w:bookmarkStart w:id="248" w:name="_Ref57622444"/>
      <w:bookmarkStart w:id="249" w:name="_Ref57622696"/>
      <w:bookmarkStart w:id="250" w:name="_Ref57622701"/>
      <w:bookmarkStart w:id="251" w:name="_Toc104217679"/>
      <w:r>
        <w:t>LVRRS</w:t>
      </w:r>
      <w:bookmarkEnd w:id="248"/>
      <w:bookmarkEnd w:id="249"/>
      <w:bookmarkEnd w:id="250"/>
      <w:bookmarkEnd w:id="251"/>
    </w:p>
    <w:p w14:paraId="67AF4C0B" w14:textId="53D33676" w:rsidR="00C470CA" w:rsidRDefault="00DF6F5A" w:rsidP="00DE4AB2">
      <w:r>
        <w:t xml:space="preserve">The </w:t>
      </w:r>
      <w:r w:rsidR="00C470CA">
        <w:t xml:space="preserve">planning principles included in the LVRRS guide </w:t>
      </w:r>
      <w:r w:rsidR="00D13859">
        <w:t xml:space="preserve">decisions, by government and licensees alike, about </w:t>
      </w:r>
      <w:r w:rsidR="00C470CA">
        <w:t>the rehabilitation of the current set of declared mines.</w:t>
      </w:r>
    </w:p>
    <w:p w14:paraId="19EC9C92" w14:textId="4E08DDEB" w:rsidR="00DF6F5A" w:rsidRDefault="00C470CA" w:rsidP="00DE4AB2">
      <w:r>
        <w:t xml:space="preserve">The LVRRS </w:t>
      </w:r>
      <w:r w:rsidR="00DF6F5A">
        <w:t>sets six outcomes deemed necessary to achieving the transformation of the coal mine land to safe, stable and sustainable landforms supportive of a next beneficial land use:</w:t>
      </w:r>
    </w:p>
    <w:p w14:paraId="494648E9" w14:textId="7327001D" w:rsidR="00DF6F5A" w:rsidRPr="00F12912" w:rsidRDefault="00DF6F5A" w:rsidP="00F12912">
      <w:pPr>
        <w:pStyle w:val="Numberedlist"/>
      </w:pPr>
      <w:r w:rsidRPr="00F12912">
        <w:t xml:space="preserve">People, land, environment and infrastructure are protected </w:t>
      </w:r>
    </w:p>
    <w:p w14:paraId="2867FA92" w14:textId="2BE77A8D" w:rsidR="00DF6F5A" w:rsidRPr="00F12912" w:rsidRDefault="00DF6F5A" w:rsidP="00F12912">
      <w:pPr>
        <w:pStyle w:val="Numberedlist"/>
      </w:pPr>
      <w:r w:rsidRPr="00F12912">
        <w:t xml:space="preserve">Land is returned to a safe, stable and sustainable landform </w:t>
      </w:r>
    </w:p>
    <w:p w14:paraId="38048A68" w14:textId="66D3736D" w:rsidR="00DF6F5A" w:rsidRPr="00F12912" w:rsidRDefault="00DF6F5A" w:rsidP="00F12912">
      <w:pPr>
        <w:pStyle w:val="Numberedlist"/>
      </w:pPr>
      <w:r w:rsidRPr="00F12912">
        <w:t xml:space="preserve">Aboriginal values are protected </w:t>
      </w:r>
    </w:p>
    <w:p w14:paraId="213E89AE" w14:textId="1719DEC9" w:rsidR="00DF6F5A" w:rsidRPr="00F12912" w:rsidRDefault="00DF6F5A" w:rsidP="00F12912">
      <w:pPr>
        <w:pStyle w:val="Numberedlist"/>
      </w:pPr>
      <w:r w:rsidRPr="00F12912">
        <w:t xml:space="preserve">Community are engaged, and their aspirations inform the transformation </w:t>
      </w:r>
    </w:p>
    <w:p w14:paraId="643A3F29" w14:textId="453671AA" w:rsidR="00DF6F5A" w:rsidRPr="00F12912" w:rsidRDefault="00DF6F5A" w:rsidP="00F12912">
      <w:pPr>
        <w:pStyle w:val="Numberedlist"/>
      </w:pPr>
      <w:r w:rsidRPr="00F12912">
        <w:t>Long</w:t>
      </w:r>
      <w:r w:rsidR="4BFE5958">
        <w:t>-</w:t>
      </w:r>
      <w:r w:rsidRPr="00F12912">
        <w:t xml:space="preserve">term benefits and future opportunities to the community are optimised </w:t>
      </w:r>
    </w:p>
    <w:p w14:paraId="0984828B" w14:textId="75A0E50C" w:rsidR="00DF6F5A" w:rsidRPr="00F12912" w:rsidRDefault="00DF6F5A" w:rsidP="00F12912">
      <w:pPr>
        <w:pStyle w:val="Numberedlist"/>
      </w:pPr>
      <w:r w:rsidRPr="00F12912">
        <w:t>An integrated approach to rehabilitation and regional resource management is adopted.</w:t>
      </w:r>
    </w:p>
    <w:p w14:paraId="6BC4CF4F" w14:textId="6B6BF4CD" w:rsidR="002C599A" w:rsidRDefault="09D5721E" w:rsidP="00DE4AB2">
      <w:pPr>
        <w:rPr>
          <w:rStyle w:val="FootnoteReference"/>
        </w:rPr>
      </w:pPr>
      <w:r>
        <w:t xml:space="preserve">On the basis of </w:t>
      </w:r>
      <w:r w:rsidR="030CB1DC">
        <w:t>the Geotechnical and Water</w:t>
      </w:r>
      <w:r>
        <w:t xml:space="preserve"> studies, a land use study, and consultation with stakeholders and local communities, the LVRRS sets out the following principles to guide rehabilitation planning for the Latrobe Valley mines:</w:t>
      </w:r>
      <w:r w:rsidR="00F12912">
        <w:rPr>
          <w:rStyle w:val="FootnoteReference"/>
        </w:rPr>
        <w:footnoteReference w:id="143"/>
      </w:r>
    </w:p>
    <w:p w14:paraId="7E994DCB" w14:textId="059E0F23" w:rsidR="002C599A" w:rsidRDefault="002C599A" w:rsidP="0043507E">
      <w:pPr>
        <w:pStyle w:val="Numberedlist"/>
        <w:numPr>
          <w:ilvl w:val="0"/>
          <w:numId w:val="34"/>
        </w:numPr>
      </w:pPr>
      <w:r>
        <w:t>The fire risk of the rehabilitated land should be no greater than that of the surrounding environment</w:t>
      </w:r>
      <w:r w:rsidR="00F12912">
        <w:t>.</w:t>
      </w:r>
    </w:p>
    <w:p w14:paraId="3F2B80E7" w14:textId="1081EF39" w:rsidR="002C599A" w:rsidRDefault="00F12912" w:rsidP="00F12912">
      <w:pPr>
        <w:pStyle w:val="Numberedlist"/>
      </w:pPr>
      <w:r>
        <w:t>Ground insta</w:t>
      </w:r>
      <w:r w:rsidRPr="00F12912">
        <w:t>bility and ground movement risks and impacts during rehabilitation and in the long-term, and requirements for ongoing management to sustain a safe and stable landform, should be minimised as far as practicable.</w:t>
      </w:r>
    </w:p>
    <w:p w14:paraId="4D62EAA7" w14:textId="5766720C" w:rsidR="00F12912" w:rsidRPr="00F12912" w:rsidRDefault="00F12912" w:rsidP="009916F8">
      <w:pPr>
        <w:pStyle w:val="Numberedlist"/>
      </w:pPr>
      <w:r>
        <w:t>Mine rehabilitation should plan for a drying climate. Rehabilitation activities and final landforms should be climate resilient.</w:t>
      </w:r>
    </w:p>
    <w:p w14:paraId="63C310A8" w14:textId="29F07B04" w:rsidR="00F12912" w:rsidRDefault="00F12912" w:rsidP="009916F8">
      <w:pPr>
        <w:pStyle w:val="Numberedlist"/>
      </w:pPr>
      <w:r>
        <w:t>Any water used for mine rehabilitation should not negatively impact on Traditional Owners’ values, environmental values in the Latrobe river system, or the rights of other existing water users.</w:t>
      </w:r>
    </w:p>
    <w:p w14:paraId="3F1A3ED6" w14:textId="09AC0E11" w:rsidR="00F12912" w:rsidRDefault="00F12912" w:rsidP="009916F8">
      <w:pPr>
        <w:pStyle w:val="Numberedlist"/>
      </w:pPr>
      <w:r>
        <w:t>Traditional Owners should be involved in rehabilitation planning, assessment and decision-making.</w:t>
      </w:r>
    </w:p>
    <w:p w14:paraId="626B9304" w14:textId="28A44BD6" w:rsidR="00F12912" w:rsidRDefault="00F12912" w:rsidP="009916F8">
      <w:pPr>
        <w:pStyle w:val="Numberedlist"/>
      </w:pPr>
      <w:r>
        <w:t>The community should be consulted on rehabilitation proposals, the potential impacts, and have the opportunity to express their views.</w:t>
      </w:r>
    </w:p>
    <w:p w14:paraId="71F3D815" w14:textId="41FE2A48" w:rsidR="00F12912" w:rsidRPr="00F12912" w:rsidRDefault="00F12912" w:rsidP="009916F8">
      <w:pPr>
        <w:pStyle w:val="Numberedlist"/>
      </w:pPr>
      <w:r>
        <w:t>Mine rehabilitation and regional land use planning should be integrated, and the rehabilitated sites should be suitable for their intended uses.</w:t>
      </w:r>
    </w:p>
    <w:p w14:paraId="0028D702" w14:textId="0D845314" w:rsidR="00F12912" w:rsidRDefault="5F6AB426" w:rsidP="00F12912">
      <w:r>
        <w:t>Finally, the LVRRS states that the Authority will be responsible for developing a plan for the monitoring and evaluation of coal mine land after rehabilitation is complete, and proposes a process for the integrated planning of rehabilitation by relevant government departments and other bodies.</w:t>
      </w:r>
      <w:r w:rsidR="00F12912">
        <w:rPr>
          <w:rStyle w:val="FootnoteReference"/>
        </w:rPr>
        <w:footnoteReference w:id="144"/>
      </w:r>
    </w:p>
    <w:p w14:paraId="7F2F729A" w14:textId="724FB950" w:rsidR="00B327E9" w:rsidRDefault="00B327E9" w:rsidP="00D50C43">
      <w:pPr>
        <w:pStyle w:val="Heading2"/>
        <w:numPr>
          <w:ilvl w:val="1"/>
          <w:numId w:val="124"/>
        </w:numPr>
      </w:pPr>
      <w:bookmarkStart w:id="252" w:name="_Toc104217680"/>
      <w:r w:rsidRPr="00B327E9">
        <w:t>Objectives of the proposed Regulations</w:t>
      </w:r>
      <w:bookmarkEnd w:id="252"/>
    </w:p>
    <w:p w14:paraId="329B94D2" w14:textId="7DECC149" w:rsidR="00F12912" w:rsidRPr="00F12912" w:rsidRDefault="00F12912" w:rsidP="00F12912">
      <w:r w:rsidRPr="00F12912">
        <w:t xml:space="preserve">The </w:t>
      </w:r>
      <w:r w:rsidR="006D027C">
        <w:t>proposed Regulations</w:t>
      </w:r>
      <w:r w:rsidR="00C6171C" w:rsidRPr="00F12912">
        <w:t xml:space="preserve"> </w:t>
      </w:r>
      <w:r w:rsidRPr="00F12912">
        <w:t xml:space="preserve">aim to enable government, mining operators and the community to make decisions relating to declared mine land and the risks and liability attaching to it, including the exercise of government functions relating to the assessment and management of risk. </w:t>
      </w:r>
    </w:p>
    <w:p w14:paraId="40546ECC" w14:textId="2AF4CBD9" w:rsidR="008B5FD9" w:rsidRDefault="008B5FD9" w:rsidP="00B63B43">
      <w:r>
        <w:t xml:space="preserve">The </w:t>
      </w:r>
      <w:r w:rsidR="006D027C">
        <w:t>proposed Regulations</w:t>
      </w:r>
      <w:r w:rsidRPr="008B5FD9">
        <w:t xml:space="preserve"> seek to do this by prescribing </w:t>
      </w:r>
      <w:r w:rsidR="00F12912">
        <w:t>details</w:t>
      </w:r>
      <w:r w:rsidRPr="008B5FD9">
        <w:t xml:space="preserve"> to operationalise the</w:t>
      </w:r>
      <w:r w:rsidR="00E41250">
        <w:t xml:space="preserve"> following elements of the</w:t>
      </w:r>
      <w:r w:rsidRPr="008B5FD9">
        <w:t xml:space="preserve"> Act:</w:t>
      </w:r>
    </w:p>
    <w:p w14:paraId="6542A34C" w14:textId="36207EFC" w:rsidR="00F12912" w:rsidRDefault="0F79C341" w:rsidP="00673A44">
      <w:pPr>
        <w:pStyle w:val="ListBullet"/>
        <w:ind w:left="357" w:hanging="357"/>
      </w:pPr>
      <w:r>
        <w:lastRenderedPageBreak/>
        <w:t>DMRPs</w:t>
      </w:r>
      <w:r w:rsidR="0AE994B8">
        <w:t>;</w:t>
      </w:r>
    </w:p>
    <w:p w14:paraId="1D14EC72" w14:textId="45F811F2" w:rsidR="00632249" w:rsidRDefault="00632249" w:rsidP="00673A44">
      <w:pPr>
        <w:pStyle w:val="ListBullet"/>
        <w:ind w:left="357" w:hanging="357"/>
      </w:pPr>
      <w:r>
        <w:t>Mine closure determination;</w:t>
      </w:r>
    </w:p>
    <w:p w14:paraId="022B6613" w14:textId="17B46C88" w:rsidR="008B5FD9" w:rsidRDefault="07313A90" w:rsidP="00673A44">
      <w:pPr>
        <w:pStyle w:val="ListBullet"/>
        <w:ind w:left="357" w:hanging="357"/>
      </w:pPr>
      <w:r>
        <w:t>The r</w:t>
      </w:r>
      <w:r w:rsidR="00E41250">
        <w:t>egistration of declared mine land</w:t>
      </w:r>
      <w:r w:rsidR="00F12912">
        <w:t xml:space="preserve"> and post-closure plans</w:t>
      </w:r>
      <w:r w:rsidR="13730684">
        <w:t>;</w:t>
      </w:r>
    </w:p>
    <w:p w14:paraId="6F027D6F" w14:textId="7FB44EDB" w:rsidR="00E41250" w:rsidRDefault="00E41250" w:rsidP="00673A44">
      <w:pPr>
        <w:pStyle w:val="ListBullet"/>
        <w:ind w:left="357" w:hanging="357"/>
      </w:pPr>
      <w:r>
        <w:t>Calculati</w:t>
      </w:r>
      <w:r w:rsidR="0B8BA362">
        <w:t>on of</w:t>
      </w:r>
      <w:r>
        <w:t xml:space="preserve"> the </w:t>
      </w:r>
      <w:r w:rsidR="00DE4AB2">
        <w:t>amount to be paid into the Declared Mine Fund</w:t>
      </w:r>
      <w:r w:rsidR="35FF30F1">
        <w:t>.</w:t>
      </w:r>
    </w:p>
    <w:p w14:paraId="316B8EF4" w14:textId="041DAFF6" w:rsidR="00F12912" w:rsidRPr="00C2444E" w:rsidRDefault="00F12912" w:rsidP="00D50C43">
      <w:pPr>
        <w:pStyle w:val="Heading3"/>
        <w:numPr>
          <w:ilvl w:val="2"/>
          <w:numId w:val="124"/>
        </w:numPr>
      </w:pPr>
      <w:bookmarkStart w:id="253" w:name="_Toc104217681"/>
      <w:r>
        <w:t>Rehabilitation planning</w:t>
      </w:r>
      <w:bookmarkEnd w:id="253"/>
    </w:p>
    <w:p w14:paraId="4ACF2B70" w14:textId="1D1FCA6A" w:rsidR="00DF7CB8" w:rsidRPr="00F13DA0" w:rsidRDefault="00933BD3" w:rsidP="00673A44">
      <w:pPr>
        <w:rPr>
          <w:b/>
        </w:rPr>
      </w:pPr>
      <w:r w:rsidRPr="00933BD3">
        <w:t xml:space="preserve">The </w:t>
      </w:r>
      <w:r w:rsidR="00C6171C">
        <w:t>r</w:t>
      </w:r>
      <w:r w:rsidRPr="00933BD3">
        <w:t>eg</w:t>
      </w:r>
      <w:r w:rsidRPr="5FE81B5E">
        <w:t xml:space="preserve">ulations aim to engender rehabilitation planning by licensees </w:t>
      </w:r>
      <w:r w:rsidR="00632249" w:rsidRPr="006E1000">
        <w:t>that is</w:t>
      </w:r>
      <w:r w:rsidR="0942A1E2" w:rsidRPr="5FE81B5E">
        <w:t xml:space="preserve"> </w:t>
      </w:r>
      <w:r w:rsidRPr="5FE81B5E">
        <w:t>capable of</w:t>
      </w:r>
      <w:r w:rsidR="00DF7CB8" w:rsidRPr="5FE81B5E">
        <w:t>:</w:t>
      </w:r>
    </w:p>
    <w:p w14:paraId="71A82AC8" w14:textId="77777777" w:rsidR="00DF7CB8" w:rsidRDefault="00933BD3" w:rsidP="00673A44">
      <w:pPr>
        <w:pStyle w:val="Heading4"/>
        <w:numPr>
          <w:ilvl w:val="0"/>
          <w:numId w:val="39"/>
        </w:numPr>
        <w:spacing w:before="0" w:after="120"/>
        <w:ind w:left="714" w:hanging="357"/>
        <w:rPr>
          <w:rFonts w:eastAsia="Times New Roman" w:cs="Times New Roman"/>
          <w:b w:val="0"/>
          <w:bCs w:val="0"/>
          <w:iCs w:val="0"/>
          <w:color w:val="53565A"/>
        </w:rPr>
      </w:pPr>
      <w:r w:rsidRPr="00933BD3">
        <w:rPr>
          <w:rFonts w:eastAsia="Times New Roman" w:cs="Times New Roman"/>
          <w:b w:val="0"/>
          <w:bCs w:val="0"/>
          <w:iCs w:val="0"/>
          <w:color w:val="53565A"/>
        </w:rPr>
        <w:t>managing risks posed by declared mine land</w:t>
      </w:r>
      <w:r w:rsidR="00DF7CB8">
        <w:rPr>
          <w:rFonts w:eastAsia="Times New Roman" w:cs="Times New Roman"/>
          <w:b w:val="0"/>
          <w:bCs w:val="0"/>
          <w:iCs w:val="0"/>
          <w:color w:val="53565A"/>
        </w:rPr>
        <w:t>;</w:t>
      </w:r>
    </w:p>
    <w:p w14:paraId="36F96309" w14:textId="3FF98C37" w:rsidR="00DF7CB8" w:rsidRDefault="00933BD3" w:rsidP="00673A44">
      <w:pPr>
        <w:pStyle w:val="Heading4"/>
        <w:numPr>
          <w:ilvl w:val="0"/>
          <w:numId w:val="39"/>
        </w:numPr>
        <w:spacing w:before="0" w:after="120"/>
        <w:ind w:left="714" w:hanging="357"/>
        <w:rPr>
          <w:rFonts w:eastAsia="Times New Roman" w:cs="Times New Roman"/>
          <w:b w:val="0"/>
          <w:bCs w:val="0"/>
          <w:iCs w:val="0"/>
          <w:color w:val="53565A"/>
        </w:rPr>
      </w:pPr>
      <w:r w:rsidRPr="00933BD3">
        <w:rPr>
          <w:rFonts w:eastAsia="Times New Roman" w:cs="Times New Roman"/>
          <w:b w:val="0"/>
          <w:bCs w:val="0"/>
          <w:iCs w:val="0"/>
          <w:color w:val="53565A"/>
        </w:rPr>
        <w:t>facilitat</w:t>
      </w:r>
      <w:r w:rsidR="00DF7CB8">
        <w:rPr>
          <w:rFonts w:eastAsia="Times New Roman" w:cs="Times New Roman"/>
          <w:b w:val="0"/>
          <w:bCs w:val="0"/>
          <w:iCs w:val="0"/>
          <w:color w:val="53565A"/>
        </w:rPr>
        <w:t>ing</w:t>
      </w:r>
      <w:r w:rsidRPr="00933BD3">
        <w:rPr>
          <w:rFonts w:eastAsia="Times New Roman" w:cs="Times New Roman"/>
          <w:b w:val="0"/>
          <w:bCs w:val="0"/>
          <w:iCs w:val="0"/>
          <w:color w:val="53565A"/>
        </w:rPr>
        <w:t xml:space="preserve"> the assessment of declared mine rehabilitation liability</w:t>
      </w:r>
      <w:r w:rsidR="00DF7CB8">
        <w:rPr>
          <w:rFonts w:eastAsia="Times New Roman" w:cs="Times New Roman"/>
          <w:b w:val="0"/>
          <w:bCs w:val="0"/>
          <w:iCs w:val="0"/>
          <w:color w:val="53565A"/>
        </w:rPr>
        <w:t>;</w:t>
      </w:r>
      <w:r w:rsidRPr="00933BD3">
        <w:rPr>
          <w:rFonts w:eastAsia="Times New Roman" w:cs="Times New Roman"/>
          <w:b w:val="0"/>
          <w:bCs w:val="0"/>
          <w:iCs w:val="0"/>
          <w:color w:val="53565A"/>
        </w:rPr>
        <w:t xml:space="preserve"> </w:t>
      </w:r>
    </w:p>
    <w:p w14:paraId="2A0F82E1" w14:textId="1DB28CBF" w:rsidR="00EB7887" w:rsidRDefault="00933BD3" w:rsidP="00673A44">
      <w:pPr>
        <w:pStyle w:val="Heading4"/>
        <w:numPr>
          <w:ilvl w:val="0"/>
          <w:numId w:val="39"/>
        </w:numPr>
        <w:spacing w:before="0" w:after="120"/>
        <w:ind w:left="714" w:hanging="357"/>
        <w:rPr>
          <w:rFonts w:eastAsia="Times New Roman" w:cs="Times New Roman"/>
          <w:b w:val="0"/>
          <w:bCs w:val="0"/>
          <w:iCs w:val="0"/>
          <w:color w:val="53565A"/>
        </w:rPr>
      </w:pPr>
      <w:r w:rsidRPr="00933BD3">
        <w:rPr>
          <w:rFonts w:eastAsia="Times New Roman" w:cs="Times New Roman"/>
          <w:b w:val="0"/>
          <w:bCs w:val="0"/>
          <w:iCs w:val="0"/>
          <w:color w:val="53565A"/>
        </w:rPr>
        <w:t>enabl</w:t>
      </w:r>
      <w:r w:rsidR="008E7370">
        <w:rPr>
          <w:rFonts w:eastAsia="Times New Roman" w:cs="Times New Roman"/>
          <w:b w:val="0"/>
          <w:bCs w:val="0"/>
          <w:iCs w:val="0"/>
          <w:color w:val="53565A"/>
        </w:rPr>
        <w:t>ing</w:t>
      </w:r>
      <w:r w:rsidRPr="00933BD3">
        <w:rPr>
          <w:rFonts w:eastAsia="Times New Roman" w:cs="Times New Roman"/>
          <w:b w:val="0"/>
          <w:bCs w:val="0"/>
          <w:iCs w:val="0"/>
          <w:color w:val="53565A"/>
        </w:rPr>
        <w:t xml:space="preserve"> appropriate and integrated rehabilitation-related decision-making by government</w:t>
      </w:r>
      <w:r w:rsidR="005A2F2E">
        <w:rPr>
          <w:rFonts w:eastAsia="Times New Roman" w:cs="Times New Roman"/>
          <w:b w:val="0"/>
          <w:bCs w:val="0"/>
          <w:iCs w:val="0"/>
          <w:color w:val="53565A"/>
        </w:rPr>
        <w:t>;</w:t>
      </w:r>
      <w:r w:rsidR="005A2F2E" w:rsidRPr="00933BD3">
        <w:rPr>
          <w:rFonts w:eastAsia="Times New Roman" w:cs="Times New Roman"/>
          <w:b w:val="0"/>
          <w:bCs w:val="0"/>
          <w:iCs w:val="0"/>
          <w:color w:val="53565A"/>
        </w:rPr>
        <w:t xml:space="preserve"> and</w:t>
      </w:r>
    </w:p>
    <w:p w14:paraId="2FC871CD" w14:textId="234BB3FD" w:rsidR="00933BD3" w:rsidRDefault="00EB7887" w:rsidP="00673A44">
      <w:pPr>
        <w:pStyle w:val="Heading4"/>
        <w:numPr>
          <w:ilvl w:val="0"/>
          <w:numId w:val="39"/>
        </w:numPr>
        <w:spacing w:before="0" w:after="120"/>
        <w:ind w:left="714" w:hanging="357"/>
        <w:rPr>
          <w:rFonts w:eastAsia="Times New Roman" w:cs="Times New Roman"/>
          <w:b w:val="0"/>
          <w:bCs w:val="0"/>
          <w:iCs w:val="0"/>
          <w:color w:val="53565A"/>
        </w:rPr>
      </w:pPr>
      <w:r>
        <w:rPr>
          <w:rFonts w:eastAsia="Times New Roman" w:cs="Times New Roman"/>
          <w:b w:val="0"/>
          <w:bCs w:val="0"/>
          <w:iCs w:val="0"/>
          <w:color w:val="53565A"/>
        </w:rPr>
        <w:t>optimising long term benefits and future opportunities for the community</w:t>
      </w:r>
      <w:r w:rsidR="00933BD3" w:rsidRPr="00933BD3">
        <w:rPr>
          <w:rFonts w:eastAsia="Times New Roman" w:cs="Times New Roman"/>
          <w:b w:val="0"/>
          <w:bCs w:val="0"/>
          <w:iCs w:val="0"/>
          <w:color w:val="53565A"/>
        </w:rPr>
        <w:t xml:space="preserve">. </w:t>
      </w:r>
    </w:p>
    <w:p w14:paraId="5126BD1B" w14:textId="0874CE5E" w:rsidR="00F12912" w:rsidRDefault="00933BD3" w:rsidP="00D50C43">
      <w:pPr>
        <w:pStyle w:val="Heading3"/>
        <w:numPr>
          <w:ilvl w:val="2"/>
          <w:numId w:val="124"/>
        </w:numPr>
      </w:pPr>
      <w:bookmarkStart w:id="254" w:name="_Toc104217682"/>
      <w:r>
        <w:t>Mine closure and registration</w:t>
      </w:r>
      <w:bookmarkEnd w:id="254"/>
    </w:p>
    <w:p w14:paraId="0E601E53" w14:textId="3ED00FF6" w:rsidR="00CD3390" w:rsidRDefault="00933BD3" w:rsidP="00673A44">
      <w:pPr>
        <w:rPr>
          <w:b/>
          <w:bCs/>
          <w:iCs/>
        </w:rPr>
      </w:pPr>
      <w:r w:rsidRPr="00933BD3">
        <w:t xml:space="preserve">The </w:t>
      </w:r>
      <w:r w:rsidR="00C6171C">
        <w:t>r</w:t>
      </w:r>
      <w:r w:rsidRPr="00933BD3">
        <w:t>egula</w:t>
      </w:r>
      <w:r w:rsidRPr="759992E7">
        <w:t>tions aim to</w:t>
      </w:r>
      <w:r w:rsidR="00CD3390" w:rsidRPr="759992E7">
        <w:t>:</w:t>
      </w:r>
    </w:p>
    <w:p w14:paraId="767131D2" w14:textId="09C272C3" w:rsidR="00CD3390" w:rsidRDefault="00933BD3" w:rsidP="00673A44">
      <w:pPr>
        <w:pStyle w:val="Heading4"/>
        <w:numPr>
          <w:ilvl w:val="0"/>
          <w:numId w:val="40"/>
        </w:numPr>
        <w:spacing w:before="0" w:after="120"/>
        <w:ind w:left="714" w:hanging="357"/>
        <w:rPr>
          <w:rFonts w:eastAsia="Times New Roman" w:cs="Times New Roman"/>
          <w:b w:val="0"/>
          <w:bCs w:val="0"/>
          <w:iCs w:val="0"/>
          <w:color w:val="53565A"/>
        </w:rPr>
      </w:pPr>
      <w:r w:rsidRPr="00933BD3">
        <w:rPr>
          <w:rFonts w:eastAsia="Times New Roman" w:cs="Times New Roman"/>
          <w:b w:val="0"/>
          <w:bCs w:val="0"/>
          <w:iCs w:val="0"/>
          <w:color w:val="53565A"/>
        </w:rPr>
        <w:t>ensure that informed decisions are made with respect to whether rehabilitation is satisfactory to meet legislative objectives</w:t>
      </w:r>
      <w:r w:rsidR="00CD3390">
        <w:rPr>
          <w:rFonts w:eastAsia="Times New Roman" w:cs="Times New Roman"/>
          <w:b w:val="0"/>
          <w:bCs w:val="0"/>
          <w:iCs w:val="0"/>
          <w:color w:val="53565A"/>
        </w:rPr>
        <w:t xml:space="preserve"> for mine closure;</w:t>
      </w:r>
    </w:p>
    <w:p w14:paraId="7A3899A5" w14:textId="5F6D3E69" w:rsidR="00CD3390" w:rsidRDefault="00CD3390" w:rsidP="00673A44">
      <w:pPr>
        <w:pStyle w:val="Heading4"/>
        <w:numPr>
          <w:ilvl w:val="0"/>
          <w:numId w:val="40"/>
        </w:numPr>
        <w:spacing w:before="0" w:after="120"/>
        <w:ind w:left="714" w:hanging="357"/>
        <w:rPr>
          <w:rFonts w:eastAsia="Times New Roman" w:cs="Times New Roman"/>
          <w:b w:val="0"/>
          <w:bCs w:val="0"/>
          <w:iCs w:val="0"/>
          <w:color w:val="53565A"/>
        </w:rPr>
      </w:pPr>
      <w:r>
        <w:rPr>
          <w:rFonts w:eastAsia="Times New Roman" w:cs="Times New Roman"/>
          <w:b w:val="0"/>
          <w:bCs w:val="0"/>
          <w:iCs w:val="0"/>
          <w:color w:val="53565A"/>
        </w:rPr>
        <w:t>establish a clear and transparent process for making mine closure decisions; and</w:t>
      </w:r>
    </w:p>
    <w:p w14:paraId="195F1AAF" w14:textId="7D002618" w:rsidR="00933BD3" w:rsidRDefault="009E445E" w:rsidP="00673A44">
      <w:pPr>
        <w:pStyle w:val="Heading4"/>
        <w:numPr>
          <w:ilvl w:val="0"/>
          <w:numId w:val="40"/>
        </w:numPr>
        <w:spacing w:before="0" w:after="120"/>
        <w:ind w:left="714" w:hanging="357"/>
        <w:rPr>
          <w:rFonts w:eastAsia="Times New Roman" w:cs="Times New Roman"/>
          <w:b w:val="0"/>
          <w:bCs w:val="0"/>
          <w:iCs w:val="0"/>
          <w:color w:val="53565A"/>
        </w:rPr>
      </w:pPr>
      <w:r>
        <w:rPr>
          <w:rFonts w:eastAsia="Times New Roman" w:cs="Times New Roman"/>
          <w:b w:val="0"/>
          <w:bCs w:val="0"/>
          <w:iCs w:val="0"/>
          <w:color w:val="53565A"/>
        </w:rPr>
        <w:t>establish a clear set of standards for closure that will assist declared mine licensees to better understand their obligations and to plan for mine closure and licence relinquishment.</w:t>
      </w:r>
    </w:p>
    <w:p w14:paraId="74D6B1AB" w14:textId="674D3E62" w:rsidR="00F12912" w:rsidRDefault="00F12912" w:rsidP="00D50C43">
      <w:pPr>
        <w:pStyle w:val="Heading3"/>
        <w:numPr>
          <w:ilvl w:val="2"/>
          <w:numId w:val="124"/>
        </w:numPr>
      </w:pPr>
      <w:bookmarkStart w:id="255" w:name="_Toc104217683"/>
      <w:r>
        <w:t>Administration of the Fund</w:t>
      </w:r>
      <w:bookmarkEnd w:id="255"/>
      <w:r>
        <w:t xml:space="preserve"> </w:t>
      </w:r>
    </w:p>
    <w:p w14:paraId="15D141A8" w14:textId="11471F31" w:rsidR="00933BD3" w:rsidRDefault="00933BD3" w:rsidP="00673A44">
      <w:r w:rsidRPr="00933BD3">
        <w:t xml:space="preserve">The </w:t>
      </w:r>
      <w:r w:rsidR="00C6171C">
        <w:t>r</w:t>
      </w:r>
      <w:r w:rsidRPr="00933BD3">
        <w:t xml:space="preserve">egulations aim to enable the fair and accurate determination of fund contribution amounts in a way that accommodates the ongoing and long-term nature of declared mine rehabilitation. </w:t>
      </w:r>
    </w:p>
    <w:p w14:paraId="231465DF" w14:textId="61F8ECF9" w:rsidR="00C02399" w:rsidRPr="00933BD3" w:rsidRDefault="00C02399" w:rsidP="00D50C43">
      <w:pPr>
        <w:pStyle w:val="Heading2"/>
        <w:numPr>
          <w:ilvl w:val="1"/>
          <w:numId w:val="124"/>
        </w:numPr>
      </w:pPr>
      <w:bookmarkStart w:id="256" w:name="_Toc104217684"/>
      <w:r>
        <w:t>Design principles</w:t>
      </w:r>
      <w:r w:rsidR="00C062DD">
        <w:t xml:space="preserve"> for the proposed Regulations</w:t>
      </w:r>
      <w:bookmarkEnd w:id="256"/>
    </w:p>
    <w:p w14:paraId="5203A846" w14:textId="77777777" w:rsidR="00431CE4" w:rsidRDefault="00C02399" w:rsidP="00933BD3">
      <w:r>
        <w:t xml:space="preserve">As discussed throughout chapter 2, the operating environment for the current regulatory framework and proposed Regulations is extremely complex, with multiple contextual factors needing to be balanced by and through </w:t>
      </w:r>
      <w:r w:rsidR="0069059B">
        <w:t xml:space="preserve">any </w:t>
      </w:r>
      <w:r>
        <w:t>regulatory intervention. These include</w:t>
      </w:r>
      <w:r w:rsidR="00431CE4">
        <w:t>:</w:t>
      </w:r>
    </w:p>
    <w:p w14:paraId="5ABEF275" w14:textId="70846008" w:rsidR="00431CE4" w:rsidRDefault="00C02399" w:rsidP="00431CE4">
      <w:pPr>
        <w:pStyle w:val="dotpoints"/>
      </w:pPr>
      <w:r>
        <w:t>the challenges faced by the existing declared mine operators</w:t>
      </w:r>
      <w:r w:rsidR="00431CE4">
        <w:t>;</w:t>
      </w:r>
    </w:p>
    <w:p w14:paraId="5051D2B2" w14:textId="740EB56D" w:rsidR="00431CE4" w:rsidRDefault="008539C8" w:rsidP="00431CE4">
      <w:pPr>
        <w:pStyle w:val="dotpoints"/>
      </w:pPr>
      <w:r>
        <w:t>managing</w:t>
      </w:r>
      <w:r w:rsidR="00754073">
        <w:t xml:space="preserve"> impact</w:t>
      </w:r>
      <w:r>
        <w:t>s</w:t>
      </w:r>
      <w:r w:rsidR="00754073">
        <w:t xml:space="preserve"> on </w:t>
      </w:r>
      <w:r w:rsidR="005F5A73">
        <w:t xml:space="preserve">electricity </w:t>
      </w:r>
      <w:r w:rsidR="00754073">
        <w:t>supply</w:t>
      </w:r>
      <w:r w:rsidR="00431CE4">
        <w:t>;</w:t>
      </w:r>
    </w:p>
    <w:p w14:paraId="6B0F58A8" w14:textId="77777777" w:rsidR="00431CE4" w:rsidRDefault="00C02399" w:rsidP="00431CE4">
      <w:pPr>
        <w:pStyle w:val="dotpoints"/>
      </w:pPr>
      <w:r>
        <w:t>new information about the contingent liability held by the State in relation to rehabilitation</w:t>
      </w:r>
      <w:r w:rsidR="00431CE4">
        <w:t>;</w:t>
      </w:r>
    </w:p>
    <w:p w14:paraId="57F575BD" w14:textId="77777777" w:rsidR="00431CE4" w:rsidRDefault="00431CE4" w:rsidP="00431CE4">
      <w:pPr>
        <w:pStyle w:val="dotpoints"/>
      </w:pPr>
      <w:r>
        <w:t>c</w:t>
      </w:r>
      <w:r w:rsidR="00C02399">
        <w:t>hanging community expectations about mine rehabilitation and responsibilities</w:t>
      </w:r>
      <w:r>
        <w:t>;</w:t>
      </w:r>
    </w:p>
    <w:p w14:paraId="1059A740" w14:textId="77777777" w:rsidR="00431CE4" w:rsidRDefault="00C02399" w:rsidP="00431CE4">
      <w:pPr>
        <w:pStyle w:val="dotpoints"/>
      </w:pPr>
      <w:r>
        <w:t>problems with ERR’s historic management of mine rehabilitation regulation</w:t>
      </w:r>
      <w:r w:rsidR="00431CE4">
        <w:t xml:space="preserve">; </w:t>
      </w:r>
      <w:r>
        <w:t xml:space="preserve">and </w:t>
      </w:r>
    </w:p>
    <w:p w14:paraId="49275783" w14:textId="10971DA9" w:rsidR="00C02399" w:rsidRDefault="00C02399" w:rsidP="00431CE4">
      <w:pPr>
        <w:pStyle w:val="dotpoints"/>
      </w:pPr>
      <w:r>
        <w:t>the LVRRS</w:t>
      </w:r>
      <w:r w:rsidR="00701303">
        <w:t xml:space="preserve"> objectives and principles for mine rehabilitation</w:t>
      </w:r>
      <w:r>
        <w:t>.</w:t>
      </w:r>
    </w:p>
    <w:p w14:paraId="3AFF91FC" w14:textId="3D4DE194" w:rsidR="00C02399" w:rsidRDefault="00C02399" w:rsidP="00673A44">
      <w:r>
        <w:t xml:space="preserve">In order to develop options for proposed Regulations that </w:t>
      </w:r>
      <w:r w:rsidR="00CD3390">
        <w:t xml:space="preserve">are likely to achieve the above objectives, </w:t>
      </w:r>
      <w:r>
        <w:t xml:space="preserve">take account of all these contextual factors, and encompass the possibility of other mines being declared in </w:t>
      </w:r>
      <w:r w:rsidR="6A3B4363">
        <w:t xml:space="preserve">the </w:t>
      </w:r>
      <w:r>
        <w:t xml:space="preserve">future, a set of design principles have been developed. These were drawn principally from the LVRRS </w:t>
      </w:r>
      <w:r w:rsidR="000D6333">
        <w:t xml:space="preserve">to leverage </w:t>
      </w:r>
      <w:r>
        <w:t xml:space="preserve">the considerable policy work and consultation that fed into that </w:t>
      </w:r>
      <w:r w:rsidR="000C183D">
        <w:t>strategy</w:t>
      </w:r>
      <w:r>
        <w:t xml:space="preserve">, </w:t>
      </w:r>
      <w:r w:rsidR="00EE710F">
        <w:t xml:space="preserve">and </w:t>
      </w:r>
      <w:r>
        <w:t xml:space="preserve">have been amended </w:t>
      </w:r>
      <w:r w:rsidR="00C109BB">
        <w:t xml:space="preserve">to </w:t>
      </w:r>
      <w:r w:rsidR="00A635F3">
        <w:t>accom</w:t>
      </w:r>
      <w:r w:rsidR="00051349">
        <w:t>m</w:t>
      </w:r>
      <w:r w:rsidR="00A635F3">
        <w:t>odate</w:t>
      </w:r>
      <w:r>
        <w:t xml:space="preserve"> the potential expansion of the declared mine framework to mines </w:t>
      </w:r>
      <w:r w:rsidR="00BC72E4">
        <w:t xml:space="preserve">that </w:t>
      </w:r>
      <w:r w:rsidR="00FB6225">
        <w:t xml:space="preserve">pose similar </w:t>
      </w:r>
      <w:r w:rsidR="00960654">
        <w:t xml:space="preserve">risks </w:t>
      </w:r>
      <w:r w:rsidR="00BC72E4">
        <w:t xml:space="preserve">to </w:t>
      </w:r>
      <w:r w:rsidR="00960654">
        <w:t xml:space="preserve">those of </w:t>
      </w:r>
      <w:r>
        <w:t>the Latrobe Valley</w:t>
      </w:r>
      <w:r w:rsidR="006179B2">
        <w:t xml:space="preserve"> coal mines</w:t>
      </w:r>
      <w:r>
        <w:t>.</w:t>
      </w:r>
    </w:p>
    <w:p w14:paraId="1ACD3E21" w14:textId="0742EC23" w:rsidR="00241009" w:rsidRDefault="00241009" w:rsidP="00933BD3">
      <w:r>
        <w:t>There are two sets of principles: one</w:t>
      </w:r>
      <w:r w:rsidR="00DC4F46">
        <w:t xml:space="preserve"> set that are broadly</w:t>
      </w:r>
      <w:r>
        <w:t xml:space="preserve"> applicable to the proposed Regulations, </w:t>
      </w:r>
      <w:r w:rsidR="00DE6A32">
        <w:t xml:space="preserve">and </w:t>
      </w:r>
      <w:r>
        <w:t>the other</w:t>
      </w:r>
      <w:r w:rsidR="00DE6A32">
        <w:t xml:space="preserve"> set</w:t>
      </w:r>
      <w:r>
        <w:t xml:space="preserve"> designed to </w:t>
      </w:r>
      <w:r w:rsidR="00287D3A">
        <w:t xml:space="preserve">specifically </w:t>
      </w:r>
      <w:r>
        <w:t>guide options for the declared mine rehabilitation plan</w:t>
      </w:r>
      <w:r w:rsidR="00A7512E">
        <w:t xml:space="preserve"> component</w:t>
      </w:r>
      <w:r>
        <w:t>.</w:t>
      </w:r>
    </w:p>
    <w:p w14:paraId="5C9713E1" w14:textId="08386CD8" w:rsidR="00241009" w:rsidRDefault="00241009" w:rsidP="00D50C43">
      <w:pPr>
        <w:pStyle w:val="Heading3"/>
        <w:numPr>
          <w:ilvl w:val="2"/>
          <w:numId w:val="124"/>
        </w:numPr>
      </w:pPr>
      <w:bookmarkStart w:id="257" w:name="_Toc104217685"/>
      <w:r>
        <w:t>Principles for the proposed Regulations</w:t>
      </w:r>
      <w:bookmarkEnd w:id="257"/>
    </w:p>
    <w:p w14:paraId="3914D590" w14:textId="4ED53EF2" w:rsidR="00C02399" w:rsidRDefault="00241009" w:rsidP="00933BD3">
      <w:r>
        <w:t>The proposed Regulations should:</w:t>
      </w:r>
    </w:p>
    <w:p w14:paraId="40A1ECE6" w14:textId="4646A18C" w:rsidR="00C02399" w:rsidRDefault="00D272C6" w:rsidP="00C02399">
      <w:pPr>
        <w:pStyle w:val="ListBullet"/>
      </w:pPr>
      <w:r w:rsidRPr="00D272C6">
        <w:lastRenderedPageBreak/>
        <w:t>effectively facilitat</w:t>
      </w:r>
      <w:r>
        <w:t>e</w:t>
      </w:r>
      <w:r w:rsidRPr="00D272C6">
        <w:t xml:space="preserve"> rehabilitation and planning to manage </w:t>
      </w:r>
      <w:r>
        <w:t xml:space="preserve">the </w:t>
      </w:r>
      <w:r w:rsidRPr="00D272C6">
        <w:t>risks posed by declared mine land</w:t>
      </w:r>
      <w:r>
        <w:t>;</w:t>
      </w:r>
    </w:p>
    <w:p w14:paraId="36E700C1" w14:textId="5D649401" w:rsidR="00241009" w:rsidRDefault="00632249" w:rsidP="00C02399">
      <w:pPr>
        <w:pStyle w:val="ListBullet"/>
      </w:pPr>
      <w:r>
        <w:t>s</w:t>
      </w:r>
      <w:r w:rsidR="00241009">
        <w:t>upport adequate regulatory decision-making, monitoring and evaluation, and liability assessment;</w:t>
      </w:r>
    </w:p>
    <w:p w14:paraId="4E8BADBB" w14:textId="315BDBFD" w:rsidR="00241009" w:rsidRDefault="674F6971" w:rsidP="00C02399">
      <w:pPr>
        <w:pStyle w:val="ListBullet"/>
      </w:pPr>
      <w:r>
        <w:t>p</w:t>
      </w:r>
      <w:r w:rsidR="00241009">
        <w:t xml:space="preserve">romote the comprehensive acquisition of information by </w:t>
      </w:r>
      <w:r w:rsidR="00F75F6C">
        <w:t xml:space="preserve">ERR </w:t>
      </w:r>
      <w:r w:rsidR="00241009">
        <w:t>and other oversight agencies (such as the Authority);</w:t>
      </w:r>
    </w:p>
    <w:p w14:paraId="7B901397" w14:textId="2C134530" w:rsidR="00241009" w:rsidRDefault="7EDE7C13" w:rsidP="00C02399">
      <w:pPr>
        <w:pStyle w:val="ListBullet"/>
      </w:pPr>
      <w:r>
        <w:t>a</w:t>
      </w:r>
      <w:r w:rsidR="00241009">
        <w:t>llow for flexibility and adaptability in rehabilitation planning to accommodate changing circumstances and information over time; and</w:t>
      </w:r>
    </w:p>
    <w:p w14:paraId="7B89B973" w14:textId="7A5218D4" w:rsidR="00241009" w:rsidRDefault="19030E42" w:rsidP="00C02399">
      <w:pPr>
        <w:pStyle w:val="ListBullet"/>
      </w:pPr>
      <w:bookmarkStart w:id="258" w:name="_Hlk47969018"/>
      <w:r>
        <w:t>p</w:t>
      </w:r>
      <w:r w:rsidR="00241009">
        <w:t>romote principles of sustainable development</w:t>
      </w:r>
      <w:bookmarkEnd w:id="258"/>
      <w:r w:rsidR="00241009">
        <w:t xml:space="preserve">. </w:t>
      </w:r>
    </w:p>
    <w:p w14:paraId="546C1DFC" w14:textId="3A8F676A" w:rsidR="00C02399" w:rsidRDefault="00241009" w:rsidP="00D50C43">
      <w:pPr>
        <w:pStyle w:val="Heading3"/>
        <w:numPr>
          <w:ilvl w:val="2"/>
          <w:numId w:val="124"/>
        </w:numPr>
      </w:pPr>
      <w:bookmarkStart w:id="259" w:name="_Toc104217686"/>
      <w:r>
        <w:t xml:space="preserve">Principles for the </w:t>
      </w:r>
      <w:r w:rsidR="7E13707D">
        <w:t>DMRP</w:t>
      </w:r>
      <w:bookmarkEnd w:id="259"/>
    </w:p>
    <w:p w14:paraId="583723B0" w14:textId="2A7F24A7" w:rsidR="00241009" w:rsidRDefault="00241009" w:rsidP="00933BD3">
      <w:r>
        <w:t xml:space="preserve">The requirements for the </w:t>
      </w:r>
      <w:r w:rsidR="0004CBB9">
        <w:t>DMRP</w:t>
      </w:r>
      <w:r>
        <w:t xml:space="preserve"> should address or accommodate the following principles:</w:t>
      </w:r>
    </w:p>
    <w:p w14:paraId="7265F434" w14:textId="2011AFFC" w:rsidR="00241009" w:rsidRDefault="00241009" w:rsidP="00241009">
      <w:pPr>
        <w:pStyle w:val="ListBullet"/>
      </w:pPr>
      <w:r>
        <w:t>Water use for rehabilitation should not negatively impact on other users’ water rights, Traditional Owner values</w:t>
      </w:r>
      <w:r w:rsidR="7A3A555A">
        <w:t>,</w:t>
      </w:r>
      <w:r>
        <w:t xml:space="preserve"> or environmental values.</w:t>
      </w:r>
    </w:p>
    <w:p w14:paraId="0523D807" w14:textId="21184A5B" w:rsidR="00241009" w:rsidRDefault="00241009" w:rsidP="00241009">
      <w:pPr>
        <w:pStyle w:val="ListBullet"/>
      </w:pPr>
      <w:r>
        <w:t xml:space="preserve">Rehabilitation </w:t>
      </w:r>
      <w:r w:rsidR="0069059B">
        <w:t xml:space="preserve">and final landforms </w:t>
      </w:r>
      <w:r>
        <w:t xml:space="preserve">should be </w:t>
      </w:r>
      <w:r w:rsidR="001A6C93">
        <w:t>climate resilient</w:t>
      </w:r>
      <w:r>
        <w:t>.</w:t>
      </w:r>
    </w:p>
    <w:p w14:paraId="59EA5E54" w14:textId="406F0A61" w:rsidR="00241009" w:rsidRDefault="00241009" w:rsidP="00241009">
      <w:pPr>
        <w:pStyle w:val="ListBullet"/>
      </w:pPr>
      <w:r>
        <w:t>The fire risk of rehabilitated land should be no greater than that of the surrounding environment.</w:t>
      </w:r>
    </w:p>
    <w:p w14:paraId="364BFB6F" w14:textId="4ABFF035" w:rsidR="0069059B" w:rsidRDefault="0069059B" w:rsidP="00241009">
      <w:pPr>
        <w:pStyle w:val="ListBullet"/>
      </w:pPr>
      <w:r>
        <w:t>Ground instability risks during and after rehabilitation should be minimised.</w:t>
      </w:r>
    </w:p>
    <w:p w14:paraId="182756BE" w14:textId="47F61E01" w:rsidR="0069059B" w:rsidRDefault="0069059B" w:rsidP="00241009">
      <w:pPr>
        <w:pStyle w:val="ListBullet"/>
      </w:pPr>
      <w:r>
        <w:t>The need for ongoing management of mine sites after closure to sustain a safe and stable landform should be minimised.</w:t>
      </w:r>
    </w:p>
    <w:p w14:paraId="238F1251" w14:textId="7EEDFF01" w:rsidR="0069059B" w:rsidRDefault="0069059B" w:rsidP="00241009">
      <w:pPr>
        <w:pStyle w:val="ListBullet"/>
      </w:pPr>
      <w:r>
        <w:t>Traditional Owners should be involved in rehabilitation planning, assessment and decision-making.</w:t>
      </w:r>
    </w:p>
    <w:p w14:paraId="21930AEB" w14:textId="0B5CCC6B" w:rsidR="0069059B" w:rsidRDefault="0069059B" w:rsidP="00241009">
      <w:pPr>
        <w:pStyle w:val="ListBullet"/>
      </w:pPr>
      <w:r>
        <w:t>Rehabilitated mine sites should be suitable for their intended use.</w:t>
      </w:r>
    </w:p>
    <w:p w14:paraId="0764A339" w14:textId="61992226" w:rsidR="0069059B" w:rsidRDefault="0069059B" w:rsidP="00241009">
      <w:pPr>
        <w:pStyle w:val="ListBullet"/>
      </w:pPr>
      <w:r>
        <w:t>Plans should be comprehensive and unambiguous.</w:t>
      </w:r>
    </w:p>
    <w:p w14:paraId="3D67D3E3" w14:textId="3564531E" w:rsidR="0069059B" w:rsidRDefault="0069059B" w:rsidP="00687FA8">
      <w:pPr>
        <w:pStyle w:val="ListBullet"/>
      </w:pPr>
      <w:r>
        <w:t>Plans should incorporate and allow for flexibility to manage uncertainty and changing circumstances and information.</w:t>
      </w:r>
    </w:p>
    <w:p w14:paraId="4A08C8AD" w14:textId="751EC913" w:rsidR="008B5FD9" w:rsidRDefault="008B5FD9" w:rsidP="00933BD3">
      <w:r>
        <w:br w:type="page"/>
      </w:r>
    </w:p>
    <w:p w14:paraId="4E077342" w14:textId="77777777" w:rsidR="008B5FD9" w:rsidRDefault="008B5FD9" w:rsidP="00D50C43">
      <w:pPr>
        <w:pStyle w:val="Heading1"/>
        <w:numPr>
          <w:ilvl w:val="0"/>
          <w:numId w:val="124"/>
        </w:numPr>
      </w:pPr>
      <w:bookmarkStart w:id="260" w:name="_Ref4132141"/>
      <w:bookmarkStart w:id="261" w:name="_Toc104217687"/>
      <w:r w:rsidRPr="008B5FD9">
        <w:lastRenderedPageBreak/>
        <w:t>Options</w:t>
      </w:r>
      <w:bookmarkEnd w:id="260"/>
      <w:bookmarkEnd w:id="261"/>
    </w:p>
    <w:p w14:paraId="68C09B0C" w14:textId="3BCC72B2" w:rsidR="00A64637" w:rsidRPr="00A64637" w:rsidRDefault="00A64637" w:rsidP="00B63B43">
      <w:r>
        <w:t xml:space="preserve">This RIS assesses options for regulations to support those parts of the Act relating to the declared mine framework implemented </w:t>
      </w:r>
      <w:r w:rsidR="333A6EF0">
        <w:t>by the Amendment Act</w:t>
      </w:r>
      <w:r>
        <w:t>. This RIS only assesses the impacts of these proposed Regulations and does not assess the regulatory burden imposed by the Act and the existing 2019 Regulations.</w:t>
      </w:r>
    </w:p>
    <w:p w14:paraId="283056E0" w14:textId="27697020" w:rsidR="00390114" w:rsidRDefault="00390114" w:rsidP="00B63B43">
      <w:r>
        <w:t>In this RIS, two options for regulations</w:t>
      </w:r>
      <w:r w:rsidR="00773379">
        <w:t xml:space="preserve"> and their expected impacts</w:t>
      </w:r>
      <w:r>
        <w:t xml:space="preserve"> are compared to each other, and to the base case. The base case refers to the situation where no new regulations are made, and it provides the basis against which options can be assessed and compared. </w:t>
      </w:r>
    </w:p>
    <w:p w14:paraId="6D353678" w14:textId="20C922FE" w:rsidR="00FF120D" w:rsidRDefault="00FF120D" w:rsidP="00D50C43">
      <w:pPr>
        <w:pStyle w:val="Heading2"/>
        <w:numPr>
          <w:ilvl w:val="1"/>
          <w:numId w:val="124"/>
        </w:numPr>
      </w:pPr>
      <w:bookmarkStart w:id="262" w:name="_Toc104217688"/>
      <w:r>
        <w:t>Regulatory options development</w:t>
      </w:r>
      <w:bookmarkEnd w:id="262"/>
    </w:p>
    <w:p w14:paraId="5E416086" w14:textId="778DF1C4" w:rsidR="00352ABB" w:rsidRDefault="00352ABB" w:rsidP="006826D7">
      <w:r>
        <w:t xml:space="preserve">The </w:t>
      </w:r>
      <w:r w:rsidR="006D439C">
        <w:t>department</w:t>
      </w:r>
      <w:r>
        <w:t xml:space="preserve"> investigated rehabilitation planning regulation in other jurisdictions to guide the development of the options assessed in this RIS. The </w:t>
      </w:r>
      <w:r w:rsidR="006D439C">
        <w:t>department</w:t>
      </w:r>
      <w:r w:rsidRPr="00352ABB">
        <w:t xml:space="preserve"> considered </w:t>
      </w:r>
      <w:r>
        <w:t xml:space="preserve">regulation in Queensland, Western Australia, New South Wales, South Australia, the Northern Territory, Wyoming and Saskatchewan, and best practice guidance published by the International Council of Mining and Metals and Anglo American. The interjurisdictional comparison found that the basic components of rehabilitation plans are similar across all models, with a similar ultimate objective of ensuring that mine land is safe and stable during and after mine operations. </w:t>
      </w:r>
    </w:p>
    <w:p w14:paraId="0D20E2AE" w14:textId="5B9CF023" w:rsidR="00352ABB" w:rsidRDefault="00352ABB" w:rsidP="001B5E80">
      <w:r>
        <w:t xml:space="preserve">The mining rehabilitation and closure regulatory frameworks in other Australia jurisdictions are outcomes-based that require mining operators / tenement holders / licensees to develop rehabilitation plans which set out progressive rehabilitation milestones to rehabilitate the land to a safe and stable </w:t>
      </w:r>
      <w:r w:rsidR="001A6C93">
        <w:t>landform</w:t>
      </w:r>
      <w:r>
        <w:t xml:space="preserve"> that can sustain the approved post-mining land use.</w:t>
      </w:r>
    </w:p>
    <w:p w14:paraId="41A4D333" w14:textId="407AA303" w:rsidR="00352ABB" w:rsidRDefault="00352ABB" w:rsidP="001B5E80">
      <w:r>
        <w:t>All jurisdictions legislatively obligate mining operators to complete a rehabilitation plan. Regulations are outcomes-based, and there are minimal prescriptive regulatory requirements, recognising that each mine site is individual and will have different rehabilitation and post-closure management requirements.</w:t>
      </w:r>
    </w:p>
    <w:p w14:paraId="6B4728E3" w14:textId="77777777" w:rsidR="00352ABB" w:rsidRDefault="00352ABB" w:rsidP="001B5E80">
      <w:r>
        <w:t>The detailed contents of the plan are set out in jurisdictional guidelines (either statutory or departmental). Core contents of other jurisdictional rehabilitation plans (as per guidelines) include:</w:t>
      </w:r>
    </w:p>
    <w:p w14:paraId="23F872BE" w14:textId="3A9F0025" w:rsidR="00352ABB" w:rsidRDefault="00352ABB" w:rsidP="00352ABB">
      <w:pPr>
        <w:pStyle w:val="dotpoints"/>
      </w:pPr>
      <w:r>
        <w:t>General information about the site and operation.</w:t>
      </w:r>
    </w:p>
    <w:p w14:paraId="0D56BA9E" w14:textId="094BC3B1" w:rsidR="00352ABB" w:rsidRDefault="00352ABB" w:rsidP="00352ABB">
      <w:pPr>
        <w:pStyle w:val="dotpoints"/>
      </w:pPr>
      <w:r>
        <w:t>Requirement to undertake community consultation.</w:t>
      </w:r>
    </w:p>
    <w:p w14:paraId="5341FFD6" w14:textId="2F4BC831" w:rsidR="00352ABB" w:rsidRDefault="00352ABB" w:rsidP="00352ABB">
      <w:pPr>
        <w:pStyle w:val="dotpoints"/>
      </w:pPr>
      <w:r>
        <w:t>Identification of post-mining land use.</w:t>
      </w:r>
    </w:p>
    <w:p w14:paraId="260096AD" w14:textId="77777777" w:rsidR="00352ABB" w:rsidRDefault="00352ABB" w:rsidP="00352ABB">
      <w:pPr>
        <w:pStyle w:val="dotpoints"/>
      </w:pPr>
      <w:r>
        <w:t>Identification of progressive rehabilitation milestones and method to achieve those milestones.</w:t>
      </w:r>
    </w:p>
    <w:p w14:paraId="7FA12DD4" w14:textId="62B9DDBF" w:rsidR="00352ABB" w:rsidRDefault="00352ABB" w:rsidP="001B5E80">
      <w:r>
        <w:t>Closure criteria in the rehabilitation plan are set by the mining operators. Closure criteria must be measurable and approved by the jurisdictional regulator. These criteria, once approved, are enforceable, and must include progressive milestones. The final milestone criteria are considered the</w:t>
      </w:r>
      <w:r w:rsidR="00A00A3B">
        <w:t xml:space="preserve"> requirements</w:t>
      </w:r>
      <w:r w:rsidR="005A25F3">
        <w:t xml:space="preserve"> of </w:t>
      </w:r>
      <w:r w:rsidR="00952270">
        <w:t xml:space="preserve">closure </w:t>
      </w:r>
      <w:r>
        <w:t>criteria.</w:t>
      </w:r>
    </w:p>
    <w:p w14:paraId="65682D0D" w14:textId="00D550AE" w:rsidR="00352ABB" w:rsidRDefault="00352ABB" w:rsidP="001B5E80">
      <w:r>
        <w:t>The rehabilitation plans of other Australian jurisdictions include a section on the post-closure monitoring and management activities required to maintain the site once rehabilitation is completed. Funding for post-closure activities is either collected by the jurisdiction through a levy calculated as part of its rehabilitation cost calculator, or mining operators must demonstrate that adequate resources have been set aside for the period outlined in the post-closure section of the rehabilitation plan.</w:t>
      </w:r>
    </w:p>
    <w:p w14:paraId="6895427B" w14:textId="77777777" w:rsidR="00352ABB" w:rsidRDefault="00352ABB" w:rsidP="006826D7">
      <w:r>
        <w:t xml:space="preserve">However, </w:t>
      </w:r>
      <w:r w:rsidRPr="0069059B">
        <w:t xml:space="preserve">there is </w:t>
      </w:r>
      <w:r>
        <w:t>some variation between the different models, particularly in relation to:</w:t>
      </w:r>
      <w:r w:rsidRPr="0069059B">
        <w:t xml:space="preserve"> </w:t>
      </w:r>
    </w:p>
    <w:p w14:paraId="41246511" w14:textId="77777777" w:rsidR="00352ABB" w:rsidRDefault="00352ABB" w:rsidP="00352ABB">
      <w:pPr>
        <w:pStyle w:val="dotpoints"/>
      </w:pPr>
      <w:r>
        <w:t>how and when outcomes are set (for example, defined post-mining land uses drive outcomes in Victoria and Queensland);</w:t>
      </w:r>
    </w:p>
    <w:p w14:paraId="2C4604BC" w14:textId="77777777" w:rsidR="00352ABB" w:rsidRDefault="00352ABB" w:rsidP="00352ABB">
      <w:pPr>
        <w:pStyle w:val="dotpoints"/>
      </w:pPr>
      <w:r w:rsidRPr="0069059B">
        <w:t xml:space="preserve">the extent of detail required in the plan </w:t>
      </w:r>
      <w:r>
        <w:t>at the point of initial approval; and</w:t>
      </w:r>
    </w:p>
    <w:p w14:paraId="153065AF" w14:textId="77777777" w:rsidR="00352ABB" w:rsidRDefault="00352ABB" w:rsidP="00352ABB">
      <w:pPr>
        <w:pStyle w:val="dotpoints"/>
      </w:pPr>
      <w:r w:rsidRPr="0069059B">
        <w:t xml:space="preserve">how </w:t>
      </w:r>
      <w:r>
        <w:t>the plan changes over time (i.e., are changes driven by the licensee or by regulators through an obligation for regular review).</w:t>
      </w:r>
    </w:p>
    <w:p w14:paraId="7CB9A5B0" w14:textId="77777777" w:rsidR="00352ABB" w:rsidRPr="0069059B" w:rsidRDefault="00352ABB" w:rsidP="00390114">
      <w:r>
        <w:t xml:space="preserve">No other Australian jurisdiction has enforceable post-closure plans. More detail about the regulatory approaches in the jurisdictions reviewed is set out in Appendix A. </w:t>
      </w:r>
    </w:p>
    <w:p w14:paraId="79165D33" w14:textId="16811B6A" w:rsidR="00352ABB" w:rsidRDefault="00352ABB" w:rsidP="00390114">
      <w:r>
        <w:t xml:space="preserve">The core difference that emerges from answering these questions is the degree to which the plan is expected to develop over time: whether the plan is designed to be an iterative, living document, or whether the expectation is that at any one point in time, there will be a comprehensive plan of activities against determined milestones. This </w:t>
      </w:r>
      <w:r>
        <w:lastRenderedPageBreak/>
        <w:t xml:space="preserve">conceptual difference has consequences for the level of detail the plan is required to include initially the focus of effort by the regulator, how knowledge about the mine site is obtained, and so on. Another key difference is the way in which the plans are developed or changed. In the case of iterative plans, changes tend to occur as part of continuous improvement through and because of regular review obligations in relevant regulation. In models where a complete plan is expected to be in place from the outset of mining operations, changes are usually licensee-driven (like the current process in Victoria for work plan variations initiated by licensee application). </w:t>
      </w:r>
    </w:p>
    <w:p w14:paraId="6A026EED" w14:textId="77777777" w:rsidR="00352ABB" w:rsidRDefault="00352ABB" w:rsidP="00390114">
      <w:r>
        <w:t xml:space="preserve">These distinctions were used as the basis to design two options for regulations assessed in this RIS. </w:t>
      </w:r>
    </w:p>
    <w:p w14:paraId="7A666E9C" w14:textId="6976144F" w:rsidR="00352ABB" w:rsidRDefault="00352ABB" w:rsidP="00390114">
      <w:r>
        <w:rPr>
          <w:b/>
          <w:bCs/>
        </w:rPr>
        <w:t>Option 1</w:t>
      </w:r>
      <w:r>
        <w:t xml:space="preserve"> is </w:t>
      </w:r>
      <w:r w:rsidR="00295621">
        <w:t>an up-front approach</w:t>
      </w:r>
      <w:r>
        <w:t xml:space="preserve"> and </w:t>
      </w:r>
      <w:r w:rsidR="00295621">
        <w:t xml:space="preserve">is </w:t>
      </w:r>
      <w:r w:rsidR="005963DA">
        <w:t>licensee driven</w:t>
      </w:r>
      <w:r>
        <w:t>. The focus of the rehabilitation plan is on identifying the post-closure landform for the mine site and obtaining enough information about the rehabilitation required to achieve that landform to allow for bond setting.</w:t>
      </w:r>
    </w:p>
    <w:p w14:paraId="46AE41D2" w14:textId="38BED0F3" w:rsidR="00352ABB" w:rsidRDefault="00352ABB" w:rsidP="00390114">
      <w:r>
        <w:rPr>
          <w:b/>
          <w:bCs/>
        </w:rPr>
        <w:t>Option 2</w:t>
      </w:r>
      <w:r>
        <w:t xml:space="preserve"> is </w:t>
      </w:r>
      <w:r w:rsidR="005963DA">
        <w:t>an iterative approach</w:t>
      </w:r>
      <w:r>
        <w:t xml:space="preserve"> designed to facilitate continuous improvement. This option centres on promoting rehabilitation planning that progress towards rehabilitation outcomes that are acceptable against legislative standards, but agnostic as regards the exact landform the mine site will take. This option also seeks to develop the evidence base about mine sites over time, and requires the rehabilitation plan and rehabilitation activities to be informed by that growing evidence base.</w:t>
      </w:r>
    </w:p>
    <w:p w14:paraId="261FE58A" w14:textId="77777777" w:rsidR="00352ABB" w:rsidRDefault="00352ABB" w:rsidP="00390114">
      <w:r>
        <w:t>Because both options are for regulations supporting the same provisions in the Act, they share the core features as dictated by the Act:</w:t>
      </w:r>
    </w:p>
    <w:p w14:paraId="30B5A737" w14:textId="47E9F1AB" w:rsidR="00352ABB" w:rsidRDefault="00AA815B" w:rsidP="00352ABB">
      <w:pPr>
        <w:pStyle w:val="dotpoints"/>
      </w:pPr>
      <w:r>
        <w:t>The elements of the DMRP; for example, the post-closure plan.</w:t>
      </w:r>
    </w:p>
    <w:p w14:paraId="43DCB8C7" w14:textId="74E8F6C6" w:rsidR="00352ABB" w:rsidRDefault="00AA815B" w:rsidP="00352ABB">
      <w:pPr>
        <w:pStyle w:val="dotpoints"/>
      </w:pPr>
      <w:r>
        <w:t>The consultation and referral requirements.</w:t>
      </w:r>
    </w:p>
    <w:p w14:paraId="05A9954B" w14:textId="284FF8FA" w:rsidR="00352ABB" w:rsidRDefault="00AA815B" w:rsidP="00352ABB">
      <w:pPr>
        <w:pStyle w:val="dotpoints"/>
      </w:pPr>
      <w:r>
        <w:t>The requirement that rehabilitation be aligned with sustainable development principles.</w:t>
      </w:r>
    </w:p>
    <w:p w14:paraId="55D12068" w14:textId="1F0F49CB" w:rsidR="00352ABB" w:rsidRDefault="00AA815B" w:rsidP="00352ABB">
      <w:pPr>
        <w:pStyle w:val="dotpoints"/>
      </w:pPr>
      <w:r>
        <w:t>The ultimate landform must be safe, stable and non-polluting.</w:t>
      </w:r>
    </w:p>
    <w:p w14:paraId="22BE77E4" w14:textId="77777777" w:rsidR="002F51D2" w:rsidRDefault="00AA815B" w:rsidP="00352ABB">
      <w:pPr>
        <w:pStyle w:val="dotpoints"/>
      </w:pPr>
      <w:r>
        <w:t>Rules for plan variation and notification;</w:t>
      </w:r>
    </w:p>
    <w:p w14:paraId="55011EB2" w14:textId="04072FB9" w:rsidR="00352ABB" w:rsidRDefault="00352ABB" w:rsidP="00352ABB">
      <w:pPr>
        <w:pStyle w:val="dotpoints"/>
      </w:pPr>
      <w:r>
        <w:t>Requirements for annual reporting on rehabilitation; and</w:t>
      </w:r>
    </w:p>
    <w:p w14:paraId="270383F5" w14:textId="77777777" w:rsidR="00352ABB" w:rsidRDefault="00352ABB" w:rsidP="00352ABB">
      <w:pPr>
        <w:pStyle w:val="dotpoints"/>
        <w:spacing w:after="120"/>
      </w:pPr>
      <w:r>
        <w:t>Fire risk, stability and groundwater management plans, review and reporting.</w:t>
      </w:r>
    </w:p>
    <w:p w14:paraId="21B5F20D" w14:textId="108F9206" w:rsidR="00632249" w:rsidRDefault="00632249" w:rsidP="00390114">
      <w:r>
        <w:fldChar w:fldCharType="begin"/>
      </w:r>
      <w:r>
        <w:instrText xml:space="preserve"> REF _Ref54181411 \h </w:instrText>
      </w:r>
      <w:r>
        <w:fldChar w:fldCharType="separate"/>
      </w:r>
      <w:r w:rsidR="000B3BF6">
        <w:t xml:space="preserve">Table </w:t>
      </w:r>
      <w:r w:rsidR="000B3BF6">
        <w:rPr>
          <w:noProof/>
        </w:rPr>
        <w:t>4</w:t>
      </w:r>
      <w:r>
        <w:fldChar w:fldCharType="end"/>
      </w:r>
      <w:r>
        <w:t xml:space="preserve"> </w:t>
      </w:r>
      <w:r w:rsidR="00885CF7">
        <w:t>set</w:t>
      </w:r>
      <w:r w:rsidR="005A77BC">
        <w:t>s</w:t>
      </w:r>
      <w:r w:rsidR="00390114">
        <w:t xml:space="preserve"> out the key elements of</w:t>
      </w:r>
      <w:r w:rsidR="005A77BC">
        <w:t>,</w:t>
      </w:r>
      <w:r w:rsidR="00390114">
        <w:t xml:space="preserve"> and differences between</w:t>
      </w:r>
      <w:r w:rsidR="005A77BC">
        <w:t>,</w:t>
      </w:r>
      <w:r w:rsidR="00390114">
        <w:t xml:space="preserve"> the two options</w:t>
      </w:r>
      <w:r>
        <w:t>. M</w:t>
      </w:r>
      <w:r w:rsidR="00390114">
        <w:t xml:space="preserve">ore detail is provided in sections </w:t>
      </w:r>
      <w:r w:rsidR="00390114">
        <w:fldChar w:fldCharType="begin"/>
      </w:r>
      <w:r w:rsidR="00390114">
        <w:instrText xml:space="preserve"> REF _Ref52189821 \r \h </w:instrText>
      </w:r>
      <w:r w:rsidR="00390114">
        <w:fldChar w:fldCharType="separate"/>
      </w:r>
      <w:r w:rsidR="000B3BF6">
        <w:t>5.3</w:t>
      </w:r>
      <w:r w:rsidR="00390114">
        <w:fldChar w:fldCharType="end"/>
      </w:r>
      <w:r w:rsidR="00390114">
        <w:t xml:space="preserve"> and</w:t>
      </w:r>
      <w:r w:rsidR="0001167C">
        <w:t xml:space="preserve"> </w:t>
      </w:r>
      <w:r w:rsidR="0001167C">
        <w:fldChar w:fldCharType="begin"/>
      </w:r>
      <w:r w:rsidR="0001167C">
        <w:instrText xml:space="preserve"> REF _Ref57622568 \n \h </w:instrText>
      </w:r>
      <w:r w:rsidR="0001167C">
        <w:fldChar w:fldCharType="separate"/>
      </w:r>
      <w:r w:rsidR="000B3BF6">
        <w:t>5.4</w:t>
      </w:r>
      <w:r w:rsidR="0001167C">
        <w:fldChar w:fldCharType="end"/>
      </w:r>
      <w:r w:rsidR="00390114">
        <w:t>, following the description of the base case in section</w:t>
      </w:r>
      <w:r w:rsidR="00FF120D">
        <w:t xml:space="preserve"> </w:t>
      </w:r>
      <w:r w:rsidR="00FF120D">
        <w:fldChar w:fldCharType="begin"/>
      </w:r>
      <w:r w:rsidR="00FF120D">
        <w:instrText xml:space="preserve"> REF _Ref52365382 \r \h </w:instrText>
      </w:r>
      <w:r w:rsidR="00FF120D">
        <w:fldChar w:fldCharType="separate"/>
      </w:r>
      <w:r w:rsidR="000B3BF6">
        <w:t>5.2</w:t>
      </w:r>
      <w:r w:rsidR="00FF120D">
        <w:fldChar w:fldCharType="end"/>
      </w:r>
      <w:r w:rsidR="00390114">
        <w:t>.</w:t>
      </w:r>
    </w:p>
    <w:p w14:paraId="3FB67192" w14:textId="77777777" w:rsidR="009C4B53" w:rsidRDefault="009C4B53" w:rsidP="00B63B43">
      <w:pPr>
        <w:sectPr w:rsidR="009C4B53" w:rsidSect="006951E6">
          <w:headerReference w:type="default" r:id="rId32"/>
          <w:pgSz w:w="11906" w:h="16838" w:code="9"/>
          <w:pgMar w:top="1440" w:right="1440" w:bottom="1440" w:left="1440" w:header="709" w:footer="136" w:gutter="0"/>
          <w:cols w:space="708"/>
          <w:docGrid w:linePitch="360"/>
        </w:sectPr>
      </w:pPr>
    </w:p>
    <w:p w14:paraId="5C9D30BD" w14:textId="5ADAFE10" w:rsidR="00632249" w:rsidRDefault="00632249" w:rsidP="006E1000">
      <w:pPr>
        <w:pStyle w:val="Caption"/>
      </w:pPr>
      <w:bookmarkStart w:id="263" w:name="_Ref54181411"/>
      <w:bookmarkStart w:id="264" w:name="_Toc104217620"/>
      <w:r>
        <w:lastRenderedPageBreak/>
        <w:t xml:space="preserve">Table </w:t>
      </w:r>
      <w:r>
        <w:fldChar w:fldCharType="begin"/>
      </w:r>
      <w:r>
        <w:instrText>SEQ Table \* ARABIC</w:instrText>
      </w:r>
      <w:r>
        <w:fldChar w:fldCharType="separate"/>
      </w:r>
      <w:r w:rsidR="000B3BF6">
        <w:rPr>
          <w:noProof/>
        </w:rPr>
        <w:t>4</w:t>
      </w:r>
      <w:r>
        <w:fldChar w:fldCharType="end"/>
      </w:r>
      <w:bookmarkEnd w:id="263"/>
      <w:r w:rsidR="0001167C">
        <w:t>:</w:t>
      </w:r>
      <w:r>
        <w:t xml:space="preserve"> Summary of options</w:t>
      </w:r>
      <w:r w:rsidR="00332D16">
        <w:t xml:space="preserve"> considered</w:t>
      </w:r>
      <w:bookmarkEnd w:id="264"/>
    </w:p>
    <w:tbl>
      <w:tblPr>
        <w:tblStyle w:val="TableGrid"/>
        <w:tblW w:w="8858"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CellMar>
          <w:top w:w="28" w:type="dxa"/>
          <w:bottom w:w="28" w:type="dxa"/>
        </w:tblCellMar>
        <w:tblLook w:val="04A0" w:firstRow="1" w:lastRow="0" w:firstColumn="1" w:lastColumn="0" w:noHBand="0" w:noVBand="1"/>
      </w:tblPr>
      <w:tblGrid>
        <w:gridCol w:w="1859"/>
        <w:gridCol w:w="3145"/>
        <w:gridCol w:w="3854"/>
      </w:tblGrid>
      <w:tr w:rsidR="00802821" w:rsidRPr="00BA70A6" w14:paraId="76E2DA9D" w14:textId="14A4AE1C" w:rsidTr="43AC08A2">
        <w:trPr>
          <w:trHeight w:val="362"/>
          <w:tblHeader/>
        </w:trPr>
        <w:tc>
          <w:tcPr>
            <w:tcW w:w="1859" w:type="dxa"/>
            <w:shd w:val="clear" w:color="auto" w:fill="1B0B38"/>
            <w:vAlign w:val="center"/>
          </w:tcPr>
          <w:p w14:paraId="6D1E9935" w14:textId="5CE14260" w:rsidR="00802821" w:rsidRPr="00BA70A6" w:rsidRDefault="00802821" w:rsidP="00FE20A5">
            <w:pPr>
              <w:rPr>
                <w:rStyle w:val="Strong"/>
                <w:color w:val="FFFFFF" w:themeColor="background1"/>
              </w:rPr>
            </w:pPr>
          </w:p>
        </w:tc>
        <w:tc>
          <w:tcPr>
            <w:tcW w:w="3145" w:type="dxa"/>
            <w:shd w:val="clear" w:color="auto" w:fill="1B0B38"/>
          </w:tcPr>
          <w:p w14:paraId="3CC7865C" w14:textId="1B48039C" w:rsidR="00802821" w:rsidRDefault="00802821" w:rsidP="00885CF7">
            <w:pPr>
              <w:jc w:val="center"/>
              <w:rPr>
                <w:rStyle w:val="Strong"/>
                <w:color w:val="FFFFFF" w:themeColor="background1"/>
              </w:rPr>
            </w:pPr>
            <w:r>
              <w:rPr>
                <w:rStyle w:val="Strong"/>
                <w:color w:val="FFFFFF" w:themeColor="background1"/>
              </w:rPr>
              <w:t>Option 1</w:t>
            </w:r>
            <w:r w:rsidR="005A77BC">
              <w:rPr>
                <w:rStyle w:val="Strong"/>
                <w:color w:val="FFFFFF" w:themeColor="background1"/>
              </w:rPr>
              <w:t xml:space="preserve">: </w:t>
            </w:r>
            <w:r w:rsidR="002F51D2">
              <w:rPr>
                <w:rStyle w:val="Strong"/>
                <w:color w:val="FFFFFF" w:themeColor="background1"/>
              </w:rPr>
              <w:t>‘up</w:t>
            </w:r>
            <w:r w:rsidR="003C73E8">
              <w:rPr>
                <w:rStyle w:val="Strong"/>
                <w:color w:val="FFFFFF" w:themeColor="background1"/>
              </w:rPr>
              <w:t>-</w:t>
            </w:r>
            <w:r w:rsidR="002F51D2">
              <w:rPr>
                <w:rStyle w:val="Strong"/>
                <w:color w:val="FFFFFF" w:themeColor="background1"/>
              </w:rPr>
              <w:t>front approach’</w:t>
            </w:r>
            <w:r w:rsidR="005A77BC">
              <w:rPr>
                <w:rStyle w:val="Strong"/>
                <w:color w:val="FFFFFF" w:themeColor="background1"/>
              </w:rPr>
              <w:t xml:space="preserve"> </w:t>
            </w:r>
          </w:p>
        </w:tc>
        <w:tc>
          <w:tcPr>
            <w:tcW w:w="3854" w:type="dxa"/>
            <w:shd w:val="clear" w:color="auto" w:fill="1B0B38"/>
          </w:tcPr>
          <w:p w14:paraId="0CB82804" w14:textId="1E371FFB" w:rsidR="00802821" w:rsidRDefault="00802821" w:rsidP="00885CF7">
            <w:pPr>
              <w:jc w:val="center"/>
              <w:rPr>
                <w:rStyle w:val="Strong"/>
                <w:color w:val="FFFFFF" w:themeColor="background1"/>
              </w:rPr>
            </w:pPr>
            <w:r>
              <w:rPr>
                <w:rStyle w:val="Strong"/>
                <w:color w:val="FFFFFF" w:themeColor="background1"/>
              </w:rPr>
              <w:t>Option 2</w:t>
            </w:r>
            <w:r w:rsidR="005A77BC">
              <w:rPr>
                <w:rStyle w:val="Strong"/>
                <w:color w:val="FFFFFF" w:themeColor="background1"/>
              </w:rPr>
              <w:t xml:space="preserve">: </w:t>
            </w:r>
            <w:r w:rsidR="002F51D2">
              <w:rPr>
                <w:rStyle w:val="Strong"/>
                <w:color w:val="FFFFFF" w:themeColor="background1"/>
              </w:rPr>
              <w:t>‘iterative approach’</w:t>
            </w:r>
          </w:p>
        </w:tc>
      </w:tr>
      <w:tr w:rsidR="00802821" w:rsidRPr="00D51674" w14:paraId="52903002" w14:textId="0FE3CBA4" w:rsidTr="43AC08A2">
        <w:trPr>
          <w:trHeight w:val="393"/>
        </w:trPr>
        <w:tc>
          <w:tcPr>
            <w:tcW w:w="1859" w:type="dxa"/>
          </w:tcPr>
          <w:p w14:paraId="77E9A321" w14:textId="376618E7" w:rsidR="00802821" w:rsidRPr="00B10D68" w:rsidRDefault="00925173" w:rsidP="00FE20A5">
            <w:r>
              <w:t xml:space="preserve">DMRP </w:t>
            </w:r>
            <w:r w:rsidR="00802821">
              <w:t>Outcomes &amp; objectives</w:t>
            </w:r>
          </w:p>
        </w:tc>
        <w:tc>
          <w:tcPr>
            <w:tcW w:w="3145" w:type="dxa"/>
          </w:tcPr>
          <w:p w14:paraId="16047105" w14:textId="77777777" w:rsidR="00802821" w:rsidRDefault="00802821" w:rsidP="00802821">
            <w:pPr>
              <w:pStyle w:val="dotpoints"/>
            </w:pPr>
            <w:r>
              <w:t>Safe, stable and sustainable landform for a specified land use</w:t>
            </w:r>
          </w:p>
          <w:p w14:paraId="65506E41" w14:textId="5A226100" w:rsidR="00802821" w:rsidRPr="00B10D68" w:rsidRDefault="00802821" w:rsidP="00802821">
            <w:pPr>
              <w:pStyle w:val="dotpoints"/>
            </w:pPr>
            <w:r>
              <w:t>Objectives defined against that land use</w:t>
            </w:r>
          </w:p>
        </w:tc>
        <w:tc>
          <w:tcPr>
            <w:tcW w:w="3854" w:type="dxa"/>
          </w:tcPr>
          <w:p w14:paraId="509F2D2E" w14:textId="5E6CDAC0" w:rsidR="00802821" w:rsidRDefault="00841A0C" w:rsidP="00802821">
            <w:pPr>
              <w:pStyle w:val="dotpoints"/>
            </w:pPr>
            <w:r>
              <w:t>Maintenance of s</w:t>
            </w:r>
            <w:r w:rsidR="00802821">
              <w:t>afe and stable landform</w:t>
            </w:r>
          </w:p>
          <w:p w14:paraId="3108102C" w14:textId="5155F0B6" w:rsidR="00802821" w:rsidRPr="00B10D68" w:rsidRDefault="00802821" w:rsidP="00802821">
            <w:pPr>
              <w:pStyle w:val="dotpoints"/>
            </w:pPr>
            <w:r>
              <w:t xml:space="preserve">Broad set of </w:t>
            </w:r>
            <w:r w:rsidR="00C34C6F">
              <w:t>matters to be considered</w:t>
            </w:r>
            <w:r>
              <w:t xml:space="preserve"> based on accepted regulatory or industry best practice</w:t>
            </w:r>
          </w:p>
        </w:tc>
      </w:tr>
      <w:tr w:rsidR="00925173" w:rsidRPr="00D51674" w14:paraId="3164E67B" w14:textId="77777777" w:rsidTr="43AC08A2">
        <w:trPr>
          <w:trHeight w:val="393"/>
        </w:trPr>
        <w:tc>
          <w:tcPr>
            <w:tcW w:w="1859" w:type="dxa"/>
          </w:tcPr>
          <w:p w14:paraId="69351101" w14:textId="385F6603" w:rsidR="00925173" w:rsidRDefault="00925173" w:rsidP="00FE20A5">
            <w:r>
              <w:t xml:space="preserve">DMRP </w:t>
            </w:r>
            <w:r w:rsidR="00867D05">
              <w:t>Milestones</w:t>
            </w:r>
          </w:p>
        </w:tc>
        <w:tc>
          <w:tcPr>
            <w:tcW w:w="3145" w:type="dxa"/>
          </w:tcPr>
          <w:p w14:paraId="33DA44A8" w14:textId="4ABE5DB3" w:rsidR="00925173" w:rsidRDefault="00904D81" w:rsidP="00904D81">
            <w:pPr>
              <w:pStyle w:val="dotpoints"/>
            </w:pPr>
            <w:r w:rsidRPr="00904D81">
              <w:t xml:space="preserve">A description of, and schedule for, rehabilitation </w:t>
            </w:r>
            <w:r w:rsidRPr="00DE4290">
              <w:t>milestone</w:t>
            </w:r>
            <w:r>
              <w:t>s</w:t>
            </w:r>
          </w:p>
        </w:tc>
        <w:tc>
          <w:tcPr>
            <w:tcW w:w="3854" w:type="dxa"/>
          </w:tcPr>
          <w:p w14:paraId="51F3B5EC" w14:textId="690053DA" w:rsidR="00EB573F" w:rsidRPr="00EB573F" w:rsidRDefault="00EB573F" w:rsidP="00EB573F">
            <w:pPr>
              <w:pStyle w:val="dotpoints"/>
            </w:pPr>
            <w:r w:rsidRPr="00EB573F">
              <w:t>Milestones</w:t>
            </w:r>
            <w:r w:rsidR="00BF7BB5">
              <w:t xml:space="preserve"> for all rehabilitation and closure objectives</w:t>
            </w:r>
            <w:r w:rsidRPr="00EB573F">
              <w:t xml:space="preserve"> must identify each </w:t>
            </w:r>
            <w:r w:rsidR="006F1CBF">
              <w:t>relevant</w:t>
            </w:r>
            <w:r w:rsidRPr="00EB573F">
              <w:t xml:space="preserve"> event or step necessary to: </w:t>
            </w:r>
          </w:p>
          <w:p w14:paraId="7BA10F4F" w14:textId="30157DEE" w:rsidR="00EF3AF9" w:rsidRPr="00EB573F" w:rsidRDefault="00DE0ED0" w:rsidP="00DE4290">
            <w:pPr>
              <w:pStyle w:val="dotpoints2"/>
              <w:ind w:left="909" w:hanging="425"/>
            </w:pPr>
            <w:r w:rsidRPr="00290F34">
              <w:t>rehabilitate the land to a safe, stable and sustainable condition</w:t>
            </w:r>
            <w:r w:rsidR="00EB573F" w:rsidRPr="00EB573F">
              <w:t>;</w:t>
            </w:r>
          </w:p>
          <w:p w14:paraId="10D2ACB1" w14:textId="0FA97DF6" w:rsidR="00925173" w:rsidRPr="00290F34" w:rsidRDefault="00EB573F" w:rsidP="00DE4290">
            <w:pPr>
              <w:pStyle w:val="dotpoints2"/>
              <w:ind w:left="909" w:hanging="425"/>
            </w:pPr>
            <w:r w:rsidRPr="00EB573F">
              <w:t>min</w:t>
            </w:r>
            <w:r w:rsidRPr="00290F34">
              <w:t xml:space="preserve">imise the risks </w:t>
            </w:r>
            <w:r w:rsidR="00DE0ED0" w:rsidRPr="00290F34">
              <w:t>posed by declared mine land as far as practicable; and</w:t>
            </w:r>
          </w:p>
          <w:p w14:paraId="5788AD15" w14:textId="4453A547" w:rsidR="00290F34" w:rsidRDefault="00290F34" w:rsidP="00DE4290">
            <w:pPr>
              <w:pStyle w:val="dotpoints2"/>
              <w:ind w:left="909" w:hanging="425"/>
            </w:pPr>
            <w:r w:rsidRPr="00290F34">
              <w:t>obtain the relevant legal approvals and permissions required for the rehabilitation of the mine, the closure of the mine and post-closure of the mine</w:t>
            </w:r>
          </w:p>
        </w:tc>
      </w:tr>
      <w:tr w:rsidR="00867D05" w:rsidRPr="00D51674" w14:paraId="1691B394" w14:textId="77777777" w:rsidTr="43AC08A2">
        <w:trPr>
          <w:trHeight w:val="393"/>
        </w:trPr>
        <w:tc>
          <w:tcPr>
            <w:tcW w:w="1859" w:type="dxa"/>
          </w:tcPr>
          <w:p w14:paraId="4A331F98" w14:textId="34C56A31" w:rsidR="00867D05" w:rsidRDefault="00867D05" w:rsidP="00FE20A5">
            <w:r>
              <w:t>DMRP Closure Criteria</w:t>
            </w:r>
          </w:p>
        </w:tc>
        <w:tc>
          <w:tcPr>
            <w:tcW w:w="3145" w:type="dxa"/>
          </w:tcPr>
          <w:p w14:paraId="7D1D857A" w14:textId="77777777" w:rsidR="00281595" w:rsidRDefault="00281595" w:rsidP="00E56760">
            <w:pPr>
              <w:pStyle w:val="dotpoints"/>
            </w:pPr>
            <w:r w:rsidRPr="00E56760">
              <w:t xml:space="preserve">Closure criteria must address the risks to public safety, the environment and infrastructure to be taken into account in determining if the closure criteria are met i.e. the risks posed by geotechnical, hydrogeological, water quality or hydrological matters   </w:t>
            </w:r>
          </w:p>
          <w:p w14:paraId="264FE70F" w14:textId="7408BDA5" w:rsidR="00867D05" w:rsidRDefault="00E56760" w:rsidP="00AA36D0">
            <w:pPr>
              <w:pStyle w:val="dotpoints"/>
            </w:pPr>
            <w:r w:rsidRPr="00E56760">
              <w:t>Licensee sets criteria for measuring whether the DMRP objectives are met</w:t>
            </w:r>
          </w:p>
        </w:tc>
        <w:tc>
          <w:tcPr>
            <w:tcW w:w="3854" w:type="dxa"/>
          </w:tcPr>
          <w:p w14:paraId="10E0C2B2" w14:textId="2B4FD169" w:rsidR="006E0884" w:rsidRPr="002559D0" w:rsidRDefault="00F724C6" w:rsidP="002559D0">
            <w:pPr>
              <w:pStyle w:val="dotpoints"/>
            </w:pPr>
            <w:r>
              <w:t xml:space="preserve">Closure criteria must </w:t>
            </w:r>
            <w:r w:rsidR="00E36573">
              <w:t xml:space="preserve">address </w:t>
            </w:r>
            <w:r w:rsidR="002559D0" w:rsidRPr="002559D0">
              <w:t>the risks to public</w:t>
            </w:r>
            <w:r w:rsidR="00C34C6F">
              <w:t xml:space="preserve"> health and</w:t>
            </w:r>
            <w:r w:rsidR="002559D0" w:rsidRPr="002559D0">
              <w:t xml:space="preserve"> safety</w:t>
            </w:r>
            <w:r w:rsidR="00C75094">
              <w:t>, the environment and infrastructure</w:t>
            </w:r>
            <w:r>
              <w:t xml:space="preserve"> </w:t>
            </w:r>
          </w:p>
          <w:p w14:paraId="625FF6F3" w14:textId="7451EF33" w:rsidR="00867D05" w:rsidRDefault="00F724C6" w:rsidP="009002B5">
            <w:pPr>
              <w:pStyle w:val="dotpoints"/>
            </w:pPr>
            <w:r>
              <w:t xml:space="preserve">Licensee must </w:t>
            </w:r>
            <w:r w:rsidR="002559D0" w:rsidRPr="002559D0">
              <w:t xml:space="preserve">outline standards or </w:t>
            </w:r>
            <w:r w:rsidR="00CD1001">
              <w:t>levels</w:t>
            </w:r>
            <w:r w:rsidR="002559D0" w:rsidRPr="002559D0">
              <w:t xml:space="preserve"> of success for all rehabilitation and closure objectives in the DMRP rehabilitation plan</w:t>
            </w:r>
          </w:p>
        </w:tc>
      </w:tr>
      <w:tr w:rsidR="000C49BC" w:rsidRPr="00D51674" w14:paraId="70866028" w14:textId="77777777" w:rsidTr="43AC08A2">
        <w:trPr>
          <w:trHeight w:val="393"/>
        </w:trPr>
        <w:tc>
          <w:tcPr>
            <w:tcW w:w="1859" w:type="dxa"/>
          </w:tcPr>
          <w:p w14:paraId="55BFADAF" w14:textId="264C1C17" w:rsidR="000C49BC" w:rsidRDefault="000C49BC" w:rsidP="00FE20A5">
            <w:r>
              <w:t>DMRP Post-closure plan</w:t>
            </w:r>
          </w:p>
        </w:tc>
        <w:tc>
          <w:tcPr>
            <w:tcW w:w="3145" w:type="dxa"/>
          </w:tcPr>
          <w:p w14:paraId="6F6EDCB9" w14:textId="77777777" w:rsidR="00C3360B" w:rsidRPr="00C3360B" w:rsidRDefault="00C3360B" w:rsidP="00C3360B">
            <w:pPr>
              <w:pStyle w:val="dotpoints"/>
            </w:pPr>
            <w:r w:rsidRPr="00C3360B">
              <w:t xml:space="preserve">Include a schedule for ongoing monitoring and maintenance activities </w:t>
            </w:r>
          </w:p>
          <w:p w14:paraId="0B168A97" w14:textId="77777777" w:rsidR="00C3360B" w:rsidRPr="00C3360B" w:rsidRDefault="00C3360B" w:rsidP="00C3360B">
            <w:pPr>
              <w:pStyle w:val="dotpoints"/>
            </w:pPr>
            <w:r w:rsidRPr="00C3360B">
              <w:t>Identify who is responsible for post-closure monitoring and maintenance activities; and</w:t>
            </w:r>
          </w:p>
          <w:p w14:paraId="3576E585" w14:textId="497D6332" w:rsidR="000C49BC" w:rsidRDefault="00C3360B" w:rsidP="00C3360B">
            <w:pPr>
              <w:pStyle w:val="dotpoints"/>
            </w:pPr>
            <w:r w:rsidRPr="00C3360B">
              <w:t>Include a risk management plan for known and credible risks e.g. fire management, stability and groundwater management plans.</w:t>
            </w:r>
          </w:p>
        </w:tc>
        <w:tc>
          <w:tcPr>
            <w:tcW w:w="3854" w:type="dxa"/>
          </w:tcPr>
          <w:p w14:paraId="59BD7D71" w14:textId="06527782" w:rsidR="00CE1D3C" w:rsidRPr="00CE1D3C" w:rsidRDefault="00CE1D3C" w:rsidP="00CE1D3C">
            <w:pPr>
              <w:pStyle w:val="dotpoints"/>
            </w:pPr>
            <w:r w:rsidRPr="00CE1D3C">
              <w:t xml:space="preserve">The </w:t>
            </w:r>
            <w:r w:rsidRPr="00DE4290">
              <w:t>post-closure plan</w:t>
            </w:r>
            <w:r w:rsidRPr="00CE1D3C">
              <w:t xml:space="preserve"> </w:t>
            </w:r>
            <w:r w:rsidR="009A5BB4">
              <w:t>must</w:t>
            </w:r>
            <w:r w:rsidR="004F25F9">
              <w:t>:</w:t>
            </w:r>
          </w:p>
          <w:p w14:paraId="5582387C" w14:textId="24BF72FF" w:rsidR="00CE1D3C" w:rsidRPr="00CE1D3C" w:rsidRDefault="009A5BB4" w:rsidP="009002B5">
            <w:pPr>
              <w:pStyle w:val="dotpoints2"/>
              <w:ind w:left="909" w:hanging="425"/>
            </w:pPr>
            <w:r>
              <w:t>As far as reasonably practicable, i</w:t>
            </w:r>
            <w:r w:rsidR="00CE1D3C" w:rsidRPr="00CE1D3C">
              <w:t xml:space="preserve">dentify who is responsible for post-closure monitoring and maintenance activities </w:t>
            </w:r>
          </w:p>
          <w:p w14:paraId="7FBDBE1E" w14:textId="77777777" w:rsidR="00CE1D3C" w:rsidRPr="00CE1D3C" w:rsidRDefault="00CE1D3C" w:rsidP="009002B5">
            <w:pPr>
              <w:pStyle w:val="dotpoints2"/>
              <w:ind w:left="909" w:hanging="425"/>
            </w:pPr>
            <w:r w:rsidRPr="00CE1D3C">
              <w:t>Identify the ongoing monitoring and maintenance activities required to maintain the declared mine land in a safe and stable state</w:t>
            </w:r>
          </w:p>
          <w:p w14:paraId="2D337345" w14:textId="77777777" w:rsidR="00CE1D3C" w:rsidRPr="00CE1D3C" w:rsidRDefault="00CE1D3C" w:rsidP="009002B5">
            <w:pPr>
              <w:pStyle w:val="dotpoints2"/>
              <w:ind w:left="909" w:hanging="425"/>
            </w:pPr>
            <w:r w:rsidRPr="00CE1D3C">
              <w:t>Include a risk management plan for known and credible risks e.g. fire management, stability and groundwater management plans</w:t>
            </w:r>
          </w:p>
          <w:p w14:paraId="29D9E6F9" w14:textId="642E0DC2" w:rsidR="00CE1D3C" w:rsidRPr="00CE1D3C" w:rsidRDefault="7043A042" w:rsidP="009002B5">
            <w:pPr>
              <w:pStyle w:val="dotpoints2"/>
              <w:ind w:left="909" w:hanging="425"/>
            </w:pPr>
            <w:r>
              <w:t xml:space="preserve">As far as reasonably practicable, </w:t>
            </w:r>
            <w:r w:rsidR="58FD4D38">
              <w:t>specify the time and way the ongoing monitoring and maintenance activities will be carried out</w:t>
            </w:r>
          </w:p>
          <w:p w14:paraId="2D4FFC14" w14:textId="1211690C" w:rsidR="000C49BC" w:rsidRDefault="00766FC2" w:rsidP="009002B5">
            <w:pPr>
              <w:pStyle w:val="dotpoints2"/>
              <w:ind w:left="909" w:hanging="425"/>
            </w:pPr>
            <w:r>
              <w:t xml:space="preserve">As far as reasonably practicable, </w:t>
            </w:r>
            <w:r w:rsidR="00CE1D3C" w:rsidRPr="00CE1D3C">
              <w:t>specify any data, reports and information to be provided to the Authority once the plan is registered</w:t>
            </w:r>
          </w:p>
        </w:tc>
      </w:tr>
      <w:tr w:rsidR="00802821" w:rsidRPr="00D51674" w14:paraId="43710E2B" w14:textId="1D61274D" w:rsidTr="43AC08A2">
        <w:trPr>
          <w:trHeight w:val="393"/>
        </w:trPr>
        <w:tc>
          <w:tcPr>
            <w:tcW w:w="1859" w:type="dxa"/>
          </w:tcPr>
          <w:p w14:paraId="008EA974" w14:textId="4395F29F" w:rsidR="00802821" w:rsidRDefault="00802821" w:rsidP="00FE20A5">
            <w:r>
              <w:lastRenderedPageBreak/>
              <w:t>Decision-making</w:t>
            </w:r>
            <w:r w:rsidR="00AA36D0">
              <w:t xml:space="preserve"> on DMRP and mine closure</w:t>
            </w:r>
          </w:p>
        </w:tc>
        <w:tc>
          <w:tcPr>
            <w:tcW w:w="3145" w:type="dxa"/>
          </w:tcPr>
          <w:p w14:paraId="516BEF83" w14:textId="4E46C606" w:rsidR="00802821" w:rsidRPr="0024528B" w:rsidRDefault="00802821" w:rsidP="00802821">
            <w:pPr>
              <w:pStyle w:val="dotpoints"/>
            </w:pPr>
            <w:r>
              <w:t>Nothing prescribed because objectives are bespoke and site-specific</w:t>
            </w:r>
          </w:p>
        </w:tc>
        <w:tc>
          <w:tcPr>
            <w:tcW w:w="3854" w:type="dxa"/>
          </w:tcPr>
          <w:p w14:paraId="06250A96" w14:textId="77777777" w:rsidR="00802821" w:rsidRDefault="00802821" w:rsidP="00802821">
            <w:pPr>
              <w:pStyle w:val="dotpoints"/>
            </w:pPr>
            <w:r>
              <w:t>Regulations prescribe:</w:t>
            </w:r>
          </w:p>
          <w:p w14:paraId="79BB554A" w14:textId="78DA27A2" w:rsidR="00802821" w:rsidRDefault="00802821" w:rsidP="00802821">
            <w:pPr>
              <w:pStyle w:val="dotpoints2"/>
              <w:ind w:left="909" w:hanging="425"/>
            </w:pPr>
            <w:r>
              <w:t>Evidence to be provided with approval/closure application</w:t>
            </w:r>
          </w:p>
          <w:p w14:paraId="074BC01D" w14:textId="642F6D8E" w:rsidR="00802821" w:rsidRDefault="00802821" w:rsidP="00802821">
            <w:pPr>
              <w:pStyle w:val="dotpoints2"/>
              <w:ind w:left="909" w:hanging="425"/>
            </w:pPr>
            <w:r>
              <w:t>Matters to be considered by decision-maker</w:t>
            </w:r>
          </w:p>
          <w:p w14:paraId="332D7B1B" w14:textId="345DDF7E" w:rsidR="00802821" w:rsidRPr="0024528B" w:rsidRDefault="00802821" w:rsidP="00802821">
            <w:pPr>
              <w:pStyle w:val="dotpoints2"/>
              <w:ind w:left="909" w:hanging="425"/>
            </w:pPr>
            <w:r>
              <w:t>Extended list of referrals/consultations to be undertaken by decision-maker</w:t>
            </w:r>
          </w:p>
        </w:tc>
      </w:tr>
      <w:tr w:rsidR="00802821" w:rsidRPr="00D51674" w14:paraId="4E69E51E" w14:textId="72D8953F" w:rsidTr="43AC08A2">
        <w:trPr>
          <w:trHeight w:val="393"/>
        </w:trPr>
        <w:tc>
          <w:tcPr>
            <w:tcW w:w="1859" w:type="dxa"/>
          </w:tcPr>
          <w:p w14:paraId="63397324" w14:textId="44A7BC7A" w:rsidR="00802821" w:rsidRDefault="00802821" w:rsidP="00FE20A5">
            <w:r>
              <w:t xml:space="preserve">Expectation at </w:t>
            </w:r>
            <w:r w:rsidR="00FC5CBA">
              <w:t>DMRP a</w:t>
            </w:r>
            <w:r>
              <w:t>pproval</w:t>
            </w:r>
          </w:p>
        </w:tc>
        <w:tc>
          <w:tcPr>
            <w:tcW w:w="3145" w:type="dxa"/>
          </w:tcPr>
          <w:p w14:paraId="36C51EFA" w14:textId="0700AF7C" w:rsidR="00802821" w:rsidRPr="001B04BC" w:rsidRDefault="00802821" w:rsidP="00802821">
            <w:pPr>
              <w:pStyle w:val="dotpoints"/>
            </w:pPr>
            <w:r>
              <w:t>Full detail for all elements of plan</w:t>
            </w:r>
          </w:p>
        </w:tc>
        <w:tc>
          <w:tcPr>
            <w:tcW w:w="3854" w:type="dxa"/>
          </w:tcPr>
          <w:p w14:paraId="517E7FF5" w14:textId="77777777" w:rsidR="00802821" w:rsidRDefault="00802821" w:rsidP="00802821">
            <w:pPr>
              <w:pStyle w:val="dotpoints"/>
            </w:pPr>
            <w:r>
              <w:t>Each core element of the plan must be addressed</w:t>
            </w:r>
          </w:p>
          <w:p w14:paraId="79E274F0" w14:textId="01AF4A83" w:rsidR="00802821" w:rsidRPr="001B04BC" w:rsidRDefault="00802821" w:rsidP="00802821">
            <w:pPr>
              <w:pStyle w:val="dotpoints"/>
            </w:pPr>
            <w:r>
              <w:t>Detail can develop over time, and less detail may be required depending on the mine lifecycle stage</w:t>
            </w:r>
          </w:p>
        </w:tc>
      </w:tr>
      <w:tr w:rsidR="00802821" w:rsidRPr="001945B1" w14:paraId="0FFB403B" w14:textId="77777777" w:rsidTr="43AC08A2">
        <w:trPr>
          <w:trHeight w:val="393"/>
        </w:trPr>
        <w:tc>
          <w:tcPr>
            <w:tcW w:w="1859" w:type="dxa"/>
          </w:tcPr>
          <w:p w14:paraId="48DDC92A" w14:textId="12804400" w:rsidR="00802821" w:rsidRDefault="00802821" w:rsidP="00FE20A5">
            <w:r>
              <w:t>How plans are updated</w:t>
            </w:r>
          </w:p>
        </w:tc>
        <w:tc>
          <w:tcPr>
            <w:tcW w:w="3145" w:type="dxa"/>
          </w:tcPr>
          <w:p w14:paraId="04EC2F85" w14:textId="77777777" w:rsidR="00802821" w:rsidRDefault="00802821" w:rsidP="00802821">
            <w:pPr>
              <w:pStyle w:val="dotpoints"/>
            </w:pPr>
            <w:r>
              <w:t>Licensee-initiated plan variation, with the threshold for variation set in Regulations</w:t>
            </w:r>
          </w:p>
          <w:p w14:paraId="339A8C4A" w14:textId="28D086F5" w:rsidR="00802821" w:rsidRPr="001B04BC" w:rsidRDefault="00802821" w:rsidP="00802821">
            <w:pPr>
              <w:pStyle w:val="dotpoints"/>
            </w:pPr>
            <w:r>
              <w:t>Regulator can request an application for variation</w:t>
            </w:r>
            <w:r w:rsidR="00F724C6">
              <w:t xml:space="preserve"> under the Act</w:t>
            </w:r>
          </w:p>
        </w:tc>
        <w:tc>
          <w:tcPr>
            <w:tcW w:w="3854" w:type="dxa"/>
          </w:tcPr>
          <w:p w14:paraId="49DFDF69" w14:textId="2E23039A" w:rsidR="00802821" w:rsidRPr="006E1000" w:rsidRDefault="00F12925" w:rsidP="00802821">
            <w:pPr>
              <w:pStyle w:val="dotpoints"/>
            </w:pPr>
            <w:r>
              <w:t>Annual</w:t>
            </w:r>
            <w:r w:rsidR="00802821" w:rsidRPr="001945B1">
              <w:t xml:space="preserve"> review of </w:t>
            </w:r>
            <w:r w:rsidR="00AA055E">
              <w:t>rehabilitation and</w:t>
            </w:r>
            <w:r w:rsidR="003A3227">
              <w:t xml:space="preserve"> post-closure management risks</w:t>
            </w:r>
            <w:r w:rsidR="00802821" w:rsidRPr="001945B1">
              <w:t xml:space="preserve"> </w:t>
            </w:r>
          </w:p>
          <w:p w14:paraId="4B04BE09" w14:textId="705E0E19" w:rsidR="00802821" w:rsidRPr="006E1000" w:rsidRDefault="00802821" w:rsidP="00802821">
            <w:pPr>
              <w:pStyle w:val="dotpoints"/>
            </w:pPr>
            <w:r w:rsidRPr="001945B1">
              <w:t>Plans can also be varied</w:t>
            </w:r>
            <w:r w:rsidR="00DB3B89">
              <w:t xml:space="preserve"> at the request of the regulator</w:t>
            </w:r>
            <w:r w:rsidRPr="001945B1">
              <w:t>, per Option 1</w:t>
            </w:r>
            <w:r w:rsidR="00457628">
              <w:t xml:space="preserve">, and at the </w:t>
            </w:r>
            <w:r w:rsidR="00FC1E9A">
              <w:t>d</w:t>
            </w:r>
            <w:r w:rsidR="00457628">
              <w:t>irection of the</w:t>
            </w:r>
            <w:r w:rsidR="00FC1E9A">
              <w:t xml:space="preserve"> Department Head</w:t>
            </w:r>
            <w:r w:rsidR="00457628">
              <w:t xml:space="preserve"> </w:t>
            </w:r>
          </w:p>
        </w:tc>
      </w:tr>
      <w:tr w:rsidR="00802821" w:rsidRPr="00D51674" w14:paraId="3D61FFD5" w14:textId="77777777" w:rsidTr="43AC08A2">
        <w:trPr>
          <w:trHeight w:val="393"/>
        </w:trPr>
        <w:tc>
          <w:tcPr>
            <w:tcW w:w="1859" w:type="dxa"/>
          </w:tcPr>
          <w:p w14:paraId="1EB0DC8C" w14:textId="2B4787A3" w:rsidR="00802821" w:rsidRDefault="00802821" w:rsidP="00FE20A5">
            <w:r>
              <w:t>Reporting requirements</w:t>
            </w:r>
          </w:p>
        </w:tc>
        <w:tc>
          <w:tcPr>
            <w:tcW w:w="3145" w:type="dxa"/>
          </w:tcPr>
          <w:p w14:paraId="59BA4C00" w14:textId="77777777" w:rsidR="00802821" w:rsidRDefault="00885CF7" w:rsidP="00885CF7">
            <w:pPr>
              <w:pStyle w:val="ListBullet"/>
            </w:pPr>
            <w:r>
              <w:t>Annual reporting on:</w:t>
            </w:r>
          </w:p>
          <w:p w14:paraId="7A6C3ED8" w14:textId="77777777" w:rsidR="00885CF7" w:rsidRDefault="00885CF7" w:rsidP="00885CF7">
            <w:pPr>
              <w:pStyle w:val="dotpoints2"/>
              <w:ind w:left="870" w:hanging="425"/>
            </w:pPr>
            <w:r>
              <w:t>Rehabilitation activities and progress against defined milestones</w:t>
            </w:r>
          </w:p>
          <w:p w14:paraId="46DCD69E" w14:textId="2A55BC67" w:rsidR="00885CF7" w:rsidRPr="001B04BC" w:rsidRDefault="00885CF7" w:rsidP="00885CF7">
            <w:pPr>
              <w:pStyle w:val="dotpoints2"/>
              <w:ind w:left="870" w:hanging="425"/>
            </w:pPr>
            <w:r>
              <w:t>Assessment of remaining rehabilitation liability</w:t>
            </w:r>
          </w:p>
        </w:tc>
        <w:tc>
          <w:tcPr>
            <w:tcW w:w="3854" w:type="dxa"/>
          </w:tcPr>
          <w:p w14:paraId="7780C738" w14:textId="77777777" w:rsidR="00802821" w:rsidRPr="00785ABF" w:rsidRDefault="00885CF7" w:rsidP="00802821">
            <w:pPr>
              <w:pStyle w:val="dotpoints"/>
            </w:pPr>
            <w:r>
              <w:t>Annu</w:t>
            </w:r>
            <w:r w:rsidRPr="00785ABF">
              <w:t>al reporting on:</w:t>
            </w:r>
          </w:p>
          <w:p w14:paraId="68E99A0C" w14:textId="45CA23A6" w:rsidR="001427A8" w:rsidRPr="00785ABF" w:rsidRDefault="7F34976B" w:rsidP="001427A8">
            <w:pPr>
              <w:pStyle w:val="dotpoints2"/>
              <w:ind w:left="839" w:hanging="425"/>
            </w:pPr>
            <w:r>
              <w:t>Progress on components of plan requiring additional detail</w:t>
            </w:r>
          </w:p>
          <w:p w14:paraId="64C7B438" w14:textId="76C65F02" w:rsidR="001427A8" w:rsidRPr="00785ABF" w:rsidRDefault="7F34976B" w:rsidP="001427A8">
            <w:pPr>
              <w:pStyle w:val="dotpoints2"/>
              <w:ind w:left="839" w:hanging="425"/>
            </w:pPr>
            <w:r>
              <w:t>Review of risks</w:t>
            </w:r>
          </w:p>
          <w:p w14:paraId="43CE1657" w14:textId="3337C969" w:rsidR="00885CF7" w:rsidRPr="00785ABF" w:rsidRDefault="7F34976B" w:rsidP="00885CF7">
            <w:pPr>
              <w:pStyle w:val="dotpoints2"/>
              <w:ind w:left="839" w:hanging="425"/>
            </w:pPr>
            <w:r>
              <w:t>Reasons for non-compliance with milestones (and associated remedial action)</w:t>
            </w:r>
          </w:p>
          <w:p w14:paraId="1AB9044C" w14:textId="7E369A61" w:rsidR="00885CF7" w:rsidRPr="00785ABF" w:rsidRDefault="72131A89" w:rsidP="00885CF7">
            <w:pPr>
              <w:pStyle w:val="dotpoints2"/>
              <w:ind w:left="839" w:hanging="425"/>
            </w:pPr>
            <w:r>
              <w:t>Technical and economic studies undertaken</w:t>
            </w:r>
          </w:p>
          <w:p w14:paraId="5E058A10" w14:textId="5AF0F9C2" w:rsidR="00885CF7" w:rsidRPr="00785ABF" w:rsidRDefault="72131A89" w:rsidP="00885CF7">
            <w:pPr>
              <w:pStyle w:val="dotpoints2"/>
              <w:ind w:left="839" w:hanging="425"/>
            </w:pPr>
            <w:r>
              <w:t>Status summary in relation to required regulatory processes</w:t>
            </w:r>
          </w:p>
          <w:p w14:paraId="2B791948" w14:textId="69AA60A4" w:rsidR="00664BF8" w:rsidRPr="00785ABF" w:rsidRDefault="62D6014B" w:rsidP="00885CF7">
            <w:pPr>
              <w:pStyle w:val="dotpoints2"/>
              <w:ind w:left="839" w:hanging="425"/>
            </w:pPr>
            <w:r>
              <w:t>Summary of community engagement programs</w:t>
            </w:r>
          </w:p>
          <w:p w14:paraId="1D5B99A0" w14:textId="484A5343" w:rsidR="00785ABF" w:rsidRPr="00785ABF" w:rsidRDefault="128C4C5D" w:rsidP="00885CF7">
            <w:pPr>
              <w:pStyle w:val="dotpoints2"/>
              <w:ind w:left="839" w:hanging="425"/>
            </w:pPr>
            <w:r>
              <w:t>Summary of reportable events</w:t>
            </w:r>
          </w:p>
          <w:p w14:paraId="7EA5548B" w14:textId="3ED292E9" w:rsidR="00785ABF" w:rsidRPr="00785ABF" w:rsidRDefault="00785ABF" w:rsidP="00885CF7">
            <w:pPr>
              <w:pStyle w:val="dotpoints2"/>
              <w:ind w:left="839" w:hanging="425"/>
            </w:pPr>
            <w:r w:rsidRPr="00785ABF">
              <w:t>Potential rehabilitation issues</w:t>
            </w:r>
          </w:p>
          <w:p w14:paraId="19175E47" w14:textId="77777777" w:rsidR="00885CF7" w:rsidRDefault="00885CF7" w:rsidP="00885CF7">
            <w:pPr>
              <w:pStyle w:val="dotpoints"/>
            </w:pPr>
            <w:r w:rsidRPr="00785ABF">
              <w:t>Trigg</w:t>
            </w:r>
            <w:r>
              <w:t>er reporting on:</w:t>
            </w:r>
          </w:p>
          <w:p w14:paraId="0F27234A" w14:textId="77777777" w:rsidR="00885CF7" w:rsidRDefault="00885CF7" w:rsidP="00885CF7">
            <w:pPr>
              <w:pStyle w:val="dotpoints2"/>
              <w:ind w:left="839" w:hanging="425"/>
            </w:pPr>
            <w:r>
              <w:t>Reportable events</w:t>
            </w:r>
          </w:p>
          <w:p w14:paraId="212256A0" w14:textId="65DE55CE" w:rsidR="00885CF7" w:rsidRPr="001B04BC" w:rsidRDefault="00885CF7" w:rsidP="00885CF7">
            <w:pPr>
              <w:pStyle w:val="dotpoints2"/>
              <w:ind w:left="839" w:hanging="425"/>
            </w:pPr>
            <w:r>
              <w:t>Plan updates</w:t>
            </w:r>
          </w:p>
        </w:tc>
      </w:tr>
      <w:tr w:rsidR="0012159A" w:rsidRPr="00D51674" w14:paraId="5C639E24" w14:textId="77777777" w:rsidTr="43AC08A2">
        <w:trPr>
          <w:trHeight w:val="393"/>
        </w:trPr>
        <w:tc>
          <w:tcPr>
            <w:tcW w:w="1859" w:type="dxa"/>
            <w:tcBorders>
              <w:bottom w:val="single" w:sz="4" w:space="0" w:color="1B0B38"/>
            </w:tcBorders>
          </w:tcPr>
          <w:p w14:paraId="03A97D45" w14:textId="698F6BA4" w:rsidR="0012159A" w:rsidRDefault="0012159A" w:rsidP="00FE20A5">
            <w:r>
              <w:t>Determining the Fund contribution amount</w:t>
            </w:r>
          </w:p>
        </w:tc>
        <w:tc>
          <w:tcPr>
            <w:tcW w:w="3145" w:type="dxa"/>
            <w:tcBorders>
              <w:bottom w:val="single" w:sz="4" w:space="0" w:color="1B0B38"/>
            </w:tcBorders>
          </w:tcPr>
          <w:p w14:paraId="18378288" w14:textId="3D86A78A" w:rsidR="0012159A" w:rsidRDefault="0012159A" w:rsidP="00885CF7">
            <w:pPr>
              <w:pStyle w:val="ListBullet"/>
            </w:pPr>
            <w:r>
              <w:t>No method or process is prescribed</w:t>
            </w:r>
            <w:r w:rsidR="00B50A5A">
              <w:t xml:space="preserve"> in Regulations (the Minister would convene an advisory committee under the Act to determine the amount)</w:t>
            </w:r>
          </w:p>
        </w:tc>
        <w:tc>
          <w:tcPr>
            <w:tcW w:w="3854" w:type="dxa"/>
            <w:tcBorders>
              <w:bottom w:val="single" w:sz="4" w:space="0" w:color="1B0B38"/>
            </w:tcBorders>
          </w:tcPr>
          <w:p w14:paraId="0E2B0889" w14:textId="3246B740" w:rsidR="0012159A" w:rsidRDefault="0012159A" w:rsidP="00802821">
            <w:pPr>
              <w:pStyle w:val="dotpoints"/>
            </w:pPr>
            <w:r>
              <w:t xml:space="preserve">Regulations </w:t>
            </w:r>
            <w:r w:rsidR="005471A6">
              <w:t>require</w:t>
            </w:r>
            <w:r w:rsidR="00D84EC7">
              <w:t xml:space="preserve"> Licensee to include </w:t>
            </w:r>
            <w:r w:rsidR="00C66230">
              <w:t>information to enable the Minister to determine the amount of any contribut</w:t>
            </w:r>
            <w:r w:rsidR="004D01C3">
              <w:t>ion</w:t>
            </w:r>
            <w:r w:rsidR="00C66230">
              <w:t xml:space="preserve"> to the Declared Mine Fund including</w:t>
            </w:r>
            <w:r>
              <w:t>:</w:t>
            </w:r>
          </w:p>
          <w:p w14:paraId="7E3F1D0C" w14:textId="5DF0F2AE" w:rsidR="0012159A" w:rsidRDefault="009C38CC" w:rsidP="006E1000">
            <w:pPr>
              <w:pStyle w:val="dotpoints2"/>
              <w:ind w:left="839" w:hanging="425"/>
            </w:pPr>
            <w:r>
              <w:t>An estimate of t</w:t>
            </w:r>
            <w:r w:rsidR="0012159A">
              <w:t>he present value of the future costs associated with the monitoring and maintenance obligations; and</w:t>
            </w:r>
          </w:p>
          <w:p w14:paraId="2497534E" w14:textId="76A84C4F" w:rsidR="0012159A" w:rsidRDefault="0053424A" w:rsidP="006E1000">
            <w:pPr>
              <w:pStyle w:val="dotpoints2"/>
              <w:ind w:left="839" w:hanging="425"/>
            </w:pPr>
            <w:r>
              <w:t>Definitions and calculations of</w:t>
            </w:r>
            <w:r w:rsidR="0012159A">
              <w:t xml:space="preserve"> the cost</w:t>
            </w:r>
            <w:r>
              <w:t>s</w:t>
            </w:r>
            <w:r w:rsidR="0012159A">
              <w:t xml:space="preserve"> </w:t>
            </w:r>
            <w:r>
              <w:t>relating to</w:t>
            </w:r>
            <w:r w:rsidR="0012159A">
              <w:t xml:space="preserve"> adverse events</w:t>
            </w:r>
          </w:p>
        </w:tc>
      </w:tr>
    </w:tbl>
    <w:p w14:paraId="102B4185" w14:textId="65AE2569" w:rsidR="217C4165" w:rsidRDefault="217C4165"/>
    <w:p w14:paraId="6F0B0167" w14:textId="4B7D54CC" w:rsidR="008B5FD9" w:rsidRDefault="008B5FD9" w:rsidP="00D50C43">
      <w:pPr>
        <w:pStyle w:val="Heading2"/>
        <w:numPr>
          <w:ilvl w:val="1"/>
          <w:numId w:val="124"/>
        </w:numPr>
      </w:pPr>
      <w:bookmarkStart w:id="265" w:name="_Ref46151221"/>
      <w:bookmarkStart w:id="266" w:name="_Ref52365382"/>
      <w:bookmarkStart w:id="267" w:name="_Toc104217689"/>
      <w:r w:rsidRPr="008B5FD9">
        <w:lastRenderedPageBreak/>
        <w:t xml:space="preserve">Base case – </w:t>
      </w:r>
      <w:r>
        <w:t>W</w:t>
      </w:r>
      <w:r w:rsidRPr="008B5FD9">
        <w:t xml:space="preserve">hat will happen if </w:t>
      </w:r>
      <w:bookmarkEnd w:id="265"/>
      <w:r w:rsidR="00301D83">
        <w:t>the regulations are not amended</w:t>
      </w:r>
      <w:bookmarkEnd w:id="266"/>
      <w:bookmarkEnd w:id="267"/>
    </w:p>
    <w:p w14:paraId="2D035C17" w14:textId="71F66AC9" w:rsidR="00DA3F88" w:rsidRDefault="00B50A5A" w:rsidP="00A842BC">
      <w:r>
        <w:t>Under the base case, the declared mine rehabilitation framework under the Act would stand alone, without additional supporting regulations. The</w:t>
      </w:r>
      <w:r w:rsidR="008B5FD9" w:rsidRPr="008B5FD9">
        <w:t xml:space="preserve"> base case </w:t>
      </w:r>
      <w:r>
        <w:t>is</w:t>
      </w:r>
      <w:r w:rsidR="008B5FD9" w:rsidRPr="008B5FD9">
        <w:t xml:space="preserve"> </w:t>
      </w:r>
      <w:r w:rsidR="00381DCD">
        <w:t xml:space="preserve">described </w:t>
      </w:r>
      <w:r w:rsidR="00CD3390">
        <w:t>below</w:t>
      </w:r>
      <w:r w:rsidR="00381DCD">
        <w:t>.</w:t>
      </w:r>
      <w:r w:rsidR="00A92110">
        <w:t xml:space="preserve"> </w:t>
      </w:r>
    </w:p>
    <w:p w14:paraId="1714613F" w14:textId="0E09BBAC" w:rsidR="004D01C3" w:rsidRPr="004D01C3" w:rsidRDefault="00C20296" w:rsidP="00A842BC">
      <w:r w:rsidRPr="00DE4290">
        <w:t>The way the Act amendments and the 2019 Regulations were drafted means that under the base case, there is no effective requirement for declared mine operators to submit a new rehabilitation plan for their mines</w:t>
      </w:r>
      <w:r w:rsidRPr="004D01C3">
        <w:t>.</w:t>
      </w:r>
      <w:r w:rsidR="004D01C3" w:rsidRPr="004D01C3">
        <w:t xml:space="preserve"> As at </w:t>
      </w:r>
      <w:r w:rsidR="00401AF9">
        <w:t>April</w:t>
      </w:r>
      <w:r w:rsidR="00D1224A">
        <w:t xml:space="preserve"> 2022</w:t>
      </w:r>
      <w:r w:rsidR="004D01C3" w:rsidRPr="004D01C3">
        <w:t>, none of the current declared mines have rehabilitation plans approved under the 2019 Regulations</w:t>
      </w:r>
      <w:r w:rsidR="001239CC">
        <w:t>.</w:t>
      </w:r>
      <w:r w:rsidR="00F23FAD">
        <w:t xml:space="preserve"> </w:t>
      </w:r>
      <w:r w:rsidR="002F0825">
        <w:t xml:space="preserve">Therefore, the base case is not a feasible option, as </w:t>
      </w:r>
      <w:r w:rsidR="00440FDA">
        <w:t>the changes to the declared mine rehabilitation framework introduced in the Amendment Act will not apply</w:t>
      </w:r>
      <w:r w:rsidR="006E2845">
        <w:t xml:space="preserve"> unconditionally to the current declared mines</w:t>
      </w:r>
      <w:r w:rsidR="00440FDA">
        <w:t>.</w:t>
      </w:r>
    </w:p>
    <w:p w14:paraId="3B79A43E" w14:textId="53D44B64" w:rsidR="00CD3390" w:rsidRDefault="00CD3390" w:rsidP="00D50C43">
      <w:pPr>
        <w:pStyle w:val="Heading3"/>
        <w:numPr>
          <w:ilvl w:val="2"/>
          <w:numId w:val="124"/>
        </w:numPr>
      </w:pPr>
      <w:bookmarkStart w:id="268" w:name="_Toc59184653"/>
      <w:bookmarkStart w:id="269" w:name="_Toc59184750"/>
      <w:bookmarkStart w:id="270" w:name="_Toc59184915"/>
      <w:bookmarkStart w:id="271" w:name="_Toc104217690"/>
      <w:bookmarkEnd w:id="268"/>
      <w:bookmarkEnd w:id="269"/>
      <w:bookmarkEnd w:id="270"/>
      <w:r>
        <w:t>Rehabilitation planning</w:t>
      </w:r>
      <w:r w:rsidR="003B34EE">
        <w:t xml:space="preserve"> – base case</w:t>
      </w:r>
      <w:bookmarkEnd w:id="271"/>
    </w:p>
    <w:p w14:paraId="5B3C6707" w14:textId="16F624AA" w:rsidR="0089745E" w:rsidRPr="0089745E" w:rsidRDefault="0089745E" w:rsidP="003F70FF">
      <w:pPr>
        <w:pStyle w:val="Heading6"/>
      </w:pPr>
      <w:r>
        <w:t>Rehabilitation and closure outcomes and principles</w:t>
      </w:r>
    </w:p>
    <w:p w14:paraId="42F6AB93" w14:textId="078513EB" w:rsidR="00F8548D" w:rsidRDefault="00773379" w:rsidP="00DB200F">
      <w:r>
        <w:t xml:space="preserve">The outcomes and principles for rehabilitation specified in the Act and existing Regulations are limited to: </w:t>
      </w:r>
    </w:p>
    <w:p w14:paraId="09D855D2" w14:textId="5FCEC395" w:rsidR="00F8548D" w:rsidRDefault="00F8548D" w:rsidP="65E3E9F9">
      <w:pPr>
        <w:pStyle w:val="ListParagraph"/>
        <w:numPr>
          <w:ilvl w:val="0"/>
          <w:numId w:val="31"/>
        </w:numPr>
        <w:spacing w:after="60"/>
        <w:ind w:left="426" w:hanging="357"/>
        <w:rPr>
          <w:rFonts w:asciiTheme="minorHAnsi" w:hAnsiTheme="minorHAnsi" w:cstheme="minorBidi"/>
          <w:sz w:val="18"/>
          <w:szCs w:val="18"/>
        </w:rPr>
      </w:pPr>
      <w:r w:rsidRPr="65E3E9F9">
        <w:rPr>
          <w:rFonts w:asciiTheme="minorHAnsi" w:hAnsiTheme="minorHAnsi" w:cstheme="minorBidi"/>
          <w:sz w:val="18"/>
          <w:szCs w:val="18"/>
        </w:rPr>
        <w:t>t</w:t>
      </w:r>
      <w:r w:rsidRPr="7B3EF51E">
        <w:rPr>
          <w:rFonts w:asciiTheme="minorHAnsi" w:hAnsiTheme="minorHAnsi" w:cstheme="minorBidi"/>
          <w:sz w:val="18"/>
          <w:szCs w:val="18"/>
        </w:rPr>
        <w:t>he general principle that sustainable development principles should be taken into consideration in the administration of the Act;</w:t>
      </w:r>
      <w:r w:rsidRPr="7B3EF51E">
        <w:rPr>
          <w:rStyle w:val="FootnoteReference"/>
          <w:rFonts w:asciiTheme="minorHAnsi" w:hAnsiTheme="minorHAnsi" w:cstheme="minorBidi"/>
          <w:sz w:val="18"/>
          <w:szCs w:val="18"/>
        </w:rPr>
        <w:footnoteReference w:id="145"/>
      </w:r>
    </w:p>
    <w:p w14:paraId="7E4F5425" w14:textId="1A3208B8" w:rsidR="00F8548D" w:rsidRDefault="6121119D" w:rsidP="5CF0E88B">
      <w:pPr>
        <w:pStyle w:val="ListParagraph"/>
        <w:numPr>
          <w:ilvl w:val="0"/>
          <w:numId w:val="31"/>
        </w:numPr>
        <w:spacing w:after="60"/>
        <w:ind w:left="426" w:hanging="357"/>
        <w:rPr>
          <w:rFonts w:asciiTheme="minorHAnsi" w:hAnsiTheme="minorHAnsi" w:cstheme="minorBidi"/>
          <w:sz w:val="18"/>
          <w:szCs w:val="18"/>
        </w:rPr>
      </w:pPr>
      <w:r w:rsidRPr="5CF0E88B">
        <w:rPr>
          <w:rFonts w:asciiTheme="minorHAnsi" w:hAnsiTheme="minorHAnsi" w:cstheme="minorBidi"/>
          <w:sz w:val="18"/>
          <w:szCs w:val="18"/>
        </w:rPr>
        <w:t>the requirement under the Act that a rehabilitation plan must take into account matters such as the surrounding environment, need to stabilise the land and potential for long-term degradation of the environment;</w:t>
      </w:r>
      <w:r w:rsidR="00F8548D" w:rsidRPr="5CF0E88B">
        <w:rPr>
          <w:rStyle w:val="FootnoteReference"/>
          <w:rFonts w:asciiTheme="minorHAnsi" w:hAnsiTheme="minorHAnsi" w:cstheme="minorBidi"/>
          <w:sz w:val="18"/>
          <w:szCs w:val="18"/>
        </w:rPr>
        <w:footnoteReference w:id="146"/>
      </w:r>
      <w:r w:rsidRPr="5CF0E88B">
        <w:rPr>
          <w:rFonts w:asciiTheme="minorHAnsi" w:hAnsiTheme="minorHAnsi" w:cstheme="minorBidi"/>
          <w:sz w:val="18"/>
          <w:szCs w:val="18"/>
        </w:rPr>
        <w:t xml:space="preserve"> and</w:t>
      </w:r>
    </w:p>
    <w:p w14:paraId="1DE9BA91" w14:textId="0C85294E" w:rsidR="00F8548D" w:rsidRPr="004318CE" w:rsidRDefault="17BF91FD" w:rsidP="5CF0E88B">
      <w:pPr>
        <w:pStyle w:val="ListParagraph"/>
        <w:numPr>
          <w:ilvl w:val="0"/>
          <w:numId w:val="31"/>
        </w:numPr>
        <w:spacing w:after="60"/>
        <w:ind w:left="426" w:hanging="357"/>
        <w:rPr>
          <w:rFonts w:asciiTheme="minorHAnsi" w:hAnsiTheme="minorHAnsi" w:cstheme="minorBidi"/>
          <w:sz w:val="18"/>
          <w:szCs w:val="18"/>
        </w:rPr>
      </w:pPr>
      <w:r w:rsidRPr="5CF0E88B">
        <w:rPr>
          <w:rFonts w:asciiTheme="minorHAnsi" w:hAnsiTheme="minorHAnsi" w:cstheme="minorBidi"/>
          <w:sz w:val="18"/>
          <w:szCs w:val="18"/>
        </w:rPr>
        <w:t>the outcome applicable to work plans lodged or varied after 1 July 2020 that to complete rehabilitation, a land form must be achieved which is safe, stable and sustainable, and be capable of supporting the proposed post-closure land use.</w:t>
      </w:r>
      <w:r w:rsidR="00F8548D" w:rsidRPr="5CF0E88B">
        <w:rPr>
          <w:rStyle w:val="FootnoteReference"/>
          <w:rFonts w:asciiTheme="minorHAnsi" w:hAnsiTheme="minorHAnsi" w:cstheme="minorBidi"/>
          <w:sz w:val="18"/>
          <w:szCs w:val="18"/>
        </w:rPr>
        <w:footnoteReference w:id="147"/>
      </w:r>
    </w:p>
    <w:p w14:paraId="28F49788" w14:textId="2BBCAE30" w:rsidR="00F8548D" w:rsidRDefault="004318CE" w:rsidP="00DB200F">
      <w:r>
        <w:t>The</w:t>
      </w:r>
      <w:r w:rsidR="00773379">
        <w:t xml:space="preserve"> only specifications about </w:t>
      </w:r>
      <w:r>
        <w:t>the post-closure land use for mine site</w:t>
      </w:r>
      <w:r w:rsidR="00773379">
        <w:t>s in the Act and existing Regulations are:</w:t>
      </w:r>
    </w:p>
    <w:p w14:paraId="4DD9269F" w14:textId="055D7831" w:rsidR="004318CE" w:rsidRDefault="3C6DE51C" w:rsidP="5CF0E88B">
      <w:pPr>
        <w:pStyle w:val="ListParagraph"/>
        <w:numPr>
          <w:ilvl w:val="0"/>
          <w:numId w:val="31"/>
        </w:numPr>
        <w:spacing w:after="60"/>
        <w:ind w:left="426" w:hanging="357"/>
        <w:rPr>
          <w:rFonts w:asciiTheme="minorHAnsi" w:hAnsiTheme="minorHAnsi" w:cstheme="minorBidi"/>
          <w:sz w:val="18"/>
          <w:szCs w:val="18"/>
        </w:rPr>
      </w:pPr>
      <w:r w:rsidRPr="5CF0E88B">
        <w:rPr>
          <w:rFonts w:asciiTheme="minorHAnsi" w:hAnsiTheme="minorHAnsi" w:cstheme="minorBidi"/>
          <w:sz w:val="18"/>
          <w:szCs w:val="18"/>
        </w:rPr>
        <w:t>the requirement that a rehabilitation plan take into account the desirability of restoring</w:t>
      </w:r>
      <w:r w:rsidR="33C7AD96" w:rsidRPr="5CF0E88B">
        <w:rPr>
          <w:rFonts w:asciiTheme="minorHAnsi" w:hAnsiTheme="minorHAnsi" w:cstheme="minorBidi"/>
          <w:sz w:val="18"/>
          <w:szCs w:val="18"/>
        </w:rPr>
        <w:t xml:space="preserve"> mining</w:t>
      </w:r>
      <w:r w:rsidRPr="5CF0E88B">
        <w:rPr>
          <w:rFonts w:asciiTheme="minorHAnsi" w:hAnsiTheme="minorHAnsi" w:cstheme="minorBidi"/>
          <w:sz w:val="18"/>
          <w:szCs w:val="18"/>
        </w:rPr>
        <w:t xml:space="preserve"> </w:t>
      </w:r>
      <w:r w:rsidR="29EA53E8" w:rsidRPr="5CF0E88B">
        <w:rPr>
          <w:rFonts w:asciiTheme="minorHAnsi" w:hAnsiTheme="minorHAnsi" w:cstheme="minorBidi"/>
          <w:sz w:val="18"/>
          <w:szCs w:val="18"/>
        </w:rPr>
        <w:t xml:space="preserve">land that was once </w:t>
      </w:r>
      <w:r w:rsidRPr="5CF0E88B">
        <w:rPr>
          <w:rFonts w:asciiTheme="minorHAnsi" w:hAnsiTheme="minorHAnsi" w:cstheme="minorBidi"/>
          <w:sz w:val="18"/>
          <w:szCs w:val="18"/>
        </w:rPr>
        <w:t>agricultural land to its pre-mining state;</w:t>
      </w:r>
      <w:r w:rsidR="004318CE" w:rsidRPr="5CF0E88B">
        <w:rPr>
          <w:rStyle w:val="FootnoteReference"/>
          <w:rFonts w:asciiTheme="minorHAnsi" w:hAnsiTheme="minorHAnsi" w:cstheme="minorBidi"/>
          <w:sz w:val="18"/>
          <w:szCs w:val="18"/>
        </w:rPr>
        <w:footnoteReference w:id="148"/>
      </w:r>
    </w:p>
    <w:p w14:paraId="296D14DE" w14:textId="6DD8ABF7" w:rsidR="004318CE" w:rsidRDefault="3C6DE51C" w:rsidP="5CF0E88B">
      <w:pPr>
        <w:pStyle w:val="ListParagraph"/>
        <w:numPr>
          <w:ilvl w:val="0"/>
          <w:numId w:val="31"/>
        </w:numPr>
        <w:spacing w:after="60"/>
        <w:ind w:left="426" w:hanging="357"/>
        <w:rPr>
          <w:rFonts w:asciiTheme="minorHAnsi" w:hAnsiTheme="minorHAnsi" w:cstheme="minorBidi"/>
          <w:sz w:val="18"/>
          <w:szCs w:val="18"/>
        </w:rPr>
      </w:pPr>
      <w:r w:rsidRPr="5CF0E88B">
        <w:rPr>
          <w:rFonts w:asciiTheme="minorHAnsi" w:hAnsiTheme="minorHAnsi" w:cstheme="minorBidi"/>
          <w:sz w:val="18"/>
          <w:szCs w:val="18"/>
        </w:rPr>
        <w:t xml:space="preserve">the requirement that licensees comply with any conditions specified in a land use activity agreement under the </w:t>
      </w:r>
      <w:r w:rsidRPr="5CF0E88B">
        <w:rPr>
          <w:rFonts w:asciiTheme="minorHAnsi" w:hAnsiTheme="minorHAnsi" w:cstheme="minorBidi"/>
          <w:i/>
          <w:iCs/>
          <w:sz w:val="18"/>
          <w:szCs w:val="18"/>
        </w:rPr>
        <w:t>Traditional Owner Settlement Act 2010</w:t>
      </w:r>
      <w:r w:rsidRPr="5CF0E88B">
        <w:rPr>
          <w:rFonts w:asciiTheme="minorHAnsi" w:hAnsiTheme="minorHAnsi" w:cstheme="minorBidi"/>
          <w:sz w:val="18"/>
          <w:szCs w:val="18"/>
        </w:rPr>
        <w:t xml:space="preserve"> that have been accepted by the licensee;</w:t>
      </w:r>
      <w:r w:rsidR="004318CE" w:rsidRPr="5CF0E88B">
        <w:rPr>
          <w:rStyle w:val="FootnoteReference"/>
          <w:rFonts w:asciiTheme="minorHAnsi" w:hAnsiTheme="minorHAnsi" w:cstheme="minorBidi"/>
          <w:sz w:val="18"/>
          <w:szCs w:val="18"/>
        </w:rPr>
        <w:footnoteReference w:id="149"/>
      </w:r>
      <w:r w:rsidRPr="5CF0E88B">
        <w:rPr>
          <w:rFonts w:asciiTheme="minorHAnsi" w:hAnsiTheme="minorHAnsi" w:cstheme="minorBidi"/>
          <w:sz w:val="18"/>
          <w:szCs w:val="18"/>
        </w:rPr>
        <w:t xml:space="preserve"> and</w:t>
      </w:r>
    </w:p>
    <w:p w14:paraId="1EAB81D2" w14:textId="2C4A1D77" w:rsidR="004318CE" w:rsidRDefault="3C6DE51C" w:rsidP="5CF0E88B">
      <w:pPr>
        <w:pStyle w:val="ListParagraph"/>
        <w:numPr>
          <w:ilvl w:val="0"/>
          <w:numId w:val="31"/>
        </w:numPr>
        <w:spacing w:after="60"/>
        <w:ind w:left="426" w:hanging="357"/>
        <w:rPr>
          <w:rFonts w:asciiTheme="minorHAnsi" w:hAnsiTheme="minorHAnsi" w:cstheme="minorBidi"/>
          <w:sz w:val="18"/>
          <w:szCs w:val="18"/>
        </w:rPr>
      </w:pPr>
      <w:r w:rsidRPr="5CF0E88B">
        <w:rPr>
          <w:rFonts w:asciiTheme="minorHAnsi" w:hAnsiTheme="minorHAnsi" w:cstheme="minorBidi"/>
          <w:sz w:val="18"/>
          <w:szCs w:val="18"/>
        </w:rPr>
        <w:t>the requirement for work plans lodged after 1 July 2020 to include proposed land uses for the mine site after it has been rehabilitated, that consider community views expressed during consultation.</w:t>
      </w:r>
      <w:r w:rsidR="004318CE" w:rsidRPr="5CF0E88B">
        <w:rPr>
          <w:rStyle w:val="FootnoteReference"/>
          <w:rFonts w:asciiTheme="minorHAnsi" w:hAnsiTheme="minorHAnsi" w:cstheme="minorBidi"/>
          <w:sz w:val="18"/>
          <w:szCs w:val="18"/>
        </w:rPr>
        <w:footnoteReference w:id="150"/>
      </w:r>
    </w:p>
    <w:p w14:paraId="429FFC9E" w14:textId="43EC167A" w:rsidR="0089745E" w:rsidRPr="0089745E" w:rsidRDefault="0089745E" w:rsidP="003F70FF">
      <w:pPr>
        <w:pStyle w:val="Heading6"/>
      </w:pPr>
      <w:r>
        <w:t>Rehabilitation planning</w:t>
      </w:r>
    </w:p>
    <w:p w14:paraId="4DB6043F" w14:textId="4AD851C1" w:rsidR="00B50A5A" w:rsidRDefault="00B50A5A" w:rsidP="00773379">
      <w:r>
        <w:t>The work plans to be prepared by all licensees (including declared mine licensees) must include a rehabilitation plan component, which sets out activities for progressive rehabilitation and some content relating to the final landform to be achieved through rehabilitation of the mine site.</w:t>
      </w:r>
    </w:p>
    <w:p w14:paraId="3FBE9DD9" w14:textId="77777777" w:rsidR="00684CB9" w:rsidRDefault="00B50A5A" w:rsidP="00EC45AC">
      <w:r>
        <w:t xml:space="preserve">In addition, declared mine licensees are required to prepare a DMRP. The DMRP must include any rehabilitation plan previously prepared for the mine (i.e., the work plan rehabilitation component), as well as a plan for the rehabilitation of the land covered by the licence, closure criteria for the mine and a plan for the post-closure management of the mine site. </w:t>
      </w:r>
      <w:r w:rsidR="00C52120">
        <w:t xml:space="preserve">However, declared mine licensees are required to prepare the DMRP ‘within the prescribed period’. In the base case, there are no regulations to prescribe this period. This means that the obligation to prepare a DMRP is effectively redundant. </w:t>
      </w:r>
      <w:r w:rsidR="00684CB9" w:rsidRPr="00DE4290">
        <w:t>It is assumed for the purposes of this analysis that in the absence of an effective obligation to prepare a DMRP, declared mine licensees would not do so.</w:t>
      </w:r>
      <w:r w:rsidR="00684CB9" w:rsidRPr="00F116BE">
        <w:t xml:space="preserve"> </w:t>
      </w:r>
    </w:p>
    <w:p w14:paraId="4CAFC65A" w14:textId="32592616" w:rsidR="00CD3390" w:rsidRDefault="00C52120" w:rsidP="006E1000">
      <w:r>
        <w:t>Significant parts of the rest of the declared mine rehabilitation framework hinge on the preparation and completion of the DMRP</w:t>
      </w:r>
      <w:r w:rsidR="00C20296">
        <w:t xml:space="preserve">. These parts of the Act form the base case, and are described below, but will not function effectively </w:t>
      </w:r>
      <w:r w:rsidR="00515345">
        <w:t>without</w:t>
      </w:r>
      <w:r w:rsidR="00C20296">
        <w:t xml:space="preserve"> </w:t>
      </w:r>
      <w:r w:rsidR="00A90980">
        <w:t>a DMRP being submitted to ERR</w:t>
      </w:r>
      <w:r>
        <w:t xml:space="preserve">. </w:t>
      </w:r>
      <w:r w:rsidR="00C20296">
        <w:t>Other</w:t>
      </w:r>
      <w:r w:rsidR="00684CB9">
        <w:t xml:space="preserve"> obligations</w:t>
      </w:r>
      <w:r w:rsidR="00C20296">
        <w:t xml:space="preserve"> under the Act</w:t>
      </w:r>
      <w:r w:rsidR="00684CB9">
        <w:t xml:space="preserve"> that are relevant to </w:t>
      </w:r>
      <w:r w:rsidR="00684CB9">
        <w:lastRenderedPageBreak/>
        <w:t xml:space="preserve">the planning and carrying out of declared mine rehabilitation </w:t>
      </w:r>
      <w:r w:rsidR="00282FDF">
        <w:t xml:space="preserve">and that </w:t>
      </w:r>
      <w:r w:rsidR="00684CB9">
        <w:t xml:space="preserve">operate independently to the DMRP form part of the base case, and are </w:t>
      </w:r>
      <w:r w:rsidR="00C20296">
        <w:t xml:space="preserve">also set </w:t>
      </w:r>
      <w:r w:rsidR="00684CB9">
        <w:t>out below.</w:t>
      </w:r>
    </w:p>
    <w:p w14:paraId="13D4B45B" w14:textId="77777777" w:rsidR="00CD3390" w:rsidRPr="000C5B50" w:rsidRDefault="00CD3390" w:rsidP="003F70FF">
      <w:pPr>
        <w:pStyle w:val="Heading7"/>
      </w:pPr>
      <w:r>
        <w:t>Work plans</w:t>
      </w:r>
    </w:p>
    <w:p w14:paraId="740E96C2" w14:textId="2116FB40" w:rsidR="002B2C86" w:rsidRPr="005C6526" w:rsidRDefault="002B2C86" w:rsidP="00773379">
      <w:r w:rsidRPr="005C6526">
        <w:t>All current work plans must</w:t>
      </w:r>
      <w:r w:rsidR="00B52683" w:rsidRPr="005C6526">
        <w:t xml:space="preserve"> include</w:t>
      </w:r>
      <w:r w:rsidRPr="005C6526">
        <w:t xml:space="preserve"> </w:t>
      </w:r>
      <w:r w:rsidR="00BA74AC" w:rsidRPr="005C6526">
        <w:t>information</w:t>
      </w:r>
      <w:r w:rsidRPr="005C6526">
        <w:t xml:space="preserve"> relevant to rehabilitation and rehabilitation planning:</w:t>
      </w:r>
      <w:r w:rsidRPr="005C6526">
        <w:rPr>
          <w:rStyle w:val="FootnoteReference"/>
        </w:rPr>
        <w:footnoteReference w:id="151"/>
      </w:r>
    </w:p>
    <w:p w14:paraId="7F5E0584" w14:textId="17B45193" w:rsidR="002B2C86" w:rsidRPr="005C6526" w:rsidRDefault="00684CB9" w:rsidP="00072DA6">
      <w:pPr>
        <w:pStyle w:val="ListParagraph"/>
        <w:numPr>
          <w:ilvl w:val="0"/>
          <w:numId w:val="31"/>
        </w:numPr>
        <w:spacing w:after="60"/>
        <w:ind w:left="426" w:hanging="357"/>
        <w:contextualSpacing w:val="0"/>
        <w:rPr>
          <w:rFonts w:asciiTheme="minorHAnsi" w:hAnsiTheme="minorHAnsi" w:cstheme="minorHAnsi"/>
          <w:sz w:val="18"/>
        </w:rPr>
      </w:pPr>
      <w:r w:rsidRPr="005C6526">
        <w:rPr>
          <w:rFonts w:asciiTheme="minorHAnsi" w:hAnsiTheme="minorHAnsi" w:cstheme="minorHAnsi"/>
          <w:sz w:val="18"/>
        </w:rPr>
        <w:t xml:space="preserve">a </w:t>
      </w:r>
      <w:r w:rsidR="002B2C86" w:rsidRPr="005C6526">
        <w:rPr>
          <w:rFonts w:asciiTheme="minorHAnsi" w:hAnsiTheme="minorHAnsi" w:cstheme="minorHAnsi"/>
          <w:sz w:val="18"/>
        </w:rPr>
        <w:t>risk management plan;</w:t>
      </w:r>
    </w:p>
    <w:p w14:paraId="54F24D00" w14:textId="7BAA3609" w:rsidR="002B2C86" w:rsidRPr="005C6526" w:rsidRDefault="00684CB9" w:rsidP="00072DA6">
      <w:pPr>
        <w:pStyle w:val="ListParagraph"/>
        <w:numPr>
          <w:ilvl w:val="0"/>
          <w:numId w:val="31"/>
        </w:numPr>
        <w:spacing w:after="60"/>
        <w:ind w:left="426" w:hanging="357"/>
        <w:contextualSpacing w:val="0"/>
        <w:rPr>
          <w:rFonts w:asciiTheme="minorHAnsi" w:hAnsiTheme="minorHAnsi" w:cstheme="minorHAnsi"/>
          <w:sz w:val="18"/>
        </w:rPr>
      </w:pPr>
      <w:r w:rsidRPr="005C6526">
        <w:rPr>
          <w:rFonts w:asciiTheme="minorHAnsi" w:hAnsiTheme="minorHAnsi" w:cstheme="minorHAnsi"/>
          <w:sz w:val="18"/>
        </w:rPr>
        <w:t xml:space="preserve">a </w:t>
      </w:r>
      <w:r w:rsidR="002B2C86" w:rsidRPr="005C6526">
        <w:rPr>
          <w:rFonts w:asciiTheme="minorHAnsi" w:hAnsiTheme="minorHAnsi" w:cstheme="minorHAnsi"/>
          <w:sz w:val="18"/>
        </w:rPr>
        <w:t>community engagement plan;</w:t>
      </w:r>
    </w:p>
    <w:p w14:paraId="196A299D" w14:textId="4BE7FBF8" w:rsidR="002B2C86" w:rsidRPr="005C6526" w:rsidRDefault="00684CB9" w:rsidP="00072DA6">
      <w:pPr>
        <w:pStyle w:val="ListParagraph"/>
        <w:numPr>
          <w:ilvl w:val="0"/>
          <w:numId w:val="31"/>
        </w:numPr>
        <w:spacing w:after="60"/>
        <w:ind w:left="426" w:hanging="357"/>
        <w:contextualSpacing w:val="0"/>
        <w:rPr>
          <w:rFonts w:asciiTheme="minorHAnsi" w:hAnsiTheme="minorHAnsi" w:cstheme="minorBidi"/>
          <w:sz w:val="18"/>
          <w:szCs w:val="18"/>
        </w:rPr>
      </w:pPr>
      <w:r w:rsidRPr="005C6526">
        <w:rPr>
          <w:rFonts w:asciiTheme="minorHAnsi" w:hAnsiTheme="minorHAnsi" w:cstheme="minorBidi"/>
          <w:sz w:val="18"/>
          <w:szCs w:val="18"/>
        </w:rPr>
        <w:t xml:space="preserve">specified </w:t>
      </w:r>
      <w:r w:rsidR="002B2C86" w:rsidRPr="005C6526">
        <w:rPr>
          <w:rFonts w:asciiTheme="minorHAnsi" w:hAnsiTheme="minorHAnsi" w:cstheme="minorBidi"/>
          <w:sz w:val="18"/>
          <w:szCs w:val="18"/>
        </w:rPr>
        <w:t>details about the mining work, such as sensitive receptors, a site map and description and a general description of geological information about the work;</w:t>
      </w:r>
      <w:r w:rsidR="002B2C86" w:rsidRPr="005C6526">
        <w:rPr>
          <w:rStyle w:val="FootnoteReference"/>
          <w:rFonts w:asciiTheme="minorHAnsi" w:hAnsiTheme="minorHAnsi" w:cstheme="minorBidi"/>
          <w:sz w:val="18"/>
          <w:szCs w:val="18"/>
        </w:rPr>
        <w:footnoteReference w:id="152"/>
      </w:r>
    </w:p>
    <w:p w14:paraId="0755E273" w14:textId="1DBA26F2" w:rsidR="002B2C86" w:rsidRPr="005C6526" w:rsidRDefault="00684CB9" w:rsidP="00072DA6">
      <w:pPr>
        <w:pStyle w:val="ListParagraph"/>
        <w:numPr>
          <w:ilvl w:val="0"/>
          <w:numId w:val="31"/>
        </w:numPr>
        <w:spacing w:after="60"/>
        <w:ind w:left="426" w:hanging="357"/>
        <w:contextualSpacing w:val="0"/>
        <w:rPr>
          <w:rFonts w:asciiTheme="minorHAnsi" w:hAnsiTheme="minorHAnsi" w:cstheme="minorBidi"/>
          <w:sz w:val="18"/>
          <w:szCs w:val="18"/>
        </w:rPr>
      </w:pPr>
      <w:r w:rsidRPr="005C6526">
        <w:rPr>
          <w:rFonts w:asciiTheme="minorHAnsi" w:hAnsiTheme="minorHAnsi" w:cstheme="minorBidi"/>
          <w:sz w:val="18"/>
          <w:szCs w:val="18"/>
        </w:rPr>
        <w:t xml:space="preserve">if </w:t>
      </w:r>
      <w:r w:rsidR="002B2C86" w:rsidRPr="005C6526">
        <w:rPr>
          <w:rFonts w:asciiTheme="minorHAnsi" w:hAnsiTheme="minorHAnsi" w:cstheme="minorBidi"/>
          <w:sz w:val="18"/>
          <w:szCs w:val="18"/>
        </w:rPr>
        <w:t>the work will involve coal mining, a fire risk management plan;</w:t>
      </w:r>
      <w:r w:rsidR="002B2C86" w:rsidRPr="005C6526">
        <w:rPr>
          <w:rStyle w:val="FootnoteReference"/>
          <w:rFonts w:asciiTheme="minorHAnsi" w:hAnsiTheme="minorHAnsi" w:cstheme="minorBidi"/>
          <w:sz w:val="18"/>
          <w:szCs w:val="18"/>
        </w:rPr>
        <w:footnoteReference w:id="153"/>
      </w:r>
      <w:r w:rsidR="00B52683" w:rsidRPr="005C6526">
        <w:rPr>
          <w:rFonts w:asciiTheme="minorHAnsi" w:hAnsiTheme="minorHAnsi" w:cstheme="minorBidi"/>
          <w:sz w:val="18"/>
          <w:szCs w:val="18"/>
        </w:rPr>
        <w:t xml:space="preserve"> and</w:t>
      </w:r>
    </w:p>
    <w:p w14:paraId="608F12A1" w14:textId="0974E131" w:rsidR="002B2C86" w:rsidRDefault="00684CB9" w:rsidP="00072DA6">
      <w:pPr>
        <w:pStyle w:val="ListParagraph"/>
        <w:numPr>
          <w:ilvl w:val="0"/>
          <w:numId w:val="31"/>
        </w:numPr>
        <w:spacing w:after="60"/>
        <w:ind w:left="426" w:hanging="357"/>
        <w:contextualSpacing w:val="0"/>
        <w:rPr>
          <w:rFonts w:asciiTheme="minorHAnsi" w:hAnsiTheme="minorHAnsi" w:cstheme="minorBidi"/>
          <w:sz w:val="18"/>
          <w:szCs w:val="18"/>
        </w:rPr>
      </w:pPr>
      <w:r w:rsidRPr="005C6526">
        <w:rPr>
          <w:rFonts w:asciiTheme="minorHAnsi" w:hAnsiTheme="minorHAnsi" w:cstheme="minorBidi"/>
          <w:sz w:val="18"/>
          <w:szCs w:val="18"/>
        </w:rPr>
        <w:t xml:space="preserve">an </w:t>
      </w:r>
      <w:r w:rsidR="002B2C86" w:rsidRPr="005C6526">
        <w:rPr>
          <w:rFonts w:asciiTheme="minorHAnsi" w:hAnsiTheme="minorHAnsi" w:cstheme="minorBidi"/>
          <w:sz w:val="18"/>
          <w:szCs w:val="18"/>
        </w:rPr>
        <w:t xml:space="preserve">identification of </w:t>
      </w:r>
      <w:r w:rsidR="00B52683" w:rsidRPr="005C6526">
        <w:rPr>
          <w:rFonts w:asciiTheme="minorHAnsi" w:hAnsiTheme="minorHAnsi" w:cstheme="minorBidi"/>
          <w:sz w:val="18"/>
          <w:szCs w:val="18"/>
        </w:rPr>
        <w:t>hazards and risks</w:t>
      </w:r>
      <w:r w:rsidR="00B52683" w:rsidRPr="7B3EF51E">
        <w:rPr>
          <w:rFonts w:asciiTheme="minorHAnsi" w:hAnsiTheme="minorHAnsi" w:cstheme="minorBidi"/>
          <w:sz w:val="18"/>
          <w:szCs w:val="18"/>
        </w:rPr>
        <w:t>.</w:t>
      </w:r>
      <w:r w:rsidR="00B52683" w:rsidRPr="7B3EF51E">
        <w:rPr>
          <w:rStyle w:val="FootnoteReference"/>
          <w:rFonts w:asciiTheme="minorHAnsi" w:hAnsiTheme="minorHAnsi" w:cstheme="minorBidi"/>
          <w:sz w:val="18"/>
          <w:szCs w:val="18"/>
        </w:rPr>
        <w:footnoteReference w:id="154"/>
      </w:r>
    </w:p>
    <w:p w14:paraId="6847E0C2" w14:textId="6EBA7A1F" w:rsidR="00301D83" w:rsidRPr="005C6526" w:rsidRDefault="00301D83" w:rsidP="00773379">
      <w:r w:rsidRPr="005C6526">
        <w:t xml:space="preserve">Licensees who lodged work plans prior to 1 July 2020 were required to include the following information about rehabilitation in their work plan: </w:t>
      </w:r>
    </w:p>
    <w:p w14:paraId="5BEB3F10" w14:textId="77777777" w:rsidR="00301D83" w:rsidRPr="005C6526" w:rsidRDefault="00301D83" w:rsidP="00072DA6">
      <w:pPr>
        <w:pStyle w:val="ListParagraph"/>
        <w:numPr>
          <w:ilvl w:val="0"/>
          <w:numId w:val="31"/>
        </w:numPr>
        <w:spacing w:after="60"/>
        <w:ind w:left="426" w:hanging="357"/>
        <w:contextualSpacing w:val="0"/>
        <w:rPr>
          <w:rFonts w:asciiTheme="minorHAnsi" w:hAnsiTheme="minorHAnsi" w:cstheme="minorHAnsi"/>
          <w:sz w:val="18"/>
        </w:rPr>
      </w:pPr>
      <w:r w:rsidRPr="005C6526">
        <w:rPr>
          <w:rFonts w:asciiTheme="minorHAnsi" w:hAnsiTheme="minorHAnsi" w:cstheme="minorHAnsi"/>
          <w:sz w:val="18"/>
        </w:rPr>
        <w:t>concepts for end utilisation of the mine site;</w:t>
      </w:r>
    </w:p>
    <w:p w14:paraId="6ADF3322" w14:textId="77777777" w:rsidR="00301D83" w:rsidRPr="005C6526" w:rsidRDefault="00301D83" w:rsidP="00072DA6">
      <w:pPr>
        <w:pStyle w:val="ListParagraph"/>
        <w:numPr>
          <w:ilvl w:val="0"/>
          <w:numId w:val="31"/>
        </w:numPr>
        <w:spacing w:after="60"/>
        <w:ind w:left="426" w:hanging="357"/>
        <w:contextualSpacing w:val="0"/>
        <w:rPr>
          <w:rFonts w:asciiTheme="minorHAnsi" w:hAnsiTheme="minorHAnsi" w:cstheme="minorHAnsi"/>
          <w:sz w:val="18"/>
        </w:rPr>
      </w:pPr>
      <w:r w:rsidRPr="005C6526">
        <w:rPr>
          <w:rFonts w:asciiTheme="minorHAnsi" w:hAnsiTheme="minorHAnsi" w:cstheme="minorHAnsi"/>
          <w:sz w:val="18"/>
        </w:rPr>
        <w:t>proposals for progressive rehabilitation, stabilisation &amp; revegetation;</w:t>
      </w:r>
    </w:p>
    <w:p w14:paraId="0FB995E4" w14:textId="77777777" w:rsidR="00301D83" w:rsidRPr="005C6526" w:rsidRDefault="00301D83" w:rsidP="00072DA6">
      <w:pPr>
        <w:pStyle w:val="ListParagraph"/>
        <w:numPr>
          <w:ilvl w:val="0"/>
          <w:numId w:val="31"/>
        </w:numPr>
        <w:spacing w:after="60"/>
        <w:ind w:left="426" w:hanging="357"/>
        <w:contextualSpacing w:val="0"/>
        <w:rPr>
          <w:rFonts w:asciiTheme="minorHAnsi" w:hAnsiTheme="minorHAnsi" w:cstheme="minorHAnsi"/>
          <w:sz w:val="18"/>
        </w:rPr>
      </w:pPr>
      <w:r w:rsidRPr="005C6526">
        <w:rPr>
          <w:rFonts w:asciiTheme="minorHAnsi" w:hAnsiTheme="minorHAnsi" w:cstheme="minorHAnsi"/>
          <w:sz w:val="18"/>
        </w:rPr>
        <w:t>proposals to minimise visual impact; and</w:t>
      </w:r>
    </w:p>
    <w:p w14:paraId="5DB80D17" w14:textId="77777777" w:rsidR="00301D83" w:rsidRPr="006E7362" w:rsidRDefault="00301D83" w:rsidP="00072DA6">
      <w:pPr>
        <w:pStyle w:val="ListParagraph"/>
        <w:numPr>
          <w:ilvl w:val="0"/>
          <w:numId w:val="31"/>
        </w:numPr>
        <w:spacing w:after="60"/>
        <w:ind w:left="426" w:hanging="357"/>
        <w:contextualSpacing w:val="0"/>
        <w:rPr>
          <w:rFonts w:asciiTheme="minorHAnsi" w:hAnsiTheme="minorHAnsi" w:cstheme="minorBidi"/>
          <w:sz w:val="18"/>
          <w:szCs w:val="18"/>
        </w:rPr>
      </w:pPr>
      <w:r w:rsidRPr="005C6526">
        <w:rPr>
          <w:rFonts w:asciiTheme="minorHAnsi" w:hAnsiTheme="minorHAnsi" w:cstheme="minorBidi"/>
          <w:sz w:val="18"/>
          <w:szCs w:val="18"/>
        </w:rPr>
        <w:t>proposals for final rehabilitation and closure of site</w:t>
      </w:r>
      <w:r w:rsidRPr="7B3EF51E">
        <w:rPr>
          <w:rFonts w:asciiTheme="minorHAnsi" w:hAnsiTheme="minorHAnsi" w:cstheme="minorBidi"/>
          <w:sz w:val="18"/>
          <w:szCs w:val="18"/>
        </w:rPr>
        <w:t>.</w:t>
      </w:r>
      <w:r w:rsidRPr="7B3EF51E">
        <w:rPr>
          <w:rFonts w:asciiTheme="minorHAnsi" w:hAnsiTheme="minorHAnsi" w:cstheme="minorBidi"/>
          <w:sz w:val="18"/>
          <w:szCs w:val="18"/>
          <w:vertAlign w:val="superscript"/>
        </w:rPr>
        <w:footnoteReference w:id="155"/>
      </w:r>
    </w:p>
    <w:p w14:paraId="470A9388" w14:textId="1AD0A2F4" w:rsidR="00301D83" w:rsidRDefault="00BA74AC" w:rsidP="00CF3F9B">
      <w:r>
        <w:t xml:space="preserve">Licensees </w:t>
      </w:r>
      <w:r w:rsidR="00301D83">
        <w:t xml:space="preserve">within this class who do not vary their work plans after 1 July 2020 are bound by the terms of the rehabilitation plans approved by </w:t>
      </w:r>
      <w:r w:rsidR="00AC2182">
        <w:t>the department</w:t>
      </w:r>
      <w:r w:rsidR="00301D83">
        <w:t xml:space="preserve"> when they commenced their operations (i.e. prior to 1 July 2020). In this scenario, </w:t>
      </w:r>
      <w:r>
        <w:t>Licensees</w:t>
      </w:r>
      <w:r w:rsidR="00301D83">
        <w:t xml:space="preserve"> are required by the Act to complete the rehabilitation of the land envisaged in their plan as much as possible prior to the expiration of their licence (progressive rehabilitation). </w:t>
      </w:r>
    </w:p>
    <w:p w14:paraId="1DF464CB" w14:textId="2B2564F7" w:rsidR="00301D83" w:rsidRDefault="00301D83" w:rsidP="00301D83">
      <w:pPr>
        <w:spacing w:before="0"/>
      </w:pPr>
      <w:r>
        <w:t>Licensees who lodge or vary work plans after 1 July 2020 must include in their application (in line with the 2019 Regulations):</w:t>
      </w:r>
    </w:p>
    <w:p w14:paraId="43CB891A" w14:textId="77777777" w:rsidR="00301D83" w:rsidRPr="00D44D55" w:rsidRDefault="00301D83" w:rsidP="00072DA6">
      <w:pPr>
        <w:pStyle w:val="ListParagraph"/>
        <w:numPr>
          <w:ilvl w:val="0"/>
          <w:numId w:val="31"/>
        </w:numPr>
        <w:spacing w:after="60"/>
        <w:ind w:left="426" w:hanging="357"/>
        <w:contextualSpacing w:val="0"/>
        <w:rPr>
          <w:rFonts w:asciiTheme="minorHAnsi" w:hAnsiTheme="minorHAnsi" w:cstheme="minorHAnsi"/>
          <w:sz w:val="18"/>
        </w:rPr>
      </w:pPr>
      <w:r w:rsidRPr="00182E47">
        <w:rPr>
          <w:rFonts w:asciiTheme="minorHAnsi" w:hAnsiTheme="minorHAnsi" w:cstheme="minorHAnsi"/>
          <w:sz w:val="18"/>
        </w:rPr>
        <w:t>details of the proposed rehabilitation including proposed land uses;</w:t>
      </w:r>
    </w:p>
    <w:p w14:paraId="72577D9D" w14:textId="77777777" w:rsidR="00301D83" w:rsidRPr="00D44D55" w:rsidRDefault="00301D83" w:rsidP="00072DA6">
      <w:pPr>
        <w:pStyle w:val="ListParagraph"/>
        <w:numPr>
          <w:ilvl w:val="0"/>
          <w:numId w:val="31"/>
        </w:numPr>
        <w:spacing w:after="60"/>
        <w:ind w:left="426" w:hanging="357"/>
        <w:contextualSpacing w:val="0"/>
        <w:rPr>
          <w:rFonts w:asciiTheme="minorHAnsi" w:hAnsiTheme="minorHAnsi" w:cstheme="minorHAnsi"/>
          <w:sz w:val="18"/>
        </w:rPr>
      </w:pPr>
      <w:r w:rsidRPr="00182E47">
        <w:rPr>
          <w:rFonts w:asciiTheme="minorHAnsi" w:hAnsiTheme="minorHAnsi" w:cstheme="minorHAnsi"/>
          <w:sz w:val="18"/>
        </w:rPr>
        <w:t>a land form to achieve complete rehabilitation (must be safe, stable and sustainable and capable of supporting the proposed land uses);</w:t>
      </w:r>
    </w:p>
    <w:p w14:paraId="207A8892" w14:textId="603E4DC1" w:rsidR="00301D83" w:rsidRPr="00D44D55" w:rsidRDefault="00301D83" w:rsidP="00072DA6">
      <w:pPr>
        <w:pStyle w:val="ListParagraph"/>
        <w:numPr>
          <w:ilvl w:val="0"/>
          <w:numId w:val="31"/>
        </w:numPr>
        <w:spacing w:after="60"/>
        <w:ind w:left="426" w:hanging="357"/>
        <w:contextualSpacing w:val="0"/>
        <w:rPr>
          <w:rFonts w:asciiTheme="minorHAnsi" w:hAnsiTheme="minorHAnsi" w:cstheme="minorBidi"/>
          <w:sz w:val="18"/>
          <w:szCs w:val="18"/>
        </w:rPr>
      </w:pPr>
      <w:r w:rsidRPr="5E92C728">
        <w:rPr>
          <w:rFonts w:asciiTheme="minorHAnsi" w:hAnsiTheme="minorHAnsi" w:cstheme="minorBidi"/>
          <w:sz w:val="18"/>
          <w:szCs w:val="18"/>
        </w:rPr>
        <w:t xml:space="preserve">objectives setting out rehabilitation domains; </w:t>
      </w:r>
    </w:p>
    <w:p w14:paraId="217AE1B4" w14:textId="202C7AFA" w:rsidR="00301D83" w:rsidRPr="00D44D55" w:rsidRDefault="00301D83" w:rsidP="00072DA6">
      <w:pPr>
        <w:pStyle w:val="ListParagraph"/>
        <w:numPr>
          <w:ilvl w:val="0"/>
          <w:numId w:val="31"/>
        </w:numPr>
        <w:spacing w:after="60"/>
        <w:ind w:left="426" w:hanging="357"/>
        <w:contextualSpacing w:val="0"/>
        <w:rPr>
          <w:sz w:val="18"/>
          <w:szCs w:val="18"/>
        </w:rPr>
      </w:pPr>
      <w:r w:rsidRPr="5E92C728">
        <w:rPr>
          <w:rFonts w:asciiTheme="minorHAnsi" w:hAnsiTheme="minorHAnsi" w:cstheme="minorBidi"/>
          <w:sz w:val="18"/>
          <w:szCs w:val="18"/>
        </w:rPr>
        <w:t>criteria for measuring objectives;</w:t>
      </w:r>
    </w:p>
    <w:p w14:paraId="02317F00" w14:textId="77777777" w:rsidR="00301D83" w:rsidRPr="00D44D55" w:rsidRDefault="00301D83" w:rsidP="00072DA6">
      <w:pPr>
        <w:pStyle w:val="ListParagraph"/>
        <w:numPr>
          <w:ilvl w:val="0"/>
          <w:numId w:val="31"/>
        </w:numPr>
        <w:spacing w:after="60"/>
        <w:ind w:left="426" w:hanging="357"/>
        <w:contextualSpacing w:val="0"/>
        <w:rPr>
          <w:rFonts w:asciiTheme="minorHAnsi" w:hAnsiTheme="minorHAnsi" w:cstheme="minorHAnsi"/>
          <w:sz w:val="18"/>
        </w:rPr>
      </w:pPr>
      <w:r w:rsidRPr="00182E47">
        <w:rPr>
          <w:rFonts w:asciiTheme="minorHAnsi" w:hAnsiTheme="minorHAnsi" w:cstheme="minorHAnsi"/>
          <w:sz w:val="18"/>
        </w:rPr>
        <w:t>description and schedule of rehabilitation milestones;</w:t>
      </w:r>
      <w:r>
        <w:rPr>
          <w:rFonts w:asciiTheme="minorHAnsi" w:hAnsiTheme="minorHAnsi" w:cstheme="minorHAnsi"/>
          <w:sz w:val="18"/>
        </w:rPr>
        <w:t xml:space="preserve"> and</w:t>
      </w:r>
    </w:p>
    <w:p w14:paraId="3FE1D6DA" w14:textId="77777777" w:rsidR="00301D83" w:rsidRDefault="00301D83" w:rsidP="00072DA6">
      <w:pPr>
        <w:pStyle w:val="ListParagraph"/>
        <w:numPr>
          <w:ilvl w:val="0"/>
          <w:numId w:val="31"/>
        </w:numPr>
        <w:spacing w:after="60"/>
        <w:ind w:left="426" w:hanging="357"/>
        <w:contextualSpacing w:val="0"/>
        <w:rPr>
          <w:rFonts w:asciiTheme="minorHAnsi" w:hAnsiTheme="minorHAnsi" w:cstheme="minorBidi"/>
          <w:sz w:val="18"/>
          <w:szCs w:val="18"/>
        </w:rPr>
      </w:pPr>
      <w:r w:rsidRPr="7B3EF51E">
        <w:rPr>
          <w:rFonts w:asciiTheme="minorHAnsi" w:hAnsiTheme="minorHAnsi" w:cstheme="minorBidi"/>
          <w:sz w:val="18"/>
          <w:szCs w:val="18"/>
        </w:rPr>
        <w:t>identification of risks.</w:t>
      </w:r>
      <w:r w:rsidRPr="7B3EF51E">
        <w:rPr>
          <w:rFonts w:asciiTheme="majorHAnsi" w:hAnsiTheme="majorHAnsi" w:cstheme="majorBidi"/>
          <w:sz w:val="18"/>
          <w:szCs w:val="18"/>
          <w:vertAlign w:val="superscript"/>
        </w:rPr>
        <w:footnoteReference w:id="156"/>
      </w:r>
    </w:p>
    <w:p w14:paraId="6FF1B7AF" w14:textId="71B0214C" w:rsidR="00CD3390" w:rsidRDefault="00CD3390" w:rsidP="00773379">
      <w:r>
        <w:t xml:space="preserve">Licensees may apply under the Act </w:t>
      </w:r>
      <w:r w:rsidR="004318CE">
        <w:t xml:space="preserve">at any time </w:t>
      </w:r>
      <w:r>
        <w:t xml:space="preserve">to vary their </w:t>
      </w:r>
      <w:r w:rsidR="004318CE">
        <w:t>rehabilitation plan through the work plan variation process under the Act.</w:t>
      </w:r>
      <w:r>
        <w:rPr>
          <w:rStyle w:val="FootnoteReference"/>
        </w:rPr>
        <w:footnoteReference w:id="157"/>
      </w:r>
      <w:r>
        <w:t xml:space="preserve"> </w:t>
      </w:r>
      <w:r w:rsidR="004318CE">
        <w:t>The Department Head can</w:t>
      </w:r>
      <w:r>
        <w:t xml:space="preserve"> direct a licensee to </w:t>
      </w:r>
      <w:r w:rsidR="004318CE">
        <w:t>lodge a work plan variation (after giving the licensee written notice of the reasons and an opportunity to comment).</w:t>
      </w:r>
      <w:r>
        <w:rPr>
          <w:rStyle w:val="FootnoteReference"/>
        </w:rPr>
        <w:footnoteReference w:id="158"/>
      </w:r>
      <w:r>
        <w:t xml:space="preserve"> The new information requirements do not apply retrospectively to work plans lodged prior to the commencement of the amendments unless the work plan has been varied after the commencement date.</w:t>
      </w:r>
      <w:r>
        <w:rPr>
          <w:rStyle w:val="FootnoteReference"/>
        </w:rPr>
        <w:footnoteReference w:id="159"/>
      </w:r>
      <w:r>
        <w:t xml:space="preserve"> There i</w:t>
      </w:r>
      <w:r w:rsidR="0021314F">
        <w:t>s</w:t>
      </w:r>
      <w:r>
        <w:t xml:space="preserve"> </w:t>
      </w:r>
      <w:r w:rsidR="00656366">
        <w:t xml:space="preserve">one </w:t>
      </w:r>
      <w:r>
        <w:t>exception: if the Department Head determines that the work set out in a licensee’s work plan ‘may pose an unacceptable risk to the environment, to any member of the public, or to land, property or infrastructure in the vicinity of that work’, they may direct the work plan be varied so that it meets the new information requirements.</w:t>
      </w:r>
      <w:r>
        <w:rPr>
          <w:rStyle w:val="FootnoteReference"/>
        </w:rPr>
        <w:footnoteReference w:id="160"/>
      </w:r>
      <w:r>
        <w:t xml:space="preserve"> </w:t>
      </w:r>
    </w:p>
    <w:p w14:paraId="0673712D" w14:textId="76E58584" w:rsidR="0051442D" w:rsidRDefault="0051442D" w:rsidP="00CF3F9B">
      <w:r>
        <w:lastRenderedPageBreak/>
        <w:t>Licensees of newly declared mines must lodge a work plan variation within 60 days of the mine being declared.</w:t>
      </w:r>
      <w:r>
        <w:rPr>
          <w:rStyle w:val="FootnoteReference"/>
        </w:rPr>
        <w:footnoteReference w:id="161"/>
      </w:r>
    </w:p>
    <w:p w14:paraId="24E081B1" w14:textId="01E5D1D4" w:rsidR="00CD3390" w:rsidRPr="000C5B50" w:rsidRDefault="14156F5A" w:rsidP="003F70FF">
      <w:pPr>
        <w:pStyle w:val="Heading7"/>
      </w:pPr>
      <w:r>
        <w:t>DMRPs</w:t>
      </w:r>
    </w:p>
    <w:p w14:paraId="3EAA924B" w14:textId="2B02CD9D" w:rsidR="005E18BF" w:rsidRDefault="00CD3390" w:rsidP="009C4B53">
      <w:r>
        <w:t>Licensees of declared mine land are required under section 84AZU of the Act to prepare DMRPs which include</w:t>
      </w:r>
      <w:r w:rsidR="005E18BF">
        <w:t>:</w:t>
      </w:r>
    </w:p>
    <w:p w14:paraId="1745BAA5" w14:textId="21DBFD2B" w:rsidR="005E18BF" w:rsidRDefault="00CD3390" w:rsidP="00A842BC">
      <w:pPr>
        <w:pStyle w:val="dotpoints"/>
      </w:pPr>
      <w:r w:rsidRPr="00773379">
        <w:t xml:space="preserve">any </w:t>
      </w:r>
      <w:r w:rsidR="00D15B82" w:rsidRPr="00773379">
        <w:t xml:space="preserve">existing </w:t>
      </w:r>
      <w:r w:rsidRPr="00773379">
        <w:t>rehabilitation plan</w:t>
      </w:r>
      <w:r w:rsidR="00055B26">
        <w:t>;</w:t>
      </w:r>
      <w:r w:rsidRPr="00773379">
        <w:t xml:space="preserve"> </w:t>
      </w:r>
    </w:p>
    <w:p w14:paraId="0DC90877" w14:textId="0F21B76D" w:rsidR="005E18BF" w:rsidRDefault="00CD3390" w:rsidP="00A842BC">
      <w:pPr>
        <w:pStyle w:val="dotpoints"/>
      </w:pPr>
      <w:r w:rsidRPr="00773379">
        <w:t>the prescribed closure criteria for the mine</w:t>
      </w:r>
      <w:r w:rsidR="00055B26">
        <w:t>;</w:t>
      </w:r>
      <w:r w:rsidRPr="00773379">
        <w:t xml:space="preserve"> </w:t>
      </w:r>
    </w:p>
    <w:p w14:paraId="35EEE1BE" w14:textId="36B04650" w:rsidR="005E18BF" w:rsidRDefault="00CD3390" w:rsidP="00A842BC">
      <w:pPr>
        <w:pStyle w:val="dotpoints"/>
      </w:pPr>
      <w:r w:rsidRPr="00773379">
        <w:t>a post-closure plan setting out the monitoring and maintenance to be carried out on the closure of the land</w:t>
      </w:r>
      <w:r w:rsidR="00055B26">
        <w:t>; and</w:t>
      </w:r>
      <w:r w:rsidRPr="00773379">
        <w:t xml:space="preserve"> </w:t>
      </w:r>
    </w:p>
    <w:p w14:paraId="2D2578AF" w14:textId="77777777" w:rsidR="005E18BF" w:rsidRDefault="00CD3390" w:rsidP="00A842BC">
      <w:pPr>
        <w:pStyle w:val="dotpoints"/>
      </w:pPr>
      <w:r w:rsidRPr="00773379">
        <w:t xml:space="preserve">an undertaking to pay the registration amount and an assessment of the risks posed by the declared mine land. </w:t>
      </w:r>
    </w:p>
    <w:p w14:paraId="47753E58" w14:textId="28570347" w:rsidR="009C4B53" w:rsidRPr="005E18BF" w:rsidRDefault="009C4B53" w:rsidP="00A842BC">
      <w:r w:rsidRPr="005E18BF">
        <w:t xml:space="preserve">The Act does not specify any supporting documents or evidence to be provided alongside the DMRP. </w:t>
      </w:r>
    </w:p>
    <w:p w14:paraId="53DC356C" w14:textId="718199DC" w:rsidR="00CD3390" w:rsidRDefault="004316FA" w:rsidP="00A842BC">
      <w:r w:rsidRPr="00072DA6">
        <w:t xml:space="preserve">It is </w:t>
      </w:r>
      <w:r w:rsidR="00B52683" w:rsidRPr="00072DA6">
        <w:t>assum</w:t>
      </w:r>
      <w:r w:rsidRPr="00072DA6">
        <w:t>ed</w:t>
      </w:r>
      <w:r w:rsidRPr="00072DA6">
        <w:rPr>
          <w:rFonts w:asciiTheme="minorHAnsi" w:hAnsiTheme="minorHAnsi" w:cstheme="minorHAnsi"/>
        </w:rPr>
        <w:t xml:space="preserve"> </w:t>
      </w:r>
      <w:r w:rsidR="0014132C" w:rsidRPr="00072DA6">
        <w:rPr>
          <w:rFonts w:asciiTheme="minorHAnsi" w:hAnsiTheme="minorHAnsi" w:cstheme="minorHAnsi"/>
        </w:rPr>
        <w:t xml:space="preserve">for the purpose of the analysis in this RIS that in the absence of </w:t>
      </w:r>
      <w:r w:rsidR="00C46FD4">
        <w:rPr>
          <w:rFonts w:asciiTheme="minorHAnsi" w:hAnsiTheme="minorHAnsi" w:cstheme="minorHAnsi"/>
        </w:rPr>
        <w:t xml:space="preserve">defined </w:t>
      </w:r>
      <w:r w:rsidR="0014132C" w:rsidRPr="00072DA6">
        <w:rPr>
          <w:rFonts w:asciiTheme="minorHAnsi" w:hAnsiTheme="minorHAnsi" w:cstheme="minorHAnsi"/>
        </w:rPr>
        <w:t>closure criteria</w:t>
      </w:r>
      <w:r w:rsidR="0073253E" w:rsidRPr="00072DA6">
        <w:rPr>
          <w:rFonts w:asciiTheme="minorHAnsi" w:hAnsiTheme="minorHAnsi" w:cstheme="minorHAnsi"/>
        </w:rPr>
        <w:t xml:space="preserve"> in the DMRP</w:t>
      </w:r>
      <w:r w:rsidR="003F1784">
        <w:rPr>
          <w:rFonts w:asciiTheme="minorHAnsi" w:hAnsiTheme="minorHAnsi" w:cstheme="minorHAnsi"/>
        </w:rPr>
        <w:t xml:space="preserve"> o</w:t>
      </w:r>
      <w:r w:rsidR="00DC6618">
        <w:rPr>
          <w:rFonts w:asciiTheme="minorHAnsi" w:hAnsiTheme="minorHAnsi" w:cstheme="minorHAnsi"/>
        </w:rPr>
        <w:t>r rehabilitation plans made under the 2019 regulations</w:t>
      </w:r>
      <w:r w:rsidR="0014132C" w:rsidRPr="00072DA6">
        <w:rPr>
          <w:rFonts w:asciiTheme="minorHAnsi" w:hAnsiTheme="minorHAnsi" w:cstheme="minorHAnsi"/>
        </w:rPr>
        <w:t xml:space="preserve">, the Minister would </w:t>
      </w:r>
      <w:r w:rsidR="0073253E" w:rsidRPr="00072DA6">
        <w:rPr>
          <w:rFonts w:asciiTheme="minorHAnsi" w:hAnsiTheme="minorHAnsi" w:cstheme="minorHAnsi"/>
        </w:rPr>
        <w:t>need to come to a view on what the appropriate criteria are</w:t>
      </w:r>
      <w:r w:rsidR="00B52A49" w:rsidRPr="00072DA6">
        <w:rPr>
          <w:rFonts w:asciiTheme="minorHAnsi" w:hAnsiTheme="minorHAnsi" w:cstheme="minorHAnsi"/>
        </w:rPr>
        <w:t xml:space="preserve">. </w:t>
      </w:r>
      <w:r w:rsidR="00305E75">
        <w:rPr>
          <w:rFonts w:asciiTheme="minorHAnsi" w:hAnsiTheme="minorHAnsi" w:cstheme="minorHAnsi"/>
        </w:rPr>
        <w:t>That view would</w:t>
      </w:r>
      <w:r w:rsidR="00B52A49" w:rsidRPr="00072DA6">
        <w:rPr>
          <w:rFonts w:asciiTheme="minorHAnsi" w:hAnsiTheme="minorHAnsi" w:cstheme="minorHAnsi"/>
        </w:rPr>
        <w:t xml:space="preserve"> likely be </w:t>
      </w:r>
      <w:r w:rsidR="00305E75">
        <w:rPr>
          <w:rFonts w:asciiTheme="minorHAnsi" w:hAnsiTheme="minorHAnsi" w:cstheme="minorHAnsi"/>
        </w:rPr>
        <w:t>informed by</w:t>
      </w:r>
      <w:r w:rsidR="00B52A49" w:rsidRPr="00072DA6">
        <w:rPr>
          <w:rFonts w:asciiTheme="minorHAnsi" w:hAnsiTheme="minorHAnsi" w:cstheme="minorHAnsi"/>
        </w:rPr>
        <w:t xml:space="preserve"> the objectives of the LVRRS, as the current declared mines are all located in the Latrobe Valley.</w:t>
      </w:r>
      <w:r w:rsidR="0073253E">
        <w:rPr>
          <w:rFonts w:asciiTheme="minorHAnsi" w:hAnsiTheme="minorHAnsi" w:cstheme="minorHAnsi"/>
        </w:rPr>
        <w:t xml:space="preserve"> </w:t>
      </w:r>
    </w:p>
    <w:p w14:paraId="712B5FCD" w14:textId="77777777" w:rsidR="00B52683" w:rsidRDefault="00CD3390" w:rsidP="00A842BC">
      <w:r>
        <w:t>The Act also stipulates that the declared mine licensee must prepare the DMRP within the prescribed period and consult with the prescribed people or class of people in relation to the plan.</w:t>
      </w:r>
      <w:r w:rsidR="00D15B82">
        <w:t xml:space="preserve"> </w:t>
      </w:r>
    </w:p>
    <w:p w14:paraId="32AE5DDE" w14:textId="26B3AF34" w:rsidR="004318CE" w:rsidRDefault="00D001C9" w:rsidP="00A842BC">
      <w:r>
        <w:t>Under the base case, there would be no prescribed period in which the licensee must prepare and submit their DMRP.</w:t>
      </w:r>
      <w:r w:rsidR="00315AAE">
        <w:t xml:space="preserve"> </w:t>
      </w:r>
      <w:r w:rsidR="006B2EC4">
        <w:t>This means that under the base case, there is effectively no obligation on declared mine licensees to submit a DMRP</w:t>
      </w:r>
      <w:r w:rsidR="00A90980">
        <w:t xml:space="preserve"> and it is assumed for the purpose of the base case that they would not do so</w:t>
      </w:r>
      <w:r w:rsidR="006B2EC4">
        <w:t xml:space="preserve">.  </w:t>
      </w:r>
    </w:p>
    <w:p w14:paraId="552C8D12" w14:textId="3A57B87B" w:rsidR="00D001C9" w:rsidRDefault="00B52683" w:rsidP="00A842BC">
      <w:r>
        <w:t>While there would be no prescribed people or class of people to consult with in relation to the DMRP, l</w:t>
      </w:r>
      <w:r w:rsidR="00D001C9">
        <w:t xml:space="preserve">icensees have a variety of existing consultation obligations under the Act (separate to the DMRP provision in the Act). There is a general duty on licensees under section 39A of the Act to consult with the community throughout the period of the licence by sharing information about activities under the licence that may affect the community, and giving members of the community a reasonable opportunity to express their views about those activities. </w:t>
      </w:r>
      <w:r w:rsidR="00072D00">
        <w:t>Licensees must include information about how they will fulfil this duty</w:t>
      </w:r>
      <w:r w:rsidRPr="00B52683">
        <w:t xml:space="preserve"> </w:t>
      </w:r>
      <w:r>
        <w:t>in their work plan</w:t>
      </w:r>
      <w:r w:rsidR="00072D00">
        <w:t>.</w:t>
      </w:r>
      <w:r w:rsidR="00072D00">
        <w:rPr>
          <w:rStyle w:val="FootnoteReference"/>
        </w:rPr>
        <w:footnoteReference w:id="162"/>
      </w:r>
      <w:r w:rsidR="00072D00">
        <w:t xml:space="preserve"> </w:t>
      </w:r>
      <w:r w:rsidR="00D001C9">
        <w:t>Licensees must also:</w:t>
      </w:r>
    </w:p>
    <w:p w14:paraId="3FDD9BB1" w14:textId="3B7E08A7" w:rsidR="00D001C9" w:rsidRDefault="00D001C9" w:rsidP="00A842BC">
      <w:pPr>
        <w:pStyle w:val="dotpoints"/>
      </w:pPr>
      <w:r>
        <w:t xml:space="preserve">obtain the consent of the Crown land Minister </w:t>
      </w:r>
      <w:r w:rsidR="00072D00">
        <w:t>where work is proposed to be undertaken on restricted Crown land</w:t>
      </w:r>
      <w:r>
        <w:t>;</w:t>
      </w:r>
      <w:r w:rsidRPr="7B3EF51E">
        <w:rPr>
          <w:rStyle w:val="FootnoteReference"/>
          <w:rFonts w:asciiTheme="minorHAnsi" w:hAnsiTheme="minorHAnsi" w:cstheme="minorBidi"/>
        </w:rPr>
        <w:footnoteReference w:id="163"/>
      </w:r>
    </w:p>
    <w:p w14:paraId="37376DD6" w14:textId="71C07829" w:rsidR="00D001C9" w:rsidRPr="00D44D55" w:rsidRDefault="00072D00" w:rsidP="00A842BC">
      <w:pPr>
        <w:pStyle w:val="dotpoints"/>
      </w:pPr>
      <w:r>
        <w:t>obtain the consent of the Mel</w:t>
      </w:r>
      <w:r w:rsidR="00D001C9">
        <w:t>bourne Water C</w:t>
      </w:r>
      <w:r>
        <w:t>orporation or water authority where land under the licence is owned by, vested in or managed by them;</w:t>
      </w:r>
      <w:r w:rsidRPr="7B3EF51E">
        <w:rPr>
          <w:rStyle w:val="FootnoteReference"/>
          <w:rFonts w:asciiTheme="minorHAnsi" w:hAnsiTheme="minorHAnsi" w:cstheme="minorBidi"/>
        </w:rPr>
        <w:footnoteReference w:id="164"/>
      </w:r>
      <w:r>
        <w:t xml:space="preserve"> and</w:t>
      </w:r>
    </w:p>
    <w:p w14:paraId="33AA9C55" w14:textId="2D340677" w:rsidR="00D001C9" w:rsidRDefault="00072D00" w:rsidP="00A842BC">
      <w:pPr>
        <w:pStyle w:val="dotpoints"/>
      </w:pPr>
      <w:r>
        <w:t>where land is privately owned, consult with the landowner regarding the rehabilitation plan, and with the landowner and local council before the bond is returned;</w:t>
      </w:r>
      <w:r w:rsidRPr="7B3EF51E">
        <w:rPr>
          <w:rStyle w:val="FootnoteReference"/>
          <w:rFonts w:asciiTheme="minorHAnsi" w:hAnsiTheme="minorHAnsi" w:cstheme="minorBidi"/>
        </w:rPr>
        <w:footnoteReference w:id="165"/>
      </w:r>
      <w:r>
        <w:t xml:space="preserve"> </w:t>
      </w:r>
    </w:p>
    <w:p w14:paraId="53FE1491" w14:textId="78543EA7" w:rsidR="00D15B82" w:rsidRDefault="00CF3F9B" w:rsidP="00CD3390">
      <w:r w:rsidRPr="00FC5FD8">
        <w:t xml:space="preserve">It is assumed for the purposes of the analysis in this RIS that without regulations prescribing a list of people or class of people to be consulted, declared mine licensees would not undertake any additional consultation </w:t>
      </w:r>
      <w:r w:rsidR="00395F7B" w:rsidRPr="00FC5FD8">
        <w:t xml:space="preserve">in relation to rehabilitation planning </w:t>
      </w:r>
      <w:r w:rsidRPr="00FC5FD8">
        <w:t>beyond the general engagement required under section 39A</w:t>
      </w:r>
      <w:r w:rsidRPr="00E62174">
        <w:t>.</w:t>
      </w:r>
    </w:p>
    <w:p w14:paraId="52209E8A" w14:textId="729C5D83" w:rsidR="00FA07E9" w:rsidRDefault="00E779AF" w:rsidP="00CD3390">
      <w:r>
        <w:t>The Act provides that, when the Department Head receives and is considering a DMRP for approval, they must:</w:t>
      </w:r>
      <w:r w:rsidRPr="7B3EF51E">
        <w:rPr>
          <w:rStyle w:val="FootnoteReference"/>
          <w:rFonts w:asciiTheme="minorHAnsi" w:hAnsiTheme="minorHAnsi" w:cstheme="minorBidi"/>
        </w:rPr>
        <w:footnoteReference w:id="166"/>
      </w:r>
    </w:p>
    <w:p w14:paraId="47D15F0F" w14:textId="758B108E" w:rsidR="00E779AF" w:rsidRDefault="00E779AF" w:rsidP="00A842BC">
      <w:pPr>
        <w:pStyle w:val="dotpoints"/>
      </w:pPr>
      <w:r w:rsidRPr="1E774E91">
        <w:t>consult the Authority;</w:t>
      </w:r>
    </w:p>
    <w:p w14:paraId="597BD0B6" w14:textId="73071E75" w:rsidR="00E779AF" w:rsidRDefault="00E779AF" w:rsidP="00A842BC">
      <w:pPr>
        <w:pStyle w:val="dotpoints"/>
      </w:pPr>
      <w:r w:rsidRPr="1E774E91">
        <w:t xml:space="preserve">in respect of the closure criteria for the plan, consult with the Crown </w:t>
      </w:r>
      <w:r w:rsidR="176124AC" w:rsidRPr="536964E5">
        <w:t>L</w:t>
      </w:r>
      <w:r w:rsidRPr="1E774E91">
        <w:t xml:space="preserve">and Minister and the Minister responsible for administering – </w:t>
      </w:r>
    </w:p>
    <w:p w14:paraId="5EE3645D" w14:textId="09B19740" w:rsidR="00E779AF" w:rsidRPr="006B2EC4" w:rsidRDefault="0D4B3A80" w:rsidP="00A842BC">
      <w:pPr>
        <w:pStyle w:val="dotpoints2"/>
      </w:pPr>
      <w:r>
        <w:t>the Crown Land (Reserves) Act 1978</w:t>
      </w:r>
    </w:p>
    <w:p w14:paraId="548E3BE5" w14:textId="56DEEDC7" w:rsidR="00E779AF" w:rsidRPr="006B2EC4" w:rsidRDefault="0D4B3A80" w:rsidP="00A842BC">
      <w:pPr>
        <w:pStyle w:val="dotpoints2"/>
      </w:pPr>
      <w:r>
        <w:lastRenderedPageBreak/>
        <w:t>the Environment Protection Act 1970</w:t>
      </w:r>
    </w:p>
    <w:p w14:paraId="6F9CA08C" w14:textId="6984BEDD" w:rsidR="00E779AF" w:rsidRPr="006B2EC4" w:rsidRDefault="0D4B3A80" w:rsidP="00A842BC">
      <w:pPr>
        <w:pStyle w:val="dotpoints2"/>
      </w:pPr>
      <w:r>
        <w:t>the Forests Act 1958</w:t>
      </w:r>
    </w:p>
    <w:p w14:paraId="66C80B53" w14:textId="249B1102" w:rsidR="00E779AF" w:rsidRPr="006B2EC4" w:rsidRDefault="0D4B3A80" w:rsidP="00A842BC">
      <w:pPr>
        <w:pStyle w:val="dotpoints2"/>
      </w:pPr>
      <w:r>
        <w:t>the Land Act 1958</w:t>
      </w:r>
    </w:p>
    <w:p w14:paraId="236761B8" w14:textId="6BE842B4" w:rsidR="00E779AF" w:rsidRPr="006B2EC4" w:rsidRDefault="0D4B3A80" w:rsidP="00A842BC">
      <w:pPr>
        <w:pStyle w:val="dotpoints2"/>
      </w:pPr>
      <w:r>
        <w:t>the National Parks Act 1975</w:t>
      </w:r>
    </w:p>
    <w:p w14:paraId="501C9F44" w14:textId="4853F072" w:rsidR="00E779AF" w:rsidRPr="006B2EC4" w:rsidRDefault="0D4B3A80" w:rsidP="00A842BC">
      <w:pPr>
        <w:pStyle w:val="dotpoints2"/>
      </w:pPr>
      <w:r>
        <w:t>the Planning and Environment Act 1987</w:t>
      </w:r>
    </w:p>
    <w:p w14:paraId="7516E238" w14:textId="573C2565" w:rsidR="00E779AF" w:rsidRPr="006B2EC4" w:rsidRDefault="0D4B3A80" w:rsidP="00A842BC">
      <w:pPr>
        <w:pStyle w:val="dotpoints2"/>
      </w:pPr>
      <w:r>
        <w:t>the Water Act 1989</w:t>
      </w:r>
    </w:p>
    <w:p w14:paraId="3286EA7D" w14:textId="397387AE" w:rsidR="00E779AF" w:rsidRPr="006B2EC4" w:rsidRDefault="0D4B3A80" w:rsidP="00A842BC">
      <w:pPr>
        <w:pStyle w:val="dotpoints2"/>
      </w:pPr>
      <w:r>
        <w:t>the Wildlife Act 1975</w:t>
      </w:r>
    </w:p>
    <w:p w14:paraId="18CE3AEA" w14:textId="77777777" w:rsidR="00E779AF" w:rsidRDefault="00E779AF" w:rsidP="00A842BC">
      <w:pPr>
        <w:pStyle w:val="dotpoints"/>
      </w:pPr>
      <w:r>
        <w:t>follow any other prescribed process; and</w:t>
      </w:r>
    </w:p>
    <w:p w14:paraId="0B249CD5" w14:textId="24A9B992" w:rsidR="00E779AF" w:rsidRDefault="0D4B3A80" w:rsidP="00A842BC">
      <w:pPr>
        <w:pStyle w:val="dotpoints"/>
      </w:pPr>
      <w:r>
        <w:t>consider any other prescribed matter.</w:t>
      </w:r>
    </w:p>
    <w:p w14:paraId="43BB8D3B" w14:textId="483C5DB7" w:rsidR="00E779AF" w:rsidRDefault="00E779AF" w:rsidP="00A842BC">
      <w:r w:rsidRPr="00072DA6">
        <w:t>It is assumed for the purpose of the analysis in this RIS that the Department Head would consult with other parties and consider other matters at their discretion.</w:t>
      </w:r>
    </w:p>
    <w:p w14:paraId="4A9E3A84" w14:textId="7A1AD9C5" w:rsidR="00395F7B" w:rsidRDefault="00395F7B" w:rsidP="00A842BC">
      <w:r>
        <w:t>This process is ineffective under the base case, where no DMRP is submitted.</w:t>
      </w:r>
    </w:p>
    <w:p w14:paraId="7A64EA8C" w14:textId="06ED586A" w:rsidR="00341454" w:rsidRDefault="00341454" w:rsidP="003F70FF">
      <w:pPr>
        <w:pStyle w:val="Heading6"/>
      </w:pPr>
      <w:r>
        <w:t>Rehabilitation reporting</w:t>
      </w:r>
      <w:r w:rsidR="00D337A2">
        <w:t xml:space="preserve"> </w:t>
      </w:r>
    </w:p>
    <w:p w14:paraId="09E3F9F3" w14:textId="061467FE" w:rsidR="00341454" w:rsidRDefault="00341454" w:rsidP="00E779AF">
      <w:pPr>
        <w:spacing w:after="60"/>
        <w:rPr>
          <w:rFonts w:asciiTheme="minorHAnsi" w:hAnsiTheme="minorHAnsi" w:cstheme="minorHAnsi"/>
        </w:rPr>
      </w:pPr>
      <w:r>
        <w:rPr>
          <w:rFonts w:asciiTheme="minorHAnsi" w:hAnsiTheme="minorHAnsi" w:cstheme="minorHAnsi"/>
        </w:rPr>
        <w:t xml:space="preserve">There are existing </w:t>
      </w:r>
      <w:r w:rsidR="00F963EB">
        <w:rPr>
          <w:rFonts w:asciiTheme="minorHAnsi" w:hAnsiTheme="minorHAnsi" w:cstheme="minorHAnsi"/>
        </w:rPr>
        <w:t xml:space="preserve">annual </w:t>
      </w:r>
      <w:r>
        <w:rPr>
          <w:rFonts w:asciiTheme="minorHAnsi" w:hAnsiTheme="minorHAnsi" w:cstheme="minorHAnsi"/>
        </w:rPr>
        <w:t xml:space="preserve">reporting obligations that apply to all licensees, and some </w:t>
      </w:r>
      <w:r w:rsidR="00F963EB">
        <w:rPr>
          <w:rFonts w:asciiTheme="minorHAnsi" w:hAnsiTheme="minorHAnsi" w:cstheme="minorHAnsi"/>
        </w:rPr>
        <w:t xml:space="preserve">reporting obligations </w:t>
      </w:r>
      <w:r>
        <w:rPr>
          <w:rFonts w:asciiTheme="minorHAnsi" w:hAnsiTheme="minorHAnsi" w:cstheme="minorHAnsi"/>
        </w:rPr>
        <w:t>that apply specifically to declared mine licensees.</w:t>
      </w:r>
    </w:p>
    <w:p w14:paraId="39DCE727" w14:textId="4D4034BA" w:rsidR="00341454" w:rsidRDefault="00F963EB" w:rsidP="00E779AF">
      <w:pPr>
        <w:spacing w:after="60"/>
        <w:rPr>
          <w:rFonts w:asciiTheme="minorHAnsi" w:hAnsiTheme="minorHAnsi" w:cstheme="minorHAnsi"/>
        </w:rPr>
      </w:pPr>
      <w:r w:rsidRPr="7B3EF51E">
        <w:rPr>
          <w:rFonts w:asciiTheme="minorHAnsi" w:hAnsiTheme="minorHAnsi" w:cstheme="minorBidi"/>
        </w:rPr>
        <w:t>Annual r</w:t>
      </w:r>
      <w:r w:rsidR="00341454" w:rsidRPr="7B3EF51E">
        <w:rPr>
          <w:rFonts w:asciiTheme="minorHAnsi" w:hAnsiTheme="minorHAnsi" w:cstheme="minorBidi"/>
        </w:rPr>
        <w:t xml:space="preserve">eporting obligations </w:t>
      </w:r>
      <w:r w:rsidRPr="7B3EF51E">
        <w:rPr>
          <w:rFonts w:asciiTheme="minorHAnsi" w:hAnsiTheme="minorHAnsi" w:cstheme="minorBidi"/>
        </w:rPr>
        <w:t>that are relevant to</w:t>
      </w:r>
      <w:r w:rsidR="00341454" w:rsidRPr="7B3EF51E">
        <w:rPr>
          <w:rFonts w:asciiTheme="minorHAnsi" w:hAnsiTheme="minorHAnsi" w:cstheme="minorBidi"/>
        </w:rPr>
        <w:t xml:space="preserve"> rehabilitation </w:t>
      </w:r>
      <w:r w:rsidRPr="7B3EF51E">
        <w:rPr>
          <w:rFonts w:asciiTheme="minorHAnsi" w:hAnsiTheme="minorHAnsi" w:cstheme="minorBidi"/>
        </w:rPr>
        <w:t xml:space="preserve">and </w:t>
      </w:r>
      <w:r w:rsidR="00341454" w:rsidRPr="7B3EF51E">
        <w:rPr>
          <w:rFonts w:asciiTheme="minorHAnsi" w:hAnsiTheme="minorHAnsi" w:cstheme="minorBidi"/>
        </w:rPr>
        <w:t>apply to all licensees include:</w:t>
      </w:r>
      <w:r w:rsidRPr="7B3EF51E">
        <w:rPr>
          <w:rStyle w:val="FootnoteReference"/>
          <w:rFonts w:asciiTheme="minorHAnsi" w:hAnsiTheme="minorHAnsi" w:cstheme="minorBidi"/>
        </w:rPr>
        <w:footnoteReference w:id="167"/>
      </w:r>
    </w:p>
    <w:p w14:paraId="0AFE8111" w14:textId="7D2B111C" w:rsidR="00341454" w:rsidRDefault="00F963EB" w:rsidP="00A842BC">
      <w:pPr>
        <w:pStyle w:val="dotpoints"/>
      </w:pPr>
      <w:r>
        <w:t>expenditure on rehabilitation;</w:t>
      </w:r>
      <w:r w:rsidRPr="7B3EF51E">
        <w:rPr>
          <w:rStyle w:val="FootnoteReference"/>
          <w:rFonts w:asciiTheme="minorHAnsi" w:hAnsiTheme="minorHAnsi" w:cstheme="minorBidi"/>
        </w:rPr>
        <w:footnoteReference w:id="168"/>
      </w:r>
    </w:p>
    <w:p w14:paraId="783C5CE6" w14:textId="2977164A" w:rsidR="00F963EB" w:rsidRDefault="2CC29706" w:rsidP="00A842BC">
      <w:pPr>
        <w:pStyle w:val="dotpoints"/>
      </w:pPr>
      <w:r>
        <w:t>details of rehabilitation undertaken over the reporting period, including any area of progressively rehabilitated land that contributes to achieving the landform set out in the licensee’s work plan;</w:t>
      </w:r>
      <w:r w:rsidR="00F963EB" w:rsidRPr="5CF0E88B">
        <w:rPr>
          <w:rStyle w:val="FootnoteReference"/>
          <w:rFonts w:asciiTheme="minorHAnsi" w:hAnsiTheme="minorHAnsi" w:cstheme="minorBidi"/>
        </w:rPr>
        <w:footnoteReference w:id="169"/>
      </w:r>
    </w:p>
    <w:p w14:paraId="37A8D8C3" w14:textId="62E885D2" w:rsidR="00F963EB" w:rsidRDefault="00F963EB" w:rsidP="00A842BC">
      <w:pPr>
        <w:pStyle w:val="dotpoints"/>
      </w:pPr>
      <w:r>
        <w:t>progress that has been made towards the achievement of rehabilitation milestones;</w:t>
      </w:r>
      <w:r w:rsidRPr="7B3EF51E">
        <w:rPr>
          <w:rStyle w:val="FootnoteReference"/>
          <w:rFonts w:asciiTheme="minorHAnsi" w:hAnsiTheme="minorHAnsi" w:cstheme="minorBidi"/>
        </w:rPr>
        <w:footnoteReference w:id="170"/>
      </w:r>
    </w:p>
    <w:p w14:paraId="0D62A23B" w14:textId="46F712B8" w:rsidR="00F963EB" w:rsidRDefault="00F963EB" w:rsidP="00A842BC">
      <w:pPr>
        <w:pStyle w:val="dotpoints"/>
      </w:pPr>
      <w:r>
        <w:t xml:space="preserve">an estimate of the rehabilitation liability </w:t>
      </w:r>
      <w:r w:rsidR="00602D89">
        <w:t>for the licence area at the end of the reporting period;</w:t>
      </w:r>
      <w:r w:rsidR="00602D89" w:rsidRPr="7B3EF51E">
        <w:rPr>
          <w:rStyle w:val="FootnoteReference"/>
          <w:rFonts w:asciiTheme="minorHAnsi" w:hAnsiTheme="minorHAnsi" w:cstheme="minorBidi"/>
        </w:rPr>
        <w:footnoteReference w:id="171"/>
      </w:r>
    </w:p>
    <w:p w14:paraId="0F95E501" w14:textId="3936B10A" w:rsidR="00602D89" w:rsidRDefault="00602D89" w:rsidP="00A842BC">
      <w:pPr>
        <w:pStyle w:val="dotpoints"/>
      </w:pPr>
      <w:r>
        <w:t>the net change in estimated rehabilitation liability from the previous reporting period;</w:t>
      </w:r>
      <w:r w:rsidRPr="7B3EF51E">
        <w:rPr>
          <w:rStyle w:val="FootnoteReference"/>
          <w:rFonts w:asciiTheme="minorHAnsi" w:hAnsiTheme="minorHAnsi" w:cstheme="minorBidi"/>
        </w:rPr>
        <w:footnoteReference w:id="172"/>
      </w:r>
    </w:p>
    <w:p w14:paraId="02328E33" w14:textId="3DB26C76" w:rsidR="00602D89" w:rsidRDefault="00602D89" w:rsidP="00A842BC">
      <w:pPr>
        <w:pStyle w:val="dotpoints"/>
      </w:pPr>
      <w:r>
        <w:t>a technical report including all geological, geophysical, geochemical and other technical investigations undertaken during the reporting period.</w:t>
      </w:r>
      <w:r w:rsidRPr="7B3EF51E">
        <w:rPr>
          <w:rStyle w:val="FootnoteReference"/>
          <w:rFonts w:asciiTheme="minorHAnsi" w:hAnsiTheme="minorHAnsi" w:cstheme="minorBidi"/>
        </w:rPr>
        <w:footnoteReference w:id="173"/>
      </w:r>
    </w:p>
    <w:p w14:paraId="3BF4E748" w14:textId="26AAC83B" w:rsidR="00602D89" w:rsidRPr="00341454" w:rsidRDefault="006B2EC4" w:rsidP="00A842BC">
      <w:r>
        <w:t>In addition, d</w:t>
      </w:r>
      <w:r w:rsidR="00602D89">
        <w:t>eclared mine licensees must report, every 6 months:</w:t>
      </w:r>
      <w:r w:rsidR="00602D89" w:rsidRPr="7B3EF51E">
        <w:rPr>
          <w:rStyle w:val="FootnoteReference"/>
          <w:rFonts w:asciiTheme="minorHAnsi" w:hAnsiTheme="minorHAnsi" w:cstheme="minorBidi"/>
        </w:rPr>
        <w:footnoteReference w:id="174"/>
      </w:r>
    </w:p>
    <w:p w14:paraId="607D3BB6" w14:textId="4E811A64" w:rsidR="00602D89" w:rsidRDefault="00602D89" w:rsidP="00A842BC">
      <w:pPr>
        <w:pStyle w:val="dotpoints"/>
      </w:pPr>
      <w:r>
        <w:t>a description of activities taken to implement mine stability control measures;</w:t>
      </w:r>
    </w:p>
    <w:p w14:paraId="49DE3A9B" w14:textId="7BD69CFA" w:rsidR="00602D89" w:rsidRDefault="00602D89" w:rsidP="00A842BC">
      <w:pPr>
        <w:pStyle w:val="dotpoints"/>
      </w:pPr>
      <w:r>
        <w:t>the results of the monitoring taken out under the work plan;</w:t>
      </w:r>
    </w:p>
    <w:p w14:paraId="73512245" w14:textId="62D1A5BB" w:rsidR="00602D89" w:rsidRDefault="00602D89" w:rsidP="00A842BC">
      <w:pPr>
        <w:pStyle w:val="dotpoints"/>
      </w:pPr>
      <w:r>
        <w:t>the outcomes of reviews relating to the declared mine, taking into account any significant changes in the operation of the declared mine and implications for mine design components; and</w:t>
      </w:r>
    </w:p>
    <w:p w14:paraId="6BD751E3" w14:textId="04D65318" w:rsidR="00602D89" w:rsidRDefault="00602D89" w:rsidP="00A842BC">
      <w:pPr>
        <w:pStyle w:val="dotpoints"/>
      </w:pPr>
      <w:r>
        <w:t>any recommended changes to the work plan arising from these reviews.</w:t>
      </w:r>
    </w:p>
    <w:p w14:paraId="1C7D56FE" w14:textId="5A6580A5" w:rsidR="00602D89" w:rsidRDefault="004C0242" w:rsidP="00A842BC">
      <w:r>
        <w:t>In addition, section 41AC of the Act requires licensees to notify the Chief Inspector of certain ‘reportable events’ specified in regulation 51, such as explosions or fires, slope failures or injuries to members of the public.</w:t>
      </w:r>
    </w:p>
    <w:p w14:paraId="0305253E" w14:textId="25E6524E" w:rsidR="000C7DC0" w:rsidRPr="003B34EE" w:rsidRDefault="000C7DC0" w:rsidP="003F70FF">
      <w:pPr>
        <w:pStyle w:val="Heading6"/>
      </w:pPr>
      <w:r>
        <w:t xml:space="preserve">Review and updating </w:t>
      </w:r>
      <w:r w:rsidR="00EF2170">
        <w:t>rehabilitation plans</w:t>
      </w:r>
    </w:p>
    <w:p w14:paraId="6A7B8E7C" w14:textId="5B335051" w:rsidR="00E779AF" w:rsidRPr="00A842BC" w:rsidRDefault="00D337A2" w:rsidP="00A842BC">
      <w:r w:rsidRPr="00A842BC">
        <w:t xml:space="preserve">There is no formal review mechanism in the Act for the review of </w:t>
      </w:r>
      <w:r w:rsidR="00684CB9" w:rsidRPr="00A842BC">
        <w:t>DMRPs</w:t>
      </w:r>
      <w:r w:rsidRPr="00A842BC">
        <w:t xml:space="preserve"> as a whole.</w:t>
      </w:r>
      <w:r w:rsidR="0075063D" w:rsidRPr="00A842BC">
        <w:t xml:space="preserve"> However, r</w:t>
      </w:r>
      <w:r w:rsidR="2E85C04F" w:rsidRPr="00A842BC">
        <w:t>egulated part</w:t>
      </w:r>
      <w:r w:rsidR="0B2AA4D7" w:rsidRPr="00A842BC">
        <w:t>ies may</w:t>
      </w:r>
      <w:r w:rsidR="2E85C04F" w:rsidRPr="00A842BC">
        <w:t xml:space="preserve"> ha</w:t>
      </w:r>
      <w:r w:rsidR="712E68E9" w:rsidRPr="00A842BC">
        <w:t>ve</w:t>
      </w:r>
      <w:r w:rsidR="2E85C04F" w:rsidRPr="00A842BC">
        <w:t xml:space="preserve"> review provision</w:t>
      </w:r>
      <w:r w:rsidR="651EBC35" w:rsidRPr="00A842BC">
        <w:t>s</w:t>
      </w:r>
      <w:r w:rsidR="2E85C04F" w:rsidRPr="00A842BC">
        <w:t xml:space="preserve"> in </w:t>
      </w:r>
      <w:r w:rsidR="0075063D" w:rsidRPr="00A842BC">
        <w:t xml:space="preserve">their </w:t>
      </w:r>
      <w:r w:rsidR="2E85C04F" w:rsidRPr="00A842BC">
        <w:t>work plan condition</w:t>
      </w:r>
      <w:r w:rsidR="371E5B19" w:rsidRPr="00A842BC">
        <w:t>s</w:t>
      </w:r>
      <w:r w:rsidR="2E85C04F" w:rsidRPr="00A842BC">
        <w:t>.</w:t>
      </w:r>
    </w:p>
    <w:p w14:paraId="5A4240A1" w14:textId="137F55B9" w:rsidR="00EF2170" w:rsidRDefault="00EF2170" w:rsidP="00A842BC">
      <w:r>
        <w:lastRenderedPageBreak/>
        <w:t xml:space="preserve">As described above, licensees may submit a work plan variation application to the Department Head, and the application must contain the prescribed information. The Department Head can also direct a licensee to lodge a work plan variation, in the circumstances set out above.  </w:t>
      </w:r>
    </w:p>
    <w:p w14:paraId="3551A0DB" w14:textId="25F1B782" w:rsidR="002D0088" w:rsidRDefault="006B2EC4" w:rsidP="00A842BC">
      <w:r>
        <w:t>Similarly, d</w:t>
      </w:r>
      <w:r w:rsidR="00EF2170">
        <w:t>eclared mine licensees can apply to the Department Head to vary their DMRP,</w:t>
      </w:r>
      <w:r w:rsidR="00EF2170">
        <w:rPr>
          <w:rStyle w:val="FootnoteReference"/>
        </w:rPr>
        <w:footnoteReference w:id="175"/>
      </w:r>
      <w:r w:rsidR="00EF2170">
        <w:t xml:space="preserve"> </w:t>
      </w:r>
      <w:r w:rsidR="7A495F0C">
        <w:t xml:space="preserve">and </w:t>
      </w:r>
      <w:r w:rsidR="00EF2170">
        <w:t>the Department Head can also, on their own initiative, direct declared mine licensees to apply for a DMRP variation.</w:t>
      </w:r>
      <w:r w:rsidR="00EF2170">
        <w:rPr>
          <w:rStyle w:val="FootnoteReference"/>
        </w:rPr>
        <w:footnoteReference w:id="176"/>
      </w:r>
      <w:r w:rsidR="00EF2170">
        <w:t xml:space="preserve"> </w:t>
      </w:r>
    </w:p>
    <w:p w14:paraId="170868E2" w14:textId="17AD1714" w:rsidR="00EF2170" w:rsidRDefault="56C7D525" w:rsidP="00A842BC">
      <w:r>
        <w:t>DMRP v</w:t>
      </w:r>
      <w:r w:rsidR="59F61DC9">
        <w:t xml:space="preserve">ariation applications are assessed by the Department Head after consulting with the same list of ministers as in relation to the initial plan approval decision, considering any prescribed matter and following any prescribed process. </w:t>
      </w:r>
      <w:r w:rsidR="36D41243">
        <w:t xml:space="preserve">This part of the Act </w:t>
      </w:r>
      <w:r>
        <w:t>would be ineffective under the base case, where no DMRP is submitted.</w:t>
      </w:r>
    </w:p>
    <w:p w14:paraId="79015CFF" w14:textId="0252DA43" w:rsidR="003C2540" w:rsidRDefault="00C955A8" w:rsidP="00D50C43">
      <w:pPr>
        <w:pStyle w:val="Heading3"/>
        <w:numPr>
          <w:ilvl w:val="2"/>
          <w:numId w:val="124"/>
        </w:numPr>
      </w:pPr>
      <w:bookmarkStart w:id="272" w:name="_Toc104217691"/>
      <w:r>
        <w:t>Mine closure</w:t>
      </w:r>
      <w:r w:rsidR="00F70789">
        <w:t xml:space="preserve"> </w:t>
      </w:r>
      <w:r w:rsidR="006B2EC4">
        <w:t>determination</w:t>
      </w:r>
      <w:r w:rsidR="003B34EE">
        <w:t xml:space="preserve"> – base case</w:t>
      </w:r>
      <w:bookmarkEnd w:id="272"/>
    </w:p>
    <w:p w14:paraId="1A2C6448" w14:textId="05910680" w:rsidR="00EF2170" w:rsidRDefault="00EF2170" w:rsidP="00A842BC">
      <w:r>
        <w:t>Mines can be progressively closed: licensees can surrender part of the land covered by a licence with the consent of the Minister.</w:t>
      </w:r>
      <w:r>
        <w:rPr>
          <w:rStyle w:val="FootnoteReference"/>
        </w:rPr>
        <w:footnoteReference w:id="177"/>
      </w:r>
      <w:r>
        <w:t xml:space="preserve"> The Minister is also </w:t>
      </w:r>
      <w:r w:rsidR="00703210">
        <w:t xml:space="preserve">able to return part of a licensee’s rehabilitation bond, </w:t>
      </w:r>
      <w:r w:rsidR="007A7243">
        <w:t xml:space="preserve">or </w:t>
      </w:r>
      <w:r w:rsidR="00703210">
        <w:t>require the licensee to enter a further bond for any further rehabilitation required.</w:t>
      </w:r>
      <w:r w:rsidR="00703210">
        <w:rPr>
          <w:rStyle w:val="FootnoteReference"/>
        </w:rPr>
        <w:footnoteReference w:id="178"/>
      </w:r>
    </w:p>
    <w:p w14:paraId="3B995248" w14:textId="488D147A" w:rsidR="00703210" w:rsidRDefault="00703210" w:rsidP="00A842BC">
      <w:r>
        <w:t xml:space="preserve">In relation to the full and final closure of a mine, special processes apply to declared mines additional to </w:t>
      </w:r>
      <w:r w:rsidR="00C955A8">
        <w:t>other mines.</w:t>
      </w:r>
      <w:r w:rsidR="00684CB9">
        <w:t xml:space="preserve"> </w:t>
      </w:r>
      <w:r w:rsidR="00C20296">
        <w:t>However, these processes hinge on the submission of a DMRP containing closure criteria for the mine, which would not occur under the base case. The Act’s provisions in relation to closure determinations are</w:t>
      </w:r>
      <w:r w:rsidR="00A90980">
        <w:t xml:space="preserve"> described here because they do apply under the base case and would function if a licensee submitted a DMRP, even though this RIS assumes for the purposes of its analysis that in the absence of an effective obligation, this would not occur. </w:t>
      </w:r>
    </w:p>
    <w:p w14:paraId="0FE06C9D" w14:textId="54487DE3" w:rsidR="003C2540" w:rsidRDefault="003C2540" w:rsidP="00A842BC">
      <w:r>
        <w:t xml:space="preserve">The first step in the </w:t>
      </w:r>
      <w:r w:rsidR="00F70789">
        <w:t xml:space="preserve">closure of a declared mine </w:t>
      </w:r>
      <w:r>
        <w:t xml:space="preserve">is an application by the licensee to the Minister for a determination that the closure criteria for the declared mine land have been </w:t>
      </w:r>
      <w:r w:rsidR="002D0088">
        <w:t>met</w:t>
      </w:r>
      <w:r>
        <w:t>. The application must be accompanied by the prescribed information</w:t>
      </w:r>
      <w:r w:rsidR="00C955A8">
        <w:t xml:space="preserve"> and ‘any other document or information reasonably required by the Minister’</w:t>
      </w:r>
      <w:r>
        <w:t>.</w:t>
      </w:r>
      <w:r>
        <w:rPr>
          <w:rStyle w:val="FootnoteReference"/>
        </w:rPr>
        <w:footnoteReference w:id="179"/>
      </w:r>
      <w:r>
        <w:t xml:space="preserve"> </w:t>
      </w:r>
      <w:r w:rsidR="00C955A8">
        <w:t xml:space="preserve">Upon receiving the application, </w:t>
      </w:r>
      <w:r>
        <w:t>the Minister</w:t>
      </w:r>
      <w:r w:rsidR="00C955A8">
        <w:t xml:space="preserve"> must request advice from the Authority, consult with the above-listed ministers, take </w:t>
      </w:r>
      <w:r>
        <w:t>into account any prescribed matter</w:t>
      </w:r>
      <w:r w:rsidR="00C955A8">
        <w:t xml:space="preserve"> and follow any prescribed process</w:t>
      </w:r>
      <w:r>
        <w:t>.</w:t>
      </w:r>
      <w:r>
        <w:rPr>
          <w:rStyle w:val="FootnoteReference"/>
        </w:rPr>
        <w:footnoteReference w:id="180"/>
      </w:r>
      <w:r w:rsidR="00B14629">
        <w:t xml:space="preserve"> The Authority is able to convene an advisory panel in relation to its advice.</w:t>
      </w:r>
      <w:r w:rsidR="00B14629">
        <w:rPr>
          <w:rStyle w:val="FootnoteReference"/>
        </w:rPr>
        <w:footnoteReference w:id="181"/>
      </w:r>
      <w:r w:rsidR="00C955A8">
        <w:t xml:space="preserve"> The Minister must consider the application and any advice or consultations carried out in the determination decision.</w:t>
      </w:r>
      <w:r w:rsidR="00C955A8">
        <w:rPr>
          <w:rStyle w:val="FootnoteReference"/>
        </w:rPr>
        <w:footnoteReference w:id="182"/>
      </w:r>
    </w:p>
    <w:p w14:paraId="6473F7E8" w14:textId="053590E2" w:rsidR="003C2540" w:rsidRDefault="003C2540" w:rsidP="00A842BC">
      <w:r>
        <w:t>Under the base case, with the Act in place and no relevant supporting regulations, there is no regulatory guidance as to the information to be included with an application for a closure determination nor as to the process and matters relevant to the Minister’s consideration of the application.</w:t>
      </w:r>
      <w:r w:rsidR="00C955A8">
        <w:t xml:space="preserve"> </w:t>
      </w:r>
      <w:r w:rsidR="00CC0375" w:rsidRPr="00072DA6">
        <w:t>As noted above, it is assumed</w:t>
      </w:r>
      <w:r w:rsidR="00CC0375" w:rsidRPr="00072DA6">
        <w:rPr>
          <w:rFonts w:asciiTheme="minorHAnsi" w:hAnsiTheme="minorHAnsi" w:cstheme="minorHAnsi"/>
        </w:rPr>
        <w:t xml:space="preserve"> for the purpose of the analysis in this RIS that in the absence of closure criteria in the DMRP</w:t>
      </w:r>
      <w:r w:rsidR="004B1732">
        <w:rPr>
          <w:rFonts w:asciiTheme="minorHAnsi" w:hAnsiTheme="minorHAnsi" w:cstheme="minorHAnsi"/>
        </w:rPr>
        <w:t xml:space="preserve"> and </w:t>
      </w:r>
      <w:r w:rsidR="005012A8">
        <w:rPr>
          <w:rFonts w:asciiTheme="minorHAnsi" w:hAnsiTheme="minorHAnsi" w:cstheme="minorHAnsi"/>
        </w:rPr>
        <w:t>rehabilitation plans made under the 2019 regulations</w:t>
      </w:r>
      <w:r w:rsidR="00CC0375" w:rsidRPr="00072DA6">
        <w:rPr>
          <w:rFonts w:asciiTheme="minorHAnsi" w:hAnsiTheme="minorHAnsi" w:cstheme="minorHAnsi"/>
        </w:rPr>
        <w:t xml:space="preserve">, the Minister would need to come to a view on what the appropriate criteria are. This </w:t>
      </w:r>
      <w:r w:rsidR="004872AA">
        <w:rPr>
          <w:rFonts w:asciiTheme="minorHAnsi" w:hAnsiTheme="minorHAnsi" w:cstheme="minorHAnsi"/>
        </w:rPr>
        <w:t>could</w:t>
      </w:r>
      <w:r w:rsidR="00CC0375" w:rsidRPr="00072DA6">
        <w:rPr>
          <w:rFonts w:asciiTheme="minorHAnsi" w:hAnsiTheme="minorHAnsi" w:cstheme="minorHAnsi"/>
        </w:rPr>
        <w:t xml:space="preserve"> be related to the objectives of the LVRRS, as the current declared mines are all located in the Latrobe Valley.</w:t>
      </w:r>
      <w:r w:rsidR="00CC0375">
        <w:rPr>
          <w:rFonts w:asciiTheme="minorHAnsi" w:hAnsiTheme="minorHAnsi" w:cstheme="minorHAnsi"/>
        </w:rPr>
        <w:t xml:space="preserve"> </w:t>
      </w:r>
    </w:p>
    <w:p w14:paraId="76B599A7" w14:textId="49F5C1BD" w:rsidR="00C955A8" w:rsidRDefault="003C2540" w:rsidP="00A842BC">
      <w:r>
        <w:t>If the Minister determines the closure criteria have been met, the</w:t>
      </w:r>
      <w:r w:rsidR="00CC4032">
        <w:t xml:space="preserve"> Act provides that the</w:t>
      </w:r>
      <w:r>
        <w:t>y may return the balance of the rehabilitation bond; consent to the surrender of the mine licence; and direct the Authority to register the declared mine land and its post-closure plan.</w:t>
      </w:r>
      <w:r>
        <w:rPr>
          <w:rStyle w:val="FootnoteReference"/>
        </w:rPr>
        <w:footnoteReference w:id="183"/>
      </w:r>
      <w:r w:rsidR="00C955A8">
        <w:t xml:space="preserve"> </w:t>
      </w:r>
      <w:r w:rsidR="00C955A8" w:rsidRPr="00C955A8">
        <w:t xml:space="preserve"> </w:t>
      </w:r>
      <w:r w:rsidR="00C955A8">
        <w:t>For all mines, including declared mines, the Minister may require a</w:t>
      </w:r>
      <w:r w:rsidR="00713A3E">
        <w:t xml:space="preserve"> licensee </w:t>
      </w:r>
      <w:r w:rsidR="00C955A8">
        <w:t>to engage an auditor to certify that land has been rehabilitated in accordance with the rehabilitation plan for the purposes of deciding whether the rehabilitation bond should be returned.</w:t>
      </w:r>
      <w:r w:rsidR="00C955A8">
        <w:rPr>
          <w:rStyle w:val="FootnoteReference"/>
        </w:rPr>
        <w:footnoteReference w:id="184"/>
      </w:r>
    </w:p>
    <w:p w14:paraId="78000523" w14:textId="44FB7798" w:rsidR="006B2EC4" w:rsidRDefault="006B2EC4" w:rsidP="00D50C43">
      <w:pPr>
        <w:pStyle w:val="Heading3"/>
        <w:numPr>
          <w:ilvl w:val="2"/>
          <w:numId w:val="124"/>
        </w:numPr>
      </w:pPr>
      <w:bookmarkStart w:id="273" w:name="_Toc104217692"/>
      <w:r>
        <w:t xml:space="preserve">Mine land registration </w:t>
      </w:r>
      <w:r w:rsidR="00D44A05">
        <w:t xml:space="preserve">and the Fund </w:t>
      </w:r>
      <w:r>
        <w:t>– base case</w:t>
      </w:r>
      <w:bookmarkEnd w:id="273"/>
    </w:p>
    <w:p w14:paraId="49A33F30" w14:textId="2AAB688C" w:rsidR="00395F7B" w:rsidRDefault="56C7D525" w:rsidP="007676E2">
      <w:r>
        <w:t xml:space="preserve">The process for registering declared mine land is conditional upon the Minister determining that the declared mine’s closure criteria have been met. This, in turn, is dependent upon the licensee having submitted a DMRP </w:t>
      </w:r>
      <w:r>
        <w:lastRenderedPageBreak/>
        <w:t>which, under the base case, would not occur. The following description of the mine land registration process is included to explain how the Act operates and would operate if a licensee decided to submit a DMRP in the absence of an effective obligation to do so.</w:t>
      </w:r>
    </w:p>
    <w:p w14:paraId="5E54EA07" w14:textId="1D14FFBA" w:rsidR="003C2540" w:rsidRDefault="003C2540" w:rsidP="007676E2">
      <w:r>
        <w:t xml:space="preserve">The </w:t>
      </w:r>
      <w:r w:rsidR="00C955A8">
        <w:t xml:space="preserve">Minister’s </w:t>
      </w:r>
      <w:r>
        <w:t>registration direction may require the declared mine licensee to give the prescribed information and records to the Authority and to pay the Minister the specified registration amount</w:t>
      </w:r>
      <w:r w:rsidR="00B14629">
        <w:t>. The Minister’s direction may also require</w:t>
      </w:r>
      <w:r>
        <w:t xml:space="preserve"> the Authority to register the post-closure plan and land with any specified conditions and in accordance with the prescribed procedure (if any).</w:t>
      </w:r>
      <w:r>
        <w:rPr>
          <w:rStyle w:val="FootnoteReference"/>
        </w:rPr>
        <w:footnoteReference w:id="185"/>
      </w:r>
      <w:r>
        <w:t xml:space="preserve"> One of the functions of the Authority is to assess the amount of funds to be paid by licensees into the Declared Mine Fund upon registration.</w:t>
      </w:r>
      <w:r>
        <w:rPr>
          <w:rStyle w:val="FootnoteReference"/>
        </w:rPr>
        <w:footnoteReference w:id="186"/>
      </w:r>
    </w:p>
    <w:p w14:paraId="7AA2EE00" w14:textId="0A1E5D0A" w:rsidR="003C2540" w:rsidRDefault="00B14629" w:rsidP="007676E2">
      <w:r>
        <w:t xml:space="preserve">The Authority is responsible for establishing and maintaining the declared mine land register. For each registration of declared mine land, the Authority must register certain documents and record certain information. The documents to be registered are: any licence (include expired/relinquished licences) that covers the land; the post-closure plan for the land; and </w:t>
      </w:r>
      <w:r w:rsidR="003C2540">
        <w:t>any prescribed records or information relating to the land.</w:t>
      </w:r>
      <w:r w:rsidR="003C2540">
        <w:rPr>
          <w:rStyle w:val="FootnoteReference"/>
        </w:rPr>
        <w:footnoteReference w:id="187"/>
      </w:r>
      <w:r w:rsidR="003C2540">
        <w:t xml:space="preserve"> </w:t>
      </w:r>
      <w:r>
        <w:t>The information required to be recorded is the declared mine land, any conditions applying to the recording of the land and any prescribed matters.</w:t>
      </w:r>
      <w:r w:rsidR="003B34EE">
        <w:rPr>
          <w:rStyle w:val="FootnoteReference"/>
        </w:rPr>
        <w:footnoteReference w:id="188"/>
      </w:r>
      <w:r>
        <w:t xml:space="preserve"> </w:t>
      </w:r>
      <w:r w:rsidR="003C2540">
        <w:t>When a post-closure plan is registered, the Authority must lodge with the Registrar notice of any land other than unalienated Crown land affected by the registered post-closure plan.</w:t>
      </w:r>
      <w:r w:rsidR="003C2540">
        <w:rPr>
          <w:rStyle w:val="FootnoteReference"/>
        </w:rPr>
        <w:footnoteReference w:id="189"/>
      </w:r>
      <w:r w:rsidR="003C2540">
        <w:t xml:space="preserve"> The Registrar must record in the Register of land any information necessary to give effect to the notice.</w:t>
      </w:r>
      <w:r w:rsidR="003C2540">
        <w:rPr>
          <w:rStyle w:val="FootnoteReference"/>
        </w:rPr>
        <w:footnoteReference w:id="190"/>
      </w:r>
    </w:p>
    <w:p w14:paraId="7F1A25B9" w14:textId="4384AE48" w:rsidR="00B14629" w:rsidRDefault="000F1373" w:rsidP="007676E2">
      <w:r w:rsidRPr="00072DA6">
        <w:t>It is assumed</w:t>
      </w:r>
      <w:r w:rsidRPr="00072DA6">
        <w:rPr>
          <w:rFonts w:asciiTheme="minorHAnsi" w:hAnsiTheme="minorHAnsi" w:cstheme="minorHAnsi"/>
        </w:rPr>
        <w:t xml:space="preserve"> for the purpose of the analysis in this RIS that u</w:t>
      </w:r>
      <w:r w:rsidR="003B34EE" w:rsidRPr="00072DA6">
        <w:t xml:space="preserve">nder the base case, the documents and information about declared mine land recorded or included in the register </w:t>
      </w:r>
      <w:r w:rsidRPr="00072DA6">
        <w:t>will be</w:t>
      </w:r>
      <w:r w:rsidR="003B34EE" w:rsidRPr="00072DA6">
        <w:t xml:space="preserve"> limited to those set out in the Act.</w:t>
      </w:r>
    </w:p>
    <w:p w14:paraId="57915F93" w14:textId="7FC9E319" w:rsidR="003C2540" w:rsidRDefault="003C2540" w:rsidP="007676E2">
      <w:r>
        <w:t>If the Minister cancels a mining licence relating to declared mine land because of non-compliance with a declared mine rehabilitation plan, the balance of a rehabilitation bond(s) may be paid into the Declared Mine Fund.</w:t>
      </w:r>
      <w:r>
        <w:rPr>
          <w:rStyle w:val="FootnoteReference"/>
        </w:rPr>
        <w:footnoteReference w:id="191"/>
      </w:r>
    </w:p>
    <w:p w14:paraId="7F0C61B1" w14:textId="77777777" w:rsidR="003C2540" w:rsidRDefault="003C2540" w:rsidP="007676E2">
      <w:r>
        <w:t>The Minister may direct that registered declared mine land be removed from the register if satisfied that the factors which posed a significant risk that existed upon registration are no longer present.</w:t>
      </w:r>
      <w:r>
        <w:rPr>
          <w:rStyle w:val="FootnoteReference"/>
        </w:rPr>
        <w:footnoteReference w:id="192"/>
      </w:r>
    </w:p>
    <w:p w14:paraId="5755B025" w14:textId="2E1EBF30" w:rsidR="003C2540" w:rsidRDefault="003C2540" w:rsidP="007676E2">
      <w:r>
        <w:t>The Authority calculates the amount required to be paid into the Fund upon registration of declared mine land. The Act does not set out any process to be followed in making this calculation.</w:t>
      </w:r>
    </w:p>
    <w:p w14:paraId="2E9F1C3E" w14:textId="5A9D2970" w:rsidR="003C2540" w:rsidRPr="003C2540" w:rsidRDefault="003C2540" w:rsidP="007676E2">
      <w:r>
        <w:t xml:space="preserve">The Act does not state that the process for calculating payments into the Fund will be prescribed. In the base case, this process would be the subject of internal </w:t>
      </w:r>
      <w:r w:rsidR="006D439C">
        <w:t>department</w:t>
      </w:r>
      <w:r>
        <w:t xml:space="preserve"> or ERR policy.</w:t>
      </w:r>
    </w:p>
    <w:p w14:paraId="783C2F92" w14:textId="71905935" w:rsidR="004A717C" w:rsidRDefault="00390114" w:rsidP="00D50C43">
      <w:pPr>
        <w:pStyle w:val="Heading2"/>
        <w:numPr>
          <w:ilvl w:val="1"/>
          <w:numId w:val="124"/>
        </w:numPr>
      </w:pPr>
      <w:bookmarkStart w:id="274" w:name="_Ref52189821"/>
      <w:bookmarkStart w:id="275" w:name="_Toc104217693"/>
      <w:r>
        <w:t>Option 1: ‘up</w:t>
      </w:r>
      <w:r w:rsidR="00AD3346">
        <w:t>-</w:t>
      </w:r>
      <w:r>
        <w:t>front’ approach</w:t>
      </w:r>
      <w:bookmarkEnd w:id="274"/>
      <w:bookmarkEnd w:id="275"/>
    </w:p>
    <w:p w14:paraId="40618F2E" w14:textId="57D61D4B" w:rsidR="00E43577" w:rsidRDefault="00F939B3" w:rsidP="007676E2">
      <w:r w:rsidRPr="00F939B3">
        <w:t xml:space="preserve">This option adopts a similar approach to the 2019 Regulations in Victoria and, similar to </w:t>
      </w:r>
      <w:r w:rsidR="00FC26C9">
        <w:t>rehabilitation regulation in</w:t>
      </w:r>
      <w:r w:rsidRPr="00F939B3">
        <w:t xml:space="preserve"> Queensland, revolves around a post-mining land use defined from the outset. Operators are required to prepare a detailed rehabilitation plan </w:t>
      </w:r>
      <w:r>
        <w:t xml:space="preserve">at the start of or before operations commence (noting that the plans for existing declared mines will necessarily be developed after this point). </w:t>
      </w:r>
      <w:r w:rsidR="00151DEA" w:rsidRPr="00F939B3">
        <w:t xml:space="preserve">The aim of the plan is to enable </w:t>
      </w:r>
      <w:r w:rsidR="004102BA">
        <w:t>the Minister</w:t>
      </w:r>
      <w:r w:rsidR="00F75F6C">
        <w:t xml:space="preserve"> </w:t>
      </w:r>
      <w:r w:rsidR="00151DEA" w:rsidRPr="00F939B3">
        <w:t>to set adequate bonds through requiring the operator to provide early, detailed information about the rehabilitation that will be necessary to return the mine land to a safe, stable and sustainable form.</w:t>
      </w:r>
    </w:p>
    <w:p w14:paraId="6F4114F6" w14:textId="722C61AA" w:rsidR="00DF07B5" w:rsidRDefault="00DF07B5" w:rsidP="007676E2">
      <w:r>
        <w:t xml:space="preserve">At any point in time, the expectation under </w:t>
      </w:r>
      <w:r w:rsidR="00CD50AD">
        <w:t>O</w:t>
      </w:r>
      <w:r>
        <w:t xml:space="preserve">ption 1 is that there will be a complete rehabilitation plan with comprehensive rehabilitation activities measurable against defined milestones. The elements of </w:t>
      </w:r>
      <w:r w:rsidR="00D344BB">
        <w:t>O</w:t>
      </w:r>
      <w:r>
        <w:t xml:space="preserve">ption 1 and the relationship between them are illustrated in </w:t>
      </w:r>
      <w:r w:rsidR="00BE6EA8">
        <w:fldChar w:fldCharType="begin"/>
      </w:r>
      <w:r w:rsidR="00BE6EA8">
        <w:instrText xml:space="preserve"> REF _Ref57622813 \h </w:instrText>
      </w:r>
      <w:r w:rsidR="007676E2">
        <w:instrText xml:space="preserve"> \* MERGEFORMAT </w:instrText>
      </w:r>
      <w:r w:rsidR="00BE6EA8">
        <w:fldChar w:fldCharType="separate"/>
      </w:r>
      <w:r w:rsidR="000B3BF6">
        <w:t xml:space="preserve">Figure </w:t>
      </w:r>
      <w:r w:rsidR="000B3BF6">
        <w:rPr>
          <w:noProof/>
        </w:rPr>
        <w:t>7</w:t>
      </w:r>
      <w:r w:rsidR="00BE6EA8">
        <w:fldChar w:fldCharType="end"/>
      </w:r>
      <w:r w:rsidR="00BE6EA8">
        <w:t xml:space="preserve">. </w:t>
      </w:r>
      <w:r>
        <w:t xml:space="preserve">The post-mining land use is the focal point for the plan and must be defined and approved at the outset (or when the plan is submitted for approval). The </w:t>
      </w:r>
      <w:r w:rsidR="00467BD3">
        <w:t>post mining land use</w:t>
      </w:r>
      <w:r>
        <w:t xml:space="preserve"> must support a safe, stable and sustainable landform. The plan must set site-specific objectives for the rehabilitation of the land towards the defined </w:t>
      </w:r>
      <w:r w:rsidR="00467BD3">
        <w:t>post mining land use</w:t>
      </w:r>
      <w:r>
        <w:t xml:space="preserve">. Success criteria for the plan are designed to assess progress against these site-specific objectives, and rehabilitation milestones provide the framework for </w:t>
      </w:r>
      <w:r>
        <w:lastRenderedPageBreak/>
        <w:t xml:space="preserve">reporting to and oversight by the regulator. Finally, the plan details the planned activities for progressive rehabilitation against the milestones. </w:t>
      </w:r>
    </w:p>
    <w:p w14:paraId="2ECE22B2" w14:textId="1A5E2358" w:rsidR="00DF07B5" w:rsidRDefault="00DF07B5" w:rsidP="00DF07B5">
      <w:pPr>
        <w:pStyle w:val="Caption"/>
        <w:spacing w:before="0"/>
      </w:pPr>
      <w:bookmarkStart w:id="276" w:name="_Ref57622813"/>
      <w:bookmarkStart w:id="277" w:name="_Toc104217611"/>
      <w:r>
        <w:t xml:space="preserve">Figure </w:t>
      </w:r>
      <w:r>
        <w:fldChar w:fldCharType="begin"/>
      </w:r>
      <w:r>
        <w:instrText>SEQ Figure \* ARABIC</w:instrText>
      </w:r>
      <w:r>
        <w:fldChar w:fldCharType="separate"/>
      </w:r>
      <w:r w:rsidR="000B3BF6">
        <w:rPr>
          <w:noProof/>
        </w:rPr>
        <w:t>7</w:t>
      </w:r>
      <w:r>
        <w:fldChar w:fldCharType="end"/>
      </w:r>
      <w:bookmarkEnd w:id="276"/>
      <w:r w:rsidR="0001167C">
        <w:t>:</w:t>
      </w:r>
      <w:r>
        <w:t xml:space="preserve"> Option 1 </w:t>
      </w:r>
      <w:r w:rsidR="00F5340C">
        <w:t>–</w:t>
      </w:r>
      <w:r>
        <w:t xml:space="preserve"> up</w:t>
      </w:r>
      <w:r w:rsidR="00F5340C">
        <w:t>-</w:t>
      </w:r>
      <w:r>
        <w:t>front declared mine rehabilitation plan</w:t>
      </w:r>
      <w:bookmarkEnd w:id="277"/>
    </w:p>
    <w:p w14:paraId="3515CDEC" w14:textId="70C489C2" w:rsidR="00DF07B5" w:rsidRDefault="00DF07B5" w:rsidP="00DF07B5">
      <w:pPr>
        <w:keepNext/>
        <w:spacing w:before="0" w:after="0"/>
        <w:jc w:val="center"/>
      </w:pPr>
      <w:r>
        <w:rPr>
          <w:noProof/>
        </w:rPr>
        <w:drawing>
          <wp:inline distT="0" distB="0" distL="0" distR="0" wp14:anchorId="5BC97A46" wp14:editId="156A4F87">
            <wp:extent cx="5737224" cy="2602911"/>
            <wp:effectExtent l="0" t="0" r="0" b="6985"/>
            <wp:docPr id="1577419745" name="Picture 157741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41974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7224" cy="2602911"/>
                    </a:xfrm>
                    <a:prstGeom prst="rect">
                      <a:avLst/>
                    </a:prstGeom>
                  </pic:spPr>
                </pic:pic>
              </a:graphicData>
            </a:graphic>
          </wp:inline>
        </w:drawing>
      </w:r>
    </w:p>
    <w:p w14:paraId="26014520" w14:textId="3E52F82D" w:rsidR="00E43577" w:rsidRPr="00E43577" w:rsidRDefault="00390114" w:rsidP="00D50C43">
      <w:pPr>
        <w:pStyle w:val="Heading3"/>
        <w:numPr>
          <w:ilvl w:val="2"/>
          <w:numId w:val="124"/>
        </w:numPr>
      </w:pPr>
      <w:bookmarkStart w:id="278" w:name="_Toc52301142"/>
      <w:bookmarkStart w:id="279" w:name="_Toc104217694"/>
      <w:bookmarkEnd w:id="278"/>
      <w:r>
        <w:t>Rehabilitation planning – Option 1</w:t>
      </w:r>
      <w:bookmarkEnd w:id="279"/>
    </w:p>
    <w:p w14:paraId="489D816A" w14:textId="77777777" w:rsidR="00FC26C9" w:rsidRPr="0089745E" w:rsidRDefault="00FC26C9" w:rsidP="003F70FF">
      <w:pPr>
        <w:pStyle w:val="Heading6"/>
      </w:pPr>
      <w:r>
        <w:t>Rehabilitation and closure outcomes and principles</w:t>
      </w:r>
    </w:p>
    <w:p w14:paraId="4FB49E7E" w14:textId="60E6A53A" w:rsidR="00FC26C9" w:rsidRDefault="00E43577" w:rsidP="00FC26C9">
      <w:r>
        <w:t>Under this option,</w:t>
      </w:r>
      <w:r w:rsidR="00FC26C9">
        <w:t xml:space="preserve"> rehabilitation and closure outcomes revolve around a specified </w:t>
      </w:r>
      <w:r w:rsidR="00467BD3">
        <w:t>post mining land use</w:t>
      </w:r>
      <w:r w:rsidR="00FC26C9">
        <w:t xml:space="preserve">. The regulations would state the planning objective as: </w:t>
      </w:r>
      <w:r>
        <w:t xml:space="preserve">rehabilitation to a safe, stable and sustainable landform capable of supporting </w:t>
      </w:r>
      <w:r w:rsidR="00FC26C9">
        <w:t>the identified</w:t>
      </w:r>
      <w:r w:rsidR="102BDBE0">
        <w:t xml:space="preserve"> post-mining land use</w:t>
      </w:r>
      <w:r>
        <w:t xml:space="preserve">. </w:t>
      </w:r>
    </w:p>
    <w:p w14:paraId="2A8FB2D1" w14:textId="0B5D8EF2" w:rsidR="00021B5A" w:rsidRDefault="00021B5A" w:rsidP="00FC26C9">
      <w:r>
        <w:t xml:space="preserve">The licensee will also be required to include rehabilitation domain-specific outcomes and objectives in the plan, which collectively amount to the landform that will support the proposed </w:t>
      </w:r>
      <w:r w:rsidR="00467BD3">
        <w:t>post mining land use</w:t>
      </w:r>
      <w:r>
        <w:t>.</w:t>
      </w:r>
    </w:p>
    <w:p w14:paraId="1E33EB57" w14:textId="77777777" w:rsidR="00FC26C9" w:rsidRPr="0089745E" w:rsidRDefault="00FC26C9" w:rsidP="003F70FF">
      <w:pPr>
        <w:pStyle w:val="Heading6"/>
      </w:pPr>
      <w:r>
        <w:t>Rehabilitation planning</w:t>
      </w:r>
    </w:p>
    <w:p w14:paraId="1AF678CA" w14:textId="5A4C9BBE" w:rsidR="00021B5A" w:rsidRDefault="00021B5A" w:rsidP="00021B5A">
      <w:pPr>
        <w:pStyle w:val="Heading8"/>
      </w:pPr>
      <w:r>
        <w:t>Prescribed requirements relating to the contents of plan</w:t>
      </w:r>
    </w:p>
    <w:p w14:paraId="75BCCD0F" w14:textId="3069EC0C" w:rsidR="00021B5A" w:rsidRDefault="00021B5A" w:rsidP="00FC26C9">
      <w:r>
        <w:t xml:space="preserve">The mine operator will be required to define the </w:t>
      </w:r>
      <w:r w:rsidR="00467BD3">
        <w:t>post mining land use</w:t>
      </w:r>
      <w:r>
        <w:t xml:space="preserve"> to be achieved through rehabilitation from the outset, and the regulations would set a requirement for </w:t>
      </w:r>
      <w:r w:rsidR="00467BD3">
        <w:t>post mining land uses</w:t>
      </w:r>
      <w:r>
        <w:t xml:space="preserve"> equivalent to the work plan requirement in the 2019 Regulations: ‘proposed land uses for the affected land after it has been rehabilitated, that considers community views expressed during consultation’.</w:t>
      </w:r>
    </w:p>
    <w:p w14:paraId="777690CF" w14:textId="6A9142A7" w:rsidR="00DF07B5" w:rsidRDefault="00021B5A" w:rsidP="00FC26C9">
      <w:r>
        <w:t>T</w:t>
      </w:r>
      <w:r w:rsidR="00DF07B5">
        <w:t xml:space="preserve">he plan would be required to specify what (if any) consents, permissions or approvals are required to authorise the </w:t>
      </w:r>
      <w:r w:rsidR="00467BD3">
        <w:t>post mining land use</w:t>
      </w:r>
      <w:r w:rsidR="00DF07B5">
        <w:t xml:space="preserve">, and would need to consider the views of any relevant authority or referral agencies from whom such approvals must be sought. </w:t>
      </w:r>
    </w:p>
    <w:p w14:paraId="0535598F" w14:textId="77777777" w:rsidR="00021B5A" w:rsidRDefault="00021B5A" w:rsidP="00021B5A">
      <w:r>
        <w:t xml:space="preserve">The regulations will also require the DMRP to contain a description and schedule of rehabilitation milestones. </w:t>
      </w:r>
    </w:p>
    <w:p w14:paraId="31ADEA5F" w14:textId="78779F09" w:rsidR="00021B5A" w:rsidRDefault="6B587F39" w:rsidP="00021B5A">
      <w:r>
        <w:t>In addition to the risk assessments required under the Act, the plan would be required to include an assessment of the post-closure risks posed by the declared mine land., Specifically, risks that may require monitoring, maintenance, treatment, or other ongoing land management activities after rehabilitation is complete and the mine has been closed.</w:t>
      </w:r>
    </w:p>
    <w:p w14:paraId="4A2F14FD" w14:textId="2500C3F8" w:rsidR="00D478C7" w:rsidRDefault="5DFEF120" w:rsidP="00D478C7">
      <w:r>
        <w:lastRenderedPageBreak/>
        <w:t>Under this option, the regulations would require</w:t>
      </w:r>
      <w:r w:rsidR="605C9BD9">
        <w:t xml:space="preserve"> closure criteria defined in relation to each objective, and criteria must be ‘SMART’: specific, measurable, achievable, realistic and timely</w:t>
      </w:r>
      <w:r w:rsidR="5CFE2AF1">
        <w:t>, as defined in the Guidelines for Preparation of Rehabilitation Plans for Mining and Prospecting Projects</w:t>
      </w:r>
      <w:r w:rsidR="00AB0020">
        <w:t>.</w:t>
      </w:r>
      <w:r w:rsidR="005012A8">
        <w:rPr>
          <w:rStyle w:val="FootnoteReference"/>
        </w:rPr>
        <w:footnoteReference w:id="193"/>
      </w:r>
      <w:r w:rsidR="605C9BD9">
        <w:t xml:space="preserve"> </w:t>
      </w:r>
    </w:p>
    <w:p w14:paraId="6CFAF2D3" w14:textId="353CA7A4" w:rsidR="00021B5A" w:rsidRDefault="00021B5A" w:rsidP="00021B5A">
      <w:pPr>
        <w:pStyle w:val="Heading8"/>
      </w:pPr>
      <w:r>
        <w:t>Consultation on the plan</w:t>
      </w:r>
    </w:p>
    <w:p w14:paraId="3EF293D1" w14:textId="77777777" w:rsidR="00DF07B5" w:rsidRDefault="00DF07B5" w:rsidP="00F939B3">
      <w:r>
        <w:t>The regulations would not prescribe persons or classes of persons to be consulted by licensees preparing a DMRP, but the licensee would be required to prepare a community engagement report. This report would include:</w:t>
      </w:r>
    </w:p>
    <w:p w14:paraId="0817349D" w14:textId="0A5DF518" w:rsidR="00DF07B5" w:rsidRDefault="000F6D6F" w:rsidP="007676E2">
      <w:pPr>
        <w:pStyle w:val="dotpoints"/>
      </w:pPr>
      <w:r>
        <w:t>a</w:t>
      </w:r>
      <w:r w:rsidR="00DF07B5">
        <w:t xml:space="preserve"> list of the people and/or classes of people likely to be affected;</w:t>
      </w:r>
    </w:p>
    <w:p w14:paraId="3AF3F5BD" w14:textId="2938D9F7" w:rsidR="00DF07B5" w:rsidRDefault="000F6D6F" w:rsidP="007676E2">
      <w:pPr>
        <w:pStyle w:val="dotpoints"/>
      </w:pPr>
      <w:r>
        <w:t>a</w:t>
      </w:r>
      <w:r w:rsidR="00DF07B5">
        <w:t xml:space="preserve"> description of how the licensee shared information relating to the plan to inform consultation;</w:t>
      </w:r>
    </w:p>
    <w:p w14:paraId="211AAC49" w14:textId="1DCBD4E6" w:rsidR="00DF07B5" w:rsidRDefault="000F6D6F" w:rsidP="007676E2">
      <w:pPr>
        <w:pStyle w:val="dotpoints"/>
        <w:rPr>
          <w:rFonts w:cstheme="minorBidi"/>
          <w:szCs w:val="18"/>
        </w:rPr>
      </w:pPr>
      <w:r>
        <w:rPr>
          <w:rFonts w:cstheme="minorBidi"/>
          <w:szCs w:val="18"/>
        </w:rPr>
        <w:t>a</w:t>
      </w:r>
      <w:r w:rsidR="00DF07B5" w:rsidRPr="5CF7D5E6">
        <w:rPr>
          <w:rFonts w:cstheme="minorBidi"/>
          <w:szCs w:val="18"/>
        </w:rPr>
        <w:t xml:space="preserve"> summary of stakeholders’ views, expectations and concerns</w:t>
      </w:r>
      <w:r w:rsidR="00874B2E" w:rsidRPr="5CF7D5E6">
        <w:rPr>
          <w:rFonts w:cstheme="minorBidi"/>
          <w:szCs w:val="18"/>
        </w:rPr>
        <w:t xml:space="preserve"> in relation to the plan; and </w:t>
      </w:r>
    </w:p>
    <w:p w14:paraId="240C5878" w14:textId="0890328A" w:rsidR="00874B2E" w:rsidRDefault="000F6D6F" w:rsidP="007676E2">
      <w:pPr>
        <w:pStyle w:val="dotpoints"/>
      </w:pPr>
      <w:r>
        <w:t>a</w:t>
      </w:r>
      <w:r w:rsidR="00874B2E">
        <w:t xml:space="preserve"> strategy for ongoing engagement during rehabilitation and closure planning, and for publicly reporting on the outcomes of the engagement. </w:t>
      </w:r>
    </w:p>
    <w:p w14:paraId="769AF1EF" w14:textId="79371F91" w:rsidR="00021B5A" w:rsidRDefault="00021B5A" w:rsidP="00021B5A">
      <w:pPr>
        <w:pStyle w:val="Heading8"/>
      </w:pPr>
      <w:r>
        <w:t>Post-closure plan</w:t>
      </w:r>
    </w:p>
    <w:p w14:paraId="45F4E857" w14:textId="5FC9507F" w:rsidR="00CA5076" w:rsidRDefault="05106BA6" w:rsidP="00F939B3">
      <w:r>
        <w:t>The post-closure plan will be required to include a schedule for ongoing monitoring and maintenance activities, identify the responsible party for these activities</w:t>
      </w:r>
      <w:r w:rsidR="61C5E30D">
        <w:t>, a plan for the management of known and credible risks (including fire management, stability and groundwater management plans), and a description of review and reporting that may be required</w:t>
      </w:r>
      <w:r>
        <w:t xml:space="preserve">. </w:t>
      </w:r>
    </w:p>
    <w:p w14:paraId="2F161D5A" w14:textId="7F8BC7A9" w:rsidR="00021B5A" w:rsidRDefault="00021B5A" w:rsidP="00021B5A">
      <w:pPr>
        <w:pStyle w:val="Heading8"/>
      </w:pPr>
      <w:r>
        <w:t>Level of detail and timeframe for submission</w:t>
      </w:r>
    </w:p>
    <w:p w14:paraId="4D39ED15" w14:textId="34E7014E" w:rsidR="00021B5A" w:rsidRDefault="108343D0" w:rsidP="00F939B3">
      <w:r>
        <w:t xml:space="preserve">The plan must include all details when submitted to </w:t>
      </w:r>
      <w:r w:rsidR="4CB28E56">
        <w:t xml:space="preserve">ERR </w:t>
      </w:r>
      <w:r>
        <w:t>for approval</w:t>
      </w:r>
      <w:r w:rsidR="61C5E30D">
        <w:t xml:space="preserve">, but the regulations would not prescribe any supporting documents or evidence to be included with the DMRP when submitted to the Department Head. </w:t>
      </w:r>
      <w:r w:rsidR="2F57D028">
        <w:t xml:space="preserve">Under </w:t>
      </w:r>
      <w:r w:rsidR="23655EA9">
        <w:t>O</w:t>
      </w:r>
      <w:r w:rsidR="2F57D028">
        <w:t>ption 1, DMRPs must be prepared within one year from either the commencement of the regulations or the date on which a variation direction is made by the Department Head, whichever is later. The</w:t>
      </w:r>
      <w:r w:rsidR="3DEB55D5">
        <w:t>s</w:t>
      </w:r>
      <w:r w:rsidR="2F57D028">
        <w:t>e regulations would provide that licensees could apply to the Minister for an extension of time to prepare the DMRP of up to one year.</w:t>
      </w:r>
    </w:p>
    <w:p w14:paraId="76B614A4" w14:textId="093E17B1" w:rsidR="00021B5A" w:rsidRDefault="00021B5A" w:rsidP="00021B5A">
      <w:pPr>
        <w:pStyle w:val="Heading8"/>
      </w:pPr>
      <w:r>
        <w:t>Approval decision</w:t>
      </w:r>
    </w:p>
    <w:p w14:paraId="2AE0515E" w14:textId="69C098BF" w:rsidR="009717E0" w:rsidRDefault="009717E0" w:rsidP="00F939B3">
      <w:r>
        <w:t>Under this option, the regulations would not prescribe any additional matters to be considered or processes to be followed by the Department Head in their decision on the plan.</w:t>
      </w:r>
      <w:r w:rsidR="00D478C7">
        <w:t xml:space="preserve"> This means that this aspect of Option 1 is the same as the base case.</w:t>
      </w:r>
    </w:p>
    <w:p w14:paraId="63EA4AEF" w14:textId="77777777" w:rsidR="009C4B53" w:rsidRDefault="009C4B53" w:rsidP="003F70FF">
      <w:pPr>
        <w:pStyle w:val="Heading6"/>
      </w:pPr>
      <w:r>
        <w:t xml:space="preserve">Rehabilitation reporting </w:t>
      </w:r>
    </w:p>
    <w:p w14:paraId="7A24E8FC" w14:textId="45FB3CA9" w:rsidR="009C4B53" w:rsidRPr="00FC26C9" w:rsidRDefault="009717E0" w:rsidP="00FC26C9">
      <w:r w:rsidRPr="00FC26C9">
        <w:t xml:space="preserve">Reporting </w:t>
      </w:r>
      <w:r>
        <w:t xml:space="preserve">obligations under </w:t>
      </w:r>
      <w:r w:rsidR="00D478C7">
        <w:t>O</w:t>
      </w:r>
      <w:r>
        <w:t>ption 1 would be the same as under the base case, with the exception of a specific requirement that all declared mine licensees must report on their fire management plan (as opposed to just licensees mining coal</w:t>
      </w:r>
      <w:r w:rsidR="00FC26C9">
        <w:t>, as is required under the base case</w:t>
      </w:r>
      <w:r>
        <w:t>).</w:t>
      </w:r>
    </w:p>
    <w:p w14:paraId="0EA9B68D" w14:textId="7CECD92F" w:rsidR="009C4B53" w:rsidRDefault="009C4B53" w:rsidP="003F70FF">
      <w:pPr>
        <w:pStyle w:val="Heading6"/>
      </w:pPr>
      <w:r w:rsidRPr="003B34EE">
        <w:t xml:space="preserve">Review and updating </w:t>
      </w:r>
      <w:r>
        <w:t>rehabilitation plans</w:t>
      </w:r>
    </w:p>
    <w:p w14:paraId="2554E586" w14:textId="19FC67F7" w:rsidR="009717E0" w:rsidRDefault="009717E0" w:rsidP="009C4B53">
      <w:pPr>
        <w:keepNext/>
        <w:spacing w:after="60"/>
        <w:rPr>
          <w:rFonts w:asciiTheme="minorHAnsi" w:hAnsiTheme="minorHAnsi" w:cstheme="minorBidi"/>
        </w:rPr>
      </w:pPr>
      <w:r w:rsidRPr="2EB97768">
        <w:rPr>
          <w:rFonts w:asciiTheme="minorHAnsi" w:hAnsiTheme="minorHAnsi" w:cstheme="minorBidi"/>
        </w:rPr>
        <w:t xml:space="preserve">The processes and requirements for the review of rehabilitation plans would be the same under </w:t>
      </w:r>
      <w:r w:rsidR="63A0981E" w:rsidRPr="4BDC94E4">
        <w:rPr>
          <w:rFonts w:asciiTheme="minorHAnsi" w:hAnsiTheme="minorHAnsi" w:cstheme="minorBidi"/>
        </w:rPr>
        <w:t>O</w:t>
      </w:r>
      <w:r w:rsidRPr="2EB97768">
        <w:rPr>
          <w:rFonts w:asciiTheme="minorHAnsi" w:hAnsiTheme="minorHAnsi" w:cstheme="minorBidi"/>
        </w:rPr>
        <w:t>ption 1 as under the base case (that is, periodic reviews arising out of ERR Operational Policy’s 5-year bond review practice).</w:t>
      </w:r>
      <w:r w:rsidR="00E673E0" w:rsidRPr="2EB97768">
        <w:rPr>
          <w:rFonts w:asciiTheme="minorHAnsi" w:hAnsiTheme="minorHAnsi" w:cstheme="minorBidi"/>
        </w:rPr>
        <w:t xml:space="preserve"> In the past, ERR has also set conditions on work plans requiring the periodic review of rehabilitation plans. </w:t>
      </w:r>
    </w:p>
    <w:p w14:paraId="21F091A4" w14:textId="51187113" w:rsidR="009717E0" w:rsidRPr="00FC26C9" w:rsidRDefault="009042EE" w:rsidP="009C4B53">
      <w:pPr>
        <w:keepNext/>
        <w:spacing w:after="60"/>
        <w:rPr>
          <w:rFonts w:asciiTheme="minorHAnsi" w:hAnsiTheme="minorHAnsi" w:cstheme="minorHAnsi"/>
        </w:rPr>
      </w:pPr>
      <w:r>
        <w:rPr>
          <w:rFonts w:asciiTheme="minorHAnsi" w:hAnsiTheme="minorHAnsi" w:cstheme="minorHAnsi"/>
        </w:rPr>
        <w:t xml:space="preserve">Option 1 would also be the same as the base case in relation to the updating of rehabilitation plans, with one additional requirement prescribed for DMRP variations: the Department Head would be required to consult with the Authority in relation to any DMRP variation. </w:t>
      </w:r>
    </w:p>
    <w:p w14:paraId="40EBD7CF" w14:textId="0E2AFCA3" w:rsidR="009C4B53" w:rsidRPr="009C4B53" w:rsidRDefault="009C4B53" w:rsidP="00D50C43">
      <w:pPr>
        <w:pStyle w:val="Heading3"/>
        <w:numPr>
          <w:ilvl w:val="2"/>
          <w:numId w:val="124"/>
        </w:numPr>
      </w:pPr>
      <w:bookmarkStart w:id="280" w:name="_Toc52301144"/>
      <w:bookmarkStart w:id="281" w:name="_Toc104217695"/>
      <w:bookmarkEnd w:id="280"/>
      <w:r>
        <w:t xml:space="preserve">Mine closure </w:t>
      </w:r>
      <w:r w:rsidR="00FC26C9">
        <w:t>determination</w:t>
      </w:r>
      <w:r>
        <w:t xml:space="preserve"> – Option 1</w:t>
      </w:r>
      <w:bookmarkEnd w:id="281"/>
    </w:p>
    <w:p w14:paraId="205791EF" w14:textId="77777777" w:rsidR="00FC5CBA" w:rsidRDefault="009042EE" w:rsidP="00F939B3">
      <w:r>
        <w:t>The process for progressive closure under Option 1 would be the same as for the base case.</w:t>
      </w:r>
      <w:r w:rsidR="00FC26C9">
        <w:t xml:space="preserve"> </w:t>
      </w:r>
    </w:p>
    <w:p w14:paraId="7A124246" w14:textId="724FC242" w:rsidR="009042EE" w:rsidRDefault="00FC5CBA" w:rsidP="00F939B3">
      <w:r>
        <w:lastRenderedPageBreak/>
        <w:t>When it comes to final closure and the application for a closure determination, the m</w:t>
      </w:r>
      <w:r w:rsidR="00D478C7">
        <w:t>ain difference between the base case and Option 1 is that u</w:t>
      </w:r>
      <w:r w:rsidR="00FC26C9">
        <w:t xml:space="preserve">nder Option 1, the regulations would prescribe that applicants must provide </w:t>
      </w:r>
      <w:r w:rsidR="009042EE">
        <w:t>a third-party verification that the closure criteria have been met.</w:t>
      </w:r>
    </w:p>
    <w:p w14:paraId="2567E629" w14:textId="50CF57C0" w:rsidR="009042EE" w:rsidRDefault="009042EE" w:rsidP="00F939B3">
      <w:r>
        <w:t>Under this option, no additional processes or matters would be prescribed in relation to the Minister’s closure determination decision</w:t>
      </w:r>
      <w:r w:rsidR="00FC26C9">
        <w:t>, meaning that this part of Option 1 is the same as the base case</w:t>
      </w:r>
      <w:r>
        <w:t xml:space="preserve">.  </w:t>
      </w:r>
    </w:p>
    <w:p w14:paraId="38F65FFC" w14:textId="0E050079" w:rsidR="00FC26C9" w:rsidRDefault="00FC26C9" w:rsidP="00D50C43">
      <w:pPr>
        <w:pStyle w:val="Heading3"/>
        <w:numPr>
          <w:ilvl w:val="2"/>
          <w:numId w:val="124"/>
        </w:numPr>
      </w:pPr>
      <w:bookmarkStart w:id="282" w:name="_Toc104217696"/>
      <w:r>
        <w:t>Mine land registration</w:t>
      </w:r>
      <w:r w:rsidR="00D44A05">
        <w:t xml:space="preserve"> and the Fund</w:t>
      </w:r>
      <w:r>
        <w:t xml:space="preserve"> – Option 1</w:t>
      </w:r>
      <w:bookmarkEnd w:id="282"/>
    </w:p>
    <w:p w14:paraId="173E54E2" w14:textId="50E5C20E" w:rsidR="00FC26C9" w:rsidRDefault="00FC26C9" w:rsidP="00FC26C9">
      <w:r>
        <w:t>Under Option 1, t</w:t>
      </w:r>
      <w:r w:rsidR="00170D2E">
        <w:t xml:space="preserve">he regulations would </w:t>
      </w:r>
      <w:r w:rsidR="00D478C7">
        <w:t>require licensees</w:t>
      </w:r>
      <w:r w:rsidR="00170D2E">
        <w:t xml:space="preserve"> provide an audited costing of their post-closure plan, which the Authority would </w:t>
      </w:r>
      <w:r>
        <w:t>assess,</w:t>
      </w:r>
      <w:r w:rsidR="00170D2E">
        <w:t xml:space="preserve"> and which would then form the basis of the Minister’s direction requiring the licensee to pay the Minister the registration amount. </w:t>
      </w:r>
    </w:p>
    <w:p w14:paraId="003A835F" w14:textId="79959F6D" w:rsidR="003F1429" w:rsidRDefault="00170D2E" w:rsidP="00FC26C9">
      <w:r>
        <w:t xml:space="preserve">The regulations would prescribe that registration documents may be submitted to the Authority electronically, where practicable, or using a process or protocol agreed to by the licensee and specified by the Minister in their registration direction. </w:t>
      </w:r>
      <w:r w:rsidR="00D478C7">
        <w:t>This is a difference to the base case, where no particular registration process is prescribed.</w:t>
      </w:r>
      <w:r w:rsidR="002E42BF">
        <w:t xml:space="preserve"> We note, in practice the documents would likely be sent electronically in both the base case and option 1.</w:t>
      </w:r>
    </w:p>
    <w:p w14:paraId="3F260F1B" w14:textId="6745193B" w:rsidR="00D44A05" w:rsidRDefault="00D44A05" w:rsidP="00FC26C9">
      <w:r>
        <w:t xml:space="preserve">Under Option 1, no process or method for determining the amount to be paid into the Fund would be set by Regulations, leaving that as a matter of discretion. </w:t>
      </w:r>
      <w:r w:rsidR="00887B04">
        <w:t xml:space="preserve">The Minister </w:t>
      </w:r>
      <w:r w:rsidR="00423449">
        <w:t>c</w:t>
      </w:r>
      <w:r w:rsidR="00887B04">
        <w:t xml:space="preserve">ould convene an advisory committee under Part 4A of the Act to </w:t>
      </w:r>
      <w:r w:rsidR="00B44A90">
        <w:t xml:space="preserve">advise </w:t>
      </w:r>
      <w:r w:rsidR="00887B04">
        <w:t xml:space="preserve">on the registration amount, but this process </w:t>
      </w:r>
      <w:r w:rsidR="00423449">
        <w:t xml:space="preserve">would </w:t>
      </w:r>
      <w:r w:rsidR="00887B04">
        <w:t xml:space="preserve">not </w:t>
      </w:r>
      <w:r w:rsidR="00423449">
        <w:t xml:space="preserve">be </w:t>
      </w:r>
      <w:r w:rsidR="00887B04">
        <w:t xml:space="preserve">prescribed in regulations under Option 1. </w:t>
      </w:r>
    </w:p>
    <w:p w14:paraId="7B630307" w14:textId="0CCE9ACA" w:rsidR="00FC26C9" w:rsidRPr="00B42043" w:rsidRDefault="00FC26C9" w:rsidP="00D50C43">
      <w:pPr>
        <w:pStyle w:val="Heading2"/>
        <w:numPr>
          <w:ilvl w:val="1"/>
          <w:numId w:val="124"/>
        </w:numPr>
      </w:pPr>
      <w:bookmarkStart w:id="283" w:name="_Ref57622568"/>
      <w:bookmarkStart w:id="284" w:name="_Toc104217697"/>
      <w:r>
        <w:t>Option 2</w:t>
      </w:r>
      <w:r w:rsidR="003553DA">
        <w:t xml:space="preserve">: iterative </w:t>
      </w:r>
      <w:r w:rsidR="000E0395">
        <w:t>approach</w:t>
      </w:r>
      <w:bookmarkEnd w:id="283"/>
      <w:bookmarkEnd w:id="284"/>
    </w:p>
    <w:p w14:paraId="1506A5B2" w14:textId="36E80E82" w:rsidR="00913C30" w:rsidRDefault="00913C30" w:rsidP="007676E2">
      <w:r w:rsidRPr="00B42043">
        <w:t xml:space="preserve">Option 2 draws on aspects of the staged approach to rehabilitation planning taken in WA, as well as best practice guidance </w:t>
      </w:r>
      <w:r>
        <w:t>from Anglo-American and the International Council on Mining and Metals</w:t>
      </w:r>
      <w:r w:rsidRPr="006E1000">
        <w:t xml:space="preserve"> (IC</w:t>
      </w:r>
      <w:r>
        <w:t>M</w:t>
      </w:r>
      <w:r w:rsidRPr="006E1000">
        <w:t>M)</w:t>
      </w:r>
      <w:r>
        <w:t>.</w:t>
      </w:r>
      <w:r w:rsidRPr="00B42043">
        <w:t xml:space="preserve"> Under this option, </w:t>
      </w:r>
      <w:r>
        <w:t xml:space="preserve">rehabilitation is planned according to prescribed </w:t>
      </w:r>
      <w:r w:rsidR="009A3013">
        <w:t>matters</w:t>
      </w:r>
      <w:r>
        <w:t>, rather than being oriented towards a defined landform from the outset (as in Option 1). T</w:t>
      </w:r>
      <w:r w:rsidRPr="00B42043">
        <w:t xml:space="preserve">he </w:t>
      </w:r>
      <w:r>
        <w:t>DMRP</w:t>
      </w:r>
      <w:r w:rsidRPr="00B42043">
        <w:t xml:space="preserve"> is designed to be developed over time</w:t>
      </w:r>
      <w:r>
        <w:t xml:space="preserve"> as knowledge gaps about the mine site are filled through investigations and mining activities, and regulations will provide directly for this ongoing development</w:t>
      </w:r>
      <w:r w:rsidRPr="00B42043">
        <w:t xml:space="preserve">. </w:t>
      </w:r>
      <w:r>
        <w:t xml:space="preserve">The aim of the plan is to set rehabilitation outcomes compatible with achieving a final safe, stable and sustainable </w:t>
      </w:r>
      <w:r w:rsidR="00546BDE">
        <w:t>landform</w:t>
      </w:r>
      <w:r>
        <w:t>.</w:t>
      </w:r>
    </w:p>
    <w:p w14:paraId="0B572124" w14:textId="44B85703" w:rsidR="00913C30" w:rsidRDefault="00F5340C">
      <w:r>
        <w:fldChar w:fldCharType="begin"/>
      </w:r>
      <w:r>
        <w:instrText xml:space="preserve"> REF _Ref103964770 \h </w:instrText>
      </w:r>
      <w:r>
        <w:fldChar w:fldCharType="separate"/>
      </w:r>
      <w:r w:rsidR="000B3BF6">
        <w:t xml:space="preserve">Figure </w:t>
      </w:r>
      <w:r w:rsidR="000B3BF6">
        <w:rPr>
          <w:noProof/>
        </w:rPr>
        <w:t>8</w:t>
      </w:r>
      <w:r>
        <w:fldChar w:fldCharType="end"/>
      </w:r>
      <w:r>
        <w:t xml:space="preserve"> </w:t>
      </w:r>
      <w:r w:rsidR="4DB71A4C" w:rsidRPr="00F5340C">
        <w:t>illustrates how the elements of Option 2 relate to each other. The DMRP sets rehabilitation and closure</w:t>
      </w:r>
      <w:r w:rsidR="4DB71A4C">
        <w:t xml:space="preserve"> outcomes based on achieving a safe, stable and sustainable landform. At the outset, the plan is agnostic regarding the post-mining land use chosen to achieve this outcome; this is expected to be defined over time in response to the building evidence base about the technical specifications and limitations of the mine site. The rehabilitation and work under it are guided by relevant site-specific closure </w:t>
      </w:r>
      <w:r w:rsidR="0CFD6EED">
        <w:t>criteria</w:t>
      </w:r>
      <w:r w:rsidR="4DB71A4C">
        <w:t xml:space="preserve"> </w:t>
      </w:r>
      <w:r w:rsidR="36F84CF1">
        <w:t xml:space="preserve">which </w:t>
      </w:r>
      <w:r w:rsidR="4DB71A4C">
        <w:t xml:space="preserve">provide more detailed guidance about work under the plan. Finally, closure activities are defined and undertaken over the course of mine operations and are informed by the closure </w:t>
      </w:r>
      <w:r w:rsidR="4357BF7B">
        <w:t>outcomes in the plan</w:t>
      </w:r>
      <w:r w:rsidR="4DB71A4C">
        <w:t xml:space="preserve">.  </w:t>
      </w:r>
    </w:p>
    <w:p w14:paraId="30916AE2" w14:textId="73737A4C" w:rsidR="00432E1C" w:rsidRDefault="00432E1C" w:rsidP="00A97479">
      <w:pPr>
        <w:pStyle w:val="Caption"/>
      </w:pPr>
      <w:bookmarkStart w:id="285" w:name="_Ref103964770"/>
      <w:bookmarkStart w:id="286" w:name="_Toc104217612"/>
      <w:r>
        <w:lastRenderedPageBreak/>
        <w:t xml:space="preserve">Figure </w:t>
      </w:r>
      <w:r>
        <w:fldChar w:fldCharType="begin"/>
      </w:r>
      <w:r>
        <w:instrText>SEQ Figure \* ARABIC</w:instrText>
      </w:r>
      <w:r>
        <w:fldChar w:fldCharType="separate"/>
      </w:r>
      <w:r w:rsidR="000B3BF6">
        <w:rPr>
          <w:noProof/>
        </w:rPr>
        <w:t>8</w:t>
      </w:r>
      <w:r>
        <w:fldChar w:fldCharType="end"/>
      </w:r>
      <w:bookmarkEnd w:id="285"/>
      <w:r>
        <w:t>: Option 2 - iterative declared mine rehabilitation plan</w:t>
      </w:r>
      <w:bookmarkEnd w:id="286"/>
    </w:p>
    <w:p w14:paraId="735D18BA" w14:textId="77777777" w:rsidR="00432E1C" w:rsidRDefault="00493787" w:rsidP="00CD14BC">
      <w:pPr>
        <w:keepNext/>
      </w:pPr>
      <w:r>
        <w:rPr>
          <w:noProof/>
        </w:rPr>
        <w:drawing>
          <wp:inline distT="0" distB="0" distL="0" distR="0" wp14:anchorId="11616438" wp14:editId="24829F4A">
            <wp:extent cx="5671697" cy="2622430"/>
            <wp:effectExtent l="0" t="0" r="571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5888" cy="2628991"/>
                    </a:xfrm>
                    <a:prstGeom prst="rect">
                      <a:avLst/>
                    </a:prstGeom>
                    <a:noFill/>
                  </pic:spPr>
                </pic:pic>
              </a:graphicData>
            </a:graphic>
          </wp:inline>
        </w:drawing>
      </w:r>
    </w:p>
    <w:p w14:paraId="1E21C73C" w14:textId="44AC6872" w:rsidR="00886CCA" w:rsidRPr="007477BD" w:rsidRDefault="00886CCA" w:rsidP="00D50C43">
      <w:pPr>
        <w:pStyle w:val="Heading3"/>
        <w:numPr>
          <w:ilvl w:val="2"/>
          <w:numId w:val="124"/>
        </w:numPr>
      </w:pPr>
      <w:bookmarkStart w:id="287" w:name="_Toc103339625"/>
      <w:bookmarkStart w:id="288" w:name="_Toc104217563"/>
      <w:bookmarkStart w:id="289" w:name="_Toc104217698"/>
      <w:bookmarkStart w:id="290" w:name="_Toc104217699"/>
      <w:bookmarkEnd w:id="287"/>
      <w:bookmarkEnd w:id="288"/>
      <w:bookmarkEnd w:id="289"/>
      <w:r>
        <w:t>Rehabilitation planning – Option 2</w:t>
      </w:r>
      <w:bookmarkEnd w:id="290"/>
    </w:p>
    <w:p w14:paraId="12E367FA" w14:textId="792A5938" w:rsidR="00CE361C" w:rsidRPr="00CE361C" w:rsidRDefault="00CE361C" w:rsidP="00D77130">
      <w:pPr>
        <w:pStyle w:val="Heading6"/>
        <w:rPr>
          <w:rFonts w:ascii="Arial" w:eastAsia="Arial" w:hAnsi="Arial" w:cs="Arial"/>
          <w:color w:val="003866"/>
          <w:szCs w:val="20"/>
        </w:rPr>
      </w:pPr>
      <w:r w:rsidRPr="217C4165">
        <w:rPr>
          <w:rFonts w:ascii="Arial" w:eastAsia="Arial" w:hAnsi="Arial" w:cs="Arial"/>
          <w:color w:val="003866"/>
          <w:szCs w:val="20"/>
        </w:rPr>
        <w:t xml:space="preserve">Rehabilitation and closure </w:t>
      </w:r>
      <w:r w:rsidR="006317ED">
        <w:rPr>
          <w:rFonts w:ascii="Arial" w:eastAsia="Arial" w:hAnsi="Arial" w:cs="Arial"/>
          <w:color w:val="003866"/>
          <w:szCs w:val="20"/>
        </w:rPr>
        <w:t>considerations</w:t>
      </w:r>
    </w:p>
    <w:p w14:paraId="39189872" w14:textId="1B6F51C9" w:rsidR="00CE361C" w:rsidRPr="00CE361C" w:rsidRDefault="00CE361C" w:rsidP="007676E2">
      <w:r>
        <w:t xml:space="preserve">Targeted </w:t>
      </w:r>
      <w:r w:rsidR="00383B52">
        <w:t>matters</w:t>
      </w:r>
      <w:r>
        <w:t xml:space="preserve"> that align with the sustainable development principles in s 2A of the MRSD Act would be included in the </w:t>
      </w:r>
      <w:r w:rsidR="006D027C">
        <w:t>proposed Regulations</w:t>
      </w:r>
      <w:r>
        <w:t xml:space="preserve">.  These </w:t>
      </w:r>
      <w:r w:rsidR="00FB6BD4">
        <w:t>prescribed matters</w:t>
      </w:r>
      <w:r>
        <w:t xml:space="preserve"> would guide decision-makers in administering the declared mine obligations over the life of mine, through closure and during post-closure, and assist licensees in meeting their obligations. The </w:t>
      </w:r>
      <w:r w:rsidR="00FB6BD4">
        <w:t>matters</w:t>
      </w:r>
      <w:r>
        <w:t xml:space="preserve"> would also provide licensees and the community with clear expectations about how sustainability would be embedded in government decisions relating to declared mines. </w:t>
      </w:r>
    </w:p>
    <w:p w14:paraId="7F9D10D9" w14:textId="7F3B63B7" w:rsidR="00CE361C" w:rsidRPr="00C7705F" w:rsidRDefault="00CE361C" w:rsidP="007676E2">
      <w:r w:rsidRPr="00CE361C">
        <w:t xml:space="preserve">The </w:t>
      </w:r>
      <w:r w:rsidR="00D41622">
        <w:t>matters</w:t>
      </w:r>
      <w:r w:rsidRPr="00CE361C">
        <w:t xml:space="preserve"> would extend beyond the specified sustainable development principles included in the Act, to encompass principles in the LVRRS and accepted best practice industry guidance. The</w:t>
      </w:r>
      <w:r w:rsidR="003F6CC9">
        <w:t>y</w:t>
      </w:r>
      <w:r w:rsidRPr="00CE361C">
        <w:t xml:space="preserve"> would also reflect policy commitments by the State, such as those contained in s 20 of the Climate Change Act 2017.  </w:t>
      </w:r>
      <w:r w:rsidR="001A68F6">
        <w:t xml:space="preserve">The </w:t>
      </w:r>
      <w:r w:rsidR="006D027C">
        <w:t>proposed Regulations</w:t>
      </w:r>
      <w:r w:rsidRPr="00CE361C">
        <w:t xml:space="preserve"> set out those matters that indicate what the outcome of successful rehabilitation and closure planning would look like (e.g. a safe and stable landform that, with appropriate post-closure management, is climate resilient), </w:t>
      </w:r>
      <w:r w:rsidR="00DF6B2B">
        <w:t>as well as</w:t>
      </w:r>
      <w:r w:rsidRPr="00CE361C">
        <w:t xml:space="preserve"> how those outcomes are achieved (e.g. through integrated and informed decision-making that adopts adaptive management and proportionate and risk-based approaches).</w:t>
      </w:r>
      <w:r w:rsidRPr="00C7705F">
        <w:t xml:space="preserve"> </w:t>
      </w:r>
    </w:p>
    <w:p w14:paraId="479C40F4" w14:textId="29BFCA18" w:rsidR="00CE361C" w:rsidRDefault="00CE361C" w:rsidP="007676E2">
      <w:r>
        <w:t xml:space="preserve">The proposed </w:t>
      </w:r>
      <w:r w:rsidR="00115284">
        <w:t>matters</w:t>
      </w:r>
      <w:r>
        <w:t xml:space="preserve"> </w:t>
      </w:r>
      <w:r w:rsidR="00742D6E">
        <w:t>that must be taken into account</w:t>
      </w:r>
      <w:r w:rsidR="00873134">
        <w:t xml:space="preserve"> when considering a plan for the rehabilitation of declared mine land </w:t>
      </w:r>
      <w:r>
        <w:t>are:</w:t>
      </w:r>
    </w:p>
    <w:p w14:paraId="5074AEAD" w14:textId="5EBA635A" w:rsidR="00CE361C" w:rsidRPr="007676E2" w:rsidRDefault="00CE361C" w:rsidP="007676E2">
      <w:pPr>
        <w:pStyle w:val="dotpoints"/>
      </w:pPr>
      <w:r w:rsidRPr="007676E2">
        <w:t>in</w:t>
      </w:r>
      <w:r w:rsidR="00826CA6">
        <w:t xml:space="preserve"> relation to the</w:t>
      </w:r>
      <w:r w:rsidRPr="007676E2">
        <w:t xml:space="preserve"> landform </w:t>
      </w:r>
      <w:r w:rsidR="00826CA6">
        <w:t>to be achieved on the declared mine land</w:t>
      </w:r>
      <w:r w:rsidRPr="007676E2">
        <w:t>:</w:t>
      </w:r>
    </w:p>
    <w:p w14:paraId="275DFB1D" w14:textId="75EDB8CD" w:rsidR="00CE361C" w:rsidRDefault="00492D32" w:rsidP="00DE4290">
      <w:pPr>
        <w:pStyle w:val="dotpoints2"/>
      </w:pPr>
      <w:r>
        <w:t>the</w:t>
      </w:r>
      <w:r w:rsidR="00CE361C">
        <w:t xml:space="preserve"> physical safe</w:t>
      </w:r>
      <w:r>
        <w:t>ty</w:t>
      </w:r>
      <w:r w:rsidR="00CE361C">
        <w:t xml:space="preserve"> </w:t>
      </w:r>
      <w:r>
        <w:t>of</w:t>
      </w:r>
      <w:r w:rsidR="00CE361C">
        <w:t xml:space="preserve"> humans and animals, </w:t>
      </w:r>
    </w:p>
    <w:p w14:paraId="5B776053" w14:textId="1C1BB8EE" w:rsidR="00CE361C" w:rsidRDefault="00492D32" w:rsidP="00DE4290">
      <w:pPr>
        <w:pStyle w:val="dotpoints2"/>
      </w:pPr>
      <w:r>
        <w:t>the</w:t>
      </w:r>
      <w:r w:rsidR="00CE361C">
        <w:t xml:space="preserve"> geotechnical and hydrogeological stab</w:t>
      </w:r>
      <w:r w:rsidR="003C0438">
        <w:t>ility</w:t>
      </w:r>
      <w:r w:rsidR="00CE361C">
        <w:t>,</w:t>
      </w:r>
    </w:p>
    <w:p w14:paraId="0DB7335C" w14:textId="2AB87A6F" w:rsidR="00CE361C" w:rsidRDefault="003C0438" w:rsidP="00DE4290">
      <w:pPr>
        <w:pStyle w:val="dotpoints2"/>
      </w:pPr>
      <w:r>
        <w:t xml:space="preserve">the </w:t>
      </w:r>
      <w:r w:rsidR="00CE361C">
        <w:t>main</w:t>
      </w:r>
      <w:r>
        <w:t>tenance of</w:t>
      </w:r>
      <w:r w:rsidR="00CE361C">
        <w:t xml:space="preserve"> hydrological regimes, </w:t>
      </w:r>
      <w:r>
        <w:t xml:space="preserve">the </w:t>
      </w:r>
      <w:r w:rsidR="00CE361C">
        <w:t xml:space="preserve">quality and quantity of groundwater and surface water to the extent that existing </w:t>
      </w:r>
      <w:r w:rsidR="00B67AC4">
        <w:t>or</w:t>
      </w:r>
      <w:r w:rsidR="00CE361C">
        <w:t xml:space="preserve"> proposed uses, including ecosystem maintenance, </w:t>
      </w:r>
      <w:r w:rsidR="00B67AC4">
        <w:t>will be</w:t>
      </w:r>
      <w:r w:rsidR="00CE361C">
        <w:t xml:space="preserve"> protected, </w:t>
      </w:r>
    </w:p>
    <w:p w14:paraId="483A16C8" w14:textId="77777777" w:rsidR="00CE361C" w:rsidRDefault="00CE361C" w:rsidP="00DE4290">
      <w:pPr>
        <w:pStyle w:val="dotpoints2"/>
      </w:pPr>
      <w:r>
        <w:t xml:space="preserve">be non-polluting/non-contaminating, </w:t>
      </w:r>
    </w:p>
    <w:p w14:paraId="7788BFA2" w14:textId="41F2D8A9" w:rsidR="00CE361C" w:rsidRDefault="00CE361C" w:rsidP="00DE4290">
      <w:pPr>
        <w:pStyle w:val="dotpoints2"/>
      </w:pPr>
      <w:r>
        <w:t>protect land use and infrastructure in adjacent areas</w:t>
      </w:r>
      <w:r w:rsidR="002208AE">
        <w:t>,</w:t>
      </w:r>
    </w:p>
    <w:p w14:paraId="542CA6E8" w14:textId="77777777" w:rsidR="00CE361C" w:rsidRDefault="00CE361C" w:rsidP="00DE4290">
      <w:pPr>
        <w:pStyle w:val="dotpoints2"/>
      </w:pPr>
      <w:r>
        <w:t>minimise the fire risk to be no greater than the surrounding environment,</w:t>
      </w:r>
    </w:p>
    <w:p w14:paraId="500BF244" w14:textId="77777777" w:rsidR="00CE361C" w:rsidRDefault="00CE361C" w:rsidP="00DE4290">
      <w:pPr>
        <w:pStyle w:val="dotpoints2"/>
      </w:pPr>
      <w:r>
        <w:t>be climate resilient,</w:t>
      </w:r>
    </w:p>
    <w:p w14:paraId="60F86922" w14:textId="2821DFD3" w:rsidR="00CE361C" w:rsidRDefault="00CE361C" w:rsidP="001811B0">
      <w:pPr>
        <w:pStyle w:val="dotpoints2"/>
      </w:pPr>
      <w:r>
        <w:t xml:space="preserve">promote ecological integrity </w:t>
      </w:r>
      <w:r w:rsidR="0029368D">
        <w:t>so that the</w:t>
      </w:r>
      <w:r>
        <w:t xml:space="preserve"> post-closure ecosystems are either stable or heading towards being regenerative and self-sustaining, </w:t>
      </w:r>
      <w:r w:rsidRPr="006A2576">
        <w:t>biodiversity</w:t>
      </w:r>
      <w:r>
        <w:t xml:space="preserve"> is protected, and the </w:t>
      </w:r>
      <w:r w:rsidRPr="006A2576">
        <w:t xml:space="preserve">need for ongoing </w:t>
      </w:r>
      <w:r>
        <w:t xml:space="preserve">active </w:t>
      </w:r>
      <w:r w:rsidRPr="006A2576">
        <w:t>monitoring, maintenance or management</w:t>
      </w:r>
      <w:r>
        <w:t xml:space="preserve"> is minimised to a level that is acceptable to the State</w:t>
      </w:r>
      <w:r w:rsidRPr="00D71ABF">
        <w:t>.</w:t>
      </w:r>
    </w:p>
    <w:p w14:paraId="34E629EC" w14:textId="4787B513" w:rsidR="00CE361C" w:rsidRDefault="00653281" w:rsidP="00CE361C">
      <w:pPr>
        <w:pStyle w:val="dotpoints"/>
      </w:pPr>
      <w:r>
        <w:t xml:space="preserve">in relation to </w:t>
      </w:r>
      <w:r w:rsidR="00071BD7">
        <w:t xml:space="preserve">rehabilitation and </w:t>
      </w:r>
      <w:r w:rsidR="001811B0">
        <w:t>the closure plan</w:t>
      </w:r>
      <w:r w:rsidR="00CE361C">
        <w:t>:</w:t>
      </w:r>
    </w:p>
    <w:p w14:paraId="798D00BF" w14:textId="77777777" w:rsidR="00D106C5" w:rsidRDefault="00D106C5" w:rsidP="00DE4290">
      <w:pPr>
        <w:pStyle w:val="dotpoints2"/>
      </w:pPr>
      <w:r>
        <w:t>that the benefits to the wellbeing and prosperity of the community are promoted;</w:t>
      </w:r>
    </w:p>
    <w:p w14:paraId="602B1C7E" w14:textId="77777777" w:rsidR="00A644AF" w:rsidRDefault="00D106C5" w:rsidP="00DE4290">
      <w:pPr>
        <w:pStyle w:val="dotpoints2"/>
      </w:pPr>
      <w:r>
        <w:lastRenderedPageBreak/>
        <w:t xml:space="preserve">the views of the community </w:t>
      </w:r>
      <w:r w:rsidR="00A644AF">
        <w:t>and Aboriginal persons are taken into account; and</w:t>
      </w:r>
    </w:p>
    <w:p w14:paraId="701E7EE2" w14:textId="658BAF44" w:rsidR="00CE361C" w:rsidRDefault="00A644AF" w:rsidP="003C3799">
      <w:pPr>
        <w:pStyle w:val="dotpoints2"/>
      </w:pPr>
      <w:r>
        <w:t>that the knowledge, rights and aspirations of Traditional Owner groups in caring for country is acknowledged</w:t>
      </w:r>
      <w:r w:rsidR="00CE361C">
        <w:t>.</w:t>
      </w:r>
    </w:p>
    <w:p w14:paraId="7C7D3C7E" w14:textId="55FE7A69" w:rsidR="00CE361C" w:rsidRPr="00CE361C" w:rsidRDefault="00CE361C" w:rsidP="00885B43">
      <w:r w:rsidRPr="00CE361C">
        <w:t>The</w:t>
      </w:r>
      <w:r w:rsidR="003C3799">
        <w:t>se</w:t>
      </w:r>
      <w:r w:rsidRPr="00CE361C">
        <w:t xml:space="preserve"> </w:t>
      </w:r>
      <w:r w:rsidR="003C3799">
        <w:t xml:space="preserve">matters </w:t>
      </w:r>
      <w:r w:rsidRPr="00CE361C">
        <w:t xml:space="preserve">would be included in </w:t>
      </w:r>
      <w:r w:rsidR="00EA4B84">
        <w:t>the</w:t>
      </w:r>
      <w:r w:rsidRPr="00CE361C">
        <w:t xml:space="preserve"> regulations as an explicit consideration to be taken into account by the licensee in meeting their obligations, </w:t>
      </w:r>
      <w:r w:rsidR="00EA4B84">
        <w:t>and</w:t>
      </w:r>
      <w:r w:rsidRPr="00CE361C">
        <w:t xml:space="preserve"> by a decision-maker in making relevant decisions. Further details about specific regulations in this regard, are set out below in this section. </w:t>
      </w:r>
    </w:p>
    <w:p w14:paraId="6B869F36" w14:textId="77777777" w:rsidR="00CE361C" w:rsidRPr="00CE361C" w:rsidRDefault="00CE361C" w:rsidP="003F70FF">
      <w:pPr>
        <w:pStyle w:val="Heading6"/>
        <w:rPr>
          <w:color w:val="auto"/>
        </w:rPr>
      </w:pPr>
      <w:r w:rsidRPr="00CE361C">
        <w:rPr>
          <w:color w:val="auto"/>
        </w:rPr>
        <w:t>Rehabilitation planning</w:t>
      </w:r>
    </w:p>
    <w:p w14:paraId="2696DB1F" w14:textId="77777777" w:rsidR="00CE361C" w:rsidRPr="007676E2" w:rsidRDefault="00CE361C" w:rsidP="007676E2">
      <w:pPr>
        <w:pStyle w:val="Heading8"/>
      </w:pPr>
      <w:r w:rsidRPr="007676E2">
        <w:t>Prescribed requirements relating to the contents of plan</w:t>
      </w:r>
    </w:p>
    <w:p w14:paraId="0460FB86" w14:textId="77777777" w:rsidR="00CE361C" w:rsidRPr="00CE361C" w:rsidRDefault="00CE361C" w:rsidP="007676E2">
      <w:pPr>
        <w:rPr>
          <w:rFonts w:eastAsia="Arial"/>
        </w:rPr>
      </w:pPr>
      <w:r w:rsidRPr="00CE361C">
        <w:rPr>
          <w:rFonts w:eastAsia="Arial"/>
        </w:rPr>
        <w:t xml:space="preserve">Under Option 2, regulation 43 of the Mineral Industries Regulations would be revised to exclude declared mines from the rehabilitation plan information requirements. Instead, the regulations would prescribe information requirements that are specific to declared mines. </w:t>
      </w:r>
    </w:p>
    <w:p w14:paraId="179DED31" w14:textId="2D062197" w:rsidR="00CE361C" w:rsidRPr="00CE361C" w:rsidRDefault="00CE361C" w:rsidP="007676E2">
      <w:pPr>
        <w:rPr>
          <w:rFonts w:eastAsia="Arial"/>
        </w:rPr>
      </w:pPr>
      <w:r w:rsidRPr="50EBBABE">
        <w:rPr>
          <w:rFonts w:eastAsia="Arial"/>
        </w:rPr>
        <w:t xml:space="preserve">The rehabilitation plan content requirement of a DMRP for the purposes of s84AZU(3) of the MRSD Act, would require information relating to outcomes, objectives, rehabilitation milestones, post-mining land uses, </w:t>
      </w:r>
      <w:r w:rsidR="00F95C44">
        <w:rPr>
          <w:rFonts w:eastAsia="Arial"/>
        </w:rPr>
        <w:t>closure</w:t>
      </w:r>
      <w:r w:rsidRPr="50EBBABE">
        <w:rPr>
          <w:rFonts w:eastAsia="Arial"/>
        </w:rPr>
        <w:t xml:space="preserve"> criteria, </w:t>
      </w:r>
      <w:r w:rsidR="005C0BDE">
        <w:rPr>
          <w:rFonts w:eastAsia="Arial"/>
        </w:rPr>
        <w:t>a stakeholder engagement plan</w:t>
      </w:r>
      <w:r w:rsidR="003629F9">
        <w:rPr>
          <w:rFonts w:eastAsia="Arial"/>
        </w:rPr>
        <w:t>,</w:t>
      </w:r>
      <w:r w:rsidRPr="50EBBABE">
        <w:rPr>
          <w:rFonts w:eastAsia="Arial"/>
        </w:rPr>
        <w:t xml:space="preserve"> and a risk assessment and risk management plan.  </w:t>
      </w:r>
    </w:p>
    <w:p w14:paraId="20A13C68" w14:textId="41FE915E" w:rsidR="00CE361C" w:rsidRPr="00CE361C" w:rsidRDefault="00CE361C" w:rsidP="007676E2">
      <w:pPr>
        <w:rPr>
          <w:rFonts w:eastAsia="Arial"/>
          <w:highlight w:val="yellow"/>
        </w:rPr>
      </w:pPr>
      <w:r w:rsidRPr="50EBBABE">
        <w:rPr>
          <w:rFonts w:eastAsia="Arial"/>
        </w:rPr>
        <w:t xml:space="preserve">Under Option 2, declared mine licensees </w:t>
      </w:r>
      <w:r w:rsidR="000B11B2">
        <w:rPr>
          <w:rFonts w:eastAsia="Arial"/>
        </w:rPr>
        <w:t xml:space="preserve">would be required </w:t>
      </w:r>
      <w:r w:rsidRPr="50EBBABE">
        <w:rPr>
          <w:rFonts w:eastAsia="Arial"/>
        </w:rPr>
        <w:t xml:space="preserve">to </w:t>
      </w:r>
      <w:r w:rsidR="00817154">
        <w:rPr>
          <w:rFonts w:eastAsia="Arial"/>
        </w:rPr>
        <w:t xml:space="preserve">include, in the plan, </w:t>
      </w:r>
      <w:r w:rsidR="00541142">
        <w:rPr>
          <w:rFonts w:eastAsia="Arial"/>
        </w:rPr>
        <w:t>information setting out the use of passive controls to maximise the rehabilitation outcome that any</w:t>
      </w:r>
      <w:r w:rsidRPr="50EBBABE">
        <w:rPr>
          <w:rFonts w:eastAsia="Arial"/>
        </w:rPr>
        <w:t xml:space="preserve"> landforms are</w:t>
      </w:r>
      <w:r w:rsidR="00541142">
        <w:rPr>
          <w:rFonts w:eastAsia="Arial"/>
        </w:rPr>
        <w:t xml:space="preserve"> to be</w:t>
      </w:r>
      <w:r w:rsidRPr="50EBBABE">
        <w:rPr>
          <w:rFonts w:eastAsia="Arial"/>
        </w:rPr>
        <w:t xml:space="preserve"> safe, stable and sustainable.  This provides a different outcome standard to that in regulation 43(2)(b)(i) for declared mine land, in recognition that rehabilitation of these complex mines may require ongoing active controls.</w:t>
      </w:r>
      <w:r w:rsidR="00055D73">
        <w:rPr>
          <w:rStyle w:val="FootnoteReference"/>
          <w:rFonts w:eastAsia="Arial"/>
        </w:rPr>
        <w:footnoteReference w:id="194"/>
      </w:r>
      <w:r w:rsidRPr="50EBBABE">
        <w:rPr>
          <w:rFonts w:eastAsia="Arial"/>
        </w:rPr>
        <w:t xml:space="preserve"> It would also not require outcomes to reference a proposed land use as per regulation 43(2)(b)(ii), as it is possible that no use of the land will be possible after rehabilitation.</w:t>
      </w:r>
    </w:p>
    <w:p w14:paraId="64971FD2" w14:textId="544AC9E2" w:rsidR="00CE361C" w:rsidRPr="00CE361C" w:rsidRDefault="447A4F45" w:rsidP="007676E2">
      <w:pPr>
        <w:rPr>
          <w:rFonts w:eastAsia="Arial"/>
        </w:rPr>
      </w:pPr>
      <w:r w:rsidRPr="5CF0E88B">
        <w:rPr>
          <w:rFonts w:eastAsia="Arial"/>
        </w:rPr>
        <w:t>D</w:t>
      </w:r>
      <w:r w:rsidR="7099A12F" w:rsidRPr="5CF0E88B">
        <w:rPr>
          <w:rFonts w:eastAsia="Arial"/>
        </w:rPr>
        <w:t>eclared mined licensees</w:t>
      </w:r>
      <w:r w:rsidRPr="5CF0E88B">
        <w:rPr>
          <w:rFonts w:eastAsia="Arial"/>
        </w:rPr>
        <w:t xml:space="preserve"> would be required</w:t>
      </w:r>
      <w:r w:rsidR="7099A12F" w:rsidRPr="5CF0E88B">
        <w:rPr>
          <w:rFonts w:eastAsia="Arial"/>
        </w:rPr>
        <w:t xml:space="preserve"> to include rehabilitation </w:t>
      </w:r>
      <w:r w:rsidR="6A46B1CB" w:rsidRPr="5CF0E88B">
        <w:rPr>
          <w:rFonts w:eastAsia="Arial"/>
        </w:rPr>
        <w:t>or</w:t>
      </w:r>
      <w:r w:rsidR="7099A12F" w:rsidRPr="5CF0E88B">
        <w:rPr>
          <w:rFonts w:eastAsia="Arial"/>
        </w:rPr>
        <w:t xml:space="preserve"> closure objectives consistent with </w:t>
      </w:r>
      <w:r w:rsidR="235CABE5" w:rsidRPr="5CF0E88B">
        <w:rPr>
          <w:rFonts w:eastAsia="Arial"/>
        </w:rPr>
        <w:t>Ministerial guidelines or information approved by the Department Head</w:t>
      </w:r>
      <w:r w:rsidR="7099A12F" w:rsidRPr="5CF0E88B">
        <w:rPr>
          <w:rFonts w:eastAsia="Arial"/>
        </w:rPr>
        <w:t xml:space="preserve">. This would not require objectives that set out distinct rehabilitation domains that collectively amount to the landform proposed as per regulation 43(3), as this would limit the objectives to the landform. Site-specific closure objectives </w:t>
      </w:r>
      <w:r w:rsidR="0E9C5F8B" w:rsidRPr="5CF0E88B">
        <w:rPr>
          <w:rFonts w:eastAsia="Arial"/>
        </w:rPr>
        <w:t>c</w:t>
      </w:r>
      <w:r w:rsidR="7099A12F" w:rsidRPr="5CF0E88B">
        <w:rPr>
          <w:rFonts w:eastAsia="Arial"/>
        </w:rPr>
        <w:t>ould</w:t>
      </w:r>
      <w:r w:rsidR="70AAD03E" w:rsidRPr="5CF0E88B">
        <w:rPr>
          <w:rFonts w:eastAsia="Arial"/>
        </w:rPr>
        <w:t>, via the guidelines or Department Head approval,</w:t>
      </w:r>
      <w:r w:rsidR="7099A12F" w:rsidRPr="5CF0E88B">
        <w:rPr>
          <w:rFonts w:eastAsia="Arial"/>
        </w:rPr>
        <w:t xml:space="preserve"> be required to be set for domains (e.g. mining installations such as pits, infrastructure, and mine waste deposits) may be derived from the mine’s licence to operate, compliance conditions, risk assessments and technical designs. Site-specific closure objectives </w:t>
      </w:r>
      <w:r w:rsidR="5F2182C8" w:rsidRPr="5CF0E88B">
        <w:rPr>
          <w:rFonts w:eastAsia="Arial"/>
        </w:rPr>
        <w:t>c</w:t>
      </w:r>
      <w:r w:rsidR="7099A12F" w:rsidRPr="5CF0E88B">
        <w:rPr>
          <w:rFonts w:eastAsia="Arial"/>
        </w:rPr>
        <w:t>ould also be required to be set for a variety of physical and social aspects (e.g. culture and heritage, biodiversity, groundwater). Not all aspects will be applicable at all sites.</w:t>
      </w:r>
    </w:p>
    <w:p w14:paraId="14ACA46B" w14:textId="1EDBC886" w:rsidR="00CE361C" w:rsidRPr="00CE361C" w:rsidRDefault="00CE361C" w:rsidP="007676E2">
      <w:pPr>
        <w:rPr>
          <w:rFonts w:eastAsia="Arial"/>
        </w:rPr>
      </w:pPr>
      <w:r w:rsidRPr="50EBBABE">
        <w:rPr>
          <w:rFonts w:eastAsia="Arial"/>
        </w:rPr>
        <w:t xml:space="preserve">The milestone element of the rehabilitation plan would require declared mine licensees to include information on the proposed rehabilitation and closure milestones which identify each </w:t>
      </w:r>
      <w:r w:rsidR="003504C0">
        <w:rPr>
          <w:rFonts w:eastAsia="Arial"/>
        </w:rPr>
        <w:t>relevant</w:t>
      </w:r>
      <w:r w:rsidRPr="50EBBABE">
        <w:rPr>
          <w:rFonts w:eastAsia="Arial"/>
        </w:rPr>
        <w:t xml:space="preserve"> event or step necessary to rehabilitate the land to a safe, stable and sustainable condition. Milestones would be required to be included for all the rehabilitation and closure </w:t>
      </w:r>
      <w:r w:rsidR="0040593C">
        <w:rPr>
          <w:rFonts w:eastAsia="Arial"/>
        </w:rPr>
        <w:t xml:space="preserve">events or steps </w:t>
      </w:r>
      <w:r w:rsidR="00FF078D">
        <w:rPr>
          <w:rFonts w:eastAsia="Arial"/>
        </w:rPr>
        <w:t xml:space="preserve">that are </w:t>
      </w:r>
      <w:r w:rsidR="0014760D">
        <w:rPr>
          <w:rFonts w:eastAsia="Arial"/>
        </w:rPr>
        <w:t xml:space="preserve">relevant to the ongoing monitoring, management and maintenance of declared mine land after the closure of a mine </w:t>
      </w:r>
      <w:r w:rsidR="002965E2">
        <w:rPr>
          <w:rFonts w:eastAsia="Arial"/>
        </w:rPr>
        <w:t>including</w:t>
      </w:r>
      <w:r w:rsidRPr="50EBBABE">
        <w:rPr>
          <w:rFonts w:eastAsia="Arial"/>
        </w:rPr>
        <w:t xml:space="preserve">: </w:t>
      </w:r>
    </w:p>
    <w:p w14:paraId="3E2C4A47" w14:textId="7A792EBA" w:rsidR="00CE361C" w:rsidRPr="007676E2" w:rsidRDefault="0020540B" w:rsidP="50EBBABE">
      <w:pPr>
        <w:pStyle w:val="dotpoints"/>
        <w:rPr>
          <w:rFonts w:eastAsiaTheme="minorEastAsia"/>
        </w:rPr>
      </w:pPr>
      <w:r>
        <w:rPr>
          <w:rFonts w:eastAsia="Arial"/>
        </w:rPr>
        <w:t>milestone</w:t>
      </w:r>
      <w:r w:rsidR="00AF1F73">
        <w:rPr>
          <w:rFonts w:eastAsia="Arial"/>
        </w:rPr>
        <w:t>s necessary for the rehabilitation of land to a safe, stable and sustainable condition</w:t>
      </w:r>
      <w:r w:rsidR="00CE361C" w:rsidRPr="50EBBABE">
        <w:rPr>
          <w:rFonts w:eastAsia="Arial"/>
        </w:rPr>
        <w:t>;</w:t>
      </w:r>
      <w:r w:rsidR="00E50B09">
        <w:rPr>
          <w:rFonts w:eastAsia="Arial"/>
        </w:rPr>
        <w:t xml:space="preserve"> and to</w:t>
      </w:r>
    </w:p>
    <w:p w14:paraId="442A627B" w14:textId="7AEE0D79" w:rsidR="00CE361C" w:rsidRPr="007676E2" w:rsidRDefault="00CE361C" w:rsidP="50EBBABE">
      <w:pPr>
        <w:pStyle w:val="dotpoints"/>
        <w:rPr>
          <w:rFonts w:eastAsiaTheme="minorEastAsia"/>
        </w:rPr>
      </w:pPr>
      <w:r w:rsidRPr="50EBBABE">
        <w:rPr>
          <w:rFonts w:eastAsia="Arial"/>
        </w:rPr>
        <w:t xml:space="preserve">minimise the risks </w:t>
      </w:r>
      <w:r w:rsidR="00E50B09">
        <w:rPr>
          <w:rFonts w:eastAsia="Arial"/>
        </w:rPr>
        <w:t>posed by declared mine land as far as practicable</w:t>
      </w:r>
      <w:r w:rsidRPr="50EBBABE">
        <w:rPr>
          <w:rFonts w:eastAsia="Arial"/>
        </w:rPr>
        <w:t>.</w:t>
      </w:r>
    </w:p>
    <w:p w14:paraId="2910D69C" w14:textId="77777777" w:rsidR="00CE361C" w:rsidRPr="00CE361C" w:rsidRDefault="00CE361C" w:rsidP="007676E2">
      <w:pPr>
        <w:rPr>
          <w:rFonts w:eastAsia="Arial"/>
        </w:rPr>
      </w:pPr>
      <w:r w:rsidRPr="00CE361C">
        <w:rPr>
          <w:rFonts w:eastAsia="Arial"/>
        </w:rPr>
        <w:t>Milestones will also be required to be included for:</w:t>
      </w:r>
    </w:p>
    <w:p w14:paraId="0605F4EB" w14:textId="0826D14E" w:rsidR="00CE361C" w:rsidRPr="007676E2" w:rsidRDefault="00900ABA" w:rsidP="50EBBABE">
      <w:pPr>
        <w:pStyle w:val="dotpoints"/>
        <w:rPr>
          <w:rFonts w:eastAsiaTheme="minorEastAsia"/>
        </w:rPr>
      </w:pPr>
      <w:r>
        <w:rPr>
          <w:rFonts w:eastAsia="Arial"/>
        </w:rPr>
        <w:t xml:space="preserve">meeting </w:t>
      </w:r>
      <w:r w:rsidR="000864C2">
        <w:rPr>
          <w:rFonts w:eastAsia="Arial"/>
        </w:rPr>
        <w:t>the closure criteria</w:t>
      </w:r>
      <w:r w:rsidR="00CE361C" w:rsidRPr="50EBBABE">
        <w:rPr>
          <w:rFonts w:eastAsia="Arial"/>
        </w:rPr>
        <w:t>. This is necessary because the contents of the post-closure plan will have to be developed over time as specific post-closure monitoring and maintenance activity requirements are dependent on the outcomes of the rehabilitation and closure process; and</w:t>
      </w:r>
    </w:p>
    <w:p w14:paraId="448687FA" w14:textId="54383FA7" w:rsidR="00CE361C" w:rsidRPr="007676E2" w:rsidRDefault="00CE361C" w:rsidP="007676E2">
      <w:pPr>
        <w:pStyle w:val="dotpoints"/>
        <w:rPr>
          <w:rFonts w:eastAsiaTheme="minorEastAsia"/>
        </w:rPr>
      </w:pPr>
      <w:r w:rsidRPr="007676E2">
        <w:rPr>
          <w:rFonts w:eastAsia="Arial"/>
        </w:rPr>
        <w:t>obtaining legal approvals and permissions required for rehabilitation, closure and post-closure listed in the register. This is necessary because not all legal approvals and permissions will be able to be obtained at the point a DMRP is required e.g. the government has decided that water allocations for rehabilitation of the Latrobe Valley coal mines can only be sought 5 years before the end of power generation/coal mining.</w:t>
      </w:r>
    </w:p>
    <w:p w14:paraId="08809580" w14:textId="7175A524" w:rsidR="00CE361C" w:rsidRPr="000E0395" w:rsidRDefault="00CE361C" w:rsidP="1B018332">
      <w:r>
        <w:t xml:space="preserve">The risk assessment and </w:t>
      </w:r>
      <w:r w:rsidR="00384207">
        <w:t>management</w:t>
      </w:r>
      <w:r>
        <w:t xml:space="preserve"> plan element of the rehabilitation plan requirement would require declared mine licensees to include information regarding the identification and management of rehabilitation hazards that may arise from the rehabilitation of declared mine land.  The risk assessment and risk management plan would </w:t>
      </w:r>
      <w:r>
        <w:lastRenderedPageBreak/>
        <w:t>need to identify and provide management plans for risks that may lead to early or sudden cessation of operations or mine closure, and risks that may affect the rehabilitation outcomes, objectives and milestones in the DMRP.</w:t>
      </w:r>
      <w:r w:rsidRPr="50EBBABE">
        <w:rPr>
          <w:rFonts w:eastAsia="Arial" w:cs="Arial"/>
          <w:color w:val="881798"/>
        </w:rPr>
        <w:t xml:space="preserve"> </w:t>
      </w:r>
      <w:r>
        <w:t xml:space="preserve">The post-mining land use requirement of the DMRP would require declared mine licensees to nominate a post-mining land use or uses.  The regulations would enable a ‘null/non-use’ </w:t>
      </w:r>
      <w:r w:rsidRPr="50EBBABE">
        <w:rPr>
          <w:rFonts w:eastAsia="Arial" w:cs="Arial"/>
        </w:rPr>
        <w:t>post-mining land use</w:t>
      </w:r>
      <w:r>
        <w:t xml:space="preserve"> to be proposed for some domains of the land. PMLUs would need to be described in a manner that is consistent with </w:t>
      </w:r>
      <w:r w:rsidR="00324F0C">
        <w:t>relevant Ministerial guidelines</w:t>
      </w:r>
      <w:r>
        <w:t>.</w:t>
      </w:r>
    </w:p>
    <w:p w14:paraId="47F3FAE2" w14:textId="0F93DFE1" w:rsidR="00CE361C" w:rsidRPr="00B00E3B" w:rsidRDefault="7099A12F" w:rsidP="007676E2">
      <w:r>
        <w:t xml:space="preserve">The closure criteria requirement of s84AZU(3)(b) of the MRSD Act would require the declared mine licensee to specify closure criteria. The closure criteria would </w:t>
      </w:r>
      <w:r w:rsidR="21899AE0">
        <w:t>include</w:t>
      </w:r>
      <w:r w:rsidR="254DB3FB">
        <w:t xml:space="preserve"> </w:t>
      </w:r>
      <w:r w:rsidR="2684A1E5">
        <w:t xml:space="preserve">the measures to address </w:t>
      </w:r>
      <w:r>
        <w:t>the risks to public</w:t>
      </w:r>
      <w:r w:rsidR="2684A1E5">
        <w:t xml:space="preserve"> health and</w:t>
      </w:r>
      <w:r>
        <w:t xml:space="preserve"> safety, the environment and infrastructure</w:t>
      </w:r>
      <w:r w:rsidR="1C3B06FC">
        <w:t xml:space="preserve"> posed</w:t>
      </w:r>
      <w:r>
        <w:t xml:space="preserve"> by geotechnical, hydrogeological, water quality or hydrological status of the declared mine land; and outline standards or </w:t>
      </w:r>
      <w:r w:rsidR="3E5F1FC8">
        <w:t>levels to be met by the licensee for surrender of the licence</w:t>
      </w:r>
      <w:r>
        <w:t xml:space="preserve">.  Closure criteria would need to be set out in a way that is ‘SMART.’ </w:t>
      </w:r>
    </w:p>
    <w:p w14:paraId="75EC9075" w14:textId="77777777" w:rsidR="00CE361C" w:rsidRPr="00B00E3B" w:rsidRDefault="00CE361C" w:rsidP="007676E2">
      <w:pPr>
        <w:rPr>
          <w:rFonts w:ascii="Calibri" w:eastAsia="Calibri" w:hAnsi="Calibri" w:cs="Calibri"/>
          <w:sz w:val="22"/>
          <w:szCs w:val="22"/>
        </w:rPr>
      </w:pPr>
      <w:r w:rsidRPr="00B00E3B">
        <w:t>In relation to the registration undertaking component of s84AZU(3)(d) of the MRSD Act, declared mine licensees would be required to include an undertaking to pay the registration amou</w:t>
      </w:r>
      <w:r w:rsidRPr="00B00E3B">
        <w:rPr>
          <w:rFonts w:asciiTheme="minorHAnsi" w:eastAsiaTheme="minorEastAsia" w:hAnsiTheme="minorHAnsi" w:cstheme="minorBidi"/>
        </w:rPr>
        <w:t>nt that is required to be included in the DMRP in s84AZU(d), being given for the declared mine land.</w:t>
      </w:r>
    </w:p>
    <w:p w14:paraId="0F6EC8F9" w14:textId="77777777" w:rsidR="00CE361C" w:rsidRPr="00B00E3B" w:rsidRDefault="00CE361C" w:rsidP="007676E2">
      <w:pPr>
        <w:rPr>
          <w:rFonts w:asciiTheme="minorHAnsi" w:eastAsiaTheme="minorEastAsia" w:hAnsiTheme="minorHAnsi" w:cstheme="minorBidi"/>
          <w:sz w:val="24"/>
          <w:szCs w:val="24"/>
        </w:rPr>
      </w:pPr>
      <w:r w:rsidRPr="00B00E3B">
        <w:t xml:space="preserve">As any other prescribed matters pursuant to s84AZU(3)(f) of the MRSD Act, the DMRP would be required to include: </w:t>
      </w:r>
    </w:p>
    <w:p w14:paraId="2820C4A9" w14:textId="6BC292E3" w:rsidR="00CE361C" w:rsidRPr="007676E2" w:rsidRDefault="00CE361C" w:rsidP="007676E2">
      <w:pPr>
        <w:pStyle w:val="dotpoints"/>
      </w:pPr>
      <w:r w:rsidRPr="007676E2">
        <w:t>a register setting out</w:t>
      </w:r>
    </w:p>
    <w:p w14:paraId="0C2556D2" w14:textId="77777777" w:rsidR="00CE361C" w:rsidRPr="007676E2" w:rsidRDefault="00CE361C" w:rsidP="007676E2">
      <w:pPr>
        <w:pStyle w:val="dotpoints2"/>
        <w:rPr>
          <w:rFonts w:eastAsiaTheme="minorEastAsia"/>
        </w:rPr>
      </w:pPr>
      <w:r w:rsidRPr="007676E2">
        <w:t>all the legal approvals and permissions required for the rehabilitation and closure activities or outcomes in the DMRP;</w:t>
      </w:r>
    </w:p>
    <w:p w14:paraId="0F807E73" w14:textId="77777777" w:rsidR="00CE361C" w:rsidRPr="007676E2" w:rsidRDefault="00CE361C" w:rsidP="007676E2">
      <w:pPr>
        <w:pStyle w:val="dotpoints2"/>
      </w:pPr>
      <w:r w:rsidRPr="007676E2">
        <w:t>whether each such legal approval or permission has been obtained.</w:t>
      </w:r>
    </w:p>
    <w:p w14:paraId="4F7FB22E" w14:textId="2289FBAD" w:rsidR="00CE361C" w:rsidRPr="007676E2" w:rsidRDefault="005E0CA1" w:rsidP="007676E2">
      <w:pPr>
        <w:pStyle w:val="dotpoints"/>
      </w:pPr>
      <w:r>
        <w:t>a</w:t>
      </w:r>
      <w:r w:rsidR="00CE361C" w:rsidRPr="007676E2">
        <w:t xml:space="preserve"> stakeholder engagement</w:t>
      </w:r>
      <w:r>
        <w:t xml:space="preserve"> plan</w:t>
      </w:r>
      <w:r w:rsidR="00CE361C" w:rsidRPr="007676E2">
        <w:t xml:space="preserve"> identifying:</w:t>
      </w:r>
    </w:p>
    <w:p w14:paraId="70E37596" w14:textId="2934B4F9" w:rsidR="00CE361C" w:rsidRPr="007676E2" w:rsidRDefault="00594AA3" w:rsidP="007676E2">
      <w:pPr>
        <w:pStyle w:val="dotpoints2"/>
      </w:pPr>
      <w:r>
        <w:t>k</w:t>
      </w:r>
      <w:r w:rsidR="00CE361C" w:rsidRPr="007676E2">
        <w:t>ey stakeholders for the DMRP; and</w:t>
      </w:r>
    </w:p>
    <w:p w14:paraId="6122E464" w14:textId="7BCD628E" w:rsidR="00CE361C" w:rsidRPr="007676E2" w:rsidRDefault="00594AA3" w:rsidP="007676E2">
      <w:pPr>
        <w:pStyle w:val="dotpoints2"/>
      </w:pPr>
      <w:r>
        <w:t>a</w:t>
      </w:r>
      <w:r w:rsidR="00CE361C" w:rsidRPr="007676E2">
        <w:t xml:space="preserve"> strategy for ongoing engagement with key stakeholders.</w:t>
      </w:r>
    </w:p>
    <w:p w14:paraId="12A0B58F" w14:textId="77777777" w:rsidR="00CE361C" w:rsidRPr="00B00E3B" w:rsidRDefault="00CE361C" w:rsidP="00C017F8">
      <w:pPr>
        <w:pStyle w:val="Heading8"/>
      </w:pPr>
      <w:r w:rsidRPr="00B00E3B">
        <w:t>Post-closure plan</w:t>
      </w:r>
    </w:p>
    <w:p w14:paraId="3A61F1A3" w14:textId="0138C475" w:rsidR="00CE361C" w:rsidRPr="00B00E3B" w:rsidRDefault="7099A12F" w:rsidP="007676E2">
      <w:r>
        <w:t xml:space="preserve">The post-closure plan requirements pursuant to s84AZU(3)(c) of the MRSDA Act would be the same as Option 1, that is: </w:t>
      </w:r>
      <w:r w:rsidR="4D9A8F9F">
        <w:t>identification of</w:t>
      </w:r>
      <w:r>
        <w:t xml:space="preserve"> ongoing monitoring and maintenance activities; identification of the responsible party for these activities; </w:t>
      </w:r>
      <w:r w:rsidR="2F7CC1E1">
        <w:t xml:space="preserve">and </w:t>
      </w:r>
      <w:r>
        <w:t>a plan for the management of known and credible risks.  In addition, Option 2 will include a requirement for the post-closure plan to specify</w:t>
      </w:r>
      <w:r w:rsidR="72DE3071">
        <w:t>, as far as reasonably practicable,</w:t>
      </w:r>
      <w:r>
        <w:t xml:space="preserve"> any data, reports and information to be provided to the Authority once the plan is registered to support the Authority’s function of ensuring the monitoring and maintenance for registered mine land is carried out (see s84AL(1)(kb)). </w:t>
      </w:r>
    </w:p>
    <w:p w14:paraId="5A7FC704" w14:textId="77777777" w:rsidR="00CE361C" w:rsidRDefault="00CE361C" w:rsidP="00D478C7">
      <w:pPr>
        <w:pStyle w:val="Heading8"/>
      </w:pPr>
      <w:r>
        <w:t>Consultation on the plan</w:t>
      </w:r>
    </w:p>
    <w:p w14:paraId="7302C542" w14:textId="6C3C4A72" w:rsidR="00CE361C" w:rsidRDefault="00CE361C" w:rsidP="007676E2">
      <w:r w:rsidRPr="0391002C">
        <w:rPr>
          <w:rFonts w:eastAsia="Arial"/>
        </w:rPr>
        <w:t xml:space="preserve">Under Option 2, the regulations would list classes of people with whom declared mine licensees </w:t>
      </w:r>
      <w:r w:rsidRPr="000315CB">
        <w:rPr>
          <w:rFonts w:eastAsia="Arial"/>
          <w:u w:val="single"/>
        </w:rPr>
        <w:t>must</w:t>
      </w:r>
      <w:r w:rsidRPr="0391002C">
        <w:rPr>
          <w:rFonts w:eastAsia="Arial"/>
        </w:rPr>
        <w:t xml:space="preserve"> consult in the preparation of the DMRP. The list would include (non-exhaustive):</w:t>
      </w:r>
    </w:p>
    <w:p w14:paraId="4C5668E4" w14:textId="0C39734A" w:rsidR="00CE361C" w:rsidRPr="007676E2" w:rsidRDefault="00CE361C" w:rsidP="50EBBABE">
      <w:pPr>
        <w:pStyle w:val="dotpoints"/>
        <w:rPr>
          <w:rFonts w:eastAsiaTheme="minorEastAsia"/>
        </w:rPr>
      </w:pPr>
      <w:r w:rsidRPr="50EBBABE">
        <w:rPr>
          <w:rFonts w:eastAsia="Calibri"/>
        </w:rPr>
        <w:t>d</w:t>
      </w:r>
      <w:r w:rsidRPr="50EBBABE">
        <w:rPr>
          <w:rFonts w:eastAsia="Arial"/>
        </w:rPr>
        <w:t>eclared mine licensees to consult with prescribed persons during the preparation of a DMRP to ensure that relevant matters are taken into account in its preparation. The relevant persons for the purposes of this requirement are:</w:t>
      </w:r>
    </w:p>
    <w:p w14:paraId="2A02CCAB" w14:textId="7BFBC85F" w:rsidR="00CE361C" w:rsidRPr="007676E2" w:rsidRDefault="7099A12F" w:rsidP="5CF0E88B">
      <w:pPr>
        <w:pStyle w:val="dotpoints2"/>
        <w:rPr>
          <w:rFonts w:eastAsiaTheme="minorEastAsia"/>
        </w:rPr>
      </w:pPr>
      <w:r w:rsidRPr="5CF0E88B">
        <w:rPr>
          <w:rFonts w:eastAsia="Arial"/>
        </w:rPr>
        <w:t>The Authority.</w:t>
      </w:r>
    </w:p>
    <w:p w14:paraId="48728DCB" w14:textId="2B9FDA17" w:rsidR="00CE361C" w:rsidRPr="007676E2" w:rsidRDefault="7099A12F" w:rsidP="5CF0E88B">
      <w:pPr>
        <w:pStyle w:val="dotpoints2"/>
        <w:rPr>
          <w:rFonts w:eastAsiaTheme="minorEastAsia"/>
        </w:rPr>
      </w:pPr>
      <w:r w:rsidRPr="5CF0E88B">
        <w:rPr>
          <w:rFonts w:eastAsia="Arial"/>
        </w:rPr>
        <w:t xml:space="preserve">The Minister responsible for the </w:t>
      </w:r>
      <w:r w:rsidRPr="5CF0E88B">
        <w:rPr>
          <w:rFonts w:eastAsia="Arial"/>
          <w:i/>
          <w:iCs/>
        </w:rPr>
        <w:t>Environment Effects Act 1978</w:t>
      </w:r>
      <w:r w:rsidRPr="5CF0E88B">
        <w:rPr>
          <w:rFonts w:eastAsia="Arial"/>
        </w:rPr>
        <w:t xml:space="preserve"> about whether an Environment Effects Statement (EES) is required for the proposed activities under the DMRP.</w:t>
      </w:r>
    </w:p>
    <w:p w14:paraId="6DB67E22" w14:textId="14BCD764" w:rsidR="00CE361C" w:rsidRPr="007676E2" w:rsidRDefault="7099A12F" w:rsidP="5CF0E88B">
      <w:pPr>
        <w:pStyle w:val="dotpoints2"/>
        <w:rPr>
          <w:rFonts w:eastAsiaTheme="minorEastAsia"/>
        </w:rPr>
      </w:pPr>
      <w:r w:rsidRPr="5CF0E88B">
        <w:rPr>
          <w:rFonts w:eastAsia="Arial"/>
        </w:rPr>
        <w:t>The Crown Land Minister, if the declared mine land is Crown Land.</w:t>
      </w:r>
    </w:p>
    <w:p w14:paraId="0D11D2F2" w14:textId="7A79263C" w:rsidR="00CE361C" w:rsidRPr="00EF067D" w:rsidRDefault="7099A12F" w:rsidP="5CF0E88B">
      <w:pPr>
        <w:pStyle w:val="dotpoints2"/>
        <w:rPr>
          <w:rFonts w:eastAsiaTheme="minorEastAsia"/>
        </w:rPr>
      </w:pPr>
      <w:r w:rsidRPr="5CF0E88B">
        <w:rPr>
          <w:rFonts w:eastAsia="Arial"/>
        </w:rPr>
        <w:t xml:space="preserve">Responsible authorities under the </w:t>
      </w:r>
      <w:r w:rsidRPr="5CF0E88B">
        <w:rPr>
          <w:rFonts w:eastAsia="Arial"/>
          <w:i/>
          <w:iCs/>
        </w:rPr>
        <w:t>Planning and Environment Act 1987</w:t>
      </w:r>
      <w:r w:rsidRPr="5CF0E88B">
        <w:rPr>
          <w:rFonts w:eastAsia="Arial"/>
        </w:rPr>
        <w:t xml:space="preserve"> for the area in which the declared mine land is located (usually the local council).</w:t>
      </w:r>
    </w:p>
    <w:p w14:paraId="6541FC0C" w14:textId="6F3B2815" w:rsidR="00250F62" w:rsidRPr="007676E2" w:rsidRDefault="00CC6D89" w:rsidP="007676E2">
      <w:pPr>
        <w:pStyle w:val="dotpoints2"/>
        <w:rPr>
          <w:rFonts w:eastAsiaTheme="minorEastAsia"/>
        </w:rPr>
      </w:pPr>
      <w:r>
        <w:rPr>
          <w:rFonts w:eastAsia="Arial"/>
        </w:rPr>
        <w:t>P</w:t>
      </w:r>
      <w:r w:rsidR="009309B8" w:rsidRPr="007676E2">
        <w:rPr>
          <w:rFonts w:eastAsia="Arial"/>
        </w:rPr>
        <w:t>ublic sector bodies responsible for authorisation or oversight of matters in the proposed DMRP (e.g. catchment management authorities, the Environment Protection Authority etc).</w:t>
      </w:r>
    </w:p>
    <w:p w14:paraId="7FD6334D" w14:textId="4B7DAB22" w:rsidR="00CE361C" w:rsidRPr="007676E2" w:rsidRDefault="00C60DBB" w:rsidP="007676E2">
      <w:pPr>
        <w:pStyle w:val="dotpoints"/>
      </w:pPr>
      <w:r>
        <w:rPr>
          <w:rFonts w:eastAsia="Arial"/>
        </w:rPr>
        <w:t xml:space="preserve">declared mine licensees to consult with </w:t>
      </w:r>
      <w:r w:rsidR="00401B35">
        <w:rPr>
          <w:rFonts w:eastAsia="Arial"/>
        </w:rPr>
        <w:t>prescribed classes of persons including</w:t>
      </w:r>
      <w:r w:rsidR="00DB6140">
        <w:rPr>
          <w:rFonts w:eastAsia="Arial"/>
        </w:rPr>
        <w:t xml:space="preserve"> Traditional Owner groups or group entities; </w:t>
      </w:r>
      <w:r w:rsidR="00A958F4">
        <w:rPr>
          <w:rFonts w:eastAsia="Arial"/>
        </w:rPr>
        <w:t>communities in the vicinity of the mine</w:t>
      </w:r>
      <w:r w:rsidR="00EE3127">
        <w:rPr>
          <w:rFonts w:eastAsia="Arial"/>
        </w:rPr>
        <w:t>; owners/occupiers of the declared mine land</w:t>
      </w:r>
      <w:r w:rsidR="00242B61">
        <w:rPr>
          <w:rFonts w:eastAsia="Arial"/>
        </w:rPr>
        <w:t xml:space="preserve"> affected by the plan; and owners/occupiers of land adjacent to the declared mine land.</w:t>
      </w:r>
      <w:r w:rsidR="00CE361C" w:rsidRPr="007676E2" w:rsidDel="009309B8">
        <w:rPr>
          <w:rFonts w:eastAsia="Arial"/>
        </w:rPr>
        <w:t>elevant public sector bodies responsible for authorisation or oversight of matters in the proposed DMRP (e.g. catchment management authorities, the Environment Protection Authority etc).</w:t>
      </w:r>
    </w:p>
    <w:p w14:paraId="577B0350" w14:textId="77777777" w:rsidR="00CE361C" w:rsidRDefault="00CE361C" w:rsidP="00117904">
      <w:pPr>
        <w:pStyle w:val="Heading8"/>
      </w:pPr>
      <w:r>
        <w:lastRenderedPageBreak/>
        <w:t>Public consultation on the plan prior to approval</w:t>
      </w:r>
    </w:p>
    <w:p w14:paraId="253AF519" w14:textId="07B4E031" w:rsidR="00CE361C" w:rsidRPr="00117904" w:rsidRDefault="00CE361C" w:rsidP="007676E2">
      <w:r>
        <w:t xml:space="preserve">Once a DMRP is prepared but before submitting it for approval the licensee should consult with the community about the proposal. The regulations will require the declared mine licensee to seek submissions through a notice seeking community submissions on the proposed DMRP. The submission process should be open for </w:t>
      </w:r>
      <w:r w:rsidR="0028297D">
        <w:t xml:space="preserve">at least </w:t>
      </w:r>
      <w:r>
        <w:t xml:space="preserve">28 days from the date of publication. The notice should contain sufficient information to enable a member of the public to identify the licensee, the area subject to the licence and the key elements of the proposed DMRP. </w:t>
      </w:r>
    </w:p>
    <w:p w14:paraId="61D97C2C" w14:textId="77777777" w:rsidR="00CE361C" w:rsidRDefault="00CE361C" w:rsidP="001B04BC">
      <w:pPr>
        <w:pStyle w:val="Heading8"/>
      </w:pPr>
      <w:r>
        <w:t>Level of detail and timeframe for submission</w:t>
      </w:r>
    </w:p>
    <w:p w14:paraId="6F7D97BF" w14:textId="70430E22" w:rsidR="00CE361C" w:rsidRPr="00103C43" w:rsidRDefault="00515D5A" w:rsidP="007676E2">
      <w:pPr>
        <w:rPr>
          <w:rFonts w:eastAsia="Arial"/>
        </w:rPr>
      </w:pPr>
      <w:r>
        <w:rPr>
          <w:rFonts w:eastAsia="Arial"/>
        </w:rPr>
        <w:t>Existing d</w:t>
      </w:r>
      <w:r w:rsidR="00CE361C" w:rsidRPr="50EBBABE">
        <w:rPr>
          <w:rFonts w:eastAsia="Arial"/>
        </w:rPr>
        <w:t xml:space="preserve">eclared mine licensees would be required to submit a DMRP to ERR within </w:t>
      </w:r>
      <w:r w:rsidR="00727F64">
        <w:rPr>
          <w:rFonts w:eastAsia="Arial"/>
        </w:rPr>
        <w:t>three</w:t>
      </w:r>
      <w:r w:rsidR="00CE361C" w:rsidRPr="50EBBABE">
        <w:rPr>
          <w:rFonts w:eastAsia="Arial"/>
        </w:rPr>
        <w:t xml:space="preserve"> year</w:t>
      </w:r>
      <w:r w:rsidR="00727F64">
        <w:rPr>
          <w:rFonts w:eastAsia="Arial"/>
        </w:rPr>
        <w:t>s</w:t>
      </w:r>
      <w:r w:rsidR="00CE361C" w:rsidRPr="50EBBABE">
        <w:rPr>
          <w:rFonts w:eastAsia="Arial"/>
        </w:rPr>
        <w:t xml:space="preserve"> from </w:t>
      </w:r>
      <w:r w:rsidR="003836BB">
        <w:rPr>
          <w:rFonts w:eastAsia="Arial"/>
        </w:rPr>
        <w:t>September</w:t>
      </w:r>
      <w:r w:rsidR="00727F64">
        <w:rPr>
          <w:rFonts w:eastAsia="Arial"/>
        </w:rPr>
        <w:t xml:space="preserve"> 2022</w:t>
      </w:r>
      <w:r w:rsidR="00CE361C" w:rsidRPr="50EBBABE">
        <w:rPr>
          <w:rFonts w:eastAsia="Arial"/>
        </w:rPr>
        <w:t xml:space="preserve">, with the possibility of an extension of a year. However, under Option 2, the regulations would set out a staged approach to the approval decision, such that the Department Head could seek further information as part of their review of the plan. </w:t>
      </w:r>
    </w:p>
    <w:p w14:paraId="40336C94" w14:textId="77777777" w:rsidR="00CE361C" w:rsidRPr="0033736A" w:rsidRDefault="00CE361C" w:rsidP="007676E2">
      <w:pPr>
        <w:rPr>
          <w:rFonts w:eastAsia="Arial"/>
        </w:rPr>
      </w:pPr>
      <w:r w:rsidRPr="0033736A">
        <w:rPr>
          <w:rFonts w:eastAsia="Arial"/>
        </w:rPr>
        <w:t>Under Option 2, the level, specificity and finality of the information required in a DMRP should reflect the stage of mine operations and activities, with specific and final detail increasing the closer the declared mine gets to closure. Where specific technical information is not available at the time of DMRP lodgement or review, it is expected that any knowledge gaps</w:t>
      </w:r>
      <w:r w:rsidRPr="00103C43">
        <w:rPr>
          <w:rFonts w:eastAsia="Arial"/>
        </w:rPr>
        <w:t xml:space="preserve"> would be identified and included in the DMRP and subsequently defined in later reviews and iterations of the plan.  This is in contrast to Option 1, where all DMRP plan detail must be required upfront. </w:t>
      </w:r>
      <w:r w:rsidRPr="00103C43">
        <w:rPr>
          <w:rFonts w:eastAsia="Arial"/>
        </w:rPr>
        <w:br/>
      </w:r>
      <w:r w:rsidRPr="00103C43">
        <w:rPr>
          <w:rFonts w:eastAsia="Arial"/>
        </w:rPr>
        <w:br/>
        <w:t xml:space="preserve">In contrast to Option 1, the regulations under Option 2 would prescribe a requirement for the declared licensee to submit with the DMRP sufficient evidence in support of the DMRP to enable the Department Head to make a decision considering the prescribed matters. The regulations will require some specific documents and evidence to be included with the DMRP when it’s submitted to the Department Head. In particular, the regulations will require information to be provided on: </w:t>
      </w:r>
    </w:p>
    <w:p w14:paraId="1BFAEEE2" w14:textId="08784ACA" w:rsidR="00CE361C" w:rsidRPr="007676E2" w:rsidRDefault="00CE361C" w:rsidP="003F493D">
      <w:pPr>
        <w:pStyle w:val="dotpoints"/>
      </w:pPr>
      <w:r>
        <w:t xml:space="preserve">The licensee’s assessment </w:t>
      </w:r>
      <w:r w:rsidR="009562B6">
        <w:t>of how</w:t>
      </w:r>
      <w:r>
        <w:t xml:space="preserve"> the proposed DMRP will meet the proposed rehabilitation outcome;</w:t>
      </w:r>
    </w:p>
    <w:p w14:paraId="04AB02A3" w14:textId="77777777" w:rsidR="00CE361C" w:rsidRPr="007676E2" w:rsidRDefault="00CE361C" w:rsidP="007676E2">
      <w:pPr>
        <w:pStyle w:val="dotpoints"/>
      </w:pPr>
      <w:r w:rsidRPr="007676E2">
        <w:t>The consultation undertaken by the licensee on the proposed DMRP, see 6.3 above including information on:</w:t>
      </w:r>
    </w:p>
    <w:p w14:paraId="2F90D2F9" w14:textId="77777777" w:rsidR="00CE361C" w:rsidRPr="007676E2" w:rsidRDefault="00CE361C" w:rsidP="007676E2">
      <w:pPr>
        <w:pStyle w:val="dotpoints2"/>
      </w:pPr>
      <w:r w:rsidRPr="007676E2">
        <w:t>the matters raised in consultation; and</w:t>
      </w:r>
    </w:p>
    <w:p w14:paraId="61FA774B" w14:textId="77777777" w:rsidR="00CE361C" w:rsidRPr="007676E2" w:rsidRDefault="00CE361C" w:rsidP="007676E2">
      <w:pPr>
        <w:pStyle w:val="dotpoints2"/>
      </w:pPr>
      <w:r w:rsidRPr="007676E2">
        <w:t>the declared mine licensee’s response to those matters.</w:t>
      </w:r>
    </w:p>
    <w:p w14:paraId="60BF541B" w14:textId="1770B1E0" w:rsidR="00CE361C" w:rsidRDefault="00CE361C" w:rsidP="004E173E">
      <w:pPr>
        <w:pStyle w:val="Heading8"/>
      </w:pPr>
      <w:r>
        <w:t>Approval decisions</w:t>
      </w:r>
    </w:p>
    <w:p w14:paraId="270A842D" w14:textId="77777777" w:rsidR="00CE361C" w:rsidRPr="0033736A" w:rsidRDefault="00CE361C" w:rsidP="007676E2">
      <w:pPr>
        <w:rPr>
          <w:rFonts w:eastAsia="Arial"/>
        </w:rPr>
      </w:pPr>
      <w:r w:rsidRPr="50EBBABE">
        <w:rPr>
          <w:rFonts w:eastAsia="Arial"/>
        </w:rPr>
        <w:t>In contrast to Option 1, the regulations under Option 2 would enable the Department Head to request further information from the declared mine licensee prior to making approval decisions; require the Department Head to consult with an extended list of referrals; and prescribe a list of matters for the Department Head to take into account in their DMRP approval decisions.</w:t>
      </w:r>
    </w:p>
    <w:p w14:paraId="597D6932" w14:textId="09D9D385" w:rsidR="00CE361C" w:rsidRPr="00103C43" w:rsidRDefault="00CE361C" w:rsidP="007676E2">
      <w:pPr>
        <w:rPr>
          <w:rFonts w:eastAsia="Arial"/>
        </w:rPr>
      </w:pPr>
      <w:r w:rsidRPr="50EBBABE">
        <w:rPr>
          <w:rFonts w:eastAsia="Arial"/>
        </w:rPr>
        <w:t xml:space="preserve">Under Option 2, within 28 days of receiving a DMRP for approval, the Department Head must </w:t>
      </w:r>
      <w:r w:rsidR="00A0307F">
        <w:rPr>
          <w:rFonts w:eastAsia="Arial"/>
        </w:rPr>
        <w:t>consult with</w:t>
      </w:r>
      <w:r w:rsidRPr="50EBBABE">
        <w:rPr>
          <w:rFonts w:eastAsia="Arial"/>
        </w:rPr>
        <w:t xml:space="preserve">: </w:t>
      </w:r>
    </w:p>
    <w:p w14:paraId="3B397B81" w14:textId="77777777" w:rsidR="00CE361C" w:rsidRPr="007676E2" w:rsidRDefault="00CE361C" w:rsidP="007676E2">
      <w:pPr>
        <w:pStyle w:val="dotpoints"/>
        <w:rPr>
          <w:rFonts w:eastAsiaTheme="minorEastAsia"/>
        </w:rPr>
      </w:pPr>
      <w:r w:rsidRPr="007676E2">
        <w:rPr>
          <w:rFonts w:eastAsia="Arial"/>
        </w:rPr>
        <w:t xml:space="preserve">The Minister responsible for the </w:t>
      </w:r>
      <w:r w:rsidRPr="006951E6">
        <w:rPr>
          <w:rFonts w:eastAsia="Arial"/>
          <w:i/>
          <w:iCs/>
        </w:rPr>
        <w:t>Environment Effects Act 1978</w:t>
      </w:r>
      <w:r w:rsidRPr="007676E2">
        <w:rPr>
          <w:rFonts w:eastAsia="Arial"/>
        </w:rPr>
        <w:t xml:space="preserve">, if the DMRP is subject to an EES; </w:t>
      </w:r>
    </w:p>
    <w:p w14:paraId="2743E3A0" w14:textId="77777777" w:rsidR="00CE361C" w:rsidRPr="007676E2" w:rsidRDefault="00CE361C" w:rsidP="007676E2">
      <w:pPr>
        <w:pStyle w:val="dotpoints"/>
        <w:rPr>
          <w:rFonts w:eastAsiaTheme="minorEastAsia"/>
        </w:rPr>
      </w:pPr>
      <w:r w:rsidRPr="007676E2">
        <w:rPr>
          <w:rFonts w:eastAsia="Arial"/>
        </w:rPr>
        <w:t xml:space="preserve">The Environment Protection Authority; </w:t>
      </w:r>
    </w:p>
    <w:p w14:paraId="728029D8" w14:textId="57A31098" w:rsidR="00CE361C" w:rsidRPr="007676E2" w:rsidRDefault="005F54EC" w:rsidP="007676E2">
      <w:pPr>
        <w:pStyle w:val="dotpoints"/>
        <w:rPr>
          <w:rFonts w:eastAsiaTheme="minorEastAsia"/>
        </w:rPr>
      </w:pPr>
      <w:r>
        <w:rPr>
          <w:rFonts w:eastAsia="Arial"/>
        </w:rPr>
        <w:t>The r</w:t>
      </w:r>
      <w:r w:rsidR="00CE361C" w:rsidRPr="007676E2">
        <w:rPr>
          <w:rFonts w:eastAsia="Arial"/>
        </w:rPr>
        <w:t>esponsible authorit</w:t>
      </w:r>
      <w:r>
        <w:rPr>
          <w:rFonts w:eastAsia="Arial"/>
        </w:rPr>
        <w:t>y</w:t>
      </w:r>
      <w:r w:rsidR="00CE361C" w:rsidRPr="007676E2">
        <w:rPr>
          <w:rFonts w:eastAsia="Arial"/>
        </w:rPr>
        <w:t xml:space="preserve"> for the declared mine land</w:t>
      </w:r>
      <w:r w:rsidR="00802616">
        <w:rPr>
          <w:rFonts w:eastAsia="Arial"/>
        </w:rPr>
        <w:t xml:space="preserve"> covered by</w:t>
      </w:r>
      <w:r w:rsidR="00CE361C" w:rsidRPr="007676E2">
        <w:rPr>
          <w:rFonts w:eastAsia="Arial"/>
        </w:rPr>
        <w:t xml:space="preserve"> the DMRP; and </w:t>
      </w:r>
    </w:p>
    <w:p w14:paraId="39D23091" w14:textId="5ADAC078" w:rsidR="00CE361C" w:rsidRPr="007676E2" w:rsidRDefault="00CE361C" w:rsidP="007676E2">
      <w:pPr>
        <w:pStyle w:val="dotpoints"/>
        <w:rPr>
          <w:rFonts w:eastAsiaTheme="minorEastAsia"/>
        </w:rPr>
      </w:pPr>
      <w:r w:rsidRPr="007676E2">
        <w:rPr>
          <w:rFonts w:eastAsia="Arial"/>
        </w:rPr>
        <w:t xml:space="preserve">Any </w:t>
      </w:r>
      <w:r w:rsidR="002B6C3D">
        <w:rPr>
          <w:rFonts w:eastAsia="Arial"/>
        </w:rPr>
        <w:t xml:space="preserve">public sector body, or </w:t>
      </w:r>
      <w:r w:rsidRPr="007676E2">
        <w:rPr>
          <w:rFonts w:eastAsia="Arial"/>
        </w:rPr>
        <w:t xml:space="preserve">referral authority </w:t>
      </w:r>
      <w:r w:rsidR="00600BDC">
        <w:rPr>
          <w:rFonts w:eastAsia="Arial"/>
        </w:rPr>
        <w:t xml:space="preserve">within the meaning of s 77TA of the </w:t>
      </w:r>
      <w:r w:rsidR="00743D52">
        <w:rPr>
          <w:rFonts w:eastAsia="Arial"/>
        </w:rPr>
        <w:t>MRSD Act</w:t>
      </w:r>
      <w:r w:rsidR="002B6C3D">
        <w:rPr>
          <w:rFonts w:eastAsia="Arial"/>
        </w:rPr>
        <w:t>,</w:t>
      </w:r>
      <w:r w:rsidR="00743D52">
        <w:rPr>
          <w:rFonts w:eastAsia="Arial"/>
        </w:rPr>
        <w:t xml:space="preserve"> that performs functions</w:t>
      </w:r>
      <w:r w:rsidR="00E9136C">
        <w:rPr>
          <w:rFonts w:eastAsia="Arial"/>
        </w:rPr>
        <w:t xml:space="preserve"> relevant to </w:t>
      </w:r>
      <w:r w:rsidRPr="007676E2">
        <w:rPr>
          <w:rFonts w:eastAsia="Arial"/>
        </w:rPr>
        <w:t xml:space="preserve">the DMRP. </w:t>
      </w:r>
    </w:p>
    <w:p w14:paraId="4F9DF022" w14:textId="15169E34" w:rsidR="00CE361C" w:rsidRPr="0033736A" w:rsidRDefault="00CE361C" w:rsidP="007676E2">
      <w:pPr>
        <w:rPr>
          <w:rFonts w:eastAsia="Arial"/>
        </w:rPr>
      </w:pPr>
      <w:r w:rsidRPr="50EBBABE">
        <w:rPr>
          <w:rFonts w:eastAsia="Arial"/>
        </w:rPr>
        <w:t>Consultees will be required to provide comments in response to the DMRP no later than 90 days after receiving the DMRP.</w:t>
      </w:r>
      <w:r w:rsidRPr="50EBBABE">
        <w:rPr>
          <w:rFonts w:eastAsia="Arial"/>
          <w:lang w:val="en-US"/>
        </w:rPr>
        <w:t xml:space="preserve"> </w:t>
      </w:r>
      <w:r w:rsidRPr="50EBBABE">
        <w:rPr>
          <w:rFonts w:eastAsia="Arial"/>
        </w:rPr>
        <w:t xml:space="preserve">Any advice provided from the parties consulted is intended to be recommendatory and not binding on the Department Head. </w:t>
      </w:r>
    </w:p>
    <w:p w14:paraId="791230CC" w14:textId="1FBFE5DE" w:rsidR="00CE361C" w:rsidRPr="0033736A" w:rsidRDefault="00CE361C" w:rsidP="007676E2">
      <w:pPr>
        <w:rPr>
          <w:rFonts w:eastAsia="Arial"/>
          <w:lang w:val="en-US"/>
        </w:rPr>
      </w:pPr>
      <w:r w:rsidRPr="50EBBABE">
        <w:rPr>
          <w:rFonts w:eastAsia="Arial"/>
        </w:rPr>
        <w:t>Within 90 days of receiving a DMRP plan for approval, the Department Head would also be able to request further information from the declared mine licensee in relation to the prescribed matters to be considered, or to assist in the assessment of the DMRP.</w:t>
      </w:r>
      <w:r w:rsidRPr="50EBBABE">
        <w:rPr>
          <w:rFonts w:eastAsia="Arial"/>
          <w:lang w:val="en-US"/>
        </w:rPr>
        <w:t xml:space="preserve"> T</w:t>
      </w:r>
      <w:r w:rsidRPr="50EBBABE">
        <w:rPr>
          <w:rFonts w:eastAsia="Arial"/>
        </w:rPr>
        <w:t xml:space="preserve">he Department Head </w:t>
      </w:r>
      <w:r w:rsidR="006E5207">
        <w:rPr>
          <w:rFonts w:eastAsia="Arial"/>
        </w:rPr>
        <w:t>may</w:t>
      </w:r>
      <w:r w:rsidRPr="50EBBABE">
        <w:rPr>
          <w:rFonts w:eastAsia="Arial"/>
        </w:rPr>
        <w:t xml:space="preserve"> consult with the declared mine licensee prior to making the formal request which should set a timeframe for the provision of the information.  The Department Head would also have a discretion to grant further time to provide information in writing.</w:t>
      </w:r>
      <w:r w:rsidRPr="50EBBABE">
        <w:rPr>
          <w:rFonts w:eastAsia="Arial"/>
          <w:lang w:val="en-US"/>
        </w:rPr>
        <w:t xml:space="preserve"> </w:t>
      </w:r>
    </w:p>
    <w:p w14:paraId="49E70A41" w14:textId="36ED91D1" w:rsidR="00CE361C" w:rsidRPr="0033736A" w:rsidRDefault="00CE361C" w:rsidP="007676E2">
      <w:pPr>
        <w:rPr>
          <w:rFonts w:eastAsia="Arial"/>
          <w:lang w:val="en-US"/>
        </w:rPr>
      </w:pPr>
      <w:r w:rsidRPr="50EBBABE">
        <w:rPr>
          <w:rFonts w:eastAsia="Arial"/>
        </w:rPr>
        <w:t xml:space="preserve">In making an approval decision, the Department Head would be required to consider the following prescribed matters: </w:t>
      </w:r>
      <w:r w:rsidRPr="50EBBABE">
        <w:rPr>
          <w:rFonts w:eastAsia="Arial"/>
          <w:lang w:val="en-US"/>
        </w:rPr>
        <w:t xml:space="preserve"> </w:t>
      </w:r>
    </w:p>
    <w:p w14:paraId="3F813B1A" w14:textId="7B35E17E" w:rsidR="00CE361C" w:rsidRPr="007676E2" w:rsidRDefault="0AD2ADFD" w:rsidP="5CF0E88B">
      <w:pPr>
        <w:pStyle w:val="dotpoints"/>
        <w:rPr>
          <w:rFonts w:eastAsiaTheme="minorEastAsia"/>
        </w:rPr>
      </w:pPr>
      <w:r w:rsidRPr="5CF0E88B">
        <w:rPr>
          <w:rFonts w:eastAsia="Arial"/>
        </w:rPr>
        <w:lastRenderedPageBreak/>
        <w:t>The nature or the landform</w:t>
      </w:r>
      <w:r w:rsidR="087B3593" w:rsidRPr="5CF0E88B">
        <w:rPr>
          <w:rFonts w:eastAsia="Arial"/>
        </w:rPr>
        <w:t xml:space="preserve"> to be achieved on the declared mine land (by reference to a list of prescribed matters</w:t>
      </w:r>
      <w:r w:rsidR="144EFB8D" w:rsidRPr="5CF0E88B">
        <w:rPr>
          <w:rFonts w:eastAsia="Arial"/>
        </w:rPr>
        <w:t xml:space="preserve">, including the physical safety of humans and animals, </w:t>
      </w:r>
      <w:r w:rsidR="3481FE10" w:rsidRPr="5CF0E88B">
        <w:rPr>
          <w:rFonts w:eastAsia="Arial"/>
        </w:rPr>
        <w:t xml:space="preserve">the geotechnical and hydrogeological stability, </w:t>
      </w:r>
      <w:r w:rsidR="3601D882" w:rsidRPr="5CF0E88B">
        <w:rPr>
          <w:rFonts w:eastAsia="Arial"/>
        </w:rPr>
        <w:t>and resilience to climate change</w:t>
      </w:r>
      <w:r w:rsidR="087B3593" w:rsidRPr="5CF0E88B">
        <w:rPr>
          <w:rFonts w:eastAsia="Arial"/>
        </w:rPr>
        <w:t>).</w:t>
      </w:r>
      <w:r w:rsidR="7099A12F" w:rsidRPr="5CF0E88B">
        <w:rPr>
          <w:rFonts w:eastAsia="Arial"/>
        </w:rPr>
        <w:t xml:space="preserve"> </w:t>
      </w:r>
    </w:p>
    <w:p w14:paraId="5BC525F7" w14:textId="5D188BDE" w:rsidR="00CE361C" w:rsidRPr="007676E2" w:rsidRDefault="7099A12F" w:rsidP="5CF0E88B">
      <w:pPr>
        <w:pStyle w:val="dotpoints"/>
        <w:rPr>
          <w:rFonts w:eastAsiaTheme="minorEastAsia"/>
        </w:rPr>
      </w:pPr>
      <w:r w:rsidRPr="5CF0E88B">
        <w:rPr>
          <w:rFonts w:eastAsia="Arial"/>
        </w:rPr>
        <w:t>The evidence provided by the licensee on the consultation undertaken on the proposed DMRP application.</w:t>
      </w:r>
    </w:p>
    <w:p w14:paraId="354E668C" w14:textId="179CF37E" w:rsidR="00CE361C" w:rsidRPr="007676E2" w:rsidRDefault="7099A12F" w:rsidP="5CF0E88B">
      <w:pPr>
        <w:pStyle w:val="dotpoints"/>
        <w:rPr>
          <w:rFonts w:eastAsiaTheme="minorEastAsia"/>
        </w:rPr>
      </w:pPr>
      <w:r w:rsidRPr="5CF0E88B">
        <w:rPr>
          <w:rFonts w:eastAsia="Arial"/>
        </w:rPr>
        <w:t>Any additional information requested by the Department Head and provided by the licensee.</w:t>
      </w:r>
    </w:p>
    <w:p w14:paraId="1BC0DF54" w14:textId="77777777" w:rsidR="00CE361C" w:rsidRPr="007676E2" w:rsidRDefault="00CE361C" w:rsidP="007676E2">
      <w:pPr>
        <w:pStyle w:val="dotpoints"/>
        <w:rPr>
          <w:rFonts w:eastAsiaTheme="minorEastAsia"/>
        </w:rPr>
      </w:pPr>
      <w:r w:rsidRPr="007676E2">
        <w:rPr>
          <w:rFonts w:eastAsia="Arial"/>
        </w:rPr>
        <w:t xml:space="preserve">The comments provided by those persons the Department Head consulted with on the DMRP. </w:t>
      </w:r>
    </w:p>
    <w:p w14:paraId="59EEB118" w14:textId="63F502F3" w:rsidR="007676E2" w:rsidRPr="000315CB" w:rsidRDefault="00CE361C" w:rsidP="006951E6">
      <w:pPr>
        <w:rPr>
          <w:rFonts w:eastAsiaTheme="minorEastAsia"/>
        </w:rPr>
      </w:pPr>
      <w:r w:rsidRPr="50EBBABE">
        <w:rPr>
          <w:rFonts w:eastAsia="Arial"/>
        </w:rPr>
        <w:t xml:space="preserve">The Department Head </w:t>
      </w:r>
      <w:r w:rsidR="0069278B">
        <w:rPr>
          <w:rFonts w:eastAsia="Arial"/>
        </w:rPr>
        <w:t>may</w:t>
      </w:r>
      <w:r w:rsidRPr="50EBBABE">
        <w:rPr>
          <w:rFonts w:eastAsia="Arial"/>
        </w:rPr>
        <w:t xml:space="preserve"> approve the DMRP, require changes to the DMRP, or refuse to approve the work plan under s 84AZV(3) of the MRSD Act.</w:t>
      </w:r>
    </w:p>
    <w:p w14:paraId="79769D8C" w14:textId="39A52231" w:rsidR="00CE361C" w:rsidRPr="000315CB" w:rsidRDefault="00CE361C" w:rsidP="000315CB">
      <w:pPr>
        <w:pStyle w:val="Heading6"/>
        <w:rPr>
          <w:b w:val="0"/>
          <w:bCs w:val="0"/>
          <w:i w:val="0"/>
          <w:iCs w:val="0"/>
          <w:color w:val="auto"/>
        </w:rPr>
      </w:pPr>
      <w:r w:rsidRPr="000315CB">
        <w:rPr>
          <w:color w:val="auto"/>
        </w:rPr>
        <w:t xml:space="preserve">Rehabilitation reporting </w:t>
      </w:r>
    </w:p>
    <w:p w14:paraId="0469B840" w14:textId="1028537E" w:rsidR="00CE361C" w:rsidRPr="0033736A" w:rsidRDefault="00CE361C" w:rsidP="0023541E">
      <w:r>
        <w:t xml:space="preserve">In addition to the annual reporting obligations set out in the Act, under Option 2, declared mine licensees’ annual reports would be required to include, for the reporting period: </w:t>
      </w:r>
    </w:p>
    <w:p w14:paraId="0B877D39" w14:textId="602B750C" w:rsidR="00CE361C" w:rsidRPr="00FE20A5" w:rsidRDefault="7099A12F" w:rsidP="001B032C">
      <w:pPr>
        <w:pStyle w:val="dotpoints"/>
      </w:pPr>
      <w:r>
        <w:t xml:space="preserve">Progress on plan components which require the additional submission of </w:t>
      </w:r>
      <w:r w:rsidR="00AA4E39">
        <w:t>detail. This</w:t>
      </w:r>
      <w:r>
        <w:t xml:space="preserve"> detail may be required, for example, because it was not reasonably practicable to provide the relevant detail at an earlier stage;</w:t>
      </w:r>
    </w:p>
    <w:p w14:paraId="67DBA41C" w14:textId="70E11780" w:rsidR="00CE361C" w:rsidRPr="0033736A" w:rsidRDefault="00E5752A" w:rsidP="0023541E">
      <w:pPr>
        <w:pStyle w:val="dotpoints"/>
      </w:pPr>
      <w:r>
        <w:t>R</w:t>
      </w:r>
      <w:r w:rsidR="00CE361C" w:rsidRPr="0033736A">
        <w:t>easons for non-compliance with rehabilitation</w:t>
      </w:r>
      <w:r w:rsidR="003C4959">
        <w:t xml:space="preserve"> and closure</w:t>
      </w:r>
      <w:r w:rsidR="00CE361C" w:rsidRPr="0033736A">
        <w:t xml:space="preserve"> milestones, and remedial action that will be undertaken in response to non-compliance with rehabilitation milestones.</w:t>
      </w:r>
    </w:p>
    <w:p w14:paraId="7033AD0C" w14:textId="188BC4E5" w:rsidR="00CE361C" w:rsidRPr="0033736A" w:rsidRDefault="7099A12F" w:rsidP="0023541E">
      <w:pPr>
        <w:pStyle w:val="dotpoints"/>
      </w:pPr>
      <w:r>
        <w:t>A review of rehabilitation and post-closure management risks.</w:t>
      </w:r>
    </w:p>
    <w:p w14:paraId="70985F34" w14:textId="450D45B4" w:rsidR="00CE361C" w:rsidRPr="0033736A" w:rsidRDefault="494D64B5" w:rsidP="5CF0E88B">
      <w:pPr>
        <w:pStyle w:val="dotpoints"/>
        <w:rPr>
          <w:rFonts w:cstheme="minorBidi"/>
        </w:rPr>
      </w:pPr>
      <w:r w:rsidRPr="5CF0E88B">
        <w:rPr>
          <w:rFonts w:cstheme="minorBidi"/>
        </w:rPr>
        <w:t>Technical</w:t>
      </w:r>
      <w:r w:rsidR="7099A12F" w:rsidRPr="5CF0E88B">
        <w:rPr>
          <w:rFonts w:cstheme="minorBidi"/>
        </w:rPr>
        <w:t xml:space="preserve"> and</w:t>
      </w:r>
      <w:r w:rsidRPr="5CF0E88B">
        <w:rPr>
          <w:rFonts w:cstheme="minorBidi"/>
        </w:rPr>
        <w:t xml:space="preserve"> economic</w:t>
      </w:r>
      <w:r w:rsidR="7099A12F" w:rsidRPr="5CF0E88B">
        <w:rPr>
          <w:rFonts w:cstheme="minorBidi"/>
        </w:rPr>
        <w:t xml:space="preserve"> studies undertaken.</w:t>
      </w:r>
    </w:p>
    <w:p w14:paraId="208936F1" w14:textId="2937F34B" w:rsidR="00CE361C" w:rsidRPr="0033736A" w:rsidRDefault="7099A12F" w:rsidP="0023541E">
      <w:pPr>
        <w:pStyle w:val="dotpoints"/>
      </w:pPr>
      <w:r>
        <w:t>Status summaries in relation to related regulatory processes that are necessary to be undertaken for the purposes of mine rehabilitation under the licence (e</w:t>
      </w:r>
      <w:r w:rsidR="07244DA8">
        <w:t>.</w:t>
      </w:r>
      <w:r>
        <w:t>g. environmental audits, land contamination assessments etc).</w:t>
      </w:r>
    </w:p>
    <w:p w14:paraId="4B0D8880" w14:textId="43549896" w:rsidR="00CE361C" w:rsidRPr="0033736A" w:rsidRDefault="7099A12F" w:rsidP="5CF0E88B">
      <w:pPr>
        <w:pStyle w:val="dotpoints"/>
        <w:rPr>
          <w:rFonts w:cstheme="minorBidi"/>
        </w:rPr>
      </w:pPr>
      <w:r w:rsidRPr="5CF0E88B">
        <w:rPr>
          <w:rFonts w:cstheme="minorBidi"/>
        </w:rPr>
        <w:t>A summary of rehabilitation-focussed community engagement programs, including feedback and outcomes.</w:t>
      </w:r>
    </w:p>
    <w:p w14:paraId="613A853E" w14:textId="622C37F8" w:rsidR="00CE361C" w:rsidRPr="0033736A" w:rsidRDefault="7099A12F" w:rsidP="0023541E">
      <w:pPr>
        <w:pStyle w:val="dotpoints"/>
      </w:pPr>
      <w:r>
        <w:t>‘Reportable events’ that have occurred. This reporting obligation would be in addition to the existing reporting obligation under s</w:t>
      </w:r>
      <w:r w:rsidR="76343E95">
        <w:t xml:space="preserve"> </w:t>
      </w:r>
      <w:r>
        <w:t xml:space="preserve">41AC of the MRSD Act and Regulation 51 of the Mineral Industries Regulations, which forms part of the base case reporting requirements. </w:t>
      </w:r>
    </w:p>
    <w:p w14:paraId="1D168733" w14:textId="77777777" w:rsidR="00CE361C" w:rsidRPr="0033736A" w:rsidRDefault="00CE361C" w:rsidP="0023541E">
      <w:pPr>
        <w:pStyle w:val="dotpoints"/>
        <w:rPr>
          <w:rFonts w:eastAsiaTheme="minorEastAsia"/>
        </w:rPr>
      </w:pPr>
      <w:r w:rsidRPr="0033736A">
        <w:t xml:space="preserve">Reporting of potential problems with the DMRP and/or progressive rehabilitation. </w:t>
      </w:r>
    </w:p>
    <w:p w14:paraId="044D63AE" w14:textId="77777777" w:rsidR="00CE361C" w:rsidRPr="0033736A" w:rsidRDefault="00CE361C" w:rsidP="003F70FF">
      <w:pPr>
        <w:pStyle w:val="Heading6"/>
        <w:rPr>
          <w:color w:val="auto"/>
        </w:rPr>
      </w:pPr>
      <w:r w:rsidRPr="0033736A">
        <w:rPr>
          <w:color w:val="auto"/>
        </w:rPr>
        <w:t>Review and updating rehabilitation plans</w:t>
      </w:r>
    </w:p>
    <w:p w14:paraId="27F5CDDF" w14:textId="2D05012B" w:rsidR="00CE361C" w:rsidRPr="0033736A" w:rsidRDefault="00CE361C" w:rsidP="0023541E">
      <w:pPr>
        <w:rPr>
          <w:rFonts w:eastAsia="Arial"/>
        </w:rPr>
      </w:pPr>
      <w:r w:rsidRPr="50EBBABE">
        <w:rPr>
          <w:rFonts w:eastAsia="Arial"/>
        </w:rPr>
        <w:t xml:space="preserve">Under Option 2, the regulations would prescribe the </w:t>
      </w:r>
      <w:r w:rsidR="006F5CE4">
        <w:rPr>
          <w:rFonts w:eastAsia="Arial"/>
        </w:rPr>
        <w:t xml:space="preserve">annual review of </w:t>
      </w:r>
      <w:r w:rsidR="00C16973">
        <w:rPr>
          <w:rFonts w:eastAsia="Arial"/>
        </w:rPr>
        <w:t xml:space="preserve">rehabilitation and post-closure management risks identified in the </w:t>
      </w:r>
      <w:r w:rsidRPr="50EBBABE">
        <w:rPr>
          <w:rFonts w:eastAsia="Arial"/>
        </w:rPr>
        <w:t xml:space="preserve">DMRP. </w:t>
      </w:r>
    </w:p>
    <w:p w14:paraId="62E68FAA" w14:textId="77EB2DCF" w:rsidR="00CE361C" w:rsidRPr="0033736A" w:rsidRDefault="00CE361C" w:rsidP="00D77130">
      <w:pPr>
        <w:rPr>
          <w:rFonts w:eastAsia="Arial" w:cs="Arial"/>
          <w:color w:val="auto"/>
          <w:szCs w:val="18"/>
          <w:u w:val="single"/>
        </w:rPr>
      </w:pPr>
      <w:r w:rsidRPr="0033736A">
        <w:rPr>
          <w:rFonts w:eastAsia="Arial"/>
        </w:rPr>
        <w:t xml:space="preserve">When submitting a variation application, declared mine licensees will be required to submit with the variation application, sufficient evidence to enable the Department Head to make a decision considering the prescribed matters, </w:t>
      </w:r>
      <w:r w:rsidR="005D4DDB" w:rsidRPr="0033736A">
        <w:rPr>
          <w:rFonts w:eastAsia="Arial"/>
        </w:rPr>
        <w:t>in</w:t>
      </w:r>
      <w:r w:rsidRPr="0033736A">
        <w:rPr>
          <w:rFonts w:eastAsia="Arial"/>
        </w:rPr>
        <w:t xml:space="preserve"> particular, the declared mine licensee will be required to be provided information on </w:t>
      </w:r>
      <w:r w:rsidR="00A73EA3">
        <w:rPr>
          <w:rFonts w:eastAsia="Arial"/>
        </w:rPr>
        <w:t>t</w:t>
      </w:r>
      <w:r w:rsidRPr="50EBBABE">
        <w:rPr>
          <w:rFonts w:eastAsia="Arial"/>
        </w:rPr>
        <w:t xml:space="preserve">he licensee’s assessment </w:t>
      </w:r>
      <w:r w:rsidR="005175DE">
        <w:rPr>
          <w:rFonts w:eastAsia="Arial"/>
        </w:rPr>
        <w:t>of how</w:t>
      </w:r>
      <w:r w:rsidRPr="50EBBABE">
        <w:rPr>
          <w:rFonts w:eastAsia="Arial"/>
        </w:rPr>
        <w:t xml:space="preserve"> the </w:t>
      </w:r>
      <w:r w:rsidR="00BE598F">
        <w:rPr>
          <w:rFonts w:eastAsia="Arial"/>
        </w:rPr>
        <w:t>DMRP will meet the proposed rehabilitation outcome</w:t>
      </w:r>
      <w:r w:rsidRPr="0023541E">
        <w:rPr>
          <w:rFonts w:eastAsia="Arial"/>
        </w:rPr>
        <w:t>.</w:t>
      </w:r>
    </w:p>
    <w:p w14:paraId="4FB58442" w14:textId="0552848A" w:rsidR="00CE361C" w:rsidRPr="0023541E" w:rsidRDefault="00CE361C" w:rsidP="006951E6">
      <w:r w:rsidRPr="50EBBABE">
        <w:rPr>
          <w:rFonts w:eastAsia="Arial"/>
        </w:rPr>
        <w:t>In relation to variation approvals, the consultation requirements</w:t>
      </w:r>
      <w:r w:rsidR="00A3393B">
        <w:rPr>
          <w:rFonts w:eastAsia="Arial"/>
        </w:rPr>
        <w:t xml:space="preserve"> imposed on the Department Head</w:t>
      </w:r>
      <w:r w:rsidRPr="50EBBABE">
        <w:rPr>
          <w:rFonts w:eastAsia="Arial"/>
        </w:rPr>
        <w:t xml:space="preserve"> (extended list of referrals, timing for provision of comments from consultee, and requirements to consider consultees’ comments) are the same as with respect to DMRP approvals. The Department Head would also have a right to </w:t>
      </w:r>
      <w:r w:rsidR="0050376E">
        <w:rPr>
          <w:rFonts w:eastAsia="Arial"/>
        </w:rPr>
        <w:t>require</w:t>
      </w:r>
      <w:r w:rsidRPr="50EBBABE">
        <w:rPr>
          <w:rFonts w:eastAsia="Arial"/>
        </w:rPr>
        <w:t xml:space="preserve"> additional information in relation to prescribed matters or to assist with a variation request within 90 days of receiving a variation request. The Department Head </w:t>
      </w:r>
      <w:r w:rsidR="0087455E">
        <w:rPr>
          <w:rFonts w:eastAsia="Arial"/>
        </w:rPr>
        <w:t>may</w:t>
      </w:r>
      <w:r w:rsidRPr="50EBBABE">
        <w:rPr>
          <w:rFonts w:eastAsia="Arial"/>
        </w:rPr>
        <w:t xml:space="preserve"> approve the variation application, require changes to the variation or refuse to approve the variation application</w:t>
      </w:r>
      <w:r w:rsidR="00F71856">
        <w:rPr>
          <w:rFonts w:eastAsia="Arial"/>
        </w:rPr>
        <w:t xml:space="preserve"> under s 84AZW(3) of the MRSD Act</w:t>
      </w:r>
      <w:r w:rsidRPr="50EBBABE">
        <w:rPr>
          <w:rFonts w:eastAsia="Arial"/>
        </w:rPr>
        <w:t xml:space="preserve">. </w:t>
      </w:r>
    </w:p>
    <w:p w14:paraId="75360FDF" w14:textId="39C7811A" w:rsidR="002E7068" w:rsidRDefault="002E7068" w:rsidP="00D50C43">
      <w:pPr>
        <w:pStyle w:val="Heading3"/>
        <w:numPr>
          <w:ilvl w:val="2"/>
          <w:numId w:val="124"/>
        </w:numPr>
      </w:pPr>
      <w:bookmarkStart w:id="291" w:name="_Toc104217700"/>
      <w:r>
        <w:t xml:space="preserve">Mine closure </w:t>
      </w:r>
      <w:r w:rsidR="001B04BC">
        <w:t>determination</w:t>
      </w:r>
      <w:r>
        <w:t xml:space="preserve"> – Option 2</w:t>
      </w:r>
      <w:bookmarkEnd w:id="291"/>
    </w:p>
    <w:p w14:paraId="4D9E1897" w14:textId="01592E76" w:rsidR="002E75B3" w:rsidRPr="0033736A" w:rsidRDefault="002E75B3" w:rsidP="002E75B3">
      <w:pPr>
        <w:rPr>
          <w:rFonts w:eastAsia="Arial" w:cs="Arial"/>
          <w:szCs w:val="18"/>
        </w:rPr>
      </w:pPr>
      <w:r w:rsidRPr="0033736A">
        <w:rPr>
          <w:rFonts w:eastAsia="Arial" w:cs="Arial"/>
          <w:szCs w:val="18"/>
        </w:rPr>
        <w:t>Under Option 2, the regulations would require the declared mine licensee to provide evidence alongside their application for determination to prove that the closure criteria for the mine have been met.</w:t>
      </w:r>
      <w:r w:rsidRPr="0033736A">
        <w:rPr>
          <w:rFonts w:eastAsia="Arial" w:cs="Arial"/>
          <w:szCs w:val="18"/>
          <w:u w:val="single"/>
        </w:rPr>
        <w:t xml:space="preserve">  In particular, the regulations will require declared mine licen</w:t>
      </w:r>
      <w:r w:rsidR="00FF2AC4">
        <w:rPr>
          <w:rFonts w:eastAsia="Arial" w:cs="Arial"/>
          <w:szCs w:val="18"/>
          <w:u w:val="single"/>
        </w:rPr>
        <w:t>s</w:t>
      </w:r>
      <w:r w:rsidRPr="0033736A">
        <w:rPr>
          <w:rFonts w:eastAsia="Arial" w:cs="Arial"/>
          <w:szCs w:val="18"/>
          <w:u w:val="single"/>
        </w:rPr>
        <w:t xml:space="preserve">ees to provide information: </w:t>
      </w:r>
    </w:p>
    <w:p w14:paraId="4A843968" w14:textId="2968E9CD" w:rsidR="002E75B3" w:rsidRPr="002E75B3" w:rsidRDefault="002E75B3" w:rsidP="00B26FB1">
      <w:pPr>
        <w:pStyle w:val="dotpoints"/>
        <w:rPr>
          <w:rFonts w:eastAsiaTheme="minorEastAsia"/>
        </w:rPr>
      </w:pPr>
      <w:r w:rsidRPr="002E75B3">
        <w:rPr>
          <w:rFonts w:eastAsia="Arial"/>
        </w:rPr>
        <w:t>on the licensee’s assessment that the closure criteria have been met, including relevant evidence that criteria have been met</w:t>
      </w:r>
      <w:r w:rsidRPr="50EBBABE">
        <w:rPr>
          <w:rFonts w:eastAsia="Arial"/>
        </w:rPr>
        <w:t>;</w:t>
      </w:r>
    </w:p>
    <w:p w14:paraId="4D9B2B10" w14:textId="3D05EBE0" w:rsidR="002E75B3" w:rsidRPr="002E75B3" w:rsidRDefault="002E75B3" w:rsidP="002E75B3">
      <w:pPr>
        <w:pStyle w:val="dotpoints"/>
        <w:rPr>
          <w:rFonts w:eastAsiaTheme="minorEastAsia"/>
        </w:rPr>
      </w:pPr>
      <w:r w:rsidRPr="002E75B3">
        <w:rPr>
          <w:rFonts w:eastAsia="Arial"/>
        </w:rPr>
        <w:t>on the</w:t>
      </w:r>
      <w:r w:rsidR="00ED0D09">
        <w:rPr>
          <w:rFonts w:eastAsia="Arial"/>
        </w:rPr>
        <w:t xml:space="preserve"> community and</w:t>
      </w:r>
      <w:r w:rsidRPr="002E75B3">
        <w:rPr>
          <w:rFonts w:eastAsia="Arial"/>
        </w:rPr>
        <w:t xml:space="preserve"> stakeholder engagement undertaken by the licensee on the closure determination application;</w:t>
      </w:r>
    </w:p>
    <w:p w14:paraId="47F6434F" w14:textId="55A42627" w:rsidR="002E75B3" w:rsidRPr="002E75B3" w:rsidRDefault="002E75B3" w:rsidP="00ED0D09">
      <w:pPr>
        <w:pStyle w:val="dotpoints"/>
        <w:rPr>
          <w:rFonts w:eastAsiaTheme="minorEastAsia"/>
        </w:rPr>
      </w:pPr>
      <w:r w:rsidRPr="002E75B3">
        <w:rPr>
          <w:rFonts w:eastAsia="Arial"/>
        </w:rPr>
        <w:t>to enable determination of the contribution to the declared mine fund</w:t>
      </w:r>
      <w:r w:rsidR="0060164C">
        <w:rPr>
          <w:rFonts w:eastAsia="Arial"/>
        </w:rPr>
        <w:t>, including</w:t>
      </w:r>
      <w:r w:rsidR="00ED0D09">
        <w:rPr>
          <w:rFonts w:eastAsia="Arial"/>
        </w:rPr>
        <w:t xml:space="preserve"> </w:t>
      </w:r>
      <w:r w:rsidRPr="002E75B3">
        <w:rPr>
          <w:rFonts w:eastAsia="Arial"/>
        </w:rPr>
        <w:t>the information required for registration of the declared mine.</w:t>
      </w:r>
    </w:p>
    <w:p w14:paraId="4D811C25" w14:textId="618FCFFC" w:rsidR="002E75B3" w:rsidRPr="0033736A" w:rsidRDefault="002E75B3" w:rsidP="002E75B3">
      <w:pPr>
        <w:rPr>
          <w:rFonts w:eastAsia="Arial"/>
        </w:rPr>
      </w:pPr>
      <w:r w:rsidRPr="50EBBABE">
        <w:rPr>
          <w:rFonts w:eastAsia="Arial"/>
        </w:rPr>
        <w:lastRenderedPageBreak/>
        <w:t xml:space="preserve">The Minister would be able to provide </w:t>
      </w:r>
      <w:r w:rsidR="00F921C8">
        <w:rPr>
          <w:rFonts w:eastAsia="Arial"/>
        </w:rPr>
        <w:t xml:space="preserve">prescribed people </w:t>
      </w:r>
      <w:r w:rsidRPr="50EBBABE">
        <w:rPr>
          <w:rFonts w:eastAsia="Arial"/>
        </w:rPr>
        <w:t>with the application for closure</w:t>
      </w:r>
      <w:r w:rsidR="002644AB">
        <w:rPr>
          <w:rFonts w:eastAsia="Arial"/>
        </w:rPr>
        <w:t xml:space="preserve"> </w:t>
      </w:r>
      <w:r w:rsidR="00F921C8">
        <w:rPr>
          <w:rFonts w:eastAsia="Arial"/>
        </w:rPr>
        <w:t>and</w:t>
      </w:r>
      <w:r w:rsidRPr="50EBBABE">
        <w:rPr>
          <w:rFonts w:eastAsia="Arial"/>
        </w:rPr>
        <w:t xml:space="preserve"> any of the documents accompanying the application. The Minister would also be able to request </w:t>
      </w:r>
      <w:r w:rsidR="00227CCF">
        <w:rPr>
          <w:rFonts w:eastAsia="Arial"/>
        </w:rPr>
        <w:t>such people</w:t>
      </w:r>
      <w:r w:rsidRPr="50EBBABE">
        <w:rPr>
          <w:rFonts w:eastAsia="Arial"/>
        </w:rPr>
        <w:t xml:space="preserve"> provide information relevant to determining the closure application.  Any advice from those consulted would be recommendatory and not binding on the Minister.</w:t>
      </w:r>
    </w:p>
    <w:p w14:paraId="3A4E1A29" w14:textId="2C61DA03" w:rsidR="002E75B3" w:rsidRPr="002E75B3" w:rsidRDefault="5C5FCAAD">
      <w:pPr>
        <w:rPr>
          <w:rFonts w:eastAsia="Arial"/>
        </w:rPr>
      </w:pPr>
      <w:r w:rsidRPr="5CF0E88B">
        <w:rPr>
          <w:rFonts w:eastAsia="Arial"/>
        </w:rPr>
        <w:t>There will be no specified timeframe for the Minister to make a closure determination following a closure determination application. Given the complexity of the closure determination and the possibility for the final decision to involve negotiations or Cabinet decisions, it would not be possible to estimate the likely time for a decision.</w:t>
      </w:r>
    </w:p>
    <w:p w14:paraId="5145BD45" w14:textId="3D5C91EE" w:rsidR="001B04BC" w:rsidRDefault="001B04BC" w:rsidP="00D50C43">
      <w:pPr>
        <w:pStyle w:val="Heading3"/>
        <w:numPr>
          <w:ilvl w:val="2"/>
          <w:numId w:val="124"/>
        </w:numPr>
      </w:pPr>
      <w:bookmarkStart w:id="292" w:name="_Toc104217701"/>
      <w:r>
        <w:t>Mine land registration</w:t>
      </w:r>
      <w:r w:rsidR="15D60BD5">
        <w:t xml:space="preserve"> and the Fund</w:t>
      </w:r>
      <w:r>
        <w:t xml:space="preserve"> – Option 2</w:t>
      </w:r>
      <w:bookmarkEnd w:id="292"/>
    </w:p>
    <w:p w14:paraId="56FFB66B" w14:textId="518D9A83" w:rsidR="00D561E0" w:rsidRPr="0033736A" w:rsidRDefault="00D561E0" w:rsidP="00163F72">
      <w:r w:rsidRPr="50EBBABE">
        <w:rPr>
          <w:rFonts w:eastAsia="Arial"/>
        </w:rPr>
        <w:t xml:space="preserve">Under Option 2, the following records or information relating to the land would need to be included on the Register for the purposes of </w:t>
      </w:r>
      <w:r w:rsidR="00540830">
        <w:rPr>
          <w:rFonts w:eastAsia="Arial"/>
        </w:rPr>
        <w:t>s 84AZZL(3)(b)(iii)</w:t>
      </w:r>
      <w:r w:rsidR="00DD40B4">
        <w:rPr>
          <w:rFonts w:eastAsia="Arial"/>
        </w:rPr>
        <w:t xml:space="preserve"> of the MRSD Act</w:t>
      </w:r>
      <w:r w:rsidRPr="50EBBABE">
        <w:rPr>
          <w:rFonts w:eastAsia="Arial"/>
        </w:rPr>
        <w:t xml:space="preserve">: </w:t>
      </w:r>
    </w:p>
    <w:p w14:paraId="1DD6FBAF" w14:textId="2C3660C3" w:rsidR="00C67BF7" w:rsidRPr="006951E6" w:rsidRDefault="4359CB84" w:rsidP="5CF0E88B">
      <w:pPr>
        <w:pStyle w:val="dotpoints"/>
        <w:rPr>
          <w:rFonts w:eastAsiaTheme="minorEastAsia"/>
        </w:rPr>
      </w:pPr>
      <w:r w:rsidRPr="5CF0E88B">
        <w:rPr>
          <w:rFonts w:eastAsia="Arial"/>
        </w:rPr>
        <w:t xml:space="preserve">Location of the </w:t>
      </w:r>
      <w:r w:rsidR="25A8B1FB" w:rsidRPr="5CF0E88B">
        <w:rPr>
          <w:rFonts w:eastAsia="Arial"/>
        </w:rPr>
        <w:t>declared mine land</w:t>
      </w:r>
      <w:r w:rsidR="00E75F8B">
        <w:rPr>
          <w:rFonts w:eastAsia="Arial"/>
        </w:rPr>
        <w:t>.</w:t>
      </w:r>
    </w:p>
    <w:p w14:paraId="2B060369" w14:textId="483DD9AF" w:rsidR="00D561E0" w:rsidRPr="00163F72" w:rsidRDefault="25A8B1FB" w:rsidP="5CF0E88B">
      <w:pPr>
        <w:pStyle w:val="dotpoints"/>
        <w:rPr>
          <w:rFonts w:eastAsiaTheme="minorEastAsia"/>
        </w:rPr>
      </w:pPr>
      <w:r w:rsidRPr="5CF0E88B">
        <w:rPr>
          <w:rFonts w:eastAsia="Arial"/>
        </w:rPr>
        <w:t xml:space="preserve">A map of the </w:t>
      </w:r>
      <w:r w:rsidR="0DBF66FF" w:rsidRPr="5CF0E88B">
        <w:rPr>
          <w:rFonts w:eastAsia="Arial"/>
        </w:rPr>
        <w:t>DM land that shows the boundaries of private and Crown land.</w:t>
      </w:r>
    </w:p>
    <w:p w14:paraId="20BD9323" w14:textId="3D2AF155" w:rsidR="00D561E0" w:rsidRPr="006951E6" w:rsidRDefault="4359CB84" w:rsidP="5CF0E88B">
      <w:pPr>
        <w:pStyle w:val="dotpoints"/>
        <w:rPr>
          <w:rFonts w:eastAsiaTheme="minorEastAsia"/>
        </w:rPr>
      </w:pPr>
      <w:r w:rsidRPr="5CF0E88B">
        <w:rPr>
          <w:rFonts w:eastAsia="Arial"/>
        </w:rPr>
        <w:t xml:space="preserve">Identification of the current landowner or land manager of the </w:t>
      </w:r>
      <w:r w:rsidR="15EA2025" w:rsidRPr="5CF0E88B">
        <w:rPr>
          <w:rFonts w:eastAsia="Arial"/>
        </w:rPr>
        <w:t>declared mine land.</w:t>
      </w:r>
    </w:p>
    <w:p w14:paraId="4DB65143" w14:textId="33791136" w:rsidR="009816AE" w:rsidRPr="00163F72" w:rsidRDefault="257A3751" w:rsidP="5CF0E88B">
      <w:pPr>
        <w:pStyle w:val="dotpoints"/>
        <w:rPr>
          <w:rFonts w:eastAsiaTheme="minorEastAsia"/>
        </w:rPr>
      </w:pPr>
      <w:r w:rsidRPr="5CF0E88B">
        <w:rPr>
          <w:rFonts w:eastAsia="Arial"/>
        </w:rPr>
        <w:t xml:space="preserve">A map of the location of the key structural features of the DM land in relation to the boundaries </w:t>
      </w:r>
      <w:r w:rsidR="32979E77" w:rsidRPr="5CF0E88B">
        <w:rPr>
          <w:rFonts w:eastAsia="Arial"/>
        </w:rPr>
        <w:t>of the DM land.</w:t>
      </w:r>
    </w:p>
    <w:p w14:paraId="23C25DD7" w14:textId="7DED7D17" w:rsidR="00D561E0" w:rsidRPr="00163F72" w:rsidRDefault="4359CB84" w:rsidP="5CF0E88B">
      <w:pPr>
        <w:pStyle w:val="dotpoints"/>
        <w:rPr>
          <w:rFonts w:eastAsiaTheme="minorEastAsia"/>
        </w:rPr>
      </w:pPr>
      <w:r w:rsidRPr="5CF0E88B">
        <w:rPr>
          <w:rFonts w:eastAsia="Arial"/>
        </w:rPr>
        <w:t xml:space="preserve">A description of the </w:t>
      </w:r>
      <w:r w:rsidR="3B301EDA" w:rsidRPr="5CF0E88B">
        <w:rPr>
          <w:rFonts w:eastAsia="Arial"/>
        </w:rPr>
        <w:t>mine previously located on the registered declared mine land</w:t>
      </w:r>
      <w:r w:rsidR="170986F6" w:rsidRPr="5CF0E88B">
        <w:rPr>
          <w:rFonts w:eastAsia="Arial"/>
        </w:rPr>
        <w:t xml:space="preserve"> including</w:t>
      </w:r>
      <w:r w:rsidRPr="5CF0E88B">
        <w:rPr>
          <w:rFonts w:eastAsia="Arial"/>
        </w:rPr>
        <w:t xml:space="preserve"> the activities that were conducted on </w:t>
      </w:r>
      <w:r w:rsidR="170986F6" w:rsidRPr="5CF0E88B">
        <w:rPr>
          <w:rFonts w:eastAsia="Arial"/>
        </w:rPr>
        <w:t>that land.</w:t>
      </w:r>
    </w:p>
    <w:p w14:paraId="1AE26692" w14:textId="675977F5" w:rsidR="00D561E0" w:rsidRPr="00163F72" w:rsidRDefault="00D561E0" w:rsidP="50EBBABE">
      <w:pPr>
        <w:pStyle w:val="dotpoints"/>
        <w:rPr>
          <w:rFonts w:eastAsiaTheme="minorEastAsia"/>
        </w:rPr>
      </w:pPr>
      <w:r w:rsidRPr="50EBBABE">
        <w:rPr>
          <w:rFonts w:eastAsia="Arial"/>
        </w:rPr>
        <w:t>In the case of a DM licence cancelled under s 38(1B)(ab) for failure to comply with a DM rehab plan, the instrument of cancellation.</w:t>
      </w:r>
    </w:p>
    <w:p w14:paraId="7A85AE33" w14:textId="77777777" w:rsidR="00D561E0" w:rsidRPr="0033736A" w:rsidRDefault="00D561E0" w:rsidP="00163F72">
      <w:pPr>
        <w:rPr>
          <w:rFonts w:asciiTheme="minorHAnsi" w:eastAsiaTheme="minorEastAsia" w:hAnsiTheme="minorHAnsi" w:cstheme="minorBidi"/>
        </w:rPr>
      </w:pPr>
      <w:r w:rsidRPr="0033736A">
        <w:rPr>
          <w:rFonts w:eastAsia="Arial"/>
        </w:rPr>
        <w:t xml:space="preserve">Under Option 2, the regulations would prescribe the baseline evidence which </w:t>
      </w:r>
      <w:r w:rsidRPr="0033736A">
        <w:rPr>
          <w:rFonts w:eastAsia="Arial"/>
          <w:strike/>
        </w:rPr>
        <w:t xml:space="preserve"> </w:t>
      </w:r>
      <w:r w:rsidRPr="0033736A">
        <w:rPr>
          <w:rFonts w:eastAsia="Arial"/>
        </w:rPr>
        <w:t>the Minister would use to determine the amount to be paid into the Declared Mine Fund. This would be:</w:t>
      </w:r>
    </w:p>
    <w:p w14:paraId="7578DF72" w14:textId="25B2C418" w:rsidR="00D561E0" w:rsidRPr="00163F72" w:rsidRDefault="2A28C4AC" w:rsidP="5CF0E88B">
      <w:pPr>
        <w:pStyle w:val="dotpoints"/>
        <w:rPr>
          <w:rFonts w:eastAsiaTheme="minorEastAsia"/>
        </w:rPr>
      </w:pPr>
      <w:r w:rsidRPr="5CF0E88B">
        <w:rPr>
          <w:rFonts w:eastAsia="Arial"/>
        </w:rPr>
        <w:t xml:space="preserve">an estimate of </w:t>
      </w:r>
      <w:r w:rsidR="42E63E58" w:rsidRPr="5CF0E88B">
        <w:rPr>
          <w:rFonts w:eastAsia="Arial"/>
        </w:rPr>
        <w:t>t</w:t>
      </w:r>
      <w:r w:rsidR="4359CB84" w:rsidRPr="5CF0E88B">
        <w:rPr>
          <w:rFonts w:eastAsia="Arial"/>
        </w:rPr>
        <w:t>he present value of the future costs associated with the monitoring and maintenance obligations; and</w:t>
      </w:r>
    </w:p>
    <w:p w14:paraId="7B5428E8" w14:textId="5619946D" w:rsidR="00D561E0" w:rsidRDefault="42E63E58" w:rsidP="006951E6">
      <w:pPr>
        <w:pStyle w:val="dotpoints"/>
      </w:pPr>
      <w:r w:rsidRPr="5CF0E88B">
        <w:rPr>
          <w:rFonts w:eastAsia="Arial"/>
        </w:rPr>
        <w:t>definitions and calculations of the costs relating to adverse events</w:t>
      </w:r>
      <w:r w:rsidR="4359CB84" w:rsidRPr="5CF0E88B">
        <w:rPr>
          <w:rFonts w:eastAsia="Arial"/>
        </w:rPr>
        <w:t>.</w:t>
      </w:r>
    </w:p>
    <w:p w14:paraId="7811C79A" w14:textId="1084EDBE" w:rsidR="005A77BC" w:rsidRDefault="005A77BC" w:rsidP="00D50C43">
      <w:pPr>
        <w:pStyle w:val="Heading2"/>
        <w:numPr>
          <w:ilvl w:val="1"/>
          <w:numId w:val="124"/>
        </w:numPr>
      </w:pPr>
      <w:bookmarkStart w:id="293" w:name="_Toc104217702"/>
      <w:r>
        <w:t>Non-regulatory options</w:t>
      </w:r>
      <w:bookmarkEnd w:id="293"/>
    </w:p>
    <w:p w14:paraId="2D7EBA97" w14:textId="07A0A7E7" w:rsidR="00395F7B" w:rsidRDefault="31064A39" w:rsidP="005A77BC">
      <w:r w:rsidRPr="008B5FD9">
        <w:t xml:space="preserve">The </w:t>
      </w:r>
      <w:r w:rsidRPr="44AE50F4">
        <w:rPr>
          <w:i/>
          <w:iCs/>
        </w:rPr>
        <w:t>Subordinate Legislation Act 1994</w:t>
      </w:r>
      <w:r w:rsidRPr="008B5FD9">
        <w:t xml:space="preserve"> requires a RIS to consider “other practicable means of achieving those objectives, including other regulatory as well as non-regulatory options</w:t>
      </w:r>
      <w:r>
        <w:t>.”</w:t>
      </w:r>
      <w:r w:rsidR="005A77BC">
        <w:rPr>
          <w:rStyle w:val="FootnoteReference"/>
        </w:rPr>
        <w:footnoteReference w:id="195"/>
      </w:r>
      <w:r>
        <w:t xml:space="preserve"> </w:t>
      </w:r>
    </w:p>
    <w:p w14:paraId="39560E61" w14:textId="3B9A2304" w:rsidR="00EC45AC" w:rsidRDefault="00EC45AC" w:rsidP="005A77BC">
      <w:r>
        <w:t>The Act does not effectively require declared mine licensees to submit a DMRP. The preparation of a DMRP is expected to pose additional burdens to the existing declared mine licensees and it is considered that in the absence of an enforceable obligation to prepare a DMRP, the licensees would not do so.</w:t>
      </w:r>
    </w:p>
    <w:p w14:paraId="233E2BF1" w14:textId="13ABCD0A" w:rsidR="00EC45AC" w:rsidRDefault="00EC45AC" w:rsidP="005A77BC">
      <w:r>
        <w:t>The amendments to the Act which introduced the declared mine rehabilitation framework were designed to be enabling. Without a DMRP being submitted to ERR, the rest of the framework does not function. This means that there are no other practicable means of achieving the objectives of the Amendment Act</w:t>
      </w:r>
      <w:r w:rsidR="00687D19">
        <w:t xml:space="preserve"> apart from amending the Minerals Regu</w:t>
      </w:r>
      <w:r w:rsidR="00FC5CBA">
        <w:t>l</w:t>
      </w:r>
      <w:r w:rsidR="007750BE">
        <w:t>a</w:t>
      </w:r>
      <w:r w:rsidR="00687D19">
        <w:t>tions</w:t>
      </w:r>
      <w:r>
        <w:t>.</w:t>
      </w:r>
    </w:p>
    <w:p w14:paraId="2EC4409F" w14:textId="1B2A9A45" w:rsidR="005A77BC" w:rsidRDefault="005A77BC">
      <w:pPr>
        <w:spacing w:before="0" w:line="276" w:lineRule="auto"/>
      </w:pPr>
      <w:r>
        <w:br w:type="page"/>
      </w:r>
    </w:p>
    <w:p w14:paraId="66F8B9C6" w14:textId="5345ED95" w:rsidR="009916F8" w:rsidRDefault="001B04BC" w:rsidP="00D50C43">
      <w:pPr>
        <w:pStyle w:val="Heading1"/>
        <w:numPr>
          <w:ilvl w:val="0"/>
          <w:numId w:val="124"/>
        </w:numPr>
      </w:pPr>
      <w:bookmarkStart w:id="294" w:name="_Toc54367031"/>
      <w:bookmarkStart w:id="295" w:name="_Toc54367032"/>
      <w:bookmarkStart w:id="296" w:name="_Toc4161387"/>
      <w:bookmarkStart w:id="297" w:name="_Toc104217703"/>
      <w:bookmarkEnd w:id="294"/>
      <w:bookmarkEnd w:id="295"/>
      <w:r>
        <w:lastRenderedPageBreak/>
        <w:t>A</w:t>
      </w:r>
      <w:r w:rsidR="009916F8" w:rsidRPr="00717AB3">
        <w:t>ssessment of Options</w:t>
      </w:r>
      <w:bookmarkEnd w:id="296"/>
      <w:bookmarkEnd w:id="297"/>
    </w:p>
    <w:p w14:paraId="3DEBDBD3" w14:textId="1470787F" w:rsidR="008C4E09" w:rsidRDefault="009916F8">
      <w:r>
        <w:t xml:space="preserve">The regulatory impact assessment process seeks to ensure that </w:t>
      </w:r>
      <w:r w:rsidR="006D027C">
        <w:t>proposed Regulations</w:t>
      </w:r>
      <w:r>
        <w:t xml:space="preserve"> are well-targeted, effective and appropriate, and impose the lowest possible burden on businesses and the community.</w:t>
      </w:r>
      <w:r w:rsidR="008C4E09">
        <w:t xml:space="preserve"> </w:t>
      </w:r>
      <w:r w:rsidR="008C4E09" w:rsidRPr="005865BD">
        <w:t>Essential to this process is understanding the costs and benefits that can be expected to flow from each potential option.</w:t>
      </w:r>
      <w:r w:rsidR="008C4E09">
        <w:t xml:space="preserve"> </w:t>
      </w:r>
    </w:p>
    <w:p w14:paraId="5E6300CE" w14:textId="77777777" w:rsidR="009916F8" w:rsidRPr="00C2183A" w:rsidRDefault="009916F8" w:rsidP="00D50C43">
      <w:pPr>
        <w:pStyle w:val="Heading2"/>
        <w:numPr>
          <w:ilvl w:val="1"/>
          <w:numId w:val="124"/>
        </w:numPr>
      </w:pPr>
      <w:bookmarkStart w:id="298" w:name="_Toc4161388"/>
      <w:bookmarkStart w:id="299" w:name="_Toc104217704"/>
      <w:r w:rsidRPr="00C2183A">
        <w:t>Assessment method</w:t>
      </w:r>
      <w:bookmarkEnd w:id="298"/>
      <w:bookmarkEnd w:id="299"/>
    </w:p>
    <w:p w14:paraId="23AAC71B" w14:textId="300084B6" w:rsidR="009A37EE" w:rsidRDefault="001C39B7" w:rsidP="007B26F9">
      <w:r>
        <w:t>RIS</w:t>
      </w:r>
      <w:r w:rsidR="005560DD">
        <w:t xml:space="preserve">’s are required to use decision-making tools, such as </w:t>
      </w:r>
      <w:r w:rsidR="007B26F9">
        <w:t>cost-benefit analysis</w:t>
      </w:r>
      <w:r w:rsidR="009A37EE">
        <w:t xml:space="preserve"> (CBA)</w:t>
      </w:r>
      <w:r w:rsidR="007B26F9">
        <w:t xml:space="preserve"> or multi-criteria analysis (MCA), to identify a preferred option. MCA is a decision tool that is used when it is not possible to quantify and value the main costs and benefits of an option. This includes situations where some data is available but provides information at too broad a level to enable the specific effects of the proposed options to be isolated. MCA provides a structured, systematic and transparent framework for comparing options with non-quantified costs and benefits. It allows stakeholders and decision-makers to see (and comment on) which factors were taken into account, the weighting given to different aspects of a decision, and the logical path between the issues being addressed and the decision. </w:t>
      </w:r>
      <w:r w:rsidR="009A37EE">
        <w:t>A CBA</w:t>
      </w:r>
      <w:r w:rsidR="00C33D62">
        <w:t xml:space="preserve"> provides a method for </w:t>
      </w:r>
      <w:r w:rsidR="002560F3">
        <w:t>assessing</w:t>
      </w:r>
      <w:r w:rsidR="00C33D62">
        <w:t xml:space="preserve"> the</w:t>
      </w:r>
      <w:r w:rsidR="002560F3">
        <w:t xml:space="preserve"> total</w:t>
      </w:r>
      <w:r w:rsidR="00C33D62">
        <w:t xml:space="preserve"> costs and benefits </w:t>
      </w:r>
      <w:r w:rsidR="002560F3">
        <w:t>associated with a proposed change. Cost and benefits are converted into standard units of measurement</w:t>
      </w:r>
      <w:r w:rsidR="00702F57">
        <w:t xml:space="preserve"> (i.e. dollars) to enable a comparison of the cost and benefits of each option.</w:t>
      </w:r>
    </w:p>
    <w:p w14:paraId="6E112893" w14:textId="1EF1B226" w:rsidR="002A7891" w:rsidRPr="002A7891" w:rsidRDefault="002A7891" w:rsidP="007B26F9">
      <w:pPr>
        <w:rPr>
          <w:rFonts w:asciiTheme="minorHAnsi" w:hAnsiTheme="minorHAnsi"/>
          <w:color w:val="auto"/>
          <w:sz w:val="22"/>
        </w:rPr>
      </w:pPr>
      <w:r w:rsidRPr="002A7891">
        <w:t>The costs of each option can theoretically be readily expressed in monetary terms. In practice, however, it is often difficult to obtain adequate data to precisely identify the costs that an option would impose, and decision makers must rely on approximate or relative cost estimates. There is limited information available about the costs of rehabilitation planning for the existing declared mines, as outlined in section 6.6. Due to this, most of the assessment in this RIS is qualitative in nature. As such, effectiveness for these Regulations cannot be expressed in strict monetary terms, as the benefits sought to be achieved from the proposed amendments to the Regulations mostly relate to improved information, planning and decision-making – and therefore any flow-on impacts would be indirect and harder to quantify and value. For these reasons, MCA is the most appropriate way of assessing impacts of the proposed options in this RIS.</w:t>
      </w:r>
    </w:p>
    <w:p w14:paraId="216A684E" w14:textId="472244FE" w:rsidR="007B26F9" w:rsidRPr="002A7891" w:rsidRDefault="007B26F9" w:rsidP="00D50C43">
      <w:pPr>
        <w:pStyle w:val="Heading3"/>
        <w:numPr>
          <w:ilvl w:val="2"/>
          <w:numId w:val="124"/>
        </w:numPr>
        <w:rPr>
          <w:color w:val="53565A"/>
          <w:sz w:val="18"/>
        </w:rPr>
      </w:pPr>
      <w:bookmarkStart w:id="300" w:name="_Toc97649628"/>
      <w:bookmarkStart w:id="301" w:name="_Toc97649736"/>
      <w:bookmarkStart w:id="302" w:name="_Toc97649737"/>
      <w:bookmarkStart w:id="303" w:name="_Toc104217705"/>
      <w:bookmarkEnd w:id="300"/>
      <w:bookmarkEnd w:id="301"/>
      <w:r w:rsidRPr="002A7891">
        <w:rPr>
          <w:color w:val="53565A"/>
          <w:sz w:val="18"/>
        </w:rPr>
        <w:t>Defining the assessment criteria</w:t>
      </w:r>
      <w:bookmarkEnd w:id="302"/>
      <w:bookmarkEnd w:id="303"/>
    </w:p>
    <w:p w14:paraId="457C8CA8" w14:textId="35705309" w:rsidR="00DE1FEB" w:rsidRDefault="007B26F9" w:rsidP="001948C1">
      <w:pPr>
        <w:keepNext/>
      </w:pPr>
      <w:r>
        <w:t>The assessment criteria for MCA falls into either a ‘benefits’ or a ‘costs’ category and must align with the identified problems and objectives</w:t>
      </w:r>
      <w:r w:rsidR="006F567D">
        <w:t>.</w:t>
      </w:r>
    </w:p>
    <w:p w14:paraId="03406037" w14:textId="2965E7DB" w:rsidR="00F14186" w:rsidRPr="00F14186" w:rsidRDefault="00F14186" w:rsidP="001948C1">
      <w:pPr>
        <w:keepNext/>
        <w:rPr>
          <w:b/>
          <w:bCs/>
        </w:rPr>
      </w:pPr>
      <w:r>
        <w:rPr>
          <w:b/>
          <w:bCs/>
        </w:rPr>
        <w:t>Benefits</w:t>
      </w:r>
    </w:p>
    <w:p w14:paraId="4ED31457" w14:textId="0CF3EDBE" w:rsidR="00B653EB" w:rsidRDefault="00F14186" w:rsidP="009916F8">
      <w:r>
        <w:t xml:space="preserve">Benefits in this </w:t>
      </w:r>
      <w:r w:rsidR="00CC0AF3">
        <w:t xml:space="preserve">RIS refer to </w:t>
      </w:r>
      <w:r>
        <w:t xml:space="preserve">the effectiveness of the option in achieving the objectives of the relevant part of the regulatory framework. </w:t>
      </w:r>
      <w:r w:rsidR="00B653EB">
        <w:t>Within the regulatory framework, there are three distinct elements that seek to achieve different objectives</w:t>
      </w:r>
      <w:r w:rsidR="006F51CD">
        <w:t xml:space="preserve"> (shown in the figure below)</w:t>
      </w:r>
      <w:r w:rsidR="00B653EB">
        <w:t xml:space="preserve"> and as such they are assessed separately (sections 6.3, 6.4 and 6.5) so that appropriate criteria can be defined. The benefits criteria correspond to the three assessment sections a</w:t>
      </w:r>
      <w:r w:rsidR="00A25DE5">
        <w:t>s</w:t>
      </w:r>
      <w:r w:rsidR="00B653EB">
        <w:t xml:space="preserve"> shown in the table below</w:t>
      </w:r>
      <w:r w:rsidR="00A25DE5">
        <w:t xml:space="preserve"> relating to</w:t>
      </w:r>
      <w:r w:rsidR="00F61D39">
        <w:t>:</w:t>
      </w:r>
    </w:p>
    <w:p w14:paraId="48B612A7" w14:textId="04F440EF" w:rsidR="00F61D39" w:rsidRDefault="00F61D39" w:rsidP="004B7548">
      <w:pPr>
        <w:pStyle w:val="dotpoints"/>
      </w:pPr>
      <w:r>
        <w:t>Declared Mine Rehabilitation Plans</w:t>
      </w:r>
      <w:r w:rsidR="00A25DE5">
        <w:t>,</w:t>
      </w:r>
    </w:p>
    <w:p w14:paraId="02935679" w14:textId="01ABB843" w:rsidR="00942F83" w:rsidRPr="00942F83" w:rsidRDefault="00942F83" w:rsidP="004B7548">
      <w:pPr>
        <w:pStyle w:val="dotpoints"/>
      </w:pPr>
      <w:r>
        <w:t>Mine closure determinations</w:t>
      </w:r>
      <w:r w:rsidR="00A25DE5">
        <w:t>, and</w:t>
      </w:r>
    </w:p>
    <w:p w14:paraId="322B4BCC" w14:textId="33C88B2E" w:rsidR="00942F83" w:rsidRDefault="00942F83" w:rsidP="004B7548">
      <w:pPr>
        <w:pStyle w:val="dotpoints"/>
      </w:pPr>
      <w:r>
        <w:t>Mine land registration</w:t>
      </w:r>
      <w:r w:rsidR="00A25DE5">
        <w:t>.</w:t>
      </w:r>
      <w:r>
        <w:t xml:space="preserve"> </w:t>
      </w:r>
    </w:p>
    <w:p w14:paraId="6DE9894D" w14:textId="47ED9863" w:rsidR="00AE2E5B" w:rsidRDefault="00D43F30" w:rsidP="00D43F30">
      <w:pPr>
        <w:pStyle w:val="Caption"/>
      </w:pPr>
      <w:bookmarkStart w:id="304" w:name="_Toc104217613"/>
      <w:r>
        <w:lastRenderedPageBreak/>
        <w:t xml:space="preserve">Figure </w:t>
      </w:r>
      <w:r>
        <w:fldChar w:fldCharType="begin"/>
      </w:r>
      <w:r>
        <w:instrText>SEQ Figure \* ARABIC</w:instrText>
      </w:r>
      <w:r>
        <w:fldChar w:fldCharType="separate"/>
      </w:r>
      <w:r w:rsidR="000B3BF6">
        <w:rPr>
          <w:noProof/>
        </w:rPr>
        <w:t>9</w:t>
      </w:r>
      <w:r>
        <w:fldChar w:fldCharType="end"/>
      </w:r>
      <w:r>
        <w:t xml:space="preserve">: </w:t>
      </w:r>
      <w:r w:rsidR="009E15FD">
        <w:t>Simplified d</w:t>
      </w:r>
      <w:r w:rsidR="00CE4F4B">
        <w:t>eclared mine land regulatory framework</w:t>
      </w:r>
      <w:bookmarkEnd w:id="304"/>
    </w:p>
    <w:p w14:paraId="54A101C4" w14:textId="69E35BBA" w:rsidR="00AE2E5B" w:rsidRDefault="00BB4BC0" w:rsidP="0046105E">
      <w:pPr>
        <w:jc w:val="center"/>
      </w:pPr>
      <w:r>
        <w:rPr>
          <w:noProof/>
        </w:rPr>
        <w:drawing>
          <wp:inline distT="0" distB="0" distL="0" distR="0" wp14:anchorId="32E2F749" wp14:editId="119F7584">
            <wp:extent cx="5409104" cy="2717355"/>
            <wp:effectExtent l="0" t="0" r="127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9104" cy="2717355"/>
                    </a:xfrm>
                    <a:prstGeom prst="rect">
                      <a:avLst/>
                    </a:prstGeom>
                  </pic:spPr>
                </pic:pic>
              </a:graphicData>
            </a:graphic>
          </wp:inline>
        </w:drawing>
      </w:r>
    </w:p>
    <w:p w14:paraId="4F97258F" w14:textId="77777777" w:rsidR="00AE2E5B" w:rsidRDefault="00AE2E5B" w:rsidP="009916F8"/>
    <w:p w14:paraId="2E3846CD" w14:textId="5DC2D210" w:rsidR="009916F8" w:rsidRDefault="00B653EB" w:rsidP="008E75CA">
      <w:pPr>
        <w:pStyle w:val="Caption"/>
      </w:pPr>
      <w:bookmarkStart w:id="305" w:name="_Toc104217621"/>
      <w:r>
        <w:t xml:space="preserve">Table </w:t>
      </w:r>
      <w:r>
        <w:fldChar w:fldCharType="begin"/>
      </w:r>
      <w:r>
        <w:instrText>SEQ Table \* ARABIC</w:instrText>
      </w:r>
      <w:r>
        <w:fldChar w:fldCharType="separate"/>
      </w:r>
      <w:r w:rsidR="000B3BF6">
        <w:rPr>
          <w:noProof/>
        </w:rPr>
        <w:t>5</w:t>
      </w:r>
      <w:r>
        <w:fldChar w:fldCharType="end"/>
      </w:r>
      <w:r w:rsidR="00A61D31">
        <w:t>:</w:t>
      </w:r>
      <w:r>
        <w:t xml:space="preserve"> Benefit criteria</w:t>
      </w:r>
      <w:bookmarkEnd w:id="305"/>
      <w:r w:rsidR="009916F8">
        <w:t xml:space="preserve"> </w:t>
      </w:r>
    </w:p>
    <w:tbl>
      <w:tblPr>
        <w:tblStyle w:val="TableGrid"/>
        <w:tblW w:w="9214"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CellMar>
          <w:top w:w="28" w:type="dxa"/>
          <w:bottom w:w="28" w:type="dxa"/>
        </w:tblCellMar>
        <w:tblLook w:val="04A0" w:firstRow="1" w:lastRow="0" w:firstColumn="1" w:lastColumn="0" w:noHBand="0" w:noVBand="1"/>
      </w:tblPr>
      <w:tblGrid>
        <w:gridCol w:w="1843"/>
        <w:gridCol w:w="7371"/>
      </w:tblGrid>
      <w:tr w:rsidR="00616F85" w:rsidRPr="008E75CA" w14:paraId="3710AE95" w14:textId="77777777" w:rsidTr="008E75CA">
        <w:trPr>
          <w:trHeight w:val="283"/>
          <w:tblHeader/>
        </w:trPr>
        <w:tc>
          <w:tcPr>
            <w:tcW w:w="1843" w:type="dxa"/>
            <w:shd w:val="clear" w:color="auto" w:fill="1B0B38"/>
            <w:vAlign w:val="center"/>
          </w:tcPr>
          <w:p w14:paraId="6CA777FB" w14:textId="349F83CD" w:rsidR="00616F85" w:rsidRPr="008E75CA" w:rsidRDefault="00DF38E7" w:rsidP="008E75CA">
            <w:pPr>
              <w:spacing w:before="0"/>
              <w:rPr>
                <w:rStyle w:val="Strong"/>
                <w:color w:val="FFFFFF" w:themeColor="background1"/>
                <w:szCs w:val="18"/>
              </w:rPr>
            </w:pPr>
            <w:r w:rsidRPr="008E75CA">
              <w:rPr>
                <w:rStyle w:val="Strong"/>
                <w:color w:val="FFFFFF" w:themeColor="background1"/>
                <w:szCs w:val="18"/>
              </w:rPr>
              <w:t>Assessment</w:t>
            </w:r>
          </w:p>
        </w:tc>
        <w:tc>
          <w:tcPr>
            <w:tcW w:w="7371" w:type="dxa"/>
            <w:shd w:val="clear" w:color="auto" w:fill="1B0B38"/>
            <w:vAlign w:val="center"/>
          </w:tcPr>
          <w:p w14:paraId="6FB2BD2F" w14:textId="42F20AFD" w:rsidR="00616F85" w:rsidRPr="008E75CA" w:rsidRDefault="00616F85" w:rsidP="008E75CA">
            <w:pPr>
              <w:spacing w:before="0"/>
              <w:rPr>
                <w:rStyle w:val="Strong"/>
                <w:color w:val="FFFFFF" w:themeColor="background1"/>
                <w:szCs w:val="18"/>
              </w:rPr>
            </w:pPr>
            <w:r w:rsidRPr="008E75CA">
              <w:rPr>
                <w:rStyle w:val="Strong"/>
                <w:color w:val="FFFFFF" w:themeColor="background1"/>
                <w:szCs w:val="18"/>
              </w:rPr>
              <w:t>Benefit criteri</w:t>
            </w:r>
            <w:r w:rsidR="00965EE5" w:rsidRPr="008E75CA">
              <w:rPr>
                <w:rStyle w:val="Strong"/>
                <w:color w:val="FFFFFF" w:themeColor="background1"/>
                <w:szCs w:val="18"/>
              </w:rPr>
              <w:t>a</w:t>
            </w:r>
          </w:p>
        </w:tc>
      </w:tr>
      <w:tr w:rsidR="00837C0F" w:rsidRPr="008E75CA" w14:paraId="32B9B503" w14:textId="77777777" w:rsidTr="00616F85">
        <w:trPr>
          <w:trHeight w:val="358"/>
        </w:trPr>
        <w:tc>
          <w:tcPr>
            <w:tcW w:w="1843" w:type="dxa"/>
          </w:tcPr>
          <w:p w14:paraId="547BD377" w14:textId="2767FDAA" w:rsidR="00837C0F" w:rsidRPr="008E75CA" w:rsidRDefault="00837C0F" w:rsidP="008E75CA">
            <w:pPr>
              <w:spacing w:before="0"/>
              <w:rPr>
                <w:szCs w:val="18"/>
              </w:rPr>
            </w:pPr>
            <w:r w:rsidRPr="008E75CA">
              <w:rPr>
                <w:b/>
                <w:bCs/>
                <w:szCs w:val="18"/>
              </w:rPr>
              <w:t xml:space="preserve">6.3 Declared Mine Rehabilitation Plan </w:t>
            </w:r>
          </w:p>
        </w:tc>
        <w:tc>
          <w:tcPr>
            <w:tcW w:w="7371" w:type="dxa"/>
          </w:tcPr>
          <w:p w14:paraId="13F27A7B" w14:textId="68BE1AC7" w:rsidR="00837C0F" w:rsidRPr="008E75CA" w:rsidRDefault="00837C0F" w:rsidP="008E75CA">
            <w:pPr>
              <w:spacing w:before="0"/>
              <w:rPr>
                <w:rFonts w:asciiTheme="minorHAnsi" w:hAnsiTheme="minorHAnsi" w:cstheme="minorHAnsi"/>
                <w:szCs w:val="18"/>
              </w:rPr>
            </w:pPr>
            <w:r w:rsidRPr="008E75CA">
              <w:rPr>
                <w:rFonts w:asciiTheme="minorHAnsi" w:hAnsiTheme="minorHAnsi" w:cstheme="minorHAnsi"/>
                <w:szCs w:val="18"/>
              </w:rPr>
              <w:t>Effectiveness in facilitating adequate rehabilitation planning and activity to</w:t>
            </w:r>
            <w:r w:rsidR="00544A38">
              <w:rPr>
                <w:rFonts w:asciiTheme="minorHAnsi" w:hAnsiTheme="minorHAnsi" w:cstheme="minorHAnsi"/>
                <w:szCs w:val="18"/>
              </w:rPr>
              <w:t xml:space="preserve"> manage risks posed by declared mine land through</w:t>
            </w:r>
            <w:r w:rsidRPr="008E75CA">
              <w:rPr>
                <w:rFonts w:asciiTheme="minorHAnsi" w:hAnsiTheme="minorHAnsi" w:cstheme="minorHAnsi"/>
                <w:szCs w:val="18"/>
              </w:rPr>
              <w:t>:</w:t>
            </w:r>
          </w:p>
          <w:p w14:paraId="76BA60AD" w14:textId="2D94D3F4" w:rsidR="00837C0F" w:rsidRPr="008E75CA" w:rsidRDefault="00837C0F" w:rsidP="008E75CA">
            <w:pPr>
              <w:pStyle w:val="ListParagraph"/>
              <w:numPr>
                <w:ilvl w:val="0"/>
                <w:numId w:val="38"/>
              </w:numPr>
              <w:rPr>
                <w:rFonts w:asciiTheme="minorHAnsi" w:hAnsiTheme="minorHAnsi" w:cstheme="minorHAnsi"/>
                <w:sz w:val="18"/>
                <w:szCs w:val="18"/>
              </w:rPr>
            </w:pPr>
            <w:r w:rsidRPr="008E75CA">
              <w:rPr>
                <w:rFonts w:asciiTheme="minorHAnsi" w:hAnsiTheme="minorHAnsi" w:cstheme="minorHAnsi"/>
                <w:sz w:val="18"/>
                <w:szCs w:val="18"/>
              </w:rPr>
              <w:t>Facilitat</w:t>
            </w:r>
            <w:r w:rsidR="00D10AF4">
              <w:rPr>
                <w:rFonts w:asciiTheme="minorHAnsi" w:hAnsiTheme="minorHAnsi" w:cstheme="minorHAnsi"/>
                <w:sz w:val="18"/>
                <w:szCs w:val="18"/>
              </w:rPr>
              <w:t>ing</w:t>
            </w:r>
            <w:r w:rsidRPr="008E75CA">
              <w:rPr>
                <w:rFonts w:asciiTheme="minorHAnsi" w:hAnsiTheme="minorHAnsi" w:cstheme="minorHAnsi"/>
                <w:sz w:val="18"/>
                <w:szCs w:val="18"/>
              </w:rPr>
              <w:t xml:space="preserve"> assessment of declared mine rehabilitation liability</w:t>
            </w:r>
          </w:p>
          <w:p w14:paraId="66615ADA" w14:textId="4193FC33" w:rsidR="00837C0F" w:rsidRPr="008E75CA" w:rsidRDefault="00837C0F" w:rsidP="008E75CA">
            <w:pPr>
              <w:pStyle w:val="ListParagraph"/>
              <w:numPr>
                <w:ilvl w:val="0"/>
                <w:numId w:val="38"/>
              </w:numPr>
              <w:rPr>
                <w:rFonts w:asciiTheme="minorHAnsi" w:hAnsiTheme="minorHAnsi" w:cstheme="minorHAnsi"/>
                <w:sz w:val="18"/>
                <w:szCs w:val="18"/>
              </w:rPr>
            </w:pPr>
            <w:r w:rsidRPr="008E75CA">
              <w:rPr>
                <w:rFonts w:asciiTheme="minorHAnsi" w:hAnsiTheme="minorHAnsi" w:cstheme="minorHAnsi"/>
                <w:sz w:val="18"/>
                <w:szCs w:val="18"/>
              </w:rPr>
              <w:t>Enabl</w:t>
            </w:r>
            <w:r w:rsidR="00D10AF4">
              <w:rPr>
                <w:rFonts w:asciiTheme="minorHAnsi" w:hAnsiTheme="minorHAnsi" w:cstheme="minorHAnsi"/>
                <w:sz w:val="18"/>
                <w:szCs w:val="18"/>
              </w:rPr>
              <w:t>ing</w:t>
            </w:r>
            <w:r w:rsidRPr="008E75CA">
              <w:rPr>
                <w:rFonts w:asciiTheme="minorHAnsi" w:hAnsiTheme="minorHAnsi" w:cstheme="minorHAnsi"/>
                <w:sz w:val="18"/>
                <w:szCs w:val="18"/>
              </w:rPr>
              <w:t xml:space="preserve"> appropriate and integrated regulatory rehabilitation-related decision making by government</w:t>
            </w:r>
          </w:p>
          <w:p w14:paraId="7CD2815D" w14:textId="653F1215" w:rsidR="00837C0F" w:rsidRPr="008E75CA" w:rsidRDefault="00837C0F" w:rsidP="008E75CA">
            <w:pPr>
              <w:pStyle w:val="ListParagraph"/>
              <w:numPr>
                <w:ilvl w:val="0"/>
                <w:numId w:val="38"/>
              </w:numPr>
              <w:rPr>
                <w:rFonts w:asciiTheme="minorHAnsi" w:hAnsiTheme="minorHAnsi" w:cstheme="minorHAnsi"/>
                <w:sz w:val="18"/>
                <w:szCs w:val="18"/>
              </w:rPr>
            </w:pPr>
            <w:r w:rsidRPr="008E75CA">
              <w:rPr>
                <w:rFonts w:asciiTheme="minorHAnsi" w:hAnsiTheme="minorHAnsi" w:cstheme="minorHAnsi"/>
                <w:sz w:val="18"/>
                <w:szCs w:val="18"/>
              </w:rPr>
              <w:t>Provid</w:t>
            </w:r>
            <w:r w:rsidR="00D10AF4">
              <w:rPr>
                <w:rFonts w:asciiTheme="minorHAnsi" w:hAnsiTheme="minorHAnsi" w:cstheme="minorHAnsi"/>
                <w:sz w:val="18"/>
                <w:szCs w:val="18"/>
              </w:rPr>
              <w:t>ing</w:t>
            </w:r>
            <w:r w:rsidRPr="008E75CA">
              <w:rPr>
                <w:rFonts w:asciiTheme="minorHAnsi" w:hAnsiTheme="minorHAnsi" w:cstheme="minorHAnsi"/>
                <w:sz w:val="18"/>
                <w:szCs w:val="18"/>
              </w:rPr>
              <w:t xml:space="preserve"> a transparent and flexible approach to planning.</w:t>
            </w:r>
          </w:p>
        </w:tc>
      </w:tr>
      <w:tr w:rsidR="00837C0F" w:rsidRPr="008E75CA" w14:paraId="7F5496CD" w14:textId="77777777" w:rsidTr="00616F85">
        <w:trPr>
          <w:trHeight w:val="358"/>
        </w:trPr>
        <w:tc>
          <w:tcPr>
            <w:tcW w:w="1843" w:type="dxa"/>
          </w:tcPr>
          <w:p w14:paraId="23CA3C9C" w14:textId="60AD483A" w:rsidR="00837C0F" w:rsidRPr="008E75CA" w:rsidRDefault="00837C0F" w:rsidP="008E75CA">
            <w:pPr>
              <w:spacing w:before="0"/>
              <w:rPr>
                <w:szCs w:val="18"/>
              </w:rPr>
            </w:pPr>
            <w:r w:rsidRPr="008E75CA">
              <w:rPr>
                <w:b/>
                <w:bCs/>
                <w:szCs w:val="18"/>
              </w:rPr>
              <w:t xml:space="preserve">6.4  </w:t>
            </w:r>
            <w:r w:rsidR="00321FE7">
              <w:rPr>
                <w:b/>
                <w:bCs/>
                <w:szCs w:val="18"/>
              </w:rPr>
              <w:t>M</w:t>
            </w:r>
            <w:r w:rsidRPr="008E75CA">
              <w:rPr>
                <w:b/>
                <w:bCs/>
                <w:szCs w:val="18"/>
              </w:rPr>
              <w:t>ine closure determinations</w:t>
            </w:r>
          </w:p>
        </w:tc>
        <w:tc>
          <w:tcPr>
            <w:tcW w:w="7371" w:type="dxa"/>
          </w:tcPr>
          <w:p w14:paraId="4383E4DF" w14:textId="77777777" w:rsidR="00837C0F" w:rsidRPr="008E75CA" w:rsidRDefault="00837C0F" w:rsidP="008E75CA">
            <w:pPr>
              <w:spacing w:before="0"/>
              <w:rPr>
                <w:rFonts w:asciiTheme="minorHAnsi" w:hAnsiTheme="minorHAnsi" w:cstheme="minorHAnsi"/>
                <w:szCs w:val="18"/>
              </w:rPr>
            </w:pPr>
            <w:r w:rsidRPr="008E75CA">
              <w:rPr>
                <w:rFonts w:asciiTheme="minorHAnsi" w:hAnsiTheme="minorHAnsi" w:cstheme="minorHAnsi"/>
                <w:szCs w:val="18"/>
              </w:rPr>
              <w:t>Effectiveness in supporting informed decision-making to ensure rehabilitation:</w:t>
            </w:r>
          </w:p>
          <w:p w14:paraId="4FC7AB2A" w14:textId="53EC744A" w:rsidR="00837C0F" w:rsidRPr="008E75CA" w:rsidRDefault="00837C0F" w:rsidP="008E75CA">
            <w:pPr>
              <w:pStyle w:val="ListParagraph"/>
              <w:numPr>
                <w:ilvl w:val="0"/>
                <w:numId w:val="38"/>
              </w:numPr>
              <w:rPr>
                <w:rFonts w:asciiTheme="minorHAnsi" w:hAnsiTheme="minorHAnsi" w:cstheme="minorHAnsi"/>
                <w:sz w:val="18"/>
                <w:szCs w:val="18"/>
              </w:rPr>
            </w:pPr>
            <w:r w:rsidRPr="008E75CA">
              <w:rPr>
                <w:rFonts w:asciiTheme="minorHAnsi" w:hAnsiTheme="minorHAnsi" w:cstheme="minorHAnsi"/>
                <w:sz w:val="18"/>
                <w:szCs w:val="18"/>
              </w:rPr>
              <w:t xml:space="preserve">Meets legislative objectives and </w:t>
            </w:r>
          </w:p>
          <w:p w14:paraId="2083E77E" w14:textId="31361985" w:rsidR="00837C0F" w:rsidRPr="008E75CA" w:rsidRDefault="00837C0F" w:rsidP="008E75CA">
            <w:pPr>
              <w:pStyle w:val="ListParagraph"/>
              <w:numPr>
                <w:ilvl w:val="0"/>
                <w:numId w:val="38"/>
              </w:numPr>
              <w:rPr>
                <w:rFonts w:asciiTheme="minorHAnsi" w:hAnsiTheme="minorHAnsi" w:cstheme="minorHAnsi"/>
                <w:sz w:val="18"/>
                <w:szCs w:val="18"/>
              </w:rPr>
            </w:pPr>
            <w:r w:rsidRPr="008E75CA">
              <w:rPr>
                <w:rFonts w:asciiTheme="minorHAnsi" w:hAnsiTheme="minorHAnsi" w:cstheme="minorHAnsi"/>
                <w:sz w:val="18"/>
                <w:szCs w:val="18"/>
              </w:rPr>
              <w:t>Provides a transparent, clear decision-making process.</w:t>
            </w:r>
          </w:p>
        </w:tc>
      </w:tr>
      <w:tr w:rsidR="00837C0F" w:rsidRPr="008E75CA" w14:paraId="55768F15" w14:textId="77777777" w:rsidTr="00616F85">
        <w:trPr>
          <w:trHeight w:val="358"/>
        </w:trPr>
        <w:tc>
          <w:tcPr>
            <w:tcW w:w="1843" w:type="dxa"/>
            <w:tcBorders>
              <w:bottom w:val="single" w:sz="4" w:space="0" w:color="1B0B38"/>
            </w:tcBorders>
          </w:tcPr>
          <w:p w14:paraId="66277004" w14:textId="35692726" w:rsidR="00837C0F" w:rsidRPr="008E75CA" w:rsidRDefault="00837C0F" w:rsidP="008E75CA">
            <w:pPr>
              <w:spacing w:before="0"/>
              <w:rPr>
                <w:szCs w:val="18"/>
              </w:rPr>
            </w:pPr>
            <w:r w:rsidRPr="008E75CA">
              <w:rPr>
                <w:b/>
                <w:bCs/>
                <w:szCs w:val="18"/>
              </w:rPr>
              <w:t xml:space="preserve">6.5 </w:t>
            </w:r>
            <w:r w:rsidR="00321FE7">
              <w:rPr>
                <w:b/>
                <w:bCs/>
                <w:szCs w:val="18"/>
              </w:rPr>
              <w:t>M</w:t>
            </w:r>
            <w:r w:rsidRPr="008E75CA">
              <w:rPr>
                <w:b/>
                <w:bCs/>
                <w:szCs w:val="18"/>
              </w:rPr>
              <w:t>ine land registration</w:t>
            </w:r>
          </w:p>
        </w:tc>
        <w:tc>
          <w:tcPr>
            <w:tcW w:w="7371" w:type="dxa"/>
            <w:tcBorders>
              <w:bottom w:val="single" w:sz="4" w:space="0" w:color="1B0B38"/>
            </w:tcBorders>
          </w:tcPr>
          <w:p w14:paraId="0A7FBA60" w14:textId="6EE8BD2C" w:rsidR="00837C0F" w:rsidRPr="008E75CA" w:rsidRDefault="00837C0F" w:rsidP="008E75CA">
            <w:pPr>
              <w:spacing w:before="0"/>
              <w:rPr>
                <w:szCs w:val="18"/>
              </w:rPr>
            </w:pPr>
            <w:r w:rsidRPr="008E75CA">
              <w:rPr>
                <w:szCs w:val="18"/>
              </w:rPr>
              <w:t>Effectiveness in:</w:t>
            </w:r>
          </w:p>
          <w:p w14:paraId="0AFC0299" w14:textId="127FF435" w:rsidR="00837C0F" w:rsidRPr="008E75CA" w:rsidRDefault="00837C0F" w:rsidP="008E75CA">
            <w:pPr>
              <w:pStyle w:val="ListParagraph"/>
              <w:numPr>
                <w:ilvl w:val="0"/>
                <w:numId w:val="38"/>
              </w:numPr>
              <w:rPr>
                <w:rFonts w:asciiTheme="minorHAnsi" w:hAnsiTheme="minorHAnsi" w:cstheme="minorHAnsi"/>
                <w:sz w:val="18"/>
                <w:szCs w:val="18"/>
              </w:rPr>
            </w:pPr>
            <w:r w:rsidRPr="008E75CA">
              <w:rPr>
                <w:rFonts w:asciiTheme="minorHAnsi" w:hAnsiTheme="minorHAnsi" w:cstheme="minorHAnsi"/>
                <w:sz w:val="18"/>
                <w:szCs w:val="18"/>
              </w:rPr>
              <w:t>Obtaining and recording relevant information about declared mine sites, risks and necessary post-closure management to support informed government, stakeholder and community decision-making</w:t>
            </w:r>
          </w:p>
          <w:p w14:paraId="12014311" w14:textId="2803346D" w:rsidR="00837C0F" w:rsidRPr="008E75CA" w:rsidRDefault="00837C0F" w:rsidP="008E75CA">
            <w:pPr>
              <w:pStyle w:val="ListParagraph"/>
              <w:numPr>
                <w:ilvl w:val="0"/>
                <w:numId w:val="38"/>
              </w:numPr>
              <w:rPr>
                <w:rFonts w:asciiTheme="minorHAnsi" w:hAnsiTheme="minorHAnsi" w:cstheme="minorHAnsi"/>
                <w:sz w:val="18"/>
                <w:szCs w:val="18"/>
              </w:rPr>
            </w:pPr>
            <w:r w:rsidRPr="008E75CA">
              <w:rPr>
                <w:rFonts w:asciiTheme="minorHAnsi" w:hAnsiTheme="minorHAnsi" w:cstheme="minorHAnsi"/>
                <w:sz w:val="18"/>
                <w:szCs w:val="18"/>
              </w:rPr>
              <w:t>Supporting the fair and accurate determination of fund contribution amounts sufficient to fund ongoing and post-closure declared mine rehabilitation activities and achieve overall regulatory objectives</w:t>
            </w:r>
            <w:r w:rsidR="00BC37D7">
              <w:rPr>
                <w:rFonts w:asciiTheme="minorHAnsi" w:hAnsiTheme="minorHAnsi" w:cstheme="minorHAnsi"/>
                <w:sz w:val="18"/>
                <w:szCs w:val="18"/>
              </w:rPr>
              <w:t>.</w:t>
            </w:r>
          </w:p>
        </w:tc>
      </w:tr>
    </w:tbl>
    <w:p w14:paraId="687931CA" w14:textId="77777777" w:rsidR="007B26F9" w:rsidRPr="00F14186" w:rsidRDefault="007B26F9" w:rsidP="007B26F9">
      <w:pPr>
        <w:rPr>
          <w:b/>
          <w:bCs/>
        </w:rPr>
      </w:pPr>
      <w:bookmarkStart w:id="306" w:name="_Toc4161389"/>
      <w:r w:rsidRPr="00F14186">
        <w:rPr>
          <w:b/>
          <w:bCs/>
        </w:rPr>
        <w:t>Costs</w:t>
      </w:r>
    </w:p>
    <w:p w14:paraId="22057858" w14:textId="603E6832" w:rsidR="00DF38E7" w:rsidRDefault="007B26F9" w:rsidP="00DF38E7">
      <w:pPr>
        <w:rPr>
          <w:rFonts w:asciiTheme="minorHAnsi" w:hAnsiTheme="minorHAnsi"/>
          <w:color w:val="auto"/>
          <w:sz w:val="22"/>
        </w:rPr>
      </w:pPr>
      <w:r>
        <w:t xml:space="preserve">Costs in this </w:t>
      </w:r>
      <w:r w:rsidR="00036F9D">
        <w:t>RIS refer to both the costs</w:t>
      </w:r>
      <w:r>
        <w:t xml:space="preserve"> imposed on businesses in the regulated sector</w:t>
      </w:r>
      <w:r w:rsidR="00036F9D" w:rsidRPr="00036F9D">
        <w:t xml:space="preserve"> </w:t>
      </w:r>
      <w:r w:rsidR="00036F9D">
        <w:t>(administrative compliance, substantive compliance, and delay costs)</w:t>
      </w:r>
      <w:r>
        <w:t xml:space="preserve"> and those borne by government</w:t>
      </w:r>
      <w:r w:rsidR="00036F9D">
        <w:t xml:space="preserve"> and taxpayers (administering the regulations).</w:t>
      </w:r>
      <w:r w:rsidR="00DF38E7">
        <w:t xml:space="preserve"> Financial costs such as fees and royalties are not within the scope of this RIS. </w:t>
      </w:r>
    </w:p>
    <w:p w14:paraId="46E689C1" w14:textId="485C1F52" w:rsidR="00DF38E7" w:rsidRDefault="00DF38E7" w:rsidP="00DF38E7">
      <w:r>
        <w:t xml:space="preserve">The scope of this RIS is limited to assessing the impact of the options for </w:t>
      </w:r>
      <w:r w:rsidR="006D027C">
        <w:t>proposed Regulations</w:t>
      </w:r>
      <w:r>
        <w:t xml:space="preserve"> to support the Amendment Act. </w:t>
      </w:r>
      <w:r w:rsidR="006F567D">
        <w:t>T</w:t>
      </w:r>
      <w:r>
        <w:t>h</w:t>
      </w:r>
      <w:r w:rsidR="00275C69">
        <w:t>er</w:t>
      </w:r>
      <w:r>
        <w:t xml:space="preserve">e </w:t>
      </w:r>
      <w:r w:rsidR="00275C69">
        <w:t xml:space="preserve">are already </w:t>
      </w:r>
      <w:r>
        <w:t xml:space="preserve">obligations under the </w:t>
      </w:r>
      <w:r w:rsidR="00275C69">
        <w:t xml:space="preserve">Amendment </w:t>
      </w:r>
      <w:r>
        <w:t xml:space="preserve">Act </w:t>
      </w:r>
      <w:r w:rsidR="00275C69">
        <w:t>that will continue in the base case, and these impacts are not considered in this RIS.</w:t>
      </w:r>
    </w:p>
    <w:p w14:paraId="153F9D63" w14:textId="506493E7" w:rsidR="00DF38E7" w:rsidRDefault="00DF38E7" w:rsidP="00DF38E7">
      <w:r>
        <w:t>The costs criteria corresponding to the three assessment sections are shown in the table below</w:t>
      </w:r>
    </w:p>
    <w:p w14:paraId="0C78033A" w14:textId="6C22176D" w:rsidR="007B26F9" w:rsidRDefault="00A61D31" w:rsidP="00A61D31">
      <w:pPr>
        <w:pStyle w:val="Caption"/>
      </w:pPr>
      <w:bookmarkStart w:id="307" w:name="_Toc104217622"/>
      <w:r>
        <w:lastRenderedPageBreak/>
        <w:t xml:space="preserve">Table </w:t>
      </w:r>
      <w:r>
        <w:fldChar w:fldCharType="begin"/>
      </w:r>
      <w:r>
        <w:instrText>SEQ Table \* ARABIC</w:instrText>
      </w:r>
      <w:r>
        <w:fldChar w:fldCharType="separate"/>
      </w:r>
      <w:r w:rsidR="000B3BF6">
        <w:rPr>
          <w:noProof/>
        </w:rPr>
        <w:t>6</w:t>
      </w:r>
      <w:r>
        <w:fldChar w:fldCharType="end"/>
      </w:r>
      <w:r>
        <w:t xml:space="preserve">: </w:t>
      </w:r>
      <w:r w:rsidR="00DF38E7">
        <w:t>Cost criteria</w:t>
      </w:r>
      <w:bookmarkEnd w:id="307"/>
    </w:p>
    <w:tbl>
      <w:tblPr>
        <w:tblStyle w:val="TableGrid"/>
        <w:tblW w:w="9214"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CellMar>
          <w:top w:w="28" w:type="dxa"/>
          <w:bottom w:w="28" w:type="dxa"/>
        </w:tblCellMar>
        <w:tblLook w:val="04A0" w:firstRow="1" w:lastRow="0" w:firstColumn="1" w:lastColumn="0" w:noHBand="0" w:noVBand="1"/>
      </w:tblPr>
      <w:tblGrid>
        <w:gridCol w:w="1843"/>
        <w:gridCol w:w="7371"/>
      </w:tblGrid>
      <w:tr w:rsidR="00DF38E7" w:rsidRPr="00BA70A6" w14:paraId="7E578293" w14:textId="77777777" w:rsidTr="008E75CA">
        <w:trPr>
          <w:trHeight w:val="283"/>
          <w:tblHeader/>
        </w:trPr>
        <w:tc>
          <w:tcPr>
            <w:tcW w:w="1843" w:type="dxa"/>
            <w:shd w:val="clear" w:color="auto" w:fill="1B0B38"/>
            <w:vAlign w:val="center"/>
          </w:tcPr>
          <w:p w14:paraId="0354EB71" w14:textId="77777777" w:rsidR="00DF38E7" w:rsidRPr="00BA70A6" w:rsidRDefault="00DF38E7" w:rsidP="008E75CA">
            <w:pPr>
              <w:spacing w:before="0"/>
              <w:rPr>
                <w:rStyle w:val="Strong"/>
                <w:color w:val="FFFFFF" w:themeColor="background1"/>
              </w:rPr>
            </w:pPr>
            <w:r>
              <w:rPr>
                <w:rStyle w:val="Strong"/>
                <w:color w:val="FFFFFF" w:themeColor="background1"/>
              </w:rPr>
              <w:t>Assessment</w:t>
            </w:r>
          </w:p>
        </w:tc>
        <w:tc>
          <w:tcPr>
            <w:tcW w:w="7371" w:type="dxa"/>
            <w:shd w:val="clear" w:color="auto" w:fill="1B0B38"/>
            <w:vAlign w:val="center"/>
          </w:tcPr>
          <w:p w14:paraId="6BD8FC64" w14:textId="4B2CBFE6" w:rsidR="00DF38E7" w:rsidRPr="00BA70A6" w:rsidRDefault="00DF38E7" w:rsidP="008E75CA">
            <w:pPr>
              <w:spacing w:before="0"/>
              <w:rPr>
                <w:rStyle w:val="Strong"/>
                <w:color w:val="FFFFFF" w:themeColor="background1"/>
              </w:rPr>
            </w:pPr>
            <w:r>
              <w:rPr>
                <w:rStyle w:val="Strong"/>
                <w:color w:val="FFFFFF" w:themeColor="background1"/>
              </w:rPr>
              <w:t>Cost criteria</w:t>
            </w:r>
          </w:p>
        </w:tc>
      </w:tr>
      <w:tr w:rsidR="006C76B1" w:rsidRPr="00D51674" w14:paraId="5BB71F4D" w14:textId="77777777" w:rsidTr="004B7548">
        <w:trPr>
          <w:cantSplit/>
          <w:trHeight w:val="358"/>
        </w:trPr>
        <w:tc>
          <w:tcPr>
            <w:tcW w:w="1843" w:type="dxa"/>
          </w:tcPr>
          <w:p w14:paraId="7E392C79" w14:textId="5B7B22AC" w:rsidR="006C76B1" w:rsidRPr="00B10D68" w:rsidRDefault="006C76B1" w:rsidP="008E75CA">
            <w:pPr>
              <w:spacing w:before="0"/>
            </w:pPr>
            <w:r>
              <w:rPr>
                <w:b/>
                <w:bCs/>
              </w:rPr>
              <w:t>6.3 Declared Mine Rehabilitation Plan</w:t>
            </w:r>
          </w:p>
        </w:tc>
        <w:tc>
          <w:tcPr>
            <w:tcW w:w="7371" w:type="dxa"/>
          </w:tcPr>
          <w:p w14:paraId="145CE947" w14:textId="77777777" w:rsidR="006C76B1" w:rsidRPr="006F567D" w:rsidRDefault="006C76B1" w:rsidP="008E75CA">
            <w:pPr>
              <w:spacing w:before="0"/>
              <w:rPr>
                <w:rFonts w:asciiTheme="minorHAnsi" w:hAnsiTheme="minorHAnsi"/>
                <w:color w:val="auto"/>
                <w:sz w:val="22"/>
              </w:rPr>
            </w:pPr>
            <w:r>
              <w:t>Costs to government relative to the base case in:</w:t>
            </w:r>
          </w:p>
          <w:p w14:paraId="4B6DF872" w14:textId="77777777" w:rsidR="006C76B1" w:rsidRPr="008E75CA" w:rsidRDefault="006C76B1" w:rsidP="008E75CA">
            <w:pPr>
              <w:pStyle w:val="ListParagraph"/>
              <w:numPr>
                <w:ilvl w:val="0"/>
                <w:numId w:val="38"/>
              </w:numPr>
              <w:rPr>
                <w:rFonts w:asciiTheme="minorHAnsi" w:hAnsiTheme="minorHAnsi" w:cstheme="minorHAnsi"/>
                <w:sz w:val="18"/>
                <w:szCs w:val="18"/>
              </w:rPr>
            </w:pPr>
            <w:r w:rsidRPr="008E75CA">
              <w:rPr>
                <w:rFonts w:asciiTheme="minorHAnsi" w:hAnsiTheme="minorHAnsi" w:cstheme="minorHAnsi"/>
                <w:sz w:val="18"/>
                <w:szCs w:val="18"/>
              </w:rPr>
              <w:t>Assessing and approving DMRPs;</w:t>
            </w:r>
          </w:p>
          <w:p w14:paraId="54E11B55" w14:textId="5C824E7D" w:rsidR="006C76B1" w:rsidRPr="008E75CA" w:rsidRDefault="006F567D" w:rsidP="008E75CA">
            <w:pPr>
              <w:pStyle w:val="ListParagraph"/>
              <w:numPr>
                <w:ilvl w:val="0"/>
                <w:numId w:val="38"/>
              </w:numPr>
              <w:rPr>
                <w:rFonts w:asciiTheme="minorHAnsi" w:hAnsiTheme="minorHAnsi" w:cstheme="minorHAnsi"/>
                <w:sz w:val="18"/>
                <w:szCs w:val="18"/>
              </w:rPr>
            </w:pPr>
            <w:r>
              <w:rPr>
                <w:rFonts w:asciiTheme="minorHAnsi" w:hAnsiTheme="minorHAnsi" w:cstheme="minorHAnsi"/>
                <w:sz w:val="18"/>
                <w:szCs w:val="18"/>
              </w:rPr>
              <w:t>M</w:t>
            </w:r>
            <w:r w:rsidR="006C76B1" w:rsidRPr="008E75CA">
              <w:rPr>
                <w:rFonts w:asciiTheme="minorHAnsi" w:hAnsiTheme="minorHAnsi" w:cstheme="minorHAnsi"/>
                <w:sz w:val="18"/>
                <w:szCs w:val="18"/>
              </w:rPr>
              <w:t>onitoring rehabilitation carried out under DMRPs; and</w:t>
            </w:r>
          </w:p>
          <w:p w14:paraId="5AE277A0" w14:textId="0E0A0075" w:rsidR="006C76B1" w:rsidRPr="008E75CA" w:rsidRDefault="006F567D" w:rsidP="008E75CA">
            <w:pPr>
              <w:pStyle w:val="ListParagraph"/>
              <w:numPr>
                <w:ilvl w:val="0"/>
                <w:numId w:val="38"/>
              </w:numPr>
              <w:rPr>
                <w:rFonts w:asciiTheme="minorHAnsi" w:hAnsiTheme="minorHAnsi" w:cstheme="minorHAnsi"/>
                <w:sz w:val="18"/>
                <w:szCs w:val="18"/>
              </w:rPr>
            </w:pPr>
            <w:r>
              <w:rPr>
                <w:rFonts w:asciiTheme="minorHAnsi" w:hAnsiTheme="minorHAnsi" w:cstheme="minorHAnsi"/>
                <w:sz w:val="18"/>
                <w:szCs w:val="18"/>
              </w:rPr>
              <w:t>R</w:t>
            </w:r>
            <w:r w:rsidR="006C76B1" w:rsidRPr="008E75CA">
              <w:rPr>
                <w:rFonts w:asciiTheme="minorHAnsi" w:hAnsiTheme="minorHAnsi" w:cstheme="minorHAnsi"/>
                <w:sz w:val="18"/>
                <w:szCs w:val="18"/>
              </w:rPr>
              <w:t xml:space="preserve">esponding to reported events or circumstances in relation to the plan. </w:t>
            </w:r>
          </w:p>
          <w:p w14:paraId="6E736358" w14:textId="38887CBF" w:rsidR="006C76B1" w:rsidRPr="00B10D68" w:rsidRDefault="006C76B1" w:rsidP="008E75CA">
            <w:pPr>
              <w:spacing w:before="0"/>
            </w:pPr>
            <w:r>
              <w:t xml:space="preserve">Costs to industry (including time delays) relative to the base case </w:t>
            </w:r>
          </w:p>
        </w:tc>
      </w:tr>
      <w:tr w:rsidR="006C76B1" w:rsidRPr="00D51674" w14:paraId="6DEAA62B" w14:textId="77777777" w:rsidTr="006F567D">
        <w:trPr>
          <w:trHeight w:val="358"/>
        </w:trPr>
        <w:tc>
          <w:tcPr>
            <w:tcW w:w="1843" w:type="dxa"/>
          </w:tcPr>
          <w:p w14:paraId="1B38C263" w14:textId="6E6B47BD" w:rsidR="006C76B1" w:rsidRDefault="006C76B1" w:rsidP="008E75CA">
            <w:pPr>
              <w:spacing w:before="0"/>
            </w:pPr>
            <w:r>
              <w:rPr>
                <w:b/>
                <w:bCs/>
              </w:rPr>
              <w:t xml:space="preserve">6.4 </w:t>
            </w:r>
            <w:r w:rsidR="00F21507">
              <w:rPr>
                <w:b/>
                <w:bCs/>
              </w:rPr>
              <w:t>M</w:t>
            </w:r>
            <w:r>
              <w:rPr>
                <w:b/>
                <w:bCs/>
              </w:rPr>
              <w:t>ine closure determinations</w:t>
            </w:r>
          </w:p>
        </w:tc>
        <w:tc>
          <w:tcPr>
            <w:tcW w:w="7371" w:type="dxa"/>
          </w:tcPr>
          <w:p w14:paraId="4F249640" w14:textId="77777777" w:rsidR="006C76B1" w:rsidRDefault="006C76B1" w:rsidP="008E75CA">
            <w:pPr>
              <w:spacing w:before="0"/>
            </w:pPr>
            <w:r>
              <w:t>Costs to government relative to the base case of administering and enforcing the system</w:t>
            </w:r>
          </w:p>
          <w:p w14:paraId="1BBE485C" w14:textId="59740284" w:rsidR="006C76B1" w:rsidRPr="0074315C" w:rsidRDefault="006C76B1" w:rsidP="008E75CA">
            <w:pPr>
              <w:spacing w:before="0"/>
            </w:pPr>
            <w:r>
              <w:t>Costs to industry (including time delays) relative to the base case</w:t>
            </w:r>
          </w:p>
        </w:tc>
      </w:tr>
      <w:tr w:rsidR="006C76B1" w:rsidRPr="00D51674" w14:paraId="3D1A478C" w14:textId="77777777" w:rsidTr="006F567D">
        <w:trPr>
          <w:trHeight w:val="358"/>
        </w:trPr>
        <w:tc>
          <w:tcPr>
            <w:tcW w:w="1843" w:type="dxa"/>
            <w:tcBorders>
              <w:bottom w:val="single" w:sz="4" w:space="0" w:color="1B0B38"/>
            </w:tcBorders>
          </w:tcPr>
          <w:p w14:paraId="5DF5BB07" w14:textId="75708D97" w:rsidR="006C76B1" w:rsidRDefault="006C76B1" w:rsidP="008E75CA">
            <w:pPr>
              <w:spacing w:before="0"/>
            </w:pPr>
            <w:r>
              <w:rPr>
                <w:b/>
                <w:bCs/>
              </w:rPr>
              <w:t xml:space="preserve">6.5 </w:t>
            </w:r>
            <w:r w:rsidR="00F21507">
              <w:rPr>
                <w:b/>
                <w:bCs/>
              </w:rPr>
              <w:t>M</w:t>
            </w:r>
            <w:r>
              <w:rPr>
                <w:b/>
                <w:bCs/>
              </w:rPr>
              <w:t>ine land registration</w:t>
            </w:r>
          </w:p>
        </w:tc>
        <w:tc>
          <w:tcPr>
            <w:tcW w:w="7371" w:type="dxa"/>
            <w:tcBorders>
              <w:bottom w:val="single" w:sz="4" w:space="0" w:color="1B0B38"/>
            </w:tcBorders>
          </w:tcPr>
          <w:p w14:paraId="327CF1CF" w14:textId="77777777" w:rsidR="006C76B1" w:rsidRDefault="006C76B1" w:rsidP="008E75CA">
            <w:pPr>
              <w:spacing w:before="0"/>
            </w:pPr>
            <w:r>
              <w:t>Costs to government relative to the base case of administering and enforcing the system</w:t>
            </w:r>
          </w:p>
          <w:p w14:paraId="43F22FA3" w14:textId="3D23E80F" w:rsidR="006C76B1" w:rsidRPr="001B04BC" w:rsidRDefault="006C76B1" w:rsidP="008E75CA">
            <w:pPr>
              <w:spacing w:before="0"/>
              <w:rPr>
                <w:rFonts w:asciiTheme="minorHAnsi" w:hAnsiTheme="minorHAnsi" w:cstheme="minorHAnsi"/>
                <w:szCs w:val="18"/>
              </w:rPr>
            </w:pPr>
            <w:r>
              <w:t>Costs to industry (including time delays) relative to the base case</w:t>
            </w:r>
          </w:p>
        </w:tc>
      </w:tr>
    </w:tbl>
    <w:p w14:paraId="7DB899CC" w14:textId="3231C8B2" w:rsidR="009916F8" w:rsidRDefault="009916F8" w:rsidP="00D50C43">
      <w:pPr>
        <w:pStyle w:val="Heading2"/>
        <w:numPr>
          <w:ilvl w:val="1"/>
          <w:numId w:val="124"/>
        </w:numPr>
      </w:pPr>
      <w:bookmarkStart w:id="308" w:name="_Toc104217706"/>
      <w:r w:rsidRPr="00C2183A">
        <w:t>Scoring</w:t>
      </w:r>
      <w:bookmarkEnd w:id="306"/>
      <w:bookmarkEnd w:id="308"/>
    </w:p>
    <w:p w14:paraId="11D6841C" w14:textId="6D96D513" w:rsidR="001E3F27" w:rsidRPr="001E3F27" w:rsidRDefault="001E3F27" w:rsidP="001E3F27">
      <w:r>
        <w:t>MCA allows a decision to be made based on weighted scores. Each option is scored against the defined criteria and the option assigned the highest weighted score is the ‘preferred option’.</w:t>
      </w:r>
    </w:p>
    <w:p w14:paraId="43EFA8B4" w14:textId="055ACDB0" w:rsidR="00EF23CE" w:rsidRDefault="00681751" w:rsidP="00D50C43">
      <w:pPr>
        <w:pStyle w:val="Heading3"/>
        <w:numPr>
          <w:ilvl w:val="2"/>
          <w:numId w:val="124"/>
        </w:numPr>
      </w:pPr>
      <w:bookmarkStart w:id="309" w:name="_Toc104217707"/>
      <w:r>
        <w:t>Assigning scores for each option</w:t>
      </w:r>
      <w:bookmarkEnd w:id="309"/>
    </w:p>
    <w:p w14:paraId="752B15B8" w14:textId="773A3F5D" w:rsidR="006B27CE" w:rsidRPr="006B27CE" w:rsidRDefault="001E41F5" w:rsidP="006B27CE">
      <w:r>
        <w:t>A symmetric scoring scale ranging from -10 to +10 is used in this RIS to score the proposed options against each criterion, shown in the diagram below.</w:t>
      </w:r>
    </w:p>
    <w:p w14:paraId="5B0D9A22" w14:textId="341E85EA" w:rsidR="009916F8" w:rsidRDefault="009916F8" w:rsidP="007D1AC0">
      <w:pPr>
        <w:pStyle w:val="Caption"/>
      </w:pPr>
      <w:bookmarkStart w:id="310" w:name="_Toc4161428"/>
      <w:bookmarkStart w:id="311" w:name="_Toc104217614"/>
      <w:r>
        <w:t xml:space="preserve">Figure </w:t>
      </w:r>
      <w:r>
        <w:fldChar w:fldCharType="begin"/>
      </w:r>
      <w:r>
        <w:instrText>SEQ Figure \* ARABIC</w:instrText>
      </w:r>
      <w:r>
        <w:fldChar w:fldCharType="separate"/>
      </w:r>
      <w:r w:rsidR="000B3BF6">
        <w:rPr>
          <w:noProof/>
        </w:rPr>
        <w:t>10</w:t>
      </w:r>
      <w:r>
        <w:fldChar w:fldCharType="end"/>
      </w:r>
      <w:r>
        <w:t xml:space="preserve">: </w:t>
      </w:r>
      <w:r w:rsidR="737E5B08">
        <w:t>MCA</w:t>
      </w:r>
      <w:r>
        <w:t xml:space="preserve"> scale used in scoring options</w:t>
      </w:r>
      <w:bookmarkEnd w:id="310"/>
      <w:bookmarkEnd w:id="311"/>
    </w:p>
    <w:p w14:paraId="33DEF739" w14:textId="77777777" w:rsidR="009916F8" w:rsidRDefault="009916F8" w:rsidP="009916F8">
      <w:pPr>
        <w:jc w:val="center"/>
      </w:pPr>
      <w:r>
        <w:rPr>
          <w:noProof/>
        </w:rPr>
        <w:drawing>
          <wp:inline distT="0" distB="0" distL="0" distR="0" wp14:anchorId="744E7200" wp14:editId="2EB6C279">
            <wp:extent cx="5086350" cy="1903720"/>
            <wp:effectExtent l="0" t="0" r="0" b="0"/>
            <wp:docPr id="15774197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5">
                      <a:extLst>
                        <a:ext uri="{28A0092B-C50C-407E-A947-70E740481C1C}">
                          <a14:useLocalDpi xmlns:a14="http://schemas.microsoft.com/office/drawing/2010/main" val="0"/>
                        </a:ext>
                      </a:extLst>
                    </a:blip>
                    <a:stretch>
                      <a:fillRect/>
                    </a:stretch>
                  </pic:blipFill>
                  <pic:spPr>
                    <a:xfrm>
                      <a:off x="0" y="0"/>
                      <a:ext cx="5086350" cy="1903720"/>
                    </a:xfrm>
                    <a:prstGeom prst="rect">
                      <a:avLst/>
                    </a:prstGeom>
                  </pic:spPr>
                </pic:pic>
              </a:graphicData>
            </a:graphic>
          </wp:inline>
        </w:drawing>
      </w:r>
    </w:p>
    <w:p w14:paraId="0BBF1CA1" w14:textId="3427C446" w:rsidR="009916F8" w:rsidRDefault="001E41F5" w:rsidP="009916F8">
      <w:r>
        <w:t>Benefits are</w:t>
      </w:r>
      <w:r w:rsidR="009916F8">
        <w:t xml:space="preserve"> scored between 0 and +10. A score of 0 means that the option does not further the objectives of the Principal Act in any way, relative to the base case. A score of +10 means that the option furthers the objectives of the Act to the optimum extent possible. A negative score is not possible for effectiveness, as no option would be considered which was contrary to the objectives of the Principal Act.</w:t>
      </w:r>
    </w:p>
    <w:p w14:paraId="3DB9F493" w14:textId="5CDB09C6" w:rsidR="009916F8" w:rsidRDefault="009916F8" w:rsidP="009916F8">
      <w:r>
        <w:t xml:space="preserve">Costs are scored from +10 to </w:t>
      </w:r>
      <w:r w:rsidR="008D0497">
        <w:t>-</w:t>
      </w:r>
      <w:r>
        <w:t xml:space="preserve">10. </w:t>
      </w:r>
      <w:r w:rsidR="00562657">
        <w:t xml:space="preserve">Cost criteria are defined as ‘cost’ rather than ‘cost minimisation’, meaning that an option that is more costly than the base case will receive a negative score. </w:t>
      </w:r>
      <w:r>
        <w:t xml:space="preserve">A score of 0 means that the option does not add any regulatory costs over the base case. A score of -10 means that the option imposes </w:t>
      </w:r>
      <w:r w:rsidR="00D73C9A">
        <w:t xml:space="preserve">much higher </w:t>
      </w:r>
      <w:r>
        <w:t xml:space="preserve">costs </w:t>
      </w:r>
      <w:r w:rsidR="00D73C9A">
        <w:t xml:space="preserve">than </w:t>
      </w:r>
      <w:r w:rsidR="007A32CE">
        <w:t xml:space="preserve">the </w:t>
      </w:r>
      <w:r w:rsidR="006D2DA4">
        <w:t xml:space="preserve">benefits </w:t>
      </w:r>
      <w:r w:rsidR="00B14D7F">
        <w:t xml:space="preserve">gained from </w:t>
      </w:r>
      <w:r w:rsidR="007A32CE">
        <w:t xml:space="preserve">introducing the </w:t>
      </w:r>
      <w:r w:rsidR="00B14D7F">
        <w:t>reg</w:t>
      </w:r>
      <w:r w:rsidR="00330CFF">
        <w:t xml:space="preserve">ulations </w:t>
      </w:r>
      <w:r w:rsidR="007A32CE">
        <w:t xml:space="preserve">compared with </w:t>
      </w:r>
      <w:r>
        <w:t>the base case. A positive score would be given where the regulations reduce costs relative to the base case. While theoretically possible, it is unlikely that any option would return a strongly positive score.</w:t>
      </w:r>
    </w:p>
    <w:p w14:paraId="78C0180D" w14:textId="77777777" w:rsidR="00757629" w:rsidRDefault="00757629" w:rsidP="00757629">
      <w:r>
        <w:t>Factors that contributed to the scoring includes:</w:t>
      </w:r>
    </w:p>
    <w:p w14:paraId="7C67A11B" w14:textId="2B584A9D" w:rsidR="00757629" w:rsidRDefault="00757629" w:rsidP="00757629">
      <w:pPr>
        <w:pStyle w:val="dotpoints"/>
      </w:pPr>
      <w:r>
        <w:t>The scale of the impact, assuming it does eventuate</w:t>
      </w:r>
    </w:p>
    <w:p w14:paraId="2E9C88B6" w14:textId="5FE7E862" w:rsidR="00757629" w:rsidRDefault="00757629" w:rsidP="00757629">
      <w:pPr>
        <w:pStyle w:val="dotpoints"/>
      </w:pPr>
      <w:r>
        <w:t>The likelihood of a cost or benefit eventuating, based on the current state</w:t>
      </w:r>
    </w:p>
    <w:p w14:paraId="46358A5B" w14:textId="77777777" w:rsidR="00757629" w:rsidRDefault="00757629" w:rsidP="00757629">
      <w:pPr>
        <w:pStyle w:val="dotpoints"/>
      </w:pPr>
      <w:r>
        <w:t>Whether a cost is likely to impact all declared mines, or only some mines/in some circumstances</w:t>
      </w:r>
    </w:p>
    <w:p w14:paraId="76763DA7" w14:textId="489815BA" w:rsidR="00757629" w:rsidRDefault="00757629" w:rsidP="005E6A36">
      <w:pPr>
        <w:pStyle w:val="dotpoints"/>
      </w:pPr>
      <w:r>
        <w:t>The extent to which a potential impact arising relies on other events not guaranteed by the proposed option (for example, a change in practice by the regulator)</w:t>
      </w:r>
    </w:p>
    <w:p w14:paraId="5B5B8FFF" w14:textId="77777777" w:rsidR="00F46765" w:rsidRDefault="00F46765" w:rsidP="00F46765">
      <w:pPr>
        <w:pStyle w:val="Heading3"/>
        <w:numPr>
          <w:ilvl w:val="2"/>
          <w:numId w:val="69"/>
        </w:numPr>
      </w:pPr>
      <w:bookmarkStart w:id="312" w:name="_Toc104217708"/>
      <w:r>
        <w:lastRenderedPageBreak/>
        <w:t>Assigning a weighting to each criterion</w:t>
      </w:r>
      <w:bookmarkEnd w:id="312"/>
    </w:p>
    <w:p w14:paraId="62B01B14" w14:textId="44C05668" w:rsidR="00F46765" w:rsidRDefault="00F46765" w:rsidP="00F46765">
      <w:pPr>
        <w:rPr>
          <w:rFonts w:asciiTheme="minorHAnsi" w:hAnsiTheme="minorHAnsi"/>
          <w:color w:val="auto"/>
          <w:sz w:val="22"/>
        </w:rPr>
      </w:pPr>
      <w:r>
        <w:t xml:space="preserve">The weights assigned to each criterion in MCA can have a significant effect on the outcome of the assessment. Neutral weights of 50 per cent in total for the benefit-related criteria and 50 per cent in total for the cost-related criteria have been applied to ensure that there is no cost or benefit bias in the weighted scores. </w:t>
      </w:r>
    </w:p>
    <w:p w14:paraId="76E054A4" w14:textId="3FD97692" w:rsidR="00F46765" w:rsidRDefault="00F46765" w:rsidP="00F46765">
      <w:r>
        <w:t>The sub-weights assigned for each of the criterion reflect the equal weighting that government gives to achieving the objectives within each part of the regulatory frameworks</w:t>
      </w:r>
      <w:r w:rsidR="002A2139">
        <w:t xml:space="preserve"> and the cost impost </w:t>
      </w:r>
      <w:r w:rsidR="002C6B52">
        <w:t>on</w:t>
      </w:r>
      <w:r w:rsidR="002A2139">
        <w:t xml:space="preserve"> government and industry</w:t>
      </w:r>
      <w:r>
        <w:t>.</w:t>
      </w:r>
    </w:p>
    <w:p w14:paraId="41AD0436" w14:textId="04BF13A6" w:rsidR="001E3F27" w:rsidRDefault="001E3F27" w:rsidP="001E3F27">
      <w:pPr>
        <w:pStyle w:val="Caption"/>
      </w:pPr>
      <w:bookmarkStart w:id="313" w:name="_Ref57622611"/>
      <w:r w:rsidRPr="001E3F27">
        <w:t xml:space="preserve"> </w:t>
      </w:r>
      <w:bookmarkStart w:id="314" w:name="_Toc104217623"/>
      <w:r>
        <w:t xml:space="preserve">Table </w:t>
      </w:r>
      <w:r>
        <w:rPr>
          <w:noProof/>
        </w:rPr>
        <w:fldChar w:fldCharType="begin"/>
      </w:r>
      <w:r>
        <w:rPr>
          <w:noProof/>
        </w:rPr>
        <w:instrText xml:space="preserve"> SEQ Table \* ARABIC </w:instrText>
      </w:r>
      <w:r>
        <w:rPr>
          <w:noProof/>
        </w:rPr>
        <w:fldChar w:fldCharType="separate"/>
      </w:r>
      <w:r w:rsidR="000B3BF6">
        <w:rPr>
          <w:noProof/>
        </w:rPr>
        <w:t>7</w:t>
      </w:r>
      <w:r>
        <w:rPr>
          <w:noProof/>
        </w:rPr>
        <w:fldChar w:fldCharType="end"/>
      </w:r>
      <w:bookmarkEnd w:id="313"/>
      <w:r>
        <w:t xml:space="preserve">: </w:t>
      </w:r>
      <w:r w:rsidR="004272A6">
        <w:t>MCA c</w:t>
      </w:r>
      <w:r>
        <w:t xml:space="preserve">riteria </w:t>
      </w:r>
      <w:r w:rsidR="004272A6">
        <w:t xml:space="preserve">and </w:t>
      </w:r>
      <w:r>
        <w:t>weightings</w:t>
      </w:r>
      <w:bookmarkEnd w:id="314"/>
    </w:p>
    <w:tbl>
      <w:tblPr>
        <w:tblStyle w:val="TableGrid"/>
        <w:tblW w:w="9026"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CellMar>
          <w:top w:w="28" w:type="dxa"/>
          <w:bottom w:w="28" w:type="dxa"/>
        </w:tblCellMar>
        <w:tblLook w:val="04A0" w:firstRow="1" w:lastRow="0" w:firstColumn="1" w:lastColumn="0" w:noHBand="0" w:noVBand="1"/>
      </w:tblPr>
      <w:tblGrid>
        <w:gridCol w:w="7655"/>
        <w:gridCol w:w="1371"/>
      </w:tblGrid>
      <w:tr w:rsidR="001E3F27" w:rsidRPr="00BA70A6" w14:paraId="32318FB7" w14:textId="77777777" w:rsidTr="217C4165">
        <w:trPr>
          <w:trHeight w:val="283"/>
          <w:tblHeader/>
        </w:trPr>
        <w:tc>
          <w:tcPr>
            <w:tcW w:w="7655" w:type="dxa"/>
            <w:shd w:val="clear" w:color="auto" w:fill="1B0B38"/>
            <w:vAlign w:val="center"/>
          </w:tcPr>
          <w:p w14:paraId="2587727F" w14:textId="77777777" w:rsidR="001E3F27" w:rsidRPr="00BA70A6" w:rsidRDefault="001E3F27" w:rsidP="00C6402C">
            <w:pPr>
              <w:spacing w:before="0"/>
              <w:rPr>
                <w:rStyle w:val="Strong"/>
                <w:i/>
                <w:iCs/>
                <w:color w:val="FFFFFF" w:themeColor="background1"/>
                <w:szCs w:val="18"/>
              </w:rPr>
            </w:pPr>
            <w:bookmarkStart w:id="315" w:name="_Hlk100332352"/>
            <w:r>
              <w:rPr>
                <w:rStyle w:val="Strong"/>
                <w:color w:val="FFFFFF" w:themeColor="background1"/>
              </w:rPr>
              <w:t>Criteria</w:t>
            </w:r>
          </w:p>
        </w:tc>
        <w:tc>
          <w:tcPr>
            <w:tcW w:w="1371" w:type="dxa"/>
            <w:shd w:val="clear" w:color="auto" w:fill="1B0B38"/>
            <w:vAlign w:val="center"/>
          </w:tcPr>
          <w:p w14:paraId="584034AC" w14:textId="77777777" w:rsidR="001E3F27" w:rsidRDefault="001E3F27" w:rsidP="00C6402C">
            <w:pPr>
              <w:spacing w:before="0"/>
              <w:jc w:val="center"/>
              <w:rPr>
                <w:rStyle w:val="Strong"/>
                <w:color w:val="FFFFFF" w:themeColor="background1"/>
              </w:rPr>
            </w:pPr>
            <w:r>
              <w:rPr>
                <w:rStyle w:val="Strong"/>
                <w:color w:val="FFFFFF" w:themeColor="background1"/>
              </w:rPr>
              <w:t>Weighting</w:t>
            </w:r>
          </w:p>
        </w:tc>
      </w:tr>
      <w:tr w:rsidR="001E3F27" w:rsidRPr="00BA70A6" w14:paraId="6A3E480A" w14:textId="77777777" w:rsidTr="217C4165">
        <w:trPr>
          <w:trHeight w:val="283"/>
        </w:trPr>
        <w:tc>
          <w:tcPr>
            <w:tcW w:w="7655" w:type="dxa"/>
            <w:shd w:val="clear" w:color="auto" w:fill="D9D9D6" w:themeFill="background2"/>
            <w:vAlign w:val="center"/>
          </w:tcPr>
          <w:p w14:paraId="3263222B" w14:textId="53B2765E" w:rsidR="001E3F27" w:rsidRDefault="001E3F27" w:rsidP="00C6402C">
            <w:pPr>
              <w:spacing w:before="0"/>
              <w:rPr>
                <w:rStyle w:val="Strong"/>
                <w:color w:val="FFFFFF" w:themeColor="background1"/>
              </w:rPr>
            </w:pPr>
            <w:r>
              <w:rPr>
                <w:b/>
                <w:bCs/>
              </w:rPr>
              <w:t>Declared Mine Rehabilitation Plan</w:t>
            </w:r>
          </w:p>
        </w:tc>
        <w:tc>
          <w:tcPr>
            <w:tcW w:w="1371" w:type="dxa"/>
            <w:shd w:val="clear" w:color="auto" w:fill="D9D9D6" w:themeFill="background2"/>
            <w:vAlign w:val="center"/>
          </w:tcPr>
          <w:p w14:paraId="2022986D" w14:textId="77777777" w:rsidR="001E3F27" w:rsidRDefault="001E3F27" w:rsidP="00C6402C">
            <w:pPr>
              <w:spacing w:before="0"/>
              <w:jc w:val="center"/>
              <w:rPr>
                <w:b/>
                <w:bCs/>
              </w:rPr>
            </w:pPr>
          </w:p>
        </w:tc>
      </w:tr>
      <w:tr w:rsidR="001E3F27" w:rsidRPr="00D51674" w14:paraId="459D7BFA" w14:textId="77777777" w:rsidTr="217C4165">
        <w:trPr>
          <w:trHeight w:val="283"/>
        </w:trPr>
        <w:tc>
          <w:tcPr>
            <w:tcW w:w="7655" w:type="dxa"/>
            <w:vAlign w:val="center"/>
          </w:tcPr>
          <w:p w14:paraId="725E9B8B" w14:textId="77777777" w:rsidR="001E3F27" w:rsidRPr="008E75CA" w:rsidRDefault="001E3F27" w:rsidP="00C6402C">
            <w:pPr>
              <w:spacing w:before="0"/>
              <w:rPr>
                <w:rFonts w:asciiTheme="minorHAnsi" w:hAnsiTheme="minorHAnsi" w:cstheme="minorHAnsi"/>
                <w:b/>
                <w:bCs/>
                <w:szCs w:val="18"/>
              </w:rPr>
            </w:pPr>
            <w:r w:rsidRPr="008E75CA">
              <w:rPr>
                <w:rFonts w:asciiTheme="minorHAnsi" w:hAnsiTheme="minorHAnsi" w:cstheme="minorHAnsi"/>
                <w:b/>
                <w:bCs/>
                <w:szCs w:val="18"/>
              </w:rPr>
              <w:t>Benefits Criteria</w:t>
            </w:r>
          </w:p>
        </w:tc>
        <w:tc>
          <w:tcPr>
            <w:tcW w:w="1371" w:type="dxa"/>
            <w:vAlign w:val="center"/>
          </w:tcPr>
          <w:p w14:paraId="328223A0" w14:textId="77777777" w:rsidR="001E3F27" w:rsidRDefault="001E3F27" w:rsidP="00C6402C">
            <w:pPr>
              <w:spacing w:before="0"/>
              <w:jc w:val="center"/>
              <w:rPr>
                <w:rFonts w:asciiTheme="minorHAnsi" w:hAnsiTheme="minorHAnsi" w:cstheme="minorHAnsi"/>
                <w:szCs w:val="18"/>
              </w:rPr>
            </w:pPr>
          </w:p>
        </w:tc>
      </w:tr>
      <w:tr w:rsidR="00E51EC2" w:rsidRPr="00D51674" w14:paraId="34228E7E" w14:textId="77777777" w:rsidTr="217C4165">
        <w:trPr>
          <w:trHeight w:val="283"/>
        </w:trPr>
        <w:tc>
          <w:tcPr>
            <w:tcW w:w="7655" w:type="dxa"/>
            <w:vAlign w:val="center"/>
          </w:tcPr>
          <w:p w14:paraId="52938F3E" w14:textId="503BE7C9" w:rsidR="00E51EC2" w:rsidRPr="008E75CA" w:rsidRDefault="00E51EC2" w:rsidP="00DE4290">
            <w:pPr>
              <w:spacing w:before="0"/>
              <w:rPr>
                <w:rFonts w:asciiTheme="minorHAnsi" w:hAnsiTheme="minorHAnsi" w:cstheme="minorHAnsi"/>
                <w:szCs w:val="18"/>
              </w:rPr>
            </w:pPr>
            <w:r>
              <w:rPr>
                <w:rFonts w:asciiTheme="minorHAnsi" w:hAnsiTheme="minorHAnsi" w:cstheme="minorHAnsi"/>
                <w:szCs w:val="18"/>
              </w:rPr>
              <w:t>Manage the risks posed by declared mine land through:</w:t>
            </w:r>
          </w:p>
        </w:tc>
        <w:tc>
          <w:tcPr>
            <w:tcW w:w="1371" w:type="dxa"/>
            <w:vAlign w:val="center"/>
          </w:tcPr>
          <w:p w14:paraId="01EB1F75" w14:textId="77777777" w:rsidR="00E51EC2" w:rsidRDefault="00E51EC2" w:rsidP="00C6402C">
            <w:pPr>
              <w:spacing w:before="0"/>
              <w:jc w:val="center"/>
              <w:rPr>
                <w:rFonts w:asciiTheme="minorHAnsi" w:hAnsiTheme="minorHAnsi" w:cstheme="minorHAnsi"/>
                <w:szCs w:val="18"/>
              </w:rPr>
            </w:pPr>
          </w:p>
        </w:tc>
      </w:tr>
      <w:tr w:rsidR="001E3F27" w:rsidRPr="00D51674" w14:paraId="50C841DF" w14:textId="77777777" w:rsidTr="217C4165">
        <w:trPr>
          <w:trHeight w:val="283"/>
        </w:trPr>
        <w:tc>
          <w:tcPr>
            <w:tcW w:w="7655" w:type="dxa"/>
            <w:vAlign w:val="center"/>
          </w:tcPr>
          <w:p w14:paraId="45AA1144" w14:textId="06520E06" w:rsidR="001E3F27" w:rsidRPr="00B10D68" w:rsidRDefault="001E3F27" w:rsidP="00C6402C">
            <w:pPr>
              <w:spacing w:before="0"/>
              <w:ind w:left="321"/>
              <w:rPr>
                <w:rFonts w:asciiTheme="minorHAnsi" w:hAnsiTheme="minorHAnsi" w:cstheme="minorHAnsi"/>
                <w:szCs w:val="18"/>
              </w:rPr>
            </w:pPr>
            <w:r w:rsidRPr="008E75CA">
              <w:rPr>
                <w:rFonts w:asciiTheme="minorHAnsi" w:hAnsiTheme="minorHAnsi" w:cstheme="minorHAnsi"/>
                <w:szCs w:val="18"/>
              </w:rPr>
              <w:t>Facilitat</w:t>
            </w:r>
            <w:r w:rsidR="00C00C1E">
              <w:rPr>
                <w:rFonts w:asciiTheme="minorHAnsi" w:hAnsiTheme="minorHAnsi" w:cstheme="minorHAnsi"/>
                <w:szCs w:val="18"/>
              </w:rPr>
              <w:t>ing</w:t>
            </w:r>
            <w:r w:rsidRPr="008E75CA">
              <w:rPr>
                <w:rFonts w:asciiTheme="minorHAnsi" w:hAnsiTheme="minorHAnsi" w:cstheme="minorHAnsi"/>
                <w:szCs w:val="18"/>
              </w:rPr>
              <w:t xml:space="preserve"> assessment of declared mine rehabilitation liability</w:t>
            </w:r>
          </w:p>
        </w:tc>
        <w:tc>
          <w:tcPr>
            <w:tcW w:w="1371" w:type="dxa"/>
            <w:vAlign w:val="center"/>
          </w:tcPr>
          <w:p w14:paraId="286549AD" w14:textId="099CF922" w:rsidR="001E3F27" w:rsidRPr="00EF23CE" w:rsidRDefault="001E3F27" w:rsidP="00C6402C">
            <w:pPr>
              <w:spacing w:before="0"/>
              <w:jc w:val="center"/>
              <w:rPr>
                <w:rFonts w:asciiTheme="minorHAnsi" w:hAnsiTheme="minorHAnsi" w:cstheme="minorHAnsi"/>
                <w:szCs w:val="18"/>
              </w:rPr>
            </w:pPr>
            <w:r>
              <w:rPr>
                <w:rFonts w:asciiTheme="minorHAnsi" w:hAnsiTheme="minorHAnsi" w:cstheme="minorHAnsi"/>
                <w:szCs w:val="18"/>
              </w:rPr>
              <w:t>16.7</w:t>
            </w:r>
            <w:r w:rsidRPr="00B06FB5">
              <w:rPr>
                <w:rFonts w:asciiTheme="minorHAnsi" w:hAnsiTheme="minorHAnsi" w:cstheme="minorHAnsi"/>
                <w:szCs w:val="18"/>
              </w:rPr>
              <w:t>%</w:t>
            </w:r>
          </w:p>
        </w:tc>
      </w:tr>
      <w:tr w:rsidR="001E3F27" w:rsidRPr="00D51674" w14:paraId="573B2B79" w14:textId="77777777" w:rsidTr="217C4165">
        <w:trPr>
          <w:trHeight w:val="358"/>
        </w:trPr>
        <w:tc>
          <w:tcPr>
            <w:tcW w:w="7655" w:type="dxa"/>
            <w:vAlign w:val="center"/>
          </w:tcPr>
          <w:p w14:paraId="2D93E18D" w14:textId="14F0A05F" w:rsidR="001E3F27" w:rsidRPr="00B10D68" w:rsidRDefault="001E3F27" w:rsidP="00C6402C">
            <w:pPr>
              <w:spacing w:before="0"/>
              <w:ind w:left="321"/>
              <w:rPr>
                <w:rFonts w:asciiTheme="minorHAnsi" w:hAnsiTheme="minorHAnsi" w:cstheme="minorHAnsi"/>
                <w:szCs w:val="18"/>
              </w:rPr>
            </w:pPr>
            <w:r>
              <w:rPr>
                <w:rFonts w:asciiTheme="minorHAnsi" w:hAnsiTheme="minorHAnsi" w:cstheme="minorHAnsi"/>
                <w:szCs w:val="18"/>
              </w:rPr>
              <w:t>Enabl</w:t>
            </w:r>
            <w:r w:rsidR="00C00C1E">
              <w:rPr>
                <w:rFonts w:asciiTheme="minorHAnsi" w:hAnsiTheme="minorHAnsi" w:cstheme="minorHAnsi"/>
                <w:szCs w:val="18"/>
              </w:rPr>
              <w:t>ing</w:t>
            </w:r>
            <w:r>
              <w:rPr>
                <w:rFonts w:asciiTheme="minorHAnsi" w:hAnsiTheme="minorHAnsi" w:cstheme="minorHAnsi"/>
                <w:szCs w:val="18"/>
              </w:rPr>
              <w:t xml:space="preserve"> </w:t>
            </w:r>
            <w:r w:rsidRPr="00B10D68">
              <w:rPr>
                <w:rFonts w:asciiTheme="minorHAnsi" w:hAnsiTheme="minorHAnsi" w:cstheme="minorHAnsi"/>
                <w:szCs w:val="18"/>
              </w:rPr>
              <w:t>appropriate and integrated regulatory rehabilitation-related decision making</w:t>
            </w:r>
            <w:r>
              <w:rPr>
                <w:rFonts w:asciiTheme="minorHAnsi" w:hAnsiTheme="minorHAnsi" w:cstheme="minorHAnsi"/>
                <w:szCs w:val="18"/>
              </w:rPr>
              <w:t xml:space="preserve"> by government</w:t>
            </w:r>
          </w:p>
        </w:tc>
        <w:tc>
          <w:tcPr>
            <w:tcW w:w="1371" w:type="dxa"/>
          </w:tcPr>
          <w:p w14:paraId="1D40BA63" w14:textId="660E380F" w:rsidR="001E3F27" w:rsidRDefault="001E3F27" w:rsidP="00C6402C">
            <w:pPr>
              <w:spacing w:before="0"/>
              <w:jc w:val="center"/>
              <w:rPr>
                <w:rFonts w:asciiTheme="minorHAnsi" w:hAnsiTheme="minorHAnsi" w:cstheme="minorHAnsi"/>
                <w:szCs w:val="18"/>
              </w:rPr>
            </w:pPr>
            <w:r w:rsidRPr="008C2471">
              <w:rPr>
                <w:rFonts w:asciiTheme="minorHAnsi" w:hAnsiTheme="minorHAnsi" w:cstheme="minorHAnsi"/>
                <w:szCs w:val="18"/>
              </w:rPr>
              <w:t>16.7%</w:t>
            </w:r>
          </w:p>
        </w:tc>
      </w:tr>
      <w:tr w:rsidR="001E3F27" w:rsidRPr="00D51674" w14:paraId="63B31833" w14:textId="77777777" w:rsidTr="217C4165">
        <w:trPr>
          <w:trHeight w:val="283"/>
        </w:trPr>
        <w:tc>
          <w:tcPr>
            <w:tcW w:w="7655" w:type="dxa"/>
            <w:vAlign w:val="center"/>
          </w:tcPr>
          <w:p w14:paraId="13FFB40D" w14:textId="6E452C15" w:rsidR="001E3F27" w:rsidRPr="00B10D68" w:rsidRDefault="001E3F27" w:rsidP="00C6402C">
            <w:pPr>
              <w:spacing w:before="0"/>
              <w:ind w:left="321"/>
              <w:rPr>
                <w:rFonts w:asciiTheme="minorHAnsi" w:hAnsiTheme="minorHAnsi" w:cstheme="minorHAnsi"/>
                <w:szCs w:val="18"/>
              </w:rPr>
            </w:pPr>
            <w:r>
              <w:rPr>
                <w:rFonts w:asciiTheme="minorHAnsi" w:hAnsiTheme="minorHAnsi" w:cstheme="minorHAnsi"/>
                <w:szCs w:val="18"/>
              </w:rPr>
              <w:t>Provid</w:t>
            </w:r>
            <w:r w:rsidR="00C00C1E">
              <w:rPr>
                <w:rFonts w:asciiTheme="minorHAnsi" w:hAnsiTheme="minorHAnsi" w:cstheme="minorHAnsi"/>
                <w:szCs w:val="18"/>
              </w:rPr>
              <w:t>ing</w:t>
            </w:r>
            <w:r>
              <w:rPr>
                <w:rFonts w:asciiTheme="minorHAnsi" w:hAnsiTheme="minorHAnsi" w:cstheme="minorHAnsi"/>
                <w:szCs w:val="18"/>
              </w:rPr>
              <w:t xml:space="preserve"> a transparent and flexible approach to planning</w:t>
            </w:r>
          </w:p>
        </w:tc>
        <w:tc>
          <w:tcPr>
            <w:tcW w:w="1371" w:type="dxa"/>
          </w:tcPr>
          <w:p w14:paraId="53AB0A33" w14:textId="4A8985D1" w:rsidR="001E3F27" w:rsidRDefault="001E3F27" w:rsidP="00C6402C">
            <w:pPr>
              <w:spacing w:before="0"/>
              <w:jc w:val="center"/>
              <w:rPr>
                <w:rFonts w:asciiTheme="minorHAnsi" w:hAnsiTheme="minorHAnsi" w:cstheme="minorHAnsi"/>
                <w:szCs w:val="18"/>
              </w:rPr>
            </w:pPr>
            <w:r w:rsidRPr="008C2471">
              <w:rPr>
                <w:rFonts w:asciiTheme="minorHAnsi" w:hAnsiTheme="minorHAnsi" w:cstheme="minorHAnsi"/>
                <w:szCs w:val="18"/>
              </w:rPr>
              <w:t>16.7%</w:t>
            </w:r>
          </w:p>
        </w:tc>
      </w:tr>
      <w:tr w:rsidR="001E3F27" w:rsidRPr="00D51674" w14:paraId="67F22755" w14:textId="77777777" w:rsidTr="217C4165">
        <w:trPr>
          <w:trHeight w:val="283"/>
        </w:trPr>
        <w:tc>
          <w:tcPr>
            <w:tcW w:w="7655" w:type="dxa"/>
            <w:vAlign w:val="center"/>
          </w:tcPr>
          <w:p w14:paraId="68B435EA" w14:textId="18DF921F" w:rsidR="001E3F27" w:rsidRPr="008E75CA" w:rsidRDefault="001E3F27" w:rsidP="00C6402C">
            <w:pPr>
              <w:spacing w:before="0"/>
              <w:jc w:val="right"/>
              <w:rPr>
                <w:rFonts w:asciiTheme="minorHAnsi" w:hAnsiTheme="minorHAnsi" w:cstheme="minorHAnsi"/>
                <w:b/>
                <w:bCs/>
                <w:szCs w:val="18"/>
              </w:rPr>
            </w:pPr>
            <w:r>
              <w:rPr>
                <w:rFonts w:asciiTheme="minorHAnsi" w:hAnsiTheme="minorHAnsi" w:cstheme="minorHAnsi"/>
                <w:b/>
                <w:bCs/>
                <w:szCs w:val="18"/>
              </w:rPr>
              <w:t xml:space="preserve">Total </w:t>
            </w:r>
          </w:p>
        </w:tc>
        <w:tc>
          <w:tcPr>
            <w:tcW w:w="1371" w:type="dxa"/>
            <w:vAlign w:val="center"/>
          </w:tcPr>
          <w:p w14:paraId="64854698" w14:textId="53F57804" w:rsidR="001E3F27" w:rsidRPr="008E75CA" w:rsidRDefault="001E3F27" w:rsidP="00C6402C">
            <w:pPr>
              <w:spacing w:before="0"/>
              <w:jc w:val="center"/>
              <w:rPr>
                <w:rFonts w:asciiTheme="minorHAnsi" w:hAnsiTheme="minorHAnsi" w:cstheme="minorHAnsi"/>
                <w:b/>
                <w:bCs/>
                <w:szCs w:val="18"/>
              </w:rPr>
            </w:pPr>
            <w:r w:rsidRPr="008E75CA">
              <w:rPr>
                <w:rFonts w:asciiTheme="minorHAnsi" w:hAnsiTheme="minorHAnsi" w:cstheme="minorHAnsi"/>
                <w:b/>
                <w:bCs/>
                <w:szCs w:val="18"/>
              </w:rPr>
              <w:t>50%</w:t>
            </w:r>
          </w:p>
        </w:tc>
      </w:tr>
      <w:tr w:rsidR="001E3F27" w:rsidRPr="00D51674" w14:paraId="439DC097" w14:textId="77777777" w:rsidTr="217C4165">
        <w:trPr>
          <w:trHeight w:val="283"/>
        </w:trPr>
        <w:tc>
          <w:tcPr>
            <w:tcW w:w="7655" w:type="dxa"/>
            <w:vAlign w:val="center"/>
          </w:tcPr>
          <w:p w14:paraId="4FDBDA38" w14:textId="447A9F00" w:rsidR="001E3F27" w:rsidRPr="008E75CA" w:rsidRDefault="001E3F27" w:rsidP="00C6402C">
            <w:pPr>
              <w:spacing w:before="0"/>
              <w:rPr>
                <w:rFonts w:asciiTheme="minorHAnsi" w:hAnsiTheme="minorHAnsi" w:cstheme="minorHAnsi"/>
                <w:b/>
                <w:bCs/>
                <w:szCs w:val="18"/>
              </w:rPr>
            </w:pPr>
            <w:r>
              <w:rPr>
                <w:rFonts w:asciiTheme="minorHAnsi" w:hAnsiTheme="minorHAnsi" w:cstheme="minorHAnsi"/>
                <w:b/>
                <w:bCs/>
                <w:szCs w:val="18"/>
              </w:rPr>
              <w:t>Cost Criteria</w:t>
            </w:r>
          </w:p>
        </w:tc>
        <w:tc>
          <w:tcPr>
            <w:tcW w:w="1371" w:type="dxa"/>
            <w:vAlign w:val="center"/>
          </w:tcPr>
          <w:p w14:paraId="404F773A" w14:textId="77777777" w:rsidR="001E3F27" w:rsidRDefault="001E3F27" w:rsidP="00C6402C">
            <w:pPr>
              <w:spacing w:before="0"/>
              <w:jc w:val="center"/>
              <w:rPr>
                <w:rFonts w:asciiTheme="minorHAnsi" w:hAnsiTheme="minorHAnsi" w:cstheme="minorHAnsi"/>
                <w:szCs w:val="18"/>
              </w:rPr>
            </w:pPr>
          </w:p>
        </w:tc>
      </w:tr>
      <w:tr w:rsidR="001E3F27" w:rsidRPr="00D51674" w14:paraId="0BC0E2C2" w14:textId="77777777" w:rsidTr="217C4165">
        <w:trPr>
          <w:trHeight w:val="283"/>
        </w:trPr>
        <w:tc>
          <w:tcPr>
            <w:tcW w:w="7655" w:type="dxa"/>
            <w:vAlign w:val="center"/>
          </w:tcPr>
          <w:p w14:paraId="15F23680" w14:textId="77777777" w:rsidR="001E3F27" w:rsidRDefault="001E3F27" w:rsidP="00C6402C">
            <w:pPr>
              <w:spacing w:before="0"/>
              <w:ind w:left="321"/>
              <w:rPr>
                <w:rFonts w:asciiTheme="minorHAnsi" w:hAnsiTheme="minorHAnsi" w:cstheme="minorHAnsi"/>
                <w:szCs w:val="18"/>
              </w:rPr>
            </w:pPr>
            <w:r>
              <w:t>Costs to industry (including time delays) relative to the base case</w:t>
            </w:r>
          </w:p>
        </w:tc>
        <w:tc>
          <w:tcPr>
            <w:tcW w:w="1371" w:type="dxa"/>
            <w:vAlign w:val="center"/>
          </w:tcPr>
          <w:p w14:paraId="08219795" w14:textId="0B0A199B" w:rsidR="001E3F27" w:rsidRDefault="00573F65" w:rsidP="00C6402C">
            <w:pPr>
              <w:spacing w:before="0"/>
              <w:jc w:val="center"/>
              <w:rPr>
                <w:rFonts w:asciiTheme="minorHAnsi" w:hAnsiTheme="minorHAnsi" w:cstheme="minorHAnsi"/>
                <w:szCs w:val="18"/>
              </w:rPr>
            </w:pPr>
            <w:r>
              <w:rPr>
                <w:rFonts w:asciiTheme="minorHAnsi" w:hAnsiTheme="minorHAnsi" w:cstheme="minorHAnsi"/>
                <w:szCs w:val="18"/>
              </w:rPr>
              <w:t>2</w:t>
            </w:r>
            <w:r w:rsidR="001E3F27">
              <w:rPr>
                <w:rFonts w:asciiTheme="minorHAnsi" w:hAnsiTheme="minorHAnsi" w:cstheme="minorHAnsi"/>
                <w:szCs w:val="18"/>
              </w:rPr>
              <w:t>5%</w:t>
            </w:r>
          </w:p>
        </w:tc>
      </w:tr>
      <w:tr w:rsidR="001E3F27" w:rsidRPr="00D51674" w14:paraId="6B2F0003" w14:textId="77777777" w:rsidTr="217C4165">
        <w:trPr>
          <w:trHeight w:val="57"/>
        </w:trPr>
        <w:tc>
          <w:tcPr>
            <w:tcW w:w="7655" w:type="dxa"/>
            <w:vAlign w:val="center"/>
          </w:tcPr>
          <w:p w14:paraId="01C7E5BA" w14:textId="77777777" w:rsidR="001E3F27" w:rsidRPr="008E75CA" w:rsidRDefault="001E3F27" w:rsidP="00C6402C">
            <w:pPr>
              <w:spacing w:before="0"/>
              <w:ind w:left="321"/>
              <w:rPr>
                <w:rFonts w:asciiTheme="minorHAnsi" w:hAnsiTheme="minorHAnsi"/>
                <w:color w:val="auto"/>
                <w:szCs w:val="18"/>
              </w:rPr>
            </w:pPr>
            <w:r w:rsidRPr="008E75CA">
              <w:rPr>
                <w:szCs w:val="18"/>
              </w:rPr>
              <w:t>Costs to government relative to the base case in:</w:t>
            </w:r>
          </w:p>
          <w:p w14:paraId="6CC4BB5A" w14:textId="77777777" w:rsidR="001E3F27" w:rsidRPr="008E75CA" w:rsidRDefault="001E3F27" w:rsidP="00C6402C">
            <w:pPr>
              <w:pStyle w:val="ListParagraph"/>
              <w:numPr>
                <w:ilvl w:val="0"/>
                <w:numId w:val="38"/>
              </w:numPr>
              <w:ind w:left="746"/>
              <w:rPr>
                <w:rFonts w:asciiTheme="minorHAnsi" w:hAnsiTheme="minorHAnsi" w:cstheme="minorHAnsi"/>
                <w:sz w:val="18"/>
                <w:szCs w:val="18"/>
              </w:rPr>
            </w:pPr>
            <w:r w:rsidRPr="008E75CA">
              <w:rPr>
                <w:rFonts w:asciiTheme="minorHAnsi" w:hAnsiTheme="minorHAnsi" w:cstheme="minorHAnsi"/>
                <w:sz w:val="18"/>
                <w:szCs w:val="18"/>
              </w:rPr>
              <w:t>Assessing and approving DMRPs;</w:t>
            </w:r>
          </w:p>
          <w:p w14:paraId="52546109" w14:textId="77777777" w:rsidR="001E3F27" w:rsidRPr="008E75CA" w:rsidRDefault="001E3F27" w:rsidP="00C6402C">
            <w:pPr>
              <w:pStyle w:val="ListParagraph"/>
              <w:numPr>
                <w:ilvl w:val="0"/>
                <w:numId w:val="38"/>
              </w:numPr>
              <w:ind w:left="746"/>
              <w:rPr>
                <w:rFonts w:asciiTheme="minorHAnsi" w:hAnsiTheme="minorHAnsi" w:cstheme="minorHAnsi"/>
                <w:sz w:val="18"/>
                <w:szCs w:val="18"/>
              </w:rPr>
            </w:pPr>
            <w:r w:rsidRPr="008E75CA">
              <w:rPr>
                <w:rFonts w:asciiTheme="minorHAnsi" w:hAnsiTheme="minorHAnsi" w:cstheme="minorHAnsi"/>
                <w:sz w:val="18"/>
                <w:szCs w:val="18"/>
              </w:rPr>
              <w:t>Monitoring rehabilitation carried out under DMRPs; and</w:t>
            </w:r>
          </w:p>
          <w:p w14:paraId="0A1B720F" w14:textId="77777777" w:rsidR="001E3F27" w:rsidRPr="008E75CA" w:rsidRDefault="001E3F27" w:rsidP="00C6402C">
            <w:pPr>
              <w:pStyle w:val="ListParagraph"/>
              <w:numPr>
                <w:ilvl w:val="0"/>
                <w:numId w:val="38"/>
              </w:numPr>
              <w:ind w:left="746"/>
              <w:rPr>
                <w:rFonts w:asciiTheme="minorHAnsi" w:hAnsiTheme="minorHAnsi" w:cstheme="minorHAnsi"/>
                <w:sz w:val="18"/>
                <w:szCs w:val="18"/>
              </w:rPr>
            </w:pPr>
            <w:r w:rsidRPr="008E75CA">
              <w:rPr>
                <w:rFonts w:asciiTheme="minorHAnsi" w:hAnsiTheme="minorHAnsi" w:cstheme="minorHAnsi"/>
                <w:sz w:val="18"/>
                <w:szCs w:val="18"/>
              </w:rPr>
              <w:t xml:space="preserve">Responding to reported events or circumstances in relation to the plan. </w:t>
            </w:r>
          </w:p>
        </w:tc>
        <w:tc>
          <w:tcPr>
            <w:tcW w:w="1371" w:type="dxa"/>
            <w:vAlign w:val="center"/>
          </w:tcPr>
          <w:p w14:paraId="59F3707B" w14:textId="1D851538" w:rsidR="001E3F27" w:rsidRPr="008E75CA" w:rsidRDefault="00573F65" w:rsidP="00C6402C">
            <w:pPr>
              <w:spacing w:before="0"/>
              <w:jc w:val="center"/>
              <w:rPr>
                <w:rFonts w:asciiTheme="minorHAnsi" w:hAnsiTheme="minorHAnsi" w:cstheme="minorHAnsi"/>
                <w:szCs w:val="18"/>
              </w:rPr>
            </w:pPr>
            <w:r>
              <w:rPr>
                <w:rFonts w:asciiTheme="minorHAnsi" w:hAnsiTheme="minorHAnsi" w:cstheme="minorHAnsi"/>
                <w:szCs w:val="18"/>
              </w:rPr>
              <w:t>2</w:t>
            </w:r>
            <w:r w:rsidR="001E3F27" w:rsidRPr="008E75CA">
              <w:rPr>
                <w:rFonts w:asciiTheme="minorHAnsi" w:hAnsiTheme="minorHAnsi" w:cstheme="minorHAnsi"/>
                <w:szCs w:val="18"/>
              </w:rPr>
              <w:t>5%</w:t>
            </w:r>
          </w:p>
        </w:tc>
      </w:tr>
      <w:tr w:rsidR="001E3F27" w:rsidRPr="00D51674" w14:paraId="0887DA3D" w14:textId="77777777" w:rsidTr="217C4165">
        <w:trPr>
          <w:trHeight w:val="283"/>
        </w:trPr>
        <w:tc>
          <w:tcPr>
            <w:tcW w:w="7655" w:type="dxa"/>
            <w:vAlign w:val="center"/>
          </w:tcPr>
          <w:p w14:paraId="0520716C" w14:textId="158BCAE1" w:rsidR="001E3F27" w:rsidRPr="00D66EAF" w:rsidRDefault="001E3F27" w:rsidP="00C6402C">
            <w:pPr>
              <w:spacing w:before="0"/>
              <w:jc w:val="right"/>
              <w:rPr>
                <w:rFonts w:asciiTheme="minorHAnsi" w:hAnsiTheme="minorHAnsi" w:cstheme="minorHAnsi"/>
                <w:szCs w:val="18"/>
              </w:rPr>
            </w:pPr>
            <w:r w:rsidRPr="00D66EAF">
              <w:rPr>
                <w:rFonts w:asciiTheme="minorHAnsi" w:hAnsiTheme="minorHAnsi" w:cstheme="minorHAnsi"/>
                <w:b/>
                <w:bCs/>
                <w:szCs w:val="18"/>
              </w:rPr>
              <w:t xml:space="preserve">Total </w:t>
            </w:r>
          </w:p>
        </w:tc>
        <w:tc>
          <w:tcPr>
            <w:tcW w:w="1371" w:type="dxa"/>
            <w:vAlign w:val="center"/>
          </w:tcPr>
          <w:p w14:paraId="48ABF94D" w14:textId="2EF2E2CB" w:rsidR="001E3F27" w:rsidRPr="00D66EAF" w:rsidRDefault="001E3F27" w:rsidP="00C6402C">
            <w:pPr>
              <w:spacing w:before="0"/>
              <w:jc w:val="center"/>
              <w:rPr>
                <w:rFonts w:asciiTheme="minorHAnsi" w:hAnsiTheme="minorHAnsi" w:cstheme="minorHAnsi"/>
                <w:szCs w:val="18"/>
              </w:rPr>
            </w:pPr>
            <w:r w:rsidRPr="00D66EAF">
              <w:rPr>
                <w:rFonts w:asciiTheme="minorHAnsi" w:hAnsiTheme="minorHAnsi" w:cstheme="minorHAnsi"/>
                <w:b/>
                <w:bCs/>
                <w:szCs w:val="18"/>
              </w:rPr>
              <w:t>50%</w:t>
            </w:r>
          </w:p>
        </w:tc>
      </w:tr>
      <w:tr w:rsidR="001E3F27" w:rsidRPr="00D51674" w14:paraId="5450EB84" w14:textId="77777777" w:rsidTr="217C4165">
        <w:trPr>
          <w:trHeight w:val="283"/>
        </w:trPr>
        <w:tc>
          <w:tcPr>
            <w:tcW w:w="7655" w:type="dxa"/>
            <w:shd w:val="clear" w:color="auto" w:fill="D9D9D6" w:themeFill="background2"/>
            <w:vAlign w:val="center"/>
          </w:tcPr>
          <w:p w14:paraId="5ECC12C7" w14:textId="77777777" w:rsidR="001E3F27" w:rsidRPr="0074315C" w:rsidRDefault="001E3F27" w:rsidP="00C6402C">
            <w:pPr>
              <w:spacing w:before="0"/>
              <w:rPr>
                <w:rFonts w:asciiTheme="minorHAnsi" w:hAnsiTheme="minorHAnsi" w:cstheme="minorHAnsi"/>
                <w:szCs w:val="18"/>
              </w:rPr>
            </w:pPr>
            <w:r>
              <w:rPr>
                <w:b/>
                <w:bCs/>
              </w:rPr>
              <w:t>Mine closure determinations</w:t>
            </w:r>
          </w:p>
        </w:tc>
        <w:tc>
          <w:tcPr>
            <w:tcW w:w="1371" w:type="dxa"/>
            <w:shd w:val="clear" w:color="auto" w:fill="D9D9D6" w:themeFill="background2"/>
            <w:vAlign w:val="center"/>
          </w:tcPr>
          <w:p w14:paraId="55F9341C" w14:textId="77777777" w:rsidR="001E3F27" w:rsidRDefault="001E3F27" w:rsidP="00C6402C">
            <w:pPr>
              <w:spacing w:before="0"/>
              <w:jc w:val="center"/>
              <w:rPr>
                <w:b/>
                <w:bCs/>
              </w:rPr>
            </w:pPr>
          </w:p>
        </w:tc>
      </w:tr>
      <w:tr w:rsidR="001E3F27" w:rsidRPr="00D51674" w14:paraId="67DA777E" w14:textId="77777777" w:rsidTr="217C4165">
        <w:trPr>
          <w:trHeight w:val="283"/>
        </w:trPr>
        <w:tc>
          <w:tcPr>
            <w:tcW w:w="7655" w:type="dxa"/>
            <w:vAlign w:val="center"/>
          </w:tcPr>
          <w:p w14:paraId="3F67FC86" w14:textId="77777777" w:rsidR="001E3F27" w:rsidRPr="008E75CA" w:rsidRDefault="001E3F27" w:rsidP="00C6402C">
            <w:pPr>
              <w:spacing w:before="0"/>
              <w:rPr>
                <w:rFonts w:asciiTheme="minorHAnsi" w:hAnsiTheme="minorHAnsi" w:cstheme="minorHAnsi"/>
                <w:b/>
                <w:bCs/>
                <w:szCs w:val="18"/>
              </w:rPr>
            </w:pPr>
            <w:r>
              <w:rPr>
                <w:rFonts w:asciiTheme="minorHAnsi" w:hAnsiTheme="minorHAnsi" w:cstheme="minorHAnsi"/>
                <w:b/>
                <w:bCs/>
                <w:szCs w:val="18"/>
              </w:rPr>
              <w:t>Benefit Criteria</w:t>
            </w:r>
          </w:p>
        </w:tc>
        <w:tc>
          <w:tcPr>
            <w:tcW w:w="1371" w:type="dxa"/>
            <w:vAlign w:val="center"/>
          </w:tcPr>
          <w:p w14:paraId="134F64CB" w14:textId="77777777" w:rsidR="001E3F27" w:rsidRPr="0074315C" w:rsidRDefault="001E3F27" w:rsidP="00C6402C">
            <w:pPr>
              <w:spacing w:before="0"/>
              <w:jc w:val="center"/>
              <w:rPr>
                <w:rFonts w:asciiTheme="minorHAnsi" w:hAnsiTheme="minorHAnsi" w:cstheme="minorHAnsi"/>
                <w:szCs w:val="18"/>
              </w:rPr>
            </w:pPr>
          </w:p>
        </w:tc>
      </w:tr>
      <w:tr w:rsidR="001E3F27" w:rsidRPr="00D51674" w14:paraId="23784345" w14:textId="77777777" w:rsidTr="217C4165">
        <w:trPr>
          <w:trHeight w:val="358"/>
        </w:trPr>
        <w:tc>
          <w:tcPr>
            <w:tcW w:w="7655" w:type="dxa"/>
            <w:vAlign w:val="center"/>
          </w:tcPr>
          <w:p w14:paraId="4326FC02" w14:textId="77777777" w:rsidR="001E3F27" w:rsidRPr="004A4BEA" w:rsidRDefault="001E3F27" w:rsidP="00C6402C">
            <w:pPr>
              <w:spacing w:before="0"/>
              <w:ind w:left="321"/>
              <w:rPr>
                <w:rFonts w:asciiTheme="minorHAnsi" w:hAnsiTheme="minorHAnsi"/>
                <w:color w:val="auto"/>
                <w:sz w:val="22"/>
              </w:rPr>
            </w:pPr>
            <w:r w:rsidRPr="008E75CA">
              <w:t>Support informed decision-making to ensure rehabilitation</w:t>
            </w:r>
          </w:p>
          <w:p w14:paraId="499EAD65" w14:textId="77777777" w:rsidR="001E3F27" w:rsidRPr="004A4BEA" w:rsidRDefault="001E3F27" w:rsidP="00C6402C">
            <w:pPr>
              <w:spacing w:before="0"/>
              <w:ind w:left="321"/>
              <w:rPr>
                <w:rFonts w:asciiTheme="minorHAnsi" w:hAnsiTheme="minorHAnsi" w:cstheme="minorHAnsi"/>
                <w:szCs w:val="18"/>
              </w:rPr>
            </w:pPr>
            <w:r w:rsidRPr="008E75CA">
              <w:t>meets legislative objectives</w:t>
            </w:r>
          </w:p>
        </w:tc>
        <w:tc>
          <w:tcPr>
            <w:tcW w:w="1371" w:type="dxa"/>
            <w:vAlign w:val="center"/>
          </w:tcPr>
          <w:p w14:paraId="676EDF45" w14:textId="0C46CD3F" w:rsidR="001E3F27" w:rsidRPr="0074315C" w:rsidRDefault="001E3F27" w:rsidP="00C6402C">
            <w:pPr>
              <w:spacing w:before="0"/>
              <w:jc w:val="center"/>
              <w:rPr>
                <w:rFonts w:asciiTheme="minorHAnsi" w:hAnsiTheme="minorHAnsi" w:cstheme="minorHAnsi"/>
                <w:szCs w:val="18"/>
              </w:rPr>
            </w:pPr>
            <w:r>
              <w:rPr>
                <w:rFonts w:asciiTheme="minorHAnsi" w:hAnsiTheme="minorHAnsi" w:cstheme="minorHAnsi"/>
                <w:szCs w:val="18"/>
              </w:rPr>
              <w:t>25%</w:t>
            </w:r>
          </w:p>
        </w:tc>
      </w:tr>
      <w:tr w:rsidR="001E3F27" w:rsidRPr="00D51674" w14:paraId="3C67B8B3" w14:textId="77777777" w:rsidTr="217C4165">
        <w:trPr>
          <w:trHeight w:val="283"/>
        </w:trPr>
        <w:tc>
          <w:tcPr>
            <w:tcW w:w="7655" w:type="dxa"/>
            <w:vAlign w:val="center"/>
          </w:tcPr>
          <w:p w14:paraId="57B96271" w14:textId="77777777" w:rsidR="001E3F27" w:rsidRPr="006F567D" w:rsidRDefault="001E3F27" w:rsidP="00C6402C">
            <w:pPr>
              <w:spacing w:before="0"/>
              <w:ind w:left="321"/>
            </w:pPr>
            <w:r w:rsidRPr="008E75CA">
              <w:t>Provide a transparent, clear decision-making process</w:t>
            </w:r>
          </w:p>
        </w:tc>
        <w:tc>
          <w:tcPr>
            <w:tcW w:w="1371" w:type="dxa"/>
            <w:vAlign w:val="center"/>
          </w:tcPr>
          <w:p w14:paraId="7E02619D" w14:textId="33083A9C" w:rsidR="001E3F27" w:rsidRPr="0074315C" w:rsidRDefault="001E3F27" w:rsidP="00C6402C">
            <w:pPr>
              <w:spacing w:before="0"/>
              <w:jc w:val="center"/>
              <w:rPr>
                <w:rFonts w:asciiTheme="minorHAnsi" w:hAnsiTheme="minorHAnsi" w:cstheme="minorHAnsi"/>
                <w:szCs w:val="18"/>
              </w:rPr>
            </w:pPr>
            <w:r>
              <w:rPr>
                <w:rFonts w:asciiTheme="minorHAnsi" w:hAnsiTheme="minorHAnsi" w:cstheme="minorHAnsi"/>
                <w:szCs w:val="18"/>
              </w:rPr>
              <w:t>25%</w:t>
            </w:r>
          </w:p>
        </w:tc>
      </w:tr>
      <w:tr w:rsidR="001E3F27" w:rsidRPr="00D51674" w14:paraId="2228E375" w14:textId="77777777" w:rsidTr="217C4165">
        <w:trPr>
          <w:trHeight w:val="283"/>
        </w:trPr>
        <w:tc>
          <w:tcPr>
            <w:tcW w:w="7655" w:type="dxa"/>
            <w:vAlign w:val="center"/>
          </w:tcPr>
          <w:p w14:paraId="72257DD2" w14:textId="5DBD428B" w:rsidR="001E3F27" w:rsidRPr="0074315C" w:rsidRDefault="001E3F27" w:rsidP="00C6402C">
            <w:pPr>
              <w:spacing w:before="0"/>
              <w:jc w:val="right"/>
              <w:rPr>
                <w:rFonts w:asciiTheme="minorHAnsi" w:hAnsiTheme="minorHAnsi" w:cstheme="minorHAnsi"/>
                <w:szCs w:val="18"/>
              </w:rPr>
            </w:pPr>
            <w:r>
              <w:rPr>
                <w:rFonts w:asciiTheme="minorHAnsi" w:hAnsiTheme="minorHAnsi" w:cstheme="minorHAnsi"/>
                <w:b/>
                <w:bCs/>
                <w:szCs w:val="18"/>
              </w:rPr>
              <w:t xml:space="preserve">Total </w:t>
            </w:r>
          </w:p>
        </w:tc>
        <w:tc>
          <w:tcPr>
            <w:tcW w:w="1371" w:type="dxa"/>
            <w:vAlign w:val="center"/>
          </w:tcPr>
          <w:p w14:paraId="2358D67B" w14:textId="40AEC076" w:rsidR="001E3F27" w:rsidRPr="0074315C" w:rsidRDefault="001E3F27" w:rsidP="00C6402C">
            <w:pPr>
              <w:spacing w:before="0"/>
              <w:jc w:val="center"/>
              <w:rPr>
                <w:rFonts w:asciiTheme="minorHAnsi" w:hAnsiTheme="minorHAnsi" w:cstheme="minorHAnsi"/>
                <w:szCs w:val="18"/>
              </w:rPr>
            </w:pPr>
            <w:r w:rsidRPr="0074315C">
              <w:rPr>
                <w:rFonts w:asciiTheme="minorHAnsi" w:hAnsiTheme="minorHAnsi" w:cstheme="minorHAnsi"/>
                <w:b/>
                <w:bCs/>
                <w:szCs w:val="18"/>
              </w:rPr>
              <w:t>50%</w:t>
            </w:r>
          </w:p>
        </w:tc>
      </w:tr>
      <w:tr w:rsidR="001E3F27" w:rsidRPr="00D51674" w14:paraId="2F026D53" w14:textId="77777777" w:rsidTr="217C4165">
        <w:trPr>
          <w:trHeight w:val="283"/>
        </w:trPr>
        <w:tc>
          <w:tcPr>
            <w:tcW w:w="7655" w:type="dxa"/>
            <w:vAlign w:val="center"/>
          </w:tcPr>
          <w:p w14:paraId="15AAD0E1" w14:textId="77777777" w:rsidR="001E3F27" w:rsidRPr="0074315C" w:rsidRDefault="001E3F27" w:rsidP="00C6402C">
            <w:pPr>
              <w:spacing w:before="0"/>
              <w:rPr>
                <w:rFonts w:asciiTheme="minorHAnsi" w:hAnsiTheme="minorHAnsi" w:cstheme="minorHAnsi"/>
                <w:szCs w:val="18"/>
              </w:rPr>
            </w:pPr>
            <w:r>
              <w:rPr>
                <w:rFonts w:asciiTheme="minorHAnsi" w:hAnsiTheme="minorHAnsi" w:cstheme="minorHAnsi"/>
                <w:b/>
                <w:bCs/>
                <w:szCs w:val="18"/>
              </w:rPr>
              <w:t>Cost Criteria</w:t>
            </w:r>
          </w:p>
        </w:tc>
        <w:tc>
          <w:tcPr>
            <w:tcW w:w="1371" w:type="dxa"/>
            <w:vAlign w:val="center"/>
          </w:tcPr>
          <w:p w14:paraId="551C0541" w14:textId="77777777" w:rsidR="001E3F27" w:rsidRPr="0074315C" w:rsidRDefault="001E3F27" w:rsidP="00C6402C">
            <w:pPr>
              <w:spacing w:before="0"/>
              <w:jc w:val="center"/>
              <w:rPr>
                <w:rFonts w:asciiTheme="minorHAnsi" w:hAnsiTheme="minorHAnsi" w:cstheme="minorHAnsi"/>
                <w:szCs w:val="18"/>
              </w:rPr>
            </w:pPr>
          </w:p>
        </w:tc>
      </w:tr>
      <w:tr w:rsidR="001E3F27" w:rsidRPr="00D51674" w14:paraId="00D0430D" w14:textId="77777777" w:rsidTr="217C4165">
        <w:trPr>
          <w:trHeight w:val="283"/>
        </w:trPr>
        <w:tc>
          <w:tcPr>
            <w:tcW w:w="7655" w:type="dxa"/>
            <w:vAlign w:val="center"/>
          </w:tcPr>
          <w:p w14:paraId="0B28D369" w14:textId="77777777" w:rsidR="001E3F27" w:rsidRPr="008E75CA" w:rsidRDefault="001E3F27" w:rsidP="00C6402C">
            <w:pPr>
              <w:spacing w:before="0"/>
              <w:ind w:left="321"/>
            </w:pPr>
            <w:r>
              <w:t>Costs to industry (including time delays) relative to the base case</w:t>
            </w:r>
          </w:p>
        </w:tc>
        <w:tc>
          <w:tcPr>
            <w:tcW w:w="1371" w:type="dxa"/>
            <w:vAlign w:val="center"/>
          </w:tcPr>
          <w:p w14:paraId="384316D9" w14:textId="0B1A5346" w:rsidR="001E3F27" w:rsidRPr="0074315C" w:rsidRDefault="00573F65" w:rsidP="00C6402C">
            <w:pPr>
              <w:spacing w:before="0"/>
              <w:jc w:val="center"/>
              <w:rPr>
                <w:rFonts w:asciiTheme="minorHAnsi" w:hAnsiTheme="minorHAnsi" w:cstheme="minorHAnsi"/>
                <w:szCs w:val="18"/>
              </w:rPr>
            </w:pPr>
            <w:r>
              <w:rPr>
                <w:rFonts w:asciiTheme="minorHAnsi" w:hAnsiTheme="minorHAnsi" w:cstheme="minorHAnsi"/>
                <w:szCs w:val="18"/>
              </w:rPr>
              <w:t>2</w:t>
            </w:r>
            <w:r w:rsidR="001E3F27">
              <w:rPr>
                <w:rFonts w:asciiTheme="minorHAnsi" w:hAnsiTheme="minorHAnsi" w:cstheme="minorHAnsi"/>
                <w:szCs w:val="18"/>
              </w:rPr>
              <w:t>5%</w:t>
            </w:r>
          </w:p>
        </w:tc>
      </w:tr>
      <w:tr w:rsidR="001E3F27" w:rsidRPr="00D51674" w14:paraId="2C765114" w14:textId="77777777" w:rsidTr="217C4165">
        <w:trPr>
          <w:trHeight w:val="358"/>
        </w:trPr>
        <w:tc>
          <w:tcPr>
            <w:tcW w:w="7655" w:type="dxa"/>
            <w:vAlign w:val="center"/>
          </w:tcPr>
          <w:p w14:paraId="50A8F063" w14:textId="77777777" w:rsidR="001E3F27" w:rsidRPr="008E75CA" w:rsidRDefault="001E3F27" w:rsidP="00C6402C">
            <w:pPr>
              <w:spacing w:before="0"/>
              <w:ind w:left="321"/>
            </w:pPr>
            <w:r>
              <w:t>Costs to government relative to the base case of administering and enforcing the system</w:t>
            </w:r>
          </w:p>
        </w:tc>
        <w:tc>
          <w:tcPr>
            <w:tcW w:w="1371" w:type="dxa"/>
            <w:vAlign w:val="center"/>
          </w:tcPr>
          <w:p w14:paraId="7C1AD550" w14:textId="0BF96732" w:rsidR="001E3F27" w:rsidRPr="0074315C" w:rsidRDefault="00573F65" w:rsidP="00C6402C">
            <w:pPr>
              <w:spacing w:before="0"/>
              <w:jc w:val="center"/>
              <w:rPr>
                <w:rFonts w:asciiTheme="minorHAnsi" w:hAnsiTheme="minorHAnsi" w:cstheme="minorHAnsi"/>
                <w:szCs w:val="18"/>
              </w:rPr>
            </w:pPr>
            <w:r>
              <w:rPr>
                <w:rFonts w:asciiTheme="minorHAnsi" w:hAnsiTheme="minorHAnsi" w:cstheme="minorHAnsi"/>
                <w:szCs w:val="18"/>
              </w:rPr>
              <w:t>2</w:t>
            </w:r>
            <w:r w:rsidR="001E3F27">
              <w:rPr>
                <w:rFonts w:asciiTheme="minorHAnsi" w:hAnsiTheme="minorHAnsi" w:cstheme="minorHAnsi"/>
                <w:szCs w:val="18"/>
              </w:rPr>
              <w:t>5%</w:t>
            </w:r>
          </w:p>
        </w:tc>
      </w:tr>
      <w:tr w:rsidR="001E3F27" w:rsidRPr="00D51674" w14:paraId="39FD7922" w14:textId="77777777" w:rsidTr="217C4165">
        <w:trPr>
          <w:trHeight w:val="283"/>
        </w:trPr>
        <w:tc>
          <w:tcPr>
            <w:tcW w:w="7655" w:type="dxa"/>
            <w:vAlign w:val="center"/>
          </w:tcPr>
          <w:p w14:paraId="52113F36" w14:textId="79F89691" w:rsidR="001E3F27" w:rsidRPr="008E75CA" w:rsidRDefault="001E3F27" w:rsidP="00C6402C">
            <w:pPr>
              <w:spacing w:before="0"/>
              <w:jc w:val="right"/>
              <w:rPr>
                <w:rFonts w:asciiTheme="minorHAnsi" w:hAnsiTheme="minorHAnsi" w:cstheme="minorHAnsi"/>
                <w:b/>
                <w:bCs/>
                <w:szCs w:val="18"/>
              </w:rPr>
            </w:pPr>
            <w:r>
              <w:rPr>
                <w:rFonts w:asciiTheme="minorHAnsi" w:hAnsiTheme="minorHAnsi" w:cstheme="minorHAnsi"/>
                <w:b/>
                <w:bCs/>
                <w:szCs w:val="18"/>
              </w:rPr>
              <w:t xml:space="preserve">Total </w:t>
            </w:r>
          </w:p>
        </w:tc>
        <w:tc>
          <w:tcPr>
            <w:tcW w:w="1371" w:type="dxa"/>
            <w:vAlign w:val="center"/>
          </w:tcPr>
          <w:p w14:paraId="7AB2D760" w14:textId="50B53BBA" w:rsidR="001E3F27" w:rsidRPr="008E75CA" w:rsidRDefault="001E3F27" w:rsidP="00C6402C">
            <w:pPr>
              <w:spacing w:before="0"/>
              <w:jc w:val="center"/>
              <w:rPr>
                <w:rFonts w:asciiTheme="minorHAnsi" w:hAnsiTheme="minorHAnsi" w:cstheme="minorHAnsi"/>
                <w:b/>
                <w:bCs/>
                <w:szCs w:val="18"/>
              </w:rPr>
            </w:pPr>
            <w:r w:rsidRPr="0074315C">
              <w:rPr>
                <w:rFonts w:asciiTheme="minorHAnsi" w:hAnsiTheme="minorHAnsi" w:cstheme="minorHAnsi"/>
                <w:b/>
                <w:bCs/>
                <w:szCs w:val="18"/>
              </w:rPr>
              <w:t>50%</w:t>
            </w:r>
          </w:p>
        </w:tc>
      </w:tr>
      <w:tr w:rsidR="001E3F27" w:rsidRPr="00D51674" w14:paraId="71B60E7F" w14:textId="77777777" w:rsidTr="217C4165">
        <w:trPr>
          <w:trHeight w:val="283"/>
        </w:trPr>
        <w:tc>
          <w:tcPr>
            <w:tcW w:w="7655" w:type="dxa"/>
            <w:tcBorders>
              <w:bottom w:val="single" w:sz="4" w:space="0" w:color="1B0B38"/>
            </w:tcBorders>
            <w:shd w:val="clear" w:color="auto" w:fill="D9D9D6" w:themeFill="background2"/>
            <w:vAlign w:val="center"/>
          </w:tcPr>
          <w:p w14:paraId="4C1CDF8C" w14:textId="77777777" w:rsidR="001E3F27" w:rsidRDefault="001E3F27" w:rsidP="00C6402C">
            <w:pPr>
              <w:spacing w:before="0"/>
            </w:pPr>
            <w:r>
              <w:rPr>
                <w:b/>
                <w:bCs/>
              </w:rPr>
              <w:t>Mine land registration</w:t>
            </w:r>
          </w:p>
        </w:tc>
        <w:tc>
          <w:tcPr>
            <w:tcW w:w="1371" w:type="dxa"/>
            <w:tcBorders>
              <w:bottom w:val="single" w:sz="4" w:space="0" w:color="1B0B38"/>
            </w:tcBorders>
            <w:shd w:val="clear" w:color="auto" w:fill="D9D9D6" w:themeFill="background2"/>
            <w:vAlign w:val="center"/>
          </w:tcPr>
          <w:p w14:paraId="0AB8E1AB" w14:textId="77777777" w:rsidR="001E3F27" w:rsidRDefault="001E3F27" w:rsidP="00C6402C">
            <w:pPr>
              <w:spacing w:before="0"/>
              <w:jc w:val="center"/>
              <w:rPr>
                <w:b/>
                <w:bCs/>
              </w:rPr>
            </w:pPr>
          </w:p>
        </w:tc>
      </w:tr>
      <w:tr w:rsidR="001E3F27" w:rsidRPr="00D51674" w14:paraId="497B10BA" w14:textId="77777777" w:rsidTr="217C4165">
        <w:trPr>
          <w:trHeight w:val="283"/>
        </w:trPr>
        <w:tc>
          <w:tcPr>
            <w:tcW w:w="7655" w:type="dxa"/>
            <w:vAlign w:val="center"/>
          </w:tcPr>
          <w:p w14:paraId="705712DF" w14:textId="77777777" w:rsidR="001E3F27" w:rsidRPr="008E75CA" w:rsidRDefault="001E3F27" w:rsidP="00C6402C">
            <w:pPr>
              <w:spacing w:before="0"/>
            </w:pPr>
            <w:r>
              <w:rPr>
                <w:rFonts w:asciiTheme="minorHAnsi" w:hAnsiTheme="minorHAnsi" w:cstheme="minorHAnsi"/>
                <w:b/>
                <w:bCs/>
                <w:szCs w:val="18"/>
              </w:rPr>
              <w:t>Benefit Criteria</w:t>
            </w:r>
          </w:p>
        </w:tc>
        <w:tc>
          <w:tcPr>
            <w:tcW w:w="1371" w:type="dxa"/>
            <w:vAlign w:val="center"/>
          </w:tcPr>
          <w:p w14:paraId="577BF537" w14:textId="77777777" w:rsidR="001E3F27" w:rsidRDefault="001E3F27" w:rsidP="00C6402C">
            <w:pPr>
              <w:spacing w:before="0"/>
              <w:jc w:val="center"/>
              <w:rPr>
                <w:rFonts w:asciiTheme="minorHAnsi" w:hAnsiTheme="minorHAnsi" w:cstheme="minorHAnsi"/>
                <w:szCs w:val="18"/>
              </w:rPr>
            </w:pPr>
          </w:p>
        </w:tc>
      </w:tr>
      <w:tr w:rsidR="001E3F27" w:rsidRPr="00D51674" w14:paraId="59DCF1CD" w14:textId="77777777" w:rsidTr="217C4165">
        <w:trPr>
          <w:trHeight w:val="358"/>
        </w:trPr>
        <w:tc>
          <w:tcPr>
            <w:tcW w:w="7655" w:type="dxa"/>
            <w:vAlign w:val="center"/>
          </w:tcPr>
          <w:p w14:paraId="113D8FEE" w14:textId="77777777" w:rsidR="001E3F27" w:rsidRPr="008E75CA" w:rsidRDefault="001E3F27" w:rsidP="00C6402C">
            <w:pPr>
              <w:spacing w:before="0"/>
              <w:ind w:left="323"/>
            </w:pPr>
            <w:r w:rsidRPr="008E75CA">
              <w:t xml:space="preserve">Obtain and record relevant information about declared mine sites, risks and necessary post-closure management to support informed government, stakeholder and community decision-making. </w:t>
            </w:r>
          </w:p>
        </w:tc>
        <w:tc>
          <w:tcPr>
            <w:tcW w:w="1371" w:type="dxa"/>
            <w:vAlign w:val="center"/>
          </w:tcPr>
          <w:p w14:paraId="01C76792" w14:textId="7E43B217" w:rsidR="001E3F27" w:rsidRDefault="001E3F27" w:rsidP="00C6402C">
            <w:pPr>
              <w:spacing w:before="0"/>
              <w:jc w:val="center"/>
            </w:pPr>
            <w:r>
              <w:rPr>
                <w:rFonts w:asciiTheme="minorHAnsi" w:hAnsiTheme="minorHAnsi" w:cstheme="minorHAnsi"/>
                <w:szCs w:val="18"/>
              </w:rPr>
              <w:t>25%</w:t>
            </w:r>
          </w:p>
        </w:tc>
      </w:tr>
      <w:tr w:rsidR="001E3F27" w:rsidRPr="00D51674" w14:paraId="30CE7C5F" w14:textId="77777777" w:rsidTr="217C4165">
        <w:trPr>
          <w:trHeight w:val="358"/>
        </w:trPr>
        <w:tc>
          <w:tcPr>
            <w:tcW w:w="7655" w:type="dxa"/>
            <w:vAlign w:val="center"/>
          </w:tcPr>
          <w:p w14:paraId="0C35344C" w14:textId="77777777" w:rsidR="001E3F27" w:rsidRDefault="001E3F27" w:rsidP="00C6402C">
            <w:pPr>
              <w:spacing w:before="0"/>
              <w:ind w:left="323"/>
            </w:pPr>
            <w:r w:rsidRPr="008E75CA">
              <w:t>Support the fair and accurate determination of fund contribution amounts sufficient to fund ongoing and post-closure declared mine rehabilitation activities and achieve overall regulatory objectives.</w:t>
            </w:r>
          </w:p>
        </w:tc>
        <w:tc>
          <w:tcPr>
            <w:tcW w:w="1371" w:type="dxa"/>
            <w:vAlign w:val="center"/>
          </w:tcPr>
          <w:p w14:paraId="70240486" w14:textId="06142B2C" w:rsidR="001E3F27" w:rsidRDefault="001E3F27" w:rsidP="00C6402C">
            <w:pPr>
              <w:spacing w:before="0"/>
              <w:jc w:val="center"/>
              <w:rPr>
                <w:rFonts w:asciiTheme="minorHAnsi" w:hAnsiTheme="minorHAnsi" w:cstheme="minorHAnsi"/>
                <w:szCs w:val="18"/>
              </w:rPr>
            </w:pPr>
            <w:r>
              <w:rPr>
                <w:rFonts w:asciiTheme="minorHAnsi" w:hAnsiTheme="minorHAnsi" w:cstheme="minorHAnsi"/>
                <w:szCs w:val="18"/>
              </w:rPr>
              <w:t>25%</w:t>
            </w:r>
          </w:p>
        </w:tc>
      </w:tr>
      <w:tr w:rsidR="001E3F27" w:rsidRPr="00D51674" w14:paraId="68A4264D" w14:textId="77777777" w:rsidTr="217C4165">
        <w:trPr>
          <w:trHeight w:val="283"/>
        </w:trPr>
        <w:tc>
          <w:tcPr>
            <w:tcW w:w="7655" w:type="dxa"/>
            <w:tcBorders>
              <w:bottom w:val="single" w:sz="4" w:space="0" w:color="1B0B38"/>
            </w:tcBorders>
            <w:vAlign w:val="center"/>
          </w:tcPr>
          <w:p w14:paraId="7C860D5E" w14:textId="4EC8F28D" w:rsidR="001E3F27" w:rsidRDefault="001E3F27" w:rsidP="00C6402C">
            <w:pPr>
              <w:spacing w:before="0"/>
              <w:jc w:val="right"/>
            </w:pPr>
            <w:r>
              <w:rPr>
                <w:rFonts w:asciiTheme="minorHAnsi" w:hAnsiTheme="minorHAnsi" w:cstheme="minorHAnsi"/>
                <w:b/>
                <w:bCs/>
                <w:szCs w:val="18"/>
              </w:rPr>
              <w:t xml:space="preserve">Total </w:t>
            </w:r>
          </w:p>
        </w:tc>
        <w:tc>
          <w:tcPr>
            <w:tcW w:w="1371" w:type="dxa"/>
            <w:tcBorders>
              <w:bottom w:val="single" w:sz="4" w:space="0" w:color="1B0B38"/>
            </w:tcBorders>
            <w:vAlign w:val="center"/>
          </w:tcPr>
          <w:p w14:paraId="3DBBCC94" w14:textId="0E0DF493" w:rsidR="001E3F27" w:rsidRDefault="001E3F27" w:rsidP="00C6402C">
            <w:pPr>
              <w:spacing w:before="0"/>
              <w:jc w:val="center"/>
              <w:rPr>
                <w:rFonts w:asciiTheme="minorHAnsi" w:hAnsiTheme="minorHAnsi" w:cstheme="minorHAnsi"/>
                <w:szCs w:val="18"/>
              </w:rPr>
            </w:pPr>
            <w:r w:rsidRPr="0074315C">
              <w:rPr>
                <w:rFonts w:asciiTheme="minorHAnsi" w:hAnsiTheme="minorHAnsi" w:cstheme="minorHAnsi"/>
                <w:b/>
                <w:bCs/>
                <w:szCs w:val="18"/>
              </w:rPr>
              <w:t>50%</w:t>
            </w:r>
          </w:p>
        </w:tc>
      </w:tr>
      <w:tr w:rsidR="001E3F27" w:rsidRPr="00D51674" w14:paraId="30AF4D01" w14:textId="77777777" w:rsidTr="217C4165">
        <w:trPr>
          <w:trHeight w:val="283"/>
        </w:trPr>
        <w:tc>
          <w:tcPr>
            <w:tcW w:w="7655" w:type="dxa"/>
            <w:tcBorders>
              <w:bottom w:val="single" w:sz="4" w:space="0" w:color="1B0B38"/>
            </w:tcBorders>
            <w:vAlign w:val="center"/>
          </w:tcPr>
          <w:p w14:paraId="7C5E3E52" w14:textId="77777777" w:rsidR="001E3F27" w:rsidRDefault="001E3F27" w:rsidP="00C6402C">
            <w:pPr>
              <w:spacing w:before="0"/>
            </w:pPr>
            <w:r>
              <w:rPr>
                <w:rFonts w:asciiTheme="minorHAnsi" w:hAnsiTheme="minorHAnsi" w:cstheme="minorHAnsi"/>
                <w:b/>
                <w:bCs/>
                <w:szCs w:val="18"/>
              </w:rPr>
              <w:t>Cost Criteria</w:t>
            </w:r>
          </w:p>
        </w:tc>
        <w:tc>
          <w:tcPr>
            <w:tcW w:w="1371" w:type="dxa"/>
            <w:tcBorders>
              <w:bottom w:val="single" w:sz="4" w:space="0" w:color="1B0B38"/>
            </w:tcBorders>
            <w:vAlign w:val="center"/>
          </w:tcPr>
          <w:p w14:paraId="4689D4A3" w14:textId="77777777" w:rsidR="001E3F27" w:rsidRDefault="001E3F27" w:rsidP="00C6402C">
            <w:pPr>
              <w:spacing w:before="0"/>
              <w:jc w:val="center"/>
              <w:rPr>
                <w:rFonts w:asciiTheme="minorHAnsi" w:hAnsiTheme="minorHAnsi" w:cstheme="minorHAnsi"/>
                <w:szCs w:val="18"/>
              </w:rPr>
            </w:pPr>
          </w:p>
        </w:tc>
      </w:tr>
      <w:tr w:rsidR="001E3F27" w:rsidRPr="00D51674" w14:paraId="1686C826" w14:textId="77777777" w:rsidTr="217C4165">
        <w:trPr>
          <w:trHeight w:val="283"/>
        </w:trPr>
        <w:tc>
          <w:tcPr>
            <w:tcW w:w="7655" w:type="dxa"/>
            <w:tcBorders>
              <w:bottom w:val="single" w:sz="4" w:space="0" w:color="1B0B38"/>
            </w:tcBorders>
            <w:vAlign w:val="center"/>
          </w:tcPr>
          <w:p w14:paraId="5029E665" w14:textId="77777777" w:rsidR="001E3F27" w:rsidRDefault="001E3F27" w:rsidP="00C6402C">
            <w:pPr>
              <w:spacing w:before="0"/>
              <w:ind w:left="321"/>
            </w:pPr>
            <w:r>
              <w:lastRenderedPageBreak/>
              <w:t>Costs to industry (including time delays) relative to the base case</w:t>
            </w:r>
          </w:p>
        </w:tc>
        <w:tc>
          <w:tcPr>
            <w:tcW w:w="1371" w:type="dxa"/>
            <w:tcBorders>
              <w:bottom w:val="single" w:sz="4" w:space="0" w:color="1B0B38"/>
            </w:tcBorders>
            <w:vAlign w:val="center"/>
          </w:tcPr>
          <w:p w14:paraId="72789205" w14:textId="486C6DB7" w:rsidR="001E3F27" w:rsidRDefault="00573F65" w:rsidP="00C6402C">
            <w:pPr>
              <w:spacing w:before="0"/>
              <w:jc w:val="center"/>
              <w:rPr>
                <w:rFonts w:asciiTheme="minorHAnsi" w:hAnsiTheme="minorHAnsi" w:cstheme="minorHAnsi"/>
                <w:szCs w:val="18"/>
              </w:rPr>
            </w:pPr>
            <w:r>
              <w:rPr>
                <w:rFonts w:asciiTheme="minorHAnsi" w:hAnsiTheme="minorHAnsi" w:cstheme="minorHAnsi"/>
                <w:szCs w:val="18"/>
              </w:rPr>
              <w:t>2</w:t>
            </w:r>
            <w:r w:rsidR="001E3F27">
              <w:rPr>
                <w:rFonts w:asciiTheme="minorHAnsi" w:hAnsiTheme="minorHAnsi" w:cstheme="minorHAnsi"/>
                <w:szCs w:val="18"/>
              </w:rPr>
              <w:t>5%</w:t>
            </w:r>
          </w:p>
        </w:tc>
      </w:tr>
      <w:tr w:rsidR="001E3F27" w:rsidRPr="00D51674" w14:paraId="5CDB1469" w14:textId="77777777" w:rsidTr="217C4165">
        <w:trPr>
          <w:trHeight w:val="358"/>
        </w:trPr>
        <w:tc>
          <w:tcPr>
            <w:tcW w:w="7655" w:type="dxa"/>
            <w:tcBorders>
              <w:bottom w:val="single" w:sz="4" w:space="0" w:color="1B0B38"/>
            </w:tcBorders>
            <w:vAlign w:val="center"/>
          </w:tcPr>
          <w:p w14:paraId="4BB916DF" w14:textId="77777777" w:rsidR="001E3F27" w:rsidRDefault="001E3F27" w:rsidP="00C6402C">
            <w:pPr>
              <w:spacing w:before="0"/>
              <w:ind w:left="321"/>
            </w:pPr>
            <w:r>
              <w:t>Costs to government relative to the base case of administering and enforcing the system</w:t>
            </w:r>
          </w:p>
        </w:tc>
        <w:tc>
          <w:tcPr>
            <w:tcW w:w="1371" w:type="dxa"/>
            <w:tcBorders>
              <w:bottom w:val="single" w:sz="4" w:space="0" w:color="1B0B38"/>
            </w:tcBorders>
            <w:vAlign w:val="center"/>
          </w:tcPr>
          <w:p w14:paraId="16AF4447" w14:textId="02B9D5CF" w:rsidR="001E3F27" w:rsidRDefault="00573F65" w:rsidP="00C6402C">
            <w:pPr>
              <w:spacing w:before="0"/>
              <w:jc w:val="center"/>
              <w:rPr>
                <w:rFonts w:asciiTheme="minorHAnsi" w:hAnsiTheme="minorHAnsi" w:cstheme="minorHAnsi"/>
                <w:szCs w:val="18"/>
              </w:rPr>
            </w:pPr>
            <w:r>
              <w:rPr>
                <w:rFonts w:asciiTheme="minorHAnsi" w:hAnsiTheme="minorHAnsi" w:cstheme="minorHAnsi"/>
                <w:szCs w:val="18"/>
              </w:rPr>
              <w:t>2</w:t>
            </w:r>
            <w:r w:rsidR="001E3F27">
              <w:rPr>
                <w:rFonts w:asciiTheme="minorHAnsi" w:hAnsiTheme="minorHAnsi" w:cstheme="minorHAnsi"/>
                <w:szCs w:val="18"/>
              </w:rPr>
              <w:t>5%</w:t>
            </w:r>
          </w:p>
        </w:tc>
      </w:tr>
      <w:tr w:rsidR="001E3F27" w:rsidRPr="00D51674" w14:paraId="5F7F94AF" w14:textId="77777777" w:rsidTr="003C1653">
        <w:trPr>
          <w:trHeight w:val="283"/>
        </w:trPr>
        <w:tc>
          <w:tcPr>
            <w:tcW w:w="7655" w:type="dxa"/>
            <w:tcBorders>
              <w:bottom w:val="single" w:sz="4" w:space="0" w:color="1B0B38"/>
            </w:tcBorders>
            <w:vAlign w:val="center"/>
          </w:tcPr>
          <w:p w14:paraId="5BAAD7F6" w14:textId="2E4C0EE3" w:rsidR="001E3F27" w:rsidRDefault="001E3F27" w:rsidP="00C6402C">
            <w:pPr>
              <w:spacing w:before="0"/>
              <w:jc w:val="right"/>
            </w:pPr>
            <w:r>
              <w:rPr>
                <w:rFonts w:asciiTheme="minorHAnsi" w:hAnsiTheme="minorHAnsi" w:cstheme="minorHAnsi"/>
                <w:b/>
                <w:bCs/>
                <w:szCs w:val="18"/>
              </w:rPr>
              <w:t xml:space="preserve">Total </w:t>
            </w:r>
          </w:p>
        </w:tc>
        <w:tc>
          <w:tcPr>
            <w:tcW w:w="1371" w:type="dxa"/>
            <w:tcBorders>
              <w:bottom w:val="single" w:sz="4" w:space="0" w:color="1B0B38"/>
            </w:tcBorders>
            <w:vAlign w:val="center"/>
          </w:tcPr>
          <w:p w14:paraId="442BCDB6" w14:textId="36E3E625" w:rsidR="001E3F27" w:rsidRDefault="001E3F27" w:rsidP="00C6402C">
            <w:pPr>
              <w:spacing w:before="0"/>
              <w:jc w:val="center"/>
              <w:rPr>
                <w:rFonts w:asciiTheme="minorHAnsi" w:hAnsiTheme="minorHAnsi" w:cstheme="minorHAnsi"/>
                <w:szCs w:val="18"/>
              </w:rPr>
            </w:pPr>
            <w:r w:rsidRPr="0074315C">
              <w:rPr>
                <w:rFonts w:asciiTheme="minorHAnsi" w:hAnsiTheme="minorHAnsi" w:cstheme="minorHAnsi"/>
                <w:b/>
                <w:bCs/>
                <w:szCs w:val="18"/>
              </w:rPr>
              <w:t>50%</w:t>
            </w:r>
          </w:p>
        </w:tc>
      </w:tr>
    </w:tbl>
    <w:bookmarkEnd w:id="315"/>
    <w:p w14:paraId="190BA842" w14:textId="5233DDEC" w:rsidR="00F46765" w:rsidRPr="000A725A" w:rsidRDefault="00014545" w:rsidP="00F46765">
      <w:r w:rsidRPr="00EE0ED0">
        <w:t>Once an option has been scored on all the above criteria, these are multiplied by the above weightings. The results are then summed. The option which returns the highest value is preferred.</w:t>
      </w:r>
    </w:p>
    <w:p w14:paraId="232847B8" w14:textId="0C33B3B4" w:rsidR="00804815" w:rsidRDefault="00804815" w:rsidP="00D50C43">
      <w:pPr>
        <w:pStyle w:val="Heading3"/>
        <w:numPr>
          <w:ilvl w:val="2"/>
          <w:numId w:val="124"/>
        </w:numPr>
      </w:pPr>
      <w:bookmarkStart w:id="316" w:name="_Toc104217709"/>
      <w:r>
        <w:t xml:space="preserve">Summary </w:t>
      </w:r>
      <w:r w:rsidR="00F64CBC">
        <w:t>of scores for each of the assessment sections</w:t>
      </w:r>
      <w:bookmarkEnd w:id="316"/>
    </w:p>
    <w:p w14:paraId="0D1C0B7F" w14:textId="2AD58CDD" w:rsidR="00BC6660" w:rsidRDefault="00BC6660" w:rsidP="00BC6660">
      <w:pPr>
        <w:rPr>
          <w:rFonts w:asciiTheme="minorHAnsi" w:hAnsiTheme="minorHAnsi"/>
          <w:color w:val="auto"/>
          <w:sz w:val="22"/>
        </w:rPr>
      </w:pPr>
      <w:r>
        <w:t xml:space="preserve">A summary of the scores for each of the assessment sections is detailed below, with the in-depth analysis and rationales for each score detailed in sections 6.3, 6.4 and 6.5. </w:t>
      </w:r>
      <w:r w:rsidR="000B7853">
        <w:t xml:space="preserve">Overall, Option 2 provides the highest net benefit across the </w:t>
      </w:r>
      <w:r w:rsidR="00DA1469">
        <w:t xml:space="preserve">three </w:t>
      </w:r>
      <w:r w:rsidR="000B7853">
        <w:t>elements of the regulatory framework.</w:t>
      </w:r>
    </w:p>
    <w:p w14:paraId="4C3E03CA" w14:textId="21A07E10" w:rsidR="00BC6660" w:rsidRDefault="00BC6660" w:rsidP="00BC6660">
      <w:pPr>
        <w:pStyle w:val="Caption"/>
      </w:pPr>
      <w:bookmarkStart w:id="317" w:name="_Toc104217624"/>
      <w:r>
        <w:t xml:space="preserve">Table </w:t>
      </w:r>
      <w:r>
        <w:rPr>
          <w:noProof/>
        </w:rPr>
        <w:fldChar w:fldCharType="begin"/>
      </w:r>
      <w:r>
        <w:rPr>
          <w:noProof/>
        </w:rPr>
        <w:instrText xml:space="preserve"> SEQ Table \* ARABIC </w:instrText>
      </w:r>
      <w:r>
        <w:rPr>
          <w:noProof/>
        </w:rPr>
        <w:fldChar w:fldCharType="separate"/>
      </w:r>
      <w:r w:rsidR="000B3BF6">
        <w:rPr>
          <w:noProof/>
        </w:rPr>
        <w:t>8</w:t>
      </w:r>
      <w:r>
        <w:rPr>
          <w:noProof/>
        </w:rPr>
        <w:fldChar w:fldCharType="end"/>
      </w:r>
      <w:r>
        <w:t xml:space="preserve">: </w:t>
      </w:r>
      <w:r w:rsidR="00320B0C">
        <w:t>Summary weighted scores for each option</w:t>
      </w:r>
      <w:bookmarkEnd w:id="317"/>
      <w:r>
        <w:t xml:space="preserve"> </w:t>
      </w:r>
    </w:p>
    <w:tbl>
      <w:tblPr>
        <w:tblStyle w:val="TableGrid"/>
        <w:tblW w:w="9026"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CellMar>
          <w:top w:w="28" w:type="dxa"/>
          <w:bottom w:w="28" w:type="dxa"/>
        </w:tblCellMar>
        <w:tblLook w:val="04A0" w:firstRow="1" w:lastRow="0" w:firstColumn="1" w:lastColumn="0" w:noHBand="0" w:noVBand="1"/>
      </w:tblPr>
      <w:tblGrid>
        <w:gridCol w:w="3902"/>
        <w:gridCol w:w="1086"/>
        <w:gridCol w:w="1003"/>
        <w:gridCol w:w="1003"/>
        <w:gridCol w:w="1016"/>
        <w:gridCol w:w="13"/>
        <w:gridCol w:w="1003"/>
      </w:tblGrid>
      <w:tr w:rsidR="00F24E65" w:rsidRPr="00383811" w14:paraId="73012576" w14:textId="5E2B5B3D" w:rsidTr="001F256B">
        <w:trPr>
          <w:trHeight w:val="283"/>
          <w:tblHeader/>
        </w:trPr>
        <w:tc>
          <w:tcPr>
            <w:tcW w:w="3902" w:type="dxa"/>
            <w:vMerge w:val="restart"/>
            <w:shd w:val="clear" w:color="auto" w:fill="1B0B38"/>
            <w:vAlign w:val="center"/>
          </w:tcPr>
          <w:p w14:paraId="022441FD" w14:textId="77777777" w:rsidR="00F24E65" w:rsidRPr="008E75CA" w:rsidRDefault="00F24E65" w:rsidP="008E75CA">
            <w:pPr>
              <w:spacing w:before="0"/>
              <w:rPr>
                <w:rStyle w:val="Strong"/>
                <w:rFonts w:asciiTheme="majorHAnsi" w:hAnsiTheme="majorHAnsi" w:cstheme="majorHAnsi"/>
                <w:color w:val="FFFFFF" w:themeColor="background1"/>
                <w:szCs w:val="18"/>
              </w:rPr>
            </w:pPr>
            <w:r w:rsidRPr="008E75CA">
              <w:rPr>
                <w:rStyle w:val="Strong"/>
                <w:rFonts w:asciiTheme="majorHAnsi" w:hAnsiTheme="majorHAnsi" w:cstheme="majorHAnsi"/>
                <w:color w:val="FFFFFF" w:themeColor="background1"/>
                <w:szCs w:val="18"/>
              </w:rPr>
              <w:t>Criteria</w:t>
            </w:r>
          </w:p>
        </w:tc>
        <w:tc>
          <w:tcPr>
            <w:tcW w:w="1086" w:type="dxa"/>
            <w:vMerge w:val="restart"/>
            <w:shd w:val="clear" w:color="auto" w:fill="1B0B38"/>
            <w:vAlign w:val="center"/>
          </w:tcPr>
          <w:p w14:paraId="44044613" w14:textId="77777777" w:rsidR="00F24E65" w:rsidRPr="008E75CA" w:rsidRDefault="00F24E65" w:rsidP="008E75CA">
            <w:pPr>
              <w:spacing w:before="0"/>
              <w:jc w:val="center"/>
              <w:rPr>
                <w:rStyle w:val="Strong"/>
                <w:rFonts w:asciiTheme="majorHAnsi" w:hAnsiTheme="majorHAnsi" w:cstheme="majorHAnsi"/>
                <w:color w:val="FFFFFF" w:themeColor="background1"/>
                <w:szCs w:val="18"/>
              </w:rPr>
            </w:pPr>
            <w:r w:rsidRPr="008E75CA">
              <w:rPr>
                <w:rStyle w:val="Strong"/>
                <w:rFonts w:asciiTheme="majorHAnsi" w:hAnsiTheme="majorHAnsi" w:cstheme="majorHAnsi"/>
                <w:color w:val="FFFFFF" w:themeColor="background1"/>
                <w:szCs w:val="18"/>
              </w:rPr>
              <w:t>Weighting</w:t>
            </w:r>
          </w:p>
        </w:tc>
        <w:tc>
          <w:tcPr>
            <w:tcW w:w="2006" w:type="dxa"/>
            <w:gridSpan w:val="2"/>
            <w:shd w:val="clear" w:color="auto" w:fill="1B0B38"/>
            <w:vAlign w:val="center"/>
          </w:tcPr>
          <w:p w14:paraId="4FE345D5" w14:textId="70181914" w:rsidR="00F24E65" w:rsidRPr="008E75CA" w:rsidRDefault="00F24E65" w:rsidP="001F256B">
            <w:pPr>
              <w:spacing w:before="0"/>
              <w:jc w:val="center"/>
              <w:rPr>
                <w:rStyle w:val="Strong"/>
                <w:rFonts w:asciiTheme="majorHAnsi" w:hAnsiTheme="majorHAnsi" w:cstheme="majorHAnsi"/>
                <w:color w:val="FFFFFF" w:themeColor="background1"/>
                <w:szCs w:val="18"/>
              </w:rPr>
            </w:pPr>
            <w:r>
              <w:rPr>
                <w:rStyle w:val="Strong"/>
                <w:rFonts w:asciiTheme="majorHAnsi" w:hAnsiTheme="majorHAnsi" w:cstheme="majorHAnsi"/>
                <w:color w:val="FFFFFF" w:themeColor="background1"/>
                <w:szCs w:val="18"/>
              </w:rPr>
              <w:t>Unweighted Scores</w:t>
            </w:r>
          </w:p>
        </w:tc>
        <w:tc>
          <w:tcPr>
            <w:tcW w:w="2032" w:type="dxa"/>
            <w:gridSpan w:val="3"/>
            <w:shd w:val="clear" w:color="auto" w:fill="1B0B38"/>
            <w:vAlign w:val="center"/>
          </w:tcPr>
          <w:p w14:paraId="4058129E" w14:textId="4EDEAEC3" w:rsidR="00F24E65" w:rsidRPr="008E75CA" w:rsidRDefault="00F24E65" w:rsidP="008E75CA">
            <w:pPr>
              <w:spacing w:before="0"/>
              <w:jc w:val="center"/>
              <w:rPr>
                <w:rStyle w:val="Strong"/>
                <w:rFonts w:asciiTheme="majorHAnsi" w:hAnsiTheme="majorHAnsi" w:cstheme="majorHAnsi"/>
                <w:color w:val="FFFFFF" w:themeColor="background1"/>
                <w:szCs w:val="18"/>
              </w:rPr>
            </w:pPr>
            <w:r w:rsidRPr="008E75CA">
              <w:rPr>
                <w:rStyle w:val="Strong"/>
                <w:rFonts w:asciiTheme="majorHAnsi" w:hAnsiTheme="majorHAnsi" w:cstheme="majorHAnsi"/>
                <w:color w:val="FFFFFF" w:themeColor="background1"/>
                <w:szCs w:val="18"/>
              </w:rPr>
              <w:t>Weighted Scores</w:t>
            </w:r>
          </w:p>
        </w:tc>
      </w:tr>
      <w:tr w:rsidR="00F24E65" w:rsidRPr="00383811" w14:paraId="38BA04B4" w14:textId="77777777" w:rsidTr="00F24E65">
        <w:trPr>
          <w:trHeight w:val="283"/>
          <w:tblHeader/>
        </w:trPr>
        <w:tc>
          <w:tcPr>
            <w:tcW w:w="3902" w:type="dxa"/>
            <w:vMerge/>
            <w:shd w:val="clear" w:color="auto" w:fill="1B0B38"/>
            <w:vAlign w:val="center"/>
          </w:tcPr>
          <w:p w14:paraId="336B2ACC" w14:textId="77777777" w:rsidR="00F24E65" w:rsidRPr="008E75CA" w:rsidRDefault="00F24E65" w:rsidP="00F24E65">
            <w:pPr>
              <w:spacing w:before="0"/>
              <w:rPr>
                <w:rStyle w:val="Strong"/>
                <w:rFonts w:asciiTheme="majorHAnsi" w:hAnsiTheme="majorHAnsi" w:cstheme="majorHAnsi"/>
                <w:color w:val="FFFFFF" w:themeColor="background1"/>
                <w:szCs w:val="18"/>
              </w:rPr>
            </w:pPr>
          </w:p>
        </w:tc>
        <w:tc>
          <w:tcPr>
            <w:tcW w:w="1086" w:type="dxa"/>
            <w:vMerge/>
            <w:shd w:val="clear" w:color="auto" w:fill="1B0B38"/>
            <w:vAlign w:val="center"/>
          </w:tcPr>
          <w:p w14:paraId="3155B225" w14:textId="77777777" w:rsidR="00F24E65" w:rsidRPr="008E75CA" w:rsidRDefault="00F24E65" w:rsidP="00F24E65">
            <w:pPr>
              <w:spacing w:before="0"/>
              <w:jc w:val="center"/>
              <w:rPr>
                <w:rStyle w:val="Strong"/>
                <w:rFonts w:asciiTheme="majorHAnsi" w:hAnsiTheme="majorHAnsi" w:cstheme="majorHAnsi"/>
                <w:color w:val="FFFFFF" w:themeColor="background1"/>
                <w:szCs w:val="18"/>
              </w:rPr>
            </w:pPr>
          </w:p>
        </w:tc>
        <w:tc>
          <w:tcPr>
            <w:tcW w:w="1003" w:type="dxa"/>
            <w:shd w:val="clear" w:color="auto" w:fill="1B0B38"/>
            <w:vAlign w:val="center"/>
          </w:tcPr>
          <w:p w14:paraId="269E4C65" w14:textId="0C4F33A2" w:rsidR="00F24E65" w:rsidRPr="00F24E65" w:rsidRDefault="00F24E65" w:rsidP="00F24E65">
            <w:pPr>
              <w:spacing w:before="0"/>
              <w:jc w:val="center"/>
              <w:rPr>
                <w:rStyle w:val="Strong"/>
                <w:rFonts w:asciiTheme="majorHAnsi" w:hAnsiTheme="majorHAnsi" w:cstheme="majorHAnsi"/>
                <w:color w:val="FFFFFF" w:themeColor="background1"/>
                <w:szCs w:val="18"/>
              </w:rPr>
            </w:pPr>
            <w:r w:rsidRPr="00F24E65">
              <w:rPr>
                <w:rStyle w:val="Strong"/>
                <w:color w:val="FFFFFF" w:themeColor="background1"/>
              </w:rPr>
              <w:t>Option 1</w:t>
            </w:r>
          </w:p>
        </w:tc>
        <w:tc>
          <w:tcPr>
            <w:tcW w:w="1003" w:type="dxa"/>
            <w:shd w:val="clear" w:color="auto" w:fill="1B0B38"/>
            <w:vAlign w:val="center"/>
          </w:tcPr>
          <w:p w14:paraId="3FA00DB5" w14:textId="557C80D7" w:rsidR="00F24E65" w:rsidRPr="00F24E65" w:rsidRDefault="00F24E65" w:rsidP="00F24E65">
            <w:pPr>
              <w:spacing w:before="0"/>
              <w:jc w:val="center"/>
              <w:rPr>
                <w:rStyle w:val="Strong"/>
                <w:rFonts w:asciiTheme="majorHAnsi" w:hAnsiTheme="majorHAnsi" w:cstheme="majorHAnsi"/>
                <w:color w:val="FFFFFF" w:themeColor="background1"/>
                <w:szCs w:val="18"/>
              </w:rPr>
            </w:pPr>
            <w:r w:rsidRPr="00F24E65">
              <w:rPr>
                <w:rStyle w:val="Strong"/>
                <w:color w:val="FFFFFF" w:themeColor="background1"/>
              </w:rPr>
              <w:t>Option 2</w:t>
            </w:r>
          </w:p>
        </w:tc>
        <w:tc>
          <w:tcPr>
            <w:tcW w:w="1016" w:type="dxa"/>
            <w:shd w:val="clear" w:color="auto" w:fill="1B0B38"/>
            <w:vAlign w:val="center"/>
          </w:tcPr>
          <w:p w14:paraId="2BC7A0FB" w14:textId="24679608" w:rsidR="00F24E65" w:rsidRPr="00F24E65" w:rsidRDefault="00F24E65" w:rsidP="00F24E65">
            <w:pPr>
              <w:spacing w:before="0"/>
              <w:jc w:val="center"/>
              <w:rPr>
                <w:rStyle w:val="Strong"/>
                <w:rFonts w:asciiTheme="majorHAnsi" w:hAnsiTheme="majorHAnsi" w:cstheme="majorHAnsi"/>
                <w:color w:val="FFFFFF" w:themeColor="background1"/>
                <w:szCs w:val="18"/>
              </w:rPr>
            </w:pPr>
            <w:r w:rsidRPr="00F24E65">
              <w:rPr>
                <w:rStyle w:val="Strong"/>
                <w:color w:val="FFFFFF" w:themeColor="background1"/>
              </w:rPr>
              <w:t>Option 1</w:t>
            </w:r>
          </w:p>
        </w:tc>
        <w:tc>
          <w:tcPr>
            <w:tcW w:w="1016" w:type="dxa"/>
            <w:gridSpan w:val="2"/>
            <w:shd w:val="clear" w:color="auto" w:fill="1B0B38"/>
            <w:vAlign w:val="center"/>
          </w:tcPr>
          <w:p w14:paraId="7A3AB18A" w14:textId="34F36B80" w:rsidR="00F24E65" w:rsidRPr="00F24E65" w:rsidRDefault="00F24E65" w:rsidP="00F24E65">
            <w:pPr>
              <w:spacing w:before="0"/>
              <w:jc w:val="center"/>
              <w:rPr>
                <w:rStyle w:val="Strong"/>
                <w:rFonts w:asciiTheme="majorHAnsi" w:hAnsiTheme="majorHAnsi" w:cstheme="majorHAnsi"/>
                <w:color w:val="FFFFFF" w:themeColor="background1"/>
                <w:szCs w:val="18"/>
              </w:rPr>
            </w:pPr>
            <w:r w:rsidRPr="00F24E65">
              <w:rPr>
                <w:rStyle w:val="Strong"/>
                <w:color w:val="FFFFFF" w:themeColor="background1"/>
              </w:rPr>
              <w:t>Option 2</w:t>
            </w:r>
          </w:p>
        </w:tc>
      </w:tr>
      <w:tr w:rsidR="00F24E65" w:rsidRPr="00383811" w14:paraId="699A0884" w14:textId="1068FBD0" w:rsidTr="00F24E65">
        <w:tc>
          <w:tcPr>
            <w:tcW w:w="9026" w:type="dxa"/>
            <w:gridSpan w:val="7"/>
            <w:shd w:val="clear" w:color="auto" w:fill="D9D9D6" w:themeFill="background2"/>
            <w:vAlign w:val="center"/>
          </w:tcPr>
          <w:p w14:paraId="26910460" w14:textId="2AB56EE6" w:rsidR="00F24E65" w:rsidRPr="008E75CA" w:rsidRDefault="00F24E65" w:rsidP="00F24E65">
            <w:pPr>
              <w:spacing w:before="0"/>
              <w:rPr>
                <w:rFonts w:asciiTheme="majorHAnsi" w:hAnsiTheme="majorHAnsi" w:cstheme="majorHAnsi"/>
                <w:b/>
                <w:bCs/>
                <w:szCs w:val="18"/>
              </w:rPr>
            </w:pPr>
            <w:r w:rsidRPr="008E75CA">
              <w:rPr>
                <w:rFonts w:asciiTheme="majorHAnsi" w:hAnsiTheme="majorHAnsi" w:cstheme="majorHAnsi"/>
                <w:b/>
                <w:bCs/>
                <w:szCs w:val="18"/>
              </w:rPr>
              <w:t>Declared Mine Rehabilitation Plan</w:t>
            </w:r>
          </w:p>
        </w:tc>
      </w:tr>
      <w:tr w:rsidR="00E57C27" w:rsidRPr="00383811" w14:paraId="58FD20CF" w14:textId="4AC3E7A3" w:rsidTr="00F24E65">
        <w:trPr>
          <w:trHeight w:val="283"/>
        </w:trPr>
        <w:tc>
          <w:tcPr>
            <w:tcW w:w="3902" w:type="dxa"/>
            <w:vAlign w:val="center"/>
          </w:tcPr>
          <w:p w14:paraId="5545AA4F" w14:textId="77777777" w:rsidR="00E57C27" w:rsidRPr="008E75CA" w:rsidRDefault="00E57C27" w:rsidP="008E75CA">
            <w:pPr>
              <w:spacing w:before="0"/>
              <w:rPr>
                <w:rFonts w:asciiTheme="majorHAnsi" w:hAnsiTheme="majorHAnsi" w:cstheme="majorHAnsi"/>
                <w:b/>
                <w:bCs/>
                <w:szCs w:val="18"/>
              </w:rPr>
            </w:pPr>
            <w:r w:rsidRPr="008E75CA">
              <w:rPr>
                <w:rFonts w:asciiTheme="majorHAnsi" w:hAnsiTheme="majorHAnsi" w:cstheme="majorHAnsi"/>
                <w:b/>
                <w:bCs/>
                <w:szCs w:val="18"/>
              </w:rPr>
              <w:t>Benefits Criteria</w:t>
            </w:r>
          </w:p>
        </w:tc>
        <w:tc>
          <w:tcPr>
            <w:tcW w:w="1086" w:type="dxa"/>
            <w:vAlign w:val="center"/>
          </w:tcPr>
          <w:p w14:paraId="6CA38A4A" w14:textId="77777777" w:rsidR="00E57C27" w:rsidRPr="008E75CA" w:rsidRDefault="00E57C27" w:rsidP="008E75CA">
            <w:pPr>
              <w:spacing w:before="0"/>
              <w:jc w:val="center"/>
              <w:rPr>
                <w:rFonts w:asciiTheme="majorHAnsi" w:hAnsiTheme="majorHAnsi" w:cstheme="majorHAnsi"/>
                <w:szCs w:val="18"/>
              </w:rPr>
            </w:pPr>
          </w:p>
        </w:tc>
        <w:tc>
          <w:tcPr>
            <w:tcW w:w="1003" w:type="dxa"/>
          </w:tcPr>
          <w:p w14:paraId="68FDBB96" w14:textId="77777777" w:rsidR="00E57C27" w:rsidRPr="008E75CA" w:rsidRDefault="00E57C27" w:rsidP="008E75CA">
            <w:pPr>
              <w:spacing w:before="0"/>
              <w:jc w:val="center"/>
              <w:rPr>
                <w:rFonts w:asciiTheme="majorHAnsi" w:hAnsiTheme="majorHAnsi" w:cstheme="majorHAnsi"/>
                <w:szCs w:val="18"/>
              </w:rPr>
            </w:pPr>
          </w:p>
        </w:tc>
        <w:tc>
          <w:tcPr>
            <w:tcW w:w="1003" w:type="dxa"/>
          </w:tcPr>
          <w:p w14:paraId="2A022D8A" w14:textId="77777777" w:rsidR="00E57C27" w:rsidRPr="008E75CA" w:rsidRDefault="00E57C27" w:rsidP="008E75CA">
            <w:pPr>
              <w:spacing w:before="0"/>
              <w:jc w:val="center"/>
              <w:rPr>
                <w:rFonts w:asciiTheme="majorHAnsi" w:hAnsiTheme="majorHAnsi" w:cstheme="majorHAnsi"/>
                <w:szCs w:val="18"/>
              </w:rPr>
            </w:pPr>
          </w:p>
        </w:tc>
        <w:tc>
          <w:tcPr>
            <w:tcW w:w="1029" w:type="dxa"/>
            <w:gridSpan w:val="2"/>
            <w:vAlign w:val="center"/>
          </w:tcPr>
          <w:p w14:paraId="4B690DE9" w14:textId="1BAF2A9B" w:rsidR="00E57C27" w:rsidRPr="008E75CA" w:rsidRDefault="00E57C27" w:rsidP="008E75CA">
            <w:pPr>
              <w:spacing w:before="0"/>
              <w:jc w:val="center"/>
              <w:rPr>
                <w:rFonts w:asciiTheme="majorHAnsi" w:hAnsiTheme="majorHAnsi" w:cstheme="majorHAnsi"/>
                <w:szCs w:val="18"/>
              </w:rPr>
            </w:pPr>
          </w:p>
        </w:tc>
        <w:tc>
          <w:tcPr>
            <w:tcW w:w="1003" w:type="dxa"/>
            <w:vAlign w:val="center"/>
          </w:tcPr>
          <w:p w14:paraId="589A4443" w14:textId="77777777" w:rsidR="00E57C27" w:rsidRPr="008E75CA" w:rsidRDefault="00E57C27" w:rsidP="008E75CA">
            <w:pPr>
              <w:spacing w:before="0"/>
              <w:jc w:val="center"/>
              <w:rPr>
                <w:rFonts w:asciiTheme="majorHAnsi" w:hAnsiTheme="majorHAnsi" w:cstheme="majorHAnsi"/>
                <w:szCs w:val="18"/>
              </w:rPr>
            </w:pPr>
          </w:p>
        </w:tc>
      </w:tr>
      <w:tr w:rsidR="00C00C1E" w:rsidRPr="00383811" w14:paraId="2FC9150F" w14:textId="77777777" w:rsidTr="00045FCE">
        <w:trPr>
          <w:trHeight w:val="283"/>
        </w:trPr>
        <w:tc>
          <w:tcPr>
            <w:tcW w:w="3902" w:type="dxa"/>
            <w:vAlign w:val="center"/>
          </w:tcPr>
          <w:p w14:paraId="20C327D9" w14:textId="787CA4B2" w:rsidR="00C00C1E" w:rsidRPr="008E75CA" w:rsidRDefault="00C00C1E" w:rsidP="00045FCE">
            <w:pPr>
              <w:spacing w:before="0"/>
              <w:rPr>
                <w:rFonts w:asciiTheme="majorHAnsi" w:hAnsiTheme="majorHAnsi" w:cstheme="majorHAnsi"/>
                <w:szCs w:val="18"/>
              </w:rPr>
            </w:pPr>
            <w:r>
              <w:rPr>
                <w:rFonts w:asciiTheme="minorHAnsi" w:hAnsiTheme="minorHAnsi" w:cstheme="minorHAnsi"/>
                <w:szCs w:val="18"/>
              </w:rPr>
              <w:t>Manage the risks posed by declared mine land through:</w:t>
            </w:r>
          </w:p>
        </w:tc>
        <w:tc>
          <w:tcPr>
            <w:tcW w:w="1086" w:type="dxa"/>
            <w:vAlign w:val="center"/>
          </w:tcPr>
          <w:p w14:paraId="79DC66E7" w14:textId="77777777" w:rsidR="00C00C1E" w:rsidRDefault="00C00C1E" w:rsidP="00045FCE">
            <w:pPr>
              <w:spacing w:before="0"/>
              <w:jc w:val="center"/>
              <w:rPr>
                <w:rFonts w:asciiTheme="majorHAnsi" w:hAnsiTheme="majorHAnsi" w:cstheme="majorHAnsi"/>
                <w:szCs w:val="18"/>
              </w:rPr>
            </w:pPr>
          </w:p>
        </w:tc>
        <w:tc>
          <w:tcPr>
            <w:tcW w:w="1003" w:type="dxa"/>
            <w:vAlign w:val="center"/>
          </w:tcPr>
          <w:p w14:paraId="1764992B" w14:textId="77777777" w:rsidR="00C00C1E" w:rsidRPr="00EE5BCB" w:rsidRDefault="00C00C1E" w:rsidP="00045FCE">
            <w:pPr>
              <w:spacing w:before="0"/>
              <w:jc w:val="center"/>
            </w:pPr>
          </w:p>
        </w:tc>
        <w:tc>
          <w:tcPr>
            <w:tcW w:w="1003" w:type="dxa"/>
            <w:vAlign w:val="center"/>
          </w:tcPr>
          <w:p w14:paraId="0954B3CE" w14:textId="77777777" w:rsidR="00C00C1E" w:rsidRPr="00EE5BCB" w:rsidRDefault="00C00C1E" w:rsidP="00045FCE">
            <w:pPr>
              <w:spacing w:before="0"/>
              <w:jc w:val="center"/>
            </w:pPr>
          </w:p>
        </w:tc>
        <w:tc>
          <w:tcPr>
            <w:tcW w:w="1029" w:type="dxa"/>
            <w:gridSpan w:val="2"/>
            <w:vAlign w:val="center"/>
          </w:tcPr>
          <w:p w14:paraId="1182AD9F" w14:textId="77777777" w:rsidR="00C00C1E" w:rsidRPr="00EE5BCB" w:rsidRDefault="00C00C1E" w:rsidP="00045FCE">
            <w:pPr>
              <w:spacing w:before="0"/>
              <w:jc w:val="center"/>
            </w:pPr>
          </w:p>
        </w:tc>
        <w:tc>
          <w:tcPr>
            <w:tcW w:w="1003" w:type="dxa"/>
            <w:vAlign w:val="center"/>
          </w:tcPr>
          <w:p w14:paraId="5D4B60B0" w14:textId="77777777" w:rsidR="00C00C1E" w:rsidRPr="00EE5BCB" w:rsidRDefault="00C00C1E" w:rsidP="00045FCE">
            <w:pPr>
              <w:spacing w:before="0"/>
              <w:jc w:val="center"/>
            </w:pPr>
          </w:p>
        </w:tc>
      </w:tr>
      <w:tr w:rsidR="00045FCE" w:rsidRPr="00383811" w14:paraId="0BF188B2" w14:textId="38E9BEDE" w:rsidTr="00045FCE">
        <w:trPr>
          <w:trHeight w:val="283"/>
        </w:trPr>
        <w:tc>
          <w:tcPr>
            <w:tcW w:w="3902" w:type="dxa"/>
            <w:vAlign w:val="center"/>
          </w:tcPr>
          <w:p w14:paraId="06839750" w14:textId="4EC40097" w:rsidR="00045FCE" w:rsidRPr="008E75CA" w:rsidRDefault="00045FCE" w:rsidP="00C05DB0">
            <w:pPr>
              <w:spacing w:before="0"/>
              <w:ind w:left="321"/>
              <w:rPr>
                <w:rFonts w:asciiTheme="majorHAnsi" w:hAnsiTheme="majorHAnsi" w:cstheme="majorHAnsi"/>
                <w:szCs w:val="18"/>
              </w:rPr>
            </w:pPr>
            <w:r w:rsidRPr="008E75CA">
              <w:rPr>
                <w:rFonts w:asciiTheme="majorHAnsi" w:hAnsiTheme="majorHAnsi" w:cstheme="majorHAnsi"/>
                <w:szCs w:val="18"/>
              </w:rPr>
              <w:t>Facilitat</w:t>
            </w:r>
            <w:r w:rsidR="00C00C1E">
              <w:rPr>
                <w:rFonts w:asciiTheme="majorHAnsi" w:hAnsiTheme="majorHAnsi" w:cstheme="majorHAnsi"/>
                <w:szCs w:val="18"/>
              </w:rPr>
              <w:t>ing</w:t>
            </w:r>
            <w:r w:rsidRPr="008E75CA">
              <w:rPr>
                <w:rFonts w:asciiTheme="majorHAnsi" w:hAnsiTheme="majorHAnsi" w:cstheme="majorHAnsi"/>
                <w:szCs w:val="18"/>
              </w:rPr>
              <w:t xml:space="preserve"> assessment of declared mine rehabilitation liability</w:t>
            </w:r>
          </w:p>
        </w:tc>
        <w:tc>
          <w:tcPr>
            <w:tcW w:w="1086" w:type="dxa"/>
            <w:vAlign w:val="center"/>
          </w:tcPr>
          <w:p w14:paraId="0150985B" w14:textId="450BC608" w:rsidR="00045FCE" w:rsidRPr="008E75CA" w:rsidRDefault="00045FCE" w:rsidP="00045FCE">
            <w:pPr>
              <w:spacing w:before="0"/>
              <w:jc w:val="center"/>
              <w:rPr>
                <w:rFonts w:asciiTheme="majorHAnsi" w:hAnsiTheme="majorHAnsi" w:cstheme="majorHAnsi"/>
                <w:szCs w:val="18"/>
              </w:rPr>
            </w:pPr>
            <w:r>
              <w:rPr>
                <w:rFonts w:asciiTheme="majorHAnsi" w:hAnsiTheme="majorHAnsi" w:cstheme="majorHAnsi"/>
                <w:szCs w:val="18"/>
              </w:rPr>
              <w:t>16.7</w:t>
            </w:r>
            <w:r w:rsidRPr="008E75CA">
              <w:rPr>
                <w:rFonts w:asciiTheme="majorHAnsi" w:hAnsiTheme="majorHAnsi" w:cstheme="majorHAnsi"/>
                <w:szCs w:val="18"/>
              </w:rPr>
              <w:t>%</w:t>
            </w:r>
          </w:p>
        </w:tc>
        <w:tc>
          <w:tcPr>
            <w:tcW w:w="1003" w:type="dxa"/>
            <w:vAlign w:val="center"/>
          </w:tcPr>
          <w:p w14:paraId="2CAAD3E5" w14:textId="020469A5" w:rsidR="00045FCE" w:rsidRPr="008E75CA" w:rsidRDefault="00045FCE" w:rsidP="00045FCE">
            <w:pPr>
              <w:spacing w:before="0"/>
              <w:jc w:val="center"/>
              <w:rPr>
                <w:rFonts w:asciiTheme="majorHAnsi" w:hAnsiTheme="majorHAnsi" w:cstheme="majorHAnsi"/>
                <w:szCs w:val="18"/>
              </w:rPr>
            </w:pPr>
            <w:r w:rsidRPr="00EE5BCB">
              <w:t>7</w:t>
            </w:r>
          </w:p>
        </w:tc>
        <w:tc>
          <w:tcPr>
            <w:tcW w:w="1003" w:type="dxa"/>
            <w:vAlign w:val="center"/>
          </w:tcPr>
          <w:p w14:paraId="4ABA7BE6" w14:textId="50578F86" w:rsidR="00045FCE" w:rsidRPr="008E75CA" w:rsidRDefault="00552FA0" w:rsidP="00045FCE">
            <w:pPr>
              <w:spacing w:before="0"/>
              <w:jc w:val="center"/>
              <w:rPr>
                <w:rFonts w:asciiTheme="majorHAnsi" w:hAnsiTheme="majorHAnsi" w:cstheme="majorHAnsi"/>
                <w:szCs w:val="18"/>
              </w:rPr>
            </w:pPr>
            <w:r>
              <w:t>8</w:t>
            </w:r>
          </w:p>
        </w:tc>
        <w:tc>
          <w:tcPr>
            <w:tcW w:w="1029" w:type="dxa"/>
            <w:gridSpan w:val="2"/>
            <w:vAlign w:val="center"/>
          </w:tcPr>
          <w:p w14:paraId="7CB60F0A" w14:textId="556850ED" w:rsidR="00045FCE" w:rsidRPr="008E75CA" w:rsidRDefault="00045FCE" w:rsidP="00045FCE">
            <w:pPr>
              <w:spacing w:before="0"/>
              <w:jc w:val="center"/>
              <w:rPr>
                <w:rFonts w:asciiTheme="majorHAnsi" w:hAnsiTheme="majorHAnsi" w:cstheme="majorHAnsi"/>
                <w:szCs w:val="18"/>
              </w:rPr>
            </w:pPr>
            <w:r w:rsidRPr="00EE5BCB">
              <w:t>1.17</w:t>
            </w:r>
          </w:p>
        </w:tc>
        <w:tc>
          <w:tcPr>
            <w:tcW w:w="1003" w:type="dxa"/>
            <w:vAlign w:val="center"/>
          </w:tcPr>
          <w:p w14:paraId="7A4C3019" w14:textId="145BCB0E" w:rsidR="00045FCE" w:rsidRPr="008E75CA" w:rsidRDefault="00045FCE" w:rsidP="00045FCE">
            <w:pPr>
              <w:spacing w:before="0"/>
              <w:jc w:val="center"/>
              <w:rPr>
                <w:rFonts w:asciiTheme="majorHAnsi" w:hAnsiTheme="majorHAnsi" w:cstheme="majorHAnsi"/>
                <w:szCs w:val="18"/>
              </w:rPr>
            </w:pPr>
            <w:r w:rsidRPr="00EE5BCB">
              <w:t>1.</w:t>
            </w:r>
            <w:r w:rsidR="00552FA0">
              <w:t>33</w:t>
            </w:r>
          </w:p>
        </w:tc>
      </w:tr>
      <w:tr w:rsidR="00045FCE" w:rsidRPr="00383811" w14:paraId="30A3D8A6" w14:textId="246A0958" w:rsidTr="00045FCE">
        <w:trPr>
          <w:trHeight w:val="358"/>
        </w:trPr>
        <w:tc>
          <w:tcPr>
            <w:tcW w:w="3902" w:type="dxa"/>
            <w:vAlign w:val="center"/>
          </w:tcPr>
          <w:p w14:paraId="4C15B988" w14:textId="455E4A3C" w:rsidR="00045FCE" w:rsidRPr="008E75CA" w:rsidRDefault="00C00C1E" w:rsidP="00C05DB0">
            <w:pPr>
              <w:spacing w:before="0"/>
              <w:ind w:left="321"/>
              <w:rPr>
                <w:rFonts w:asciiTheme="majorHAnsi" w:hAnsiTheme="majorHAnsi" w:cstheme="majorHAnsi"/>
                <w:szCs w:val="18"/>
              </w:rPr>
            </w:pPr>
            <w:r w:rsidRPr="008E75CA">
              <w:rPr>
                <w:rFonts w:asciiTheme="majorHAnsi" w:hAnsiTheme="majorHAnsi" w:cstheme="majorHAnsi"/>
                <w:szCs w:val="18"/>
              </w:rPr>
              <w:t>Enabli</w:t>
            </w:r>
            <w:r>
              <w:rPr>
                <w:rFonts w:asciiTheme="majorHAnsi" w:hAnsiTheme="majorHAnsi" w:cstheme="majorHAnsi"/>
                <w:szCs w:val="18"/>
              </w:rPr>
              <w:t>ng</w:t>
            </w:r>
            <w:r w:rsidR="00045FCE" w:rsidRPr="008E75CA">
              <w:rPr>
                <w:rFonts w:asciiTheme="majorHAnsi" w:hAnsiTheme="majorHAnsi" w:cstheme="majorHAnsi"/>
                <w:szCs w:val="18"/>
              </w:rPr>
              <w:t xml:space="preserve"> appropriate and integrated regulatory rehabilitation-related decision making by government</w:t>
            </w:r>
          </w:p>
        </w:tc>
        <w:tc>
          <w:tcPr>
            <w:tcW w:w="1086" w:type="dxa"/>
            <w:vAlign w:val="center"/>
          </w:tcPr>
          <w:p w14:paraId="787B6378" w14:textId="208990A9" w:rsidR="00045FCE" w:rsidRPr="008E75CA" w:rsidRDefault="00045FCE" w:rsidP="00045FCE">
            <w:pPr>
              <w:spacing w:before="0"/>
              <w:jc w:val="center"/>
              <w:rPr>
                <w:rFonts w:asciiTheme="majorHAnsi" w:hAnsiTheme="majorHAnsi" w:cstheme="majorHAnsi"/>
                <w:szCs w:val="18"/>
              </w:rPr>
            </w:pPr>
            <w:r>
              <w:rPr>
                <w:rFonts w:asciiTheme="majorHAnsi" w:hAnsiTheme="majorHAnsi" w:cstheme="majorHAnsi"/>
                <w:szCs w:val="18"/>
              </w:rPr>
              <w:t>16.7</w:t>
            </w:r>
            <w:r w:rsidRPr="008E75CA">
              <w:rPr>
                <w:rFonts w:asciiTheme="majorHAnsi" w:hAnsiTheme="majorHAnsi" w:cstheme="majorHAnsi"/>
                <w:szCs w:val="18"/>
              </w:rPr>
              <w:t>%</w:t>
            </w:r>
          </w:p>
        </w:tc>
        <w:tc>
          <w:tcPr>
            <w:tcW w:w="1003" w:type="dxa"/>
            <w:vAlign w:val="center"/>
          </w:tcPr>
          <w:p w14:paraId="1F29B621" w14:textId="31EDA581" w:rsidR="00045FCE" w:rsidRPr="008E75CA" w:rsidRDefault="00045FCE" w:rsidP="00045FCE">
            <w:pPr>
              <w:spacing w:before="0"/>
              <w:jc w:val="center"/>
              <w:rPr>
                <w:rFonts w:asciiTheme="majorHAnsi" w:hAnsiTheme="majorHAnsi" w:cstheme="majorHAnsi"/>
                <w:szCs w:val="18"/>
              </w:rPr>
            </w:pPr>
            <w:r w:rsidRPr="00EE5BCB">
              <w:t>4</w:t>
            </w:r>
          </w:p>
        </w:tc>
        <w:tc>
          <w:tcPr>
            <w:tcW w:w="1003" w:type="dxa"/>
            <w:vAlign w:val="center"/>
          </w:tcPr>
          <w:p w14:paraId="7D18B3A7" w14:textId="7C92DF64" w:rsidR="00045FCE" w:rsidRPr="008E75CA" w:rsidRDefault="00045FCE" w:rsidP="00045FCE">
            <w:pPr>
              <w:spacing w:before="0"/>
              <w:jc w:val="center"/>
              <w:rPr>
                <w:rFonts w:asciiTheme="majorHAnsi" w:hAnsiTheme="majorHAnsi" w:cstheme="majorHAnsi"/>
                <w:szCs w:val="18"/>
              </w:rPr>
            </w:pPr>
            <w:r w:rsidRPr="00EE5BCB">
              <w:t>6</w:t>
            </w:r>
          </w:p>
        </w:tc>
        <w:tc>
          <w:tcPr>
            <w:tcW w:w="1029" w:type="dxa"/>
            <w:gridSpan w:val="2"/>
            <w:vAlign w:val="center"/>
          </w:tcPr>
          <w:p w14:paraId="589CD99F" w14:textId="587F5C30" w:rsidR="00045FCE" w:rsidRPr="008E75CA" w:rsidRDefault="00045FCE" w:rsidP="00045FCE">
            <w:pPr>
              <w:spacing w:before="0"/>
              <w:jc w:val="center"/>
              <w:rPr>
                <w:rFonts w:asciiTheme="majorHAnsi" w:hAnsiTheme="majorHAnsi" w:cstheme="majorHAnsi"/>
                <w:szCs w:val="18"/>
              </w:rPr>
            </w:pPr>
            <w:r w:rsidRPr="00EE5BCB">
              <w:t>0.67</w:t>
            </w:r>
          </w:p>
        </w:tc>
        <w:tc>
          <w:tcPr>
            <w:tcW w:w="1003" w:type="dxa"/>
            <w:vAlign w:val="center"/>
          </w:tcPr>
          <w:p w14:paraId="12F533D6" w14:textId="047F645B" w:rsidR="00045FCE" w:rsidRPr="008E75CA" w:rsidRDefault="00045FCE" w:rsidP="00045FCE">
            <w:pPr>
              <w:spacing w:before="0"/>
              <w:jc w:val="center"/>
              <w:rPr>
                <w:rFonts w:asciiTheme="majorHAnsi" w:hAnsiTheme="majorHAnsi" w:cstheme="majorHAnsi"/>
                <w:szCs w:val="18"/>
              </w:rPr>
            </w:pPr>
            <w:r w:rsidRPr="00EE5BCB">
              <w:t>1.00</w:t>
            </w:r>
          </w:p>
        </w:tc>
      </w:tr>
      <w:tr w:rsidR="00045FCE" w:rsidRPr="00383811" w14:paraId="6AB7D699" w14:textId="7F0E32E6" w:rsidTr="00045FCE">
        <w:trPr>
          <w:trHeight w:val="283"/>
        </w:trPr>
        <w:tc>
          <w:tcPr>
            <w:tcW w:w="3902" w:type="dxa"/>
            <w:vAlign w:val="center"/>
          </w:tcPr>
          <w:p w14:paraId="18BB1B12" w14:textId="4D52C972" w:rsidR="00045FCE" w:rsidRPr="008E75CA" w:rsidRDefault="00045FCE" w:rsidP="00C05DB0">
            <w:pPr>
              <w:spacing w:before="0"/>
              <w:ind w:left="321"/>
              <w:rPr>
                <w:rFonts w:asciiTheme="majorHAnsi" w:hAnsiTheme="majorHAnsi" w:cstheme="majorHAnsi"/>
                <w:szCs w:val="18"/>
              </w:rPr>
            </w:pPr>
            <w:r w:rsidRPr="008E75CA">
              <w:rPr>
                <w:rFonts w:asciiTheme="majorHAnsi" w:hAnsiTheme="majorHAnsi" w:cstheme="majorHAnsi"/>
                <w:szCs w:val="18"/>
              </w:rPr>
              <w:t>Provid</w:t>
            </w:r>
            <w:r w:rsidR="00C00C1E">
              <w:rPr>
                <w:rFonts w:asciiTheme="majorHAnsi" w:hAnsiTheme="majorHAnsi" w:cstheme="majorHAnsi"/>
                <w:szCs w:val="18"/>
              </w:rPr>
              <w:t>ing</w:t>
            </w:r>
            <w:r w:rsidRPr="008E75CA">
              <w:rPr>
                <w:rFonts w:asciiTheme="majorHAnsi" w:hAnsiTheme="majorHAnsi" w:cstheme="majorHAnsi"/>
                <w:szCs w:val="18"/>
              </w:rPr>
              <w:t xml:space="preserve"> a transparent and flexible approach to planning</w:t>
            </w:r>
          </w:p>
        </w:tc>
        <w:tc>
          <w:tcPr>
            <w:tcW w:w="1086" w:type="dxa"/>
            <w:vAlign w:val="center"/>
          </w:tcPr>
          <w:p w14:paraId="5D0A2EF2" w14:textId="2639AEF5" w:rsidR="00045FCE" w:rsidRPr="008E75CA" w:rsidRDefault="00045FCE" w:rsidP="00045FCE">
            <w:pPr>
              <w:spacing w:before="0"/>
              <w:jc w:val="center"/>
              <w:rPr>
                <w:rFonts w:asciiTheme="majorHAnsi" w:hAnsiTheme="majorHAnsi" w:cstheme="majorHAnsi"/>
                <w:szCs w:val="18"/>
              </w:rPr>
            </w:pPr>
            <w:r>
              <w:rPr>
                <w:rFonts w:asciiTheme="majorHAnsi" w:hAnsiTheme="majorHAnsi" w:cstheme="majorHAnsi"/>
                <w:szCs w:val="18"/>
              </w:rPr>
              <w:t>16.7</w:t>
            </w:r>
            <w:r w:rsidRPr="008E75CA">
              <w:rPr>
                <w:rFonts w:asciiTheme="majorHAnsi" w:hAnsiTheme="majorHAnsi" w:cstheme="majorHAnsi"/>
                <w:szCs w:val="18"/>
              </w:rPr>
              <w:t>%</w:t>
            </w:r>
          </w:p>
        </w:tc>
        <w:tc>
          <w:tcPr>
            <w:tcW w:w="1003" w:type="dxa"/>
            <w:vAlign w:val="center"/>
          </w:tcPr>
          <w:p w14:paraId="45FF800F" w14:textId="3316A6D9" w:rsidR="00045FCE" w:rsidRPr="008E75CA" w:rsidRDefault="00045FCE" w:rsidP="00045FCE">
            <w:pPr>
              <w:spacing w:before="0"/>
              <w:jc w:val="center"/>
              <w:rPr>
                <w:rFonts w:asciiTheme="majorHAnsi" w:hAnsiTheme="majorHAnsi" w:cstheme="majorHAnsi"/>
                <w:szCs w:val="18"/>
              </w:rPr>
            </w:pPr>
            <w:r w:rsidRPr="00EE5BCB">
              <w:t>3</w:t>
            </w:r>
          </w:p>
        </w:tc>
        <w:tc>
          <w:tcPr>
            <w:tcW w:w="1003" w:type="dxa"/>
            <w:vAlign w:val="center"/>
          </w:tcPr>
          <w:p w14:paraId="0F4BB309" w14:textId="616B6804" w:rsidR="00045FCE" w:rsidRPr="008E75CA" w:rsidRDefault="00045FCE" w:rsidP="00045FCE">
            <w:pPr>
              <w:spacing w:before="0"/>
              <w:jc w:val="center"/>
              <w:rPr>
                <w:rFonts w:asciiTheme="majorHAnsi" w:hAnsiTheme="majorHAnsi" w:cstheme="majorHAnsi"/>
                <w:szCs w:val="18"/>
              </w:rPr>
            </w:pPr>
            <w:r w:rsidRPr="00EE5BCB">
              <w:t>8</w:t>
            </w:r>
          </w:p>
        </w:tc>
        <w:tc>
          <w:tcPr>
            <w:tcW w:w="1029" w:type="dxa"/>
            <w:gridSpan w:val="2"/>
            <w:vAlign w:val="center"/>
          </w:tcPr>
          <w:p w14:paraId="0E0C69B8" w14:textId="0DF9B3D1" w:rsidR="00045FCE" w:rsidRPr="008E75CA" w:rsidRDefault="00045FCE" w:rsidP="00045FCE">
            <w:pPr>
              <w:spacing w:before="0"/>
              <w:jc w:val="center"/>
              <w:rPr>
                <w:rFonts w:asciiTheme="majorHAnsi" w:hAnsiTheme="majorHAnsi" w:cstheme="majorHAnsi"/>
                <w:szCs w:val="18"/>
              </w:rPr>
            </w:pPr>
            <w:r w:rsidRPr="00EE5BCB">
              <w:t>0.50</w:t>
            </w:r>
          </w:p>
        </w:tc>
        <w:tc>
          <w:tcPr>
            <w:tcW w:w="1003" w:type="dxa"/>
            <w:vAlign w:val="center"/>
          </w:tcPr>
          <w:p w14:paraId="5EC398EA" w14:textId="600A143D" w:rsidR="00045FCE" w:rsidRPr="008E75CA" w:rsidRDefault="00045FCE" w:rsidP="00045FCE">
            <w:pPr>
              <w:spacing w:before="0"/>
              <w:jc w:val="center"/>
              <w:rPr>
                <w:rFonts w:asciiTheme="majorHAnsi" w:hAnsiTheme="majorHAnsi" w:cstheme="majorHAnsi"/>
                <w:szCs w:val="18"/>
              </w:rPr>
            </w:pPr>
            <w:r w:rsidRPr="00EE5BCB">
              <w:t>1.33</w:t>
            </w:r>
          </w:p>
        </w:tc>
      </w:tr>
      <w:tr w:rsidR="00045FCE" w:rsidRPr="00383811" w14:paraId="1A9A0E14" w14:textId="5A5E665A" w:rsidTr="00045FCE">
        <w:trPr>
          <w:trHeight w:val="283"/>
        </w:trPr>
        <w:tc>
          <w:tcPr>
            <w:tcW w:w="3902" w:type="dxa"/>
            <w:vAlign w:val="center"/>
          </w:tcPr>
          <w:p w14:paraId="29B09FDF" w14:textId="77777777" w:rsidR="00045FCE" w:rsidRPr="008E75CA" w:rsidRDefault="00045FCE" w:rsidP="00045FCE">
            <w:pPr>
              <w:spacing w:before="0"/>
              <w:jc w:val="right"/>
              <w:rPr>
                <w:rFonts w:asciiTheme="majorHAnsi" w:hAnsiTheme="majorHAnsi" w:cstheme="majorHAnsi"/>
                <w:b/>
                <w:bCs/>
                <w:szCs w:val="18"/>
              </w:rPr>
            </w:pPr>
            <w:r w:rsidRPr="008E75CA">
              <w:rPr>
                <w:rFonts w:asciiTheme="majorHAnsi" w:hAnsiTheme="majorHAnsi" w:cstheme="majorHAnsi"/>
                <w:b/>
                <w:bCs/>
                <w:szCs w:val="18"/>
              </w:rPr>
              <w:t xml:space="preserve">Total </w:t>
            </w:r>
          </w:p>
        </w:tc>
        <w:tc>
          <w:tcPr>
            <w:tcW w:w="1086" w:type="dxa"/>
            <w:vAlign w:val="center"/>
          </w:tcPr>
          <w:p w14:paraId="77F20440" w14:textId="7DB74A50" w:rsidR="00045FCE" w:rsidRPr="008E75CA" w:rsidRDefault="00045FCE" w:rsidP="00045FCE">
            <w:pPr>
              <w:spacing w:before="0"/>
              <w:jc w:val="center"/>
              <w:rPr>
                <w:rFonts w:asciiTheme="majorHAnsi" w:hAnsiTheme="majorHAnsi" w:cstheme="majorHAnsi"/>
                <w:b/>
                <w:bCs/>
                <w:szCs w:val="18"/>
              </w:rPr>
            </w:pPr>
            <w:r w:rsidRPr="008E75CA">
              <w:rPr>
                <w:rFonts w:asciiTheme="majorHAnsi" w:hAnsiTheme="majorHAnsi" w:cstheme="majorHAnsi"/>
                <w:b/>
                <w:bCs/>
                <w:szCs w:val="18"/>
              </w:rPr>
              <w:t>50%</w:t>
            </w:r>
          </w:p>
        </w:tc>
        <w:tc>
          <w:tcPr>
            <w:tcW w:w="1003" w:type="dxa"/>
            <w:vAlign w:val="center"/>
          </w:tcPr>
          <w:p w14:paraId="564B78C1" w14:textId="77777777" w:rsidR="00045FCE" w:rsidRPr="008E75CA" w:rsidRDefault="00045FCE" w:rsidP="00045FCE">
            <w:pPr>
              <w:spacing w:before="0"/>
              <w:jc w:val="center"/>
              <w:rPr>
                <w:rFonts w:asciiTheme="majorHAnsi" w:hAnsiTheme="majorHAnsi" w:cstheme="majorHAnsi"/>
                <w:szCs w:val="18"/>
              </w:rPr>
            </w:pPr>
          </w:p>
        </w:tc>
        <w:tc>
          <w:tcPr>
            <w:tcW w:w="1003" w:type="dxa"/>
            <w:vAlign w:val="center"/>
          </w:tcPr>
          <w:p w14:paraId="518C31DA" w14:textId="77777777" w:rsidR="00045FCE" w:rsidRPr="008E75CA" w:rsidRDefault="00045FCE" w:rsidP="00045FCE">
            <w:pPr>
              <w:spacing w:before="0"/>
              <w:jc w:val="center"/>
              <w:rPr>
                <w:rFonts w:asciiTheme="majorHAnsi" w:hAnsiTheme="majorHAnsi" w:cstheme="majorHAnsi"/>
                <w:szCs w:val="18"/>
              </w:rPr>
            </w:pPr>
          </w:p>
        </w:tc>
        <w:tc>
          <w:tcPr>
            <w:tcW w:w="1029" w:type="dxa"/>
            <w:gridSpan w:val="2"/>
            <w:vAlign w:val="center"/>
          </w:tcPr>
          <w:p w14:paraId="27BF9B5B" w14:textId="4A6B2C0D" w:rsidR="00045FCE" w:rsidRPr="009423D0" w:rsidRDefault="00045FCE" w:rsidP="00045FCE">
            <w:pPr>
              <w:spacing w:before="0"/>
              <w:jc w:val="center"/>
              <w:rPr>
                <w:rFonts w:asciiTheme="majorHAnsi" w:hAnsiTheme="majorHAnsi" w:cstheme="majorHAnsi"/>
                <w:b/>
                <w:bCs/>
                <w:szCs w:val="18"/>
              </w:rPr>
            </w:pPr>
            <w:r w:rsidRPr="009758F9">
              <w:rPr>
                <w:b/>
                <w:bCs/>
              </w:rPr>
              <w:t>2.33</w:t>
            </w:r>
          </w:p>
        </w:tc>
        <w:tc>
          <w:tcPr>
            <w:tcW w:w="1003" w:type="dxa"/>
            <w:vAlign w:val="center"/>
          </w:tcPr>
          <w:p w14:paraId="728976BD" w14:textId="0A44F2F7" w:rsidR="00045FCE" w:rsidRPr="009423D0" w:rsidRDefault="00045FCE" w:rsidP="00045FCE">
            <w:pPr>
              <w:spacing w:before="0"/>
              <w:jc w:val="center"/>
              <w:rPr>
                <w:rFonts w:asciiTheme="majorHAnsi" w:hAnsiTheme="majorHAnsi" w:cstheme="majorHAnsi"/>
                <w:b/>
                <w:bCs/>
                <w:szCs w:val="18"/>
              </w:rPr>
            </w:pPr>
            <w:r w:rsidRPr="009758F9">
              <w:rPr>
                <w:b/>
                <w:bCs/>
              </w:rPr>
              <w:t>3.</w:t>
            </w:r>
            <w:r w:rsidR="00552FA0" w:rsidRPr="009758F9">
              <w:rPr>
                <w:b/>
                <w:bCs/>
              </w:rPr>
              <w:t>67</w:t>
            </w:r>
          </w:p>
        </w:tc>
      </w:tr>
      <w:tr w:rsidR="00E57C27" w:rsidRPr="00383811" w14:paraId="64B9DFBE" w14:textId="53C53B6B" w:rsidTr="00F24E65">
        <w:trPr>
          <w:trHeight w:val="283"/>
        </w:trPr>
        <w:tc>
          <w:tcPr>
            <w:tcW w:w="3902" w:type="dxa"/>
            <w:vAlign w:val="center"/>
          </w:tcPr>
          <w:p w14:paraId="231ACE70" w14:textId="77777777" w:rsidR="00E57C27" w:rsidRPr="008E75CA" w:rsidRDefault="00E57C27" w:rsidP="008E75CA">
            <w:pPr>
              <w:spacing w:before="0"/>
              <w:rPr>
                <w:rFonts w:asciiTheme="majorHAnsi" w:hAnsiTheme="majorHAnsi" w:cstheme="majorHAnsi"/>
                <w:b/>
                <w:bCs/>
                <w:szCs w:val="18"/>
              </w:rPr>
            </w:pPr>
            <w:r w:rsidRPr="008E75CA">
              <w:rPr>
                <w:rFonts w:asciiTheme="majorHAnsi" w:hAnsiTheme="majorHAnsi" w:cstheme="majorHAnsi"/>
                <w:b/>
                <w:bCs/>
                <w:szCs w:val="18"/>
              </w:rPr>
              <w:t>Cost Criteria</w:t>
            </w:r>
          </w:p>
        </w:tc>
        <w:tc>
          <w:tcPr>
            <w:tcW w:w="1086" w:type="dxa"/>
            <w:vAlign w:val="center"/>
          </w:tcPr>
          <w:p w14:paraId="566E68DE" w14:textId="77777777" w:rsidR="00E57C27" w:rsidRPr="008E75CA" w:rsidRDefault="00E57C27" w:rsidP="008E75CA">
            <w:pPr>
              <w:spacing w:before="0"/>
              <w:jc w:val="center"/>
              <w:rPr>
                <w:rFonts w:asciiTheme="majorHAnsi" w:hAnsiTheme="majorHAnsi" w:cstheme="majorHAnsi"/>
                <w:szCs w:val="18"/>
              </w:rPr>
            </w:pPr>
          </w:p>
        </w:tc>
        <w:tc>
          <w:tcPr>
            <w:tcW w:w="1003" w:type="dxa"/>
          </w:tcPr>
          <w:p w14:paraId="43525EC0" w14:textId="77777777" w:rsidR="00E57C27" w:rsidRPr="008E75CA" w:rsidRDefault="00E57C27" w:rsidP="008E75CA">
            <w:pPr>
              <w:spacing w:before="0"/>
              <w:jc w:val="center"/>
              <w:rPr>
                <w:rFonts w:asciiTheme="majorHAnsi" w:hAnsiTheme="majorHAnsi" w:cstheme="majorHAnsi"/>
                <w:szCs w:val="18"/>
              </w:rPr>
            </w:pPr>
          </w:p>
        </w:tc>
        <w:tc>
          <w:tcPr>
            <w:tcW w:w="1003" w:type="dxa"/>
          </w:tcPr>
          <w:p w14:paraId="79FA83D6" w14:textId="77777777" w:rsidR="00E57C27" w:rsidRPr="008E75CA" w:rsidRDefault="00E57C27" w:rsidP="008E75CA">
            <w:pPr>
              <w:spacing w:before="0"/>
              <w:jc w:val="center"/>
              <w:rPr>
                <w:rFonts w:asciiTheme="majorHAnsi" w:hAnsiTheme="majorHAnsi" w:cstheme="majorHAnsi"/>
                <w:szCs w:val="18"/>
              </w:rPr>
            </w:pPr>
          </w:p>
        </w:tc>
        <w:tc>
          <w:tcPr>
            <w:tcW w:w="1029" w:type="dxa"/>
            <w:gridSpan w:val="2"/>
            <w:vAlign w:val="center"/>
          </w:tcPr>
          <w:p w14:paraId="3C4947C2" w14:textId="1C0B564D" w:rsidR="00E57C27" w:rsidRPr="008E75CA" w:rsidRDefault="00E57C27" w:rsidP="008E75CA">
            <w:pPr>
              <w:spacing w:before="0"/>
              <w:jc w:val="center"/>
              <w:rPr>
                <w:rFonts w:asciiTheme="majorHAnsi" w:hAnsiTheme="majorHAnsi" w:cstheme="majorHAnsi"/>
                <w:szCs w:val="18"/>
              </w:rPr>
            </w:pPr>
          </w:p>
        </w:tc>
        <w:tc>
          <w:tcPr>
            <w:tcW w:w="1003" w:type="dxa"/>
            <w:vAlign w:val="center"/>
          </w:tcPr>
          <w:p w14:paraId="50855A1A" w14:textId="1E4074B7" w:rsidR="00E57C27" w:rsidRPr="008E75CA" w:rsidRDefault="00E57C27" w:rsidP="008E75CA">
            <w:pPr>
              <w:spacing w:before="0"/>
              <w:jc w:val="center"/>
              <w:rPr>
                <w:rFonts w:asciiTheme="majorHAnsi" w:hAnsiTheme="majorHAnsi" w:cstheme="majorHAnsi"/>
                <w:szCs w:val="18"/>
              </w:rPr>
            </w:pPr>
          </w:p>
        </w:tc>
      </w:tr>
      <w:tr w:rsidR="00277ED1" w:rsidRPr="00383811" w14:paraId="361331CB" w14:textId="63031ADD" w:rsidTr="00F24E65">
        <w:trPr>
          <w:trHeight w:val="358"/>
        </w:trPr>
        <w:tc>
          <w:tcPr>
            <w:tcW w:w="3902" w:type="dxa"/>
            <w:vAlign w:val="center"/>
          </w:tcPr>
          <w:p w14:paraId="49C966B9" w14:textId="77777777" w:rsidR="00277ED1" w:rsidRPr="008E75CA" w:rsidRDefault="00277ED1" w:rsidP="006B33C5">
            <w:pPr>
              <w:spacing w:before="0"/>
              <w:rPr>
                <w:rFonts w:asciiTheme="majorHAnsi" w:hAnsiTheme="majorHAnsi" w:cstheme="majorHAnsi"/>
                <w:szCs w:val="18"/>
              </w:rPr>
            </w:pPr>
            <w:r w:rsidRPr="008E75CA">
              <w:rPr>
                <w:rFonts w:asciiTheme="majorHAnsi" w:hAnsiTheme="majorHAnsi" w:cstheme="majorHAnsi"/>
                <w:szCs w:val="18"/>
              </w:rPr>
              <w:t>Costs to industry (including time delays) relative to the base case</w:t>
            </w:r>
          </w:p>
        </w:tc>
        <w:tc>
          <w:tcPr>
            <w:tcW w:w="1086" w:type="dxa"/>
            <w:vAlign w:val="center"/>
          </w:tcPr>
          <w:p w14:paraId="4E7693DC" w14:textId="63BDED0B" w:rsidR="00277ED1" w:rsidRPr="008E75CA" w:rsidRDefault="00161D98" w:rsidP="00277ED1">
            <w:pPr>
              <w:spacing w:before="0"/>
              <w:jc w:val="center"/>
              <w:rPr>
                <w:rFonts w:asciiTheme="majorHAnsi" w:hAnsiTheme="majorHAnsi" w:cstheme="majorHAnsi"/>
                <w:szCs w:val="18"/>
              </w:rPr>
            </w:pPr>
            <w:r>
              <w:rPr>
                <w:rFonts w:asciiTheme="majorHAnsi" w:hAnsiTheme="majorHAnsi" w:cstheme="majorHAnsi"/>
                <w:szCs w:val="18"/>
              </w:rPr>
              <w:t>2</w:t>
            </w:r>
            <w:r w:rsidR="00277ED1" w:rsidRPr="008E75CA">
              <w:rPr>
                <w:rFonts w:asciiTheme="majorHAnsi" w:hAnsiTheme="majorHAnsi" w:cstheme="majorHAnsi"/>
                <w:szCs w:val="18"/>
              </w:rPr>
              <w:t>5%</w:t>
            </w:r>
          </w:p>
        </w:tc>
        <w:tc>
          <w:tcPr>
            <w:tcW w:w="1003" w:type="dxa"/>
            <w:vAlign w:val="center"/>
          </w:tcPr>
          <w:p w14:paraId="11CD63D4" w14:textId="7B091F89" w:rsidR="00277ED1" w:rsidRPr="008E75CA" w:rsidRDefault="00277ED1" w:rsidP="00277ED1">
            <w:pPr>
              <w:spacing w:before="0"/>
              <w:jc w:val="center"/>
              <w:rPr>
                <w:rFonts w:asciiTheme="majorHAnsi" w:hAnsiTheme="majorHAnsi" w:cstheme="majorHAnsi"/>
                <w:szCs w:val="18"/>
              </w:rPr>
            </w:pPr>
            <w:r w:rsidRPr="00B30ABA">
              <w:rPr>
                <w:rFonts w:asciiTheme="majorHAnsi" w:hAnsiTheme="majorHAnsi" w:cstheme="majorHAnsi"/>
                <w:szCs w:val="18"/>
              </w:rPr>
              <w:t>-</w:t>
            </w:r>
            <w:r w:rsidR="00CD4336" w:rsidRPr="00B30ABA">
              <w:rPr>
                <w:rFonts w:asciiTheme="majorHAnsi" w:hAnsiTheme="majorHAnsi" w:cstheme="majorHAnsi"/>
                <w:szCs w:val="18"/>
              </w:rPr>
              <w:t>5</w:t>
            </w:r>
          </w:p>
        </w:tc>
        <w:tc>
          <w:tcPr>
            <w:tcW w:w="1003" w:type="dxa"/>
            <w:vAlign w:val="center"/>
          </w:tcPr>
          <w:p w14:paraId="304969B2" w14:textId="53CE7B1C" w:rsidR="00277ED1" w:rsidRPr="008E75CA" w:rsidRDefault="00277ED1" w:rsidP="00277ED1">
            <w:pPr>
              <w:spacing w:before="0"/>
              <w:jc w:val="center"/>
              <w:rPr>
                <w:rFonts w:asciiTheme="majorHAnsi" w:hAnsiTheme="majorHAnsi" w:cstheme="majorHAnsi"/>
                <w:szCs w:val="18"/>
              </w:rPr>
            </w:pPr>
            <w:r w:rsidRPr="00B30ABA">
              <w:rPr>
                <w:rFonts w:asciiTheme="majorHAnsi" w:hAnsiTheme="majorHAnsi" w:cstheme="majorHAnsi"/>
                <w:szCs w:val="18"/>
              </w:rPr>
              <w:t>-7</w:t>
            </w:r>
          </w:p>
        </w:tc>
        <w:tc>
          <w:tcPr>
            <w:tcW w:w="1029" w:type="dxa"/>
            <w:gridSpan w:val="2"/>
            <w:vAlign w:val="center"/>
          </w:tcPr>
          <w:p w14:paraId="60BE7AF2" w14:textId="7323873D" w:rsidR="00277ED1" w:rsidRPr="008E75CA" w:rsidRDefault="00277ED1" w:rsidP="00277ED1">
            <w:pPr>
              <w:spacing w:before="0"/>
              <w:jc w:val="center"/>
              <w:rPr>
                <w:rFonts w:asciiTheme="majorHAnsi" w:hAnsiTheme="majorHAnsi" w:cstheme="majorHAnsi"/>
                <w:szCs w:val="18"/>
              </w:rPr>
            </w:pPr>
            <w:r w:rsidRPr="008E75CA">
              <w:rPr>
                <w:rFonts w:asciiTheme="majorHAnsi" w:hAnsiTheme="majorHAnsi" w:cstheme="majorHAnsi"/>
                <w:szCs w:val="18"/>
              </w:rPr>
              <w:t>-</w:t>
            </w:r>
            <w:r w:rsidR="00CD4336">
              <w:rPr>
                <w:rFonts w:asciiTheme="majorHAnsi" w:hAnsiTheme="majorHAnsi" w:cstheme="majorHAnsi"/>
                <w:szCs w:val="18"/>
              </w:rPr>
              <w:t>1.</w:t>
            </w:r>
            <w:r w:rsidR="009423D0">
              <w:rPr>
                <w:rFonts w:asciiTheme="majorHAnsi" w:hAnsiTheme="majorHAnsi" w:cstheme="majorHAnsi"/>
                <w:szCs w:val="18"/>
              </w:rPr>
              <w:t>2</w:t>
            </w:r>
            <w:r w:rsidR="00CD4336">
              <w:rPr>
                <w:rFonts w:asciiTheme="majorHAnsi" w:hAnsiTheme="majorHAnsi" w:cstheme="majorHAnsi"/>
                <w:szCs w:val="18"/>
              </w:rPr>
              <w:t>5</w:t>
            </w:r>
          </w:p>
        </w:tc>
        <w:tc>
          <w:tcPr>
            <w:tcW w:w="1003" w:type="dxa"/>
            <w:vAlign w:val="center"/>
          </w:tcPr>
          <w:p w14:paraId="092A779D" w14:textId="73404CD7" w:rsidR="00277ED1" w:rsidRPr="008E75CA" w:rsidRDefault="00277ED1" w:rsidP="00277ED1">
            <w:pPr>
              <w:spacing w:before="0"/>
              <w:jc w:val="center"/>
              <w:rPr>
                <w:rFonts w:asciiTheme="majorHAnsi" w:hAnsiTheme="majorHAnsi" w:cstheme="majorHAnsi"/>
                <w:szCs w:val="18"/>
              </w:rPr>
            </w:pPr>
            <w:r w:rsidRPr="008E75CA">
              <w:rPr>
                <w:rFonts w:asciiTheme="majorHAnsi" w:hAnsiTheme="majorHAnsi" w:cstheme="majorHAnsi"/>
                <w:szCs w:val="18"/>
              </w:rPr>
              <w:t>-</w:t>
            </w:r>
            <w:r w:rsidR="009423D0">
              <w:rPr>
                <w:rFonts w:asciiTheme="majorHAnsi" w:hAnsiTheme="majorHAnsi" w:cstheme="majorHAnsi"/>
                <w:szCs w:val="18"/>
              </w:rPr>
              <w:t>1</w:t>
            </w:r>
            <w:r w:rsidRPr="008E75CA">
              <w:rPr>
                <w:rFonts w:asciiTheme="majorHAnsi" w:hAnsiTheme="majorHAnsi" w:cstheme="majorHAnsi"/>
                <w:szCs w:val="18"/>
              </w:rPr>
              <w:t>.</w:t>
            </w:r>
            <w:r w:rsidR="009423D0">
              <w:rPr>
                <w:rFonts w:asciiTheme="majorHAnsi" w:hAnsiTheme="majorHAnsi" w:cstheme="majorHAnsi"/>
                <w:szCs w:val="18"/>
              </w:rPr>
              <w:t>7</w:t>
            </w:r>
            <w:r w:rsidRPr="008E75CA">
              <w:rPr>
                <w:rFonts w:asciiTheme="majorHAnsi" w:hAnsiTheme="majorHAnsi" w:cstheme="majorHAnsi"/>
                <w:szCs w:val="18"/>
              </w:rPr>
              <w:t>5</w:t>
            </w:r>
          </w:p>
        </w:tc>
      </w:tr>
      <w:tr w:rsidR="00277ED1" w:rsidRPr="00383811" w14:paraId="3C9734ED" w14:textId="70F2B2B8" w:rsidTr="00F24E65">
        <w:trPr>
          <w:trHeight w:val="358"/>
        </w:trPr>
        <w:tc>
          <w:tcPr>
            <w:tcW w:w="3902" w:type="dxa"/>
            <w:vAlign w:val="center"/>
          </w:tcPr>
          <w:p w14:paraId="196A0E8B" w14:textId="77777777" w:rsidR="00277ED1" w:rsidRPr="008E75CA" w:rsidRDefault="00277ED1" w:rsidP="006B33C5">
            <w:pPr>
              <w:spacing w:before="0"/>
              <w:rPr>
                <w:rFonts w:asciiTheme="majorHAnsi" w:hAnsiTheme="majorHAnsi" w:cstheme="majorHAnsi"/>
                <w:color w:val="auto"/>
                <w:szCs w:val="18"/>
              </w:rPr>
            </w:pPr>
            <w:r w:rsidRPr="008E75CA">
              <w:rPr>
                <w:rFonts w:asciiTheme="majorHAnsi" w:hAnsiTheme="majorHAnsi" w:cstheme="majorHAnsi"/>
                <w:szCs w:val="18"/>
              </w:rPr>
              <w:t>Costs to government relative to the base case in:</w:t>
            </w:r>
          </w:p>
          <w:p w14:paraId="14BC9D27" w14:textId="77777777" w:rsidR="00277ED1" w:rsidRPr="008E75CA" w:rsidRDefault="00277ED1" w:rsidP="006B33C5">
            <w:pPr>
              <w:pStyle w:val="ListParagraph"/>
              <w:numPr>
                <w:ilvl w:val="0"/>
                <w:numId w:val="38"/>
              </w:numPr>
              <w:rPr>
                <w:rFonts w:asciiTheme="majorHAnsi" w:hAnsiTheme="majorHAnsi" w:cstheme="majorHAnsi"/>
                <w:sz w:val="18"/>
                <w:szCs w:val="18"/>
              </w:rPr>
            </w:pPr>
            <w:r w:rsidRPr="008E75CA">
              <w:rPr>
                <w:rFonts w:asciiTheme="majorHAnsi" w:hAnsiTheme="majorHAnsi" w:cstheme="majorHAnsi"/>
                <w:sz w:val="18"/>
                <w:szCs w:val="18"/>
              </w:rPr>
              <w:t>Assessing and approving DMRPs;</w:t>
            </w:r>
          </w:p>
          <w:p w14:paraId="22E58C8E" w14:textId="77777777" w:rsidR="00277ED1" w:rsidRPr="008E75CA" w:rsidRDefault="00277ED1" w:rsidP="006B33C5">
            <w:pPr>
              <w:pStyle w:val="ListParagraph"/>
              <w:numPr>
                <w:ilvl w:val="0"/>
                <w:numId w:val="38"/>
              </w:numPr>
              <w:rPr>
                <w:rFonts w:asciiTheme="majorHAnsi" w:hAnsiTheme="majorHAnsi" w:cstheme="majorHAnsi"/>
                <w:sz w:val="18"/>
                <w:szCs w:val="18"/>
              </w:rPr>
            </w:pPr>
            <w:r w:rsidRPr="008E75CA">
              <w:rPr>
                <w:rFonts w:asciiTheme="majorHAnsi" w:hAnsiTheme="majorHAnsi" w:cstheme="majorHAnsi"/>
                <w:sz w:val="18"/>
                <w:szCs w:val="18"/>
              </w:rPr>
              <w:t>monitoring rehabilitation carried out under DMRPs; and</w:t>
            </w:r>
          </w:p>
          <w:p w14:paraId="5B4DDD94" w14:textId="77777777" w:rsidR="00277ED1" w:rsidRPr="008E75CA" w:rsidRDefault="00277ED1" w:rsidP="006B33C5">
            <w:pPr>
              <w:pStyle w:val="ListParagraph"/>
              <w:numPr>
                <w:ilvl w:val="0"/>
                <w:numId w:val="38"/>
              </w:numPr>
              <w:rPr>
                <w:rFonts w:asciiTheme="majorHAnsi" w:hAnsiTheme="majorHAnsi" w:cstheme="majorHAnsi"/>
                <w:sz w:val="18"/>
                <w:szCs w:val="18"/>
              </w:rPr>
            </w:pPr>
            <w:r w:rsidRPr="008E75CA">
              <w:rPr>
                <w:rFonts w:asciiTheme="majorHAnsi" w:hAnsiTheme="majorHAnsi" w:cstheme="majorHAnsi"/>
                <w:sz w:val="18"/>
                <w:szCs w:val="18"/>
              </w:rPr>
              <w:t xml:space="preserve">responding to reported events or circumstances in relation to the plan. </w:t>
            </w:r>
          </w:p>
        </w:tc>
        <w:tc>
          <w:tcPr>
            <w:tcW w:w="1086" w:type="dxa"/>
            <w:vAlign w:val="center"/>
          </w:tcPr>
          <w:p w14:paraId="553A673B" w14:textId="58F23D84" w:rsidR="00277ED1" w:rsidRPr="008E75CA" w:rsidRDefault="00161D98" w:rsidP="00277ED1">
            <w:pPr>
              <w:spacing w:before="0"/>
              <w:jc w:val="center"/>
              <w:rPr>
                <w:rFonts w:asciiTheme="majorHAnsi" w:hAnsiTheme="majorHAnsi" w:cstheme="majorHAnsi"/>
                <w:szCs w:val="18"/>
              </w:rPr>
            </w:pPr>
            <w:r>
              <w:rPr>
                <w:rFonts w:asciiTheme="majorHAnsi" w:hAnsiTheme="majorHAnsi" w:cstheme="majorHAnsi"/>
                <w:szCs w:val="18"/>
              </w:rPr>
              <w:t>2</w:t>
            </w:r>
            <w:r w:rsidR="00277ED1" w:rsidRPr="008E75CA">
              <w:rPr>
                <w:rFonts w:asciiTheme="majorHAnsi" w:hAnsiTheme="majorHAnsi" w:cstheme="majorHAnsi"/>
                <w:szCs w:val="18"/>
              </w:rPr>
              <w:t>5%</w:t>
            </w:r>
          </w:p>
        </w:tc>
        <w:tc>
          <w:tcPr>
            <w:tcW w:w="1003" w:type="dxa"/>
            <w:vAlign w:val="center"/>
          </w:tcPr>
          <w:p w14:paraId="3BD669FD" w14:textId="3355C26E" w:rsidR="00277ED1" w:rsidRPr="008E75CA" w:rsidRDefault="00277ED1" w:rsidP="00277ED1">
            <w:pPr>
              <w:spacing w:before="0"/>
              <w:jc w:val="center"/>
              <w:rPr>
                <w:rFonts w:asciiTheme="majorHAnsi" w:hAnsiTheme="majorHAnsi" w:cstheme="majorHAnsi"/>
                <w:szCs w:val="18"/>
              </w:rPr>
            </w:pPr>
            <w:r w:rsidRPr="00B30ABA">
              <w:rPr>
                <w:rFonts w:asciiTheme="majorHAnsi" w:hAnsiTheme="majorHAnsi" w:cstheme="majorHAnsi"/>
                <w:szCs w:val="18"/>
              </w:rPr>
              <w:t>-1</w:t>
            </w:r>
          </w:p>
        </w:tc>
        <w:tc>
          <w:tcPr>
            <w:tcW w:w="1003" w:type="dxa"/>
            <w:vAlign w:val="center"/>
          </w:tcPr>
          <w:p w14:paraId="76D0C99D" w14:textId="7C10C6F5" w:rsidR="00277ED1" w:rsidRPr="008E75CA" w:rsidRDefault="00277ED1" w:rsidP="00277ED1">
            <w:pPr>
              <w:spacing w:before="0"/>
              <w:jc w:val="center"/>
              <w:rPr>
                <w:rFonts w:asciiTheme="majorHAnsi" w:hAnsiTheme="majorHAnsi" w:cstheme="majorHAnsi"/>
                <w:szCs w:val="18"/>
              </w:rPr>
            </w:pPr>
            <w:r w:rsidRPr="00B30ABA">
              <w:rPr>
                <w:rFonts w:asciiTheme="majorHAnsi" w:hAnsiTheme="majorHAnsi" w:cstheme="majorHAnsi"/>
                <w:szCs w:val="18"/>
              </w:rPr>
              <w:t>-2</w:t>
            </w:r>
          </w:p>
        </w:tc>
        <w:tc>
          <w:tcPr>
            <w:tcW w:w="1029" w:type="dxa"/>
            <w:gridSpan w:val="2"/>
            <w:vAlign w:val="center"/>
          </w:tcPr>
          <w:p w14:paraId="064D3747" w14:textId="602ED834" w:rsidR="00277ED1" w:rsidRPr="008E75CA" w:rsidRDefault="00277ED1" w:rsidP="00277ED1">
            <w:pPr>
              <w:spacing w:before="0"/>
              <w:jc w:val="center"/>
              <w:rPr>
                <w:rFonts w:asciiTheme="majorHAnsi" w:hAnsiTheme="majorHAnsi" w:cstheme="majorHAnsi"/>
                <w:szCs w:val="18"/>
              </w:rPr>
            </w:pPr>
            <w:r w:rsidRPr="008E75CA">
              <w:rPr>
                <w:rFonts w:asciiTheme="majorHAnsi" w:hAnsiTheme="majorHAnsi" w:cstheme="majorHAnsi"/>
                <w:szCs w:val="18"/>
              </w:rPr>
              <w:t>-0.</w:t>
            </w:r>
            <w:r w:rsidR="009423D0">
              <w:rPr>
                <w:rFonts w:asciiTheme="majorHAnsi" w:hAnsiTheme="majorHAnsi" w:cstheme="majorHAnsi"/>
                <w:szCs w:val="18"/>
              </w:rPr>
              <w:t>2</w:t>
            </w:r>
            <w:r w:rsidRPr="008E75CA">
              <w:rPr>
                <w:rFonts w:asciiTheme="majorHAnsi" w:hAnsiTheme="majorHAnsi" w:cstheme="majorHAnsi"/>
                <w:szCs w:val="18"/>
              </w:rPr>
              <w:t>5</w:t>
            </w:r>
          </w:p>
        </w:tc>
        <w:tc>
          <w:tcPr>
            <w:tcW w:w="1003" w:type="dxa"/>
            <w:vAlign w:val="center"/>
          </w:tcPr>
          <w:p w14:paraId="29BF413E" w14:textId="00292846" w:rsidR="00277ED1" w:rsidRPr="008E75CA" w:rsidRDefault="00277ED1" w:rsidP="00277ED1">
            <w:pPr>
              <w:spacing w:before="0"/>
              <w:jc w:val="center"/>
              <w:rPr>
                <w:rFonts w:asciiTheme="majorHAnsi" w:hAnsiTheme="majorHAnsi" w:cstheme="majorHAnsi"/>
                <w:szCs w:val="18"/>
              </w:rPr>
            </w:pPr>
            <w:r w:rsidRPr="008E75CA">
              <w:rPr>
                <w:rFonts w:asciiTheme="majorHAnsi" w:hAnsiTheme="majorHAnsi" w:cstheme="majorHAnsi"/>
                <w:szCs w:val="18"/>
              </w:rPr>
              <w:t>-0.</w:t>
            </w:r>
            <w:r w:rsidR="009423D0">
              <w:rPr>
                <w:rFonts w:asciiTheme="majorHAnsi" w:hAnsiTheme="majorHAnsi" w:cstheme="majorHAnsi"/>
                <w:szCs w:val="18"/>
              </w:rPr>
              <w:t>5</w:t>
            </w:r>
          </w:p>
        </w:tc>
      </w:tr>
      <w:tr w:rsidR="00E57C27" w:rsidRPr="00383811" w14:paraId="65FC8BAD" w14:textId="1676C215" w:rsidTr="00F24E65">
        <w:trPr>
          <w:trHeight w:val="283"/>
        </w:trPr>
        <w:tc>
          <w:tcPr>
            <w:tcW w:w="3902" w:type="dxa"/>
            <w:vAlign w:val="center"/>
          </w:tcPr>
          <w:p w14:paraId="0FD6308E" w14:textId="77777777" w:rsidR="00E57C27" w:rsidRPr="008E75CA" w:rsidRDefault="00E57C27" w:rsidP="008E75CA">
            <w:pPr>
              <w:spacing w:before="0"/>
              <w:jc w:val="right"/>
              <w:rPr>
                <w:rFonts w:asciiTheme="majorHAnsi" w:hAnsiTheme="majorHAnsi" w:cstheme="majorHAnsi"/>
                <w:szCs w:val="18"/>
              </w:rPr>
            </w:pPr>
            <w:r w:rsidRPr="008E75CA">
              <w:rPr>
                <w:rFonts w:asciiTheme="majorHAnsi" w:hAnsiTheme="majorHAnsi" w:cstheme="majorHAnsi"/>
                <w:b/>
                <w:bCs/>
                <w:szCs w:val="18"/>
              </w:rPr>
              <w:t xml:space="preserve">Total </w:t>
            </w:r>
          </w:p>
        </w:tc>
        <w:tc>
          <w:tcPr>
            <w:tcW w:w="1086" w:type="dxa"/>
            <w:vAlign w:val="center"/>
          </w:tcPr>
          <w:p w14:paraId="271183DD" w14:textId="45FAAFB0" w:rsidR="00E57C27" w:rsidRPr="008E75CA" w:rsidRDefault="00E57C27" w:rsidP="008E75CA">
            <w:pPr>
              <w:spacing w:before="0"/>
              <w:jc w:val="center"/>
              <w:rPr>
                <w:rFonts w:asciiTheme="majorHAnsi" w:hAnsiTheme="majorHAnsi" w:cstheme="majorHAnsi"/>
                <w:szCs w:val="18"/>
              </w:rPr>
            </w:pPr>
            <w:r w:rsidRPr="008E75CA">
              <w:rPr>
                <w:rFonts w:asciiTheme="majorHAnsi" w:hAnsiTheme="majorHAnsi" w:cstheme="majorHAnsi"/>
                <w:b/>
                <w:bCs/>
                <w:szCs w:val="18"/>
              </w:rPr>
              <w:t>50%</w:t>
            </w:r>
          </w:p>
        </w:tc>
        <w:tc>
          <w:tcPr>
            <w:tcW w:w="1003" w:type="dxa"/>
          </w:tcPr>
          <w:p w14:paraId="2C812075" w14:textId="77777777" w:rsidR="00E57C27" w:rsidRPr="00B30ABA" w:rsidRDefault="00E57C27" w:rsidP="008E75CA">
            <w:pPr>
              <w:spacing w:before="0"/>
              <w:jc w:val="center"/>
              <w:rPr>
                <w:rFonts w:asciiTheme="majorHAnsi" w:hAnsiTheme="majorHAnsi" w:cstheme="majorHAnsi"/>
                <w:szCs w:val="18"/>
              </w:rPr>
            </w:pPr>
          </w:p>
        </w:tc>
        <w:tc>
          <w:tcPr>
            <w:tcW w:w="1003" w:type="dxa"/>
          </w:tcPr>
          <w:p w14:paraId="74ABE568" w14:textId="77777777" w:rsidR="00E57C27" w:rsidRPr="00B30ABA" w:rsidRDefault="00E57C27" w:rsidP="008E75CA">
            <w:pPr>
              <w:spacing w:before="0"/>
              <w:jc w:val="center"/>
              <w:rPr>
                <w:rFonts w:asciiTheme="majorHAnsi" w:hAnsiTheme="majorHAnsi" w:cstheme="majorHAnsi"/>
                <w:szCs w:val="18"/>
              </w:rPr>
            </w:pPr>
          </w:p>
        </w:tc>
        <w:tc>
          <w:tcPr>
            <w:tcW w:w="1029" w:type="dxa"/>
            <w:gridSpan w:val="2"/>
            <w:vAlign w:val="center"/>
          </w:tcPr>
          <w:p w14:paraId="5C85D73E" w14:textId="3D32DDDD" w:rsidR="00E57C27" w:rsidRPr="009423D0" w:rsidRDefault="00E57C27" w:rsidP="008E75CA">
            <w:pPr>
              <w:spacing w:before="0"/>
              <w:jc w:val="center"/>
              <w:rPr>
                <w:rFonts w:asciiTheme="majorHAnsi" w:hAnsiTheme="majorHAnsi" w:cstheme="majorHAnsi"/>
                <w:b/>
                <w:bCs/>
                <w:szCs w:val="18"/>
              </w:rPr>
            </w:pPr>
            <w:r w:rsidRPr="009423D0">
              <w:rPr>
                <w:rFonts w:asciiTheme="majorHAnsi" w:hAnsiTheme="majorHAnsi" w:cstheme="majorHAnsi"/>
                <w:b/>
                <w:bCs/>
                <w:szCs w:val="18"/>
              </w:rPr>
              <w:t>-</w:t>
            </w:r>
            <w:r w:rsidR="00CD4336" w:rsidRPr="00161D98">
              <w:rPr>
                <w:rFonts w:asciiTheme="majorHAnsi" w:hAnsiTheme="majorHAnsi" w:cstheme="majorHAnsi"/>
                <w:b/>
                <w:bCs/>
                <w:szCs w:val="18"/>
              </w:rPr>
              <w:t>1</w:t>
            </w:r>
            <w:r w:rsidR="00CD4336" w:rsidRPr="009758F9">
              <w:rPr>
                <w:rFonts w:asciiTheme="majorHAnsi" w:hAnsiTheme="majorHAnsi" w:cstheme="majorHAnsi"/>
                <w:b/>
                <w:bCs/>
                <w:szCs w:val="18"/>
              </w:rPr>
              <w:t>.</w:t>
            </w:r>
            <w:r w:rsidR="009423D0" w:rsidRPr="009758F9">
              <w:rPr>
                <w:rFonts w:asciiTheme="majorHAnsi" w:hAnsiTheme="majorHAnsi" w:cstheme="majorHAnsi"/>
                <w:b/>
                <w:bCs/>
                <w:szCs w:val="18"/>
              </w:rPr>
              <w:t>5</w:t>
            </w:r>
            <w:r w:rsidR="00CD4336" w:rsidRPr="009758F9">
              <w:rPr>
                <w:rFonts w:asciiTheme="majorHAnsi" w:hAnsiTheme="majorHAnsi" w:cstheme="majorHAnsi"/>
                <w:b/>
                <w:bCs/>
                <w:szCs w:val="18"/>
              </w:rPr>
              <w:t>0</w:t>
            </w:r>
          </w:p>
        </w:tc>
        <w:tc>
          <w:tcPr>
            <w:tcW w:w="1003" w:type="dxa"/>
            <w:vAlign w:val="center"/>
          </w:tcPr>
          <w:p w14:paraId="6500665C" w14:textId="483D765C" w:rsidR="00E57C27" w:rsidRPr="002C6B52" w:rsidRDefault="00E57C27" w:rsidP="008E75CA">
            <w:pPr>
              <w:spacing w:before="0"/>
              <w:jc w:val="center"/>
              <w:rPr>
                <w:rFonts w:asciiTheme="majorHAnsi" w:hAnsiTheme="majorHAnsi" w:cstheme="majorHAnsi"/>
                <w:b/>
                <w:bCs/>
                <w:szCs w:val="18"/>
              </w:rPr>
            </w:pPr>
            <w:r w:rsidRPr="00161D98">
              <w:rPr>
                <w:rFonts w:asciiTheme="majorHAnsi" w:hAnsiTheme="majorHAnsi" w:cstheme="majorHAnsi"/>
                <w:b/>
                <w:bCs/>
                <w:szCs w:val="18"/>
              </w:rPr>
              <w:t>-2.</w:t>
            </w:r>
            <w:r w:rsidR="009423D0" w:rsidRPr="009C3387">
              <w:rPr>
                <w:rFonts w:asciiTheme="majorHAnsi" w:hAnsiTheme="majorHAnsi" w:cstheme="majorHAnsi"/>
                <w:b/>
                <w:bCs/>
                <w:szCs w:val="18"/>
              </w:rPr>
              <w:t>2</w:t>
            </w:r>
            <w:r w:rsidRPr="003D5FA1">
              <w:rPr>
                <w:rFonts w:asciiTheme="majorHAnsi" w:hAnsiTheme="majorHAnsi" w:cstheme="majorHAnsi"/>
                <w:b/>
                <w:bCs/>
                <w:szCs w:val="18"/>
              </w:rPr>
              <w:t>5</w:t>
            </w:r>
          </w:p>
        </w:tc>
      </w:tr>
      <w:tr w:rsidR="00E57C27" w:rsidRPr="00383811" w14:paraId="721ACAA6" w14:textId="77777777" w:rsidTr="00F24E65">
        <w:trPr>
          <w:trHeight w:val="283"/>
        </w:trPr>
        <w:tc>
          <w:tcPr>
            <w:tcW w:w="3902" w:type="dxa"/>
            <w:vAlign w:val="center"/>
          </w:tcPr>
          <w:p w14:paraId="0B18A855" w14:textId="1DC3EDE9" w:rsidR="00E57C27" w:rsidRPr="008E75CA" w:rsidRDefault="00E57C27" w:rsidP="008E75CA">
            <w:pPr>
              <w:spacing w:before="0"/>
              <w:rPr>
                <w:rFonts w:asciiTheme="majorHAnsi" w:hAnsiTheme="majorHAnsi" w:cstheme="majorHAnsi"/>
                <w:b/>
                <w:bCs/>
                <w:szCs w:val="18"/>
              </w:rPr>
            </w:pPr>
            <w:r w:rsidRPr="008E75CA">
              <w:rPr>
                <w:rFonts w:asciiTheme="majorHAnsi" w:hAnsiTheme="majorHAnsi" w:cstheme="majorHAnsi"/>
                <w:b/>
                <w:bCs/>
                <w:szCs w:val="18"/>
              </w:rPr>
              <w:t>Total weighted score</w:t>
            </w:r>
          </w:p>
        </w:tc>
        <w:tc>
          <w:tcPr>
            <w:tcW w:w="1086" w:type="dxa"/>
            <w:vAlign w:val="center"/>
          </w:tcPr>
          <w:p w14:paraId="4BFE8325" w14:textId="77777777" w:rsidR="00E57C27" w:rsidRPr="008E75CA" w:rsidRDefault="00E57C27" w:rsidP="008E75CA">
            <w:pPr>
              <w:spacing w:before="0"/>
              <w:jc w:val="center"/>
              <w:rPr>
                <w:rFonts w:asciiTheme="majorHAnsi" w:hAnsiTheme="majorHAnsi" w:cstheme="majorHAnsi"/>
                <w:b/>
                <w:bCs/>
                <w:szCs w:val="18"/>
              </w:rPr>
            </w:pPr>
          </w:p>
        </w:tc>
        <w:tc>
          <w:tcPr>
            <w:tcW w:w="1003" w:type="dxa"/>
          </w:tcPr>
          <w:p w14:paraId="72DD8DC4" w14:textId="77777777" w:rsidR="00E57C27" w:rsidRPr="00B30ABA" w:rsidRDefault="00E57C27" w:rsidP="008E75CA">
            <w:pPr>
              <w:spacing w:before="0"/>
              <w:jc w:val="center"/>
              <w:rPr>
                <w:rFonts w:asciiTheme="majorHAnsi" w:hAnsiTheme="majorHAnsi" w:cstheme="majorHAnsi"/>
                <w:szCs w:val="18"/>
              </w:rPr>
            </w:pPr>
          </w:p>
        </w:tc>
        <w:tc>
          <w:tcPr>
            <w:tcW w:w="1003" w:type="dxa"/>
          </w:tcPr>
          <w:p w14:paraId="391B90D9" w14:textId="77777777" w:rsidR="00E57C27" w:rsidRPr="00B30ABA" w:rsidRDefault="00E57C27" w:rsidP="008E75CA">
            <w:pPr>
              <w:spacing w:before="0"/>
              <w:jc w:val="center"/>
              <w:rPr>
                <w:rFonts w:asciiTheme="majorHAnsi" w:hAnsiTheme="majorHAnsi" w:cstheme="majorHAnsi"/>
                <w:szCs w:val="18"/>
              </w:rPr>
            </w:pPr>
          </w:p>
        </w:tc>
        <w:tc>
          <w:tcPr>
            <w:tcW w:w="1029" w:type="dxa"/>
            <w:gridSpan w:val="2"/>
            <w:vAlign w:val="center"/>
          </w:tcPr>
          <w:p w14:paraId="7DF9FA1B" w14:textId="78F28CB9" w:rsidR="00E57C27" w:rsidRPr="008E75CA" w:rsidRDefault="00E57C27" w:rsidP="008E75CA">
            <w:pPr>
              <w:spacing w:before="0"/>
              <w:jc w:val="center"/>
              <w:rPr>
                <w:rFonts w:asciiTheme="majorHAnsi" w:hAnsiTheme="majorHAnsi" w:cstheme="majorHAnsi"/>
                <w:b/>
                <w:bCs/>
                <w:szCs w:val="18"/>
              </w:rPr>
            </w:pPr>
            <w:r w:rsidRPr="008E75CA">
              <w:rPr>
                <w:rFonts w:asciiTheme="majorHAnsi" w:hAnsiTheme="majorHAnsi" w:cstheme="majorHAnsi"/>
                <w:b/>
                <w:bCs/>
                <w:szCs w:val="18"/>
              </w:rPr>
              <w:t>0.</w:t>
            </w:r>
            <w:r w:rsidR="009423D0">
              <w:rPr>
                <w:rFonts w:asciiTheme="majorHAnsi" w:hAnsiTheme="majorHAnsi" w:cstheme="majorHAnsi"/>
                <w:b/>
                <w:bCs/>
                <w:szCs w:val="18"/>
              </w:rPr>
              <w:t>8</w:t>
            </w:r>
            <w:r w:rsidR="00BA1C5B">
              <w:rPr>
                <w:rFonts w:asciiTheme="majorHAnsi" w:hAnsiTheme="majorHAnsi" w:cstheme="majorHAnsi"/>
                <w:b/>
                <w:bCs/>
                <w:szCs w:val="18"/>
              </w:rPr>
              <w:t>3</w:t>
            </w:r>
          </w:p>
        </w:tc>
        <w:tc>
          <w:tcPr>
            <w:tcW w:w="1003" w:type="dxa"/>
            <w:vAlign w:val="center"/>
          </w:tcPr>
          <w:p w14:paraId="79FCCB93" w14:textId="4EBDE8CD" w:rsidR="00E57C27" w:rsidRPr="008E75CA" w:rsidRDefault="009423D0" w:rsidP="008E75CA">
            <w:pPr>
              <w:spacing w:before="0"/>
              <w:jc w:val="center"/>
              <w:rPr>
                <w:rFonts w:asciiTheme="majorHAnsi" w:hAnsiTheme="majorHAnsi" w:cstheme="majorHAnsi"/>
                <w:b/>
                <w:bCs/>
                <w:szCs w:val="18"/>
              </w:rPr>
            </w:pPr>
            <w:r>
              <w:rPr>
                <w:rFonts w:asciiTheme="majorHAnsi" w:hAnsiTheme="majorHAnsi" w:cstheme="majorHAnsi"/>
                <w:b/>
                <w:bCs/>
                <w:szCs w:val="18"/>
              </w:rPr>
              <w:t>1</w:t>
            </w:r>
            <w:r w:rsidR="00BA1C5B">
              <w:rPr>
                <w:rFonts w:asciiTheme="majorHAnsi" w:hAnsiTheme="majorHAnsi" w:cstheme="majorHAnsi"/>
                <w:b/>
                <w:bCs/>
                <w:szCs w:val="18"/>
              </w:rPr>
              <w:t>.</w:t>
            </w:r>
            <w:r>
              <w:rPr>
                <w:rFonts w:asciiTheme="majorHAnsi" w:hAnsiTheme="majorHAnsi" w:cstheme="majorHAnsi"/>
                <w:b/>
                <w:bCs/>
                <w:szCs w:val="18"/>
              </w:rPr>
              <w:t>42</w:t>
            </w:r>
          </w:p>
        </w:tc>
      </w:tr>
    </w:tbl>
    <w:p w14:paraId="1911F164" w14:textId="77777777" w:rsidR="00C00C1E" w:rsidRDefault="00C00C1E"/>
    <w:tbl>
      <w:tblPr>
        <w:tblStyle w:val="TableGrid"/>
        <w:tblW w:w="9026"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ayout w:type="fixed"/>
        <w:tblCellMar>
          <w:top w:w="28" w:type="dxa"/>
          <w:bottom w:w="28" w:type="dxa"/>
        </w:tblCellMar>
        <w:tblLook w:val="04A0" w:firstRow="1" w:lastRow="0" w:firstColumn="1" w:lastColumn="0" w:noHBand="0" w:noVBand="1"/>
      </w:tblPr>
      <w:tblGrid>
        <w:gridCol w:w="3828"/>
        <w:gridCol w:w="1134"/>
        <w:gridCol w:w="1016"/>
        <w:gridCol w:w="1016"/>
        <w:gridCol w:w="1016"/>
        <w:gridCol w:w="1016"/>
      </w:tblGrid>
      <w:tr w:rsidR="00CE5D17" w:rsidRPr="00383811" w14:paraId="079FAF27" w14:textId="77777777" w:rsidTr="009758F9">
        <w:trPr>
          <w:trHeight w:val="283"/>
          <w:tblHeader/>
        </w:trPr>
        <w:tc>
          <w:tcPr>
            <w:tcW w:w="3828" w:type="dxa"/>
            <w:vMerge w:val="restart"/>
            <w:shd w:val="clear" w:color="auto" w:fill="1B0B38"/>
            <w:vAlign w:val="center"/>
          </w:tcPr>
          <w:p w14:paraId="6DF98F26" w14:textId="77777777" w:rsidR="00CE5D17" w:rsidRPr="008E75CA" w:rsidRDefault="00CE5D17" w:rsidP="00467BD3">
            <w:pPr>
              <w:spacing w:before="0"/>
              <w:rPr>
                <w:rStyle w:val="Strong"/>
                <w:rFonts w:asciiTheme="majorHAnsi" w:hAnsiTheme="majorHAnsi" w:cstheme="majorHAnsi"/>
                <w:color w:val="FFFFFF" w:themeColor="background1"/>
                <w:szCs w:val="18"/>
              </w:rPr>
            </w:pPr>
            <w:r w:rsidRPr="008E75CA">
              <w:rPr>
                <w:rStyle w:val="Strong"/>
                <w:rFonts w:asciiTheme="majorHAnsi" w:hAnsiTheme="majorHAnsi" w:cstheme="majorHAnsi"/>
                <w:color w:val="FFFFFF" w:themeColor="background1"/>
                <w:szCs w:val="18"/>
              </w:rPr>
              <w:t>Criteria</w:t>
            </w:r>
          </w:p>
        </w:tc>
        <w:tc>
          <w:tcPr>
            <w:tcW w:w="1134" w:type="dxa"/>
            <w:vMerge w:val="restart"/>
            <w:shd w:val="clear" w:color="auto" w:fill="1B0B38"/>
            <w:vAlign w:val="center"/>
          </w:tcPr>
          <w:p w14:paraId="19F583F7" w14:textId="77777777" w:rsidR="00CE5D17" w:rsidRPr="008E75CA" w:rsidRDefault="00CE5D17" w:rsidP="00467BD3">
            <w:pPr>
              <w:spacing w:before="0"/>
              <w:jc w:val="center"/>
              <w:rPr>
                <w:rStyle w:val="Strong"/>
                <w:rFonts w:asciiTheme="majorHAnsi" w:hAnsiTheme="majorHAnsi" w:cstheme="majorHAnsi"/>
                <w:color w:val="FFFFFF" w:themeColor="background1"/>
                <w:szCs w:val="18"/>
              </w:rPr>
            </w:pPr>
            <w:r w:rsidRPr="008E75CA">
              <w:rPr>
                <w:rStyle w:val="Strong"/>
                <w:rFonts w:asciiTheme="majorHAnsi" w:hAnsiTheme="majorHAnsi" w:cstheme="majorHAnsi"/>
                <w:color w:val="FFFFFF" w:themeColor="background1"/>
                <w:szCs w:val="18"/>
              </w:rPr>
              <w:t>Weighting</w:t>
            </w:r>
          </w:p>
        </w:tc>
        <w:tc>
          <w:tcPr>
            <w:tcW w:w="2032" w:type="dxa"/>
            <w:gridSpan w:val="2"/>
            <w:shd w:val="clear" w:color="auto" w:fill="1B0B38"/>
            <w:vAlign w:val="center"/>
          </w:tcPr>
          <w:p w14:paraId="7AD46894" w14:textId="77777777" w:rsidR="00CE5D17" w:rsidRPr="008E75CA" w:rsidRDefault="00CE5D17" w:rsidP="00467BD3">
            <w:pPr>
              <w:spacing w:before="0"/>
              <w:jc w:val="center"/>
              <w:rPr>
                <w:rStyle w:val="Strong"/>
                <w:rFonts w:asciiTheme="majorHAnsi" w:hAnsiTheme="majorHAnsi" w:cstheme="majorHAnsi"/>
                <w:color w:val="FFFFFF" w:themeColor="background1"/>
                <w:szCs w:val="18"/>
              </w:rPr>
            </w:pPr>
            <w:r>
              <w:rPr>
                <w:rStyle w:val="Strong"/>
                <w:rFonts w:asciiTheme="majorHAnsi" w:hAnsiTheme="majorHAnsi" w:cstheme="majorHAnsi"/>
                <w:color w:val="FFFFFF" w:themeColor="background1"/>
                <w:szCs w:val="18"/>
              </w:rPr>
              <w:t>Unweighted Scores</w:t>
            </w:r>
          </w:p>
        </w:tc>
        <w:tc>
          <w:tcPr>
            <w:tcW w:w="2032" w:type="dxa"/>
            <w:gridSpan w:val="2"/>
            <w:shd w:val="clear" w:color="auto" w:fill="1B0B38"/>
            <w:vAlign w:val="center"/>
          </w:tcPr>
          <w:p w14:paraId="41BCEB67" w14:textId="77777777" w:rsidR="00CE5D17" w:rsidRPr="008E75CA" w:rsidRDefault="00CE5D17" w:rsidP="00467BD3">
            <w:pPr>
              <w:spacing w:before="0"/>
              <w:jc w:val="center"/>
              <w:rPr>
                <w:rStyle w:val="Strong"/>
                <w:rFonts w:asciiTheme="majorHAnsi" w:hAnsiTheme="majorHAnsi" w:cstheme="majorHAnsi"/>
                <w:color w:val="FFFFFF" w:themeColor="background1"/>
                <w:szCs w:val="18"/>
              </w:rPr>
            </w:pPr>
            <w:r w:rsidRPr="008E75CA">
              <w:rPr>
                <w:rStyle w:val="Strong"/>
                <w:rFonts w:asciiTheme="majorHAnsi" w:hAnsiTheme="majorHAnsi" w:cstheme="majorHAnsi"/>
                <w:color w:val="FFFFFF" w:themeColor="background1"/>
                <w:szCs w:val="18"/>
              </w:rPr>
              <w:t>Weighted Scores</w:t>
            </w:r>
          </w:p>
        </w:tc>
      </w:tr>
      <w:tr w:rsidR="00CE5D17" w:rsidRPr="00383811" w14:paraId="6B977DBE" w14:textId="77777777" w:rsidTr="009758F9">
        <w:trPr>
          <w:trHeight w:val="283"/>
          <w:tblHeader/>
        </w:trPr>
        <w:tc>
          <w:tcPr>
            <w:tcW w:w="3828" w:type="dxa"/>
            <w:vMerge/>
            <w:shd w:val="clear" w:color="auto" w:fill="1B0B38"/>
            <w:vAlign w:val="center"/>
          </w:tcPr>
          <w:p w14:paraId="140F31C1" w14:textId="77777777" w:rsidR="00CE5D17" w:rsidRPr="008E75CA" w:rsidRDefault="00CE5D17" w:rsidP="00467BD3">
            <w:pPr>
              <w:spacing w:before="0"/>
              <w:rPr>
                <w:rStyle w:val="Strong"/>
                <w:rFonts w:asciiTheme="majorHAnsi" w:hAnsiTheme="majorHAnsi" w:cstheme="majorHAnsi"/>
                <w:color w:val="FFFFFF" w:themeColor="background1"/>
                <w:szCs w:val="18"/>
              </w:rPr>
            </w:pPr>
          </w:p>
        </w:tc>
        <w:tc>
          <w:tcPr>
            <w:tcW w:w="1134" w:type="dxa"/>
            <w:vMerge/>
            <w:shd w:val="clear" w:color="auto" w:fill="1B0B38"/>
            <w:vAlign w:val="center"/>
          </w:tcPr>
          <w:p w14:paraId="25F470A3" w14:textId="77777777" w:rsidR="00CE5D17" w:rsidRPr="008E75CA" w:rsidRDefault="00CE5D17" w:rsidP="00467BD3">
            <w:pPr>
              <w:spacing w:before="0"/>
              <w:jc w:val="center"/>
              <w:rPr>
                <w:rStyle w:val="Strong"/>
                <w:rFonts w:asciiTheme="majorHAnsi" w:hAnsiTheme="majorHAnsi" w:cstheme="majorHAnsi"/>
                <w:color w:val="FFFFFF" w:themeColor="background1"/>
                <w:szCs w:val="18"/>
              </w:rPr>
            </w:pPr>
          </w:p>
        </w:tc>
        <w:tc>
          <w:tcPr>
            <w:tcW w:w="1016" w:type="dxa"/>
            <w:shd w:val="clear" w:color="auto" w:fill="1B0B38"/>
            <w:vAlign w:val="center"/>
          </w:tcPr>
          <w:p w14:paraId="2D91E78C" w14:textId="77777777" w:rsidR="00CE5D17" w:rsidRPr="00F24E65" w:rsidRDefault="00CE5D17" w:rsidP="00467BD3">
            <w:pPr>
              <w:spacing w:before="0"/>
              <w:jc w:val="center"/>
              <w:rPr>
                <w:rStyle w:val="Strong"/>
                <w:rFonts w:asciiTheme="majorHAnsi" w:hAnsiTheme="majorHAnsi" w:cstheme="majorHAnsi"/>
                <w:color w:val="FFFFFF" w:themeColor="background1"/>
                <w:szCs w:val="18"/>
              </w:rPr>
            </w:pPr>
            <w:r w:rsidRPr="00F24E65">
              <w:rPr>
                <w:rStyle w:val="Strong"/>
                <w:color w:val="FFFFFF" w:themeColor="background1"/>
              </w:rPr>
              <w:t>Option 1</w:t>
            </w:r>
          </w:p>
        </w:tc>
        <w:tc>
          <w:tcPr>
            <w:tcW w:w="1016" w:type="dxa"/>
            <w:shd w:val="clear" w:color="auto" w:fill="1B0B38"/>
            <w:vAlign w:val="center"/>
          </w:tcPr>
          <w:p w14:paraId="516CA087" w14:textId="77777777" w:rsidR="00CE5D17" w:rsidRPr="00F24E65" w:rsidRDefault="00CE5D17" w:rsidP="00467BD3">
            <w:pPr>
              <w:spacing w:before="0"/>
              <w:jc w:val="center"/>
              <w:rPr>
                <w:rStyle w:val="Strong"/>
                <w:rFonts w:asciiTheme="majorHAnsi" w:hAnsiTheme="majorHAnsi" w:cstheme="majorHAnsi"/>
                <w:color w:val="FFFFFF" w:themeColor="background1"/>
                <w:szCs w:val="18"/>
              </w:rPr>
            </w:pPr>
            <w:r w:rsidRPr="00F24E65">
              <w:rPr>
                <w:rStyle w:val="Strong"/>
                <w:color w:val="FFFFFF" w:themeColor="background1"/>
              </w:rPr>
              <w:t>Option 2</w:t>
            </w:r>
          </w:p>
        </w:tc>
        <w:tc>
          <w:tcPr>
            <w:tcW w:w="1016" w:type="dxa"/>
            <w:shd w:val="clear" w:color="auto" w:fill="1B0B38"/>
            <w:vAlign w:val="center"/>
          </w:tcPr>
          <w:p w14:paraId="4F573D80" w14:textId="77777777" w:rsidR="00CE5D17" w:rsidRPr="00F24E65" w:rsidRDefault="00CE5D17" w:rsidP="00467BD3">
            <w:pPr>
              <w:spacing w:before="0"/>
              <w:jc w:val="center"/>
              <w:rPr>
                <w:rStyle w:val="Strong"/>
                <w:rFonts w:asciiTheme="majorHAnsi" w:hAnsiTheme="majorHAnsi" w:cstheme="majorHAnsi"/>
                <w:color w:val="FFFFFF" w:themeColor="background1"/>
                <w:szCs w:val="18"/>
              </w:rPr>
            </w:pPr>
            <w:r w:rsidRPr="00F24E65">
              <w:rPr>
                <w:rStyle w:val="Strong"/>
                <w:color w:val="FFFFFF" w:themeColor="background1"/>
              </w:rPr>
              <w:t>Option 1</w:t>
            </w:r>
          </w:p>
        </w:tc>
        <w:tc>
          <w:tcPr>
            <w:tcW w:w="1016" w:type="dxa"/>
            <w:shd w:val="clear" w:color="auto" w:fill="1B0B38"/>
            <w:vAlign w:val="center"/>
          </w:tcPr>
          <w:p w14:paraId="60DF24E6" w14:textId="77777777" w:rsidR="00CE5D17" w:rsidRPr="00F24E65" w:rsidRDefault="00CE5D17" w:rsidP="00467BD3">
            <w:pPr>
              <w:spacing w:before="0"/>
              <w:jc w:val="center"/>
              <w:rPr>
                <w:rStyle w:val="Strong"/>
                <w:rFonts w:asciiTheme="majorHAnsi" w:hAnsiTheme="majorHAnsi" w:cstheme="majorHAnsi"/>
                <w:color w:val="FFFFFF" w:themeColor="background1"/>
                <w:szCs w:val="18"/>
              </w:rPr>
            </w:pPr>
            <w:r w:rsidRPr="00F24E65">
              <w:rPr>
                <w:rStyle w:val="Strong"/>
                <w:color w:val="FFFFFF" w:themeColor="background1"/>
              </w:rPr>
              <w:t>Option 2</w:t>
            </w:r>
          </w:p>
        </w:tc>
      </w:tr>
      <w:tr w:rsidR="00CE5D17" w:rsidRPr="00383811" w14:paraId="48D4BFCB" w14:textId="77777777" w:rsidTr="009758F9">
        <w:trPr>
          <w:trHeight w:val="283"/>
        </w:trPr>
        <w:tc>
          <w:tcPr>
            <w:tcW w:w="3828" w:type="dxa"/>
            <w:shd w:val="clear" w:color="auto" w:fill="D9D9D6" w:themeFill="background2"/>
            <w:vAlign w:val="center"/>
          </w:tcPr>
          <w:p w14:paraId="4F177962" w14:textId="52E6999E" w:rsidR="00CE5D17" w:rsidRDefault="00CE5D17" w:rsidP="00C00C1E">
            <w:pPr>
              <w:spacing w:before="0"/>
              <w:rPr>
                <w:rFonts w:asciiTheme="majorHAnsi" w:hAnsiTheme="majorHAnsi" w:cstheme="majorHAnsi"/>
                <w:b/>
                <w:bCs/>
                <w:szCs w:val="18"/>
              </w:rPr>
            </w:pPr>
            <w:r>
              <w:rPr>
                <w:rFonts w:asciiTheme="majorHAnsi" w:hAnsiTheme="majorHAnsi" w:cstheme="majorHAnsi"/>
                <w:b/>
                <w:bCs/>
                <w:szCs w:val="18"/>
              </w:rPr>
              <w:t>M</w:t>
            </w:r>
            <w:r w:rsidRPr="008E75CA">
              <w:rPr>
                <w:rFonts w:asciiTheme="majorHAnsi" w:hAnsiTheme="majorHAnsi" w:cstheme="majorHAnsi"/>
                <w:b/>
                <w:bCs/>
                <w:szCs w:val="18"/>
              </w:rPr>
              <w:t>ine closure determinations</w:t>
            </w:r>
          </w:p>
        </w:tc>
        <w:tc>
          <w:tcPr>
            <w:tcW w:w="1134" w:type="dxa"/>
            <w:shd w:val="clear" w:color="auto" w:fill="D9D9D6" w:themeFill="background2"/>
            <w:vAlign w:val="center"/>
          </w:tcPr>
          <w:p w14:paraId="5298797F" w14:textId="6477618F" w:rsidR="00CE5D17" w:rsidRPr="008E75CA" w:rsidRDefault="00CE5D17" w:rsidP="00C00C1E">
            <w:pPr>
              <w:spacing w:before="0"/>
              <w:jc w:val="center"/>
              <w:rPr>
                <w:rFonts w:asciiTheme="majorHAnsi" w:hAnsiTheme="majorHAnsi" w:cstheme="majorHAnsi"/>
                <w:b/>
                <w:bCs/>
                <w:szCs w:val="18"/>
              </w:rPr>
            </w:pPr>
          </w:p>
        </w:tc>
        <w:tc>
          <w:tcPr>
            <w:tcW w:w="1016" w:type="dxa"/>
            <w:shd w:val="clear" w:color="auto" w:fill="D9D9D6" w:themeFill="background2"/>
            <w:vAlign w:val="center"/>
          </w:tcPr>
          <w:p w14:paraId="3E79CF42" w14:textId="533CF45C" w:rsidR="00CE5D17" w:rsidRPr="008E75CA" w:rsidRDefault="00CE5D17" w:rsidP="00C00C1E">
            <w:pPr>
              <w:spacing w:before="0"/>
              <w:jc w:val="center"/>
              <w:rPr>
                <w:rFonts w:asciiTheme="majorHAnsi" w:hAnsiTheme="majorHAnsi" w:cstheme="majorHAnsi"/>
                <w:b/>
                <w:bCs/>
                <w:szCs w:val="18"/>
              </w:rPr>
            </w:pPr>
          </w:p>
        </w:tc>
        <w:tc>
          <w:tcPr>
            <w:tcW w:w="1016" w:type="dxa"/>
            <w:shd w:val="clear" w:color="auto" w:fill="D9D9D6" w:themeFill="background2"/>
            <w:vAlign w:val="center"/>
          </w:tcPr>
          <w:p w14:paraId="6210F3D0" w14:textId="73A02719" w:rsidR="00CE5D17" w:rsidRPr="008E75CA" w:rsidRDefault="00CE5D17" w:rsidP="00C00C1E">
            <w:pPr>
              <w:spacing w:before="0"/>
              <w:jc w:val="center"/>
              <w:rPr>
                <w:rFonts w:asciiTheme="majorHAnsi" w:hAnsiTheme="majorHAnsi" w:cstheme="majorHAnsi"/>
                <w:b/>
                <w:bCs/>
                <w:szCs w:val="18"/>
              </w:rPr>
            </w:pPr>
          </w:p>
        </w:tc>
        <w:tc>
          <w:tcPr>
            <w:tcW w:w="1016" w:type="dxa"/>
            <w:shd w:val="clear" w:color="auto" w:fill="D9D9D6" w:themeFill="background2"/>
            <w:vAlign w:val="center"/>
          </w:tcPr>
          <w:p w14:paraId="3F664E6D" w14:textId="0B8B56A1" w:rsidR="00CE5D17" w:rsidRDefault="00CE5D17" w:rsidP="00C00C1E">
            <w:pPr>
              <w:spacing w:before="0"/>
              <w:jc w:val="center"/>
              <w:rPr>
                <w:rStyle w:val="CommentReference"/>
              </w:rPr>
            </w:pPr>
          </w:p>
        </w:tc>
        <w:tc>
          <w:tcPr>
            <w:tcW w:w="1016" w:type="dxa"/>
            <w:shd w:val="clear" w:color="auto" w:fill="D9D9D6" w:themeFill="background2"/>
            <w:vAlign w:val="center"/>
          </w:tcPr>
          <w:p w14:paraId="52DB7999" w14:textId="6208EF14" w:rsidR="00CE5D17" w:rsidRPr="008E75CA" w:rsidRDefault="00CE5D17" w:rsidP="00C00C1E">
            <w:pPr>
              <w:spacing w:before="0"/>
              <w:jc w:val="center"/>
              <w:rPr>
                <w:rFonts w:asciiTheme="majorHAnsi" w:hAnsiTheme="majorHAnsi" w:cstheme="majorHAnsi"/>
                <w:b/>
                <w:bCs/>
                <w:szCs w:val="18"/>
              </w:rPr>
            </w:pPr>
          </w:p>
        </w:tc>
      </w:tr>
      <w:tr w:rsidR="00CE5D17" w:rsidRPr="00383811" w14:paraId="34B948E8" w14:textId="77777777" w:rsidTr="009758F9">
        <w:trPr>
          <w:trHeight w:val="283"/>
        </w:trPr>
        <w:tc>
          <w:tcPr>
            <w:tcW w:w="3828" w:type="dxa"/>
            <w:vAlign w:val="center"/>
          </w:tcPr>
          <w:p w14:paraId="6165579D" w14:textId="223E846B" w:rsidR="00CE5D17" w:rsidRDefault="00CE5D17" w:rsidP="00C00C1E">
            <w:pPr>
              <w:spacing w:before="0"/>
              <w:rPr>
                <w:rFonts w:asciiTheme="majorHAnsi" w:hAnsiTheme="majorHAnsi" w:cstheme="majorHAnsi"/>
                <w:b/>
                <w:bCs/>
                <w:szCs w:val="18"/>
              </w:rPr>
            </w:pPr>
            <w:r w:rsidRPr="008E75CA">
              <w:rPr>
                <w:rFonts w:asciiTheme="majorHAnsi" w:hAnsiTheme="majorHAnsi" w:cstheme="majorHAnsi"/>
                <w:b/>
                <w:bCs/>
                <w:szCs w:val="18"/>
              </w:rPr>
              <w:t>Benefit Criteria</w:t>
            </w:r>
          </w:p>
        </w:tc>
        <w:tc>
          <w:tcPr>
            <w:tcW w:w="1134" w:type="dxa"/>
            <w:vAlign w:val="center"/>
          </w:tcPr>
          <w:p w14:paraId="07DF0864" w14:textId="77777777" w:rsidR="00CE5D17" w:rsidRPr="008E75CA" w:rsidRDefault="00CE5D17" w:rsidP="00C00C1E">
            <w:pPr>
              <w:spacing w:before="0"/>
              <w:jc w:val="center"/>
              <w:rPr>
                <w:rFonts w:asciiTheme="majorHAnsi" w:hAnsiTheme="majorHAnsi" w:cstheme="majorHAnsi"/>
                <w:b/>
                <w:bCs/>
                <w:szCs w:val="18"/>
              </w:rPr>
            </w:pPr>
          </w:p>
        </w:tc>
        <w:tc>
          <w:tcPr>
            <w:tcW w:w="1016" w:type="dxa"/>
          </w:tcPr>
          <w:p w14:paraId="12519C74" w14:textId="7B87127C" w:rsidR="00CE5D17" w:rsidRPr="008E75CA" w:rsidRDefault="00CE5D17" w:rsidP="00C00C1E">
            <w:pPr>
              <w:spacing w:before="0"/>
              <w:jc w:val="center"/>
              <w:rPr>
                <w:rFonts w:asciiTheme="majorHAnsi" w:hAnsiTheme="majorHAnsi" w:cstheme="majorHAnsi"/>
                <w:b/>
                <w:bCs/>
                <w:szCs w:val="18"/>
              </w:rPr>
            </w:pPr>
          </w:p>
        </w:tc>
        <w:tc>
          <w:tcPr>
            <w:tcW w:w="1016" w:type="dxa"/>
          </w:tcPr>
          <w:p w14:paraId="5FEBC37D" w14:textId="07DD2180" w:rsidR="00CE5D17" w:rsidRPr="008E75CA" w:rsidRDefault="00CE5D17" w:rsidP="00C00C1E">
            <w:pPr>
              <w:spacing w:before="0"/>
              <w:jc w:val="center"/>
              <w:rPr>
                <w:rFonts w:asciiTheme="majorHAnsi" w:hAnsiTheme="majorHAnsi" w:cstheme="majorHAnsi"/>
                <w:b/>
                <w:bCs/>
                <w:szCs w:val="18"/>
              </w:rPr>
            </w:pPr>
          </w:p>
        </w:tc>
        <w:tc>
          <w:tcPr>
            <w:tcW w:w="1016" w:type="dxa"/>
            <w:vAlign w:val="center"/>
          </w:tcPr>
          <w:p w14:paraId="72B778D6" w14:textId="3F879EB7" w:rsidR="00CE5D17" w:rsidRDefault="00CE5D17" w:rsidP="00C00C1E">
            <w:pPr>
              <w:spacing w:before="0"/>
              <w:jc w:val="center"/>
              <w:rPr>
                <w:rStyle w:val="CommentReference"/>
              </w:rPr>
            </w:pPr>
          </w:p>
        </w:tc>
        <w:tc>
          <w:tcPr>
            <w:tcW w:w="1016" w:type="dxa"/>
            <w:vAlign w:val="center"/>
          </w:tcPr>
          <w:p w14:paraId="03A38F33" w14:textId="495AE81E" w:rsidR="00CE5D17" w:rsidRPr="008E75CA" w:rsidRDefault="00CE5D17" w:rsidP="00C00C1E">
            <w:pPr>
              <w:spacing w:before="0"/>
              <w:jc w:val="center"/>
              <w:rPr>
                <w:rFonts w:asciiTheme="majorHAnsi" w:hAnsiTheme="majorHAnsi" w:cstheme="majorHAnsi"/>
                <w:b/>
                <w:bCs/>
                <w:szCs w:val="18"/>
              </w:rPr>
            </w:pPr>
          </w:p>
        </w:tc>
      </w:tr>
      <w:tr w:rsidR="00CE5D17" w:rsidRPr="00383811" w14:paraId="03969DE7" w14:textId="22F9773E" w:rsidTr="009758F9">
        <w:trPr>
          <w:trHeight w:val="283"/>
        </w:trPr>
        <w:tc>
          <w:tcPr>
            <w:tcW w:w="3828" w:type="dxa"/>
            <w:vAlign w:val="center"/>
          </w:tcPr>
          <w:p w14:paraId="2487563F" w14:textId="082191D2" w:rsidR="00CE5D17" w:rsidRPr="008E75CA" w:rsidRDefault="00CE5D17" w:rsidP="00C00C1E">
            <w:pPr>
              <w:spacing w:before="0"/>
              <w:rPr>
                <w:rFonts w:asciiTheme="majorHAnsi" w:hAnsiTheme="majorHAnsi" w:cstheme="majorHAnsi"/>
                <w:szCs w:val="18"/>
              </w:rPr>
            </w:pPr>
            <w:r w:rsidRPr="008E75CA">
              <w:rPr>
                <w:rFonts w:asciiTheme="majorHAnsi" w:hAnsiTheme="majorHAnsi" w:cstheme="majorHAnsi"/>
                <w:szCs w:val="18"/>
              </w:rPr>
              <w:t>Support informed decision-making to ensure rehabilitation</w:t>
            </w:r>
            <w:r>
              <w:rPr>
                <w:rFonts w:asciiTheme="majorHAnsi" w:hAnsiTheme="majorHAnsi" w:cstheme="majorHAnsi"/>
                <w:szCs w:val="18"/>
              </w:rPr>
              <w:t xml:space="preserve"> </w:t>
            </w:r>
            <w:r w:rsidRPr="008E75CA">
              <w:rPr>
                <w:rFonts w:asciiTheme="majorHAnsi" w:hAnsiTheme="majorHAnsi" w:cstheme="majorHAnsi"/>
                <w:szCs w:val="18"/>
              </w:rPr>
              <w:t>meets legislative objectives</w:t>
            </w:r>
          </w:p>
        </w:tc>
        <w:tc>
          <w:tcPr>
            <w:tcW w:w="1134" w:type="dxa"/>
            <w:vAlign w:val="center"/>
          </w:tcPr>
          <w:p w14:paraId="77048606" w14:textId="13C4E0AA" w:rsidR="00CE5D17" w:rsidRPr="008E75CA" w:rsidRDefault="00CE5D17" w:rsidP="00C00C1E">
            <w:pPr>
              <w:spacing w:before="0"/>
              <w:jc w:val="center"/>
              <w:rPr>
                <w:rFonts w:asciiTheme="majorHAnsi" w:hAnsiTheme="majorHAnsi" w:cstheme="majorHAnsi"/>
                <w:b/>
                <w:bCs/>
                <w:szCs w:val="18"/>
              </w:rPr>
            </w:pPr>
            <w:r w:rsidRPr="008E75CA">
              <w:rPr>
                <w:rFonts w:asciiTheme="majorHAnsi" w:hAnsiTheme="majorHAnsi" w:cstheme="majorHAnsi"/>
                <w:szCs w:val="18"/>
              </w:rPr>
              <w:t>25%</w:t>
            </w:r>
          </w:p>
        </w:tc>
        <w:tc>
          <w:tcPr>
            <w:tcW w:w="1016" w:type="dxa"/>
            <w:vAlign w:val="center"/>
          </w:tcPr>
          <w:p w14:paraId="4B24749C" w14:textId="5C5A59E9" w:rsidR="00CE5D17" w:rsidRPr="008E75CA" w:rsidRDefault="00CE5D17" w:rsidP="00C00C1E">
            <w:pPr>
              <w:spacing w:before="0"/>
              <w:jc w:val="center"/>
              <w:rPr>
                <w:rFonts w:asciiTheme="majorHAnsi" w:hAnsiTheme="majorHAnsi" w:cstheme="majorHAnsi"/>
                <w:b/>
                <w:bCs/>
                <w:szCs w:val="18"/>
              </w:rPr>
            </w:pPr>
            <w:r>
              <w:rPr>
                <w:rFonts w:cs="Arial"/>
                <w:szCs w:val="18"/>
              </w:rPr>
              <w:t>8</w:t>
            </w:r>
          </w:p>
        </w:tc>
        <w:tc>
          <w:tcPr>
            <w:tcW w:w="1016" w:type="dxa"/>
            <w:vAlign w:val="center"/>
          </w:tcPr>
          <w:p w14:paraId="5D131158" w14:textId="113834E9" w:rsidR="00CE5D17" w:rsidRPr="008E75CA" w:rsidRDefault="00CE5D17" w:rsidP="00C00C1E">
            <w:pPr>
              <w:spacing w:before="0"/>
              <w:jc w:val="center"/>
              <w:rPr>
                <w:rFonts w:asciiTheme="majorHAnsi" w:hAnsiTheme="majorHAnsi" w:cstheme="majorHAnsi"/>
                <w:b/>
                <w:bCs/>
                <w:szCs w:val="18"/>
              </w:rPr>
            </w:pPr>
            <w:r>
              <w:rPr>
                <w:rFonts w:cs="Arial"/>
                <w:szCs w:val="18"/>
              </w:rPr>
              <w:t>5</w:t>
            </w:r>
          </w:p>
        </w:tc>
        <w:tc>
          <w:tcPr>
            <w:tcW w:w="1016" w:type="dxa"/>
            <w:vAlign w:val="center"/>
          </w:tcPr>
          <w:p w14:paraId="0DEC8CFE" w14:textId="2395B173" w:rsidR="00CE5D17" w:rsidRPr="008E75CA" w:rsidRDefault="00CE5D17" w:rsidP="00C00C1E">
            <w:pPr>
              <w:spacing w:before="0"/>
              <w:jc w:val="center"/>
              <w:rPr>
                <w:rFonts w:asciiTheme="majorHAnsi" w:hAnsiTheme="majorHAnsi" w:cstheme="majorHAnsi"/>
                <w:b/>
                <w:bCs/>
                <w:szCs w:val="18"/>
              </w:rPr>
            </w:pPr>
            <w:r>
              <w:rPr>
                <w:rFonts w:cs="Arial"/>
                <w:szCs w:val="18"/>
              </w:rPr>
              <w:t>2.00</w:t>
            </w:r>
          </w:p>
        </w:tc>
        <w:tc>
          <w:tcPr>
            <w:tcW w:w="1016" w:type="dxa"/>
            <w:vAlign w:val="center"/>
          </w:tcPr>
          <w:p w14:paraId="57603A92" w14:textId="6EA1B8DD" w:rsidR="00CE5D17" w:rsidRPr="008E75CA" w:rsidRDefault="00CE5D17" w:rsidP="00C00C1E">
            <w:pPr>
              <w:spacing w:before="0"/>
              <w:jc w:val="center"/>
              <w:rPr>
                <w:rFonts w:asciiTheme="majorHAnsi" w:hAnsiTheme="majorHAnsi" w:cstheme="majorHAnsi"/>
                <w:b/>
                <w:bCs/>
                <w:szCs w:val="18"/>
              </w:rPr>
            </w:pPr>
            <w:r>
              <w:rPr>
                <w:rFonts w:cs="Arial"/>
                <w:szCs w:val="18"/>
              </w:rPr>
              <w:t>1.25</w:t>
            </w:r>
          </w:p>
        </w:tc>
      </w:tr>
      <w:tr w:rsidR="00CE5D17" w:rsidRPr="00383811" w14:paraId="70394F0B" w14:textId="77D8ECDB" w:rsidTr="009758F9">
        <w:trPr>
          <w:trHeight w:val="283"/>
        </w:trPr>
        <w:tc>
          <w:tcPr>
            <w:tcW w:w="3828" w:type="dxa"/>
            <w:vAlign w:val="center"/>
          </w:tcPr>
          <w:p w14:paraId="44345500" w14:textId="5ED62866" w:rsidR="00CE5D17" w:rsidRPr="008E75CA" w:rsidRDefault="00CE5D17" w:rsidP="00C00C1E">
            <w:pPr>
              <w:spacing w:before="0"/>
              <w:rPr>
                <w:rFonts w:asciiTheme="majorHAnsi" w:hAnsiTheme="majorHAnsi" w:cstheme="majorHAnsi"/>
                <w:b/>
                <w:bCs/>
                <w:szCs w:val="18"/>
              </w:rPr>
            </w:pPr>
            <w:r w:rsidRPr="008E75CA">
              <w:rPr>
                <w:rFonts w:asciiTheme="majorHAnsi" w:hAnsiTheme="majorHAnsi" w:cstheme="majorHAnsi"/>
                <w:szCs w:val="18"/>
              </w:rPr>
              <w:lastRenderedPageBreak/>
              <w:t>Provide a transparent, clear decision-making process</w:t>
            </w:r>
          </w:p>
        </w:tc>
        <w:tc>
          <w:tcPr>
            <w:tcW w:w="1134" w:type="dxa"/>
            <w:vAlign w:val="center"/>
          </w:tcPr>
          <w:p w14:paraId="26ADAFAD" w14:textId="5D794754" w:rsidR="00CE5D17" w:rsidRPr="008E75CA" w:rsidRDefault="00CE5D17" w:rsidP="00C00C1E">
            <w:pPr>
              <w:spacing w:before="0"/>
              <w:jc w:val="center"/>
              <w:rPr>
                <w:rFonts w:asciiTheme="majorHAnsi" w:hAnsiTheme="majorHAnsi" w:cstheme="majorHAnsi"/>
                <w:szCs w:val="18"/>
              </w:rPr>
            </w:pPr>
            <w:r w:rsidRPr="008E75CA">
              <w:rPr>
                <w:rFonts w:asciiTheme="majorHAnsi" w:hAnsiTheme="majorHAnsi" w:cstheme="majorHAnsi"/>
                <w:szCs w:val="18"/>
              </w:rPr>
              <w:t>25%</w:t>
            </w:r>
          </w:p>
        </w:tc>
        <w:tc>
          <w:tcPr>
            <w:tcW w:w="1016" w:type="dxa"/>
            <w:vAlign w:val="center"/>
          </w:tcPr>
          <w:p w14:paraId="16B10F5E" w14:textId="7DD0C26E" w:rsidR="00CE5D17" w:rsidRPr="008E75CA" w:rsidRDefault="00CE5D17" w:rsidP="00C00C1E">
            <w:pPr>
              <w:spacing w:before="0"/>
              <w:jc w:val="center"/>
              <w:rPr>
                <w:rFonts w:asciiTheme="majorHAnsi" w:hAnsiTheme="majorHAnsi" w:cstheme="majorHAnsi"/>
                <w:szCs w:val="18"/>
              </w:rPr>
            </w:pPr>
            <w:r>
              <w:rPr>
                <w:rFonts w:cs="Arial"/>
                <w:szCs w:val="18"/>
              </w:rPr>
              <w:t>0</w:t>
            </w:r>
          </w:p>
        </w:tc>
        <w:tc>
          <w:tcPr>
            <w:tcW w:w="1016" w:type="dxa"/>
            <w:vAlign w:val="center"/>
          </w:tcPr>
          <w:p w14:paraId="2B64A2E1" w14:textId="4CBFF590" w:rsidR="00CE5D17" w:rsidRPr="008E75CA" w:rsidRDefault="00CE5D17" w:rsidP="00C00C1E">
            <w:pPr>
              <w:spacing w:before="0"/>
              <w:jc w:val="center"/>
              <w:rPr>
                <w:rFonts w:asciiTheme="majorHAnsi" w:hAnsiTheme="majorHAnsi" w:cstheme="majorHAnsi"/>
                <w:szCs w:val="18"/>
              </w:rPr>
            </w:pPr>
            <w:r>
              <w:rPr>
                <w:rFonts w:cs="Arial"/>
                <w:szCs w:val="18"/>
              </w:rPr>
              <w:t>6</w:t>
            </w:r>
          </w:p>
        </w:tc>
        <w:tc>
          <w:tcPr>
            <w:tcW w:w="1016" w:type="dxa"/>
            <w:vAlign w:val="center"/>
          </w:tcPr>
          <w:p w14:paraId="05D9F445" w14:textId="7B3C7C09" w:rsidR="00CE5D17" w:rsidRPr="008E75CA" w:rsidRDefault="00CE5D17" w:rsidP="00C00C1E">
            <w:pPr>
              <w:spacing w:before="0"/>
              <w:jc w:val="center"/>
              <w:rPr>
                <w:rFonts w:asciiTheme="majorHAnsi" w:hAnsiTheme="majorHAnsi" w:cstheme="majorHAnsi"/>
                <w:szCs w:val="18"/>
              </w:rPr>
            </w:pPr>
            <w:r>
              <w:rPr>
                <w:rFonts w:cs="Arial"/>
                <w:szCs w:val="18"/>
              </w:rPr>
              <w:t>0.00</w:t>
            </w:r>
          </w:p>
        </w:tc>
        <w:tc>
          <w:tcPr>
            <w:tcW w:w="1016" w:type="dxa"/>
            <w:vAlign w:val="center"/>
          </w:tcPr>
          <w:p w14:paraId="58038272" w14:textId="10B25CDA" w:rsidR="00CE5D17" w:rsidRPr="008E75CA" w:rsidRDefault="00CE5D17" w:rsidP="00C00C1E">
            <w:pPr>
              <w:spacing w:before="0"/>
              <w:jc w:val="center"/>
              <w:rPr>
                <w:rFonts w:asciiTheme="majorHAnsi" w:hAnsiTheme="majorHAnsi" w:cstheme="majorHAnsi"/>
                <w:szCs w:val="18"/>
              </w:rPr>
            </w:pPr>
            <w:r>
              <w:rPr>
                <w:rFonts w:cs="Arial"/>
                <w:szCs w:val="18"/>
              </w:rPr>
              <w:t>1.50</w:t>
            </w:r>
          </w:p>
        </w:tc>
      </w:tr>
      <w:tr w:rsidR="00CE5D17" w:rsidRPr="00383811" w14:paraId="3304E124" w14:textId="5EB509CA" w:rsidTr="009758F9">
        <w:trPr>
          <w:trHeight w:val="358"/>
        </w:trPr>
        <w:tc>
          <w:tcPr>
            <w:tcW w:w="3828" w:type="dxa"/>
            <w:vAlign w:val="center"/>
          </w:tcPr>
          <w:p w14:paraId="79542B96" w14:textId="5D3175AD" w:rsidR="00CE5D17" w:rsidRPr="008E75CA" w:rsidRDefault="00CE5D17" w:rsidP="00C05DB0">
            <w:pPr>
              <w:spacing w:before="0"/>
              <w:jc w:val="right"/>
              <w:rPr>
                <w:rFonts w:asciiTheme="majorHAnsi" w:hAnsiTheme="majorHAnsi" w:cstheme="majorHAnsi"/>
                <w:szCs w:val="18"/>
              </w:rPr>
            </w:pPr>
            <w:r w:rsidRPr="008E75CA">
              <w:rPr>
                <w:rFonts w:asciiTheme="majorHAnsi" w:hAnsiTheme="majorHAnsi" w:cstheme="majorHAnsi"/>
                <w:b/>
                <w:bCs/>
                <w:szCs w:val="18"/>
              </w:rPr>
              <w:t xml:space="preserve">Total </w:t>
            </w:r>
          </w:p>
        </w:tc>
        <w:tc>
          <w:tcPr>
            <w:tcW w:w="1134" w:type="dxa"/>
            <w:vAlign w:val="center"/>
          </w:tcPr>
          <w:p w14:paraId="2D18FF3F" w14:textId="25A0C9EC" w:rsidR="00CE5D17" w:rsidRPr="008E75CA" w:rsidRDefault="00CE5D17" w:rsidP="00C00C1E">
            <w:pPr>
              <w:spacing w:before="0"/>
              <w:jc w:val="center"/>
              <w:rPr>
                <w:rFonts w:asciiTheme="majorHAnsi" w:hAnsiTheme="majorHAnsi" w:cstheme="majorHAnsi"/>
                <w:szCs w:val="18"/>
              </w:rPr>
            </w:pPr>
            <w:r w:rsidRPr="008E75CA">
              <w:rPr>
                <w:rFonts w:asciiTheme="majorHAnsi" w:hAnsiTheme="majorHAnsi" w:cstheme="majorHAnsi"/>
                <w:b/>
                <w:bCs/>
                <w:szCs w:val="18"/>
              </w:rPr>
              <w:t>50%</w:t>
            </w:r>
          </w:p>
        </w:tc>
        <w:tc>
          <w:tcPr>
            <w:tcW w:w="1016" w:type="dxa"/>
            <w:vAlign w:val="center"/>
          </w:tcPr>
          <w:p w14:paraId="43AB4C04" w14:textId="339A9F54" w:rsidR="00CE5D17" w:rsidRPr="008E75CA" w:rsidRDefault="00CE5D17" w:rsidP="00C00C1E">
            <w:pPr>
              <w:spacing w:before="0"/>
              <w:jc w:val="center"/>
              <w:rPr>
                <w:rFonts w:asciiTheme="majorHAnsi" w:hAnsiTheme="majorHAnsi" w:cstheme="majorHAnsi"/>
                <w:szCs w:val="18"/>
              </w:rPr>
            </w:pPr>
            <w:r>
              <w:rPr>
                <w:rFonts w:cs="Arial"/>
                <w:b/>
                <w:bCs/>
                <w:szCs w:val="18"/>
              </w:rPr>
              <w:t> </w:t>
            </w:r>
          </w:p>
        </w:tc>
        <w:tc>
          <w:tcPr>
            <w:tcW w:w="1016" w:type="dxa"/>
            <w:vAlign w:val="center"/>
          </w:tcPr>
          <w:p w14:paraId="3F6D8C2A" w14:textId="4DDF165B" w:rsidR="00CE5D17" w:rsidRPr="008E75CA" w:rsidRDefault="00CE5D17" w:rsidP="00C00C1E">
            <w:pPr>
              <w:spacing w:before="0"/>
              <w:jc w:val="center"/>
              <w:rPr>
                <w:rFonts w:asciiTheme="majorHAnsi" w:hAnsiTheme="majorHAnsi" w:cstheme="majorHAnsi"/>
                <w:szCs w:val="18"/>
              </w:rPr>
            </w:pPr>
            <w:r>
              <w:rPr>
                <w:rFonts w:cs="Arial"/>
                <w:b/>
                <w:bCs/>
                <w:szCs w:val="18"/>
              </w:rPr>
              <w:t> </w:t>
            </w:r>
          </w:p>
        </w:tc>
        <w:tc>
          <w:tcPr>
            <w:tcW w:w="1016" w:type="dxa"/>
            <w:vAlign w:val="center"/>
          </w:tcPr>
          <w:p w14:paraId="4838CFC2" w14:textId="5A488703" w:rsidR="00CE5D17" w:rsidRPr="008E75CA" w:rsidRDefault="00CE5D17" w:rsidP="00C00C1E">
            <w:pPr>
              <w:spacing w:before="0"/>
              <w:jc w:val="center"/>
              <w:rPr>
                <w:rFonts w:asciiTheme="majorHAnsi" w:hAnsiTheme="majorHAnsi" w:cstheme="majorHAnsi"/>
                <w:szCs w:val="18"/>
              </w:rPr>
            </w:pPr>
            <w:r>
              <w:rPr>
                <w:rFonts w:cs="Arial"/>
                <w:b/>
                <w:bCs/>
                <w:szCs w:val="18"/>
              </w:rPr>
              <w:t>2.00</w:t>
            </w:r>
          </w:p>
        </w:tc>
        <w:tc>
          <w:tcPr>
            <w:tcW w:w="1016" w:type="dxa"/>
            <w:vAlign w:val="center"/>
          </w:tcPr>
          <w:p w14:paraId="6245772D" w14:textId="135C8F6F" w:rsidR="00CE5D17" w:rsidRPr="008E75CA" w:rsidRDefault="00CE5D17" w:rsidP="00C00C1E">
            <w:pPr>
              <w:spacing w:before="0"/>
              <w:jc w:val="center"/>
              <w:rPr>
                <w:rFonts w:asciiTheme="majorHAnsi" w:hAnsiTheme="majorHAnsi" w:cstheme="majorHAnsi"/>
                <w:szCs w:val="18"/>
              </w:rPr>
            </w:pPr>
            <w:r>
              <w:rPr>
                <w:rFonts w:cs="Arial"/>
                <w:b/>
                <w:bCs/>
                <w:szCs w:val="18"/>
              </w:rPr>
              <w:t>2.75</w:t>
            </w:r>
          </w:p>
        </w:tc>
      </w:tr>
      <w:tr w:rsidR="00CE5D17" w:rsidRPr="00383811" w14:paraId="2D388E2B" w14:textId="013AFC04" w:rsidTr="009758F9">
        <w:trPr>
          <w:trHeight w:val="283"/>
        </w:trPr>
        <w:tc>
          <w:tcPr>
            <w:tcW w:w="3828" w:type="dxa"/>
            <w:vAlign w:val="center"/>
          </w:tcPr>
          <w:p w14:paraId="5D3DDFF8" w14:textId="67F83A1F" w:rsidR="00CE5D17" w:rsidRPr="008E75CA" w:rsidRDefault="00CE5D17" w:rsidP="00C00C1E">
            <w:pPr>
              <w:spacing w:before="0"/>
              <w:rPr>
                <w:rFonts w:asciiTheme="majorHAnsi" w:hAnsiTheme="majorHAnsi" w:cstheme="majorHAnsi"/>
                <w:szCs w:val="18"/>
              </w:rPr>
            </w:pPr>
            <w:r w:rsidRPr="008E75CA">
              <w:rPr>
                <w:rFonts w:asciiTheme="majorHAnsi" w:hAnsiTheme="majorHAnsi" w:cstheme="majorHAnsi"/>
                <w:b/>
                <w:bCs/>
                <w:szCs w:val="18"/>
              </w:rPr>
              <w:t>Cost Criteria</w:t>
            </w:r>
          </w:p>
        </w:tc>
        <w:tc>
          <w:tcPr>
            <w:tcW w:w="1134" w:type="dxa"/>
            <w:vAlign w:val="center"/>
          </w:tcPr>
          <w:p w14:paraId="29C60848" w14:textId="438B0DB9" w:rsidR="00CE5D17" w:rsidRPr="008E75CA" w:rsidRDefault="00CE5D17" w:rsidP="00C00C1E">
            <w:pPr>
              <w:spacing w:before="0"/>
              <w:jc w:val="center"/>
              <w:rPr>
                <w:rFonts w:asciiTheme="majorHAnsi" w:hAnsiTheme="majorHAnsi" w:cstheme="majorHAnsi"/>
                <w:szCs w:val="18"/>
              </w:rPr>
            </w:pPr>
          </w:p>
        </w:tc>
        <w:tc>
          <w:tcPr>
            <w:tcW w:w="1016" w:type="dxa"/>
            <w:vAlign w:val="center"/>
          </w:tcPr>
          <w:p w14:paraId="121507C6" w14:textId="489A52B7" w:rsidR="00CE5D17" w:rsidRPr="008E75CA" w:rsidRDefault="00CE5D17" w:rsidP="00C00C1E">
            <w:pPr>
              <w:spacing w:before="0"/>
              <w:jc w:val="center"/>
              <w:rPr>
                <w:rFonts w:asciiTheme="majorHAnsi" w:hAnsiTheme="majorHAnsi" w:cstheme="majorHAnsi"/>
                <w:szCs w:val="18"/>
              </w:rPr>
            </w:pPr>
          </w:p>
        </w:tc>
        <w:tc>
          <w:tcPr>
            <w:tcW w:w="1016" w:type="dxa"/>
            <w:vAlign w:val="center"/>
          </w:tcPr>
          <w:p w14:paraId="79D79A15" w14:textId="63640E85" w:rsidR="00CE5D17" w:rsidRPr="008E75CA" w:rsidRDefault="00CE5D17" w:rsidP="00C00C1E">
            <w:pPr>
              <w:spacing w:before="0"/>
              <w:jc w:val="center"/>
              <w:rPr>
                <w:rFonts w:asciiTheme="majorHAnsi" w:hAnsiTheme="majorHAnsi" w:cstheme="majorHAnsi"/>
                <w:szCs w:val="18"/>
              </w:rPr>
            </w:pPr>
          </w:p>
        </w:tc>
        <w:tc>
          <w:tcPr>
            <w:tcW w:w="1016" w:type="dxa"/>
            <w:vAlign w:val="center"/>
          </w:tcPr>
          <w:p w14:paraId="5FF47067" w14:textId="108DEE91" w:rsidR="00CE5D17" w:rsidRPr="008E75CA" w:rsidRDefault="00CE5D17" w:rsidP="00C00C1E">
            <w:pPr>
              <w:spacing w:before="0"/>
              <w:jc w:val="center"/>
              <w:rPr>
                <w:rFonts w:asciiTheme="majorHAnsi" w:hAnsiTheme="majorHAnsi" w:cstheme="majorHAnsi"/>
                <w:szCs w:val="18"/>
              </w:rPr>
            </w:pPr>
          </w:p>
        </w:tc>
        <w:tc>
          <w:tcPr>
            <w:tcW w:w="1016" w:type="dxa"/>
            <w:vAlign w:val="center"/>
          </w:tcPr>
          <w:p w14:paraId="4EE2E897" w14:textId="3005F9E2" w:rsidR="00CE5D17" w:rsidRPr="008E75CA" w:rsidRDefault="00CE5D17" w:rsidP="00C00C1E">
            <w:pPr>
              <w:spacing w:before="0"/>
              <w:jc w:val="center"/>
              <w:rPr>
                <w:rFonts w:asciiTheme="majorHAnsi" w:hAnsiTheme="majorHAnsi" w:cstheme="majorHAnsi"/>
                <w:szCs w:val="18"/>
              </w:rPr>
            </w:pPr>
          </w:p>
        </w:tc>
      </w:tr>
      <w:tr w:rsidR="00CE5D17" w:rsidRPr="00383811" w14:paraId="1C79459D" w14:textId="4144AEEA" w:rsidTr="009758F9">
        <w:trPr>
          <w:trHeight w:val="283"/>
        </w:trPr>
        <w:tc>
          <w:tcPr>
            <w:tcW w:w="3828" w:type="dxa"/>
            <w:vAlign w:val="center"/>
          </w:tcPr>
          <w:p w14:paraId="6DB2E38E" w14:textId="70501855" w:rsidR="00CE5D17" w:rsidRPr="008E75CA" w:rsidRDefault="00CE5D17" w:rsidP="00135597">
            <w:pPr>
              <w:spacing w:before="0"/>
              <w:rPr>
                <w:rFonts w:asciiTheme="majorHAnsi" w:hAnsiTheme="majorHAnsi" w:cstheme="majorHAnsi"/>
                <w:szCs w:val="18"/>
              </w:rPr>
            </w:pPr>
            <w:r w:rsidRPr="008E75CA">
              <w:rPr>
                <w:rFonts w:asciiTheme="majorHAnsi" w:hAnsiTheme="majorHAnsi" w:cstheme="majorHAnsi"/>
                <w:szCs w:val="18"/>
              </w:rPr>
              <w:t>Costs to industry (including time delays) relative to the base case</w:t>
            </w:r>
          </w:p>
        </w:tc>
        <w:tc>
          <w:tcPr>
            <w:tcW w:w="1134" w:type="dxa"/>
            <w:vAlign w:val="center"/>
          </w:tcPr>
          <w:p w14:paraId="02D0B9EC" w14:textId="09BF1180" w:rsidR="00CE5D17" w:rsidRPr="008E75CA" w:rsidRDefault="00CD0678" w:rsidP="00C00C1E">
            <w:pPr>
              <w:spacing w:before="0"/>
              <w:jc w:val="center"/>
              <w:rPr>
                <w:rFonts w:asciiTheme="majorHAnsi" w:hAnsiTheme="majorHAnsi" w:cstheme="majorHAnsi"/>
                <w:szCs w:val="18"/>
              </w:rPr>
            </w:pPr>
            <w:r>
              <w:rPr>
                <w:rFonts w:asciiTheme="majorHAnsi" w:hAnsiTheme="majorHAnsi" w:cstheme="majorHAnsi"/>
                <w:szCs w:val="18"/>
              </w:rPr>
              <w:t>2</w:t>
            </w:r>
            <w:r w:rsidR="00CE5D17" w:rsidRPr="008E75CA">
              <w:rPr>
                <w:rFonts w:asciiTheme="majorHAnsi" w:hAnsiTheme="majorHAnsi" w:cstheme="majorHAnsi"/>
                <w:szCs w:val="18"/>
              </w:rPr>
              <w:t>5%</w:t>
            </w:r>
          </w:p>
        </w:tc>
        <w:tc>
          <w:tcPr>
            <w:tcW w:w="1016" w:type="dxa"/>
            <w:vAlign w:val="center"/>
          </w:tcPr>
          <w:p w14:paraId="084D3EA4" w14:textId="549DA60F" w:rsidR="00CE5D17" w:rsidRPr="00B30ABA" w:rsidRDefault="00CE5D17" w:rsidP="00C00C1E">
            <w:pPr>
              <w:spacing w:before="0"/>
              <w:jc w:val="center"/>
              <w:rPr>
                <w:rFonts w:asciiTheme="majorHAnsi" w:hAnsiTheme="majorHAnsi" w:cstheme="majorHAnsi"/>
                <w:szCs w:val="18"/>
              </w:rPr>
            </w:pPr>
            <w:r w:rsidRPr="00B30ABA">
              <w:rPr>
                <w:rFonts w:asciiTheme="majorHAnsi" w:hAnsiTheme="majorHAnsi" w:cstheme="majorHAnsi"/>
                <w:szCs w:val="18"/>
              </w:rPr>
              <w:t>-4</w:t>
            </w:r>
          </w:p>
        </w:tc>
        <w:tc>
          <w:tcPr>
            <w:tcW w:w="1016" w:type="dxa"/>
            <w:vAlign w:val="center"/>
          </w:tcPr>
          <w:p w14:paraId="4238690A" w14:textId="3EF85F0C" w:rsidR="00CE5D17" w:rsidRPr="00B30ABA" w:rsidRDefault="00CE5D17" w:rsidP="00C00C1E">
            <w:pPr>
              <w:spacing w:before="0"/>
              <w:jc w:val="center"/>
              <w:rPr>
                <w:rFonts w:asciiTheme="majorHAnsi" w:hAnsiTheme="majorHAnsi" w:cstheme="majorHAnsi"/>
                <w:szCs w:val="18"/>
              </w:rPr>
            </w:pPr>
            <w:r w:rsidRPr="00B30ABA">
              <w:rPr>
                <w:rFonts w:asciiTheme="majorHAnsi" w:hAnsiTheme="majorHAnsi" w:cstheme="majorHAnsi"/>
                <w:szCs w:val="18"/>
              </w:rPr>
              <w:t>-3</w:t>
            </w:r>
          </w:p>
        </w:tc>
        <w:tc>
          <w:tcPr>
            <w:tcW w:w="1016" w:type="dxa"/>
            <w:vAlign w:val="center"/>
          </w:tcPr>
          <w:p w14:paraId="68D454EE" w14:textId="21C56DE9" w:rsidR="00CE5D17" w:rsidRPr="008E75CA" w:rsidRDefault="00CE5D17" w:rsidP="00C00C1E">
            <w:pPr>
              <w:spacing w:before="0"/>
              <w:jc w:val="center"/>
              <w:rPr>
                <w:rFonts w:asciiTheme="majorHAnsi" w:hAnsiTheme="majorHAnsi" w:cstheme="majorHAnsi"/>
                <w:b/>
                <w:bCs/>
                <w:szCs w:val="18"/>
              </w:rPr>
            </w:pPr>
            <w:r w:rsidRPr="008E75CA">
              <w:rPr>
                <w:rFonts w:asciiTheme="majorHAnsi" w:hAnsiTheme="majorHAnsi" w:cstheme="majorHAnsi"/>
                <w:szCs w:val="18"/>
              </w:rPr>
              <w:t>-1.</w:t>
            </w:r>
            <w:r w:rsidR="009C3387">
              <w:rPr>
                <w:rFonts w:asciiTheme="majorHAnsi" w:hAnsiTheme="majorHAnsi" w:cstheme="majorHAnsi"/>
                <w:szCs w:val="18"/>
              </w:rPr>
              <w:t>0</w:t>
            </w:r>
          </w:p>
        </w:tc>
        <w:tc>
          <w:tcPr>
            <w:tcW w:w="1016" w:type="dxa"/>
            <w:vAlign w:val="center"/>
          </w:tcPr>
          <w:p w14:paraId="02F72845" w14:textId="2E164C54" w:rsidR="00CE5D17" w:rsidRPr="008E75CA" w:rsidRDefault="00CE5D17" w:rsidP="00C00C1E">
            <w:pPr>
              <w:spacing w:before="0"/>
              <w:jc w:val="center"/>
              <w:rPr>
                <w:rFonts w:asciiTheme="majorHAnsi" w:hAnsiTheme="majorHAnsi" w:cstheme="majorHAnsi"/>
                <w:b/>
                <w:bCs/>
                <w:szCs w:val="18"/>
              </w:rPr>
            </w:pPr>
            <w:r w:rsidRPr="008E75CA">
              <w:rPr>
                <w:rFonts w:asciiTheme="majorHAnsi" w:hAnsiTheme="majorHAnsi" w:cstheme="majorHAnsi"/>
                <w:szCs w:val="18"/>
              </w:rPr>
              <w:t>-</w:t>
            </w:r>
            <w:r w:rsidR="009C3387">
              <w:rPr>
                <w:rFonts w:asciiTheme="majorHAnsi" w:hAnsiTheme="majorHAnsi" w:cstheme="majorHAnsi"/>
                <w:szCs w:val="18"/>
              </w:rPr>
              <w:t>0</w:t>
            </w:r>
            <w:r w:rsidRPr="008E75CA">
              <w:rPr>
                <w:rFonts w:asciiTheme="majorHAnsi" w:hAnsiTheme="majorHAnsi" w:cstheme="majorHAnsi"/>
                <w:szCs w:val="18"/>
              </w:rPr>
              <w:t>.</w:t>
            </w:r>
            <w:r w:rsidR="009C3387">
              <w:rPr>
                <w:rFonts w:asciiTheme="majorHAnsi" w:hAnsiTheme="majorHAnsi" w:cstheme="majorHAnsi"/>
                <w:szCs w:val="18"/>
              </w:rPr>
              <w:t>7</w:t>
            </w:r>
            <w:r>
              <w:rPr>
                <w:rFonts w:asciiTheme="majorHAnsi" w:hAnsiTheme="majorHAnsi" w:cstheme="majorHAnsi"/>
                <w:szCs w:val="18"/>
              </w:rPr>
              <w:t>5</w:t>
            </w:r>
          </w:p>
        </w:tc>
      </w:tr>
      <w:tr w:rsidR="00CE5D17" w:rsidRPr="00383811" w14:paraId="72F7C154" w14:textId="7C0882E9" w:rsidTr="009758F9">
        <w:trPr>
          <w:trHeight w:val="283"/>
        </w:trPr>
        <w:tc>
          <w:tcPr>
            <w:tcW w:w="3828" w:type="dxa"/>
            <w:vAlign w:val="center"/>
          </w:tcPr>
          <w:p w14:paraId="73705853" w14:textId="11066084" w:rsidR="00CE5D17" w:rsidRPr="008E75CA" w:rsidRDefault="00CE5D17" w:rsidP="00C00C1E">
            <w:pPr>
              <w:spacing w:before="0"/>
              <w:rPr>
                <w:rFonts w:asciiTheme="majorHAnsi" w:hAnsiTheme="majorHAnsi" w:cstheme="majorHAnsi"/>
                <w:szCs w:val="18"/>
              </w:rPr>
            </w:pPr>
            <w:r w:rsidRPr="008E75CA">
              <w:rPr>
                <w:rFonts w:asciiTheme="majorHAnsi" w:hAnsiTheme="majorHAnsi" w:cstheme="majorHAnsi"/>
                <w:szCs w:val="18"/>
              </w:rPr>
              <w:t>Costs to government relative to the base case of administering and enforcing the system</w:t>
            </w:r>
          </w:p>
        </w:tc>
        <w:tc>
          <w:tcPr>
            <w:tcW w:w="1134" w:type="dxa"/>
            <w:vAlign w:val="center"/>
          </w:tcPr>
          <w:p w14:paraId="37F95327" w14:textId="0EEFC646" w:rsidR="00CE5D17" w:rsidRPr="008E75CA" w:rsidRDefault="00CD0678" w:rsidP="00C00C1E">
            <w:pPr>
              <w:spacing w:before="0"/>
              <w:jc w:val="center"/>
              <w:rPr>
                <w:rFonts w:asciiTheme="majorHAnsi" w:hAnsiTheme="majorHAnsi" w:cstheme="majorHAnsi"/>
                <w:szCs w:val="18"/>
              </w:rPr>
            </w:pPr>
            <w:r>
              <w:rPr>
                <w:rFonts w:asciiTheme="majorHAnsi" w:hAnsiTheme="majorHAnsi" w:cstheme="majorHAnsi"/>
                <w:szCs w:val="18"/>
              </w:rPr>
              <w:t>2</w:t>
            </w:r>
            <w:r w:rsidR="00CE5D17" w:rsidRPr="008E75CA">
              <w:rPr>
                <w:rFonts w:asciiTheme="majorHAnsi" w:hAnsiTheme="majorHAnsi" w:cstheme="majorHAnsi"/>
                <w:szCs w:val="18"/>
              </w:rPr>
              <w:t>5%</w:t>
            </w:r>
          </w:p>
        </w:tc>
        <w:tc>
          <w:tcPr>
            <w:tcW w:w="1016" w:type="dxa"/>
            <w:vAlign w:val="center"/>
          </w:tcPr>
          <w:p w14:paraId="42847C3F" w14:textId="3191A566" w:rsidR="00CE5D17" w:rsidRPr="008E75CA" w:rsidRDefault="00CE5D17" w:rsidP="00C00C1E">
            <w:pPr>
              <w:spacing w:before="0"/>
              <w:jc w:val="center"/>
              <w:rPr>
                <w:rFonts w:asciiTheme="majorHAnsi" w:hAnsiTheme="majorHAnsi" w:cstheme="majorHAnsi"/>
                <w:szCs w:val="18"/>
              </w:rPr>
            </w:pPr>
            <w:r w:rsidRPr="00B30ABA">
              <w:rPr>
                <w:rFonts w:asciiTheme="majorHAnsi" w:hAnsiTheme="majorHAnsi" w:cstheme="majorHAnsi"/>
                <w:szCs w:val="18"/>
              </w:rPr>
              <w:t>-1</w:t>
            </w:r>
          </w:p>
        </w:tc>
        <w:tc>
          <w:tcPr>
            <w:tcW w:w="1016" w:type="dxa"/>
            <w:vAlign w:val="center"/>
          </w:tcPr>
          <w:p w14:paraId="745855D7" w14:textId="3B82FBFE" w:rsidR="00CE5D17" w:rsidRPr="008E75CA" w:rsidRDefault="00CE5D17" w:rsidP="00C00C1E">
            <w:pPr>
              <w:spacing w:before="0"/>
              <w:jc w:val="center"/>
              <w:rPr>
                <w:rFonts w:asciiTheme="majorHAnsi" w:hAnsiTheme="majorHAnsi" w:cstheme="majorHAnsi"/>
                <w:szCs w:val="18"/>
              </w:rPr>
            </w:pPr>
            <w:r w:rsidRPr="00B30ABA">
              <w:rPr>
                <w:rFonts w:asciiTheme="majorHAnsi" w:hAnsiTheme="majorHAnsi" w:cstheme="majorHAnsi"/>
                <w:szCs w:val="18"/>
              </w:rPr>
              <w:t>-3</w:t>
            </w:r>
          </w:p>
        </w:tc>
        <w:tc>
          <w:tcPr>
            <w:tcW w:w="1016" w:type="dxa"/>
            <w:vAlign w:val="center"/>
          </w:tcPr>
          <w:p w14:paraId="2E964872" w14:textId="1F963097" w:rsidR="00CE5D17" w:rsidRPr="008E75CA" w:rsidRDefault="00CE5D17" w:rsidP="00C00C1E">
            <w:pPr>
              <w:spacing w:before="0"/>
              <w:jc w:val="center"/>
              <w:rPr>
                <w:rFonts w:asciiTheme="majorHAnsi" w:hAnsiTheme="majorHAnsi" w:cstheme="majorHAnsi"/>
                <w:szCs w:val="18"/>
              </w:rPr>
            </w:pPr>
            <w:r w:rsidRPr="008E75CA">
              <w:rPr>
                <w:rFonts w:asciiTheme="majorHAnsi" w:hAnsiTheme="majorHAnsi" w:cstheme="majorHAnsi"/>
                <w:szCs w:val="18"/>
              </w:rPr>
              <w:t>-0.</w:t>
            </w:r>
            <w:r w:rsidR="009C3387">
              <w:rPr>
                <w:rFonts w:asciiTheme="majorHAnsi" w:hAnsiTheme="majorHAnsi" w:cstheme="majorHAnsi"/>
                <w:szCs w:val="18"/>
              </w:rPr>
              <w:t>2</w:t>
            </w:r>
            <w:r w:rsidRPr="008E75CA">
              <w:rPr>
                <w:rFonts w:asciiTheme="majorHAnsi" w:hAnsiTheme="majorHAnsi" w:cstheme="majorHAnsi"/>
                <w:szCs w:val="18"/>
              </w:rPr>
              <w:t>5</w:t>
            </w:r>
          </w:p>
        </w:tc>
        <w:tc>
          <w:tcPr>
            <w:tcW w:w="1016" w:type="dxa"/>
            <w:vAlign w:val="center"/>
          </w:tcPr>
          <w:p w14:paraId="6D9330AF" w14:textId="5FD2DD6E" w:rsidR="00CE5D17" w:rsidRPr="008E75CA" w:rsidRDefault="00CE5D17" w:rsidP="00C00C1E">
            <w:pPr>
              <w:spacing w:before="0"/>
              <w:jc w:val="center"/>
              <w:rPr>
                <w:rFonts w:asciiTheme="majorHAnsi" w:hAnsiTheme="majorHAnsi" w:cstheme="majorHAnsi"/>
                <w:szCs w:val="18"/>
              </w:rPr>
            </w:pPr>
            <w:r w:rsidRPr="008E75CA">
              <w:rPr>
                <w:rFonts w:asciiTheme="majorHAnsi" w:hAnsiTheme="majorHAnsi" w:cstheme="majorHAnsi"/>
                <w:szCs w:val="18"/>
              </w:rPr>
              <w:t>-0.</w:t>
            </w:r>
            <w:r w:rsidR="009C3387">
              <w:rPr>
                <w:rFonts w:asciiTheme="majorHAnsi" w:hAnsiTheme="majorHAnsi" w:cstheme="majorHAnsi"/>
                <w:szCs w:val="18"/>
              </w:rPr>
              <w:t>7</w:t>
            </w:r>
            <w:r w:rsidRPr="008E75CA">
              <w:rPr>
                <w:rFonts w:asciiTheme="majorHAnsi" w:hAnsiTheme="majorHAnsi" w:cstheme="majorHAnsi"/>
                <w:szCs w:val="18"/>
              </w:rPr>
              <w:t>5</w:t>
            </w:r>
          </w:p>
        </w:tc>
      </w:tr>
      <w:tr w:rsidR="00CE5D17" w:rsidRPr="00383811" w14:paraId="1906C84F" w14:textId="476FF8CD" w:rsidTr="009758F9">
        <w:trPr>
          <w:trHeight w:val="358"/>
        </w:trPr>
        <w:tc>
          <w:tcPr>
            <w:tcW w:w="3828" w:type="dxa"/>
            <w:vAlign w:val="center"/>
          </w:tcPr>
          <w:p w14:paraId="25C09C44" w14:textId="3C2FF834" w:rsidR="00CE5D17" w:rsidRPr="008E75CA" w:rsidRDefault="00CE5D17" w:rsidP="00135597">
            <w:pPr>
              <w:spacing w:before="0"/>
              <w:jc w:val="right"/>
              <w:rPr>
                <w:rFonts w:asciiTheme="majorHAnsi" w:hAnsiTheme="majorHAnsi" w:cstheme="majorHAnsi"/>
                <w:szCs w:val="18"/>
              </w:rPr>
            </w:pPr>
            <w:r w:rsidRPr="008E75CA">
              <w:rPr>
                <w:rFonts w:asciiTheme="majorHAnsi" w:hAnsiTheme="majorHAnsi" w:cstheme="majorHAnsi"/>
                <w:b/>
                <w:bCs/>
                <w:szCs w:val="18"/>
              </w:rPr>
              <w:t xml:space="preserve">Total </w:t>
            </w:r>
          </w:p>
        </w:tc>
        <w:tc>
          <w:tcPr>
            <w:tcW w:w="1134" w:type="dxa"/>
            <w:vAlign w:val="center"/>
          </w:tcPr>
          <w:p w14:paraId="6937B424" w14:textId="3785B73A" w:rsidR="00CE5D17" w:rsidRPr="008E75CA" w:rsidRDefault="00CE5D17" w:rsidP="00C00C1E">
            <w:pPr>
              <w:spacing w:before="0"/>
              <w:jc w:val="center"/>
              <w:rPr>
                <w:rFonts w:asciiTheme="majorHAnsi" w:hAnsiTheme="majorHAnsi" w:cstheme="majorHAnsi"/>
                <w:szCs w:val="18"/>
              </w:rPr>
            </w:pPr>
            <w:r w:rsidRPr="008E75CA">
              <w:rPr>
                <w:rFonts w:asciiTheme="majorHAnsi" w:hAnsiTheme="majorHAnsi" w:cstheme="majorHAnsi"/>
                <w:b/>
                <w:bCs/>
                <w:szCs w:val="18"/>
              </w:rPr>
              <w:t>50%</w:t>
            </w:r>
          </w:p>
        </w:tc>
        <w:tc>
          <w:tcPr>
            <w:tcW w:w="1016" w:type="dxa"/>
            <w:vAlign w:val="center"/>
          </w:tcPr>
          <w:p w14:paraId="41CAEDDC" w14:textId="74593F1F" w:rsidR="00CE5D17" w:rsidRPr="008E75CA" w:rsidRDefault="00CE5D17" w:rsidP="00C00C1E">
            <w:pPr>
              <w:spacing w:before="0"/>
              <w:jc w:val="center"/>
              <w:rPr>
                <w:rFonts w:asciiTheme="majorHAnsi" w:hAnsiTheme="majorHAnsi" w:cstheme="majorHAnsi"/>
                <w:szCs w:val="18"/>
              </w:rPr>
            </w:pPr>
          </w:p>
        </w:tc>
        <w:tc>
          <w:tcPr>
            <w:tcW w:w="1016" w:type="dxa"/>
            <w:vAlign w:val="center"/>
          </w:tcPr>
          <w:p w14:paraId="2B12308D" w14:textId="4E83E46D" w:rsidR="00CE5D17" w:rsidRPr="008E75CA" w:rsidRDefault="00CE5D17" w:rsidP="00C00C1E">
            <w:pPr>
              <w:spacing w:before="0"/>
              <w:jc w:val="center"/>
              <w:rPr>
                <w:rFonts w:asciiTheme="majorHAnsi" w:hAnsiTheme="majorHAnsi" w:cstheme="majorHAnsi"/>
                <w:szCs w:val="18"/>
              </w:rPr>
            </w:pPr>
          </w:p>
        </w:tc>
        <w:tc>
          <w:tcPr>
            <w:tcW w:w="1016" w:type="dxa"/>
            <w:vAlign w:val="center"/>
          </w:tcPr>
          <w:p w14:paraId="52F42E15" w14:textId="7D996D2F" w:rsidR="00CE5D17" w:rsidRPr="008E75CA" w:rsidRDefault="00CE5D17" w:rsidP="00C00C1E">
            <w:pPr>
              <w:spacing w:before="0"/>
              <w:jc w:val="center"/>
              <w:rPr>
                <w:rFonts w:asciiTheme="majorHAnsi" w:hAnsiTheme="majorHAnsi" w:cstheme="majorHAnsi"/>
                <w:szCs w:val="18"/>
              </w:rPr>
            </w:pPr>
            <w:r w:rsidRPr="008E75CA">
              <w:rPr>
                <w:rFonts w:asciiTheme="majorHAnsi" w:hAnsiTheme="majorHAnsi" w:cstheme="majorHAnsi"/>
                <w:b/>
                <w:bCs/>
                <w:szCs w:val="18"/>
              </w:rPr>
              <w:t>-1.</w:t>
            </w:r>
            <w:r w:rsidR="009C3387">
              <w:rPr>
                <w:rFonts w:asciiTheme="majorHAnsi" w:hAnsiTheme="majorHAnsi" w:cstheme="majorHAnsi"/>
                <w:b/>
                <w:bCs/>
                <w:szCs w:val="18"/>
              </w:rPr>
              <w:t>2</w:t>
            </w:r>
            <w:r>
              <w:rPr>
                <w:rFonts w:asciiTheme="majorHAnsi" w:hAnsiTheme="majorHAnsi" w:cstheme="majorHAnsi"/>
                <w:b/>
                <w:bCs/>
                <w:szCs w:val="18"/>
              </w:rPr>
              <w:t>5</w:t>
            </w:r>
          </w:p>
        </w:tc>
        <w:tc>
          <w:tcPr>
            <w:tcW w:w="1016" w:type="dxa"/>
            <w:vAlign w:val="center"/>
          </w:tcPr>
          <w:p w14:paraId="2DA8987B" w14:textId="01FE9FB6" w:rsidR="00CE5D17" w:rsidRPr="008E75CA" w:rsidRDefault="00CE5D17" w:rsidP="00C00C1E">
            <w:pPr>
              <w:spacing w:before="0"/>
              <w:jc w:val="center"/>
              <w:rPr>
                <w:rFonts w:asciiTheme="majorHAnsi" w:hAnsiTheme="majorHAnsi" w:cstheme="majorHAnsi"/>
                <w:szCs w:val="18"/>
              </w:rPr>
            </w:pPr>
            <w:r w:rsidRPr="008E75CA">
              <w:rPr>
                <w:rFonts w:asciiTheme="majorHAnsi" w:hAnsiTheme="majorHAnsi" w:cstheme="majorHAnsi"/>
                <w:b/>
                <w:bCs/>
                <w:szCs w:val="18"/>
              </w:rPr>
              <w:t>-1.5</w:t>
            </w:r>
            <w:r>
              <w:rPr>
                <w:rFonts w:asciiTheme="majorHAnsi" w:hAnsiTheme="majorHAnsi" w:cstheme="majorHAnsi"/>
                <w:b/>
                <w:bCs/>
                <w:szCs w:val="18"/>
              </w:rPr>
              <w:t>0</w:t>
            </w:r>
          </w:p>
        </w:tc>
      </w:tr>
      <w:tr w:rsidR="00CE5D17" w:rsidRPr="00383811" w14:paraId="3C07575F" w14:textId="0E847EE8" w:rsidTr="009758F9">
        <w:trPr>
          <w:trHeight w:val="358"/>
        </w:trPr>
        <w:tc>
          <w:tcPr>
            <w:tcW w:w="3828" w:type="dxa"/>
            <w:vAlign w:val="center"/>
          </w:tcPr>
          <w:p w14:paraId="343F4283" w14:textId="6B6AE1FF" w:rsidR="00CE5D17" w:rsidRPr="008E75CA" w:rsidRDefault="00CE5D17" w:rsidP="00C00C1E">
            <w:pPr>
              <w:spacing w:before="0"/>
              <w:rPr>
                <w:rFonts w:asciiTheme="majorHAnsi" w:hAnsiTheme="majorHAnsi" w:cstheme="majorHAnsi"/>
                <w:szCs w:val="18"/>
              </w:rPr>
            </w:pPr>
            <w:r w:rsidRPr="008E75CA">
              <w:rPr>
                <w:rFonts w:asciiTheme="majorHAnsi" w:hAnsiTheme="majorHAnsi" w:cstheme="majorHAnsi"/>
                <w:b/>
                <w:bCs/>
                <w:szCs w:val="18"/>
              </w:rPr>
              <w:t>Total weighted score</w:t>
            </w:r>
          </w:p>
        </w:tc>
        <w:tc>
          <w:tcPr>
            <w:tcW w:w="1134" w:type="dxa"/>
            <w:vAlign w:val="center"/>
          </w:tcPr>
          <w:p w14:paraId="79E75DD3" w14:textId="16CC1228" w:rsidR="00CE5D17" w:rsidRPr="008E75CA" w:rsidRDefault="00CE5D17" w:rsidP="00C00C1E">
            <w:pPr>
              <w:spacing w:before="0"/>
              <w:jc w:val="center"/>
              <w:rPr>
                <w:rFonts w:asciiTheme="majorHAnsi" w:hAnsiTheme="majorHAnsi" w:cstheme="majorHAnsi"/>
                <w:szCs w:val="18"/>
              </w:rPr>
            </w:pPr>
          </w:p>
        </w:tc>
        <w:tc>
          <w:tcPr>
            <w:tcW w:w="1016" w:type="dxa"/>
          </w:tcPr>
          <w:p w14:paraId="5FCB145B" w14:textId="3DC31819" w:rsidR="00CE5D17" w:rsidRPr="008E75CA" w:rsidRDefault="00CE5D17" w:rsidP="00C00C1E">
            <w:pPr>
              <w:spacing w:before="0"/>
              <w:jc w:val="center"/>
              <w:rPr>
                <w:rFonts w:asciiTheme="majorHAnsi" w:hAnsiTheme="majorHAnsi" w:cstheme="majorHAnsi"/>
                <w:szCs w:val="18"/>
              </w:rPr>
            </w:pPr>
          </w:p>
        </w:tc>
        <w:tc>
          <w:tcPr>
            <w:tcW w:w="1016" w:type="dxa"/>
          </w:tcPr>
          <w:p w14:paraId="6FD8D140" w14:textId="397C58E9" w:rsidR="00CE5D17" w:rsidRPr="008E75CA" w:rsidRDefault="00CE5D17" w:rsidP="00C00C1E">
            <w:pPr>
              <w:spacing w:before="0"/>
              <w:jc w:val="center"/>
              <w:rPr>
                <w:rFonts w:asciiTheme="majorHAnsi" w:hAnsiTheme="majorHAnsi" w:cstheme="majorHAnsi"/>
                <w:szCs w:val="18"/>
              </w:rPr>
            </w:pPr>
          </w:p>
        </w:tc>
        <w:tc>
          <w:tcPr>
            <w:tcW w:w="1016" w:type="dxa"/>
            <w:vAlign w:val="center"/>
          </w:tcPr>
          <w:p w14:paraId="6A8C8186" w14:textId="2041B181" w:rsidR="00CE5D17" w:rsidRPr="008E75CA" w:rsidRDefault="00CE5D17" w:rsidP="00C00C1E">
            <w:pPr>
              <w:spacing w:before="0"/>
              <w:jc w:val="center"/>
              <w:rPr>
                <w:rFonts w:asciiTheme="majorHAnsi" w:hAnsiTheme="majorHAnsi" w:cstheme="majorHAnsi"/>
                <w:szCs w:val="18"/>
              </w:rPr>
            </w:pPr>
            <w:r w:rsidRPr="008E75CA">
              <w:rPr>
                <w:rFonts w:asciiTheme="majorHAnsi" w:hAnsiTheme="majorHAnsi" w:cstheme="majorHAnsi"/>
                <w:b/>
                <w:bCs/>
                <w:szCs w:val="18"/>
              </w:rPr>
              <w:t>0.</w:t>
            </w:r>
            <w:r w:rsidR="00CD0678">
              <w:rPr>
                <w:rFonts w:asciiTheme="majorHAnsi" w:hAnsiTheme="majorHAnsi" w:cstheme="majorHAnsi"/>
                <w:b/>
                <w:bCs/>
                <w:szCs w:val="18"/>
              </w:rPr>
              <w:t>7</w:t>
            </w:r>
            <w:r>
              <w:rPr>
                <w:rFonts w:asciiTheme="majorHAnsi" w:hAnsiTheme="majorHAnsi" w:cstheme="majorHAnsi"/>
                <w:b/>
                <w:bCs/>
                <w:szCs w:val="18"/>
              </w:rPr>
              <w:t>5</w:t>
            </w:r>
          </w:p>
        </w:tc>
        <w:tc>
          <w:tcPr>
            <w:tcW w:w="1016" w:type="dxa"/>
            <w:vAlign w:val="center"/>
          </w:tcPr>
          <w:p w14:paraId="0C055031" w14:textId="1E60B768" w:rsidR="00CE5D17" w:rsidRPr="008E75CA" w:rsidRDefault="00CE5D17" w:rsidP="00C00C1E">
            <w:pPr>
              <w:spacing w:before="0"/>
              <w:jc w:val="center"/>
              <w:rPr>
                <w:rFonts w:asciiTheme="majorHAnsi" w:hAnsiTheme="majorHAnsi" w:cstheme="majorHAnsi"/>
                <w:szCs w:val="18"/>
              </w:rPr>
            </w:pPr>
            <w:r>
              <w:rPr>
                <w:rFonts w:asciiTheme="majorHAnsi" w:hAnsiTheme="majorHAnsi" w:cstheme="majorHAnsi"/>
                <w:b/>
                <w:bCs/>
                <w:szCs w:val="18"/>
              </w:rPr>
              <w:t>1.25</w:t>
            </w:r>
          </w:p>
        </w:tc>
      </w:tr>
    </w:tbl>
    <w:p w14:paraId="1D38D348" w14:textId="280E3F29" w:rsidR="00CE5D17" w:rsidRDefault="00CE5D17"/>
    <w:tbl>
      <w:tblPr>
        <w:tblStyle w:val="TableGrid"/>
        <w:tblW w:w="9026"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ayout w:type="fixed"/>
        <w:tblCellMar>
          <w:top w:w="28" w:type="dxa"/>
          <w:bottom w:w="28" w:type="dxa"/>
        </w:tblCellMar>
        <w:tblLook w:val="04A0" w:firstRow="1" w:lastRow="0" w:firstColumn="1" w:lastColumn="0" w:noHBand="0" w:noVBand="1"/>
      </w:tblPr>
      <w:tblGrid>
        <w:gridCol w:w="3828"/>
        <w:gridCol w:w="1134"/>
        <w:gridCol w:w="1016"/>
        <w:gridCol w:w="1016"/>
        <w:gridCol w:w="1016"/>
        <w:gridCol w:w="1016"/>
      </w:tblGrid>
      <w:tr w:rsidR="00CE5D17" w:rsidRPr="00383811" w14:paraId="18A3229D" w14:textId="77777777" w:rsidTr="009758F9">
        <w:trPr>
          <w:trHeight w:val="283"/>
          <w:tblHeader/>
        </w:trPr>
        <w:tc>
          <w:tcPr>
            <w:tcW w:w="3828" w:type="dxa"/>
            <w:vMerge w:val="restart"/>
            <w:shd w:val="clear" w:color="auto" w:fill="1B0B38"/>
            <w:vAlign w:val="center"/>
          </w:tcPr>
          <w:p w14:paraId="44473595" w14:textId="77777777" w:rsidR="00CE5D17" w:rsidRPr="008E75CA" w:rsidRDefault="00CE5D17" w:rsidP="00467BD3">
            <w:pPr>
              <w:spacing w:before="0"/>
              <w:rPr>
                <w:rStyle w:val="Strong"/>
                <w:rFonts w:asciiTheme="majorHAnsi" w:hAnsiTheme="majorHAnsi" w:cstheme="majorHAnsi"/>
                <w:color w:val="FFFFFF" w:themeColor="background1"/>
                <w:szCs w:val="18"/>
              </w:rPr>
            </w:pPr>
            <w:r w:rsidRPr="008E75CA">
              <w:rPr>
                <w:rStyle w:val="Strong"/>
                <w:rFonts w:asciiTheme="majorHAnsi" w:hAnsiTheme="majorHAnsi" w:cstheme="majorHAnsi"/>
                <w:color w:val="FFFFFF" w:themeColor="background1"/>
                <w:szCs w:val="18"/>
              </w:rPr>
              <w:t>Criteria</w:t>
            </w:r>
          </w:p>
        </w:tc>
        <w:tc>
          <w:tcPr>
            <w:tcW w:w="1134" w:type="dxa"/>
            <w:vMerge w:val="restart"/>
            <w:shd w:val="clear" w:color="auto" w:fill="1B0B38"/>
            <w:vAlign w:val="center"/>
          </w:tcPr>
          <w:p w14:paraId="7ADF5BDC" w14:textId="77777777" w:rsidR="00CE5D17" w:rsidRPr="008E75CA" w:rsidRDefault="00CE5D17" w:rsidP="00467BD3">
            <w:pPr>
              <w:spacing w:before="0"/>
              <w:jc w:val="center"/>
              <w:rPr>
                <w:rStyle w:val="Strong"/>
                <w:rFonts w:asciiTheme="majorHAnsi" w:hAnsiTheme="majorHAnsi" w:cstheme="majorHAnsi"/>
                <w:color w:val="FFFFFF" w:themeColor="background1"/>
                <w:szCs w:val="18"/>
              </w:rPr>
            </w:pPr>
            <w:r w:rsidRPr="008E75CA">
              <w:rPr>
                <w:rStyle w:val="Strong"/>
                <w:rFonts w:asciiTheme="majorHAnsi" w:hAnsiTheme="majorHAnsi" w:cstheme="majorHAnsi"/>
                <w:color w:val="FFFFFF" w:themeColor="background1"/>
                <w:szCs w:val="18"/>
              </w:rPr>
              <w:t>Weighting</w:t>
            </w:r>
          </w:p>
        </w:tc>
        <w:tc>
          <w:tcPr>
            <w:tcW w:w="2032" w:type="dxa"/>
            <w:gridSpan w:val="2"/>
            <w:shd w:val="clear" w:color="auto" w:fill="1B0B38"/>
            <w:vAlign w:val="center"/>
          </w:tcPr>
          <w:p w14:paraId="65D3F2BE" w14:textId="77777777" w:rsidR="00CE5D17" w:rsidRPr="008E75CA" w:rsidRDefault="00CE5D17" w:rsidP="00467BD3">
            <w:pPr>
              <w:spacing w:before="0"/>
              <w:jc w:val="center"/>
              <w:rPr>
                <w:rStyle w:val="Strong"/>
                <w:rFonts w:asciiTheme="majorHAnsi" w:hAnsiTheme="majorHAnsi" w:cstheme="majorHAnsi"/>
                <w:color w:val="FFFFFF" w:themeColor="background1"/>
                <w:szCs w:val="18"/>
              </w:rPr>
            </w:pPr>
            <w:r>
              <w:rPr>
                <w:rStyle w:val="Strong"/>
                <w:rFonts w:asciiTheme="majorHAnsi" w:hAnsiTheme="majorHAnsi" w:cstheme="majorHAnsi"/>
                <w:color w:val="FFFFFF" w:themeColor="background1"/>
                <w:szCs w:val="18"/>
              </w:rPr>
              <w:t>Unweighted Scores</w:t>
            </w:r>
          </w:p>
        </w:tc>
        <w:tc>
          <w:tcPr>
            <w:tcW w:w="2032" w:type="dxa"/>
            <w:gridSpan w:val="2"/>
            <w:shd w:val="clear" w:color="auto" w:fill="1B0B38"/>
            <w:vAlign w:val="center"/>
          </w:tcPr>
          <w:p w14:paraId="0F144B8D" w14:textId="77777777" w:rsidR="00CE5D17" w:rsidRPr="008E75CA" w:rsidRDefault="00CE5D17" w:rsidP="00467BD3">
            <w:pPr>
              <w:spacing w:before="0"/>
              <w:jc w:val="center"/>
              <w:rPr>
                <w:rStyle w:val="Strong"/>
                <w:rFonts w:asciiTheme="majorHAnsi" w:hAnsiTheme="majorHAnsi" w:cstheme="majorHAnsi"/>
                <w:color w:val="FFFFFF" w:themeColor="background1"/>
                <w:szCs w:val="18"/>
              </w:rPr>
            </w:pPr>
            <w:r w:rsidRPr="008E75CA">
              <w:rPr>
                <w:rStyle w:val="Strong"/>
                <w:rFonts w:asciiTheme="majorHAnsi" w:hAnsiTheme="majorHAnsi" w:cstheme="majorHAnsi"/>
                <w:color w:val="FFFFFF" w:themeColor="background1"/>
                <w:szCs w:val="18"/>
              </w:rPr>
              <w:t>Weighted Scores</w:t>
            </w:r>
          </w:p>
        </w:tc>
      </w:tr>
      <w:tr w:rsidR="00CE5D17" w:rsidRPr="00383811" w14:paraId="1360C3FE" w14:textId="77777777" w:rsidTr="009758F9">
        <w:trPr>
          <w:trHeight w:val="283"/>
          <w:tblHeader/>
        </w:trPr>
        <w:tc>
          <w:tcPr>
            <w:tcW w:w="3828" w:type="dxa"/>
            <w:vMerge/>
            <w:shd w:val="clear" w:color="auto" w:fill="1B0B38"/>
            <w:vAlign w:val="center"/>
          </w:tcPr>
          <w:p w14:paraId="457391F7" w14:textId="77777777" w:rsidR="00CE5D17" w:rsidRPr="008E75CA" w:rsidRDefault="00CE5D17" w:rsidP="00467BD3">
            <w:pPr>
              <w:spacing w:before="0"/>
              <w:rPr>
                <w:rStyle w:val="Strong"/>
                <w:rFonts w:asciiTheme="majorHAnsi" w:hAnsiTheme="majorHAnsi" w:cstheme="majorHAnsi"/>
                <w:color w:val="FFFFFF" w:themeColor="background1"/>
                <w:szCs w:val="18"/>
              </w:rPr>
            </w:pPr>
          </w:p>
        </w:tc>
        <w:tc>
          <w:tcPr>
            <w:tcW w:w="1134" w:type="dxa"/>
            <w:vMerge/>
            <w:shd w:val="clear" w:color="auto" w:fill="1B0B38"/>
            <w:vAlign w:val="center"/>
          </w:tcPr>
          <w:p w14:paraId="7DB37BA8" w14:textId="77777777" w:rsidR="00CE5D17" w:rsidRPr="008E75CA" w:rsidRDefault="00CE5D17" w:rsidP="00467BD3">
            <w:pPr>
              <w:spacing w:before="0"/>
              <w:jc w:val="center"/>
              <w:rPr>
                <w:rStyle w:val="Strong"/>
                <w:rFonts w:asciiTheme="majorHAnsi" w:hAnsiTheme="majorHAnsi" w:cstheme="majorHAnsi"/>
                <w:color w:val="FFFFFF" w:themeColor="background1"/>
                <w:szCs w:val="18"/>
              </w:rPr>
            </w:pPr>
          </w:p>
        </w:tc>
        <w:tc>
          <w:tcPr>
            <w:tcW w:w="1016" w:type="dxa"/>
            <w:shd w:val="clear" w:color="auto" w:fill="1B0B38"/>
            <w:vAlign w:val="center"/>
          </w:tcPr>
          <w:p w14:paraId="699BCE72" w14:textId="77777777" w:rsidR="00CE5D17" w:rsidRPr="00F24E65" w:rsidRDefault="00CE5D17" w:rsidP="00467BD3">
            <w:pPr>
              <w:spacing w:before="0"/>
              <w:jc w:val="center"/>
              <w:rPr>
                <w:rStyle w:val="Strong"/>
                <w:rFonts w:asciiTheme="majorHAnsi" w:hAnsiTheme="majorHAnsi" w:cstheme="majorHAnsi"/>
                <w:color w:val="FFFFFF" w:themeColor="background1"/>
                <w:szCs w:val="18"/>
              </w:rPr>
            </w:pPr>
            <w:r w:rsidRPr="00F24E65">
              <w:rPr>
                <w:rStyle w:val="Strong"/>
                <w:color w:val="FFFFFF" w:themeColor="background1"/>
              </w:rPr>
              <w:t>Option 1</w:t>
            </w:r>
          </w:p>
        </w:tc>
        <w:tc>
          <w:tcPr>
            <w:tcW w:w="1016" w:type="dxa"/>
            <w:shd w:val="clear" w:color="auto" w:fill="1B0B38"/>
            <w:vAlign w:val="center"/>
          </w:tcPr>
          <w:p w14:paraId="194BD358" w14:textId="77777777" w:rsidR="00CE5D17" w:rsidRPr="00F24E65" w:rsidRDefault="00CE5D17" w:rsidP="00467BD3">
            <w:pPr>
              <w:spacing w:before="0"/>
              <w:jc w:val="center"/>
              <w:rPr>
                <w:rStyle w:val="Strong"/>
                <w:rFonts w:asciiTheme="majorHAnsi" w:hAnsiTheme="majorHAnsi" w:cstheme="majorHAnsi"/>
                <w:color w:val="FFFFFF" w:themeColor="background1"/>
                <w:szCs w:val="18"/>
              </w:rPr>
            </w:pPr>
            <w:r w:rsidRPr="00F24E65">
              <w:rPr>
                <w:rStyle w:val="Strong"/>
                <w:color w:val="FFFFFF" w:themeColor="background1"/>
              </w:rPr>
              <w:t>Option 2</w:t>
            </w:r>
          </w:p>
        </w:tc>
        <w:tc>
          <w:tcPr>
            <w:tcW w:w="1016" w:type="dxa"/>
            <w:shd w:val="clear" w:color="auto" w:fill="1B0B38"/>
            <w:vAlign w:val="center"/>
          </w:tcPr>
          <w:p w14:paraId="0CF787FA" w14:textId="77777777" w:rsidR="00CE5D17" w:rsidRPr="00F24E65" w:rsidRDefault="00CE5D17" w:rsidP="00467BD3">
            <w:pPr>
              <w:spacing w:before="0"/>
              <w:jc w:val="center"/>
              <w:rPr>
                <w:rStyle w:val="Strong"/>
                <w:rFonts w:asciiTheme="majorHAnsi" w:hAnsiTheme="majorHAnsi" w:cstheme="majorHAnsi"/>
                <w:color w:val="FFFFFF" w:themeColor="background1"/>
                <w:szCs w:val="18"/>
              </w:rPr>
            </w:pPr>
            <w:r w:rsidRPr="00F24E65">
              <w:rPr>
                <w:rStyle w:val="Strong"/>
                <w:color w:val="FFFFFF" w:themeColor="background1"/>
              </w:rPr>
              <w:t>Option 1</w:t>
            </w:r>
          </w:p>
        </w:tc>
        <w:tc>
          <w:tcPr>
            <w:tcW w:w="1016" w:type="dxa"/>
            <w:shd w:val="clear" w:color="auto" w:fill="1B0B38"/>
            <w:vAlign w:val="center"/>
          </w:tcPr>
          <w:p w14:paraId="0F282D5B" w14:textId="77777777" w:rsidR="00CE5D17" w:rsidRPr="00F24E65" w:rsidRDefault="00CE5D17" w:rsidP="00467BD3">
            <w:pPr>
              <w:spacing w:before="0"/>
              <w:jc w:val="center"/>
              <w:rPr>
                <w:rStyle w:val="Strong"/>
                <w:rFonts w:asciiTheme="majorHAnsi" w:hAnsiTheme="majorHAnsi" w:cstheme="majorHAnsi"/>
                <w:color w:val="FFFFFF" w:themeColor="background1"/>
                <w:szCs w:val="18"/>
              </w:rPr>
            </w:pPr>
            <w:r w:rsidRPr="00F24E65">
              <w:rPr>
                <w:rStyle w:val="Strong"/>
                <w:color w:val="FFFFFF" w:themeColor="background1"/>
              </w:rPr>
              <w:t>Option 2</w:t>
            </w:r>
          </w:p>
        </w:tc>
      </w:tr>
      <w:tr w:rsidR="00CE5D17" w:rsidRPr="00383811" w14:paraId="41A7D829" w14:textId="54C21245" w:rsidTr="009758F9">
        <w:trPr>
          <w:trHeight w:val="283"/>
        </w:trPr>
        <w:tc>
          <w:tcPr>
            <w:tcW w:w="3828" w:type="dxa"/>
            <w:tcBorders>
              <w:bottom w:val="single" w:sz="4" w:space="0" w:color="1B0B38"/>
            </w:tcBorders>
            <w:shd w:val="clear" w:color="auto" w:fill="D9D9D6" w:themeFill="background2"/>
            <w:vAlign w:val="center"/>
          </w:tcPr>
          <w:p w14:paraId="00AFAAC3" w14:textId="2424AFC0" w:rsidR="00CE5D17" w:rsidRPr="008E75CA" w:rsidRDefault="00CE5D17" w:rsidP="00135597">
            <w:pPr>
              <w:spacing w:before="0"/>
              <w:rPr>
                <w:rFonts w:asciiTheme="majorHAnsi" w:hAnsiTheme="majorHAnsi" w:cstheme="majorHAnsi"/>
                <w:b/>
                <w:bCs/>
                <w:szCs w:val="18"/>
              </w:rPr>
            </w:pPr>
            <w:r>
              <w:rPr>
                <w:rFonts w:asciiTheme="majorHAnsi" w:hAnsiTheme="majorHAnsi" w:cstheme="majorHAnsi"/>
                <w:b/>
                <w:bCs/>
                <w:szCs w:val="18"/>
              </w:rPr>
              <w:t>M</w:t>
            </w:r>
            <w:r w:rsidRPr="008E75CA">
              <w:rPr>
                <w:rFonts w:asciiTheme="majorHAnsi" w:hAnsiTheme="majorHAnsi" w:cstheme="majorHAnsi"/>
                <w:b/>
                <w:bCs/>
                <w:szCs w:val="18"/>
              </w:rPr>
              <w:t>ine land registration</w:t>
            </w:r>
          </w:p>
        </w:tc>
        <w:tc>
          <w:tcPr>
            <w:tcW w:w="1134" w:type="dxa"/>
            <w:tcBorders>
              <w:bottom w:val="single" w:sz="4" w:space="0" w:color="1B0B38"/>
            </w:tcBorders>
            <w:shd w:val="clear" w:color="auto" w:fill="D9D9D6" w:themeFill="background2"/>
            <w:vAlign w:val="center"/>
          </w:tcPr>
          <w:p w14:paraId="6E36A6BF" w14:textId="2E772674" w:rsidR="00CE5D17" w:rsidRPr="008E75CA" w:rsidRDefault="00CE5D17" w:rsidP="00C00C1E">
            <w:pPr>
              <w:spacing w:before="0"/>
              <w:jc w:val="center"/>
              <w:rPr>
                <w:rFonts w:asciiTheme="majorHAnsi" w:hAnsiTheme="majorHAnsi" w:cstheme="majorHAnsi"/>
                <w:b/>
                <w:bCs/>
                <w:szCs w:val="18"/>
              </w:rPr>
            </w:pPr>
          </w:p>
        </w:tc>
        <w:tc>
          <w:tcPr>
            <w:tcW w:w="1016" w:type="dxa"/>
            <w:tcBorders>
              <w:bottom w:val="single" w:sz="4" w:space="0" w:color="1B0B38"/>
            </w:tcBorders>
            <w:shd w:val="clear" w:color="auto" w:fill="D9D9D6" w:themeFill="background2"/>
            <w:vAlign w:val="center"/>
          </w:tcPr>
          <w:p w14:paraId="27D31654" w14:textId="013D609E" w:rsidR="00CE5D17" w:rsidRPr="00B30ABA" w:rsidRDefault="00CE5D17" w:rsidP="00C00C1E">
            <w:pPr>
              <w:spacing w:before="0"/>
              <w:jc w:val="center"/>
              <w:rPr>
                <w:rFonts w:asciiTheme="majorHAnsi" w:hAnsiTheme="majorHAnsi" w:cstheme="majorHAnsi"/>
                <w:szCs w:val="18"/>
              </w:rPr>
            </w:pPr>
          </w:p>
        </w:tc>
        <w:tc>
          <w:tcPr>
            <w:tcW w:w="1016" w:type="dxa"/>
            <w:tcBorders>
              <w:bottom w:val="single" w:sz="4" w:space="0" w:color="1B0B38"/>
            </w:tcBorders>
            <w:shd w:val="clear" w:color="auto" w:fill="D9D9D6" w:themeFill="background2"/>
            <w:vAlign w:val="center"/>
          </w:tcPr>
          <w:p w14:paraId="0FDBAEA7" w14:textId="2448359C" w:rsidR="00CE5D17" w:rsidRPr="00B30ABA" w:rsidRDefault="00CE5D17" w:rsidP="00C00C1E">
            <w:pPr>
              <w:spacing w:before="0"/>
              <w:jc w:val="center"/>
              <w:rPr>
                <w:rFonts w:asciiTheme="majorHAnsi" w:hAnsiTheme="majorHAnsi" w:cstheme="majorHAnsi"/>
                <w:szCs w:val="18"/>
              </w:rPr>
            </w:pPr>
          </w:p>
        </w:tc>
        <w:tc>
          <w:tcPr>
            <w:tcW w:w="1016" w:type="dxa"/>
            <w:tcBorders>
              <w:bottom w:val="single" w:sz="4" w:space="0" w:color="1B0B38"/>
            </w:tcBorders>
            <w:shd w:val="clear" w:color="auto" w:fill="D9D9D6" w:themeFill="background2"/>
            <w:vAlign w:val="center"/>
          </w:tcPr>
          <w:p w14:paraId="256F6E4F" w14:textId="3ADEBE25" w:rsidR="00CE5D17" w:rsidRPr="008E75CA" w:rsidRDefault="00CE5D17" w:rsidP="00C00C1E">
            <w:pPr>
              <w:spacing w:before="0"/>
              <w:jc w:val="center"/>
              <w:rPr>
                <w:rFonts w:asciiTheme="majorHAnsi" w:hAnsiTheme="majorHAnsi" w:cstheme="majorHAnsi"/>
                <w:b/>
                <w:bCs/>
                <w:szCs w:val="18"/>
              </w:rPr>
            </w:pPr>
          </w:p>
        </w:tc>
        <w:tc>
          <w:tcPr>
            <w:tcW w:w="1016" w:type="dxa"/>
            <w:tcBorders>
              <w:bottom w:val="single" w:sz="4" w:space="0" w:color="1B0B38"/>
            </w:tcBorders>
            <w:shd w:val="clear" w:color="auto" w:fill="D9D9D6" w:themeFill="background2"/>
            <w:vAlign w:val="center"/>
          </w:tcPr>
          <w:p w14:paraId="3443BD01" w14:textId="19971333" w:rsidR="00CE5D17" w:rsidRPr="008E75CA" w:rsidRDefault="00CE5D17" w:rsidP="00C00C1E">
            <w:pPr>
              <w:spacing w:before="0"/>
              <w:jc w:val="center"/>
              <w:rPr>
                <w:rFonts w:asciiTheme="majorHAnsi" w:hAnsiTheme="majorHAnsi" w:cstheme="majorHAnsi"/>
                <w:b/>
                <w:bCs/>
                <w:szCs w:val="18"/>
              </w:rPr>
            </w:pPr>
          </w:p>
        </w:tc>
      </w:tr>
      <w:tr w:rsidR="00CE5D17" w:rsidRPr="00383811" w14:paraId="3274B4EE" w14:textId="77777777" w:rsidTr="009758F9">
        <w:trPr>
          <w:trHeight w:val="283"/>
        </w:trPr>
        <w:tc>
          <w:tcPr>
            <w:tcW w:w="3828" w:type="dxa"/>
            <w:vAlign w:val="center"/>
          </w:tcPr>
          <w:p w14:paraId="566DDB84" w14:textId="53C857F4" w:rsidR="00CE5D17" w:rsidRPr="008E75CA" w:rsidRDefault="00CE5D17" w:rsidP="00C00C1E">
            <w:pPr>
              <w:spacing w:before="0"/>
              <w:rPr>
                <w:rFonts w:asciiTheme="majorHAnsi" w:hAnsiTheme="majorHAnsi" w:cstheme="majorHAnsi"/>
                <w:b/>
                <w:bCs/>
                <w:szCs w:val="18"/>
              </w:rPr>
            </w:pPr>
            <w:r w:rsidRPr="00375C75">
              <w:rPr>
                <w:rFonts w:asciiTheme="majorHAnsi" w:hAnsiTheme="majorHAnsi" w:cstheme="majorHAnsi"/>
                <w:b/>
                <w:bCs/>
                <w:szCs w:val="18"/>
              </w:rPr>
              <w:t>Benefit Criteria</w:t>
            </w:r>
          </w:p>
        </w:tc>
        <w:tc>
          <w:tcPr>
            <w:tcW w:w="1134" w:type="dxa"/>
            <w:vAlign w:val="center"/>
          </w:tcPr>
          <w:p w14:paraId="4F8B2FD1" w14:textId="77777777" w:rsidR="00CE5D17" w:rsidRPr="008E75CA" w:rsidRDefault="00CE5D17" w:rsidP="00C00C1E">
            <w:pPr>
              <w:spacing w:before="0"/>
              <w:jc w:val="center"/>
              <w:rPr>
                <w:rFonts w:asciiTheme="majorHAnsi" w:hAnsiTheme="majorHAnsi" w:cstheme="majorHAnsi"/>
                <w:b/>
                <w:bCs/>
                <w:szCs w:val="18"/>
              </w:rPr>
            </w:pPr>
          </w:p>
        </w:tc>
        <w:tc>
          <w:tcPr>
            <w:tcW w:w="1016" w:type="dxa"/>
          </w:tcPr>
          <w:p w14:paraId="0E0F890A" w14:textId="77777777" w:rsidR="00CE5D17" w:rsidRPr="00B30ABA" w:rsidRDefault="00CE5D17" w:rsidP="00C00C1E">
            <w:pPr>
              <w:spacing w:before="0"/>
              <w:jc w:val="center"/>
              <w:rPr>
                <w:rFonts w:asciiTheme="majorHAnsi" w:hAnsiTheme="majorHAnsi" w:cstheme="majorHAnsi"/>
                <w:szCs w:val="18"/>
              </w:rPr>
            </w:pPr>
          </w:p>
        </w:tc>
        <w:tc>
          <w:tcPr>
            <w:tcW w:w="1016" w:type="dxa"/>
          </w:tcPr>
          <w:p w14:paraId="49CA9EE7" w14:textId="77777777" w:rsidR="00CE5D17" w:rsidRPr="00B30ABA" w:rsidRDefault="00CE5D17" w:rsidP="00C00C1E">
            <w:pPr>
              <w:spacing w:before="0"/>
              <w:jc w:val="center"/>
              <w:rPr>
                <w:rFonts w:asciiTheme="majorHAnsi" w:hAnsiTheme="majorHAnsi" w:cstheme="majorHAnsi"/>
                <w:szCs w:val="18"/>
              </w:rPr>
            </w:pPr>
          </w:p>
        </w:tc>
        <w:tc>
          <w:tcPr>
            <w:tcW w:w="1016" w:type="dxa"/>
            <w:vAlign w:val="center"/>
          </w:tcPr>
          <w:p w14:paraId="29B64F1A" w14:textId="2E669224" w:rsidR="00CE5D17" w:rsidRPr="008E75CA" w:rsidRDefault="00CE5D17" w:rsidP="00C00C1E">
            <w:pPr>
              <w:spacing w:before="0"/>
              <w:jc w:val="center"/>
              <w:rPr>
                <w:rFonts w:asciiTheme="majorHAnsi" w:hAnsiTheme="majorHAnsi" w:cstheme="majorHAnsi"/>
                <w:b/>
                <w:bCs/>
                <w:szCs w:val="18"/>
              </w:rPr>
            </w:pPr>
          </w:p>
        </w:tc>
        <w:tc>
          <w:tcPr>
            <w:tcW w:w="1016" w:type="dxa"/>
            <w:vAlign w:val="center"/>
          </w:tcPr>
          <w:p w14:paraId="52055AAE" w14:textId="3CB8ECA5" w:rsidR="00CE5D17" w:rsidRPr="008E75CA" w:rsidRDefault="00CE5D17" w:rsidP="00C00C1E">
            <w:pPr>
              <w:spacing w:before="0"/>
              <w:jc w:val="center"/>
              <w:rPr>
                <w:rFonts w:asciiTheme="majorHAnsi" w:hAnsiTheme="majorHAnsi" w:cstheme="majorHAnsi"/>
                <w:b/>
                <w:bCs/>
                <w:szCs w:val="18"/>
              </w:rPr>
            </w:pPr>
          </w:p>
        </w:tc>
      </w:tr>
      <w:tr w:rsidR="00C05DB0" w:rsidRPr="00383811" w14:paraId="4CE85A9C" w14:textId="0F15E7D0" w:rsidTr="009758F9">
        <w:trPr>
          <w:trHeight w:val="283"/>
        </w:trPr>
        <w:tc>
          <w:tcPr>
            <w:tcW w:w="3828" w:type="dxa"/>
            <w:vAlign w:val="center"/>
          </w:tcPr>
          <w:p w14:paraId="5F1C7C20" w14:textId="54FEE715" w:rsidR="00CE5D17" w:rsidRPr="008E75CA" w:rsidRDefault="00CE5D17" w:rsidP="00C00C1E">
            <w:pPr>
              <w:spacing w:before="0"/>
              <w:rPr>
                <w:rFonts w:asciiTheme="majorHAnsi" w:hAnsiTheme="majorHAnsi" w:cstheme="majorHAnsi"/>
                <w:szCs w:val="18"/>
              </w:rPr>
            </w:pPr>
            <w:r w:rsidRPr="008E75CA">
              <w:rPr>
                <w:rFonts w:asciiTheme="majorHAnsi" w:hAnsiTheme="majorHAnsi" w:cstheme="majorHAnsi"/>
                <w:szCs w:val="18"/>
              </w:rPr>
              <w:t xml:space="preserve">Obtain and record relevant information about declared mine sites, risks and necessary post-closure management to support informed government, stakeholder and community decision-making. </w:t>
            </w:r>
          </w:p>
        </w:tc>
        <w:tc>
          <w:tcPr>
            <w:tcW w:w="1134" w:type="dxa"/>
            <w:vAlign w:val="center"/>
          </w:tcPr>
          <w:p w14:paraId="62D2D2A8" w14:textId="7154E89C" w:rsidR="00CE5D17" w:rsidRPr="008E75CA" w:rsidRDefault="00CE5D17" w:rsidP="00C00C1E">
            <w:pPr>
              <w:spacing w:before="0"/>
              <w:jc w:val="center"/>
              <w:rPr>
                <w:rFonts w:asciiTheme="majorHAnsi" w:hAnsiTheme="majorHAnsi" w:cstheme="majorHAnsi"/>
                <w:b/>
                <w:bCs/>
                <w:szCs w:val="18"/>
              </w:rPr>
            </w:pPr>
            <w:r w:rsidRPr="008E75CA">
              <w:rPr>
                <w:rFonts w:asciiTheme="majorHAnsi" w:hAnsiTheme="majorHAnsi" w:cstheme="majorHAnsi"/>
                <w:szCs w:val="18"/>
              </w:rPr>
              <w:t>25%</w:t>
            </w:r>
          </w:p>
        </w:tc>
        <w:tc>
          <w:tcPr>
            <w:tcW w:w="1016" w:type="dxa"/>
            <w:vAlign w:val="center"/>
          </w:tcPr>
          <w:p w14:paraId="44D0B42A" w14:textId="1BF5F0ED" w:rsidR="00CE5D17" w:rsidRPr="008E75CA" w:rsidRDefault="00CE5D17" w:rsidP="00C00C1E">
            <w:pPr>
              <w:spacing w:before="0"/>
              <w:jc w:val="center"/>
              <w:rPr>
                <w:rFonts w:asciiTheme="majorHAnsi" w:hAnsiTheme="majorHAnsi" w:cstheme="majorHAnsi"/>
                <w:b/>
                <w:bCs/>
                <w:szCs w:val="18"/>
              </w:rPr>
            </w:pPr>
            <w:r>
              <w:rPr>
                <w:rFonts w:asciiTheme="majorHAnsi" w:hAnsiTheme="majorHAnsi" w:cstheme="majorHAnsi"/>
                <w:szCs w:val="18"/>
              </w:rPr>
              <w:t>1</w:t>
            </w:r>
          </w:p>
        </w:tc>
        <w:tc>
          <w:tcPr>
            <w:tcW w:w="1016" w:type="dxa"/>
            <w:vAlign w:val="center"/>
          </w:tcPr>
          <w:p w14:paraId="1CCE255F" w14:textId="45287343" w:rsidR="00CE5D17" w:rsidRPr="008E75CA" w:rsidRDefault="00CE5D17" w:rsidP="00C00C1E">
            <w:pPr>
              <w:spacing w:before="0"/>
              <w:jc w:val="center"/>
              <w:rPr>
                <w:rFonts w:asciiTheme="majorHAnsi" w:hAnsiTheme="majorHAnsi" w:cstheme="majorHAnsi"/>
                <w:b/>
                <w:bCs/>
                <w:szCs w:val="18"/>
              </w:rPr>
            </w:pPr>
            <w:r w:rsidRPr="00B30ABA">
              <w:rPr>
                <w:rFonts w:asciiTheme="majorHAnsi" w:hAnsiTheme="majorHAnsi" w:cstheme="majorHAnsi"/>
                <w:szCs w:val="18"/>
              </w:rPr>
              <w:t>7</w:t>
            </w:r>
          </w:p>
        </w:tc>
        <w:tc>
          <w:tcPr>
            <w:tcW w:w="1016" w:type="dxa"/>
            <w:vAlign w:val="center"/>
          </w:tcPr>
          <w:p w14:paraId="5CB97F39" w14:textId="616CADF8" w:rsidR="00CE5D17" w:rsidRPr="008E75CA" w:rsidRDefault="00CE5D17" w:rsidP="00C00C1E">
            <w:pPr>
              <w:spacing w:before="0"/>
              <w:jc w:val="center"/>
              <w:rPr>
                <w:rFonts w:asciiTheme="majorHAnsi" w:hAnsiTheme="majorHAnsi" w:cstheme="majorHAnsi"/>
                <w:b/>
                <w:bCs/>
                <w:szCs w:val="18"/>
              </w:rPr>
            </w:pPr>
            <w:r w:rsidRPr="008E75CA">
              <w:rPr>
                <w:rFonts w:asciiTheme="majorHAnsi" w:hAnsiTheme="majorHAnsi" w:cstheme="majorHAnsi"/>
                <w:szCs w:val="18"/>
              </w:rPr>
              <w:t>0.</w:t>
            </w:r>
            <w:r>
              <w:rPr>
                <w:rFonts w:asciiTheme="majorHAnsi" w:hAnsiTheme="majorHAnsi" w:cstheme="majorHAnsi"/>
                <w:szCs w:val="18"/>
              </w:rPr>
              <w:t>25</w:t>
            </w:r>
          </w:p>
        </w:tc>
        <w:tc>
          <w:tcPr>
            <w:tcW w:w="1016" w:type="dxa"/>
            <w:vAlign w:val="center"/>
          </w:tcPr>
          <w:p w14:paraId="566ACC6F" w14:textId="36A9852F" w:rsidR="00CE5D17" w:rsidRPr="008E75CA" w:rsidRDefault="00CE5D17" w:rsidP="00C00C1E">
            <w:pPr>
              <w:spacing w:before="0"/>
              <w:jc w:val="center"/>
              <w:rPr>
                <w:rFonts w:asciiTheme="majorHAnsi" w:hAnsiTheme="majorHAnsi" w:cstheme="majorHAnsi"/>
                <w:b/>
                <w:bCs/>
                <w:szCs w:val="18"/>
              </w:rPr>
            </w:pPr>
            <w:r w:rsidRPr="008E75CA">
              <w:rPr>
                <w:rFonts w:asciiTheme="majorHAnsi" w:hAnsiTheme="majorHAnsi" w:cstheme="majorHAnsi"/>
                <w:szCs w:val="18"/>
              </w:rPr>
              <w:t>1.75</w:t>
            </w:r>
          </w:p>
        </w:tc>
      </w:tr>
      <w:tr w:rsidR="00CE5D17" w:rsidRPr="00383811" w14:paraId="77C792D2" w14:textId="77777777" w:rsidTr="009758F9">
        <w:trPr>
          <w:trHeight w:val="283"/>
        </w:trPr>
        <w:tc>
          <w:tcPr>
            <w:tcW w:w="3828" w:type="dxa"/>
            <w:vAlign w:val="center"/>
          </w:tcPr>
          <w:p w14:paraId="3ABE5925" w14:textId="51F3FE19" w:rsidR="00CE5D17" w:rsidRPr="008E75CA" w:rsidRDefault="00CE5D17" w:rsidP="00C00C1E">
            <w:pPr>
              <w:spacing w:before="0"/>
              <w:rPr>
                <w:rFonts w:asciiTheme="majorHAnsi" w:hAnsiTheme="majorHAnsi" w:cstheme="majorHAnsi"/>
                <w:szCs w:val="18"/>
              </w:rPr>
            </w:pPr>
            <w:r w:rsidRPr="008E75CA">
              <w:rPr>
                <w:rFonts w:asciiTheme="majorHAnsi" w:hAnsiTheme="majorHAnsi" w:cstheme="majorHAnsi"/>
                <w:szCs w:val="18"/>
              </w:rPr>
              <w:t>Support the fair and accurate determination of fund contribution amounts sufficient to fund ongoing and post-closure declared mine rehabilitation activities and achieve overall regulatory objectives.</w:t>
            </w:r>
          </w:p>
        </w:tc>
        <w:tc>
          <w:tcPr>
            <w:tcW w:w="1134" w:type="dxa"/>
            <w:vAlign w:val="center"/>
          </w:tcPr>
          <w:p w14:paraId="336EAFDE" w14:textId="3401D2DE" w:rsidR="00CE5D17" w:rsidRPr="008E75CA" w:rsidRDefault="00CE5D17" w:rsidP="00C00C1E">
            <w:pPr>
              <w:spacing w:before="0"/>
              <w:jc w:val="center"/>
              <w:rPr>
                <w:rFonts w:asciiTheme="majorHAnsi" w:hAnsiTheme="majorHAnsi" w:cstheme="majorHAnsi"/>
                <w:szCs w:val="18"/>
              </w:rPr>
            </w:pPr>
            <w:r w:rsidRPr="008E75CA">
              <w:rPr>
                <w:rFonts w:asciiTheme="majorHAnsi" w:hAnsiTheme="majorHAnsi" w:cstheme="majorHAnsi"/>
                <w:szCs w:val="18"/>
              </w:rPr>
              <w:t>25%</w:t>
            </w:r>
          </w:p>
        </w:tc>
        <w:tc>
          <w:tcPr>
            <w:tcW w:w="1016" w:type="dxa"/>
            <w:vAlign w:val="center"/>
          </w:tcPr>
          <w:p w14:paraId="3C1388A1" w14:textId="34F0ADB3" w:rsidR="00CE5D17" w:rsidRPr="008E75CA" w:rsidRDefault="00CE5D17" w:rsidP="00C00C1E">
            <w:pPr>
              <w:spacing w:before="0"/>
              <w:jc w:val="center"/>
              <w:rPr>
                <w:rFonts w:asciiTheme="majorHAnsi" w:hAnsiTheme="majorHAnsi" w:cstheme="majorHAnsi"/>
                <w:szCs w:val="18"/>
              </w:rPr>
            </w:pPr>
            <w:r w:rsidRPr="00B30ABA">
              <w:rPr>
                <w:rFonts w:asciiTheme="majorHAnsi" w:hAnsiTheme="majorHAnsi" w:cstheme="majorHAnsi"/>
                <w:szCs w:val="18"/>
              </w:rPr>
              <w:t>0</w:t>
            </w:r>
          </w:p>
        </w:tc>
        <w:tc>
          <w:tcPr>
            <w:tcW w:w="1016" w:type="dxa"/>
            <w:vAlign w:val="center"/>
          </w:tcPr>
          <w:p w14:paraId="5D4D03B1" w14:textId="10446979" w:rsidR="00CE5D17" w:rsidRPr="008E75CA" w:rsidRDefault="00CE5D17" w:rsidP="00C00C1E">
            <w:pPr>
              <w:spacing w:before="0"/>
              <w:jc w:val="center"/>
              <w:rPr>
                <w:rFonts w:asciiTheme="majorHAnsi" w:hAnsiTheme="majorHAnsi" w:cstheme="majorHAnsi"/>
                <w:szCs w:val="18"/>
              </w:rPr>
            </w:pPr>
            <w:r w:rsidRPr="00B30ABA">
              <w:rPr>
                <w:rFonts w:asciiTheme="majorHAnsi" w:hAnsiTheme="majorHAnsi" w:cstheme="majorHAnsi"/>
                <w:szCs w:val="18"/>
              </w:rPr>
              <w:t>6</w:t>
            </w:r>
          </w:p>
        </w:tc>
        <w:tc>
          <w:tcPr>
            <w:tcW w:w="1016" w:type="dxa"/>
            <w:vAlign w:val="center"/>
          </w:tcPr>
          <w:p w14:paraId="385D9FCE" w14:textId="2B8EF856" w:rsidR="00CE5D17" w:rsidRPr="008E75CA" w:rsidRDefault="00CE5D17" w:rsidP="00C00C1E">
            <w:pPr>
              <w:spacing w:before="0"/>
              <w:jc w:val="center"/>
              <w:rPr>
                <w:rFonts w:asciiTheme="majorHAnsi" w:hAnsiTheme="majorHAnsi" w:cstheme="majorHAnsi"/>
                <w:szCs w:val="18"/>
              </w:rPr>
            </w:pPr>
            <w:r w:rsidRPr="008E75CA">
              <w:rPr>
                <w:rFonts w:asciiTheme="majorHAnsi" w:hAnsiTheme="majorHAnsi" w:cstheme="majorHAnsi"/>
                <w:szCs w:val="18"/>
              </w:rPr>
              <w:t>0.00</w:t>
            </w:r>
          </w:p>
        </w:tc>
        <w:tc>
          <w:tcPr>
            <w:tcW w:w="1016" w:type="dxa"/>
            <w:vAlign w:val="center"/>
          </w:tcPr>
          <w:p w14:paraId="7AC8789A" w14:textId="2EEED388" w:rsidR="00CE5D17" w:rsidRPr="008E75CA" w:rsidRDefault="00CE5D17" w:rsidP="00C00C1E">
            <w:pPr>
              <w:spacing w:before="0"/>
              <w:jc w:val="center"/>
              <w:rPr>
                <w:rFonts w:asciiTheme="majorHAnsi" w:hAnsiTheme="majorHAnsi" w:cstheme="majorHAnsi"/>
                <w:szCs w:val="18"/>
              </w:rPr>
            </w:pPr>
            <w:r>
              <w:rPr>
                <w:rFonts w:asciiTheme="majorHAnsi" w:hAnsiTheme="majorHAnsi" w:cstheme="majorHAnsi"/>
                <w:szCs w:val="18"/>
              </w:rPr>
              <w:t>1.5</w:t>
            </w:r>
          </w:p>
        </w:tc>
      </w:tr>
      <w:tr w:rsidR="00CE5D17" w:rsidRPr="00383811" w14:paraId="1E72C251" w14:textId="5BE30448" w:rsidTr="009758F9">
        <w:trPr>
          <w:trHeight w:val="358"/>
        </w:trPr>
        <w:tc>
          <w:tcPr>
            <w:tcW w:w="3828" w:type="dxa"/>
            <w:tcBorders>
              <w:bottom w:val="single" w:sz="4" w:space="0" w:color="1B0B38"/>
            </w:tcBorders>
            <w:vAlign w:val="center"/>
          </w:tcPr>
          <w:p w14:paraId="08E8FBE0" w14:textId="1867ED63" w:rsidR="00CE5D17" w:rsidRPr="008E75CA" w:rsidRDefault="00CE5D17" w:rsidP="00135597">
            <w:pPr>
              <w:spacing w:before="0"/>
              <w:jc w:val="right"/>
              <w:rPr>
                <w:rFonts w:asciiTheme="majorHAnsi" w:hAnsiTheme="majorHAnsi" w:cstheme="majorHAnsi"/>
                <w:szCs w:val="18"/>
              </w:rPr>
            </w:pPr>
            <w:r w:rsidRPr="008E75CA">
              <w:rPr>
                <w:rFonts w:asciiTheme="majorHAnsi" w:hAnsiTheme="majorHAnsi" w:cstheme="majorHAnsi"/>
                <w:b/>
                <w:bCs/>
                <w:szCs w:val="18"/>
              </w:rPr>
              <w:t xml:space="preserve">Total </w:t>
            </w:r>
          </w:p>
        </w:tc>
        <w:tc>
          <w:tcPr>
            <w:tcW w:w="1134" w:type="dxa"/>
            <w:tcBorders>
              <w:bottom w:val="single" w:sz="4" w:space="0" w:color="1B0B38"/>
            </w:tcBorders>
            <w:vAlign w:val="center"/>
          </w:tcPr>
          <w:p w14:paraId="6D1374BF" w14:textId="1B35D6B5" w:rsidR="00CE5D17" w:rsidRPr="008E75CA" w:rsidRDefault="00CE5D17" w:rsidP="00C00C1E">
            <w:pPr>
              <w:spacing w:before="0"/>
              <w:jc w:val="center"/>
              <w:rPr>
                <w:rFonts w:asciiTheme="majorHAnsi" w:hAnsiTheme="majorHAnsi" w:cstheme="majorHAnsi"/>
                <w:szCs w:val="18"/>
              </w:rPr>
            </w:pPr>
            <w:r w:rsidRPr="008E75CA">
              <w:rPr>
                <w:rFonts w:asciiTheme="majorHAnsi" w:hAnsiTheme="majorHAnsi" w:cstheme="majorHAnsi"/>
                <w:b/>
                <w:bCs/>
                <w:szCs w:val="18"/>
              </w:rPr>
              <w:t>50%</w:t>
            </w:r>
          </w:p>
        </w:tc>
        <w:tc>
          <w:tcPr>
            <w:tcW w:w="1016" w:type="dxa"/>
            <w:tcBorders>
              <w:bottom w:val="single" w:sz="4" w:space="0" w:color="1B0B38"/>
            </w:tcBorders>
          </w:tcPr>
          <w:p w14:paraId="2886DB77" w14:textId="4020A512" w:rsidR="00CE5D17" w:rsidRPr="008E75CA" w:rsidRDefault="00CE5D17" w:rsidP="00C00C1E">
            <w:pPr>
              <w:spacing w:before="0"/>
              <w:jc w:val="center"/>
              <w:rPr>
                <w:rFonts w:asciiTheme="majorHAnsi" w:hAnsiTheme="majorHAnsi" w:cstheme="majorHAnsi"/>
                <w:szCs w:val="18"/>
              </w:rPr>
            </w:pPr>
          </w:p>
        </w:tc>
        <w:tc>
          <w:tcPr>
            <w:tcW w:w="1016" w:type="dxa"/>
            <w:tcBorders>
              <w:bottom w:val="single" w:sz="4" w:space="0" w:color="1B0B38"/>
            </w:tcBorders>
          </w:tcPr>
          <w:p w14:paraId="70F33BCC" w14:textId="3F696D58" w:rsidR="00CE5D17" w:rsidRPr="008E75CA" w:rsidRDefault="00CE5D17" w:rsidP="00C00C1E">
            <w:pPr>
              <w:spacing w:before="0"/>
              <w:jc w:val="center"/>
              <w:rPr>
                <w:rFonts w:asciiTheme="majorHAnsi" w:hAnsiTheme="majorHAnsi" w:cstheme="majorHAnsi"/>
                <w:szCs w:val="18"/>
              </w:rPr>
            </w:pPr>
          </w:p>
        </w:tc>
        <w:tc>
          <w:tcPr>
            <w:tcW w:w="1016" w:type="dxa"/>
            <w:tcBorders>
              <w:bottom w:val="single" w:sz="4" w:space="0" w:color="1B0B38"/>
            </w:tcBorders>
            <w:vAlign w:val="center"/>
          </w:tcPr>
          <w:p w14:paraId="4C86B139" w14:textId="7B7AB079" w:rsidR="00CE5D17" w:rsidRPr="008E75CA" w:rsidRDefault="00CE5D17" w:rsidP="00C00C1E">
            <w:pPr>
              <w:spacing w:before="0"/>
              <w:jc w:val="center"/>
              <w:rPr>
                <w:rFonts w:asciiTheme="majorHAnsi" w:hAnsiTheme="majorHAnsi" w:cstheme="majorHAnsi"/>
                <w:szCs w:val="18"/>
              </w:rPr>
            </w:pPr>
            <w:r w:rsidRPr="008E75CA">
              <w:rPr>
                <w:rFonts w:asciiTheme="majorHAnsi" w:hAnsiTheme="majorHAnsi" w:cstheme="majorHAnsi"/>
                <w:b/>
                <w:bCs/>
                <w:szCs w:val="18"/>
              </w:rPr>
              <w:t>0.</w:t>
            </w:r>
            <w:r>
              <w:rPr>
                <w:rFonts w:asciiTheme="majorHAnsi" w:hAnsiTheme="majorHAnsi" w:cstheme="majorHAnsi"/>
                <w:b/>
                <w:bCs/>
                <w:szCs w:val="18"/>
              </w:rPr>
              <w:t>25</w:t>
            </w:r>
          </w:p>
        </w:tc>
        <w:tc>
          <w:tcPr>
            <w:tcW w:w="1016" w:type="dxa"/>
            <w:tcBorders>
              <w:bottom w:val="single" w:sz="4" w:space="0" w:color="1B0B38"/>
            </w:tcBorders>
            <w:vAlign w:val="center"/>
          </w:tcPr>
          <w:p w14:paraId="2F2832AC" w14:textId="57FAAE2D" w:rsidR="00CE5D17" w:rsidRPr="008E75CA" w:rsidRDefault="00CE5D17" w:rsidP="00C00C1E">
            <w:pPr>
              <w:spacing w:before="0"/>
              <w:jc w:val="center"/>
              <w:rPr>
                <w:rFonts w:asciiTheme="majorHAnsi" w:hAnsiTheme="majorHAnsi" w:cstheme="majorHAnsi"/>
                <w:szCs w:val="18"/>
              </w:rPr>
            </w:pPr>
            <w:r w:rsidRPr="008E75CA">
              <w:rPr>
                <w:rFonts w:asciiTheme="majorHAnsi" w:hAnsiTheme="majorHAnsi" w:cstheme="majorHAnsi"/>
                <w:b/>
                <w:bCs/>
                <w:szCs w:val="18"/>
              </w:rPr>
              <w:t>3.</w:t>
            </w:r>
            <w:r>
              <w:rPr>
                <w:rFonts w:asciiTheme="majorHAnsi" w:hAnsiTheme="majorHAnsi" w:cstheme="majorHAnsi"/>
                <w:b/>
                <w:bCs/>
                <w:szCs w:val="18"/>
              </w:rPr>
              <w:t>2</w:t>
            </w:r>
            <w:r w:rsidRPr="008E75CA">
              <w:rPr>
                <w:rFonts w:asciiTheme="majorHAnsi" w:hAnsiTheme="majorHAnsi" w:cstheme="majorHAnsi"/>
                <w:b/>
                <w:bCs/>
                <w:szCs w:val="18"/>
              </w:rPr>
              <w:t>5</w:t>
            </w:r>
          </w:p>
        </w:tc>
      </w:tr>
      <w:tr w:rsidR="00CE5D17" w:rsidRPr="00383811" w14:paraId="052985E3" w14:textId="660173C3" w:rsidTr="009758F9">
        <w:trPr>
          <w:trHeight w:val="358"/>
        </w:trPr>
        <w:tc>
          <w:tcPr>
            <w:tcW w:w="3828" w:type="dxa"/>
            <w:tcBorders>
              <w:bottom w:val="single" w:sz="4" w:space="0" w:color="1B0B38"/>
            </w:tcBorders>
            <w:vAlign w:val="center"/>
          </w:tcPr>
          <w:p w14:paraId="33956BE0" w14:textId="5D8A55D3" w:rsidR="00CE5D17" w:rsidRPr="008E75CA" w:rsidRDefault="00CE5D17" w:rsidP="00C00C1E">
            <w:pPr>
              <w:spacing w:before="0"/>
              <w:rPr>
                <w:rFonts w:asciiTheme="majorHAnsi" w:hAnsiTheme="majorHAnsi" w:cstheme="majorHAnsi"/>
                <w:szCs w:val="18"/>
              </w:rPr>
            </w:pPr>
            <w:r w:rsidRPr="008E75CA">
              <w:rPr>
                <w:rFonts w:asciiTheme="majorHAnsi" w:hAnsiTheme="majorHAnsi" w:cstheme="majorHAnsi"/>
                <w:b/>
                <w:bCs/>
                <w:szCs w:val="18"/>
              </w:rPr>
              <w:t>Cost Criteria</w:t>
            </w:r>
          </w:p>
        </w:tc>
        <w:tc>
          <w:tcPr>
            <w:tcW w:w="1134" w:type="dxa"/>
            <w:tcBorders>
              <w:bottom w:val="single" w:sz="4" w:space="0" w:color="1B0B38"/>
            </w:tcBorders>
            <w:vAlign w:val="center"/>
          </w:tcPr>
          <w:p w14:paraId="06585109" w14:textId="1F0B75AB" w:rsidR="00CE5D17" w:rsidRPr="008E75CA" w:rsidRDefault="00CE5D17" w:rsidP="00C00C1E">
            <w:pPr>
              <w:spacing w:before="0"/>
              <w:jc w:val="center"/>
              <w:rPr>
                <w:rFonts w:asciiTheme="majorHAnsi" w:hAnsiTheme="majorHAnsi" w:cstheme="majorHAnsi"/>
                <w:szCs w:val="18"/>
              </w:rPr>
            </w:pPr>
          </w:p>
        </w:tc>
        <w:tc>
          <w:tcPr>
            <w:tcW w:w="1016" w:type="dxa"/>
            <w:tcBorders>
              <w:bottom w:val="single" w:sz="4" w:space="0" w:color="1B0B38"/>
            </w:tcBorders>
          </w:tcPr>
          <w:p w14:paraId="6F61CE14" w14:textId="15ADD7D2" w:rsidR="00CE5D17" w:rsidRPr="008E75CA" w:rsidRDefault="00CE5D17" w:rsidP="00C00C1E">
            <w:pPr>
              <w:spacing w:before="0"/>
              <w:jc w:val="center"/>
              <w:rPr>
                <w:rFonts w:asciiTheme="majorHAnsi" w:hAnsiTheme="majorHAnsi" w:cstheme="majorHAnsi"/>
                <w:szCs w:val="18"/>
              </w:rPr>
            </w:pPr>
          </w:p>
        </w:tc>
        <w:tc>
          <w:tcPr>
            <w:tcW w:w="1016" w:type="dxa"/>
            <w:tcBorders>
              <w:bottom w:val="single" w:sz="4" w:space="0" w:color="1B0B38"/>
            </w:tcBorders>
          </w:tcPr>
          <w:p w14:paraId="25C8B42A" w14:textId="493D5DB1" w:rsidR="00CE5D17" w:rsidRPr="008E75CA" w:rsidRDefault="00CE5D17" w:rsidP="00C00C1E">
            <w:pPr>
              <w:spacing w:before="0"/>
              <w:jc w:val="center"/>
              <w:rPr>
                <w:rFonts w:asciiTheme="majorHAnsi" w:hAnsiTheme="majorHAnsi" w:cstheme="majorHAnsi"/>
                <w:szCs w:val="18"/>
              </w:rPr>
            </w:pPr>
          </w:p>
        </w:tc>
        <w:tc>
          <w:tcPr>
            <w:tcW w:w="1016" w:type="dxa"/>
            <w:tcBorders>
              <w:bottom w:val="single" w:sz="4" w:space="0" w:color="1B0B38"/>
            </w:tcBorders>
            <w:vAlign w:val="center"/>
          </w:tcPr>
          <w:p w14:paraId="5FA9A397" w14:textId="5240374D" w:rsidR="00CE5D17" w:rsidRPr="008E75CA" w:rsidRDefault="00CE5D17" w:rsidP="00C00C1E">
            <w:pPr>
              <w:spacing w:before="0"/>
              <w:jc w:val="center"/>
              <w:rPr>
                <w:rFonts w:asciiTheme="majorHAnsi" w:hAnsiTheme="majorHAnsi" w:cstheme="majorHAnsi"/>
                <w:szCs w:val="18"/>
              </w:rPr>
            </w:pPr>
          </w:p>
        </w:tc>
        <w:tc>
          <w:tcPr>
            <w:tcW w:w="1016" w:type="dxa"/>
            <w:tcBorders>
              <w:bottom w:val="single" w:sz="4" w:space="0" w:color="1B0B38"/>
            </w:tcBorders>
            <w:vAlign w:val="center"/>
          </w:tcPr>
          <w:p w14:paraId="60C2FE3E" w14:textId="04966350" w:rsidR="00CE5D17" w:rsidRPr="008E75CA" w:rsidRDefault="00CE5D17" w:rsidP="00C00C1E">
            <w:pPr>
              <w:spacing w:before="0"/>
              <w:jc w:val="center"/>
              <w:rPr>
                <w:rFonts w:asciiTheme="majorHAnsi" w:hAnsiTheme="majorHAnsi" w:cstheme="majorHAnsi"/>
                <w:szCs w:val="18"/>
              </w:rPr>
            </w:pPr>
          </w:p>
        </w:tc>
      </w:tr>
      <w:tr w:rsidR="00CE5D17" w:rsidRPr="00383811" w14:paraId="39D1952E" w14:textId="4FEE4EF3" w:rsidTr="009758F9">
        <w:trPr>
          <w:trHeight w:val="283"/>
        </w:trPr>
        <w:tc>
          <w:tcPr>
            <w:tcW w:w="3828" w:type="dxa"/>
            <w:tcBorders>
              <w:bottom w:val="single" w:sz="4" w:space="0" w:color="1B0B38"/>
            </w:tcBorders>
            <w:vAlign w:val="center"/>
          </w:tcPr>
          <w:p w14:paraId="2502111C" w14:textId="186C9B7A" w:rsidR="00CE5D17" w:rsidRPr="008E75CA" w:rsidRDefault="00CE5D17" w:rsidP="00135597">
            <w:pPr>
              <w:spacing w:before="0"/>
              <w:rPr>
                <w:rFonts w:asciiTheme="majorHAnsi" w:hAnsiTheme="majorHAnsi" w:cstheme="majorHAnsi"/>
                <w:szCs w:val="18"/>
              </w:rPr>
            </w:pPr>
            <w:r w:rsidRPr="008E75CA">
              <w:rPr>
                <w:rFonts w:asciiTheme="majorHAnsi" w:hAnsiTheme="majorHAnsi" w:cstheme="majorHAnsi"/>
                <w:szCs w:val="18"/>
              </w:rPr>
              <w:t>Costs to industry (including time delays) relative to the base case</w:t>
            </w:r>
          </w:p>
        </w:tc>
        <w:tc>
          <w:tcPr>
            <w:tcW w:w="1134" w:type="dxa"/>
            <w:tcBorders>
              <w:bottom w:val="single" w:sz="4" w:space="0" w:color="1B0B38"/>
            </w:tcBorders>
            <w:vAlign w:val="center"/>
          </w:tcPr>
          <w:p w14:paraId="5B572920" w14:textId="537508D0" w:rsidR="00CE5D17" w:rsidRPr="008E75CA" w:rsidRDefault="003D5FA1" w:rsidP="00C00C1E">
            <w:pPr>
              <w:spacing w:before="0"/>
              <w:jc w:val="center"/>
              <w:rPr>
                <w:rFonts w:asciiTheme="majorHAnsi" w:hAnsiTheme="majorHAnsi" w:cstheme="majorHAnsi"/>
                <w:szCs w:val="18"/>
              </w:rPr>
            </w:pPr>
            <w:r>
              <w:rPr>
                <w:rFonts w:asciiTheme="majorHAnsi" w:hAnsiTheme="majorHAnsi" w:cstheme="majorHAnsi"/>
                <w:szCs w:val="18"/>
              </w:rPr>
              <w:t>2</w:t>
            </w:r>
            <w:r w:rsidR="00CE5D17" w:rsidRPr="008E75CA">
              <w:rPr>
                <w:rFonts w:asciiTheme="majorHAnsi" w:hAnsiTheme="majorHAnsi" w:cstheme="majorHAnsi"/>
                <w:szCs w:val="18"/>
              </w:rPr>
              <w:t>5%</w:t>
            </w:r>
          </w:p>
        </w:tc>
        <w:tc>
          <w:tcPr>
            <w:tcW w:w="1016" w:type="dxa"/>
            <w:tcBorders>
              <w:bottom w:val="single" w:sz="4" w:space="0" w:color="1B0B38"/>
            </w:tcBorders>
            <w:vAlign w:val="center"/>
          </w:tcPr>
          <w:p w14:paraId="11590A50" w14:textId="4BEC23CB" w:rsidR="00CE5D17" w:rsidRPr="00B30ABA" w:rsidRDefault="00CE5D17" w:rsidP="00C00C1E">
            <w:pPr>
              <w:spacing w:before="0"/>
              <w:jc w:val="center"/>
              <w:rPr>
                <w:rFonts w:asciiTheme="majorHAnsi" w:hAnsiTheme="majorHAnsi" w:cstheme="majorHAnsi"/>
                <w:szCs w:val="18"/>
              </w:rPr>
            </w:pPr>
            <w:r w:rsidRPr="00B30ABA">
              <w:rPr>
                <w:rFonts w:asciiTheme="majorHAnsi" w:hAnsiTheme="majorHAnsi" w:cstheme="majorHAnsi"/>
                <w:szCs w:val="18"/>
              </w:rPr>
              <w:t>0</w:t>
            </w:r>
          </w:p>
        </w:tc>
        <w:tc>
          <w:tcPr>
            <w:tcW w:w="1016" w:type="dxa"/>
            <w:tcBorders>
              <w:bottom w:val="single" w:sz="4" w:space="0" w:color="1B0B38"/>
            </w:tcBorders>
            <w:vAlign w:val="center"/>
          </w:tcPr>
          <w:p w14:paraId="79F1BE32" w14:textId="3D2603EE" w:rsidR="00CE5D17" w:rsidRPr="00B30ABA" w:rsidRDefault="00CE5D17" w:rsidP="00C00C1E">
            <w:pPr>
              <w:spacing w:before="0"/>
              <w:jc w:val="center"/>
              <w:rPr>
                <w:rFonts w:asciiTheme="majorHAnsi" w:hAnsiTheme="majorHAnsi" w:cstheme="majorHAnsi"/>
                <w:szCs w:val="18"/>
              </w:rPr>
            </w:pPr>
            <w:r w:rsidRPr="00B30ABA">
              <w:rPr>
                <w:rFonts w:asciiTheme="majorHAnsi" w:hAnsiTheme="majorHAnsi" w:cstheme="majorHAnsi"/>
                <w:szCs w:val="18"/>
              </w:rPr>
              <w:t>1</w:t>
            </w:r>
          </w:p>
        </w:tc>
        <w:tc>
          <w:tcPr>
            <w:tcW w:w="1016" w:type="dxa"/>
            <w:tcBorders>
              <w:bottom w:val="single" w:sz="4" w:space="0" w:color="1B0B38"/>
            </w:tcBorders>
            <w:vAlign w:val="center"/>
          </w:tcPr>
          <w:p w14:paraId="7658B596" w14:textId="41AC0432" w:rsidR="00CE5D17" w:rsidRPr="008E75CA" w:rsidRDefault="00CE5D17" w:rsidP="00C00C1E">
            <w:pPr>
              <w:spacing w:before="0"/>
              <w:jc w:val="center"/>
              <w:rPr>
                <w:rFonts w:asciiTheme="majorHAnsi" w:hAnsiTheme="majorHAnsi" w:cstheme="majorHAnsi"/>
                <w:b/>
                <w:bCs/>
                <w:szCs w:val="18"/>
              </w:rPr>
            </w:pPr>
            <w:r w:rsidRPr="008E75CA">
              <w:rPr>
                <w:rFonts w:asciiTheme="majorHAnsi" w:hAnsiTheme="majorHAnsi" w:cstheme="majorHAnsi"/>
                <w:szCs w:val="18"/>
              </w:rPr>
              <w:t>0.00</w:t>
            </w:r>
          </w:p>
        </w:tc>
        <w:tc>
          <w:tcPr>
            <w:tcW w:w="1016" w:type="dxa"/>
            <w:tcBorders>
              <w:bottom w:val="single" w:sz="4" w:space="0" w:color="1B0B38"/>
            </w:tcBorders>
            <w:vAlign w:val="center"/>
          </w:tcPr>
          <w:p w14:paraId="045793D4" w14:textId="4BDFFEC9" w:rsidR="00CE5D17" w:rsidRPr="008E75CA" w:rsidRDefault="00CE5D17" w:rsidP="00C00C1E">
            <w:pPr>
              <w:spacing w:before="0"/>
              <w:jc w:val="center"/>
              <w:rPr>
                <w:rFonts w:asciiTheme="majorHAnsi" w:hAnsiTheme="majorHAnsi" w:cstheme="majorHAnsi"/>
                <w:b/>
                <w:bCs/>
                <w:szCs w:val="18"/>
              </w:rPr>
            </w:pPr>
            <w:r w:rsidRPr="008E75CA">
              <w:rPr>
                <w:rFonts w:asciiTheme="majorHAnsi" w:hAnsiTheme="majorHAnsi" w:cstheme="majorHAnsi"/>
                <w:szCs w:val="18"/>
              </w:rPr>
              <w:t>0.</w:t>
            </w:r>
            <w:r w:rsidR="003D5FA1">
              <w:rPr>
                <w:rFonts w:asciiTheme="majorHAnsi" w:hAnsiTheme="majorHAnsi" w:cstheme="majorHAnsi"/>
                <w:szCs w:val="18"/>
              </w:rPr>
              <w:t>2</w:t>
            </w:r>
            <w:r w:rsidRPr="008E75CA">
              <w:rPr>
                <w:rFonts w:asciiTheme="majorHAnsi" w:hAnsiTheme="majorHAnsi" w:cstheme="majorHAnsi"/>
                <w:szCs w:val="18"/>
              </w:rPr>
              <w:t>5</w:t>
            </w:r>
          </w:p>
        </w:tc>
      </w:tr>
      <w:tr w:rsidR="00CE5D17" w:rsidRPr="00383811" w14:paraId="3727B4EC" w14:textId="35FA5D28" w:rsidTr="009758F9">
        <w:trPr>
          <w:trHeight w:val="283"/>
        </w:trPr>
        <w:tc>
          <w:tcPr>
            <w:tcW w:w="3828" w:type="dxa"/>
            <w:tcBorders>
              <w:bottom w:val="single" w:sz="4" w:space="0" w:color="1B0B38"/>
            </w:tcBorders>
            <w:vAlign w:val="center"/>
          </w:tcPr>
          <w:p w14:paraId="3854D669" w14:textId="58A05F20" w:rsidR="00CE5D17" w:rsidRPr="008E75CA" w:rsidRDefault="00CE5D17" w:rsidP="00C00C1E">
            <w:pPr>
              <w:spacing w:before="0"/>
              <w:rPr>
                <w:rFonts w:asciiTheme="majorHAnsi" w:hAnsiTheme="majorHAnsi" w:cstheme="majorHAnsi"/>
                <w:szCs w:val="18"/>
              </w:rPr>
            </w:pPr>
            <w:r w:rsidRPr="008E75CA">
              <w:rPr>
                <w:rFonts w:asciiTheme="majorHAnsi" w:hAnsiTheme="majorHAnsi" w:cstheme="majorHAnsi"/>
                <w:szCs w:val="18"/>
              </w:rPr>
              <w:t>Costs to government relative to the base case of administering and enforcing the system</w:t>
            </w:r>
          </w:p>
        </w:tc>
        <w:tc>
          <w:tcPr>
            <w:tcW w:w="1134" w:type="dxa"/>
            <w:tcBorders>
              <w:bottom w:val="single" w:sz="4" w:space="0" w:color="1B0B38"/>
            </w:tcBorders>
            <w:vAlign w:val="center"/>
          </w:tcPr>
          <w:p w14:paraId="29B245AD" w14:textId="401305BB" w:rsidR="00CE5D17" w:rsidRPr="008E75CA" w:rsidRDefault="003D5FA1" w:rsidP="00C00C1E">
            <w:pPr>
              <w:spacing w:before="0"/>
              <w:jc w:val="center"/>
              <w:rPr>
                <w:rFonts w:asciiTheme="majorHAnsi" w:hAnsiTheme="majorHAnsi" w:cstheme="majorHAnsi"/>
                <w:szCs w:val="18"/>
              </w:rPr>
            </w:pPr>
            <w:r>
              <w:rPr>
                <w:rFonts w:asciiTheme="majorHAnsi" w:hAnsiTheme="majorHAnsi" w:cstheme="majorHAnsi"/>
                <w:szCs w:val="18"/>
              </w:rPr>
              <w:t>2</w:t>
            </w:r>
            <w:r w:rsidR="00CE5D17" w:rsidRPr="008E75CA">
              <w:rPr>
                <w:rFonts w:asciiTheme="majorHAnsi" w:hAnsiTheme="majorHAnsi" w:cstheme="majorHAnsi"/>
                <w:szCs w:val="18"/>
              </w:rPr>
              <w:t>5%</w:t>
            </w:r>
          </w:p>
        </w:tc>
        <w:tc>
          <w:tcPr>
            <w:tcW w:w="1016" w:type="dxa"/>
            <w:tcBorders>
              <w:bottom w:val="single" w:sz="4" w:space="0" w:color="1B0B38"/>
            </w:tcBorders>
            <w:vAlign w:val="center"/>
          </w:tcPr>
          <w:p w14:paraId="6BDB2103" w14:textId="1C784AD9" w:rsidR="00CE5D17" w:rsidRPr="008E75CA" w:rsidRDefault="00CE5D17" w:rsidP="00C00C1E">
            <w:pPr>
              <w:spacing w:before="0"/>
              <w:jc w:val="center"/>
              <w:rPr>
                <w:rFonts w:asciiTheme="majorHAnsi" w:hAnsiTheme="majorHAnsi" w:cstheme="majorHAnsi"/>
                <w:szCs w:val="18"/>
              </w:rPr>
            </w:pPr>
            <w:r w:rsidRPr="00B30ABA">
              <w:rPr>
                <w:rFonts w:asciiTheme="majorHAnsi" w:hAnsiTheme="majorHAnsi" w:cstheme="majorHAnsi"/>
                <w:szCs w:val="18"/>
              </w:rPr>
              <w:t>0</w:t>
            </w:r>
          </w:p>
        </w:tc>
        <w:tc>
          <w:tcPr>
            <w:tcW w:w="1016" w:type="dxa"/>
            <w:tcBorders>
              <w:bottom w:val="single" w:sz="4" w:space="0" w:color="1B0B38"/>
            </w:tcBorders>
            <w:vAlign w:val="center"/>
          </w:tcPr>
          <w:p w14:paraId="3B718448" w14:textId="4DDC18CF" w:rsidR="00CE5D17" w:rsidRPr="008E75CA" w:rsidRDefault="00CE5D17" w:rsidP="00C00C1E">
            <w:pPr>
              <w:spacing w:before="0"/>
              <w:jc w:val="center"/>
              <w:rPr>
                <w:rFonts w:asciiTheme="majorHAnsi" w:hAnsiTheme="majorHAnsi" w:cstheme="majorHAnsi"/>
                <w:szCs w:val="18"/>
              </w:rPr>
            </w:pPr>
            <w:r w:rsidRPr="00B30ABA">
              <w:rPr>
                <w:rFonts w:asciiTheme="majorHAnsi" w:hAnsiTheme="majorHAnsi" w:cstheme="majorHAnsi"/>
                <w:szCs w:val="18"/>
              </w:rPr>
              <w:t>-1</w:t>
            </w:r>
          </w:p>
        </w:tc>
        <w:tc>
          <w:tcPr>
            <w:tcW w:w="1016" w:type="dxa"/>
            <w:tcBorders>
              <w:bottom w:val="single" w:sz="4" w:space="0" w:color="1B0B38"/>
            </w:tcBorders>
            <w:vAlign w:val="center"/>
          </w:tcPr>
          <w:p w14:paraId="24D1A3FD" w14:textId="0FB09CF6" w:rsidR="00CE5D17" w:rsidRPr="008E75CA" w:rsidRDefault="00CE5D17" w:rsidP="00C00C1E">
            <w:pPr>
              <w:spacing w:before="0"/>
              <w:jc w:val="center"/>
              <w:rPr>
                <w:rFonts w:asciiTheme="majorHAnsi" w:hAnsiTheme="majorHAnsi" w:cstheme="majorHAnsi"/>
                <w:szCs w:val="18"/>
              </w:rPr>
            </w:pPr>
            <w:r w:rsidRPr="008E75CA">
              <w:rPr>
                <w:rFonts w:asciiTheme="majorHAnsi" w:hAnsiTheme="majorHAnsi" w:cstheme="majorHAnsi"/>
                <w:szCs w:val="18"/>
              </w:rPr>
              <w:t>0</w:t>
            </w:r>
          </w:p>
        </w:tc>
        <w:tc>
          <w:tcPr>
            <w:tcW w:w="1016" w:type="dxa"/>
            <w:tcBorders>
              <w:bottom w:val="single" w:sz="4" w:space="0" w:color="1B0B38"/>
            </w:tcBorders>
            <w:vAlign w:val="center"/>
          </w:tcPr>
          <w:p w14:paraId="60D48831" w14:textId="34CF9E44" w:rsidR="00CE5D17" w:rsidRPr="008E75CA" w:rsidRDefault="00CE5D17" w:rsidP="00C00C1E">
            <w:pPr>
              <w:spacing w:before="0"/>
              <w:jc w:val="center"/>
              <w:rPr>
                <w:rFonts w:asciiTheme="majorHAnsi" w:hAnsiTheme="majorHAnsi" w:cstheme="majorHAnsi"/>
                <w:szCs w:val="18"/>
              </w:rPr>
            </w:pPr>
            <w:r w:rsidRPr="008E75CA">
              <w:rPr>
                <w:rFonts w:asciiTheme="majorHAnsi" w:hAnsiTheme="majorHAnsi" w:cstheme="majorHAnsi"/>
                <w:szCs w:val="18"/>
              </w:rPr>
              <w:t>-0.</w:t>
            </w:r>
            <w:r w:rsidR="003D5FA1">
              <w:rPr>
                <w:rFonts w:asciiTheme="majorHAnsi" w:hAnsiTheme="majorHAnsi" w:cstheme="majorHAnsi"/>
                <w:szCs w:val="18"/>
              </w:rPr>
              <w:t>2</w:t>
            </w:r>
            <w:r w:rsidRPr="008E75CA">
              <w:rPr>
                <w:rFonts w:asciiTheme="majorHAnsi" w:hAnsiTheme="majorHAnsi" w:cstheme="majorHAnsi"/>
                <w:szCs w:val="18"/>
              </w:rPr>
              <w:t>5</w:t>
            </w:r>
          </w:p>
        </w:tc>
      </w:tr>
      <w:tr w:rsidR="00CE5D17" w:rsidRPr="00383811" w14:paraId="163493F5" w14:textId="798A5653" w:rsidTr="009758F9">
        <w:trPr>
          <w:trHeight w:val="358"/>
        </w:trPr>
        <w:tc>
          <w:tcPr>
            <w:tcW w:w="3828" w:type="dxa"/>
            <w:vAlign w:val="center"/>
          </w:tcPr>
          <w:p w14:paraId="0954889F" w14:textId="33D8ED5F" w:rsidR="00CE5D17" w:rsidRPr="008E75CA" w:rsidRDefault="00CE5D17" w:rsidP="00135597">
            <w:pPr>
              <w:spacing w:before="0"/>
              <w:jc w:val="right"/>
              <w:rPr>
                <w:rFonts w:asciiTheme="majorHAnsi" w:hAnsiTheme="majorHAnsi" w:cstheme="majorHAnsi"/>
                <w:szCs w:val="18"/>
              </w:rPr>
            </w:pPr>
            <w:r w:rsidRPr="008E75CA">
              <w:rPr>
                <w:rFonts w:asciiTheme="majorHAnsi" w:hAnsiTheme="majorHAnsi" w:cstheme="majorHAnsi"/>
                <w:b/>
                <w:bCs/>
                <w:szCs w:val="18"/>
              </w:rPr>
              <w:t xml:space="preserve">Total </w:t>
            </w:r>
          </w:p>
        </w:tc>
        <w:tc>
          <w:tcPr>
            <w:tcW w:w="1134" w:type="dxa"/>
            <w:vAlign w:val="center"/>
          </w:tcPr>
          <w:p w14:paraId="0B09E8CC" w14:textId="1BF76D8C" w:rsidR="00CE5D17" w:rsidRPr="008E75CA" w:rsidRDefault="00CE5D17" w:rsidP="00C00C1E">
            <w:pPr>
              <w:spacing w:before="0"/>
              <w:jc w:val="center"/>
              <w:rPr>
                <w:rFonts w:asciiTheme="majorHAnsi" w:hAnsiTheme="majorHAnsi" w:cstheme="majorHAnsi"/>
                <w:szCs w:val="18"/>
              </w:rPr>
            </w:pPr>
            <w:r w:rsidRPr="008E75CA">
              <w:rPr>
                <w:rFonts w:asciiTheme="majorHAnsi" w:hAnsiTheme="majorHAnsi" w:cstheme="majorHAnsi"/>
                <w:b/>
                <w:bCs/>
                <w:szCs w:val="18"/>
              </w:rPr>
              <w:t>50%</w:t>
            </w:r>
          </w:p>
        </w:tc>
        <w:tc>
          <w:tcPr>
            <w:tcW w:w="1016" w:type="dxa"/>
          </w:tcPr>
          <w:p w14:paraId="0C0F6835" w14:textId="27C6C303" w:rsidR="00CE5D17" w:rsidRPr="008E75CA" w:rsidRDefault="00CE5D17" w:rsidP="00C00C1E">
            <w:pPr>
              <w:spacing w:before="0"/>
              <w:jc w:val="center"/>
              <w:rPr>
                <w:rFonts w:asciiTheme="majorHAnsi" w:hAnsiTheme="majorHAnsi" w:cstheme="majorHAnsi"/>
                <w:szCs w:val="18"/>
              </w:rPr>
            </w:pPr>
          </w:p>
        </w:tc>
        <w:tc>
          <w:tcPr>
            <w:tcW w:w="1016" w:type="dxa"/>
          </w:tcPr>
          <w:p w14:paraId="3EB965D9" w14:textId="2599C80B" w:rsidR="00CE5D17" w:rsidRPr="008E75CA" w:rsidRDefault="00CE5D17" w:rsidP="00C00C1E">
            <w:pPr>
              <w:spacing w:before="0"/>
              <w:jc w:val="center"/>
              <w:rPr>
                <w:rFonts w:asciiTheme="majorHAnsi" w:hAnsiTheme="majorHAnsi" w:cstheme="majorHAnsi"/>
                <w:szCs w:val="18"/>
              </w:rPr>
            </w:pPr>
          </w:p>
        </w:tc>
        <w:tc>
          <w:tcPr>
            <w:tcW w:w="1016" w:type="dxa"/>
            <w:vAlign w:val="center"/>
          </w:tcPr>
          <w:p w14:paraId="19D989C7" w14:textId="78C890DF" w:rsidR="00CE5D17" w:rsidRPr="008E75CA" w:rsidRDefault="00CE5D17" w:rsidP="00C00C1E">
            <w:pPr>
              <w:spacing w:before="0"/>
              <w:jc w:val="center"/>
              <w:rPr>
                <w:rFonts w:asciiTheme="majorHAnsi" w:hAnsiTheme="majorHAnsi" w:cstheme="majorHAnsi"/>
                <w:szCs w:val="18"/>
              </w:rPr>
            </w:pPr>
            <w:r w:rsidRPr="008E75CA">
              <w:rPr>
                <w:rFonts w:asciiTheme="majorHAnsi" w:hAnsiTheme="majorHAnsi" w:cstheme="majorHAnsi"/>
                <w:b/>
                <w:bCs/>
                <w:szCs w:val="18"/>
              </w:rPr>
              <w:t>0.00</w:t>
            </w:r>
          </w:p>
        </w:tc>
        <w:tc>
          <w:tcPr>
            <w:tcW w:w="1016" w:type="dxa"/>
            <w:vAlign w:val="center"/>
          </w:tcPr>
          <w:p w14:paraId="4B1E9A46" w14:textId="3E9CB601" w:rsidR="00CE5D17" w:rsidRPr="008E75CA" w:rsidRDefault="00CE5D17" w:rsidP="00C00C1E">
            <w:pPr>
              <w:spacing w:before="0"/>
              <w:jc w:val="center"/>
              <w:rPr>
                <w:rFonts w:asciiTheme="majorHAnsi" w:hAnsiTheme="majorHAnsi" w:cstheme="majorHAnsi"/>
                <w:szCs w:val="18"/>
              </w:rPr>
            </w:pPr>
            <w:r w:rsidRPr="008E75CA">
              <w:rPr>
                <w:rFonts w:asciiTheme="majorHAnsi" w:hAnsiTheme="majorHAnsi" w:cstheme="majorHAnsi"/>
                <w:b/>
                <w:bCs/>
                <w:szCs w:val="18"/>
              </w:rPr>
              <w:t>0.</w:t>
            </w:r>
            <w:r w:rsidR="003D5FA1">
              <w:rPr>
                <w:rFonts w:asciiTheme="majorHAnsi" w:hAnsiTheme="majorHAnsi" w:cstheme="majorHAnsi"/>
                <w:b/>
                <w:bCs/>
                <w:szCs w:val="18"/>
              </w:rPr>
              <w:t>0</w:t>
            </w:r>
            <w:r w:rsidRPr="008E75CA">
              <w:rPr>
                <w:rFonts w:asciiTheme="majorHAnsi" w:hAnsiTheme="majorHAnsi" w:cstheme="majorHAnsi"/>
                <w:b/>
                <w:bCs/>
                <w:szCs w:val="18"/>
              </w:rPr>
              <w:t>0</w:t>
            </w:r>
          </w:p>
        </w:tc>
      </w:tr>
      <w:tr w:rsidR="00CE5D17" w:rsidRPr="00383811" w14:paraId="26C9D0EB" w14:textId="39612F14" w:rsidTr="009758F9">
        <w:trPr>
          <w:trHeight w:val="358"/>
        </w:trPr>
        <w:tc>
          <w:tcPr>
            <w:tcW w:w="3828" w:type="dxa"/>
            <w:tcBorders>
              <w:bottom w:val="single" w:sz="4" w:space="0" w:color="1B0B38"/>
            </w:tcBorders>
            <w:vAlign w:val="center"/>
          </w:tcPr>
          <w:p w14:paraId="7A1CDA2B" w14:textId="72136480" w:rsidR="00CE5D17" w:rsidRPr="008E75CA" w:rsidRDefault="00CE5D17" w:rsidP="00C00C1E">
            <w:pPr>
              <w:spacing w:before="0"/>
              <w:rPr>
                <w:rFonts w:asciiTheme="majorHAnsi" w:hAnsiTheme="majorHAnsi" w:cstheme="majorHAnsi"/>
                <w:szCs w:val="18"/>
              </w:rPr>
            </w:pPr>
            <w:r w:rsidRPr="008E75CA">
              <w:rPr>
                <w:rFonts w:asciiTheme="majorHAnsi" w:hAnsiTheme="majorHAnsi" w:cstheme="majorHAnsi"/>
                <w:b/>
                <w:bCs/>
                <w:szCs w:val="18"/>
              </w:rPr>
              <w:t>Total weighted score</w:t>
            </w:r>
          </w:p>
        </w:tc>
        <w:tc>
          <w:tcPr>
            <w:tcW w:w="1134" w:type="dxa"/>
            <w:tcBorders>
              <w:bottom w:val="single" w:sz="4" w:space="0" w:color="1B0B38"/>
            </w:tcBorders>
            <w:vAlign w:val="center"/>
          </w:tcPr>
          <w:p w14:paraId="3FEA9E5B" w14:textId="2DE1654A" w:rsidR="00CE5D17" w:rsidRPr="008E75CA" w:rsidRDefault="00CE5D17" w:rsidP="00C00C1E">
            <w:pPr>
              <w:spacing w:before="0"/>
              <w:jc w:val="center"/>
              <w:rPr>
                <w:rFonts w:asciiTheme="majorHAnsi" w:hAnsiTheme="majorHAnsi" w:cstheme="majorHAnsi"/>
                <w:szCs w:val="18"/>
              </w:rPr>
            </w:pPr>
          </w:p>
        </w:tc>
        <w:tc>
          <w:tcPr>
            <w:tcW w:w="1016" w:type="dxa"/>
            <w:tcBorders>
              <w:bottom w:val="single" w:sz="4" w:space="0" w:color="1B0B38"/>
            </w:tcBorders>
          </w:tcPr>
          <w:p w14:paraId="0E57CF50" w14:textId="7F2A14DD" w:rsidR="00CE5D17" w:rsidRPr="008E75CA" w:rsidRDefault="00CE5D17" w:rsidP="00C00C1E">
            <w:pPr>
              <w:spacing w:before="0"/>
              <w:jc w:val="center"/>
              <w:rPr>
                <w:rFonts w:asciiTheme="majorHAnsi" w:hAnsiTheme="majorHAnsi" w:cstheme="majorHAnsi"/>
                <w:szCs w:val="18"/>
              </w:rPr>
            </w:pPr>
          </w:p>
        </w:tc>
        <w:tc>
          <w:tcPr>
            <w:tcW w:w="1016" w:type="dxa"/>
            <w:tcBorders>
              <w:bottom w:val="single" w:sz="4" w:space="0" w:color="1B0B38"/>
            </w:tcBorders>
          </w:tcPr>
          <w:p w14:paraId="0F8655B4" w14:textId="31C62EE6" w:rsidR="00CE5D17" w:rsidRPr="008E75CA" w:rsidRDefault="00CE5D17" w:rsidP="00C00C1E">
            <w:pPr>
              <w:spacing w:before="0"/>
              <w:jc w:val="center"/>
              <w:rPr>
                <w:rFonts w:asciiTheme="majorHAnsi" w:hAnsiTheme="majorHAnsi" w:cstheme="majorHAnsi"/>
                <w:szCs w:val="18"/>
              </w:rPr>
            </w:pPr>
          </w:p>
        </w:tc>
        <w:tc>
          <w:tcPr>
            <w:tcW w:w="1016" w:type="dxa"/>
            <w:tcBorders>
              <w:bottom w:val="single" w:sz="4" w:space="0" w:color="1B0B38"/>
            </w:tcBorders>
            <w:vAlign w:val="center"/>
          </w:tcPr>
          <w:p w14:paraId="13448D4E" w14:textId="7E325B56" w:rsidR="00CE5D17" w:rsidRPr="008E75CA" w:rsidRDefault="00CE5D17" w:rsidP="00C00C1E">
            <w:pPr>
              <w:spacing w:before="0"/>
              <w:jc w:val="center"/>
              <w:rPr>
                <w:rFonts w:asciiTheme="majorHAnsi" w:hAnsiTheme="majorHAnsi" w:cstheme="majorHAnsi"/>
                <w:szCs w:val="18"/>
              </w:rPr>
            </w:pPr>
            <w:r w:rsidRPr="008E75CA">
              <w:rPr>
                <w:rFonts w:asciiTheme="majorHAnsi" w:hAnsiTheme="majorHAnsi" w:cstheme="majorHAnsi"/>
                <w:b/>
                <w:bCs/>
                <w:szCs w:val="18"/>
              </w:rPr>
              <w:t>0.</w:t>
            </w:r>
            <w:r>
              <w:rPr>
                <w:rFonts w:asciiTheme="majorHAnsi" w:hAnsiTheme="majorHAnsi" w:cstheme="majorHAnsi"/>
                <w:b/>
                <w:bCs/>
                <w:szCs w:val="18"/>
              </w:rPr>
              <w:t>25</w:t>
            </w:r>
          </w:p>
        </w:tc>
        <w:tc>
          <w:tcPr>
            <w:tcW w:w="1016" w:type="dxa"/>
            <w:tcBorders>
              <w:bottom w:val="single" w:sz="4" w:space="0" w:color="1B0B38"/>
            </w:tcBorders>
            <w:vAlign w:val="center"/>
          </w:tcPr>
          <w:p w14:paraId="6057DD0B" w14:textId="5960565D" w:rsidR="00CE5D17" w:rsidRPr="008E75CA" w:rsidRDefault="00CE5D17" w:rsidP="00C00C1E">
            <w:pPr>
              <w:spacing w:before="0"/>
              <w:jc w:val="center"/>
              <w:rPr>
                <w:rFonts w:asciiTheme="majorHAnsi" w:hAnsiTheme="majorHAnsi" w:cstheme="majorHAnsi"/>
                <w:szCs w:val="18"/>
              </w:rPr>
            </w:pPr>
            <w:r w:rsidRPr="008E75CA">
              <w:rPr>
                <w:rFonts w:asciiTheme="majorHAnsi" w:hAnsiTheme="majorHAnsi" w:cstheme="majorHAnsi"/>
                <w:b/>
                <w:bCs/>
                <w:szCs w:val="18"/>
              </w:rPr>
              <w:t>3.</w:t>
            </w:r>
            <w:r w:rsidR="003D5FA1">
              <w:rPr>
                <w:rFonts w:asciiTheme="majorHAnsi" w:hAnsiTheme="majorHAnsi" w:cstheme="majorHAnsi"/>
                <w:b/>
                <w:bCs/>
                <w:szCs w:val="18"/>
              </w:rPr>
              <w:t>2</w:t>
            </w:r>
            <w:r w:rsidRPr="008E75CA">
              <w:rPr>
                <w:rFonts w:asciiTheme="majorHAnsi" w:hAnsiTheme="majorHAnsi" w:cstheme="majorHAnsi"/>
                <w:b/>
                <w:bCs/>
                <w:szCs w:val="18"/>
              </w:rPr>
              <w:t>5</w:t>
            </w:r>
          </w:p>
        </w:tc>
      </w:tr>
    </w:tbl>
    <w:p w14:paraId="71131372" w14:textId="521E1FF6" w:rsidR="00BB12A7" w:rsidRDefault="00BB12A7" w:rsidP="00582802"/>
    <w:p w14:paraId="7C129C08" w14:textId="77777777" w:rsidR="0030676D" w:rsidRDefault="0030676D" w:rsidP="00D50C43">
      <w:pPr>
        <w:pStyle w:val="Heading2"/>
        <w:numPr>
          <w:ilvl w:val="1"/>
          <w:numId w:val="124"/>
        </w:numPr>
        <w:sectPr w:rsidR="0030676D" w:rsidSect="00623898">
          <w:pgSz w:w="11906" w:h="16838"/>
          <w:pgMar w:top="1440" w:right="1440" w:bottom="1440" w:left="1440" w:header="708" w:footer="137" w:gutter="0"/>
          <w:cols w:space="708"/>
          <w:docGrid w:linePitch="360"/>
        </w:sectPr>
      </w:pPr>
    </w:p>
    <w:p w14:paraId="05C59E06" w14:textId="39A14CF8" w:rsidR="00700762" w:rsidRDefault="00700762" w:rsidP="00D50C43">
      <w:pPr>
        <w:pStyle w:val="Heading2"/>
        <w:numPr>
          <w:ilvl w:val="1"/>
          <w:numId w:val="124"/>
        </w:numPr>
        <w:sectPr w:rsidR="00700762" w:rsidSect="0030676D">
          <w:type w:val="continuous"/>
          <w:pgSz w:w="11906" w:h="16838"/>
          <w:pgMar w:top="1440" w:right="1440" w:bottom="1440" w:left="1440" w:header="708" w:footer="137" w:gutter="0"/>
          <w:cols w:space="708"/>
          <w:docGrid w:linePitch="360"/>
        </w:sectPr>
      </w:pPr>
    </w:p>
    <w:p w14:paraId="53B282CE" w14:textId="2A407497" w:rsidR="00F14186" w:rsidRDefault="006D5FA4" w:rsidP="00D50C43">
      <w:pPr>
        <w:pStyle w:val="Heading2"/>
        <w:numPr>
          <w:ilvl w:val="1"/>
          <w:numId w:val="124"/>
        </w:numPr>
      </w:pPr>
      <w:bookmarkStart w:id="318" w:name="_Toc104217710"/>
      <w:r>
        <w:lastRenderedPageBreak/>
        <w:t>Analysis of o</w:t>
      </w:r>
      <w:r w:rsidR="00F14186">
        <w:t xml:space="preserve">ptions for </w:t>
      </w:r>
      <w:r w:rsidR="6AA4ED0C">
        <w:t>DMRPs</w:t>
      </w:r>
      <w:bookmarkEnd w:id="318"/>
    </w:p>
    <w:p w14:paraId="40271357" w14:textId="075B6700" w:rsidR="00DB23EF" w:rsidRDefault="00DB23EF" w:rsidP="00F14186">
      <w:r>
        <w:fldChar w:fldCharType="begin"/>
      </w:r>
      <w:r>
        <w:instrText xml:space="preserve"> REF _Ref56585976 \h </w:instrText>
      </w:r>
      <w:r>
        <w:fldChar w:fldCharType="separate"/>
      </w:r>
      <w:r w:rsidR="000B3BF6">
        <w:t xml:space="preserve">Table </w:t>
      </w:r>
      <w:r w:rsidR="000B3BF6">
        <w:rPr>
          <w:noProof/>
        </w:rPr>
        <w:t>9</w:t>
      </w:r>
      <w:r>
        <w:fldChar w:fldCharType="end"/>
      </w:r>
      <w:r>
        <w:t xml:space="preserve"> summarises the key differences between the options </w:t>
      </w:r>
      <w:r w:rsidR="006B36D8">
        <w:t>for DMRPs.</w:t>
      </w:r>
      <w:r w:rsidR="00C72A17">
        <w:t xml:space="preserve"> Under both </w:t>
      </w:r>
      <w:r w:rsidR="00F24E65">
        <w:t>Option 1</w:t>
      </w:r>
      <w:r w:rsidR="00C72A17">
        <w:t xml:space="preserve"> and 2, </w:t>
      </w:r>
      <w:r w:rsidR="00235F30">
        <w:t>l</w:t>
      </w:r>
      <w:r w:rsidR="00C72A17">
        <w:t xml:space="preserve">icensees are required to submit a detailed DMRP within </w:t>
      </w:r>
      <w:r w:rsidR="003C6F87">
        <w:t xml:space="preserve">a prescribed period </w:t>
      </w:r>
      <w:r w:rsidR="00C72A17">
        <w:t>of the regulations commencing, or the mine being declared.</w:t>
      </w:r>
      <w:r w:rsidR="00B825E3">
        <w:t xml:space="preserve"> The DMRP forms the crux of the declared mine rehabilitation framework and must therefore achieve or progress each of the fundamental objectives of the Amendment Act and the </w:t>
      </w:r>
      <w:r w:rsidR="006D027C">
        <w:t>proposed Regulations</w:t>
      </w:r>
      <w:r w:rsidR="00B825E3">
        <w:t xml:space="preserve">. </w:t>
      </w:r>
    </w:p>
    <w:p w14:paraId="5AA67305" w14:textId="3660B323" w:rsidR="00DB23EF" w:rsidRDefault="00DB23EF" w:rsidP="00DB23EF">
      <w:pPr>
        <w:pStyle w:val="Caption"/>
      </w:pPr>
      <w:bookmarkStart w:id="319" w:name="_Ref56585976"/>
      <w:bookmarkStart w:id="320" w:name="_Toc104217625"/>
      <w:r>
        <w:t xml:space="preserve">Table </w:t>
      </w:r>
      <w:r>
        <w:fldChar w:fldCharType="begin"/>
      </w:r>
      <w:r>
        <w:instrText>SEQ Table \* ARABIC</w:instrText>
      </w:r>
      <w:r>
        <w:fldChar w:fldCharType="separate"/>
      </w:r>
      <w:r w:rsidR="000B3BF6">
        <w:rPr>
          <w:noProof/>
        </w:rPr>
        <w:t>9</w:t>
      </w:r>
      <w:r>
        <w:fldChar w:fldCharType="end"/>
      </w:r>
      <w:bookmarkEnd w:id="319"/>
      <w:r>
        <w:t>: Summary of options for DMRPs</w:t>
      </w:r>
      <w:bookmarkEnd w:id="320"/>
    </w:p>
    <w:tbl>
      <w:tblPr>
        <w:tblStyle w:val="TableGrid"/>
        <w:tblW w:w="5000" w:type="pct"/>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CellMar>
          <w:top w:w="28" w:type="dxa"/>
        </w:tblCellMar>
        <w:tblLook w:val="04A0" w:firstRow="1" w:lastRow="0" w:firstColumn="1" w:lastColumn="0" w:noHBand="0" w:noVBand="1"/>
        <w:tblCaption w:val="Table heading"/>
      </w:tblPr>
      <w:tblGrid>
        <w:gridCol w:w="2552"/>
        <w:gridCol w:w="5527"/>
        <w:gridCol w:w="5879"/>
      </w:tblGrid>
      <w:tr w:rsidR="00DB23EF" w:rsidRPr="00D51674" w14:paraId="4EABAE41" w14:textId="77777777" w:rsidTr="006B33C5">
        <w:trPr>
          <w:trHeight w:val="283"/>
          <w:tblHeader/>
        </w:trPr>
        <w:tc>
          <w:tcPr>
            <w:tcW w:w="914" w:type="pct"/>
            <w:shd w:val="clear" w:color="auto" w:fill="1B0B38"/>
            <w:vAlign w:val="center"/>
          </w:tcPr>
          <w:p w14:paraId="3E975A83" w14:textId="77777777" w:rsidR="00DB23EF" w:rsidRDefault="00DB23EF">
            <w:pPr>
              <w:spacing w:before="0"/>
              <w:jc w:val="center"/>
              <w:rPr>
                <w:rStyle w:val="Strong"/>
                <w:i/>
                <w:iCs/>
                <w:color w:val="FFFFFF" w:themeColor="background1"/>
                <w:szCs w:val="18"/>
              </w:rPr>
            </w:pPr>
            <w:r>
              <w:rPr>
                <w:rStyle w:val="Strong"/>
                <w:color w:val="FFFFFF" w:themeColor="background1"/>
              </w:rPr>
              <w:t>Base case</w:t>
            </w:r>
          </w:p>
        </w:tc>
        <w:tc>
          <w:tcPr>
            <w:tcW w:w="1980" w:type="pct"/>
            <w:shd w:val="clear" w:color="auto" w:fill="1B0B38"/>
            <w:vAlign w:val="center"/>
          </w:tcPr>
          <w:p w14:paraId="4F78294F" w14:textId="049CE278" w:rsidR="00DB23EF" w:rsidRDefault="00F24E65">
            <w:pPr>
              <w:spacing w:before="0"/>
              <w:jc w:val="center"/>
              <w:rPr>
                <w:rStyle w:val="Strong"/>
                <w:color w:val="FFFFFF" w:themeColor="background1"/>
              </w:rPr>
            </w:pPr>
            <w:r>
              <w:rPr>
                <w:rStyle w:val="Strong"/>
                <w:color w:val="FFFFFF" w:themeColor="background1"/>
              </w:rPr>
              <w:t>Option 1</w:t>
            </w:r>
          </w:p>
        </w:tc>
        <w:tc>
          <w:tcPr>
            <w:tcW w:w="2106" w:type="pct"/>
            <w:shd w:val="clear" w:color="auto" w:fill="1B0B38"/>
            <w:vAlign w:val="center"/>
          </w:tcPr>
          <w:p w14:paraId="4FD58DBF" w14:textId="62B26C97" w:rsidR="00DB23EF" w:rsidRDefault="00F24E65">
            <w:pPr>
              <w:spacing w:before="0"/>
              <w:jc w:val="center"/>
              <w:rPr>
                <w:rStyle w:val="Strong"/>
                <w:color w:val="FFFFFF" w:themeColor="background1"/>
              </w:rPr>
            </w:pPr>
            <w:r>
              <w:rPr>
                <w:rStyle w:val="Strong"/>
                <w:color w:val="FFFFFF" w:themeColor="background1"/>
              </w:rPr>
              <w:t>Option 2</w:t>
            </w:r>
          </w:p>
        </w:tc>
      </w:tr>
      <w:tr w:rsidR="00F24E65" w:rsidRPr="00D327FB" w14:paraId="29732687" w14:textId="77777777" w:rsidTr="00F24E65">
        <w:trPr>
          <w:trHeight w:val="358"/>
        </w:trPr>
        <w:tc>
          <w:tcPr>
            <w:tcW w:w="914" w:type="pct"/>
            <w:vMerge w:val="restart"/>
          </w:tcPr>
          <w:p w14:paraId="19A47841" w14:textId="77777777" w:rsidR="00F24E65" w:rsidRPr="003818F5" w:rsidRDefault="00F24E65" w:rsidP="006B33C5">
            <w:pPr>
              <w:numPr>
                <w:ilvl w:val="0"/>
                <w:numId w:val="57"/>
              </w:numPr>
              <w:tabs>
                <w:tab w:val="num" w:pos="720"/>
              </w:tabs>
              <w:spacing w:before="0" w:afterLines="30" w:after="72"/>
            </w:pPr>
            <w:r w:rsidRPr="003818F5">
              <w:t>Existing rehabilitation plans apply until licensee or regulator seeks variation under 2019 regulations</w:t>
            </w:r>
          </w:p>
          <w:p w14:paraId="55A6196C" w14:textId="77777777" w:rsidR="00F24E65" w:rsidRPr="003818F5" w:rsidRDefault="00F24E65" w:rsidP="006B33C5">
            <w:pPr>
              <w:numPr>
                <w:ilvl w:val="0"/>
                <w:numId w:val="57"/>
              </w:numPr>
              <w:tabs>
                <w:tab w:val="num" w:pos="720"/>
              </w:tabs>
              <w:spacing w:before="0" w:afterLines="30" w:after="72"/>
            </w:pPr>
            <w:r w:rsidRPr="003818F5">
              <w:t>Rehabilitation plan variations submitted before 1 July 2020 are under old rehabilitation plan requirements</w:t>
            </w:r>
          </w:p>
          <w:p w14:paraId="602A2CD5" w14:textId="77777777" w:rsidR="00F24E65" w:rsidRPr="003818F5" w:rsidRDefault="00F24E65" w:rsidP="006B33C5">
            <w:pPr>
              <w:numPr>
                <w:ilvl w:val="0"/>
                <w:numId w:val="57"/>
              </w:numPr>
              <w:tabs>
                <w:tab w:val="num" w:pos="720"/>
              </w:tabs>
              <w:spacing w:before="0" w:afterLines="30" w:after="72"/>
            </w:pPr>
            <w:r w:rsidRPr="003818F5">
              <w:t>Plan variations submitted after 1 July do not transition to a new declared mine rehabilitation (including post-closure plan)</w:t>
            </w:r>
          </w:p>
          <w:p w14:paraId="4D06D719" w14:textId="77777777" w:rsidR="00F24E65" w:rsidRPr="003818F5" w:rsidRDefault="00F24E65" w:rsidP="006B33C5">
            <w:pPr>
              <w:numPr>
                <w:ilvl w:val="0"/>
                <w:numId w:val="57"/>
              </w:numPr>
              <w:tabs>
                <w:tab w:val="num" w:pos="720"/>
              </w:tabs>
              <w:spacing w:before="0" w:afterLines="30" w:after="72"/>
            </w:pPr>
            <w:r w:rsidRPr="003818F5">
              <w:t>Regulations are needed to create the obligation to prepare a declared mine rehabilitation plan within a prescribed time frame</w:t>
            </w:r>
          </w:p>
          <w:p w14:paraId="2B48D399" w14:textId="1FFABEF0" w:rsidR="00F24E65" w:rsidRPr="00D327FB" w:rsidRDefault="00F24E65" w:rsidP="006B33C5">
            <w:pPr>
              <w:numPr>
                <w:ilvl w:val="0"/>
                <w:numId w:val="57"/>
              </w:numPr>
              <w:tabs>
                <w:tab w:val="num" w:pos="720"/>
              </w:tabs>
              <w:spacing w:before="0" w:afterLines="30" w:after="72"/>
              <w:rPr>
                <w:rStyle w:val="Strong"/>
              </w:rPr>
            </w:pPr>
            <w:r w:rsidRPr="003818F5">
              <w:t xml:space="preserve">Plans do not include specified closure criteria that address key risks and must be considered </w:t>
            </w:r>
            <w:r w:rsidRPr="003818F5">
              <w:lastRenderedPageBreak/>
              <w:t>in future decision-making</w:t>
            </w:r>
          </w:p>
        </w:tc>
        <w:tc>
          <w:tcPr>
            <w:tcW w:w="1980" w:type="pct"/>
          </w:tcPr>
          <w:p w14:paraId="5B185640" w14:textId="5417BEB0" w:rsidR="00F24E65" w:rsidRPr="009A719A" w:rsidRDefault="00F24E65" w:rsidP="006B33C5">
            <w:pPr>
              <w:spacing w:before="0" w:afterLines="30" w:after="72"/>
            </w:pPr>
            <w:r>
              <w:rPr>
                <w:b/>
                <w:bCs/>
              </w:rPr>
              <w:lastRenderedPageBreak/>
              <w:t>Outcomes and objectives</w:t>
            </w:r>
          </w:p>
          <w:p w14:paraId="509C10BA" w14:textId="77777777" w:rsidR="00F24E65" w:rsidRPr="00AD22A2" w:rsidRDefault="00F24E65" w:rsidP="006B33C5">
            <w:pPr>
              <w:numPr>
                <w:ilvl w:val="0"/>
                <w:numId w:val="58"/>
              </w:numPr>
              <w:tabs>
                <w:tab w:val="num" w:pos="720"/>
              </w:tabs>
              <w:spacing w:before="0" w:afterLines="30" w:after="72"/>
            </w:pPr>
            <w:r w:rsidRPr="00AD22A2">
              <w:t>Safe, stable and sustainable land form for a specified land use</w:t>
            </w:r>
          </w:p>
          <w:p w14:paraId="0E3A9FF7" w14:textId="77777777" w:rsidR="00F24E65" w:rsidRPr="00AD22A2" w:rsidRDefault="00F24E65" w:rsidP="006B33C5">
            <w:pPr>
              <w:numPr>
                <w:ilvl w:val="0"/>
                <w:numId w:val="58"/>
              </w:numPr>
              <w:tabs>
                <w:tab w:val="num" w:pos="720"/>
              </w:tabs>
              <w:spacing w:before="0" w:afterLines="30" w:after="72"/>
            </w:pPr>
            <w:r w:rsidRPr="00AD22A2">
              <w:t>Licensee-driven</w:t>
            </w:r>
          </w:p>
          <w:p w14:paraId="0353B906" w14:textId="63A3D544" w:rsidR="00F24E65" w:rsidRPr="00F24E65" w:rsidRDefault="00F24E65" w:rsidP="00F24E65">
            <w:pPr>
              <w:numPr>
                <w:ilvl w:val="0"/>
                <w:numId w:val="58"/>
              </w:numPr>
              <w:tabs>
                <w:tab w:val="num" w:pos="720"/>
              </w:tabs>
              <w:spacing w:before="0" w:afterLines="30" w:after="72"/>
              <w:rPr>
                <w:rStyle w:val="Strong"/>
                <w:b w:val="0"/>
                <w:bCs w:val="0"/>
              </w:rPr>
            </w:pPr>
            <w:r w:rsidRPr="00AD22A2">
              <w:t>Objectives set against that use (objective site-specific and bespoke)</w:t>
            </w:r>
          </w:p>
        </w:tc>
        <w:tc>
          <w:tcPr>
            <w:tcW w:w="2106" w:type="pct"/>
          </w:tcPr>
          <w:p w14:paraId="612568B4" w14:textId="3428A48E" w:rsidR="00F24E65" w:rsidRDefault="00F24E65" w:rsidP="006B33C5">
            <w:pPr>
              <w:spacing w:before="0" w:afterLines="30" w:after="72"/>
              <w:rPr>
                <w:b/>
                <w:bCs/>
              </w:rPr>
            </w:pPr>
            <w:r w:rsidRPr="006B33C5">
              <w:rPr>
                <w:b/>
                <w:bCs/>
              </w:rPr>
              <w:t>Outcomes</w:t>
            </w:r>
            <w:r>
              <w:rPr>
                <w:b/>
                <w:bCs/>
              </w:rPr>
              <w:t xml:space="preserve"> and objectives</w:t>
            </w:r>
          </w:p>
          <w:p w14:paraId="14906CDA" w14:textId="19886CA8" w:rsidR="00F24E65" w:rsidRPr="00C84429" w:rsidRDefault="006A34E1" w:rsidP="006B33C5">
            <w:pPr>
              <w:numPr>
                <w:ilvl w:val="0"/>
                <w:numId w:val="58"/>
              </w:numPr>
              <w:tabs>
                <w:tab w:val="num" w:pos="720"/>
              </w:tabs>
              <w:spacing w:before="0" w:afterLines="30" w:after="72"/>
            </w:pPr>
            <w:r>
              <w:t xml:space="preserve">Maintenance </w:t>
            </w:r>
            <w:r w:rsidRPr="00C84429">
              <w:t>of s</w:t>
            </w:r>
            <w:r w:rsidR="00F24E65" w:rsidRPr="00C84429">
              <w:t>afe and stable land form</w:t>
            </w:r>
          </w:p>
          <w:p w14:paraId="56D7A21D" w14:textId="40F57D48" w:rsidR="00F24E65" w:rsidRPr="00F24E65" w:rsidRDefault="00F97324" w:rsidP="00F24E65">
            <w:pPr>
              <w:numPr>
                <w:ilvl w:val="0"/>
                <w:numId w:val="58"/>
              </w:numPr>
              <w:tabs>
                <w:tab w:val="num" w:pos="720"/>
              </w:tabs>
              <w:spacing w:before="0" w:afterLines="30" w:after="72"/>
              <w:rPr>
                <w:rStyle w:val="Strong"/>
                <w:b w:val="0"/>
                <w:bCs w:val="0"/>
              </w:rPr>
            </w:pPr>
            <w:r w:rsidRPr="00C84429">
              <w:t>Prescribed matters to be included in the plan informed by the LVRRS and</w:t>
            </w:r>
            <w:r w:rsidR="00F24E65" w:rsidRPr="00C84429">
              <w:t xml:space="preserve"> based on accepted reg</w:t>
            </w:r>
            <w:r w:rsidR="00F24E65" w:rsidRPr="006B33C5">
              <w:t xml:space="preserve">ulatory or industry best practice </w:t>
            </w:r>
          </w:p>
        </w:tc>
      </w:tr>
      <w:tr w:rsidR="00F24E65" w:rsidRPr="00D327FB" w14:paraId="50115005" w14:textId="77777777" w:rsidTr="00F24E65">
        <w:trPr>
          <w:trHeight w:val="358"/>
        </w:trPr>
        <w:tc>
          <w:tcPr>
            <w:tcW w:w="914" w:type="pct"/>
            <w:vMerge/>
          </w:tcPr>
          <w:p w14:paraId="1F5D04B6" w14:textId="77777777" w:rsidR="00F24E65" w:rsidRPr="003818F5" w:rsidRDefault="00F24E65" w:rsidP="006B33C5">
            <w:pPr>
              <w:numPr>
                <w:ilvl w:val="0"/>
                <w:numId w:val="57"/>
              </w:numPr>
              <w:tabs>
                <w:tab w:val="num" w:pos="720"/>
              </w:tabs>
              <w:spacing w:before="0" w:afterLines="30" w:after="72"/>
            </w:pPr>
          </w:p>
        </w:tc>
        <w:tc>
          <w:tcPr>
            <w:tcW w:w="1980" w:type="pct"/>
          </w:tcPr>
          <w:p w14:paraId="349F918F" w14:textId="77777777" w:rsidR="00F24E65" w:rsidRPr="006B33C5" w:rsidRDefault="00F24E65" w:rsidP="00F24E65">
            <w:pPr>
              <w:spacing w:before="0" w:afterLines="30" w:after="72"/>
              <w:rPr>
                <w:b/>
                <w:bCs/>
              </w:rPr>
            </w:pPr>
            <w:r>
              <w:rPr>
                <w:b/>
                <w:bCs/>
              </w:rPr>
              <w:t xml:space="preserve">Decision making </w:t>
            </w:r>
          </w:p>
          <w:p w14:paraId="4E8A7802" w14:textId="50513132" w:rsidR="00F24E65" w:rsidRPr="00F24E65" w:rsidRDefault="00F24E65" w:rsidP="006B33C5">
            <w:pPr>
              <w:numPr>
                <w:ilvl w:val="0"/>
                <w:numId w:val="59"/>
              </w:numPr>
              <w:tabs>
                <w:tab w:val="num" w:pos="720"/>
              </w:tabs>
              <w:spacing w:before="0" w:afterLines="30" w:after="72"/>
            </w:pPr>
            <w:r w:rsidRPr="00C530D4">
              <w:t xml:space="preserve">Nothing prescribed because objectives are bespoke and site-specific </w:t>
            </w:r>
          </w:p>
        </w:tc>
        <w:tc>
          <w:tcPr>
            <w:tcW w:w="2106" w:type="pct"/>
          </w:tcPr>
          <w:p w14:paraId="6B6C9F7E" w14:textId="77777777" w:rsidR="00F24E65" w:rsidRPr="009A719A" w:rsidRDefault="00F24E65" w:rsidP="00F24E65">
            <w:pPr>
              <w:spacing w:before="0" w:afterLines="30" w:after="72"/>
            </w:pPr>
            <w:r>
              <w:rPr>
                <w:b/>
                <w:bCs/>
              </w:rPr>
              <w:t>Decision making</w:t>
            </w:r>
          </w:p>
          <w:p w14:paraId="412F9EFB" w14:textId="1BE2955E" w:rsidR="00F24E65" w:rsidRPr="00025784" w:rsidRDefault="00F24E65" w:rsidP="00F24E65">
            <w:pPr>
              <w:numPr>
                <w:ilvl w:val="0"/>
                <w:numId w:val="64"/>
              </w:numPr>
              <w:spacing w:before="0" w:afterLines="30" w:after="72"/>
            </w:pPr>
            <w:r w:rsidRPr="00025784">
              <w:t>Evidence to be provided with plan approval</w:t>
            </w:r>
            <w:r>
              <w:t xml:space="preserve">, </w:t>
            </w:r>
            <w:r w:rsidRPr="00025784">
              <w:t xml:space="preserve">e.g. evidence of how the </w:t>
            </w:r>
            <w:r w:rsidR="00C84429">
              <w:t>matters</w:t>
            </w:r>
            <w:r w:rsidRPr="00025784">
              <w:t xml:space="preserve"> in the regulations are </w:t>
            </w:r>
            <w:r w:rsidR="00C84429">
              <w:t>addressed</w:t>
            </w:r>
          </w:p>
          <w:p w14:paraId="312ABFEA" w14:textId="48EDC7A5" w:rsidR="00F24E65" w:rsidRPr="00F24E65" w:rsidRDefault="00F24E65" w:rsidP="006B33C5">
            <w:pPr>
              <w:numPr>
                <w:ilvl w:val="0"/>
                <w:numId w:val="64"/>
              </w:numPr>
              <w:spacing w:before="0" w:afterLines="30" w:after="72"/>
            </w:pPr>
            <w:r w:rsidRPr="00025784">
              <w:t>Matters to be considered by decision-maker</w:t>
            </w:r>
          </w:p>
        </w:tc>
      </w:tr>
      <w:tr w:rsidR="00F24E65" w:rsidRPr="00D327FB" w14:paraId="70DE1F1C" w14:textId="77777777" w:rsidTr="00F24E65">
        <w:trPr>
          <w:trHeight w:val="358"/>
        </w:trPr>
        <w:tc>
          <w:tcPr>
            <w:tcW w:w="914" w:type="pct"/>
            <w:vMerge/>
          </w:tcPr>
          <w:p w14:paraId="3637374E" w14:textId="77777777" w:rsidR="00F24E65" w:rsidRPr="003818F5" w:rsidRDefault="00F24E65" w:rsidP="006B33C5">
            <w:pPr>
              <w:numPr>
                <w:ilvl w:val="0"/>
                <w:numId w:val="57"/>
              </w:numPr>
              <w:tabs>
                <w:tab w:val="num" w:pos="720"/>
              </w:tabs>
              <w:spacing w:before="0" w:afterLines="30" w:after="72"/>
            </w:pPr>
          </w:p>
        </w:tc>
        <w:tc>
          <w:tcPr>
            <w:tcW w:w="1980" w:type="pct"/>
          </w:tcPr>
          <w:p w14:paraId="317E6425" w14:textId="77777777" w:rsidR="00F24E65" w:rsidRPr="006B33C5" w:rsidRDefault="00F24E65" w:rsidP="00F24E65">
            <w:pPr>
              <w:spacing w:before="0" w:afterLines="30" w:after="72"/>
              <w:rPr>
                <w:b/>
                <w:bCs/>
              </w:rPr>
            </w:pPr>
            <w:r>
              <w:rPr>
                <w:b/>
                <w:bCs/>
              </w:rPr>
              <w:t>Expectation at plan approval</w:t>
            </w:r>
          </w:p>
          <w:p w14:paraId="58D4A8CC" w14:textId="77777777" w:rsidR="00F24E65" w:rsidRPr="00C530D4" w:rsidRDefault="00F24E65" w:rsidP="00F24E65">
            <w:pPr>
              <w:numPr>
                <w:ilvl w:val="0"/>
                <w:numId w:val="60"/>
              </w:numPr>
              <w:tabs>
                <w:tab w:val="num" w:pos="720"/>
              </w:tabs>
              <w:spacing w:before="0" w:afterLines="30" w:after="72"/>
            </w:pPr>
            <w:r>
              <w:t>DMRPs are to contain all the details of their planned rehabilitation works, risk assessments, as specified under the Act, and a post-closure plan for the management of known and credible risks</w:t>
            </w:r>
          </w:p>
          <w:p w14:paraId="7F517B35" w14:textId="259D14D7" w:rsidR="00F24E65" w:rsidRPr="00F24E65" w:rsidRDefault="00F24E65" w:rsidP="00F24E65">
            <w:pPr>
              <w:numPr>
                <w:ilvl w:val="0"/>
                <w:numId w:val="60"/>
              </w:numPr>
              <w:spacing w:before="0" w:afterLines="30" w:after="72"/>
            </w:pPr>
            <w:r w:rsidRPr="00C530D4">
              <w:t>Regulator has limited ability to set plan conditions where details are not required or provided</w:t>
            </w:r>
          </w:p>
        </w:tc>
        <w:tc>
          <w:tcPr>
            <w:tcW w:w="2106" w:type="pct"/>
          </w:tcPr>
          <w:p w14:paraId="23384BC7" w14:textId="77777777" w:rsidR="00F24E65" w:rsidRPr="006B33C5" w:rsidRDefault="00F24E65" w:rsidP="00F24E65">
            <w:pPr>
              <w:spacing w:before="0" w:afterLines="30" w:after="72"/>
              <w:rPr>
                <w:b/>
                <w:bCs/>
              </w:rPr>
            </w:pPr>
            <w:r>
              <w:rPr>
                <w:b/>
                <w:bCs/>
              </w:rPr>
              <w:t>Expectation at plan approval</w:t>
            </w:r>
          </w:p>
          <w:p w14:paraId="41BFCA9D" w14:textId="77777777" w:rsidR="00F24E65" w:rsidRPr="00F868F9" w:rsidRDefault="00F24E65" w:rsidP="00F24E65">
            <w:pPr>
              <w:numPr>
                <w:ilvl w:val="0"/>
                <w:numId w:val="65"/>
              </w:numPr>
              <w:tabs>
                <w:tab w:val="num" w:pos="720"/>
              </w:tabs>
              <w:spacing w:before="0" w:afterLines="30" w:after="72"/>
            </w:pPr>
            <w:r w:rsidRPr="00F868F9">
              <w:t>Each core element of plan must be addressed</w:t>
            </w:r>
          </w:p>
          <w:p w14:paraId="75CCC126" w14:textId="77777777" w:rsidR="00F24E65" w:rsidRPr="00F868F9" w:rsidRDefault="00F24E65" w:rsidP="00F24E65">
            <w:pPr>
              <w:numPr>
                <w:ilvl w:val="0"/>
                <w:numId w:val="65"/>
              </w:numPr>
              <w:tabs>
                <w:tab w:val="num" w:pos="720"/>
              </w:tabs>
              <w:spacing w:before="0" w:afterLines="30" w:after="72"/>
            </w:pPr>
            <w:r w:rsidRPr="00F868F9">
              <w:t xml:space="preserve">Less detail may be required depending on </w:t>
            </w:r>
            <w:r>
              <w:t xml:space="preserve">stage of </w:t>
            </w:r>
            <w:r w:rsidRPr="00F868F9">
              <w:t>mine life cycle</w:t>
            </w:r>
          </w:p>
          <w:p w14:paraId="73F09DAE" w14:textId="77777777" w:rsidR="00F24E65" w:rsidRDefault="00F24E65" w:rsidP="00F24E65">
            <w:pPr>
              <w:spacing w:before="0" w:afterLines="30" w:after="72"/>
              <w:rPr>
                <w:b/>
                <w:bCs/>
              </w:rPr>
            </w:pPr>
          </w:p>
        </w:tc>
      </w:tr>
      <w:tr w:rsidR="00F24E65" w:rsidRPr="00D327FB" w14:paraId="7C236D58" w14:textId="77777777" w:rsidTr="00F24E65">
        <w:trPr>
          <w:trHeight w:val="358"/>
        </w:trPr>
        <w:tc>
          <w:tcPr>
            <w:tcW w:w="914" w:type="pct"/>
            <w:vMerge/>
          </w:tcPr>
          <w:p w14:paraId="50BA97FA" w14:textId="77777777" w:rsidR="00F24E65" w:rsidRPr="003818F5" w:rsidRDefault="00F24E65" w:rsidP="006B33C5">
            <w:pPr>
              <w:numPr>
                <w:ilvl w:val="0"/>
                <w:numId w:val="57"/>
              </w:numPr>
              <w:tabs>
                <w:tab w:val="num" w:pos="720"/>
              </w:tabs>
              <w:spacing w:before="0" w:afterLines="30" w:after="72"/>
            </w:pPr>
          </w:p>
        </w:tc>
        <w:tc>
          <w:tcPr>
            <w:tcW w:w="1980" w:type="pct"/>
          </w:tcPr>
          <w:p w14:paraId="6C443B77" w14:textId="77777777" w:rsidR="00F24E65" w:rsidRPr="006B33C5" w:rsidRDefault="00F24E65" w:rsidP="00F24E65">
            <w:pPr>
              <w:spacing w:before="0" w:afterLines="30" w:after="72"/>
              <w:rPr>
                <w:b/>
                <w:bCs/>
              </w:rPr>
            </w:pPr>
            <w:r>
              <w:rPr>
                <w:b/>
                <w:bCs/>
              </w:rPr>
              <w:t>How plans are updated</w:t>
            </w:r>
          </w:p>
          <w:p w14:paraId="10AA3321" w14:textId="77777777" w:rsidR="00F24E65" w:rsidRPr="00C72A17" w:rsidRDefault="00F24E65" w:rsidP="00F24E65">
            <w:pPr>
              <w:numPr>
                <w:ilvl w:val="0"/>
                <w:numId w:val="61"/>
              </w:numPr>
              <w:tabs>
                <w:tab w:val="num" w:pos="720"/>
              </w:tabs>
              <w:spacing w:before="0" w:afterLines="30" w:after="72"/>
            </w:pPr>
            <w:r w:rsidRPr="00C72A17">
              <w:t>Licensee applies for variation of plan</w:t>
            </w:r>
          </w:p>
          <w:p w14:paraId="6C7825DE" w14:textId="77777777" w:rsidR="00F24E65" w:rsidRPr="00C72A17" w:rsidRDefault="00F24E65" w:rsidP="00F24E65">
            <w:pPr>
              <w:numPr>
                <w:ilvl w:val="0"/>
                <w:numId w:val="61"/>
              </w:numPr>
              <w:spacing w:before="0" w:afterLines="30" w:after="72"/>
            </w:pPr>
            <w:r w:rsidRPr="00C72A17">
              <w:t>Threshold for variation set in regulations</w:t>
            </w:r>
          </w:p>
          <w:p w14:paraId="5851AE48" w14:textId="77777777" w:rsidR="00F24E65" w:rsidRDefault="00F24E65" w:rsidP="00F24E65">
            <w:pPr>
              <w:numPr>
                <w:ilvl w:val="0"/>
                <w:numId w:val="61"/>
              </w:numPr>
              <w:spacing w:before="0" w:afterLines="30" w:after="72"/>
            </w:pPr>
            <w:r w:rsidRPr="00C72A17">
              <w:t>Regulator can request application for variation</w:t>
            </w:r>
          </w:p>
          <w:p w14:paraId="21652BD0" w14:textId="77777777" w:rsidR="00F24E65" w:rsidRDefault="00F24E65" w:rsidP="00F24E65">
            <w:pPr>
              <w:spacing w:before="0" w:afterLines="30" w:after="72"/>
              <w:rPr>
                <w:b/>
                <w:bCs/>
              </w:rPr>
            </w:pPr>
          </w:p>
        </w:tc>
        <w:tc>
          <w:tcPr>
            <w:tcW w:w="2106" w:type="pct"/>
          </w:tcPr>
          <w:p w14:paraId="13AE5238" w14:textId="77777777" w:rsidR="00F24E65" w:rsidRPr="009A719A" w:rsidRDefault="00F24E65" w:rsidP="00F24E65">
            <w:pPr>
              <w:spacing w:before="0" w:afterLines="30" w:after="72"/>
            </w:pPr>
            <w:r>
              <w:rPr>
                <w:b/>
                <w:bCs/>
              </w:rPr>
              <w:t>How plans are updated</w:t>
            </w:r>
          </w:p>
          <w:p w14:paraId="2194DD53" w14:textId="7501C487" w:rsidR="00F24E65" w:rsidRPr="00DB69FB" w:rsidRDefault="00345BA8" w:rsidP="00F24E65">
            <w:pPr>
              <w:numPr>
                <w:ilvl w:val="0"/>
                <w:numId w:val="66"/>
              </w:numPr>
              <w:tabs>
                <w:tab w:val="num" w:pos="720"/>
              </w:tabs>
              <w:spacing w:before="0" w:afterLines="30" w:after="72"/>
            </w:pPr>
            <w:r>
              <w:t>Annual</w:t>
            </w:r>
            <w:r w:rsidR="00F24E65" w:rsidRPr="00DB69FB">
              <w:t xml:space="preserve"> review of </w:t>
            </w:r>
            <w:r>
              <w:t xml:space="preserve">rehabilitation and post-closure management risks identified in </w:t>
            </w:r>
            <w:r w:rsidR="00F24E65" w:rsidRPr="00DB69FB">
              <w:t>plans</w:t>
            </w:r>
            <w:r w:rsidR="00F24E65">
              <w:t xml:space="preserve"> </w:t>
            </w:r>
          </w:p>
          <w:p w14:paraId="66FB8EB8" w14:textId="5FDD5F6F" w:rsidR="00F24E65" w:rsidRPr="00DB69FB" w:rsidRDefault="00DA7B21" w:rsidP="00F24E65">
            <w:pPr>
              <w:numPr>
                <w:ilvl w:val="0"/>
                <w:numId w:val="66"/>
              </w:numPr>
              <w:tabs>
                <w:tab w:val="num" w:pos="720"/>
              </w:tabs>
              <w:spacing w:before="0" w:afterLines="30" w:after="72"/>
            </w:pPr>
            <w:r>
              <w:t>Plans can also be varied at the request of the regulator,</w:t>
            </w:r>
            <w:r w:rsidR="00F24E65" w:rsidRPr="00DB69FB">
              <w:t xml:space="preserve"> as Option 1</w:t>
            </w:r>
            <w:r>
              <w:t>, and at the direction of the Department Head</w:t>
            </w:r>
          </w:p>
          <w:p w14:paraId="414E83CF" w14:textId="77777777" w:rsidR="00F24E65" w:rsidRDefault="00F24E65" w:rsidP="00F24E65">
            <w:pPr>
              <w:spacing w:before="0" w:afterLines="30" w:after="72"/>
              <w:rPr>
                <w:b/>
                <w:bCs/>
              </w:rPr>
            </w:pPr>
          </w:p>
        </w:tc>
      </w:tr>
      <w:tr w:rsidR="00F24E65" w:rsidRPr="00D327FB" w14:paraId="0B32CF91" w14:textId="77777777" w:rsidTr="006B33C5">
        <w:trPr>
          <w:trHeight w:val="358"/>
        </w:trPr>
        <w:tc>
          <w:tcPr>
            <w:tcW w:w="914" w:type="pct"/>
            <w:vMerge/>
            <w:tcBorders>
              <w:bottom w:val="single" w:sz="4" w:space="0" w:color="1B0B38"/>
            </w:tcBorders>
          </w:tcPr>
          <w:p w14:paraId="6DD6320F" w14:textId="77777777" w:rsidR="00F24E65" w:rsidRPr="003818F5" w:rsidRDefault="00F24E65" w:rsidP="006B33C5">
            <w:pPr>
              <w:numPr>
                <w:ilvl w:val="0"/>
                <w:numId w:val="57"/>
              </w:numPr>
              <w:tabs>
                <w:tab w:val="num" w:pos="720"/>
              </w:tabs>
              <w:spacing w:before="0" w:afterLines="30" w:after="72"/>
            </w:pPr>
          </w:p>
        </w:tc>
        <w:tc>
          <w:tcPr>
            <w:tcW w:w="1980" w:type="pct"/>
            <w:tcBorders>
              <w:bottom w:val="single" w:sz="4" w:space="0" w:color="1B0B38"/>
            </w:tcBorders>
          </w:tcPr>
          <w:p w14:paraId="68448A84" w14:textId="77777777" w:rsidR="00F24E65" w:rsidRDefault="00F24E65" w:rsidP="00F24E65">
            <w:pPr>
              <w:spacing w:before="0" w:afterLines="30" w:after="72"/>
            </w:pPr>
            <w:r>
              <w:rPr>
                <w:b/>
                <w:bCs/>
              </w:rPr>
              <w:t>Reporting requirements</w:t>
            </w:r>
          </w:p>
          <w:p w14:paraId="4D4B52A6" w14:textId="2882DD45" w:rsidR="00F24E65" w:rsidRDefault="00F24E65" w:rsidP="00F24E65">
            <w:pPr>
              <w:spacing w:before="0" w:afterLines="30" w:after="72"/>
              <w:rPr>
                <w:b/>
                <w:bCs/>
              </w:rPr>
            </w:pPr>
            <w:r w:rsidRPr="0090111F">
              <w:t>Annual report on</w:t>
            </w:r>
            <w:r>
              <w:t xml:space="preserve"> r</w:t>
            </w:r>
            <w:r w:rsidRPr="0090111F">
              <w:t>ehabilitation milestones/ activity</w:t>
            </w:r>
            <w:r>
              <w:t xml:space="preserve"> and l</w:t>
            </w:r>
            <w:r w:rsidRPr="0090111F">
              <w:t>iability assessment</w:t>
            </w:r>
          </w:p>
        </w:tc>
        <w:tc>
          <w:tcPr>
            <w:tcW w:w="2106" w:type="pct"/>
            <w:tcBorders>
              <w:bottom w:val="single" w:sz="4" w:space="0" w:color="1B0B38"/>
            </w:tcBorders>
          </w:tcPr>
          <w:p w14:paraId="07D98031" w14:textId="77777777" w:rsidR="00F24E65" w:rsidRPr="006B33C5" w:rsidRDefault="00F24E65" w:rsidP="00F24E65">
            <w:pPr>
              <w:spacing w:before="0" w:afterLines="30" w:after="72"/>
              <w:rPr>
                <w:b/>
                <w:bCs/>
              </w:rPr>
            </w:pPr>
            <w:r>
              <w:rPr>
                <w:b/>
                <w:bCs/>
              </w:rPr>
              <w:t>Reporting requirements</w:t>
            </w:r>
          </w:p>
          <w:p w14:paraId="011D9D3F" w14:textId="4AA310D9" w:rsidR="00F24E65" w:rsidRDefault="00F24E65" w:rsidP="00F24E65">
            <w:pPr>
              <w:numPr>
                <w:ilvl w:val="0"/>
                <w:numId w:val="67"/>
              </w:numPr>
              <w:tabs>
                <w:tab w:val="num" w:pos="720"/>
              </w:tabs>
              <w:spacing w:before="0" w:afterLines="30" w:after="72"/>
            </w:pPr>
            <w:r w:rsidRPr="00F87882">
              <w:t xml:space="preserve">Annual report </w:t>
            </w:r>
            <w:r>
              <w:t xml:space="preserve">on research undertaken, site status information, rehabilitation planning update (notification of progress on detail of plan), rehabilitation milestones/activity and </w:t>
            </w:r>
            <w:r w:rsidR="007F2D9A">
              <w:t>community engagement</w:t>
            </w:r>
          </w:p>
          <w:p w14:paraId="5DAE850B" w14:textId="3AF91814" w:rsidR="00F24E65" w:rsidRPr="00F24E65" w:rsidRDefault="00F24E65" w:rsidP="00F24E65">
            <w:pPr>
              <w:numPr>
                <w:ilvl w:val="0"/>
                <w:numId w:val="67"/>
              </w:numPr>
              <w:tabs>
                <w:tab w:val="num" w:pos="720"/>
              </w:tabs>
              <w:spacing w:before="0" w:afterLines="30" w:after="72"/>
            </w:pPr>
            <w:r w:rsidRPr="00F87882">
              <w:t xml:space="preserve">Trigger reporting </w:t>
            </w:r>
            <w:r>
              <w:t>on reportable events and plan updates</w:t>
            </w:r>
          </w:p>
        </w:tc>
      </w:tr>
    </w:tbl>
    <w:p w14:paraId="447BD79E" w14:textId="77777777" w:rsidR="00700762" w:rsidRDefault="00700762" w:rsidP="00BA482E">
      <w:pPr>
        <w:sectPr w:rsidR="00700762" w:rsidSect="006B33C5">
          <w:pgSz w:w="16838" w:h="11906" w:orient="landscape"/>
          <w:pgMar w:top="1440" w:right="1440" w:bottom="1440" w:left="1440" w:header="708" w:footer="137" w:gutter="0"/>
          <w:cols w:space="708"/>
          <w:docGrid w:linePitch="360"/>
        </w:sectPr>
      </w:pPr>
      <w:bookmarkStart w:id="321" w:name="_Hlk4100815"/>
    </w:p>
    <w:p w14:paraId="7AFDA4CA" w14:textId="77777777" w:rsidR="0030676D" w:rsidRDefault="0030676D" w:rsidP="00D50C43">
      <w:pPr>
        <w:pStyle w:val="Heading3"/>
        <w:numPr>
          <w:ilvl w:val="2"/>
          <w:numId w:val="124"/>
        </w:numPr>
        <w:sectPr w:rsidR="0030676D" w:rsidSect="00623898">
          <w:pgSz w:w="11906" w:h="16838"/>
          <w:pgMar w:top="1440" w:right="1440" w:bottom="1440" w:left="1440" w:header="708" w:footer="137" w:gutter="0"/>
          <w:cols w:space="708"/>
          <w:docGrid w:linePitch="360"/>
        </w:sectPr>
      </w:pPr>
      <w:bookmarkStart w:id="322" w:name="_Hlk58514281"/>
      <w:bookmarkEnd w:id="321"/>
    </w:p>
    <w:p w14:paraId="3DCE0E7F" w14:textId="494F1C4D" w:rsidR="0024528B" w:rsidRDefault="00D3001C" w:rsidP="00D50C43">
      <w:pPr>
        <w:pStyle w:val="Heading3"/>
        <w:numPr>
          <w:ilvl w:val="2"/>
          <w:numId w:val="124"/>
        </w:numPr>
      </w:pPr>
      <w:bookmarkStart w:id="323" w:name="_Toc104217711"/>
      <w:r>
        <w:t>Benefits</w:t>
      </w:r>
      <w:bookmarkEnd w:id="323"/>
    </w:p>
    <w:p w14:paraId="4721A3B4" w14:textId="6B43C28F" w:rsidR="003045CA" w:rsidRDefault="009A719A" w:rsidP="00DF22D9">
      <w:r>
        <w:t>The effectiveness of each option in relation to each of the benefits sub-criteria is analysed below.</w:t>
      </w:r>
      <w:r w:rsidR="004B656D">
        <w:t xml:space="preserve"> </w:t>
      </w:r>
    </w:p>
    <w:p w14:paraId="66BB0366" w14:textId="59654E37" w:rsidR="00EF42F2" w:rsidRPr="00EF42F2" w:rsidRDefault="00E250D8" w:rsidP="00D25E4E">
      <w:pPr>
        <w:pStyle w:val="Heading6"/>
        <w:spacing w:after="120"/>
      </w:pPr>
      <w:bookmarkStart w:id="324" w:name="_Hlk58514309"/>
      <w:bookmarkStart w:id="325" w:name="_Hlk58514435"/>
      <w:bookmarkEnd w:id="322"/>
      <w:r w:rsidRPr="003F70FF">
        <w:t>Facilitate accurate assessment of rehabilitation liability</w:t>
      </w:r>
    </w:p>
    <w:tbl>
      <w:tblPr>
        <w:tblStyle w:val="TableGrid2"/>
        <w:tblW w:w="9026"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CellMar>
          <w:top w:w="28" w:type="dxa"/>
          <w:bottom w:w="28" w:type="dxa"/>
        </w:tblCellMar>
        <w:tblLook w:val="04A0" w:firstRow="1" w:lastRow="0" w:firstColumn="1" w:lastColumn="0" w:noHBand="0" w:noVBand="1"/>
      </w:tblPr>
      <w:tblGrid>
        <w:gridCol w:w="4531"/>
        <w:gridCol w:w="1679"/>
        <w:gridCol w:w="1408"/>
        <w:gridCol w:w="1408"/>
      </w:tblGrid>
      <w:tr w:rsidR="00EF42F2" w14:paraId="3223F263" w14:textId="77777777" w:rsidTr="00B4347E">
        <w:trPr>
          <w:trHeight w:val="283"/>
          <w:tblHeader/>
        </w:trPr>
        <w:tc>
          <w:tcPr>
            <w:tcW w:w="3454" w:type="dxa"/>
            <w:shd w:val="clear" w:color="auto" w:fill="1B0B38"/>
            <w:vAlign w:val="center"/>
          </w:tcPr>
          <w:p w14:paraId="4B473104" w14:textId="77777777" w:rsidR="00EF42F2" w:rsidRPr="00BA70A6" w:rsidRDefault="00EF42F2" w:rsidP="00B4347E">
            <w:pPr>
              <w:spacing w:before="0"/>
              <w:rPr>
                <w:rStyle w:val="Strong"/>
                <w:color w:val="FFFFFF" w:themeColor="background1"/>
              </w:rPr>
            </w:pPr>
            <w:r>
              <w:rPr>
                <w:rStyle w:val="Strong"/>
                <w:color w:val="FFFFFF" w:themeColor="background1"/>
              </w:rPr>
              <w:t>Criteria</w:t>
            </w:r>
          </w:p>
        </w:tc>
        <w:tc>
          <w:tcPr>
            <w:tcW w:w="1280" w:type="dxa"/>
            <w:shd w:val="clear" w:color="auto" w:fill="1B0B38"/>
            <w:vAlign w:val="center"/>
          </w:tcPr>
          <w:p w14:paraId="0530434B" w14:textId="77777777" w:rsidR="00EF42F2" w:rsidRDefault="00EF42F2" w:rsidP="00B4347E">
            <w:pPr>
              <w:spacing w:before="0"/>
              <w:jc w:val="center"/>
              <w:rPr>
                <w:rStyle w:val="Strong"/>
                <w:color w:val="FFFFFF" w:themeColor="background1"/>
              </w:rPr>
            </w:pPr>
            <w:r>
              <w:rPr>
                <w:rStyle w:val="Strong"/>
                <w:color w:val="FFFFFF" w:themeColor="background1"/>
              </w:rPr>
              <w:t>Weighting</w:t>
            </w:r>
          </w:p>
        </w:tc>
        <w:tc>
          <w:tcPr>
            <w:tcW w:w="2146" w:type="dxa"/>
            <w:gridSpan w:val="2"/>
            <w:shd w:val="clear" w:color="auto" w:fill="1B0B38"/>
            <w:vAlign w:val="center"/>
          </w:tcPr>
          <w:p w14:paraId="279249BF" w14:textId="77777777" w:rsidR="00EF42F2" w:rsidRDefault="00EF42F2" w:rsidP="00B4347E">
            <w:pPr>
              <w:spacing w:before="0"/>
              <w:jc w:val="center"/>
              <w:rPr>
                <w:rStyle w:val="Strong"/>
                <w:color w:val="FFFFFF" w:themeColor="background1"/>
              </w:rPr>
            </w:pPr>
            <w:r>
              <w:rPr>
                <w:rStyle w:val="Strong"/>
                <w:color w:val="FFFFFF" w:themeColor="background1"/>
              </w:rPr>
              <w:t>Unweighted Scores</w:t>
            </w:r>
          </w:p>
        </w:tc>
      </w:tr>
      <w:tr w:rsidR="00EF42F2" w14:paraId="0DAF9D7C" w14:textId="77777777" w:rsidTr="00B4347E">
        <w:trPr>
          <w:tblHeader/>
        </w:trPr>
        <w:tc>
          <w:tcPr>
            <w:tcW w:w="3454" w:type="dxa"/>
            <w:shd w:val="clear" w:color="auto" w:fill="D9D9D6" w:themeFill="background2"/>
            <w:vAlign w:val="center"/>
          </w:tcPr>
          <w:p w14:paraId="28169D2D" w14:textId="77777777" w:rsidR="00EF42F2" w:rsidRDefault="00EF42F2" w:rsidP="00B4347E">
            <w:pPr>
              <w:spacing w:before="0"/>
              <w:rPr>
                <w:rStyle w:val="Strong"/>
                <w:color w:val="FFFFFF" w:themeColor="background1"/>
              </w:rPr>
            </w:pPr>
          </w:p>
        </w:tc>
        <w:tc>
          <w:tcPr>
            <w:tcW w:w="1280" w:type="dxa"/>
            <w:shd w:val="clear" w:color="auto" w:fill="D9D9D6" w:themeFill="background2"/>
            <w:vAlign w:val="center"/>
          </w:tcPr>
          <w:p w14:paraId="06989FB1" w14:textId="77777777" w:rsidR="00EF42F2" w:rsidRDefault="00EF42F2" w:rsidP="00B4347E">
            <w:pPr>
              <w:spacing w:before="0"/>
              <w:jc w:val="center"/>
              <w:rPr>
                <w:b/>
                <w:bCs/>
              </w:rPr>
            </w:pPr>
          </w:p>
        </w:tc>
        <w:tc>
          <w:tcPr>
            <w:tcW w:w="1073" w:type="dxa"/>
            <w:shd w:val="clear" w:color="auto" w:fill="D9D9D6" w:themeFill="background2"/>
          </w:tcPr>
          <w:p w14:paraId="283302B3" w14:textId="77777777" w:rsidR="00EF42F2" w:rsidRDefault="00EF42F2" w:rsidP="00B4347E">
            <w:pPr>
              <w:spacing w:before="0"/>
              <w:jc w:val="center"/>
              <w:rPr>
                <w:b/>
                <w:bCs/>
              </w:rPr>
            </w:pPr>
            <w:r>
              <w:rPr>
                <w:b/>
                <w:bCs/>
              </w:rPr>
              <w:t>Option 1</w:t>
            </w:r>
          </w:p>
        </w:tc>
        <w:tc>
          <w:tcPr>
            <w:tcW w:w="1073" w:type="dxa"/>
            <w:shd w:val="clear" w:color="auto" w:fill="D9D9D6" w:themeFill="background2"/>
          </w:tcPr>
          <w:p w14:paraId="47FB45BF" w14:textId="77777777" w:rsidR="00EF42F2" w:rsidRDefault="00EF42F2" w:rsidP="00B4347E">
            <w:pPr>
              <w:spacing w:before="0"/>
              <w:jc w:val="center"/>
              <w:rPr>
                <w:b/>
                <w:bCs/>
              </w:rPr>
            </w:pPr>
            <w:r>
              <w:rPr>
                <w:b/>
                <w:bCs/>
              </w:rPr>
              <w:t>Option 2</w:t>
            </w:r>
          </w:p>
        </w:tc>
      </w:tr>
      <w:tr w:rsidR="00EF42F2" w:rsidRPr="008E75CA" w14:paraId="4E76AFA8" w14:textId="77777777" w:rsidTr="00B4347E">
        <w:trPr>
          <w:trHeight w:val="358"/>
        </w:trPr>
        <w:tc>
          <w:tcPr>
            <w:tcW w:w="3454" w:type="dxa"/>
            <w:vAlign w:val="center"/>
          </w:tcPr>
          <w:p w14:paraId="25396382" w14:textId="77777777" w:rsidR="00EF42F2" w:rsidRPr="00B10D68" w:rsidRDefault="00EF42F2" w:rsidP="00B4347E">
            <w:pPr>
              <w:spacing w:before="0"/>
              <w:rPr>
                <w:rFonts w:asciiTheme="minorHAnsi" w:hAnsiTheme="minorHAnsi" w:cstheme="minorHAnsi"/>
                <w:szCs w:val="18"/>
              </w:rPr>
            </w:pPr>
            <w:r w:rsidRPr="0074315C">
              <w:rPr>
                <w:rFonts w:asciiTheme="minorHAnsi" w:hAnsiTheme="minorHAnsi" w:cstheme="minorHAnsi"/>
                <w:szCs w:val="18"/>
              </w:rPr>
              <w:t>Facilitate assessment of declared mine rehabilitation liability</w:t>
            </w:r>
          </w:p>
        </w:tc>
        <w:tc>
          <w:tcPr>
            <w:tcW w:w="1280" w:type="dxa"/>
            <w:vAlign w:val="center"/>
          </w:tcPr>
          <w:p w14:paraId="25AB3451" w14:textId="5223883D" w:rsidR="00EF42F2" w:rsidRPr="0074315C" w:rsidRDefault="00EF42F2" w:rsidP="00B4347E">
            <w:pPr>
              <w:spacing w:before="0"/>
              <w:jc w:val="center"/>
              <w:rPr>
                <w:rFonts w:asciiTheme="minorHAnsi" w:hAnsiTheme="minorHAnsi" w:cstheme="minorHAnsi"/>
                <w:szCs w:val="18"/>
              </w:rPr>
            </w:pPr>
            <w:r>
              <w:rPr>
                <w:rFonts w:asciiTheme="minorHAnsi" w:hAnsiTheme="minorHAnsi" w:cstheme="minorHAnsi"/>
                <w:szCs w:val="18"/>
              </w:rPr>
              <w:t>16.7</w:t>
            </w:r>
            <w:r w:rsidRPr="00B06FB5">
              <w:rPr>
                <w:rFonts w:asciiTheme="minorHAnsi" w:hAnsiTheme="minorHAnsi" w:cstheme="minorHAnsi"/>
                <w:szCs w:val="18"/>
              </w:rPr>
              <w:t>%</w:t>
            </w:r>
          </w:p>
        </w:tc>
        <w:tc>
          <w:tcPr>
            <w:tcW w:w="1073" w:type="dxa"/>
            <w:vAlign w:val="center"/>
          </w:tcPr>
          <w:p w14:paraId="3402C2D8" w14:textId="77777777" w:rsidR="00EF42F2" w:rsidRPr="008E75CA" w:rsidRDefault="00EF42F2" w:rsidP="00B4347E">
            <w:pPr>
              <w:spacing w:before="0"/>
              <w:jc w:val="center"/>
              <w:rPr>
                <w:rFonts w:asciiTheme="majorHAnsi" w:hAnsiTheme="majorHAnsi" w:cstheme="majorHAnsi"/>
                <w:szCs w:val="18"/>
              </w:rPr>
            </w:pPr>
            <w:r w:rsidRPr="008E75CA">
              <w:rPr>
                <w:rFonts w:asciiTheme="majorHAnsi" w:hAnsiTheme="majorHAnsi" w:cstheme="majorHAnsi"/>
                <w:szCs w:val="18"/>
              </w:rPr>
              <w:t>7</w:t>
            </w:r>
          </w:p>
        </w:tc>
        <w:tc>
          <w:tcPr>
            <w:tcW w:w="1073" w:type="dxa"/>
            <w:vAlign w:val="center"/>
          </w:tcPr>
          <w:p w14:paraId="68F9B3E1" w14:textId="6F58AA2A" w:rsidR="00EF42F2" w:rsidRPr="008E75CA" w:rsidRDefault="00EF42F2" w:rsidP="00B4347E">
            <w:pPr>
              <w:spacing w:before="0"/>
              <w:jc w:val="center"/>
              <w:rPr>
                <w:rFonts w:asciiTheme="majorHAnsi" w:hAnsiTheme="majorHAnsi" w:cstheme="majorHAnsi"/>
                <w:szCs w:val="18"/>
              </w:rPr>
            </w:pPr>
            <w:r>
              <w:rPr>
                <w:rFonts w:asciiTheme="majorHAnsi" w:hAnsiTheme="majorHAnsi" w:cstheme="majorHAnsi"/>
                <w:szCs w:val="18"/>
              </w:rPr>
              <w:t>8</w:t>
            </w:r>
          </w:p>
        </w:tc>
      </w:tr>
    </w:tbl>
    <w:p w14:paraId="35F1B4F6" w14:textId="1249DA79" w:rsidR="007C3FEE" w:rsidRPr="007C3FEE" w:rsidRDefault="007C3FEE" w:rsidP="007C3FEE">
      <w:pPr>
        <w:pStyle w:val="Heading7"/>
      </w:pPr>
      <w:r>
        <w:t>Option 1</w:t>
      </w:r>
    </w:p>
    <w:bookmarkEnd w:id="324"/>
    <w:p w14:paraId="78EBC284" w14:textId="3784F9C1" w:rsidR="00BC6DE0" w:rsidRDefault="00F24E65" w:rsidP="00E250D8">
      <w:r>
        <w:t>Option 1</w:t>
      </w:r>
      <w:r w:rsidR="00BC6DE0">
        <w:t xml:space="preserve"> is considered to be much more effective than the base case in facilitating accurate assessment of rehabilitation liability</w:t>
      </w:r>
      <w:r w:rsidR="003F4BF6">
        <w:t>,</w:t>
      </w:r>
      <w:r w:rsidR="000C31C0">
        <w:t xml:space="preserve"> and managing financial risk to the </w:t>
      </w:r>
      <w:r w:rsidR="00831AA2">
        <w:t>s</w:t>
      </w:r>
      <w:r w:rsidR="003065AF">
        <w:t>tate,</w:t>
      </w:r>
      <w:r w:rsidR="003F4BF6">
        <w:t xml:space="preserve"> due to the </w:t>
      </w:r>
      <w:r w:rsidR="00CC7961">
        <w:t xml:space="preserve">additional information required under the DMRP relative to the base case. As such, </w:t>
      </w:r>
      <w:r>
        <w:t>Option 1</w:t>
      </w:r>
      <w:r w:rsidR="003F4BF6">
        <w:t xml:space="preserve"> has been scored </w:t>
      </w:r>
      <w:r w:rsidR="00CC7961">
        <w:t>as moderately positive (+7) relative to the base case</w:t>
      </w:r>
      <w:r w:rsidR="00BC6DE0">
        <w:t>.</w:t>
      </w:r>
    </w:p>
    <w:p w14:paraId="418F964F" w14:textId="036E3B8E" w:rsidR="005154ED" w:rsidRPr="005C6526" w:rsidRDefault="005154ED" w:rsidP="005154ED">
      <w:r w:rsidRPr="005C6526">
        <w:t>Under Option 1</w:t>
      </w:r>
      <w:r w:rsidR="00831AA2" w:rsidRPr="005C6526">
        <w:t>,</w:t>
      </w:r>
      <w:r w:rsidRPr="005C6526">
        <w:t xml:space="preserve"> licensees are required to provide information in the DMRP around planning of rehabilitation activities, risk assessments and post closure plans around site specific objectives. The regulations require licensees to undertake rehabilitation of declared mine land to a safe, stable and sustainable final landform, supported by:</w:t>
      </w:r>
    </w:p>
    <w:p w14:paraId="3C8619DC" w14:textId="00567864" w:rsidR="005154ED" w:rsidRPr="005C6526" w:rsidRDefault="005154ED" w:rsidP="005154ED">
      <w:pPr>
        <w:pStyle w:val="dotpoints"/>
        <w:numPr>
          <w:ilvl w:val="0"/>
          <w:numId w:val="70"/>
        </w:numPr>
      </w:pPr>
      <w:r w:rsidRPr="005C6526">
        <w:t>Rehabilitation and closure outcomes related to a specified post closure plan</w:t>
      </w:r>
      <w:r w:rsidR="00BF1844">
        <w:t>,</w:t>
      </w:r>
    </w:p>
    <w:p w14:paraId="7F9AD97F" w14:textId="10554ABB" w:rsidR="005154ED" w:rsidRPr="005C6526" w:rsidRDefault="005154ED" w:rsidP="005154ED">
      <w:pPr>
        <w:pStyle w:val="dotpoints"/>
        <w:numPr>
          <w:ilvl w:val="0"/>
          <w:numId w:val="70"/>
        </w:numPr>
      </w:pPr>
      <w:r w:rsidRPr="005C6526">
        <w:t>Defined post mining land use</w:t>
      </w:r>
      <w:r w:rsidR="00F16EA5" w:rsidRPr="005C6526">
        <w:t>,</w:t>
      </w:r>
      <w:r w:rsidR="00EE48DE" w:rsidRPr="005C6526">
        <w:t xml:space="preserve"> and</w:t>
      </w:r>
    </w:p>
    <w:p w14:paraId="7296CF66" w14:textId="77777777" w:rsidR="005154ED" w:rsidRPr="005C6526" w:rsidRDefault="005154ED" w:rsidP="005154ED">
      <w:pPr>
        <w:pStyle w:val="dotpoints"/>
        <w:numPr>
          <w:ilvl w:val="0"/>
          <w:numId w:val="70"/>
        </w:numPr>
      </w:pPr>
      <w:r w:rsidRPr="005C6526">
        <w:t xml:space="preserve">Post closure plans. </w:t>
      </w:r>
    </w:p>
    <w:p w14:paraId="1E9F7C69" w14:textId="5D2E2AD0" w:rsidR="005154ED" w:rsidRDefault="005154ED" w:rsidP="005154ED">
      <w:r>
        <w:t xml:space="preserve">The licensees’ current </w:t>
      </w:r>
      <w:r w:rsidR="007836B5">
        <w:t xml:space="preserve">work </w:t>
      </w:r>
      <w:r>
        <w:t>plans were approved prior to the introduction of the 2019 Regulations, and do not include the post-closure risks arising from rehabilitated land (</w:t>
      </w:r>
      <w:r w:rsidR="007836B5">
        <w:t>e.g.,</w:t>
      </w:r>
      <w:r>
        <w:t xml:space="preserve"> known costs and foreseeable risks associated with ongoing land management for a rehabilitated </w:t>
      </w:r>
      <w:r w:rsidR="007059E6">
        <w:t>landform</w:t>
      </w:r>
      <w:r>
        <w:t>).</w:t>
      </w:r>
      <w:r w:rsidR="003A75A0">
        <w:t xml:space="preserve"> </w:t>
      </w:r>
      <w:r>
        <w:t>As such, the licensees’ rehabilitation plans are currently vague and conceptual, leading to the inadequate management of declared mine land risks</w:t>
      </w:r>
      <w:r w:rsidR="003065AF">
        <w:t xml:space="preserve"> and inaccurate assessment of rehabilitation liability</w:t>
      </w:r>
      <w:r>
        <w:t xml:space="preserve">. The Hazelwood Mine Fire Inquiry found that plans under the regulations </w:t>
      </w:r>
      <w:r w:rsidR="00FC179F">
        <w:t xml:space="preserve">in force prior to 2019 </w:t>
      </w:r>
      <w:r>
        <w:t>did not adequately ensure that land that had been mined would be rehabilitated to a safe and stable condition. Under the base case</w:t>
      </w:r>
      <w:r w:rsidR="00AB317A">
        <w:t>,</w:t>
      </w:r>
      <w:r>
        <w:t xml:space="preserve"> licensees are not required to prepare a declared mine rehabilitation plan within a prescribed time frame, so these issues would continue.</w:t>
      </w:r>
    </w:p>
    <w:p w14:paraId="6C8E1896" w14:textId="6CCA2168" w:rsidR="006A6E83" w:rsidRDefault="006A6E83" w:rsidP="006A6E83">
      <w:r>
        <w:t xml:space="preserve">Option 1 addresses the issues associated with the current conceptual nature of rehabilitation planning by requiring much more detailed and specific rehabilitation planning </w:t>
      </w:r>
      <w:r w:rsidR="006A4A66">
        <w:t xml:space="preserve">to be included in the DMRP </w:t>
      </w:r>
      <w:r>
        <w:t>relative to the base case, including explicit consideration of additional factors with the potential to increase liability.</w:t>
      </w:r>
      <w:r w:rsidRPr="002E7E08">
        <w:t xml:space="preserve"> </w:t>
      </w:r>
      <w:r>
        <w:t>This includes requiring licensees to:</w:t>
      </w:r>
    </w:p>
    <w:p w14:paraId="225215B3" w14:textId="37DB3A32" w:rsidR="006A6E83" w:rsidRDefault="534542B7" w:rsidP="006A6E83">
      <w:pPr>
        <w:pStyle w:val="dotpoints"/>
      </w:pPr>
      <w:r>
        <w:t>investigate and address a wider range of potential rehabilitation risks in the DMRP</w:t>
      </w:r>
      <w:r w:rsidR="00EE48DE">
        <w:t>, and</w:t>
      </w:r>
      <w:r>
        <w:t xml:space="preserve"> </w:t>
      </w:r>
    </w:p>
    <w:p w14:paraId="42173A63" w14:textId="6FECFEEB" w:rsidR="006A6E83" w:rsidRDefault="534542B7" w:rsidP="006A6E83">
      <w:pPr>
        <w:pStyle w:val="dotpoints"/>
      </w:pPr>
      <w:r>
        <w:t>set site-specific planning objectives, along with activities and milestones for structuring and measuring progress towards those objectives.</w:t>
      </w:r>
    </w:p>
    <w:p w14:paraId="4B0D1C41" w14:textId="789E1851" w:rsidR="00EB53FA" w:rsidRDefault="00681127" w:rsidP="00EB53FA">
      <w:r>
        <w:t xml:space="preserve">The detailed information is required to be provided at plan approval, which provides the government with more comprehensive information around declared mine risks at </w:t>
      </w:r>
      <w:r w:rsidR="00724D6D">
        <w:t xml:space="preserve">first plan approval, and </w:t>
      </w:r>
      <w:r>
        <w:t>any point in time over the life of the declared mines than under the base case.</w:t>
      </w:r>
      <w:r w:rsidR="00E81CEC">
        <w:t xml:space="preserve"> </w:t>
      </w:r>
      <w:r w:rsidR="00E250D8">
        <w:t xml:space="preserve">The </w:t>
      </w:r>
      <w:r w:rsidR="00CC7961">
        <w:t xml:space="preserve">additional </w:t>
      </w:r>
      <w:r w:rsidR="00E250D8">
        <w:t>information requirements will lead to more effective regulation of rehabilitation works and</w:t>
      </w:r>
      <w:r w:rsidR="006A6E83">
        <w:t xml:space="preserve"> will allow the government to make a more accurate assessment of the rehabilitation liability of each of the mines, resulting in</w:t>
      </w:r>
      <w:r w:rsidR="00E250D8">
        <w:t xml:space="preserve"> rehabilitation bonds that better reflect the true cost of rehabilitation</w:t>
      </w:r>
      <w:r w:rsidR="006A6E83">
        <w:t>. This</w:t>
      </w:r>
      <w:r w:rsidR="00E250D8">
        <w:t xml:space="preserve"> ensur</w:t>
      </w:r>
      <w:r w:rsidR="006A6E83">
        <w:t>es</w:t>
      </w:r>
      <w:r w:rsidR="00E250D8">
        <w:t xml:space="preserve"> the State (and community) are protected from rehabilitation costs that rest with the operator.</w:t>
      </w:r>
      <w:r w:rsidR="00E250D8" w:rsidRPr="002E7E08">
        <w:t xml:space="preserve"> </w:t>
      </w:r>
    </w:p>
    <w:p w14:paraId="39DE26E0" w14:textId="2853DB6A" w:rsidR="003C0A16" w:rsidRDefault="00FA2FCD" w:rsidP="003C0A16">
      <w:r>
        <w:t>Option 1 will be more effective than the base case in achieving the objectives of the Act, and managing financial risks posed by declared mine by virtue of setting a timeframe in which licensees must prepare and submit their DMRP. Requiring licensees to prepare and submit a DMRP within one year of the regulations commencing means that the above benefits can be achieved once the DMRP has been approved.</w:t>
      </w:r>
      <w:r w:rsidR="003C0A16" w:rsidRPr="003C0A16">
        <w:t xml:space="preserve"> </w:t>
      </w:r>
      <w:r w:rsidR="003C0A16">
        <w:t xml:space="preserve">As such, the overall risks to government and the community are significantly reduced under Option 1 relative to the base case. </w:t>
      </w:r>
    </w:p>
    <w:p w14:paraId="4A3560DE" w14:textId="33A9A77D" w:rsidR="00A6176E" w:rsidRDefault="00D042F2" w:rsidP="00E250D8">
      <w:r>
        <w:lastRenderedPageBreak/>
        <w:t>Under Option 1, licensees could apply to the Minister for an extension of time to prepare the DMRP of up to one year. A delay of one year in submitting a DMRP, would mean the benefits noted above would not be achieved for a further year, and the risks</w:t>
      </w:r>
      <w:r w:rsidR="007A5AFE">
        <w:t xml:space="preserve">, </w:t>
      </w:r>
      <w:r>
        <w:t>associated with declared mines outlined in section 2.3 may not be managed sufficiently in this timeframe.</w:t>
      </w:r>
      <w:r w:rsidR="007A5AFE">
        <w:t xml:space="preserve"> Any delay in moving into the new framework under Option 1 carries </w:t>
      </w:r>
      <w:r w:rsidR="00CB5537">
        <w:t xml:space="preserve">financial </w:t>
      </w:r>
      <w:r w:rsidR="007A5AFE">
        <w:t xml:space="preserve">risk for the State that </w:t>
      </w:r>
      <w:r w:rsidR="00CB5537">
        <w:t xml:space="preserve">rehabilitation liabilities and bonds are not accurately assessed. </w:t>
      </w:r>
      <w:r w:rsidR="007A5641">
        <w:t xml:space="preserve">However, </w:t>
      </w:r>
      <w:r w:rsidR="00D07A47">
        <w:t xml:space="preserve">such a delay </w:t>
      </w:r>
      <w:r w:rsidR="007A5641">
        <w:t>does not</w:t>
      </w:r>
      <w:r w:rsidR="00D07A47">
        <w:t xml:space="preserve"> materially</w:t>
      </w:r>
      <w:r w:rsidR="007A5641">
        <w:t xml:space="preserve"> impact on the eff</w:t>
      </w:r>
      <w:r w:rsidR="00D07A47">
        <w:t>ectiveness of this option relative to the base case.</w:t>
      </w:r>
    </w:p>
    <w:p w14:paraId="3D9E3480" w14:textId="77777777" w:rsidR="007C3FEE" w:rsidRDefault="007C3FEE" w:rsidP="007C3FEE">
      <w:pPr>
        <w:pStyle w:val="Heading7"/>
      </w:pPr>
      <w:bookmarkStart w:id="326" w:name="_Hlk58514338"/>
      <w:r>
        <w:t>Option 2</w:t>
      </w:r>
    </w:p>
    <w:p w14:paraId="7950F1E1" w14:textId="26E183FD" w:rsidR="007C3FEE" w:rsidRDefault="007C3FEE" w:rsidP="007C3FEE">
      <w:r>
        <w:t>Option 2 is considered to be much more effective than the base case in facilitating accurate assessment of rehabilitation liability, due to the additional information required under the DMRP and annual reporting relative to the base case. As such, Option 2 has been scored as moderately positive (+</w:t>
      </w:r>
      <w:r w:rsidR="00867137">
        <w:t>8</w:t>
      </w:r>
      <w:r>
        <w:t>) relative to the base case.</w:t>
      </w:r>
    </w:p>
    <w:p w14:paraId="315C4DB5" w14:textId="77777777" w:rsidR="007C3FEE" w:rsidRDefault="007C3FEE" w:rsidP="007C3FEE">
      <w:r>
        <w:t>Similar to Option 1, Option 2 addresses the issues associated with the current conceptual nature of rehabilitation planning by requiring much more detailed and specific rehabilitation planning relative to the base case, including explicit consideration of additional factors with the potential to increase liability.</w:t>
      </w:r>
      <w:r w:rsidRPr="002E7E08">
        <w:t xml:space="preserve"> </w:t>
      </w:r>
      <w:r>
        <w:t>This includes requiring licensees to:</w:t>
      </w:r>
    </w:p>
    <w:p w14:paraId="3D1DF418" w14:textId="77777777" w:rsidR="007C3FEE" w:rsidRDefault="007C3FEE" w:rsidP="007C3FEE">
      <w:pPr>
        <w:pStyle w:val="dotpoints"/>
      </w:pPr>
      <w:r>
        <w:t xml:space="preserve">Investigate and address a wider range of potential rehabilitation risks in the DMRP </w:t>
      </w:r>
    </w:p>
    <w:p w14:paraId="412A004E" w14:textId="77777777" w:rsidR="007C3FEE" w:rsidRDefault="007C3FEE" w:rsidP="007C3FEE">
      <w:pPr>
        <w:pStyle w:val="dotpoints"/>
      </w:pPr>
      <w:r>
        <w:t>Provide evidence including how the objectives in the regulations relating to rehabilitation will be met</w:t>
      </w:r>
    </w:p>
    <w:p w14:paraId="035A8409" w14:textId="77777777" w:rsidR="007C3FEE" w:rsidRDefault="007C3FEE" w:rsidP="007C3FEE">
      <w:pPr>
        <w:pStyle w:val="dotpoints"/>
      </w:pPr>
      <w:r>
        <w:t>Set specific rehabilitation activities and milestones for structuring and measuring progress towards rehabilitation objectives</w:t>
      </w:r>
    </w:p>
    <w:p w14:paraId="4287FCA0" w14:textId="77777777" w:rsidR="007C3FEE" w:rsidRDefault="007C3FEE" w:rsidP="007C3FEE">
      <w:pPr>
        <w:pStyle w:val="dotpoints"/>
      </w:pPr>
      <w:r>
        <w:t>Contingency planning including projected costing.</w:t>
      </w:r>
    </w:p>
    <w:p w14:paraId="75F3582B" w14:textId="7F6E05DB" w:rsidR="007C3FEE" w:rsidRDefault="007C3FEE" w:rsidP="007C3FEE">
      <w:r>
        <w:t>The additional information requirements under Option 2 will lead to more effective regulation of rehabilitation works and rehabilitation bonds that better reflect the true cost of rehabilitation than under the base case, ensuring the State (and community) are protected from rehabilitation costs that rest with the operator.</w:t>
      </w:r>
      <w:r w:rsidRPr="002E7E08">
        <w:t xml:space="preserve"> </w:t>
      </w:r>
      <w:r>
        <w:t xml:space="preserve">The additional requirements around contingency planning relative to Option 1 is likely to facilitate more accurate assessment of rehabilitation liability by accommodating a wider range of possible outcomes and pathways than Option 1, which assumes rehabilitation according to the plan set out in the DMRP. </w:t>
      </w:r>
      <w:r w:rsidRPr="00B307BE">
        <w:t>Further, this liability assessment will be updated regularly alongside the regular reviews of the DMRP, which ensures the State (and community) are protected from unexpected changes in rehabilitation costs</w:t>
      </w:r>
      <w:r w:rsidR="004766AA" w:rsidRPr="007C2CB9">
        <w:t xml:space="preserve"> over time</w:t>
      </w:r>
      <w:r w:rsidRPr="00B307BE">
        <w:t>.</w:t>
      </w:r>
    </w:p>
    <w:p w14:paraId="14FC2AA9" w14:textId="0D45A01C" w:rsidR="00295245" w:rsidRDefault="00937224" w:rsidP="007C3FEE">
      <w:r>
        <w:t xml:space="preserve">Option 2 requires </w:t>
      </w:r>
      <w:r w:rsidR="0097487B">
        <w:t xml:space="preserve">existing </w:t>
      </w:r>
      <w:r>
        <w:t xml:space="preserve">licensees to submit their DMRP within </w:t>
      </w:r>
      <w:r w:rsidR="00BC4B0B">
        <w:t>three</w:t>
      </w:r>
      <w:r>
        <w:t xml:space="preserve"> year</w:t>
      </w:r>
      <w:r w:rsidR="00BC4B0B">
        <w:t>s</w:t>
      </w:r>
      <w:r>
        <w:t xml:space="preserve"> </w:t>
      </w:r>
      <w:r w:rsidR="00BC4B0B">
        <w:t xml:space="preserve">from </w:t>
      </w:r>
      <w:r w:rsidR="003836BB">
        <w:t>September</w:t>
      </w:r>
      <w:r w:rsidR="00BC4B0B">
        <w:t xml:space="preserve"> 2022</w:t>
      </w:r>
      <w:r>
        <w:t>. Under this option, licensees can apply to the Min</w:t>
      </w:r>
      <w:r w:rsidR="00522974">
        <w:t>i</w:t>
      </w:r>
      <w:r>
        <w:t xml:space="preserve">ster for an extension of time to prepare the DMRP of up to one year. As with Option 1, on balance, </w:t>
      </w:r>
      <w:r w:rsidR="00082D33">
        <w:t xml:space="preserve">Option 2 will be more </w:t>
      </w:r>
      <w:r w:rsidR="00295245">
        <w:t>effective than the base case in achieving the objectives of the Act, and managing financial risks posed by declared mine by virtue of setting a timeframe in which licensees must prepare and submit their DMRP</w:t>
      </w:r>
      <w:r w:rsidR="005F54D5">
        <w:t>.</w:t>
      </w:r>
    </w:p>
    <w:p w14:paraId="2FDD2DB3" w14:textId="349156DB" w:rsidR="005F54D5" w:rsidRDefault="005F54D5" w:rsidP="005F54D5">
      <w:r>
        <w:t>In the shorter-term, the iterative approach to rehabilitation planning under Option 2 may mean that a DMRP is less detailed than a DMRP under Option 1, especially for the mines that are earlier in their lifecycle. As such, the government is likely to have less comprehensive information around declared mine risks earlier in the life of the declared mines than under Option 1</w:t>
      </w:r>
      <w:r w:rsidR="00C206FB">
        <w:t>. This may make the assessment of rehabilitation liability more difficult at first plan approval,</w:t>
      </w:r>
      <w:r w:rsidR="00224485">
        <w:t xml:space="preserve"> which may result in less accurate assessment of liability</w:t>
      </w:r>
      <w:r w:rsidR="004766AA">
        <w:t xml:space="preserve"> in the shorter-term</w:t>
      </w:r>
      <w:r>
        <w:t>. However, compared to the base case, a DMRP under Option 2 will include more information than the current approved rehabilitation plans of the declared mines.</w:t>
      </w:r>
    </w:p>
    <w:p w14:paraId="1E521F80" w14:textId="684F8800" w:rsidR="004766AA" w:rsidRDefault="00C206FB" w:rsidP="007C3FEE">
      <w:r>
        <w:t>Over</w:t>
      </w:r>
      <w:r w:rsidR="005F54D5">
        <w:t xml:space="preserve"> the longer-term, Option 2 is expected to result in better management of declared mine risks</w:t>
      </w:r>
      <w:r w:rsidR="00224485">
        <w:t>, and more accurate assessment of liability</w:t>
      </w:r>
      <w:r w:rsidR="005F54D5">
        <w:t>, as it is more flexible, more suited to the uncertain environment in which declared mine rehabilitation is occurring (as described in section 2.3.4).  Option 2 allows for and accommodates changing circumstances that impact on the level and nature of risk posed by declared mine sites through the iterative approach to rehabilitation planning and the yearly review</w:t>
      </w:r>
      <w:r w:rsidR="007B2A7C">
        <w:t xml:space="preserve"> of </w:t>
      </w:r>
      <w:r w:rsidR="006C7EBC">
        <w:t>rehabilitation and post-closure management risks</w:t>
      </w:r>
      <w:r w:rsidR="005F54D5">
        <w:t>.</w:t>
      </w:r>
      <w:r w:rsidR="00532778">
        <w:t xml:space="preserve"> This allows for more frequent review </w:t>
      </w:r>
      <w:r w:rsidR="00824EAE">
        <w:t>of the rehabilitation liability, that can be more readily assessed over time as the detail in the DMRP is developed. As such, in the long-term, Option 2 facilitates better management of mining risks</w:t>
      </w:r>
      <w:r w:rsidR="00532778">
        <w:t xml:space="preserve"> </w:t>
      </w:r>
      <w:r w:rsidR="00867137">
        <w:t>and a more accurate assessment of rehabilitation liability than Option 1.</w:t>
      </w:r>
    </w:p>
    <w:p w14:paraId="0C8D9DAA" w14:textId="77777777" w:rsidR="007C3FEE" w:rsidRDefault="00E250D8" w:rsidP="00D25E4E">
      <w:pPr>
        <w:pStyle w:val="Heading6"/>
        <w:spacing w:after="120"/>
      </w:pPr>
      <w:r>
        <w:t>Appropriate and integrated government decision-making</w:t>
      </w:r>
      <w:r w:rsidR="007C3FEE">
        <w:t xml:space="preserve"> </w:t>
      </w:r>
    </w:p>
    <w:tbl>
      <w:tblPr>
        <w:tblStyle w:val="TableGrid2"/>
        <w:tblW w:w="9026"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CellMar>
          <w:top w:w="28" w:type="dxa"/>
          <w:bottom w:w="28" w:type="dxa"/>
        </w:tblCellMar>
        <w:tblLook w:val="04A0" w:firstRow="1" w:lastRow="0" w:firstColumn="1" w:lastColumn="0" w:noHBand="0" w:noVBand="1"/>
      </w:tblPr>
      <w:tblGrid>
        <w:gridCol w:w="4531"/>
        <w:gridCol w:w="1679"/>
        <w:gridCol w:w="1408"/>
        <w:gridCol w:w="1408"/>
      </w:tblGrid>
      <w:tr w:rsidR="009476FF" w14:paraId="111521F4" w14:textId="77777777" w:rsidTr="009476FF">
        <w:trPr>
          <w:trHeight w:val="283"/>
          <w:tblHeader/>
        </w:trPr>
        <w:tc>
          <w:tcPr>
            <w:tcW w:w="4531" w:type="dxa"/>
            <w:shd w:val="clear" w:color="auto" w:fill="1B0B38"/>
            <w:vAlign w:val="center"/>
          </w:tcPr>
          <w:p w14:paraId="63D8F8EC" w14:textId="77777777" w:rsidR="009476FF" w:rsidRPr="00BA70A6" w:rsidRDefault="009476FF" w:rsidP="00E36912">
            <w:pPr>
              <w:spacing w:before="0"/>
              <w:rPr>
                <w:rStyle w:val="Strong"/>
                <w:color w:val="FFFFFF" w:themeColor="background1"/>
              </w:rPr>
            </w:pPr>
            <w:r>
              <w:rPr>
                <w:rStyle w:val="Strong"/>
                <w:color w:val="FFFFFF" w:themeColor="background1"/>
              </w:rPr>
              <w:t>Criteria</w:t>
            </w:r>
          </w:p>
        </w:tc>
        <w:tc>
          <w:tcPr>
            <w:tcW w:w="1679" w:type="dxa"/>
            <w:shd w:val="clear" w:color="auto" w:fill="1B0B38"/>
            <w:vAlign w:val="center"/>
          </w:tcPr>
          <w:p w14:paraId="15D274D1" w14:textId="77777777" w:rsidR="009476FF" w:rsidRDefault="009476FF" w:rsidP="00E36912">
            <w:pPr>
              <w:spacing w:before="0"/>
              <w:jc w:val="center"/>
              <w:rPr>
                <w:rStyle w:val="Strong"/>
                <w:color w:val="FFFFFF" w:themeColor="background1"/>
              </w:rPr>
            </w:pPr>
            <w:r>
              <w:rPr>
                <w:rStyle w:val="Strong"/>
                <w:color w:val="FFFFFF" w:themeColor="background1"/>
              </w:rPr>
              <w:t>Weighting</w:t>
            </w:r>
          </w:p>
        </w:tc>
        <w:tc>
          <w:tcPr>
            <w:tcW w:w="2816" w:type="dxa"/>
            <w:gridSpan w:val="2"/>
            <w:shd w:val="clear" w:color="auto" w:fill="1B0B38"/>
            <w:vAlign w:val="center"/>
          </w:tcPr>
          <w:p w14:paraId="45D82BCD" w14:textId="77777777" w:rsidR="009476FF" w:rsidRDefault="009476FF" w:rsidP="00E36912">
            <w:pPr>
              <w:spacing w:before="0"/>
              <w:jc w:val="center"/>
              <w:rPr>
                <w:rStyle w:val="Strong"/>
                <w:color w:val="FFFFFF" w:themeColor="background1"/>
              </w:rPr>
            </w:pPr>
            <w:r>
              <w:rPr>
                <w:rStyle w:val="Strong"/>
                <w:color w:val="FFFFFF" w:themeColor="background1"/>
              </w:rPr>
              <w:t>Unweighted Scores</w:t>
            </w:r>
          </w:p>
        </w:tc>
      </w:tr>
      <w:tr w:rsidR="009476FF" w14:paraId="18B0A832" w14:textId="77777777" w:rsidTr="009476FF">
        <w:trPr>
          <w:tblHeader/>
        </w:trPr>
        <w:tc>
          <w:tcPr>
            <w:tcW w:w="4531" w:type="dxa"/>
            <w:shd w:val="clear" w:color="auto" w:fill="D9D9D6" w:themeFill="background2"/>
            <w:vAlign w:val="center"/>
          </w:tcPr>
          <w:p w14:paraId="72C4563E" w14:textId="77777777" w:rsidR="009476FF" w:rsidRDefault="009476FF" w:rsidP="00E36912">
            <w:pPr>
              <w:spacing w:before="0"/>
              <w:rPr>
                <w:rStyle w:val="Strong"/>
                <w:color w:val="FFFFFF" w:themeColor="background1"/>
              </w:rPr>
            </w:pPr>
          </w:p>
        </w:tc>
        <w:tc>
          <w:tcPr>
            <w:tcW w:w="1679" w:type="dxa"/>
            <w:shd w:val="clear" w:color="auto" w:fill="D9D9D6" w:themeFill="background2"/>
            <w:vAlign w:val="center"/>
          </w:tcPr>
          <w:p w14:paraId="712D8919" w14:textId="77777777" w:rsidR="009476FF" w:rsidRDefault="009476FF" w:rsidP="00E36912">
            <w:pPr>
              <w:spacing w:before="0"/>
              <w:jc w:val="center"/>
              <w:rPr>
                <w:b/>
                <w:bCs/>
              </w:rPr>
            </w:pPr>
          </w:p>
        </w:tc>
        <w:tc>
          <w:tcPr>
            <w:tcW w:w="1408" w:type="dxa"/>
            <w:shd w:val="clear" w:color="auto" w:fill="D9D9D6" w:themeFill="background2"/>
          </w:tcPr>
          <w:p w14:paraId="7AF17898" w14:textId="77777777" w:rsidR="009476FF" w:rsidRDefault="009476FF" w:rsidP="00E36912">
            <w:pPr>
              <w:spacing w:before="0"/>
              <w:jc w:val="center"/>
              <w:rPr>
                <w:b/>
                <w:bCs/>
              </w:rPr>
            </w:pPr>
            <w:r>
              <w:rPr>
                <w:b/>
                <w:bCs/>
              </w:rPr>
              <w:t>Option 1</w:t>
            </w:r>
          </w:p>
        </w:tc>
        <w:tc>
          <w:tcPr>
            <w:tcW w:w="1408" w:type="dxa"/>
            <w:shd w:val="clear" w:color="auto" w:fill="D9D9D6" w:themeFill="background2"/>
          </w:tcPr>
          <w:p w14:paraId="1CAC4A72" w14:textId="77777777" w:rsidR="009476FF" w:rsidRDefault="009476FF" w:rsidP="00E36912">
            <w:pPr>
              <w:spacing w:before="0"/>
              <w:jc w:val="center"/>
              <w:rPr>
                <w:b/>
                <w:bCs/>
              </w:rPr>
            </w:pPr>
            <w:r>
              <w:rPr>
                <w:b/>
                <w:bCs/>
              </w:rPr>
              <w:t>Option 2</w:t>
            </w:r>
          </w:p>
        </w:tc>
      </w:tr>
      <w:tr w:rsidR="009476FF" w:rsidRPr="008E75CA" w14:paraId="53003173" w14:textId="77777777" w:rsidTr="009476FF">
        <w:trPr>
          <w:trHeight w:val="358"/>
        </w:trPr>
        <w:tc>
          <w:tcPr>
            <w:tcW w:w="4531" w:type="dxa"/>
            <w:vAlign w:val="center"/>
          </w:tcPr>
          <w:p w14:paraId="4C314328" w14:textId="19B62D6E" w:rsidR="009476FF" w:rsidRPr="00B10D68" w:rsidRDefault="009476FF" w:rsidP="009476FF">
            <w:pPr>
              <w:spacing w:before="0"/>
              <w:rPr>
                <w:rFonts w:asciiTheme="minorHAnsi" w:hAnsiTheme="minorHAnsi" w:cstheme="minorHAnsi"/>
                <w:szCs w:val="18"/>
              </w:rPr>
            </w:pPr>
            <w:r>
              <w:rPr>
                <w:rFonts w:asciiTheme="minorHAnsi" w:hAnsiTheme="minorHAnsi" w:cstheme="minorHAnsi"/>
                <w:szCs w:val="18"/>
              </w:rPr>
              <w:t xml:space="preserve">Enable </w:t>
            </w:r>
            <w:r w:rsidRPr="00B10D68">
              <w:rPr>
                <w:rFonts w:asciiTheme="minorHAnsi" w:hAnsiTheme="minorHAnsi" w:cstheme="minorHAnsi"/>
                <w:szCs w:val="18"/>
              </w:rPr>
              <w:t>appropriate and integrated regulatory rehabilitation-related decision making</w:t>
            </w:r>
            <w:r>
              <w:rPr>
                <w:rFonts w:asciiTheme="minorHAnsi" w:hAnsiTheme="minorHAnsi" w:cstheme="minorHAnsi"/>
                <w:szCs w:val="18"/>
              </w:rPr>
              <w:t xml:space="preserve"> by government</w:t>
            </w:r>
          </w:p>
        </w:tc>
        <w:tc>
          <w:tcPr>
            <w:tcW w:w="1679" w:type="dxa"/>
            <w:vAlign w:val="center"/>
          </w:tcPr>
          <w:p w14:paraId="18EA29D4" w14:textId="382E79B5" w:rsidR="009476FF" w:rsidRPr="0074315C" w:rsidRDefault="009476FF" w:rsidP="009476FF">
            <w:pPr>
              <w:spacing w:before="0"/>
              <w:jc w:val="center"/>
              <w:rPr>
                <w:rFonts w:asciiTheme="minorHAnsi" w:hAnsiTheme="minorHAnsi" w:cstheme="minorHAnsi"/>
                <w:szCs w:val="18"/>
              </w:rPr>
            </w:pPr>
            <w:r>
              <w:rPr>
                <w:rFonts w:asciiTheme="minorHAnsi" w:hAnsiTheme="minorHAnsi" w:cstheme="minorHAnsi"/>
                <w:szCs w:val="18"/>
              </w:rPr>
              <w:t>16.7</w:t>
            </w:r>
            <w:r w:rsidRPr="00B06FB5">
              <w:rPr>
                <w:rFonts w:asciiTheme="minorHAnsi" w:hAnsiTheme="minorHAnsi" w:cstheme="minorHAnsi"/>
                <w:szCs w:val="18"/>
              </w:rPr>
              <w:t>%</w:t>
            </w:r>
          </w:p>
        </w:tc>
        <w:tc>
          <w:tcPr>
            <w:tcW w:w="1408" w:type="dxa"/>
            <w:vAlign w:val="center"/>
          </w:tcPr>
          <w:p w14:paraId="6A536AC0" w14:textId="61663CC1" w:rsidR="009476FF" w:rsidRPr="008E75CA" w:rsidRDefault="009476FF" w:rsidP="009476FF">
            <w:pPr>
              <w:spacing w:before="0"/>
              <w:jc w:val="center"/>
              <w:rPr>
                <w:rFonts w:asciiTheme="majorHAnsi" w:hAnsiTheme="majorHAnsi" w:cstheme="majorHAnsi"/>
                <w:szCs w:val="18"/>
              </w:rPr>
            </w:pPr>
            <w:r>
              <w:rPr>
                <w:rFonts w:asciiTheme="majorHAnsi" w:hAnsiTheme="majorHAnsi" w:cstheme="majorHAnsi"/>
                <w:szCs w:val="18"/>
              </w:rPr>
              <w:t>4</w:t>
            </w:r>
          </w:p>
        </w:tc>
        <w:tc>
          <w:tcPr>
            <w:tcW w:w="1408" w:type="dxa"/>
            <w:vAlign w:val="center"/>
          </w:tcPr>
          <w:p w14:paraId="1D33458F" w14:textId="65F8FA9E" w:rsidR="009476FF" w:rsidRPr="008E75CA" w:rsidRDefault="009476FF" w:rsidP="009476FF">
            <w:pPr>
              <w:spacing w:before="0"/>
              <w:jc w:val="center"/>
              <w:rPr>
                <w:rFonts w:asciiTheme="majorHAnsi" w:hAnsiTheme="majorHAnsi" w:cstheme="majorHAnsi"/>
                <w:szCs w:val="18"/>
              </w:rPr>
            </w:pPr>
            <w:r w:rsidRPr="008E75CA">
              <w:rPr>
                <w:rFonts w:asciiTheme="majorHAnsi" w:hAnsiTheme="majorHAnsi" w:cstheme="majorHAnsi"/>
                <w:szCs w:val="18"/>
              </w:rPr>
              <w:t>6</w:t>
            </w:r>
          </w:p>
        </w:tc>
      </w:tr>
    </w:tbl>
    <w:p w14:paraId="3FEC35CE" w14:textId="77777777" w:rsidR="009476FF" w:rsidRPr="009476FF" w:rsidRDefault="009476FF" w:rsidP="009476FF"/>
    <w:p w14:paraId="56AE66D4" w14:textId="0FBACE6B" w:rsidR="00E250D8" w:rsidRDefault="007C3FEE" w:rsidP="003F70FF">
      <w:pPr>
        <w:pStyle w:val="Heading7"/>
      </w:pPr>
      <w:r>
        <w:t>Option 1</w:t>
      </w:r>
    </w:p>
    <w:bookmarkEnd w:id="326"/>
    <w:p w14:paraId="38783036" w14:textId="161FEDD0" w:rsidR="00183FEE" w:rsidRDefault="00F24E65" w:rsidP="00E250D8">
      <w:r>
        <w:t>Option 1</w:t>
      </w:r>
      <w:r w:rsidR="00684462">
        <w:t xml:space="preserve"> is considered to be </w:t>
      </w:r>
      <w:r w:rsidR="00AF29B2">
        <w:t xml:space="preserve">slightly positive relative to the base case, as it enables better decision-making by government </w:t>
      </w:r>
      <w:r w:rsidR="004459A7">
        <w:t xml:space="preserve">from </w:t>
      </w:r>
      <w:r w:rsidR="0025176A">
        <w:t xml:space="preserve">the additional information required in the DMRP. </w:t>
      </w:r>
      <w:r w:rsidR="00A54EB8">
        <w:t>As such, it has been scored as mi</w:t>
      </w:r>
      <w:r w:rsidR="002B2E0D">
        <w:t>l</w:t>
      </w:r>
      <w:r w:rsidR="00A54EB8">
        <w:t>dly positive (+</w:t>
      </w:r>
      <w:r w:rsidR="00C9607A">
        <w:t>4</w:t>
      </w:r>
      <w:r w:rsidR="00A54EB8">
        <w:t>) relative to the base case.</w:t>
      </w:r>
    </w:p>
    <w:p w14:paraId="7C261B45" w14:textId="39531855" w:rsidR="00183FEE" w:rsidRDefault="00F24E65" w:rsidP="00E250D8">
      <w:r>
        <w:t>Option 1</w:t>
      </w:r>
      <w:r w:rsidR="002B2E0D">
        <w:t xml:space="preserve"> does not prescribe matters to be considered by the decision-maker or consultation / referrals to other agencies when approving DMRP</w:t>
      </w:r>
      <w:r w:rsidR="006E1EA0">
        <w:t>s</w:t>
      </w:r>
      <w:r w:rsidR="002B2E0D">
        <w:t xml:space="preserve">. As such, this </w:t>
      </w:r>
      <w:r w:rsidR="00886909">
        <w:t xml:space="preserve">aspect is the same as the base case and does not improve </w:t>
      </w:r>
      <w:r w:rsidR="00C36FC7">
        <w:t>o</w:t>
      </w:r>
      <w:r w:rsidR="00886909">
        <w:t>n integrated government decision-making.</w:t>
      </w:r>
    </w:p>
    <w:p w14:paraId="080F9153" w14:textId="64F2BA20" w:rsidR="00E250D8" w:rsidRDefault="00886909" w:rsidP="00E250D8">
      <w:r>
        <w:t xml:space="preserve">However, </w:t>
      </w:r>
      <w:r w:rsidR="00F24E65">
        <w:t>Option 1</w:t>
      </w:r>
      <w:r w:rsidR="00E250D8">
        <w:t xml:space="preserve"> does improve on the base case insofar as it will give practical effect to the obligation to submit the DMRP.</w:t>
      </w:r>
      <w:r>
        <w:t xml:space="preserve"> As outlined above, the additional information in the DMRP allows for government to make regulatory decisions that are better aligned to the objectives of the Act, and consequently reduce risks to the community and environment from declared mining operations. </w:t>
      </w:r>
    </w:p>
    <w:p w14:paraId="18432731" w14:textId="21BB297B" w:rsidR="00875A4C" w:rsidRDefault="00875A4C" w:rsidP="217C4165">
      <w:pPr>
        <w:rPr>
          <w:i/>
          <w:iCs/>
          <w:highlight w:val="yellow"/>
        </w:rPr>
      </w:pPr>
      <w:r>
        <w:t xml:space="preserve">One of the mine operators submitted that this option is the appropriate approach because it recognises that the mine operator is best placed to understand the risks and opportunities posed by their mine site. </w:t>
      </w:r>
      <w:r w:rsidR="007A42D4">
        <w:t xml:space="preserve">The </w:t>
      </w:r>
      <w:r w:rsidR="006D439C">
        <w:t>department</w:t>
      </w:r>
      <w:r w:rsidR="009A4E0B">
        <w:t xml:space="preserve"> also recognises that mine operators </w:t>
      </w:r>
      <w:r w:rsidR="007B782B">
        <w:t xml:space="preserve">have </w:t>
      </w:r>
      <w:r w:rsidR="00D350D0">
        <w:t>the best access to technica</w:t>
      </w:r>
      <w:r w:rsidR="00655200">
        <w:t>l on-site information</w:t>
      </w:r>
      <w:r w:rsidR="00D03E3C">
        <w:t xml:space="preserve">. </w:t>
      </w:r>
      <w:r w:rsidR="005F1D4A">
        <w:t>A</w:t>
      </w:r>
      <w:r w:rsidR="005F1D4A" w:rsidRPr="005F1D4A">
        <w:t xml:space="preserve">ssuming </w:t>
      </w:r>
      <w:r w:rsidR="005F1D4A">
        <w:t xml:space="preserve">however </w:t>
      </w:r>
      <w:r w:rsidR="005F1D4A" w:rsidRPr="005F1D4A">
        <w:t>that rehabilitation has been carried out to safe</w:t>
      </w:r>
      <w:r w:rsidR="005F1D4A">
        <w:t xml:space="preserve">, </w:t>
      </w:r>
      <w:r w:rsidR="005F1D4A" w:rsidRPr="005F1D4A">
        <w:t>stable</w:t>
      </w:r>
      <w:r w:rsidR="005F1D4A">
        <w:t xml:space="preserve"> and </w:t>
      </w:r>
      <w:r w:rsidR="005F1D4A" w:rsidRPr="005F1D4A">
        <w:t>sustainable</w:t>
      </w:r>
      <w:r w:rsidR="005F1D4A">
        <w:t xml:space="preserve"> </w:t>
      </w:r>
      <w:r w:rsidR="00E02989">
        <w:t>landform</w:t>
      </w:r>
      <w:r w:rsidR="005F1D4A" w:rsidRPr="005F1D4A">
        <w:t>, post-mining opportunities are less dependent on risk</w:t>
      </w:r>
      <w:r w:rsidR="00E02989">
        <w:t xml:space="preserve"> or </w:t>
      </w:r>
      <w:r w:rsidR="005F1D4A" w:rsidRPr="005F1D4A">
        <w:t>site knowledge and better informed by other parties</w:t>
      </w:r>
      <w:r w:rsidR="005F1D4A">
        <w:t>.</w:t>
      </w:r>
      <w:r w:rsidR="00992E6A">
        <w:t xml:space="preserve"> </w:t>
      </w:r>
      <w:r>
        <w:t xml:space="preserve">Through </w:t>
      </w:r>
      <w:r w:rsidR="00C069DF">
        <w:t xml:space="preserve">requiring </w:t>
      </w:r>
      <w:r>
        <w:t xml:space="preserve">increased information and additional detail </w:t>
      </w:r>
      <w:r w:rsidR="00C11FE1">
        <w:t>for</w:t>
      </w:r>
      <w:r>
        <w:t xml:space="preserve"> the DMRP in Option 1, the government </w:t>
      </w:r>
      <w:r w:rsidR="00504365">
        <w:t xml:space="preserve">is </w:t>
      </w:r>
      <w:r w:rsidR="001802B0">
        <w:t xml:space="preserve">in a better position than in the base case to </w:t>
      </w:r>
      <w:r>
        <w:t xml:space="preserve">approve DMRPs </w:t>
      </w:r>
      <w:r w:rsidR="00504365">
        <w:t>to</w:t>
      </w:r>
      <w:r>
        <w:t xml:space="preserve"> meet the objectives of the Act</w:t>
      </w:r>
      <w:r w:rsidR="00FB37D2">
        <w:t>,</w:t>
      </w:r>
      <w:r>
        <w:t xml:space="preserve"> facilitat</w:t>
      </w:r>
      <w:r w:rsidR="002F3CC7">
        <w:t>e</w:t>
      </w:r>
      <w:r>
        <w:t xml:space="preserve"> adequate rehabilitation planning and activity</w:t>
      </w:r>
      <w:r w:rsidR="00B168E0">
        <w:t xml:space="preserve">, and subsequently managing the risks </w:t>
      </w:r>
      <w:r w:rsidR="003C4E02">
        <w:t>to the community and environment from declared mining operations</w:t>
      </w:r>
      <w:r w:rsidR="001802B0">
        <w:t xml:space="preserve">. </w:t>
      </w:r>
    </w:p>
    <w:p w14:paraId="4BB67653" w14:textId="77777777" w:rsidR="007C3FEE" w:rsidRDefault="007C3FEE" w:rsidP="007C3FEE">
      <w:pPr>
        <w:pStyle w:val="Heading7"/>
      </w:pPr>
      <w:r>
        <w:t>Option 2</w:t>
      </w:r>
    </w:p>
    <w:p w14:paraId="31E637CD" w14:textId="77777777" w:rsidR="007C3FEE" w:rsidRDefault="007C3FEE" w:rsidP="007C3FEE">
      <w:r>
        <w:t xml:space="preserve">Option 2 is considered to be much more effective than the base case in enabling appropriate and integrated government decision making, as it prescribes matters to be considered, and parties to be consulted for government decisions. As such, it has been scored as moderately positive (+6) relative to the base case. </w:t>
      </w:r>
    </w:p>
    <w:p w14:paraId="67F791A8" w14:textId="6F8288C5" w:rsidR="007C3FEE" w:rsidRDefault="007C3FEE" w:rsidP="007C3FEE">
      <w:r>
        <w:t>Option 2 requires declared mine licensees to consult with a wider range of parties in the preparation of the DMRP than the base case and Option 1, including affected public sector bodies and regulators, such as the EPA and the Authority. Option 2 also requires ERR, in its decision about whether to approve a submitted DMRP, to consider the views of any relevant Ministers, regulators and authorities. This enables more integrated government decision-making, as these consultations will allow other regulators and authorities to provide information to ERR that may be relevant to decisions around rehabilitation planning (e.g. on matters that fall outside ERR’s remit, such as decisions on water allocations)</w:t>
      </w:r>
    </w:p>
    <w:p w14:paraId="1F9BC03C" w14:textId="77777777" w:rsidR="007C3FEE" w:rsidRDefault="007C3FEE" w:rsidP="007C3FEE">
      <w:r>
        <w:t xml:space="preserve">Both of these additional requirements under Option 2 mean that Option 2 is considered to be more effective in promoting appropriate and integrated government decision-making than Option 1, and considerably more effective than the base case. </w:t>
      </w:r>
    </w:p>
    <w:p w14:paraId="352A8E59" w14:textId="4B925CDD" w:rsidR="007C3FEE" w:rsidRDefault="007C3FEE" w:rsidP="007C3FEE">
      <w:r>
        <w:t>Option 2 is also considered to promote more appropriate government decision-making by obliging ERR to specifically consider a range of matters pertinent to rehabilitation planning, in contrast to Option 1 and the base case where no such considerations are prescribed. This ensures that ERR consistently considers all relevant factors when assessing DMRPs, which allows government to make regulatory decisions that are better aligned to the objectives of the Act, and consequently reduce risks to the community and environment from declared mining operations.</w:t>
      </w:r>
    </w:p>
    <w:p w14:paraId="49015D88" w14:textId="09FAB642" w:rsidR="00332E98" w:rsidRDefault="00F30FB6" w:rsidP="007C3FEE">
      <w:r>
        <w:t>In addition, additional information under Option 2 with regard to defining closure criteria for each of the rehabilitation and closure objectives in the DMRP</w:t>
      </w:r>
      <w:r w:rsidR="00AB1A05">
        <w:t xml:space="preserve"> means the closure criteria will:</w:t>
      </w:r>
    </w:p>
    <w:p w14:paraId="59D47A1E" w14:textId="058E4E4C" w:rsidR="00AB1A05" w:rsidRPr="00AB1A05" w:rsidRDefault="00AB1A05" w:rsidP="00AB1A05">
      <w:pPr>
        <w:pStyle w:val="dotpoints"/>
      </w:pPr>
      <w:r w:rsidRPr="00AB1A05">
        <w:t xml:space="preserve">take into account the risks to public safety, the environment and infrastructure by geotechnical, hydrogeological, water quality or hydrological status of the declared mine land, </w:t>
      </w:r>
      <w:r>
        <w:t>(similar to Option 1)</w:t>
      </w:r>
    </w:p>
    <w:p w14:paraId="475DC57D" w14:textId="3F5E6824" w:rsidR="00AB1A05" w:rsidRPr="00AB1A05" w:rsidRDefault="00AB1A05" w:rsidP="00AB1A05">
      <w:pPr>
        <w:pStyle w:val="dotpoints"/>
      </w:pPr>
      <w:r w:rsidRPr="00AB1A05">
        <w:t xml:space="preserve">outline standards or measures of success for all rehabilitation and closure objectives in the DMRP </w:t>
      </w:r>
    </w:p>
    <w:p w14:paraId="722EB4B3" w14:textId="0F0BB14B" w:rsidR="00AB1A05" w:rsidRDefault="00AB1A05" w:rsidP="00AB1A05">
      <w:r w:rsidRPr="008568BE">
        <w:t xml:space="preserve">This </w:t>
      </w:r>
      <w:r w:rsidR="00230D6A" w:rsidRPr="008568BE">
        <w:t>provides more information for government to make more informed decisions around mine closure, and is most consistent with findings of best practice in the interjurisdictional analysis</w:t>
      </w:r>
      <w:r w:rsidR="008568BE" w:rsidRPr="008568BE">
        <w:t>, as noted in Appendix A</w:t>
      </w:r>
      <w:r w:rsidR="00230D6A" w:rsidRPr="008568BE">
        <w:t>.</w:t>
      </w:r>
    </w:p>
    <w:p w14:paraId="06D33BFA" w14:textId="77777777" w:rsidR="007C3FEE" w:rsidRDefault="00E250D8" w:rsidP="00D25E4E">
      <w:pPr>
        <w:pStyle w:val="Heading6"/>
        <w:spacing w:after="120"/>
      </w:pPr>
      <w:bookmarkStart w:id="327" w:name="_Hlk58514344"/>
      <w:r>
        <w:lastRenderedPageBreak/>
        <w:t>Transparent and flexible planning approach</w:t>
      </w:r>
    </w:p>
    <w:tbl>
      <w:tblPr>
        <w:tblStyle w:val="TableGrid2"/>
        <w:tblW w:w="9026"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CellMar>
          <w:top w:w="28" w:type="dxa"/>
          <w:bottom w:w="28" w:type="dxa"/>
        </w:tblCellMar>
        <w:tblLook w:val="04A0" w:firstRow="1" w:lastRow="0" w:firstColumn="1" w:lastColumn="0" w:noHBand="0" w:noVBand="1"/>
      </w:tblPr>
      <w:tblGrid>
        <w:gridCol w:w="4531"/>
        <w:gridCol w:w="1679"/>
        <w:gridCol w:w="1408"/>
        <w:gridCol w:w="1408"/>
      </w:tblGrid>
      <w:tr w:rsidR="009476FF" w14:paraId="62E3447D" w14:textId="77777777" w:rsidTr="00E36912">
        <w:trPr>
          <w:trHeight w:val="283"/>
          <w:tblHeader/>
        </w:trPr>
        <w:tc>
          <w:tcPr>
            <w:tcW w:w="4531" w:type="dxa"/>
            <w:shd w:val="clear" w:color="auto" w:fill="1B0B38"/>
            <w:vAlign w:val="center"/>
          </w:tcPr>
          <w:p w14:paraId="1DADC5E6" w14:textId="77777777" w:rsidR="009476FF" w:rsidRPr="00BA70A6" w:rsidRDefault="009476FF" w:rsidP="00E36912">
            <w:pPr>
              <w:spacing w:before="0"/>
              <w:rPr>
                <w:rStyle w:val="Strong"/>
                <w:color w:val="FFFFFF" w:themeColor="background1"/>
              </w:rPr>
            </w:pPr>
            <w:r>
              <w:rPr>
                <w:rStyle w:val="Strong"/>
                <w:color w:val="FFFFFF" w:themeColor="background1"/>
              </w:rPr>
              <w:t>Criteria</w:t>
            </w:r>
          </w:p>
        </w:tc>
        <w:tc>
          <w:tcPr>
            <w:tcW w:w="1679" w:type="dxa"/>
            <w:shd w:val="clear" w:color="auto" w:fill="1B0B38"/>
            <w:vAlign w:val="center"/>
          </w:tcPr>
          <w:p w14:paraId="2E8DCA31" w14:textId="77777777" w:rsidR="009476FF" w:rsidRDefault="009476FF" w:rsidP="00E36912">
            <w:pPr>
              <w:spacing w:before="0"/>
              <w:jc w:val="center"/>
              <w:rPr>
                <w:rStyle w:val="Strong"/>
                <w:color w:val="FFFFFF" w:themeColor="background1"/>
              </w:rPr>
            </w:pPr>
            <w:r>
              <w:rPr>
                <w:rStyle w:val="Strong"/>
                <w:color w:val="FFFFFF" w:themeColor="background1"/>
              </w:rPr>
              <w:t>Weighting</w:t>
            </w:r>
          </w:p>
        </w:tc>
        <w:tc>
          <w:tcPr>
            <w:tcW w:w="2816" w:type="dxa"/>
            <w:gridSpan w:val="2"/>
            <w:shd w:val="clear" w:color="auto" w:fill="1B0B38"/>
            <w:vAlign w:val="center"/>
          </w:tcPr>
          <w:p w14:paraId="10929824" w14:textId="77777777" w:rsidR="009476FF" w:rsidRDefault="009476FF" w:rsidP="00E36912">
            <w:pPr>
              <w:spacing w:before="0"/>
              <w:jc w:val="center"/>
              <w:rPr>
                <w:rStyle w:val="Strong"/>
                <w:color w:val="FFFFFF" w:themeColor="background1"/>
              </w:rPr>
            </w:pPr>
            <w:r>
              <w:rPr>
                <w:rStyle w:val="Strong"/>
                <w:color w:val="FFFFFF" w:themeColor="background1"/>
              </w:rPr>
              <w:t>Unweighted Scores</w:t>
            </w:r>
          </w:p>
        </w:tc>
      </w:tr>
      <w:tr w:rsidR="009476FF" w14:paraId="1F29BC88" w14:textId="77777777" w:rsidTr="00E36912">
        <w:trPr>
          <w:tblHeader/>
        </w:trPr>
        <w:tc>
          <w:tcPr>
            <w:tcW w:w="4531" w:type="dxa"/>
            <w:shd w:val="clear" w:color="auto" w:fill="D9D9D6" w:themeFill="background2"/>
            <w:vAlign w:val="center"/>
          </w:tcPr>
          <w:p w14:paraId="43C75E14" w14:textId="77777777" w:rsidR="009476FF" w:rsidRDefault="009476FF" w:rsidP="00E36912">
            <w:pPr>
              <w:spacing w:before="0"/>
              <w:rPr>
                <w:rStyle w:val="Strong"/>
                <w:color w:val="FFFFFF" w:themeColor="background1"/>
              </w:rPr>
            </w:pPr>
          </w:p>
        </w:tc>
        <w:tc>
          <w:tcPr>
            <w:tcW w:w="1679" w:type="dxa"/>
            <w:shd w:val="clear" w:color="auto" w:fill="D9D9D6" w:themeFill="background2"/>
            <w:vAlign w:val="center"/>
          </w:tcPr>
          <w:p w14:paraId="527109F8" w14:textId="77777777" w:rsidR="009476FF" w:rsidRDefault="009476FF" w:rsidP="00E36912">
            <w:pPr>
              <w:spacing w:before="0"/>
              <w:jc w:val="center"/>
              <w:rPr>
                <w:b/>
                <w:bCs/>
              </w:rPr>
            </w:pPr>
          </w:p>
        </w:tc>
        <w:tc>
          <w:tcPr>
            <w:tcW w:w="1408" w:type="dxa"/>
            <w:shd w:val="clear" w:color="auto" w:fill="D9D9D6" w:themeFill="background2"/>
          </w:tcPr>
          <w:p w14:paraId="55984DBA" w14:textId="77777777" w:rsidR="009476FF" w:rsidRDefault="009476FF" w:rsidP="00E36912">
            <w:pPr>
              <w:spacing w:before="0"/>
              <w:jc w:val="center"/>
              <w:rPr>
                <w:b/>
                <w:bCs/>
              </w:rPr>
            </w:pPr>
            <w:r>
              <w:rPr>
                <w:b/>
                <w:bCs/>
              </w:rPr>
              <w:t>Option 1</w:t>
            </w:r>
          </w:p>
        </w:tc>
        <w:tc>
          <w:tcPr>
            <w:tcW w:w="1408" w:type="dxa"/>
            <w:shd w:val="clear" w:color="auto" w:fill="D9D9D6" w:themeFill="background2"/>
          </w:tcPr>
          <w:p w14:paraId="4EEAC238" w14:textId="77777777" w:rsidR="009476FF" w:rsidRDefault="009476FF" w:rsidP="00E36912">
            <w:pPr>
              <w:spacing w:before="0"/>
              <w:jc w:val="center"/>
              <w:rPr>
                <w:b/>
                <w:bCs/>
              </w:rPr>
            </w:pPr>
            <w:r>
              <w:rPr>
                <w:b/>
                <w:bCs/>
              </w:rPr>
              <w:t>Option 2</w:t>
            </w:r>
          </w:p>
        </w:tc>
      </w:tr>
      <w:tr w:rsidR="009476FF" w:rsidRPr="008E75CA" w14:paraId="6060E4D4" w14:textId="77777777" w:rsidTr="00E36912">
        <w:trPr>
          <w:trHeight w:val="358"/>
        </w:trPr>
        <w:tc>
          <w:tcPr>
            <w:tcW w:w="4531" w:type="dxa"/>
            <w:vAlign w:val="center"/>
          </w:tcPr>
          <w:p w14:paraId="1F326D3F" w14:textId="6500F910" w:rsidR="009476FF" w:rsidRPr="00B10D68" w:rsidRDefault="009476FF" w:rsidP="009476FF">
            <w:pPr>
              <w:spacing w:before="0"/>
              <w:rPr>
                <w:rFonts w:asciiTheme="minorHAnsi" w:hAnsiTheme="minorHAnsi" w:cstheme="minorHAnsi"/>
                <w:szCs w:val="18"/>
              </w:rPr>
            </w:pPr>
            <w:r>
              <w:rPr>
                <w:rFonts w:asciiTheme="minorHAnsi" w:hAnsiTheme="minorHAnsi" w:cstheme="minorHAnsi"/>
                <w:szCs w:val="18"/>
              </w:rPr>
              <w:t>Provide a transparent and flexible approach to planning</w:t>
            </w:r>
          </w:p>
        </w:tc>
        <w:tc>
          <w:tcPr>
            <w:tcW w:w="1679" w:type="dxa"/>
            <w:vAlign w:val="center"/>
          </w:tcPr>
          <w:p w14:paraId="6C95DA6F" w14:textId="69FFDDA8" w:rsidR="009476FF" w:rsidRPr="0074315C" w:rsidRDefault="009476FF" w:rsidP="009476FF">
            <w:pPr>
              <w:spacing w:before="0"/>
              <w:jc w:val="center"/>
              <w:rPr>
                <w:rFonts w:asciiTheme="minorHAnsi" w:hAnsiTheme="minorHAnsi" w:cstheme="minorHAnsi"/>
                <w:szCs w:val="18"/>
              </w:rPr>
            </w:pPr>
            <w:r>
              <w:rPr>
                <w:rFonts w:asciiTheme="minorHAnsi" w:hAnsiTheme="minorHAnsi" w:cstheme="minorHAnsi"/>
                <w:szCs w:val="18"/>
              </w:rPr>
              <w:t>16.7</w:t>
            </w:r>
            <w:r w:rsidRPr="00B06FB5">
              <w:rPr>
                <w:rFonts w:asciiTheme="minorHAnsi" w:hAnsiTheme="minorHAnsi" w:cstheme="minorHAnsi"/>
                <w:szCs w:val="18"/>
              </w:rPr>
              <w:t>%</w:t>
            </w:r>
          </w:p>
        </w:tc>
        <w:tc>
          <w:tcPr>
            <w:tcW w:w="1408" w:type="dxa"/>
            <w:vAlign w:val="center"/>
          </w:tcPr>
          <w:p w14:paraId="4BE9B847" w14:textId="0EF73247" w:rsidR="009476FF" w:rsidRPr="008E75CA" w:rsidRDefault="009476FF" w:rsidP="009476FF">
            <w:pPr>
              <w:spacing w:before="0"/>
              <w:jc w:val="center"/>
              <w:rPr>
                <w:rFonts w:asciiTheme="majorHAnsi" w:hAnsiTheme="majorHAnsi" w:cstheme="majorHAnsi"/>
                <w:szCs w:val="18"/>
              </w:rPr>
            </w:pPr>
            <w:r>
              <w:rPr>
                <w:rFonts w:asciiTheme="majorHAnsi" w:hAnsiTheme="majorHAnsi" w:cstheme="majorHAnsi"/>
                <w:szCs w:val="18"/>
              </w:rPr>
              <w:t>3</w:t>
            </w:r>
          </w:p>
        </w:tc>
        <w:tc>
          <w:tcPr>
            <w:tcW w:w="1408" w:type="dxa"/>
            <w:vAlign w:val="center"/>
          </w:tcPr>
          <w:p w14:paraId="604F619E" w14:textId="78C696DD" w:rsidR="009476FF" w:rsidRPr="008E75CA" w:rsidRDefault="009476FF" w:rsidP="009476FF">
            <w:pPr>
              <w:spacing w:before="0"/>
              <w:jc w:val="center"/>
              <w:rPr>
                <w:rFonts w:asciiTheme="majorHAnsi" w:hAnsiTheme="majorHAnsi" w:cstheme="majorHAnsi"/>
                <w:szCs w:val="18"/>
              </w:rPr>
            </w:pPr>
            <w:r>
              <w:rPr>
                <w:rFonts w:asciiTheme="majorHAnsi" w:hAnsiTheme="majorHAnsi" w:cstheme="majorHAnsi"/>
                <w:szCs w:val="18"/>
              </w:rPr>
              <w:t>8</w:t>
            </w:r>
          </w:p>
        </w:tc>
      </w:tr>
    </w:tbl>
    <w:p w14:paraId="60EA7595" w14:textId="77777777" w:rsidR="009476FF" w:rsidRPr="009476FF" w:rsidRDefault="009476FF" w:rsidP="009476FF"/>
    <w:p w14:paraId="5846CB15" w14:textId="6FA0CC87" w:rsidR="00E250D8" w:rsidRDefault="007C3FEE" w:rsidP="003F70FF">
      <w:pPr>
        <w:pStyle w:val="Heading7"/>
      </w:pPr>
      <w:r>
        <w:t>Option 1</w:t>
      </w:r>
    </w:p>
    <w:bookmarkEnd w:id="327"/>
    <w:p w14:paraId="35DC88C7" w14:textId="4988AC23" w:rsidR="00D54C45" w:rsidRDefault="00F24E65" w:rsidP="00D54C45">
      <w:r>
        <w:t>Option 1</w:t>
      </w:r>
      <w:r w:rsidR="00D54C45">
        <w:t xml:space="preserve"> is considered to be slightly positive relative to the base case, as it </w:t>
      </w:r>
      <w:r w:rsidR="006A1E01">
        <w:t>improves the transparency of rehabilitation planning and activity</w:t>
      </w:r>
      <w:r w:rsidR="003E105B">
        <w:t xml:space="preserve"> relative to the base case. However, </w:t>
      </w:r>
      <w:r>
        <w:t>Option 1</w:t>
      </w:r>
      <w:r w:rsidR="003E105B">
        <w:t xml:space="preserve"> does not improve the flexibility of rehabilitation planning relative to the base case.</w:t>
      </w:r>
      <w:r w:rsidR="00D54C45">
        <w:t xml:space="preserve"> As such, it has been scored as mildly positive (+</w:t>
      </w:r>
      <w:r w:rsidR="00C9607A">
        <w:t>3</w:t>
      </w:r>
      <w:r w:rsidR="00D54C45">
        <w:t>) relative to the base case.</w:t>
      </w:r>
    </w:p>
    <w:p w14:paraId="788D6631" w14:textId="4AEAF148" w:rsidR="00F102AD" w:rsidRDefault="00F102AD" w:rsidP="006B33C5">
      <w:pPr>
        <w:pStyle w:val="Heading8"/>
      </w:pPr>
      <w:r>
        <w:t>Transparent planning approach</w:t>
      </w:r>
    </w:p>
    <w:p w14:paraId="3705E015" w14:textId="3F2F39CD" w:rsidR="0017547C" w:rsidRDefault="0017547C" w:rsidP="0017547C">
      <w:r>
        <w:t xml:space="preserve">Relative to the base case, </w:t>
      </w:r>
      <w:r w:rsidR="00F24E65">
        <w:t>Option 1</w:t>
      </w:r>
      <w:r>
        <w:t xml:space="preserve"> provides more transparency around rehabilitation planning and activity</w:t>
      </w:r>
      <w:r w:rsidR="00DB003F">
        <w:t xml:space="preserve">, as </w:t>
      </w:r>
      <w:r w:rsidR="00E250D8">
        <w:t xml:space="preserve">licensees </w:t>
      </w:r>
      <w:r w:rsidR="00F102AD">
        <w:t xml:space="preserve">are required to </w:t>
      </w:r>
      <w:r w:rsidR="00E250D8">
        <w:t xml:space="preserve">submit detailed DMRPs with suggested rehabilitation outcomes, </w:t>
      </w:r>
      <w:r w:rsidR="00467BD3">
        <w:t>post mining land uses</w:t>
      </w:r>
      <w:r w:rsidR="00E250D8">
        <w:t>, objectives and activities that they contend meet the requirements for rehabilitation under the Act.</w:t>
      </w:r>
      <w:r w:rsidR="006620C7">
        <w:t xml:space="preserve"> This detailed information is required to be provided at plan approval, which provides the government with more comprehensive information around declared mine risks at any point in time over the life of the declared mines than under the base case. </w:t>
      </w:r>
      <w:r w:rsidR="001774B3">
        <w:t>In addition, the annual repor</w:t>
      </w:r>
      <w:r w:rsidR="00141511">
        <w:t xml:space="preserve">ting on rehabilitation activity and milestones improves transparency around rehabilitation </w:t>
      </w:r>
      <w:r>
        <w:t xml:space="preserve">planning and </w:t>
      </w:r>
      <w:r w:rsidR="00141511">
        <w:t xml:space="preserve">activity. </w:t>
      </w:r>
    </w:p>
    <w:p w14:paraId="25C767DC" w14:textId="46A05CF8" w:rsidR="00417117" w:rsidRDefault="00417117" w:rsidP="0017547C">
      <w:r>
        <w:t>The increased requirements of Option 1 also provides greater clarity on regulatory and government expectations on agreed rehabilitation activities and defined milestones, which allows more certainty with regards to planning and undertaking rehabilitation activities and consequently facilitates better management of declared mine risks.</w:t>
      </w:r>
    </w:p>
    <w:p w14:paraId="5B490DA0" w14:textId="40522856" w:rsidR="006509E4" w:rsidRDefault="00E250D8" w:rsidP="0017547C">
      <w:r>
        <w:t>The responsibility for defining the rehabilitation outcome rests with the licensee</w:t>
      </w:r>
      <w:r w:rsidR="00790ED7">
        <w:t xml:space="preserve"> and is tied to the final land use</w:t>
      </w:r>
      <w:r>
        <w:t>.</w:t>
      </w:r>
      <w:r w:rsidR="006509E4">
        <w:t xml:space="preserve"> Under Option 1, the details of the DMRP are also tied to site specific rehabilitation objectives. </w:t>
      </w:r>
      <w:r>
        <w:t xml:space="preserve">This </w:t>
      </w:r>
      <w:r w:rsidR="007A0F57">
        <w:t>limits</w:t>
      </w:r>
      <w:r>
        <w:t xml:space="preserve"> the transparency of rehabilitation planning under </w:t>
      </w:r>
      <w:r w:rsidR="00F24E65">
        <w:t>Option 1</w:t>
      </w:r>
      <w:r w:rsidR="006509E4">
        <w:t xml:space="preserve">, as </w:t>
      </w:r>
      <w:r w:rsidR="00C87D6D">
        <w:t xml:space="preserve">different objectives across different declared mines, and it may not be clear </w:t>
      </w:r>
      <w:r w:rsidR="00E947AA">
        <w:t>how government decisions</w:t>
      </w:r>
      <w:r w:rsidR="005F5D8C">
        <w:t xml:space="preserve"> around rehabilitation </w:t>
      </w:r>
      <w:r w:rsidR="00D355F8">
        <w:t>are made</w:t>
      </w:r>
      <w:r w:rsidR="00654C69">
        <w:t xml:space="preserve">. </w:t>
      </w:r>
    </w:p>
    <w:p w14:paraId="21C28D5C" w14:textId="6E921D73" w:rsidR="006237F2" w:rsidRDefault="00654C69" w:rsidP="0017547C">
      <w:r>
        <w:t xml:space="preserve">However, </w:t>
      </w:r>
      <w:r w:rsidR="007A0F57">
        <w:t>relative to the base case</w:t>
      </w:r>
      <w:r>
        <w:t>, th</w:t>
      </w:r>
      <w:r w:rsidR="008D414B">
        <w:t xml:space="preserve">is does not impact the effectiveness of this option, </w:t>
      </w:r>
      <w:r w:rsidR="00E947AA">
        <w:t xml:space="preserve">as less information is </w:t>
      </w:r>
      <w:r w:rsidR="00304250">
        <w:t>in the declared mines’ current rehabilitation plans, and there is no requirement</w:t>
      </w:r>
      <w:r w:rsidR="005F5D8C" w:rsidRPr="005F5D8C">
        <w:t xml:space="preserve"> </w:t>
      </w:r>
      <w:r w:rsidR="005F5D8C">
        <w:t>for licensees to prepare a declared mine rehabilitation plan within a prescribed time frame</w:t>
      </w:r>
      <w:r w:rsidR="00E250D8">
        <w:t>.</w:t>
      </w:r>
      <w:r w:rsidR="006237F2">
        <w:t xml:space="preserve"> </w:t>
      </w:r>
    </w:p>
    <w:p w14:paraId="31E7470C" w14:textId="76699B92" w:rsidR="007A0F57" w:rsidRPr="003F70FF" w:rsidRDefault="007A0F57" w:rsidP="006B33C5">
      <w:pPr>
        <w:pStyle w:val="Heading8"/>
      </w:pPr>
      <w:r>
        <w:t>Flexible planning approach</w:t>
      </w:r>
    </w:p>
    <w:p w14:paraId="6FE88C68" w14:textId="3D2F9B87" w:rsidR="00E250D8" w:rsidRDefault="007A0F57" w:rsidP="00E250D8">
      <w:r>
        <w:t xml:space="preserve">There is no difference between </w:t>
      </w:r>
      <w:r w:rsidR="00F24E65">
        <w:t>Option 1</w:t>
      </w:r>
      <w:r>
        <w:t xml:space="preserve"> and the base case with regards to</w:t>
      </w:r>
      <w:r w:rsidR="00D94CFB">
        <w:t xml:space="preserve"> the timing of when detailed rehabilitation information is required, and</w:t>
      </w:r>
      <w:r>
        <w:t xml:space="preserve"> variations to the DMRP for changes to rehabilitation planning.</w:t>
      </w:r>
      <w:r w:rsidRPr="007A0F57">
        <w:t xml:space="preserve"> </w:t>
      </w:r>
      <w:r>
        <w:t xml:space="preserve">Any changes that a licensee may need or wish to make subsequent to a DMRP being approved must go through a formal variation process. </w:t>
      </w:r>
    </w:p>
    <w:p w14:paraId="38F13093" w14:textId="63DF3D80" w:rsidR="00003725" w:rsidRDefault="007C3FEE" w:rsidP="003F70FF">
      <w:pPr>
        <w:pStyle w:val="Heading7"/>
      </w:pPr>
      <w:r>
        <w:t>Option 2</w:t>
      </w:r>
    </w:p>
    <w:p w14:paraId="4DEC5BDE" w14:textId="7680C2E1" w:rsidR="00FE4C50" w:rsidRDefault="00F24E65" w:rsidP="00003725">
      <w:r>
        <w:t>Option 2</w:t>
      </w:r>
      <w:r w:rsidR="00FE4C50">
        <w:t xml:space="preserve"> is considered to be moderately positive relative to the base case, as it improves the transparency of rehabilitation planning and activity relative to the base case, and allows more flexibility of rehabilitation planning by virtue of the iterative approach to rehabilitation planning</w:t>
      </w:r>
      <w:r w:rsidR="00767800">
        <w:t xml:space="preserve"> and increased information required in the DMRP</w:t>
      </w:r>
      <w:r w:rsidR="00FE4C50">
        <w:t xml:space="preserve">. As such, it has been scored as </w:t>
      </w:r>
      <w:r w:rsidR="00955792">
        <w:t xml:space="preserve">strongly </w:t>
      </w:r>
      <w:r w:rsidR="00FE4C50">
        <w:t>positive (+</w:t>
      </w:r>
      <w:r w:rsidR="00AD280F">
        <w:t>8</w:t>
      </w:r>
      <w:r w:rsidR="00FE4C50">
        <w:t>) relative to the base case.</w:t>
      </w:r>
    </w:p>
    <w:p w14:paraId="25BA00BC" w14:textId="5C4EAD8C" w:rsidR="00FE4C50" w:rsidRPr="00FE4C50" w:rsidRDefault="00FE4C50" w:rsidP="006B33C5">
      <w:pPr>
        <w:pStyle w:val="Heading8"/>
      </w:pPr>
      <w:r>
        <w:t>Transparent planning approach</w:t>
      </w:r>
    </w:p>
    <w:p w14:paraId="79DA2150" w14:textId="77777777" w:rsidR="002F2420" w:rsidRDefault="00FE4C50" w:rsidP="00003725">
      <w:r>
        <w:t xml:space="preserve">Similar to </w:t>
      </w:r>
      <w:r w:rsidR="00F24E65">
        <w:t>Option 1</w:t>
      </w:r>
      <w:r>
        <w:t xml:space="preserve">, </w:t>
      </w:r>
      <w:r w:rsidR="00F24E65">
        <w:t>Option 2</w:t>
      </w:r>
      <w:r>
        <w:t xml:space="preserve"> provides more transparency around rehabilitation planning and activity relative to the base case</w:t>
      </w:r>
      <w:r w:rsidR="00FF16E3">
        <w:t xml:space="preserve"> because of the </w:t>
      </w:r>
      <w:r w:rsidR="00561228">
        <w:t>additional detail required in DMRPs</w:t>
      </w:r>
      <w:r>
        <w:t>.</w:t>
      </w:r>
    </w:p>
    <w:p w14:paraId="4A2D6879" w14:textId="44C1268D" w:rsidR="00D355F8" w:rsidRDefault="002F2420" w:rsidP="00003725">
      <w:r w:rsidRPr="00EB6C4E">
        <w:t>Compared to Option 1,</w:t>
      </w:r>
      <w:r w:rsidR="00FE4C50" w:rsidRPr="00EB6C4E">
        <w:t xml:space="preserve"> </w:t>
      </w:r>
      <w:r w:rsidR="00F24E65" w:rsidRPr="00EB6C4E">
        <w:t>Option 2</w:t>
      </w:r>
      <w:r w:rsidR="005D48AB" w:rsidRPr="00EB6C4E">
        <w:t xml:space="preserve"> requires licensees to develop DMRPs based on a defined set of outcomes that apply to all declared mines. This increases the transparency of planning</w:t>
      </w:r>
      <w:r w:rsidR="00024DA6" w:rsidRPr="00EB6C4E">
        <w:t xml:space="preserve"> relative to Option 1</w:t>
      </w:r>
      <w:r w:rsidR="005D48AB" w:rsidRPr="00EB6C4E">
        <w:t>, as the same defined outcomes apply across the industry</w:t>
      </w:r>
      <w:r w:rsidR="00024DA6" w:rsidRPr="00EB6C4E">
        <w:t>.</w:t>
      </w:r>
    </w:p>
    <w:p w14:paraId="36EF89CE" w14:textId="74C7AF27" w:rsidR="002F2420" w:rsidRDefault="00024DA6" w:rsidP="00003725">
      <w:r w:rsidRPr="00DE4290">
        <w:t xml:space="preserve">In addition, under Option 2 </w:t>
      </w:r>
      <w:r w:rsidR="00DE637D" w:rsidRPr="00024DA6">
        <w:t>licensees</w:t>
      </w:r>
      <w:r w:rsidR="00DE637D">
        <w:t xml:space="preserve"> </w:t>
      </w:r>
      <w:r>
        <w:t>are</w:t>
      </w:r>
      <w:r w:rsidR="00DE637D">
        <w:t xml:space="preserve"> </w:t>
      </w:r>
      <w:r>
        <w:t>required</w:t>
      </w:r>
      <w:r w:rsidR="002F2420">
        <w:t xml:space="preserve"> to provide additional information as part of the annual reporting, and </w:t>
      </w:r>
      <w:r w:rsidR="00DE637D">
        <w:t xml:space="preserve">to include information and data supporting their DMRP when it is submitted to ERR for approval. </w:t>
      </w:r>
      <w:r w:rsidR="00D8367F">
        <w:t xml:space="preserve">This improves the transparency of rehabilitation planning </w:t>
      </w:r>
      <w:r w:rsidR="007977AA">
        <w:t>as</w:t>
      </w:r>
      <w:r w:rsidR="002F2420">
        <w:t>:</w:t>
      </w:r>
    </w:p>
    <w:p w14:paraId="78FCD933" w14:textId="3266468B" w:rsidR="007977AA" w:rsidRDefault="007977AA" w:rsidP="002F2420">
      <w:pPr>
        <w:pStyle w:val="dotpoints"/>
      </w:pPr>
      <w:r>
        <w:lastRenderedPageBreak/>
        <w:t>Additional content as part of annual reports allows this process to be used as an additional tool to monitor rehabilitation progress and planning relative to Option 1 and the base case</w:t>
      </w:r>
      <w:r w:rsidR="00C3528C">
        <w:t xml:space="preserve">. This allows ERR </w:t>
      </w:r>
      <w:r w:rsidR="007C730C">
        <w:t>to ensure that risks are being appropriately managed, and that problems with the DMRP and/or progressive rehabilitation are identified as early as possible.</w:t>
      </w:r>
    </w:p>
    <w:p w14:paraId="27F4EE81" w14:textId="68DA42D1" w:rsidR="002F2420" w:rsidRDefault="007977AA" w:rsidP="002F2420">
      <w:pPr>
        <w:pStyle w:val="dotpoints"/>
      </w:pPr>
      <w:r>
        <w:t>Additional information and data supporting the DMRP</w:t>
      </w:r>
      <w:r w:rsidR="00D8367F">
        <w:t xml:space="preserve"> enabl</w:t>
      </w:r>
      <w:r>
        <w:t>es</w:t>
      </w:r>
      <w:r w:rsidR="00D8367F">
        <w:t xml:space="preserve"> ERR to understand and interrogate the basis for rehabilitation planning decisions by licensees</w:t>
      </w:r>
      <w:r w:rsidR="00561228">
        <w:t xml:space="preserve"> relative to the base case and </w:t>
      </w:r>
      <w:r w:rsidR="00F24E65">
        <w:t>Option 1</w:t>
      </w:r>
      <w:r w:rsidR="00D8367F">
        <w:t>.</w:t>
      </w:r>
      <w:r w:rsidR="00E851DC">
        <w:t xml:space="preserve"> </w:t>
      </w:r>
    </w:p>
    <w:p w14:paraId="1E4FC534" w14:textId="7DC5F050" w:rsidR="00003725" w:rsidRDefault="00303A29" w:rsidP="00003725">
      <w:r>
        <w:t xml:space="preserve">Further, the </w:t>
      </w:r>
      <w:r w:rsidR="00F01B0E">
        <w:t>annual</w:t>
      </w:r>
      <w:r>
        <w:t xml:space="preserve"> review of the</w:t>
      </w:r>
      <w:r w:rsidR="00F01B0E">
        <w:t xml:space="preserve"> rehabilitation and post-closure </w:t>
      </w:r>
      <w:r w:rsidR="00544BDB">
        <w:t>management risks identified in the</w:t>
      </w:r>
      <w:r>
        <w:t xml:space="preserve"> DMRP improves the transparency around rehabilitation planning and activity, as ERR has greater oversight on </w:t>
      </w:r>
      <w:r w:rsidR="007C730C">
        <w:t xml:space="preserve">how rehabilitation planning is progressing, and how licensees are </w:t>
      </w:r>
      <w:r w:rsidR="00F44BAA">
        <w:t xml:space="preserve">planning for, and mitigating rehabilitation risks. </w:t>
      </w:r>
      <w:r w:rsidR="00E851DC">
        <w:t xml:space="preserve">Overall, </w:t>
      </w:r>
      <w:r w:rsidR="00F24E65">
        <w:t>Option 2</w:t>
      </w:r>
      <w:r w:rsidR="00E851DC">
        <w:t xml:space="preserve"> is considered to be moderately more transparent than the base case</w:t>
      </w:r>
      <w:r w:rsidR="00F44BAA">
        <w:t xml:space="preserve"> and Option 1</w:t>
      </w:r>
      <w:r w:rsidR="00E851DC">
        <w:t>.</w:t>
      </w:r>
    </w:p>
    <w:p w14:paraId="77ECADCB" w14:textId="3B539C6E" w:rsidR="00576C55" w:rsidRPr="008758D5" w:rsidRDefault="00C33BC9" w:rsidP="006B33C5">
      <w:pPr>
        <w:pStyle w:val="Heading8"/>
      </w:pPr>
      <w:r w:rsidRPr="008758D5">
        <w:t>Flexible planning approach</w:t>
      </w:r>
    </w:p>
    <w:p w14:paraId="0AA16A37" w14:textId="23B4C36B" w:rsidR="00D8367F" w:rsidRDefault="00C33BC9" w:rsidP="03942CF3">
      <w:pPr>
        <w:rPr>
          <w:highlight w:val="yellow"/>
        </w:rPr>
      </w:pPr>
      <w:r>
        <w:t xml:space="preserve">In contrast to the base case and </w:t>
      </w:r>
      <w:r w:rsidR="00F24E65">
        <w:t>Option 1</w:t>
      </w:r>
      <w:r>
        <w:t xml:space="preserve">, </w:t>
      </w:r>
      <w:r w:rsidR="00F24E65">
        <w:t>Option 2</w:t>
      </w:r>
      <w:r>
        <w:t xml:space="preserve"> provides more flexibility in rehabilitation plannin</w:t>
      </w:r>
      <w:r w:rsidR="009845A1">
        <w:t xml:space="preserve">g due to the iterative approach adopted for the DMRP. </w:t>
      </w:r>
      <w:r w:rsidR="00F24E65">
        <w:t>Option 2</w:t>
      </w:r>
      <w:r w:rsidR="009845A1">
        <w:t xml:space="preserve"> allows licensees to develop the detail of their DMRP over time</w:t>
      </w:r>
      <w:r w:rsidR="00E851DC">
        <w:t xml:space="preserve">, provided that a plan </w:t>
      </w:r>
      <w:r w:rsidR="009B5FAE">
        <w:t>to address</w:t>
      </w:r>
      <w:r w:rsidR="00E851DC">
        <w:t xml:space="preserve"> </w:t>
      </w:r>
      <w:r w:rsidR="00326914">
        <w:t xml:space="preserve">any </w:t>
      </w:r>
      <w:r w:rsidR="009B5FAE">
        <w:t>known</w:t>
      </w:r>
      <w:r w:rsidR="00E851DC">
        <w:t xml:space="preserve"> gaps </w:t>
      </w:r>
      <w:r w:rsidR="0020290D">
        <w:t xml:space="preserve">is </w:t>
      </w:r>
      <w:r w:rsidR="00326914">
        <w:t>also</w:t>
      </w:r>
      <w:r w:rsidR="0020290D">
        <w:t xml:space="preserve"> included in the DMRP</w:t>
      </w:r>
      <w:r w:rsidR="00E851DC">
        <w:t xml:space="preserve">. </w:t>
      </w:r>
      <w:r w:rsidR="00897F98">
        <w:t>This allows more flexibility in the planning approach, and allows licensees to better manage the uncertainties in rehabilitation planning outlined in section 2.3.4.</w:t>
      </w:r>
      <w:r w:rsidR="002F7C21">
        <w:t xml:space="preserve"> </w:t>
      </w:r>
    </w:p>
    <w:p w14:paraId="51C54CCB" w14:textId="16D9CEF0" w:rsidR="00796405" w:rsidRPr="0053374A" w:rsidRDefault="00B92103" w:rsidP="217C4165">
      <w:pPr>
        <w:rPr>
          <w:rFonts w:eastAsia="Arial" w:cs="Arial"/>
          <w:szCs w:val="18"/>
          <w:highlight w:val="yellow"/>
        </w:rPr>
      </w:pPr>
      <w:r>
        <w:t xml:space="preserve">The iterative approach to rehabilitation planning under Option 2 also better aligns with what the declared mine licensees report as their usual approach to rehabilitation planning, where information and knowledge about mine sites is accrued over time and informs planning as it is developed. Such information could include the discovery of new factors or features within declared mine land that change existing understandings of the risks posed by the mine site. </w:t>
      </w:r>
      <w:r w:rsidR="007472EB">
        <w:t xml:space="preserve"> The submission by Hazelwood’s operator, E</w:t>
      </w:r>
      <w:r w:rsidR="003049D3">
        <w:t>NGIE</w:t>
      </w:r>
      <w:r w:rsidR="007472EB">
        <w:t xml:space="preserve">, indicated that they have accrued hundreds of technical studies about the Hazelwood mine (which is now </w:t>
      </w:r>
      <w:r w:rsidR="00F533DD">
        <w:t>closed</w:t>
      </w:r>
      <w:r w:rsidR="007472EB">
        <w:t xml:space="preserve">). However, it is likely to be more difficult for </w:t>
      </w:r>
      <w:r w:rsidR="00283762">
        <w:t>mines that are still operational</w:t>
      </w:r>
      <w:r w:rsidR="00D64159">
        <w:t>,</w:t>
      </w:r>
      <w:r w:rsidR="00283762">
        <w:t xml:space="preserve"> and</w:t>
      </w:r>
      <w:r w:rsidR="007472EB">
        <w:t xml:space="preserve"> </w:t>
      </w:r>
      <w:r w:rsidR="00D64159">
        <w:t xml:space="preserve">hence </w:t>
      </w:r>
      <w:r w:rsidR="007472EB">
        <w:t>further out from closure to prepare equally comprehensive DMRPs to adequately manage mine risk</w:t>
      </w:r>
      <w:r w:rsidR="00DD6B87">
        <w:t>s</w:t>
      </w:r>
      <w:r w:rsidR="007472EB">
        <w:t xml:space="preserve">. </w:t>
      </w:r>
      <w:r w:rsidR="00A97CA1">
        <w:t xml:space="preserve">This is also </w:t>
      </w:r>
      <w:r w:rsidR="003518CC">
        <w:t>considering</w:t>
      </w:r>
      <w:r w:rsidR="00A97CA1">
        <w:t xml:space="preserve"> </w:t>
      </w:r>
      <w:r w:rsidR="004B4FF8" w:rsidRPr="004B4FF8">
        <w:t>non-operational mine</w:t>
      </w:r>
      <w:r w:rsidR="004B4FF8">
        <w:t>s</w:t>
      </w:r>
      <w:r w:rsidR="003518CC">
        <w:t xml:space="preserve"> are</w:t>
      </w:r>
      <w:r w:rsidR="00E67EB7">
        <w:t xml:space="preserve"> </w:t>
      </w:r>
      <w:r w:rsidR="004B4FF8" w:rsidRPr="004B4FF8">
        <w:t>less likely to develop</w:t>
      </w:r>
      <w:r w:rsidR="007A5B2E">
        <w:t xml:space="preserve"> or </w:t>
      </w:r>
      <w:r w:rsidR="004B4FF8" w:rsidRPr="004B4FF8">
        <w:t>encounter new</w:t>
      </w:r>
      <w:r w:rsidR="007A5B2E">
        <w:t xml:space="preserve"> </w:t>
      </w:r>
      <w:r w:rsidR="004B4FF8" w:rsidRPr="004B4FF8">
        <w:t xml:space="preserve">risks relative to an active mine </w:t>
      </w:r>
      <w:r w:rsidR="007A5B2E">
        <w:t xml:space="preserve">site. </w:t>
      </w:r>
      <w:r w:rsidR="007472EB">
        <w:t xml:space="preserve">Another mine operator submitted that delaying detailed planning has the </w:t>
      </w:r>
      <w:r w:rsidR="00A94553">
        <w:t xml:space="preserve">added </w:t>
      </w:r>
      <w:r w:rsidR="007472EB">
        <w:t xml:space="preserve">benefit </w:t>
      </w:r>
      <w:r w:rsidR="00A94553">
        <w:t xml:space="preserve">that </w:t>
      </w:r>
      <w:r w:rsidR="00C03483">
        <w:t xml:space="preserve">it enables </w:t>
      </w:r>
      <w:r w:rsidR="007472EB">
        <w:t xml:space="preserve">planning </w:t>
      </w:r>
      <w:r w:rsidR="00C03483">
        <w:t>to</w:t>
      </w:r>
      <w:r w:rsidR="00A94553">
        <w:t xml:space="preserve"> be undertaken </w:t>
      </w:r>
      <w:r w:rsidR="007472EB">
        <w:t>when site knowledge is most evolved.</w:t>
      </w:r>
      <w:r w:rsidR="20FC3D15" w:rsidRPr="00733ABC">
        <w:t xml:space="preserve"> </w:t>
      </w:r>
      <w:r w:rsidR="7C5910D1" w:rsidRPr="217C4165">
        <w:rPr>
          <w:rFonts w:eastAsia="Arial" w:cs="Arial"/>
          <w:szCs w:val="18"/>
        </w:rPr>
        <w:t>This iterative approach is consistent with the approach to rehabilitation planning in Western Australia</w:t>
      </w:r>
      <w:r w:rsidR="0B590D94" w:rsidRPr="217C4165">
        <w:rPr>
          <w:rFonts w:eastAsia="Arial" w:cs="Arial"/>
          <w:szCs w:val="18"/>
        </w:rPr>
        <w:t xml:space="preserve"> and Germany</w:t>
      </w:r>
      <w:r w:rsidR="7C5910D1" w:rsidRPr="217C4165">
        <w:rPr>
          <w:rFonts w:eastAsia="Arial" w:cs="Arial"/>
          <w:szCs w:val="18"/>
        </w:rPr>
        <w:t>, where plans are developed over time, with more detail required prescribed in the plan as more knowledge and information is gathered and the mine approaches closure.</w:t>
      </w:r>
    </w:p>
    <w:p w14:paraId="4392364D" w14:textId="0E8EAAB1" w:rsidR="00177062" w:rsidRPr="0053374A" w:rsidRDefault="00B92103" w:rsidP="217C4165">
      <w:r>
        <w:t>Th</w:t>
      </w:r>
      <w:r w:rsidR="00F21EDB">
        <w:t xml:space="preserve">e </w:t>
      </w:r>
      <w:r>
        <w:t xml:space="preserve">iterative approach </w:t>
      </w:r>
      <w:r w:rsidR="00F21EDB">
        <w:t xml:space="preserve">in Option 2 </w:t>
      </w:r>
      <w:r>
        <w:t xml:space="preserve">addresses the limitations and risks inherent in the upfront planning approach in Option 1. </w:t>
      </w:r>
      <w:r w:rsidR="0028400E">
        <w:t xml:space="preserve">By requiring licensees to provide all of the detailed information </w:t>
      </w:r>
      <w:r w:rsidR="00667458">
        <w:t xml:space="preserve">in the DMRP </w:t>
      </w:r>
      <w:r w:rsidR="0028400E">
        <w:t xml:space="preserve">at the outset, Option 1 creates a risk that DMRPs will </w:t>
      </w:r>
      <w:r w:rsidR="00670E07">
        <w:t>require information</w:t>
      </w:r>
      <w:r w:rsidR="0028400E">
        <w:t xml:space="preserve"> about the mine site </w:t>
      </w:r>
      <w:r w:rsidR="0041563F">
        <w:t xml:space="preserve">to be </w:t>
      </w:r>
      <w:r w:rsidR="0028400E">
        <w:t xml:space="preserve">collected </w:t>
      </w:r>
      <w:r w:rsidR="003F2102">
        <w:t>before</w:t>
      </w:r>
      <w:r w:rsidR="0028400E">
        <w:t xml:space="preserve"> all the technical features and potential risks posed by the land</w:t>
      </w:r>
      <w:r w:rsidR="003F2102">
        <w:t xml:space="preserve"> are </w:t>
      </w:r>
      <w:r w:rsidR="0028400E">
        <w:t xml:space="preserve">fully </w:t>
      </w:r>
      <w:r w:rsidR="00100B25">
        <w:t>known and understood</w:t>
      </w:r>
      <w:r w:rsidR="003F2102">
        <w:t>.</w:t>
      </w:r>
      <w:r w:rsidR="0028400E">
        <w:t xml:space="preserve"> Declared mines are inherently complex and dangerous, and as has been illustrated by the hazardous events that have occurred at the Latrobe Valley </w:t>
      </w:r>
      <w:r w:rsidR="00766E5E">
        <w:t xml:space="preserve">coal </w:t>
      </w:r>
      <w:r w:rsidR="0028400E">
        <w:t>mines and their subsequent investigations – understanding and planning for the full extent of the potential risks they pose is challenging. In addition, the challenges and uncertainties outlined in relation to rehabilitation planning in section 2.3.4 impact on licensees</w:t>
      </w:r>
      <w:r w:rsidR="004255AE">
        <w:t>’</w:t>
      </w:r>
      <w:r w:rsidR="0028400E">
        <w:t xml:space="preserve"> ability to undertake detailed rehabilitation planning.</w:t>
      </w:r>
      <w:r w:rsidR="0053374A">
        <w:t xml:space="preserve"> </w:t>
      </w:r>
    </w:p>
    <w:p w14:paraId="3BFD4044" w14:textId="57A5042B" w:rsidR="00844BA9" w:rsidRDefault="00844BA9" w:rsidP="001109D0">
      <w:r>
        <w:t xml:space="preserve">The </w:t>
      </w:r>
      <w:r w:rsidR="00BC35D5">
        <w:t>annual</w:t>
      </w:r>
      <w:r>
        <w:t xml:space="preserve"> review </w:t>
      </w:r>
      <w:r w:rsidR="0031501F">
        <w:t xml:space="preserve">of the rehabilitation and </w:t>
      </w:r>
      <w:r w:rsidR="00445757">
        <w:t>post-closure</w:t>
      </w:r>
      <w:r w:rsidR="00544BDB">
        <w:t xml:space="preserve"> management</w:t>
      </w:r>
      <w:r w:rsidR="00445757">
        <w:t xml:space="preserve"> risks identified in the DRMP</w:t>
      </w:r>
      <w:r>
        <w:t xml:space="preserve"> can be expected to ensure that emerging risks are captured in the planning process, and that progress in managing and minimising known risks is continuously monitored by both the licensee and ERR. The yearly review cycle also allows for small changes in rehabilitation planning to be incorporated in the plan without the need for a formal variation.</w:t>
      </w:r>
    </w:p>
    <w:p w14:paraId="6288EE6A" w14:textId="77777777" w:rsidR="004361F2" w:rsidRDefault="00844BA9" w:rsidP="0028400E">
      <w:r>
        <w:t>This stands in contrast to the base case and Option 1, where there is no ongoing monitoring of the adequacy of the DMRP in managing risk, and variations to the DMRP are a formal process triggered by specified, relatively major events</w:t>
      </w:r>
      <w:r w:rsidR="00A94C7E">
        <w:t>, such as</w:t>
      </w:r>
      <w:r w:rsidR="004361F2">
        <w:t>:</w:t>
      </w:r>
    </w:p>
    <w:p w14:paraId="07AACAF8" w14:textId="6F4E4CD2" w:rsidR="004361F2" w:rsidRDefault="00050C91" w:rsidP="004361F2">
      <w:pPr>
        <w:pStyle w:val="dotpoints"/>
      </w:pPr>
      <w:r>
        <w:t>a</w:t>
      </w:r>
      <w:r w:rsidR="004361F2">
        <w:t>n explosion or outbreak of fire;</w:t>
      </w:r>
    </w:p>
    <w:p w14:paraId="1D3CA934" w14:textId="78BE8DC3" w:rsidR="004361F2" w:rsidRDefault="00050C91" w:rsidP="004361F2">
      <w:pPr>
        <w:pStyle w:val="dotpoints"/>
      </w:pPr>
      <w:r>
        <w:t>s</w:t>
      </w:r>
      <w:r w:rsidR="004361F2">
        <w:t>lope failure, unexpected slope movement, progressive slope collapse or failure of slope stability control measures;</w:t>
      </w:r>
    </w:p>
    <w:p w14:paraId="50E314B3" w14:textId="6A889939" w:rsidR="004361F2" w:rsidRDefault="00050C91" w:rsidP="004361F2">
      <w:pPr>
        <w:pStyle w:val="dotpoints"/>
      </w:pPr>
      <w:r>
        <w:t>a</w:t>
      </w:r>
      <w:r w:rsidR="004361F2">
        <w:t>n injury to a member of the public caused by the carrying out of mining or associated operations;</w:t>
      </w:r>
    </w:p>
    <w:p w14:paraId="7D33C8B6" w14:textId="50F0FDDC" w:rsidR="004361F2" w:rsidRDefault="00050C91" w:rsidP="004361F2">
      <w:pPr>
        <w:pStyle w:val="dotpoints"/>
      </w:pPr>
      <w:r>
        <w:t>a</w:t>
      </w:r>
      <w:r w:rsidR="004361F2">
        <w:t>n uncontrolled outburst of gas;</w:t>
      </w:r>
    </w:p>
    <w:p w14:paraId="7CDD8D04" w14:textId="04642A8A" w:rsidR="004361F2" w:rsidRDefault="00050C91" w:rsidP="004361F2">
      <w:pPr>
        <w:pStyle w:val="dotpoints"/>
      </w:pPr>
      <w:r>
        <w:t>a</w:t>
      </w:r>
      <w:r w:rsidR="004361F2">
        <w:t>n unexpected or abnormal inrush of groundwater, other water or other fluid;</w:t>
      </w:r>
    </w:p>
    <w:p w14:paraId="3843DFA0" w14:textId="26A4C598" w:rsidR="004361F2" w:rsidRDefault="00050C91" w:rsidP="004361F2">
      <w:pPr>
        <w:pStyle w:val="dotpoints"/>
      </w:pPr>
      <w:r>
        <w:t>b</w:t>
      </w:r>
      <w:r w:rsidR="004361F2">
        <w:t xml:space="preserve">lasting that results in an ejection of fly rock outside the work plan area of the approved work plan for the licence; </w:t>
      </w:r>
    </w:p>
    <w:p w14:paraId="491BD1D9" w14:textId="49E15284" w:rsidR="004361F2" w:rsidRDefault="006D047C" w:rsidP="004361F2">
      <w:pPr>
        <w:pStyle w:val="dotpoints"/>
      </w:pPr>
      <w:r>
        <w:t>a</w:t>
      </w:r>
      <w:r w:rsidR="004361F2">
        <w:t>n escape, spillage or leakage of a harmful or potentially harmful substance, slurry or tailings;</w:t>
      </w:r>
    </w:p>
    <w:p w14:paraId="249F2967" w14:textId="582F8301" w:rsidR="004361F2" w:rsidRDefault="006D047C" w:rsidP="004361F2">
      <w:pPr>
        <w:pStyle w:val="dotpoints"/>
      </w:pPr>
      <w:r>
        <w:lastRenderedPageBreak/>
        <w:t>a</w:t>
      </w:r>
      <w:r w:rsidR="004361F2">
        <w:t xml:space="preserve"> breach of a licence condition or non-compliance with the approved work plan or work plan conditions for the licence that results in, or is likely to result in, a risk to the environment, any member of the public or property, land or infrastructure in the vicinity of the licence;</w:t>
      </w:r>
    </w:p>
    <w:p w14:paraId="00DFDD17" w14:textId="6B737051" w:rsidR="004361F2" w:rsidRDefault="006D047C" w:rsidP="004361F2">
      <w:pPr>
        <w:pStyle w:val="dotpoints"/>
      </w:pPr>
      <w:r>
        <w:t>a</w:t>
      </w:r>
      <w:r w:rsidR="004361F2">
        <w:t>n abnormal event;</w:t>
      </w:r>
    </w:p>
    <w:p w14:paraId="254000BF" w14:textId="55A35B0B" w:rsidR="004361F2" w:rsidRDefault="006D047C" w:rsidP="00DE4290">
      <w:pPr>
        <w:pStyle w:val="dotpoints"/>
      </w:pPr>
      <w:r>
        <w:t>a</w:t>
      </w:r>
      <w:r w:rsidR="765E36F0">
        <w:t>n event that results or may result in significant impacts on public safety, the environment or infrastructure</w:t>
      </w:r>
      <w:r w:rsidR="4E09D49A">
        <w:t>.</w:t>
      </w:r>
      <w:r w:rsidR="004361F2">
        <w:rPr>
          <w:rStyle w:val="FootnoteReference"/>
        </w:rPr>
        <w:footnoteReference w:id="196"/>
      </w:r>
      <w:r w:rsidR="4E09D49A">
        <w:t xml:space="preserve"> </w:t>
      </w:r>
    </w:p>
    <w:p w14:paraId="20C936A9" w14:textId="3D59FF3C" w:rsidR="0028400E" w:rsidRDefault="0028400E" w:rsidP="217C4165">
      <w:pPr>
        <w:rPr>
          <w:i/>
          <w:iCs/>
          <w:highlight w:val="yellow"/>
        </w:rPr>
      </w:pPr>
      <w:r>
        <w:t xml:space="preserve">Under Option 1, the variation process can be lengthy and costly, which may disincentivise mine operators from proposing a variation. One of the mine operators submitted that the lengthy and laborious nature of the existing plan variation process acts as a disincentive for operators to formally vary their plans. Similar sentiments about the delays created by ERR’s processing of formal work plan variations were expressed by another of the licensees. </w:t>
      </w:r>
    </w:p>
    <w:p w14:paraId="3F27AEC7" w14:textId="1F9A0DED" w:rsidR="00D16B3B" w:rsidRDefault="00D16B3B" w:rsidP="00D16B3B">
      <w:r>
        <w:t xml:space="preserve">Option 2 could avoid or reduce the obstacles and effort involved in updating rehabilitation plans, in turn improving the comprehensiveness of the plan’s risk management. </w:t>
      </w:r>
    </w:p>
    <w:p w14:paraId="6F0F1DD3" w14:textId="709DCAC6" w:rsidR="006F504A" w:rsidRDefault="00844BA9" w:rsidP="00003725">
      <w:r>
        <w:t>In the longer-term, Option 2 is expected to result in better management of declared mine risks, as it is more flexible, and more suited to the uncertain environment in which declared mine rehabilitation is occurring (as described in section 2.3.4)</w:t>
      </w:r>
      <w:r w:rsidR="003E7B93">
        <w:t xml:space="preserve"> and the nature of declared </w:t>
      </w:r>
      <w:r w:rsidR="00402CE0">
        <w:t>mine land rehabilitation risks</w:t>
      </w:r>
      <w:r>
        <w:t>. As such, Option 2 allows for and accommodates changing circumstances that impact on the level and nature of risk posed by declared mine sites through the iterative approach to rehabilitation planning, the more comprehensive annual reporting and the yearly review</w:t>
      </w:r>
      <w:r w:rsidR="001B0776">
        <w:t xml:space="preserve"> of rehabilitation and post-closure management risks</w:t>
      </w:r>
      <w:r>
        <w:t>.</w:t>
      </w:r>
    </w:p>
    <w:p w14:paraId="39DBF8E0" w14:textId="15E084BC" w:rsidR="00A16066" w:rsidRDefault="00A16066" w:rsidP="003F70FF">
      <w:pPr>
        <w:pStyle w:val="Heading6"/>
      </w:pPr>
      <w:r>
        <w:t>Benefits scores</w:t>
      </w:r>
    </w:p>
    <w:p w14:paraId="72387ACA" w14:textId="14DCD05A" w:rsidR="007C3FEE" w:rsidRPr="007A68A4" w:rsidRDefault="00400166" w:rsidP="00A16066">
      <w:r>
        <w:fldChar w:fldCharType="begin"/>
      </w:r>
      <w:r>
        <w:instrText xml:space="preserve"> REF _Ref103965240 \h </w:instrText>
      </w:r>
      <w:r>
        <w:fldChar w:fldCharType="separate"/>
      </w:r>
      <w:r w:rsidR="000B3BF6">
        <w:t xml:space="preserve">Table </w:t>
      </w:r>
      <w:r w:rsidR="000B3BF6">
        <w:rPr>
          <w:noProof/>
        </w:rPr>
        <w:t>10</w:t>
      </w:r>
      <w:r>
        <w:fldChar w:fldCharType="end"/>
      </w:r>
      <w:r w:rsidR="00A16066">
        <w:t xml:space="preserve"> sets out the scores allocated to the DMRP options, </w:t>
      </w:r>
      <w:r w:rsidR="00F24E65">
        <w:t>Option 1</w:t>
      </w:r>
      <w:r w:rsidR="00A16066">
        <w:t xml:space="preserve"> and </w:t>
      </w:r>
      <w:r w:rsidR="00F24E65">
        <w:t>Option 2</w:t>
      </w:r>
      <w:r w:rsidR="00A16066">
        <w:t>, against the benefits criter</w:t>
      </w:r>
      <w:r w:rsidR="00003F68">
        <w:t xml:space="preserve">ion. </w:t>
      </w:r>
      <w:r w:rsidR="00AF64B5">
        <w:t xml:space="preserve">Overall, </w:t>
      </w:r>
      <w:r w:rsidR="00F24E65">
        <w:t>Option 2</w:t>
      </w:r>
      <w:r w:rsidR="00AF64B5">
        <w:t xml:space="preserve"> provides the highest benefit across all the benefits criteria.</w:t>
      </w:r>
      <w:r w:rsidR="007C3FEE" w:rsidRPr="007A68A4">
        <w:t xml:space="preserve"> Option 1 is considered to be more effective compared to the base case across all of the sub-criteria. While it does improve rehabilitation planning requirements against most of the benefits sub-criteria, a not insignificant proportion of this impact is derived merely from its effect in activating the obligations and processes under the Act.</w:t>
      </w:r>
    </w:p>
    <w:p w14:paraId="4243D5BF" w14:textId="441D4E45" w:rsidR="007C3FEE" w:rsidRDefault="007C3FEE" w:rsidP="00A16066">
      <w:r w:rsidRPr="007A68A4">
        <w:t>Option 2 is considered to be significantly more effective than the base case. Option 2 includes and builds on all the aspects of Option 1 that are more effective than the base case, particularly in relation to supporting integrated government decision-making and more transparent and flexible planning</w:t>
      </w:r>
      <w:r w:rsidR="007A68A4" w:rsidRPr="007A68A4">
        <w:t>, resulting in a higher score overall</w:t>
      </w:r>
      <w:r w:rsidRPr="007A68A4">
        <w:t>.</w:t>
      </w:r>
    </w:p>
    <w:p w14:paraId="78C4BC5A" w14:textId="232CBE2E" w:rsidR="00BE37A3" w:rsidRDefault="00BE37A3" w:rsidP="00BE37A3">
      <w:pPr>
        <w:pStyle w:val="Caption"/>
      </w:pPr>
      <w:bookmarkStart w:id="328" w:name="_Ref103965240"/>
      <w:bookmarkStart w:id="329" w:name="_Toc104217626"/>
      <w:r>
        <w:t xml:space="preserve">Table </w:t>
      </w:r>
      <w:r>
        <w:fldChar w:fldCharType="begin"/>
      </w:r>
      <w:r>
        <w:instrText>SEQ Table \* ARABIC</w:instrText>
      </w:r>
      <w:r>
        <w:fldChar w:fldCharType="separate"/>
      </w:r>
      <w:r w:rsidR="000B3BF6">
        <w:rPr>
          <w:noProof/>
        </w:rPr>
        <w:t>10</w:t>
      </w:r>
      <w:r>
        <w:fldChar w:fldCharType="end"/>
      </w:r>
      <w:bookmarkEnd w:id="328"/>
      <w:r w:rsidR="002D0543">
        <w:rPr>
          <w:noProof/>
        </w:rPr>
        <w:t>:</w:t>
      </w:r>
      <w:r>
        <w:t xml:space="preserve"> Options for DMRPs - benefits scores</w:t>
      </w:r>
      <w:bookmarkEnd w:id="329"/>
    </w:p>
    <w:tbl>
      <w:tblPr>
        <w:tblStyle w:val="TableGrid2"/>
        <w:tblW w:w="9026"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CellMar>
          <w:top w:w="28" w:type="dxa"/>
          <w:bottom w:w="28" w:type="dxa"/>
        </w:tblCellMar>
        <w:tblLook w:val="04A0" w:firstRow="1" w:lastRow="0" w:firstColumn="1" w:lastColumn="0" w:noHBand="0" w:noVBand="1"/>
        <w:tblCaption w:val="Table heading"/>
      </w:tblPr>
      <w:tblGrid>
        <w:gridCol w:w="3454"/>
        <w:gridCol w:w="1280"/>
        <w:gridCol w:w="1073"/>
        <w:gridCol w:w="1073"/>
        <w:gridCol w:w="1073"/>
        <w:gridCol w:w="1073"/>
      </w:tblGrid>
      <w:tr w:rsidR="00944169" w14:paraId="515FB663" w14:textId="77777777" w:rsidTr="008E75CA">
        <w:trPr>
          <w:trHeight w:val="283"/>
          <w:tblHeader/>
        </w:trPr>
        <w:tc>
          <w:tcPr>
            <w:tcW w:w="3454" w:type="dxa"/>
            <w:shd w:val="clear" w:color="auto" w:fill="1B0B38"/>
            <w:vAlign w:val="center"/>
          </w:tcPr>
          <w:p w14:paraId="3E4EF44D" w14:textId="77777777" w:rsidR="00944169" w:rsidRPr="00BA70A6" w:rsidRDefault="00944169" w:rsidP="008E75CA">
            <w:pPr>
              <w:spacing w:before="0"/>
              <w:rPr>
                <w:rStyle w:val="Strong"/>
                <w:color w:val="FFFFFF" w:themeColor="background1"/>
              </w:rPr>
            </w:pPr>
            <w:r>
              <w:rPr>
                <w:rStyle w:val="Strong"/>
                <w:color w:val="FFFFFF" w:themeColor="background1"/>
              </w:rPr>
              <w:t>Criteria</w:t>
            </w:r>
          </w:p>
        </w:tc>
        <w:tc>
          <w:tcPr>
            <w:tcW w:w="1280" w:type="dxa"/>
            <w:shd w:val="clear" w:color="auto" w:fill="1B0B38"/>
            <w:vAlign w:val="center"/>
          </w:tcPr>
          <w:p w14:paraId="75FF093B" w14:textId="77777777" w:rsidR="00944169" w:rsidRDefault="00944169" w:rsidP="008E75CA">
            <w:pPr>
              <w:spacing w:before="0"/>
              <w:jc w:val="center"/>
              <w:rPr>
                <w:rStyle w:val="Strong"/>
                <w:color w:val="FFFFFF" w:themeColor="background1"/>
              </w:rPr>
            </w:pPr>
            <w:r>
              <w:rPr>
                <w:rStyle w:val="Strong"/>
                <w:color w:val="FFFFFF" w:themeColor="background1"/>
              </w:rPr>
              <w:t>Weighting</w:t>
            </w:r>
          </w:p>
        </w:tc>
        <w:tc>
          <w:tcPr>
            <w:tcW w:w="2146" w:type="dxa"/>
            <w:gridSpan w:val="2"/>
            <w:shd w:val="clear" w:color="auto" w:fill="1B0B38"/>
            <w:vAlign w:val="center"/>
          </w:tcPr>
          <w:p w14:paraId="541225C7" w14:textId="77777777" w:rsidR="00944169" w:rsidRDefault="00944169" w:rsidP="008E75CA">
            <w:pPr>
              <w:spacing w:before="0"/>
              <w:jc w:val="center"/>
              <w:rPr>
                <w:rStyle w:val="Strong"/>
                <w:color w:val="FFFFFF" w:themeColor="background1"/>
              </w:rPr>
            </w:pPr>
            <w:r>
              <w:rPr>
                <w:rStyle w:val="Strong"/>
                <w:color w:val="FFFFFF" w:themeColor="background1"/>
              </w:rPr>
              <w:t>Unweighted Scores</w:t>
            </w:r>
          </w:p>
        </w:tc>
        <w:tc>
          <w:tcPr>
            <w:tcW w:w="2146" w:type="dxa"/>
            <w:gridSpan w:val="2"/>
            <w:shd w:val="clear" w:color="auto" w:fill="1B0B38"/>
            <w:vAlign w:val="center"/>
          </w:tcPr>
          <w:p w14:paraId="57401B2F" w14:textId="77777777" w:rsidR="00944169" w:rsidRDefault="00944169" w:rsidP="008E75CA">
            <w:pPr>
              <w:spacing w:before="0"/>
              <w:jc w:val="center"/>
              <w:rPr>
                <w:rStyle w:val="Strong"/>
                <w:color w:val="FFFFFF" w:themeColor="background1"/>
              </w:rPr>
            </w:pPr>
            <w:r>
              <w:rPr>
                <w:rStyle w:val="Strong"/>
                <w:color w:val="FFFFFF" w:themeColor="background1"/>
              </w:rPr>
              <w:t>Weighted Scores</w:t>
            </w:r>
          </w:p>
        </w:tc>
      </w:tr>
      <w:tr w:rsidR="00944169" w14:paraId="2B547011" w14:textId="77777777" w:rsidTr="008E75CA">
        <w:trPr>
          <w:tblHeader/>
        </w:trPr>
        <w:tc>
          <w:tcPr>
            <w:tcW w:w="3454" w:type="dxa"/>
            <w:shd w:val="clear" w:color="auto" w:fill="D9D9D6" w:themeFill="background2"/>
            <w:vAlign w:val="center"/>
          </w:tcPr>
          <w:p w14:paraId="5FE4C569" w14:textId="4769EBE4" w:rsidR="00944169" w:rsidRDefault="00944169" w:rsidP="008E75CA">
            <w:pPr>
              <w:spacing w:before="0"/>
              <w:rPr>
                <w:rStyle w:val="Strong"/>
                <w:color w:val="FFFFFF" w:themeColor="background1"/>
              </w:rPr>
            </w:pPr>
          </w:p>
        </w:tc>
        <w:tc>
          <w:tcPr>
            <w:tcW w:w="1280" w:type="dxa"/>
            <w:shd w:val="clear" w:color="auto" w:fill="D9D9D6" w:themeFill="background2"/>
            <w:vAlign w:val="center"/>
          </w:tcPr>
          <w:p w14:paraId="667637FE" w14:textId="77777777" w:rsidR="00944169" w:rsidRDefault="00944169" w:rsidP="008E75CA">
            <w:pPr>
              <w:spacing w:before="0"/>
              <w:jc w:val="center"/>
              <w:rPr>
                <w:b/>
                <w:bCs/>
              </w:rPr>
            </w:pPr>
          </w:p>
        </w:tc>
        <w:tc>
          <w:tcPr>
            <w:tcW w:w="1073" w:type="dxa"/>
            <w:shd w:val="clear" w:color="auto" w:fill="D9D9D6" w:themeFill="background2"/>
          </w:tcPr>
          <w:p w14:paraId="604EE5DC" w14:textId="51F0259F" w:rsidR="00944169" w:rsidRDefault="00F24E65" w:rsidP="008E75CA">
            <w:pPr>
              <w:spacing w:before="0"/>
              <w:jc w:val="center"/>
              <w:rPr>
                <w:b/>
                <w:bCs/>
              </w:rPr>
            </w:pPr>
            <w:r>
              <w:rPr>
                <w:b/>
                <w:bCs/>
              </w:rPr>
              <w:t>Option 1</w:t>
            </w:r>
          </w:p>
        </w:tc>
        <w:tc>
          <w:tcPr>
            <w:tcW w:w="1073" w:type="dxa"/>
            <w:shd w:val="clear" w:color="auto" w:fill="D9D9D6" w:themeFill="background2"/>
          </w:tcPr>
          <w:p w14:paraId="4DD519EA" w14:textId="6B40C62D" w:rsidR="00944169" w:rsidRDefault="00F24E65" w:rsidP="008E75CA">
            <w:pPr>
              <w:spacing w:before="0"/>
              <w:jc w:val="center"/>
              <w:rPr>
                <w:b/>
                <w:bCs/>
              </w:rPr>
            </w:pPr>
            <w:r>
              <w:rPr>
                <w:b/>
                <w:bCs/>
              </w:rPr>
              <w:t>Option 2</w:t>
            </w:r>
          </w:p>
        </w:tc>
        <w:tc>
          <w:tcPr>
            <w:tcW w:w="1073" w:type="dxa"/>
            <w:shd w:val="clear" w:color="auto" w:fill="D9D9D6" w:themeFill="background2"/>
          </w:tcPr>
          <w:p w14:paraId="034FFC8E" w14:textId="257E660F" w:rsidR="00944169" w:rsidRDefault="00F24E65" w:rsidP="008E75CA">
            <w:pPr>
              <w:spacing w:before="0"/>
              <w:jc w:val="center"/>
              <w:rPr>
                <w:b/>
                <w:bCs/>
              </w:rPr>
            </w:pPr>
            <w:r>
              <w:rPr>
                <w:b/>
                <w:bCs/>
              </w:rPr>
              <w:t>Option 1</w:t>
            </w:r>
          </w:p>
        </w:tc>
        <w:tc>
          <w:tcPr>
            <w:tcW w:w="1073" w:type="dxa"/>
            <w:shd w:val="clear" w:color="auto" w:fill="D9D9D6" w:themeFill="background2"/>
          </w:tcPr>
          <w:p w14:paraId="2E987F32" w14:textId="20D6570B" w:rsidR="00944169" w:rsidRDefault="00F24E65" w:rsidP="008E75CA">
            <w:pPr>
              <w:spacing w:before="0"/>
              <w:jc w:val="center"/>
              <w:rPr>
                <w:b/>
                <w:bCs/>
              </w:rPr>
            </w:pPr>
            <w:r>
              <w:rPr>
                <w:b/>
                <w:bCs/>
              </w:rPr>
              <w:t>Option 2</w:t>
            </w:r>
          </w:p>
        </w:tc>
      </w:tr>
      <w:tr w:rsidR="00892FE0" w:rsidRPr="00B06FB5" w14:paraId="685148B0" w14:textId="77777777" w:rsidTr="008E75CA">
        <w:trPr>
          <w:trHeight w:val="358"/>
        </w:trPr>
        <w:tc>
          <w:tcPr>
            <w:tcW w:w="3454" w:type="dxa"/>
            <w:vAlign w:val="center"/>
          </w:tcPr>
          <w:p w14:paraId="59544F7C" w14:textId="77777777" w:rsidR="00892FE0" w:rsidRPr="00B10D68" w:rsidRDefault="00892FE0" w:rsidP="008E75CA">
            <w:pPr>
              <w:spacing w:before="0"/>
              <w:rPr>
                <w:rFonts w:asciiTheme="minorHAnsi" w:hAnsiTheme="minorHAnsi" w:cstheme="minorHAnsi"/>
                <w:szCs w:val="18"/>
              </w:rPr>
            </w:pPr>
            <w:r w:rsidRPr="0074315C">
              <w:rPr>
                <w:rFonts w:asciiTheme="minorHAnsi" w:hAnsiTheme="minorHAnsi" w:cstheme="minorHAnsi"/>
                <w:szCs w:val="18"/>
              </w:rPr>
              <w:t>Facilitate assessment of declared mine rehabilitation liability</w:t>
            </w:r>
          </w:p>
        </w:tc>
        <w:tc>
          <w:tcPr>
            <w:tcW w:w="1280" w:type="dxa"/>
            <w:vAlign w:val="center"/>
          </w:tcPr>
          <w:p w14:paraId="127A37EB" w14:textId="7F11F95F" w:rsidR="00892FE0" w:rsidRPr="0074315C" w:rsidRDefault="001C599B" w:rsidP="008E75CA">
            <w:pPr>
              <w:spacing w:before="0"/>
              <w:jc w:val="center"/>
              <w:rPr>
                <w:rFonts w:asciiTheme="minorHAnsi" w:hAnsiTheme="minorHAnsi" w:cstheme="minorHAnsi"/>
                <w:szCs w:val="18"/>
              </w:rPr>
            </w:pPr>
            <w:r>
              <w:rPr>
                <w:rFonts w:asciiTheme="minorHAnsi" w:hAnsiTheme="minorHAnsi" w:cstheme="minorHAnsi"/>
                <w:szCs w:val="18"/>
              </w:rPr>
              <w:t>16.7</w:t>
            </w:r>
            <w:r w:rsidR="00892FE0" w:rsidRPr="00B06FB5">
              <w:rPr>
                <w:rFonts w:asciiTheme="minorHAnsi" w:hAnsiTheme="minorHAnsi" w:cstheme="minorHAnsi"/>
                <w:szCs w:val="18"/>
              </w:rPr>
              <w:t>%</w:t>
            </w:r>
          </w:p>
        </w:tc>
        <w:tc>
          <w:tcPr>
            <w:tcW w:w="1073" w:type="dxa"/>
            <w:vAlign w:val="center"/>
          </w:tcPr>
          <w:p w14:paraId="75BFED1D" w14:textId="36471F26" w:rsidR="00892FE0" w:rsidRPr="008E75CA" w:rsidRDefault="00892FE0" w:rsidP="008E75CA">
            <w:pPr>
              <w:spacing w:before="0"/>
              <w:jc w:val="center"/>
              <w:rPr>
                <w:rFonts w:asciiTheme="majorHAnsi" w:hAnsiTheme="majorHAnsi" w:cstheme="majorHAnsi"/>
                <w:szCs w:val="18"/>
              </w:rPr>
            </w:pPr>
            <w:r w:rsidRPr="008E75CA">
              <w:rPr>
                <w:rFonts w:asciiTheme="majorHAnsi" w:hAnsiTheme="majorHAnsi" w:cstheme="majorHAnsi"/>
                <w:szCs w:val="18"/>
              </w:rPr>
              <w:t>7</w:t>
            </w:r>
          </w:p>
        </w:tc>
        <w:tc>
          <w:tcPr>
            <w:tcW w:w="1073" w:type="dxa"/>
            <w:vAlign w:val="center"/>
          </w:tcPr>
          <w:p w14:paraId="5EF85AF5" w14:textId="74150121" w:rsidR="00892FE0" w:rsidRPr="008E75CA" w:rsidRDefault="00552FA0" w:rsidP="008E75CA">
            <w:pPr>
              <w:spacing w:before="0"/>
              <w:jc w:val="center"/>
              <w:rPr>
                <w:rFonts w:asciiTheme="majorHAnsi" w:hAnsiTheme="majorHAnsi" w:cstheme="majorHAnsi"/>
                <w:szCs w:val="18"/>
              </w:rPr>
            </w:pPr>
            <w:r>
              <w:rPr>
                <w:rFonts w:asciiTheme="majorHAnsi" w:hAnsiTheme="majorHAnsi" w:cstheme="majorHAnsi"/>
                <w:szCs w:val="18"/>
              </w:rPr>
              <w:t>8</w:t>
            </w:r>
          </w:p>
        </w:tc>
        <w:tc>
          <w:tcPr>
            <w:tcW w:w="1073" w:type="dxa"/>
            <w:vAlign w:val="center"/>
          </w:tcPr>
          <w:p w14:paraId="78C658B8" w14:textId="52115231" w:rsidR="00892FE0" w:rsidRPr="008E75CA" w:rsidRDefault="00F40B65" w:rsidP="008E75CA">
            <w:pPr>
              <w:spacing w:before="0"/>
              <w:jc w:val="center"/>
              <w:rPr>
                <w:rFonts w:asciiTheme="majorHAnsi" w:hAnsiTheme="majorHAnsi" w:cstheme="majorHAnsi"/>
                <w:szCs w:val="18"/>
              </w:rPr>
            </w:pPr>
            <w:r>
              <w:rPr>
                <w:rFonts w:asciiTheme="majorHAnsi" w:hAnsiTheme="majorHAnsi" w:cstheme="majorHAnsi"/>
                <w:szCs w:val="18"/>
              </w:rPr>
              <w:t>1.17</w:t>
            </w:r>
          </w:p>
        </w:tc>
        <w:tc>
          <w:tcPr>
            <w:tcW w:w="1073" w:type="dxa"/>
            <w:vAlign w:val="center"/>
          </w:tcPr>
          <w:p w14:paraId="6C468460" w14:textId="5960032E" w:rsidR="00892FE0" w:rsidRPr="008E75CA" w:rsidRDefault="00892FE0" w:rsidP="008E75CA">
            <w:pPr>
              <w:spacing w:before="0"/>
              <w:jc w:val="center"/>
              <w:rPr>
                <w:rFonts w:asciiTheme="majorHAnsi" w:hAnsiTheme="majorHAnsi" w:cstheme="majorHAnsi"/>
                <w:szCs w:val="18"/>
              </w:rPr>
            </w:pPr>
            <w:r w:rsidRPr="008E75CA">
              <w:rPr>
                <w:rFonts w:asciiTheme="majorHAnsi" w:hAnsiTheme="majorHAnsi" w:cstheme="majorHAnsi"/>
                <w:szCs w:val="18"/>
              </w:rPr>
              <w:t>1.</w:t>
            </w:r>
            <w:r w:rsidR="00552FA0">
              <w:rPr>
                <w:rFonts w:asciiTheme="majorHAnsi" w:hAnsiTheme="majorHAnsi" w:cstheme="majorHAnsi"/>
                <w:szCs w:val="18"/>
              </w:rPr>
              <w:t>33</w:t>
            </w:r>
          </w:p>
        </w:tc>
      </w:tr>
      <w:tr w:rsidR="00892FE0" w:rsidRPr="00B06FB5" w14:paraId="731ADD2A" w14:textId="77777777" w:rsidTr="008E75CA">
        <w:trPr>
          <w:trHeight w:val="358"/>
        </w:trPr>
        <w:tc>
          <w:tcPr>
            <w:tcW w:w="3454" w:type="dxa"/>
            <w:vAlign w:val="center"/>
          </w:tcPr>
          <w:p w14:paraId="115E84D9" w14:textId="77777777" w:rsidR="00892FE0" w:rsidRPr="00B10D68" w:rsidRDefault="00892FE0" w:rsidP="008E75CA">
            <w:pPr>
              <w:spacing w:before="0"/>
              <w:rPr>
                <w:rFonts w:asciiTheme="minorHAnsi" w:hAnsiTheme="minorHAnsi" w:cstheme="minorHAnsi"/>
                <w:szCs w:val="18"/>
              </w:rPr>
            </w:pPr>
            <w:r>
              <w:rPr>
                <w:rFonts w:asciiTheme="minorHAnsi" w:hAnsiTheme="minorHAnsi" w:cstheme="minorHAnsi"/>
                <w:szCs w:val="18"/>
              </w:rPr>
              <w:t xml:space="preserve">Enable </w:t>
            </w:r>
            <w:r w:rsidRPr="00B10D68">
              <w:rPr>
                <w:rFonts w:asciiTheme="minorHAnsi" w:hAnsiTheme="minorHAnsi" w:cstheme="minorHAnsi"/>
                <w:szCs w:val="18"/>
              </w:rPr>
              <w:t>appropriate and integrated regulatory rehabilitation-related decision making</w:t>
            </w:r>
            <w:r>
              <w:rPr>
                <w:rFonts w:asciiTheme="minorHAnsi" w:hAnsiTheme="minorHAnsi" w:cstheme="minorHAnsi"/>
                <w:szCs w:val="18"/>
              </w:rPr>
              <w:t xml:space="preserve"> by government</w:t>
            </w:r>
          </w:p>
        </w:tc>
        <w:tc>
          <w:tcPr>
            <w:tcW w:w="1280" w:type="dxa"/>
            <w:vAlign w:val="center"/>
          </w:tcPr>
          <w:p w14:paraId="721B2470" w14:textId="5366CE5B" w:rsidR="00892FE0" w:rsidRDefault="001C599B" w:rsidP="008E75CA">
            <w:pPr>
              <w:spacing w:before="0"/>
              <w:jc w:val="center"/>
              <w:rPr>
                <w:rFonts w:asciiTheme="minorHAnsi" w:hAnsiTheme="minorHAnsi" w:cstheme="minorHAnsi"/>
                <w:szCs w:val="18"/>
              </w:rPr>
            </w:pPr>
            <w:r>
              <w:rPr>
                <w:rFonts w:asciiTheme="minorHAnsi" w:hAnsiTheme="minorHAnsi" w:cstheme="minorHAnsi"/>
                <w:szCs w:val="18"/>
              </w:rPr>
              <w:t>16.7</w:t>
            </w:r>
            <w:r w:rsidRPr="00B06FB5">
              <w:rPr>
                <w:rFonts w:asciiTheme="minorHAnsi" w:hAnsiTheme="minorHAnsi" w:cstheme="minorHAnsi"/>
                <w:szCs w:val="18"/>
              </w:rPr>
              <w:t>%</w:t>
            </w:r>
          </w:p>
        </w:tc>
        <w:tc>
          <w:tcPr>
            <w:tcW w:w="1073" w:type="dxa"/>
            <w:vAlign w:val="center"/>
          </w:tcPr>
          <w:p w14:paraId="1651D1F4" w14:textId="544C8A5F" w:rsidR="00892FE0" w:rsidRPr="008E75CA" w:rsidRDefault="00F40B65" w:rsidP="008E75CA">
            <w:pPr>
              <w:spacing w:before="0"/>
              <w:jc w:val="center"/>
              <w:rPr>
                <w:rFonts w:asciiTheme="majorHAnsi" w:hAnsiTheme="majorHAnsi" w:cstheme="majorHAnsi"/>
                <w:szCs w:val="18"/>
              </w:rPr>
            </w:pPr>
            <w:r>
              <w:rPr>
                <w:rFonts w:asciiTheme="majorHAnsi" w:hAnsiTheme="majorHAnsi" w:cstheme="majorHAnsi"/>
                <w:szCs w:val="18"/>
              </w:rPr>
              <w:t>4</w:t>
            </w:r>
          </w:p>
        </w:tc>
        <w:tc>
          <w:tcPr>
            <w:tcW w:w="1073" w:type="dxa"/>
            <w:vAlign w:val="center"/>
          </w:tcPr>
          <w:p w14:paraId="5BF03B75" w14:textId="6CF3D09F" w:rsidR="00892FE0" w:rsidRPr="008E75CA" w:rsidRDefault="00892FE0" w:rsidP="008E75CA">
            <w:pPr>
              <w:spacing w:before="0"/>
              <w:jc w:val="center"/>
              <w:rPr>
                <w:rFonts w:asciiTheme="majorHAnsi" w:hAnsiTheme="majorHAnsi" w:cstheme="majorHAnsi"/>
                <w:szCs w:val="18"/>
              </w:rPr>
            </w:pPr>
            <w:r w:rsidRPr="008E75CA">
              <w:rPr>
                <w:rFonts w:asciiTheme="majorHAnsi" w:hAnsiTheme="majorHAnsi" w:cstheme="majorHAnsi"/>
                <w:szCs w:val="18"/>
              </w:rPr>
              <w:t>6</w:t>
            </w:r>
          </w:p>
        </w:tc>
        <w:tc>
          <w:tcPr>
            <w:tcW w:w="1073" w:type="dxa"/>
            <w:vAlign w:val="center"/>
          </w:tcPr>
          <w:p w14:paraId="2A25CBBA" w14:textId="2A076050" w:rsidR="00892FE0" w:rsidRPr="008E75CA" w:rsidRDefault="00892FE0" w:rsidP="008E75CA">
            <w:pPr>
              <w:spacing w:before="0"/>
              <w:jc w:val="center"/>
              <w:rPr>
                <w:rFonts w:asciiTheme="majorHAnsi" w:hAnsiTheme="majorHAnsi" w:cstheme="majorHAnsi"/>
                <w:szCs w:val="18"/>
              </w:rPr>
            </w:pPr>
            <w:r w:rsidRPr="008E75CA">
              <w:rPr>
                <w:rFonts w:asciiTheme="majorHAnsi" w:hAnsiTheme="majorHAnsi" w:cstheme="majorHAnsi"/>
                <w:szCs w:val="18"/>
              </w:rPr>
              <w:t>0.</w:t>
            </w:r>
            <w:r w:rsidR="00E90A99">
              <w:rPr>
                <w:rFonts w:asciiTheme="majorHAnsi" w:hAnsiTheme="majorHAnsi" w:cstheme="majorHAnsi"/>
                <w:szCs w:val="18"/>
              </w:rPr>
              <w:t>67</w:t>
            </w:r>
          </w:p>
        </w:tc>
        <w:tc>
          <w:tcPr>
            <w:tcW w:w="1073" w:type="dxa"/>
            <w:vAlign w:val="center"/>
          </w:tcPr>
          <w:p w14:paraId="07055858" w14:textId="4B039E63" w:rsidR="00892FE0" w:rsidRPr="008E75CA" w:rsidRDefault="00E90A99" w:rsidP="008E75CA">
            <w:pPr>
              <w:spacing w:before="0"/>
              <w:jc w:val="center"/>
              <w:rPr>
                <w:rFonts w:asciiTheme="majorHAnsi" w:hAnsiTheme="majorHAnsi" w:cstheme="majorHAnsi"/>
                <w:szCs w:val="18"/>
              </w:rPr>
            </w:pPr>
            <w:r>
              <w:rPr>
                <w:rFonts w:asciiTheme="majorHAnsi" w:hAnsiTheme="majorHAnsi" w:cstheme="majorHAnsi"/>
                <w:szCs w:val="18"/>
              </w:rPr>
              <w:t>1.00</w:t>
            </w:r>
          </w:p>
        </w:tc>
      </w:tr>
      <w:tr w:rsidR="00892FE0" w:rsidRPr="00B06FB5" w14:paraId="16AB27E6" w14:textId="77777777" w:rsidTr="008E75CA">
        <w:trPr>
          <w:trHeight w:val="358"/>
        </w:trPr>
        <w:tc>
          <w:tcPr>
            <w:tcW w:w="3454" w:type="dxa"/>
            <w:vAlign w:val="center"/>
          </w:tcPr>
          <w:p w14:paraId="68A3931C" w14:textId="77777777" w:rsidR="00892FE0" w:rsidRPr="00B10D68" w:rsidRDefault="00892FE0" w:rsidP="008E75CA">
            <w:pPr>
              <w:spacing w:before="0"/>
              <w:rPr>
                <w:rFonts w:asciiTheme="minorHAnsi" w:hAnsiTheme="minorHAnsi" w:cstheme="minorHAnsi"/>
                <w:szCs w:val="18"/>
              </w:rPr>
            </w:pPr>
            <w:r>
              <w:rPr>
                <w:rFonts w:asciiTheme="minorHAnsi" w:hAnsiTheme="minorHAnsi" w:cstheme="minorHAnsi"/>
                <w:szCs w:val="18"/>
              </w:rPr>
              <w:t>Provide a transparent and flexible approach to planning</w:t>
            </w:r>
          </w:p>
        </w:tc>
        <w:tc>
          <w:tcPr>
            <w:tcW w:w="1280" w:type="dxa"/>
            <w:vAlign w:val="center"/>
          </w:tcPr>
          <w:p w14:paraId="664F86F1" w14:textId="64E01D85" w:rsidR="00892FE0" w:rsidRDefault="001C599B" w:rsidP="008E75CA">
            <w:pPr>
              <w:spacing w:before="0"/>
              <w:jc w:val="center"/>
              <w:rPr>
                <w:rFonts w:asciiTheme="minorHAnsi" w:hAnsiTheme="minorHAnsi" w:cstheme="minorHAnsi"/>
                <w:szCs w:val="18"/>
              </w:rPr>
            </w:pPr>
            <w:r>
              <w:rPr>
                <w:rFonts w:asciiTheme="minorHAnsi" w:hAnsiTheme="minorHAnsi" w:cstheme="minorHAnsi"/>
                <w:szCs w:val="18"/>
              </w:rPr>
              <w:t>16.7</w:t>
            </w:r>
            <w:r w:rsidRPr="00B06FB5">
              <w:rPr>
                <w:rFonts w:asciiTheme="minorHAnsi" w:hAnsiTheme="minorHAnsi" w:cstheme="minorHAnsi"/>
                <w:szCs w:val="18"/>
              </w:rPr>
              <w:t>%</w:t>
            </w:r>
          </w:p>
        </w:tc>
        <w:tc>
          <w:tcPr>
            <w:tcW w:w="1073" w:type="dxa"/>
            <w:vAlign w:val="center"/>
          </w:tcPr>
          <w:p w14:paraId="13F8A95D" w14:textId="20F34916" w:rsidR="00892FE0" w:rsidRPr="008E75CA" w:rsidRDefault="00F40B65" w:rsidP="008E75CA">
            <w:pPr>
              <w:spacing w:before="0"/>
              <w:jc w:val="center"/>
              <w:rPr>
                <w:rFonts w:asciiTheme="majorHAnsi" w:hAnsiTheme="majorHAnsi" w:cstheme="majorHAnsi"/>
                <w:szCs w:val="18"/>
              </w:rPr>
            </w:pPr>
            <w:r>
              <w:rPr>
                <w:rFonts w:asciiTheme="majorHAnsi" w:hAnsiTheme="majorHAnsi" w:cstheme="majorHAnsi"/>
                <w:szCs w:val="18"/>
              </w:rPr>
              <w:t>3</w:t>
            </w:r>
          </w:p>
        </w:tc>
        <w:tc>
          <w:tcPr>
            <w:tcW w:w="1073" w:type="dxa"/>
            <w:vAlign w:val="center"/>
          </w:tcPr>
          <w:p w14:paraId="45861825" w14:textId="7D3FFFFB" w:rsidR="00892FE0" w:rsidRPr="008E75CA" w:rsidRDefault="00F40B65" w:rsidP="008E75CA">
            <w:pPr>
              <w:spacing w:before="0"/>
              <w:jc w:val="center"/>
              <w:rPr>
                <w:rFonts w:asciiTheme="majorHAnsi" w:hAnsiTheme="majorHAnsi" w:cstheme="majorHAnsi"/>
                <w:szCs w:val="18"/>
              </w:rPr>
            </w:pPr>
            <w:r>
              <w:rPr>
                <w:rFonts w:asciiTheme="majorHAnsi" w:hAnsiTheme="majorHAnsi" w:cstheme="majorHAnsi"/>
                <w:szCs w:val="18"/>
              </w:rPr>
              <w:t>8</w:t>
            </w:r>
          </w:p>
        </w:tc>
        <w:tc>
          <w:tcPr>
            <w:tcW w:w="1073" w:type="dxa"/>
            <w:vAlign w:val="center"/>
          </w:tcPr>
          <w:p w14:paraId="44592898" w14:textId="04D96431" w:rsidR="00892FE0" w:rsidRPr="008E75CA" w:rsidRDefault="00892FE0" w:rsidP="008E75CA">
            <w:pPr>
              <w:spacing w:before="0"/>
              <w:jc w:val="center"/>
              <w:rPr>
                <w:rFonts w:asciiTheme="majorHAnsi" w:hAnsiTheme="majorHAnsi" w:cstheme="majorHAnsi"/>
                <w:szCs w:val="18"/>
              </w:rPr>
            </w:pPr>
            <w:r w:rsidRPr="008E75CA">
              <w:rPr>
                <w:rFonts w:asciiTheme="majorHAnsi" w:hAnsiTheme="majorHAnsi" w:cstheme="majorHAnsi"/>
                <w:szCs w:val="18"/>
              </w:rPr>
              <w:t>0.</w:t>
            </w:r>
            <w:r w:rsidR="00E90A99">
              <w:rPr>
                <w:rFonts w:asciiTheme="majorHAnsi" w:hAnsiTheme="majorHAnsi" w:cstheme="majorHAnsi"/>
                <w:szCs w:val="18"/>
              </w:rPr>
              <w:t>50</w:t>
            </w:r>
          </w:p>
        </w:tc>
        <w:tc>
          <w:tcPr>
            <w:tcW w:w="1073" w:type="dxa"/>
            <w:vAlign w:val="center"/>
          </w:tcPr>
          <w:p w14:paraId="2B77314D" w14:textId="5414DD82" w:rsidR="00892FE0" w:rsidRPr="008E75CA" w:rsidRDefault="00E90A99" w:rsidP="008E75CA">
            <w:pPr>
              <w:spacing w:before="0"/>
              <w:jc w:val="center"/>
              <w:rPr>
                <w:rFonts w:asciiTheme="majorHAnsi" w:hAnsiTheme="majorHAnsi" w:cstheme="majorHAnsi"/>
                <w:szCs w:val="18"/>
              </w:rPr>
            </w:pPr>
            <w:r>
              <w:rPr>
                <w:rFonts w:asciiTheme="majorHAnsi" w:hAnsiTheme="majorHAnsi" w:cstheme="majorHAnsi"/>
                <w:szCs w:val="18"/>
              </w:rPr>
              <w:t>1.33</w:t>
            </w:r>
          </w:p>
        </w:tc>
      </w:tr>
      <w:tr w:rsidR="00892FE0" w:rsidRPr="0074315C" w14:paraId="5DC4DC7D" w14:textId="77777777" w:rsidTr="008E75CA">
        <w:trPr>
          <w:trHeight w:val="358"/>
        </w:trPr>
        <w:tc>
          <w:tcPr>
            <w:tcW w:w="3454" w:type="dxa"/>
            <w:vAlign w:val="center"/>
          </w:tcPr>
          <w:p w14:paraId="3F265CA0" w14:textId="77777777" w:rsidR="00892FE0" w:rsidRPr="0074315C" w:rsidRDefault="00892FE0" w:rsidP="008E75CA">
            <w:pPr>
              <w:spacing w:before="0"/>
              <w:jc w:val="right"/>
              <w:rPr>
                <w:rFonts w:asciiTheme="minorHAnsi" w:hAnsiTheme="minorHAnsi" w:cstheme="minorHAnsi"/>
                <w:b/>
                <w:bCs/>
                <w:szCs w:val="18"/>
              </w:rPr>
            </w:pPr>
            <w:r>
              <w:rPr>
                <w:rFonts w:asciiTheme="minorHAnsi" w:hAnsiTheme="minorHAnsi" w:cstheme="minorHAnsi"/>
                <w:b/>
                <w:bCs/>
                <w:szCs w:val="18"/>
              </w:rPr>
              <w:t xml:space="preserve">Total </w:t>
            </w:r>
          </w:p>
        </w:tc>
        <w:tc>
          <w:tcPr>
            <w:tcW w:w="1280" w:type="dxa"/>
            <w:vAlign w:val="center"/>
          </w:tcPr>
          <w:p w14:paraId="3DBC3733" w14:textId="3F82A4E2" w:rsidR="00892FE0" w:rsidRPr="0074315C" w:rsidRDefault="00892FE0" w:rsidP="008E75CA">
            <w:pPr>
              <w:spacing w:before="0"/>
              <w:jc w:val="center"/>
              <w:rPr>
                <w:rFonts w:asciiTheme="minorHAnsi" w:hAnsiTheme="minorHAnsi" w:cstheme="minorHAnsi"/>
                <w:b/>
                <w:bCs/>
                <w:szCs w:val="18"/>
              </w:rPr>
            </w:pPr>
            <w:r w:rsidRPr="0074315C">
              <w:rPr>
                <w:rFonts w:asciiTheme="minorHAnsi" w:hAnsiTheme="minorHAnsi" w:cstheme="minorHAnsi"/>
                <w:b/>
                <w:bCs/>
                <w:szCs w:val="18"/>
              </w:rPr>
              <w:t>50%</w:t>
            </w:r>
          </w:p>
        </w:tc>
        <w:tc>
          <w:tcPr>
            <w:tcW w:w="1073" w:type="dxa"/>
            <w:vAlign w:val="center"/>
          </w:tcPr>
          <w:p w14:paraId="789E6788" w14:textId="09117624" w:rsidR="00892FE0" w:rsidRPr="008E75CA" w:rsidRDefault="00892FE0" w:rsidP="008E75CA">
            <w:pPr>
              <w:spacing w:before="0"/>
              <w:jc w:val="center"/>
              <w:rPr>
                <w:rFonts w:asciiTheme="majorHAnsi" w:hAnsiTheme="majorHAnsi" w:cstheme="majorHAnsi"/>
                <w:b/>
                <w:bCs/>
                <w:szCs w:val="18"/>
              </w:rPr>
            </w:pPr>
            <w:r w:rsidRPr="008E75CA">
              <w:rPr>
                <w:rFonts w:asciiTheme="majorHAnsi" w:hAnsiTheme="majorHAnsi" w:cstheme="majorHAnsi"/>
                <w:b/>
                <w:bCs/>
                <w:szCs w:val="18"/>
              </w:rPr>
              <w:t> </w:t>
            </w:r>
          </w:p>
        </w:tc>
        <w:tc>
          <w:tcPr>
            <w:tcW w:w="1073" w:type="dxa"/>
            <w:vAlign w:val="center"/>
          </w:tcPr>
          <w:p w14:paraId="6FF6BB99" w14:textId="7DEE0084" w:rsidR="00892FE0" w:rsidRPr="008E75CA" w:rsidRDefault="00892FE0" w:rsidP="008E75CA">
            <w:pPr>
              <w:spacing w:before="0"/>
              <w:jc w:val="center"/>
              <w:rPr>
                <w:rFonts w:asciiTheme="majorHAnsi" w:hAnsiTheme="majorHAnsi" w:cstheme="majorHAnsi"/>
                <w:b/>
                <w:bCs/>
                <w:szCs w:val="18"/>
              </w:rPr>
            </w:pPr>
            <w:r w:rsidRPr="008E75CA">
              <w:rPr>
                <w:rFonts w:asciiTheme="majorHAnsi" w:hAnsiTheme="majorHAnsi" w:cstheme="majorHAnsi"/>
                <w:b/>
                <w:bCs/>
                <w:szCs w:val="18"/>
              </w:rPr>
              <w:t> </w:t>
            </w:r>
          </w:p>
        </w:tc>
        <w:tc>
          <w:tcPr>
            <w:tcW w:w="1073" w:type="dxa"/>
            <w:vAlign w:val="center"/>
          </w:tcPr>
          <w:p w14:paraId="6787CBB3" w14:textId="18CBD946" w:rsidR="00892FE0" w:rsidRPr="008E75CA" w:rsidRDefault="00892FE0" w:rsidP="008E75CA">
            <w:pPr>
              <w:spacing w:before="0"/>
              <w:jc w:val="center"/>
              <w:rPr>
                <w:rFonts w:asciiTheme="majorHAnsi" w:hAnsiTheme="majorHAnsi" w:cstheme="majorHAnsi"/>
                <w:b/>
                <w:bCs/>
                <w:szCs w:val="18"/>
              </w:rPr>
            </w:pPr>
            <w:r w:rsidRPr="008E75CA">
              <w:rPr>
                <w:rFonts w:asciiTheme="majorHAnsi" w:hAnsiTheme="majorHAnsi" w:cstheme="majorHAnsi"/>
                <w:b/>
                <w:bCs/>
                <w:szCs w:val="18"/>
              </w:rPr>
              <w:t>2.</w:t>
            </w:r>
            <w:r w:rsidR="00E90A99">
              <w:rPr>
                <w:rFonts w:asciiTheme="majorHAnsi" w:hAnsiTheme="majorHAnsi" w:cstheme="majorHAnsi"/>
                <w:b/>
                <w:bCs/>
                <w:szCs w:val="18"/>
              </w:rPr>
              <w:t>33</w:t>
            </w:r>
          </w:p>
        </w:tc>
        <w:tc>
          <w:tcPr>
            <w:tcW w:w="1073" w:type="dxa"/>
            <w:vAlign w:val="center"/>
          </w:tcPr>
          <w:p w14:paraId="5F9E7A40" w14:textId="12448F3B" w:rsidR="00892FE0" w:rsidRPr="008E75CA" w:rsidRDefault="00892FE0" w:rsidP="008E75CA">
            <w:pPr>
              <w:spacing w:before="0"/>
              <w:jc w:val="center"/>
              <w:rPr>
                <w:rFonts w:asciiTheme="majorHAnsi" w:hAnsiTheme="majorHAnsi" w:cstheme="majorHAnsi"/>
                <w:b/>
                <w:bCs/>
                <w:szCs w:val="18"/>
              </w:rPr>
            </w:pPr>
            <w:r w:rsidRPr="008E75CA">
              <w:rPr>
                <w:rFonts w:asciiTheme="majorHAnsi" w:hAnsiTheme="majorHAnsi" w:cstheme="majorHAnsi"/>
                <w:b/>
                <w:bCs/>
                <w:szCs w:val="18"/>
              </w:rPr>
              <w:t>3.</w:t>
            </w:r>
            <w:r w:rsidR="00552FA0">
              <w:rPr>
                <w:rFonts w:asciiTheme="majorHAnsi" w:hAnsiTheme="majorHAnsi" w:cstheme="majorHAnsi"/>
                <w:b/>
                <w:bCs/>
                <w:szCs w:val="18"/>
              </w:rPr>
              <w:t>67</w:t>
            </w:r>
          </w:p>
        </w:tc>
      </w:tr>
    </w:tbl>
    <w:p w14:paraId="1F270511" w14:textId="225B4B3A" w:rsidR="00BA482E" w:rsidRDefault="00BA482E" w:rsidP="00D50C43">
      <w:pPr>
        <w:pStyle w:val="Heading3"/>
        <w:numPr>
          <w:ilvl w:val="2"/>
          <w:numId w:val="124"/>
        </w:numPr>
      </w:pPr>
      <w:bookmarkStart w:id="330" w:name="_Toc104217712"/>
      <w:bookmarkEnd w:id="325"/>
      <w:r>
        <w:t>Cost to industry</w:t>
      </w:r>
      <w:bookmarkEnd w:id="330"/>
    </w:p>
    <w:p w14:paraId="52E750D0" w14:textId="750F1918" w:rsidR="00BA482E" w:rsidRDefault="4BD443EC" w:rsidP="00003725">
      <w:r>
        <w:t>B</w:t>
      </w:r>
      <w:r w:rsidR="4980FBCA">
        <w:t xml:space="preserve">oth </w:t>
      </w:r>
      <w:r w:rsidR="068DA803">
        <w:t>Option 1</w:t>
      </w:r>
      <w:r w:rsidR="4980FBCA">
        <w:t xml:space="preserve"> and </w:t>
      </w:r>
      <w:r w:rsidR="068DA803">
        <w:t>Option 2</w:t>
      </w:r>
      <w:r w:rsidR="4980FBCA">
        <w:t xml:space="preserve"> will impose greater costs on </w:t>
      </w:r>
      <w:r w:rsidR="7EAEDAF4">
        <w:t>declared mine licensees than the base case, because the core obligation under the declared mine rehabilitation framework,</w:t>
      </w:r>
      <w:r w:rsidR="00061624">
        <w:t xml:space="preserve"> </w:t>
      </w:r>
      <w:r w:rsidR="7EAEDAF4">
        <w:t>submitting a DMRP, does not effectively apply under the base case.</w:t>
      </w:r>
    </w:p>
    <w:p w14:paraId="1100D273" w14:textId="3EDF7BFB" w:rsidR="00621410" w:rsidRDefault="00621410" w:rsidP="00003725">
      <w:r>
        <w:lastRenderedPageBreak/>
        <w:t>There is limited data available regarding specific cost burdens associated with regulation in the minerals industry. The information that is available</w:t>
      </w:r>
      <w:r w:rsidR="006C7BBB">
        <w:t xml:space="preserve"> around the current regulatory costs</w:t>
      </w:r>
      <w:r>
        <w:t xml:space="preserve"> is unsuitable for use as a baseline costing for this RIS because of limitations in the accuracy of the data and because of changes to the regulatory requirements that have occurred since the analysis was undertaken</w:t>
      </w:r>
      <w:r w:rsidR="006C7BBB">
        <w:t>, as outlined in section 6.6. Due to this, the assessment of costs is qualitive in nature.</w:t>
      </w:r>
    </w:p>
    <w:p w14:paraId="66290A00" w14:textId="072D7E6D" w:rsidR="000D5CEE" w:rsidRDefault="00F24E65" w:rsidP="003F70FF">
      <w:pPr>
        <w:pStyle w:val="Heading6"/>
      </w:pPr>
      <w:r>
        <w:t>Option 1</w:t>
      </w:r>
    </w:p>
    <w:p w14:paraId="26342186" w14:textId="7FB851AC" w:rsidR="005B611B" w:rsidRDefault="005B611B" w:rsidP="00D12DB2">
      <w:r>
        <w:t xml:space="preserve">Overall, </w:t>
      </w:r>
      <w:r w:rsidR="00F24E65">
        <w:t>Option 1</w:t>
      </w:r>
      <w:r>
        <w:t xml:space="preserve"> is considered to </w:t>
      </w:r>
      <w:r w:rsidR="00A52E17">
        <w:t xml:space="preserve">impose </w:t>
      </w:r>
      <w:r w:rsidR="00126990">
        <w:t xml:space="preserve">moderately </w:t>
      </w:r>
      <w:r w:rsidR="00DA79FE">
        <w:t>more</w:t>
      </w:r>
      <w:r w:rsidR="00A52E17">
        <w:t xml:space="preserve"> costs on declared mine licensees than the base case, because the regulations require licensees to develop a DMRP within a year of regulations com</w:t>
      </w:r>
      <w:r w:rsidR="00E10414">
        <w:t xml:space="preserve">mencing. </w:t>
      </w:r>
      <w:r w:rsidR="00DA79FE">
        <w:t>As such, it has been scored moderately negative (-</w:t>
      </w:r>
      <w:r w:rsidR="002D567E">
        <w:t>5</w:t>
      </w:r>
      <w:r w:rsidR="00DA79FE">
        <w:t>) compared to the base case.</w:t>
      </w:r>
    </w:p>
    <w:p w14:paraId="678A5EC3" w14:textId="3B3D9500" w:rsidR="00470FF9" w:rsidRDefault="00470FF9" w:rsidP="006B33C5">
      <w:pPr>
        <w:pStyle w:val="Heading7"/>
      </w:pPr>
      <w:r>
        <w:t>Costs compared to the base case</w:t>
      </w:r>
    </w:p>
    <w:p w14:paraId="23C77EE5" w14:textId="04C6B172" w:rsidR="00153061" w:rsidRDefault="004E31E2" w:rsidP="00D12DB2">
      <w:r>
        <w:t xml:space="preserve">Under </w:t>
      </w:r>
      <w:r w:rsidR="00F24E65">
        <w:t>Option 1</w:t>
      </w:r>
      <w:r>
        <w:t>,</w:t>
      </w:r>
      <w:r w:rsidR="00153061">
        <w:t xml:space="preserve"> licensees</w:t>
      </w:r>
      <w:r>
        <w:t xml:space="preserve"> are required</w:t>
      </w:r>
      <w:r w:rsidR="00153061">
        <w:t xml:space="preserve"> to submit a DMRP that </w:t>
      </w:r>
      <w:r w:rsidR="00074621">
        <w:t>includes</w:t>
      </w:r>
      <w:r w:rsidR="00153061">
        <w:t xml:space="preserve"> the prescribed requirements for rehabilitation plans under the 2019 Regulations. </w:t>
      </w:r>
      <w:r w:rsidR="00074621">
        <w:t>In addition, l</w:t>
      </w:r>
      <w:r w:rsidR="00153061">
        <w:t xml:space="preserve">icensees would need to meet the additional requirements under the Act (post-closure plan; various risk assessments, etc.) and to prepare a community engagement report describing the consultations undertaken in relation to the plan. </w:t>
      </w:r>
      <w:r w:rsidR="00131160">
        <w:t xml:space="preserve">These are all new requirements compared to the base case, </w:t>
      </w:r>
      <w:r w:rsidR="00131160" w:rsidRPr="001E48CC">
        <w:t>where the declared mine licensees’ current work plans were approved prior to the 2019 Regulations coming into effect</w:t>
      </w:r>
      <w:r w:rsidR="00131160">
        <w:t>, and include</w:t>
      </w:r>
      <w:r w:rsidR="00F54B7E">
        <w:t>:</w:t>
      </w:r>
    </w:p>
    <w:p w14:paraId="6A32D705" w14:textId="4E5469B7" w:rsidR="00F54B7E" w:rsidRPr="001E48CC" w:rsidRDefault="000D27CC" w:rsidP="00F54B7E">
      <w:pPr>
        <w:pStyle w:val="dotpoints"/>
      </w:pPr>
      <w:r w:rsidRPr="001E48CC">
        <w:t>c</w:t>
      </w:r>
      <w:r w:rsidR="00F54B7E" w:rsidRPr="001E48CC">
        <w:t>oncepts for end utilisation of the mine site;</w:t>
      </w:r>
    </w:p>
    <w:p w14:paraId="3B6FCA16" w14:textId="1CDB6F9A" w:rsidR="00F54B7E" w:rsidRPr="001E48CC" w:rsidRDefault="000D27CC" w:rsidP="00F54B7E">
      <w:pPr>
        <w:pStyle w:val="dotpoints"/>
      </w:pPr>
      <w:r w:rsidRPr="001E48CC">
        <w:t>p</w:t>
      </w:r>
      <w:r w:rsidR="00F54B7E" w:rsidRPr="001E48CC">
        <w:t>roposals for progressive rehabilitation, stabilisation &amp; revegetation;</w:t>
      </w:r>
    </w:p>
    <w:p w14:paraId="7643941E" w14:textId="40AFB53C" w:rsidR="00D56C4F" w:rsidRDefault="000D27CC" w:rsidP="00D56C4F">
      <w:pPr>
        <w:pStyle w:val="dotpoints"/>
      </w:pPr>
      <w:r>
        <w:t>p</w:t>
      </w:r>
      <w:r w:rsidR="00F54B7E" w:rsidRPr="00182E47">
        <w:t>roposals to minimise visual impact; and</w:t>
      </w:r>
    </w:p>
    <w:p w14:paraId="1ED83EDD" w14:textId="3D217C0F" w:rsidR="00F54B7E" w:rsidRPr="001E48CC" w:rsidRDefault="000D27CC" w:rsidP="006B33C5">
      <w:pPr>
        <w:pStyle w:val="dotpoints"/>
      </w:pPr>
      <w:r w:rsidRPr="001E48CC">
        <w:t>p</w:t>
      </w:r>
      <w:r w:rsidR="00F54B7E" w:rsidRPr="001E48CC">
        <w:t>roposals for final rehabilitation and closure of site</w:t>
      </w:r>
      <w:r w:rsidR="00D56C4F" w:rsidRPr="001E48CC">
        <w:t>.</w:t>
      </w:r>
    </w:p>
    <w:p w14:paraId="6061CD1C" w14:textId="6141B348" w:rsidR="00CF1F1F" w:rsidRDefault="00CF1F1F" w:rsidP="00D56C4F">
      <w:r>
        <w:t xml:space="preserve">Overall, the additional requirements in preparing a DMRP under </w:t>
      </w:r>
      <w:r w:rsidR="00F24E65">
        <w:t>Option 1</w:t>
      </w:r>
      <w:r>
        <w:t xml:space="preserve"> </w:t>
      </w:r>
      <w:r w:rsidR="001C2A67">
        <w:t xml:space="preserve">impose additional costs on licensees </w:t>
      </w:r>
      <w:r w:rsidR="0065635C">
        <w:t xml:space="preserve">in preparing </w:t>
      </w:r>
      <w:r w:rsidR="00F6761C">
        <w:t>the information required relative to the base case. These additional requirements include:</w:t>
      </w:r>
    </w:p>
    <w:p w14:paraId="2E047C82" w14:textId="0157EFC8" w:rsidR="00F6761C" w:rsidRDefault="000D27CC" w:rsidP="00F6761C">
      <w:pPr>
        <w:pStyle w:val="dotpoints"/>
      </w:pPr>
      <w:r>
        <w:t>r</w:t>
      </w:r>
      <w:r w:rsidR="00C23F8C">
        <w:t xml:space="preserve">ehabilitation plan content as </w:t>
      </w:r>
      <w:r w:rsidR="00F6761C">
        <w:t>require</w:t>
      </w:r>
      <w:r w:rsidR="00C23F8C">
        <w:t>d under the</w:t>
      </w:r>
      <w:r w:rsidR="00F6761C">
        <w:t xml:space="preserve"> 2019 Regulations</w:t>
      </w:r>
      <w:r w:rsidR="002C5D78">
        <w:t>;</w:t>
      </w:r>
    </w:p>
    <w:p w14:paraId="5C60F40A" w14:textId="3BF883A6" w:rsidR="0072641F" w:rsidRDefault="000D27CC" w:rsidP="0072641F">
      <w:pPr>
        <w:pStyle w:val="dotpoints"/>
      </w:pPr>
      <w:r>
        <w:t>a</w:t>
      </w:r>
      <w:r w:rsidR="0072641F">
        <w:t>ssessments of the risks posed by the geotechnical, hydrogeological, water quality or hydrological factors within the declared mine land;</w:t>
      </w:r>
    </w:p>
    <w:p w14:paraId="3BA61BE9" w14:textId="5E91BA98" w:rsidR="0072641F" w:rsidRDefault="000D27CC" w:rsidP="00BF3564">
      <w:pPr>
        <w:pStyle w:val="dotpoints"/>
      </w:pPr>
      <w:r>
        <w:t>a</w:t>
      </w:r>
      <w:r w:rsidR="0072641F">
        <w:t xml:space="preserve"> post-closure plan, including a schedule of activities and a plan of management for known and credible risks;</w:t>
      </w:r>
      <w:r w:rsidR="006D6F21">
        <w:t xml:space="preserve"> </w:t>
      </w:r>
      <w:r w:rsidR="0072641F">
        <w:t>and</w:t>
      </w:r>
    </w:p>
    <w:p w14:paraId="4FF3112B" w14:textId="5E3351A7" w:rsidR="00247A93" w:rsidRDefault="000D27CC" w:rsidP="0072641F">
      <w:pPr>
        <w:pStyle w:val="dotpoints"/>
      </w:pPr>
      <w:r>
        <w:t>a</w:t>
      </w:r>
      <w:r w:rsidR="0072641F">
        <w:t xml:space="preserve"> community engagement report.</w:t>
      </w:r>
    </w:p>
    <w:p w14:paraId="4EFE5900" w14:textId="47DEDA9E" w:rsidR="0072641F" w:rsidRDefault="00247A93" w:rsidP="00247A93">
      <w:r>
        <w:t>The costs of each of the additional requirements are assessed below.</w:t>
      </w:r>
    </w:p>
    <w:p w14:paraId="4FC7767E" w14:textId="1A6040A5" w:rsidR="002613F2" w:rsidRDefault="002613F2" w:rsidP="006B33C5">
      <w:pPr>
        <w:pStyle w:val="Heading8"/>
      </w:pPr>
      <w:r>
        <w:t>Rehabilitation plan content</w:t>
      </w:r>
    </w:p>
    <w:p w14:paraId="2BC85267" w14:textId="6F02A8F2" w:rsidR="00D56C4F" w:rsidRDefault="00D56C4F" w:rsidP="006B33C5">
      <w:r>
        <w:t>In the Regulatory Impact Statement Proposed Mineral Resources (Sustainable Development) (Mineral Industries) Regulations 2019, it was estimated that meeting the requirements of the 2019 Regulations in relation to rehabilitation planning would cost an additional 20-30</w:t>
      </w:r>
      <w:r w:rsidR="00DD3E80">
        <w:t xml:space="preserve"> per cent</w:t>
      </w:r>
      <w:r>
        <w:t xml:space="preserve"> compared to complying with the previous rehabilitation obligations. </w:t>
      </w:r>
      <w:r w:rsidR="00F24E65">
        <w:t>Option 1</w:t>
      </w:r>
      <w:r>
        <w:t xml:space="preserve"> would practically apply the prescribed requirements for rehabilitation plans under the 2019 Regulations to the existing declared mines by introducing the timeframe in which to prepare a DMRP within one year of the commencement of the regulations. As such, </w:t>
      </w:r>
      <w:r w:rsidR="00F24E65">
        <w:t>Option 1</w:t>
      </w:r>
      <w:r>
        <w:t xml:space="preserve"> is estimated to cost at least 20-30</w:t>
      </w:r>
      <w:r w:rsidR="00DD3E80">
        <w:t xml:space="preserve"> per cent</w:t>
      </w:r>
      <w:r>
        <w:t xml:space="preserve"> more than the base case</w:t>
      </w:r>
      <w:r w:rsidR="00FA5F18">
        <w:t xml:space="preserve"> with regard to the rehabilitation plan content</w:t>
      </w:r>
      <w:r>
        <w:t>.</w:t>
      </w:r>
    </w:p>
    <w:p w14:paraId="40253585" w14:textId="27237EDD" w:rsidR="00153061" w:rsidRDefault="00FA2D1E" w:rsidP="006B33C5">
      <w:pPr>
        <w:pStyle w:val="Heading8"/>
      </w:pPr>
      <w:r>
        <w:t>Risk assessments</w:t>
      </w:r>
    </w:p>
    <w:p w14:paraId="6E8311B2" w14:textId="40CF7E2B" w:rsidR="00153061" w:rsidRDefault="00470FF9" w:rsidP="006B33C5">
      <w:r>
        <w:t xml:space="preserve">It is considered that the requirement to prepare the required risk assessment would impose minor costs on the licensees relative to the base case. </w:t>
      </w:r>
      <w:r w:rsidR="000E2C19">
        <w:t xml:space="preserve">One of the mine licensees </w:t>
      </w:r>
      <w:r w:rsidR="00153061">
        <w:t xml:space="preserve">submitted that it had completed ‘more than 100 technical studies’ addressing a wide range of risk and physical features at the mine site, which draw on years of data and operational knowledge of the site. None of the other mines commented on this consultation question. While the other mines </w:t>
      </w:r>
      <w:r w:rsidR="00311D03">
        <w:t>did not comment</w:t>
      </w:r>
      <w:r w:rsidR="00153061">
        <w:t>, they have been in operation for a similar period</w:t>
      </w:r>
      <w:r w:rsidR="00EE7F31">
        <w:t xml:space="preserve"> of time</w:t>
      </w:r>
      <w:r w:rsidR="00153061">
        <w:t xml:space="preserve"> and, given that each of the Latrobe Valley </w:t>
      </w:r>
      <w:r w:rsidR="00EC473F">
        <w:t xml:space="preserve">coal </w:t>
      </w:r>
      <w:r w:rsidR="00153061">
        <w:t xml:space="preserve">mines shares similar physical characteristics that create hazardous conditions, and have each been involved in the studies and processes for the LVRRS, it is assumed that the other mines would also have a similar amount </w:t>
      </w:r>
      <w:r w:rsidR="3D68455F">
        <w:t xml:space="preserve">of </w:t>
      </w:r>
      <w:r w:rsidR="00153061">
        <w:t xml:space="preserve">data and operational knowledge. </w:t>
      </w:r>
    </w:p>
    <w:p w14:paraId="3FE6D487" w14:textId="2388CBD2" w:rsidR="00FA2D1E" w:rsidRDefault="00FA2D1E" w:rsidP="006B33C5">
      <w:pPr>
        <w:pStyle w:val="Heading8"/>
      </w:pPr>
      <w:r>
        <w:t>Post closure plan</w:t>
      </w:r>
    </w:p>
    <w:p w14:paraId="326E18F6" w14:textId="7BA9DE1F" w:rsidR="00565C48" w:rsidRDefault="009F0A65" w:rsidP="006B33C5">
      <w:r>
        <w:t xml:space="preserve">Option 1 introduces the requirement to prepare a post-closure plan. </w:t>
      </w:r>
      <w:r w:rsidR="004D4677">
        <w:t>It i</w:t>
      </w:r>
      <w:r w:rsidR="0062538D">
        <w:t xml:space="preserve">s considered that </w:t>
      </w:r>
      <w:r w:rsidR="004D4677">
        <w:t>this</w:t>
      </w:r>
      <w:r w:rsidR="0062538D">
        <w:t xml:space="preserve"> is likely to impose significant additional costs for declared mine licensees relative to the base case.</w:t>
      </w:r>
      <w:r w:rsidR="00565C48">
        <w:t xml:space="preserve"> </w:t>
      </w:r>
      <w:r w:rsidR="00153061">
        <w:t>The post-closure plan is required to set out activities for the management of residual risks identified by the licensee as persisting after the rehabilitation outcome they define in the DMRP has been achieved</w:t>
      </w:r>
      <w:r w:rsidR="00840440">
        <w:t xml:space="preserve">. </w:t>
      </w:r>
    </w:p>
    <w:p w14:paraId="354AC676" w14:textId="577C69B6" w:rsidR="00153061" w:rsidRDefault="00544BCC" w:rsidP="006B33C5">
      <w:r>
        <w:lastRenderedPageBreak/>
        <w:t>T</w:t>
      </w:r>
      <w:r w:rsidR="00153061">
        <w:t>here is significant uncertainty</w:t>
      </w:r>
      <w:r>
        <w:t xml:space="preserve"> that</w:t>
      </w:r>
      <w:r w:rsidR="00153061">
        <w:t xml:space="preserve"> impact on </w:t>
      </w:r>
      <w:r>
        <w:t xml:space="preserve">licensees’ ability to develop the </w:t>
      </w:r>
      <w:r w:rsidR="00153061">
        <w:t>post closure plan’s content</w:t>
      </w:r>
      <w:r w:rsidR="00BB1A0F">
        <w:t>.</w:t>
      </w:r>
      <w:r w:rsidR="00153061">
        <w:t xml:space="preserve"> </w:t>
      </w:r>
      <w:r w:rsidR="00BB1A0F">
        <w:t>F</w:t>
      </w:r>
      <w:r w:rsidR="00153061">
        <w:t>indings from the LVRRS indicate that there are uncertainties around the practicability of the existing mines’ proposed rehabilitation outcomes, especially in relation to water availability</w:t>
      </w:r>
      <w:r w:rsidR="00A5259D">
        <w:t xml:space="preserve"> and</w:t>
      </w:r>
      <w:r w:rsidR="00153061">
        <w:t xml:space="preserve"> the impacts from climate change</w:t>
      </w:r>
      <w:r w:rsidR="00137F5B">
        <w:t xml:space="preserve">. As noted in section </w:t>
      </w:r>
      <w:r w:rsidR="009E540E">
        <w:fldChar w:fldCharType="begin"/>
      </w:r>
      <w:r w:rsidR="009E540E">
        <w:instrText xml:space="preserve"> REF _Ref101454605 \r \h </w:instrText>
      </w:r>
      <w:r w:rsidR="009E540E">
        <w:fldChar w:fldCharType="separate"/>
      </w:r>
      <w:r w:rsidR="000B3BF6">
        <w:t>2.5.2</w:t>
      </w:r>
      <w:r w:rsidR="009E540E">
        <w:fldChar w:fldCharType="end"/>
      </w:r>
      <w:r w:rsidR="00137F5B">
        <w:t xml:space="preserve">, </w:t>
      </w:r>
      <w:r w:rsidR="00292AB1">
        <w:t>Government is undertaking further work to address some of these uncertainties identified in the</w:t>
      </w:r>
      <w:r w:rsidR="00153061">
        <w:t xml:space="preserve"> LVRRS.</w:t>
      </w:r>
      <w:r w:rsidR="002C25C8">
        <w:t xml:space="preserve"> </w:t>
      </w:r>
      <w:r w:rsidR="005B0FCE">
        <w:t>Requiring</w:t>
      </w:r>
      <w:r w:rsidR="006C3B4C">
        <w:t xml:space="preserve"> licensees to develop</w:t>
      </w:r>
      <w:r w:rsidR="005B0FCE">
        <w:t xml:space="preserve"> a detailed post-closure plan early in the </w:t>
      </w:r>
      <w:r w:rsidR="006C3B4C">
        <w:t xml:space="preserve">rehabilitation </w:t>
      </w:r>
      <w:r w:rsidR="005B0FCE">
        <w:t xml:space="preserve">planning process, as </w:t>
      </w:r>
      <w:r w:rsidR="00484E26">
        <w:t xml:space="preserve">required under Option 1, creates additional cost for licensees, because the uncertainty noted above is likely to result in licensees being required to </w:t>
      </w:r>
      <w:r w:rsidR="00D81D0B">
        <w:t>undertake</w:t>
      </w:r>
      <w:r w:rsidR="00484E26">
        <w:t xml:space="preserve"> a broader range of assessments to fill the information gap</w:t>
      </w:r>
      <w:r w:rsidR="002C25C8">
        <w:t xml:space="preserve"> </w:t>
      </w:r>
      <w:r w:rsidR="00D81D0B">
        <w:t>and ultimately prepare a post closure plan</w:t>
      </w:r>
      <w:r w:rsidR="00E526CC">
        <w:t xml:space="preserve"> within one year of the regulations coming into force</w:t>
      </w:r>
      <w:r w:rsidR="00484E26">
        <w:t>.</w:t>
      </w:r>
    </w:p>
    <w:p w14:paraId="0EB176B7" w14:textId="0DF98166" w:rsidR="002A6C05" w:rsidRDefault="001048E0" w:rsidP="217C4165">
      <w:pPr>
        <w:rPr>
          <w:b/>
          <w:bCs/>
          <w:i/>
          <w:iCs/>
          <w:highlight w:val="yellow"/>
        </w:rPr>
      </w:pPr>
      <w:r>
        <w:t xml:space="preserve">Notwithstanding this uncertainty, </w:t>
      </w:r>
      <w:r w:rsidR="004F023F">
        <w:t>o</w:t>
      </w:r>
      <w:r w:rsidR="002A6C05">
        <w:t xml:space="preserve">ne of the mine operators estimated that a ‘good plan’ could be developed within 12 months. </w:t>
      </w:r>
    </w:p>
    <w:p w14:paraId="7264C5C1" w14:textId="01B72DB6" w:rsidR="00FA2D1E" w:rsidRDefault="00FA2D1E" w:rsidP="006B33C5">
      <w:pPr>
        <w:pStyle w:val="Heading8"/>
      </w:pPr>
      <w:r>
        <w:t>Community engagement report</w:t>
      </w:r>
    </w:p>
    <w:p w14:paraId="1B2D2CCE" w14:textId="7F43BB4F" w:rsidR="00247A93" w:rsidRDefault="00247A93" w:rsidP="00FC040C">
      <w:pPr>
        <w:tabs>
          <w:tab w:val="left" w:pos="2127"/>
        </w:tabs>
      </w:pPr>
      <w:r>
        <w:t>It is not considered that the obligation to prepare a community engagement report would add significant costs relative to the base case for licensees already complying with existing consultation obligations, as they would merely need to record and compile the nature of, and responses to, community consultations.</w:t>
      </w:r>
    </w:p>
    <w:p w14:paraId="7E9DC86B" w14:textId="5ACABA19" w:rsidR="00153061" w:rsidRDefault="00247A93" w:rsidP="217C4165">
      <w:r>
        <w:t>L</w:t>
      </w:r>
      <w:r w:rsidR="00153061">
        <w:t xml:space="preserve">icensees are already required to undertake consultation on their work plans under the Act, and there </w:t>
      </w:r>
      <w:r w:rsidR="00A363C7">
        <w:t>are</w:t>
      </w:r>
      <w:r w:rsidR="00153061">
        <w:t xml:space="preserve"> no prescribed entities or parties for licensees to consult under </w:t>
      </w:r>
      <w:r w:rsidR="00F24E65">
        <w:t>Option 1</w:t>
      </w:r>
      <w:r w:rsidR="00153061">
        <w:t xml:space="preserve">. One licensee submitted that, as part of business-as-usual operations, it holds consultations for any interested party, presumably in fulfillment of its general consultation obligations under the Act.  </w:t>
      </w:r>
      <w:r w:rsidR="1FBC9B61" w:rsidRPr="217C4165">
        <w:t>The lack of prescription in relation to parties to consult is similar to the approach taken in Western Australia and Germany</w:t>
      </w:r>
      <w:r w:rsidR="71CA0146" w:rsidRPr="217C4165">
        <w:t>.</w:t>
      </w:r>
    </w:p>
    <w:p w14:paraId="077E2B11" w14:textId="43E004C2" w:rsidR="00FA2D1E" w:rsidRDefault="00FA2D1E" w:rsidP="006B33C5">
      <w:pPr>
        <w:pStyle w:val="Heading8"/>
      </w:pPr>
      <w:r>
        <w:t>Timing</w:t>
      </w:r>
    </w:p>
    <w:p w14:paraId="5F14FEC2" w14:textId="15F57FD5" w:rsidR="00153061" w:rsidRDefault="00153061" w:rsidP="217C4165">
      <w:pPr>
        <w:rPr>
          <w:highlight w:val="yellow"/>
        </w:rPr>
      </w:pPr>
      <w:r>
        <w:t xml:space="preserve">Under </w:t>
      </w:r>
      <w:r w:rsidR="00F24E65">
        <w:t>Option 1</w:t>
      </w:r>
      <w:r>
        <w:t xml:space="preserve">, the DMRP is required to </w:t>
      </w:r>
      <w:r w:rsidR="00DF0F63">
        <w:t xml:space="preserve">include </w:t>
      </w:r>
      <w:r>
        <w:t xml:space="preserve">detailed plans ‘upfront’. </w:t>
      </w:r>
      <w:r w:rsidR="48250CDE" w:rsidRPr="217C4165">
        <w:t xml:space="preserve">This upfront approach is similar to the approach taken in Queensland. </w:t>
      </w:r>
      <w:r w:rsidR="6DC93419">
        <w:t>Under Option 1</w:t>
      </w:r>
      <w:r>
        <w:t>, the detailed information required to develop a complete DMRP and post closure plan needs to be completed within one year of the regulations commencing. One of the mine operators in their submission noted that the more detail and more certainty required up front, increases the effort, and therefore c</w:t>
      </w:r>
      <w:r w:rsidR="00D63FA8">
        <w:t>os</w:t>
      </w:r>
      <w:r>
        <w:t>t, required.</w:t>
      </w:r>
      <w:r w:rsidR="00903CE4">
        <w:t xml:space="preserve"> This suggests that the overall cost of developing the detailed plan elements, described above, is likely to b</w:t>
      </w:r>
      <w:r w:rsidR="004B2E43">
        <w:t>e significantly higher than the base case, as there is no timeframe in which a DMRP would need to be submitted</w:t>
      </w:r>
      <w:r w:rsidR="0080465F">
        <w:t xml:space="preserve"> under the base case</w:t>
      </w:r>
      <w:r w:rsidR="004B2E43">
        <w:t>.</w:t>
      </w:r>
      <w:r w:rsidR="007A1376">
        <w:t xml:space="preserve"> As the detail is required upfront, it is anticipated that the DMRP may require </w:t>
      </w:r>
      <w:r w:rsidR="001176AF">
        <w:t xml:space="preserve">frequent revision to incorporate additional information that is </w:t>
      </w:r>
      <w:r w:rsidR="00B70635">
        <w:t>developed over the life of the mine, which would add to the overall cost of developing and updating the DMRP relative to the base case.</w:t>
      </w:r>
    </w:p>
    <w:p w14:paraId="32857E65" w14:textId="6671C86F" w:rsidR="004931B5" w:rsidRDefault="00F24E65" w:rsidP="003F70FF">
      <w:pPr>
        <w:pStyle w:val="Heading6"/>
      </w:pPr>
      <w:r>
        <w:t>Option 2</w:t>
      </w:r>
    </w:p>
    <w:p w14:paraId="7FC022E4" w14:textId="5AD22236" w:rsidR="002F4DCA" w:rsidRDefault="002F4DCA" w:rsidP="00807153">
      <w:r>
        <w:t xml:space="preserve">Overall, </w:t>
      </w:r>
      <w:r w:rsidR="00F24E65">
        <w:t>Option 2</w:t>
      </w:r>
      <w:r>
        <w:t xml:space="preserve"> is considered to impose</w:t>
      </w:r>
      <w:r w:rsidR="00346CC6">
        <w:t xml:space="preserve"> greater costs to industry than under the base case</w:t>
      </w:r>
      <w:r w:rsidR="0039635A">
        <w:t xml:space="preserve">, because the regulations require </w:t>
      </w:r>
      <w:r w:rsidR="000E2341">
        <w:t xml:space="preserve">existing declared mine </w:t>
      </w:r>
      <w:r w:rsidR="0039635A">
        <w:t>licensees to develop</w:t>
      </w:r>
      <w:r w:rsidR="004B4B7E">
        <w:t>, and submit to ERR,</w:t>
      </w:r>
      <w:r w:rsidR="0039635A">
        <w:t xml:space="preserve"> a DMRP within </w:t>
      </w:r>
      <w:r w:rsidR="004B4B7E">
        <w:t>three</w:t>
      </w:r>
      <w:r w:rsidR="0039635A">
        <w:t xml:space="preserve"> year</w:t>
      </w:r>
      <w:r w:rsidR="004B4B7E">
        <w:t xml:space="preserve">s from </w:t>
      </w:r>
      <w:r w:rsidR="003836BB">
        <w:t>September</w:t>
      </w:r>
      <w:r w:rsidR="004B4B7E">
        <w:t xml:space="preserve"> </w:t>
      </w:r>
      <w:r w:rsidR="008442DF">
        <w:t>2022, with the possibility of an extension of a year</w:t>
      </w:r>
      <w:r w:rsidR="00346CC6">
        <w:t>.</w:t>
      </w:r>
      <w:r w:rsidR="0039635A">
        <w:t xml:space="preserve"> Compared t</w:t>
      </w:r>
      <w:r w:rsidR="00836240">
        <w:t xml:space="preserve">o </w:t>
      </w:r>
      <w:r w:rsidR="00F24E65">
        <w:t>Option 1</w:t>
      </w:r>
      <w:r w:rsidR="00836240">
        <w:t xml:space="preserve">, </w:t>
      </w:r>
      <w:r w:rsidR="00F24E65">
        <w:t>Option 2</w:t>
      </w:r>
      <w:r w:rsidR="00836240">
        <w:t xml:space="preserve">’s iterative </w:t>
      </w:r>
      <w:r w:rsidR="007E38DF">
        <w:t xml:space="preserve">approach is anticipated to result in cost savings initially, however, the requirements to consider and incorporate a broader range of factors in the DMRP </w:t>
      </w:r>
      <w:r w:rsidR="005B2AC6">
        <w:t>is considered to increase the cost of this approach</w:t>
      </w:r>
      <w:r w:rsidR="00BC335D">
        <w:t xml:space="preserve"> overall</w:t>
      </w:r>
      <w:r w:rsidR="005B2AC6">
        <w:t xml:space="preserve">. </w:t>
      </w:r>
      <w:r w:rsidR="00A46396">
        <w:t>It is n</w:t>
      </w:r>
      <w:r w:rsidR="00A46396" w:rsidRPr="00A46396">
        <w:t>ote</w:t>
      </w:r>
      <w:r w:rsidR="00A46396">
        <w:t>d</w:t>
      </w:r>
      <w:r w:rsidR="00A46396" w:rsidRPr="00A46396">
        <w:t xml:space="preserve"> however that since costs incurred by the operator are spread over a longer period, this results in a lower financial burden on the licensees. The time value of money outlines that a sum of money is worth more now than the same sum paid at a future date. A sudden or unplanned cessation of mining would likely translate to lower sunk costs </w:t>
      </w:r>
      <w:r w:rsidR="00C3320D">
        <w:t>under</w:t>
      </w:r>
      <w:r w:rsidR="00A46396" w:rsidRPr="00A46396">
        <w:t xml:space="preserve"> Option 2 relative to Option 1.</w:t>
      </w:r>
      <w:r w:rsidR="005F24D6">
        <w:t xml:space="preserve"> </w:t>
      </w:r>
      <w:r w:rsidR="005B2AC6">
        <w:t>As such,</w:t>
      </w:r>
      <w:r w:rsidR="00950009">
        <w:t xml:space="preserve"> it is </w:t>
      </w:r>
      <w:r w:rsidR="00BC335D">
        <w:t xml:space="preserve">expected </w:t>
      </w:r>
      <w:r w:rsidR="00950009">
        <w:t xml:space="preserve">to be more costly than </w:t>
      </w:r>
      <w:r w:rsidR="00F24E65">
        <w:t>Option 1</w:t>
      </w:r>
      <w:r w:rsidR="00950009">
        <w:t xml:space="preserve"> </w:t>
      </w:r>
      <w:r w:rsidR="004A1855">
        <w:t>and</w:t>
      </w:r>
      <w:r w:rsidR="005B2AC6">
        <w:t xml:space="preserve"> has been scored moderately negative (-7) </w:t>
      </w:r>
      <w:r w:rsidR="004B282D">
        <w:t>compared to the base case.</w:t>
      </w:r>
      <w:r w:rsidR="005B2AC6">
        <w:t xml:space="preserve"> </w:t>
      </w:r>
    </w:p>
    <w:p w14:paraId="33CE36D4" w14:textId="1AAA5337" w:rsidR="006D448E" w:rsidRDefault="002E1B64" w:rsidP="006B33C5">
      <w:pPr>
        <w:pStyle w:val="Heading7"/>
      </w:pPr>
      <w:r>
        <w:t>Costs compared to the base case</w:t>
      </w:r>
    </w:p>
    <w:p w14:paraId="6478C51E" w14:textId="39932B89" w:rsidR="00807153" w:rsidRDefault="00F24E65" w:rsidP="00807153">
      <w:r>
        <w:t>Option 2</w:t>
      </w:r>
      <w:r w:rsidR="00807153">
        <w:t xml:space="preserve"> requires the same</w:t>
      </w:r>
      <w:r w:rsidR="00043ECB">
        <w:t xml:space="preserve"> core</w:t>
      </w:r>
      <w:r w:rsidR="00807153">
        <w:t xml:space="preserve"> elements of the DMRP as </w:t>
      </w:r>
      <w:r>
        <w:t>Option 1</w:t>
      </w:r>
      <w:r w:rsidR="00807153">
        <w:t xml:space="preserve"> –  a post-closure plan, the specified risk assessments, </w:t>
      </w:r>
      <w:r w:rsidR="00E870D4">
        <w:t xml:space="preserve">and </w:t>
      </w:r>
      <w:r w:rsidR="00807153">
        <w:t>proposed closure criteria</w:t>
      </w:r>
      <w:r w:rsidR="005E28EA">
        <w:t>.</w:t>
      </w:r>
      <w:r w:rsidR="00E870D4">
        <w:t xml:space="preserve"> </w:t>
      </w:r>
      <w:r w:rsidR="00807153">
        <w:t xml:space="preserve">The differences between </w:t>
      </w:r>
      <w:r>
        <w:t>Option 1</w:t>
      </w:r>
      <w:r w:rsidR="00807153">
        <w:t xml:space="preserve"> and </w:t>
      </w:r>
      <w:r>
        <w:t>Option 2</w:t>
      </w:r>
      <w:r w:rsidR="00807153">
        <w:t xml:space="preserve"> in terms of the preparation of the DMRP are that </w:t>
      </w:r>
      <w:r>
        <w:t>Option 2</w:t>
      </w:r>
      <w:r w:rsidR="00807153">
        <w:t>:</w:t>
      </w:r>
    </w:p>
    <w:p w14:paraId="082F0C6F" w14:textId="558069CD" w:rsidR="00807153" w:rsidRDefault="00E5449F" w:rsidP="00807153">
      <w:pPr>
        <w:pStyle w:val="dotpoints"/>
      </w:pPr>
      <w:r>
        <w:t>I</w:t>
      </w:r>
      <w:r w:rsidR="00807153">
        <w:t xml:space="preserve">nvolves rehabilitation according to prescribed </w:t>
      </w:r>
      <w:r w:rsidR="00BA39C2">
        <w:t>matters</w:t>
      </w:r>
      <w:r w:rsidR="00680880">
        <w:t xml:space="preserve">, </w:t>
      </w:r>
      <w:r w:rsidR="00807153">
        <w:t xml:space="preserve">(rather than towards a defined </w:t>
      </w:r>
      <w:r w:rsidR="00467BD3">
        <w:t>post mining land use</w:t>
      </w:r>
      <w:r w:rsidR="00807153">
        <w:t xml:space="preserve"> and land form); </w:t>
      </w:r>
    </w:p>
    <w:p w14:paraId="6B971EA5" w14:textId="11D977B2" w:rsidR="00807153" w:rsidRDefault="00E5449F" w:rsidP="00807153">
      <w:pPr>
        <w:pStyle w:val="dotpoints"/>
      </w:pPr>
      <w:r>
        <w:t>A</w:t>
      </w:r>
      <w:r w:rsidR="00807153">
        <w:t>llows the detail of DMRPs</w:t>
      </w:r>
      <w:r w:rsidR="00B7294F">
        <w:t xml:space="preserve"> and post closure plans</w:t>
      </w:r>
      <w:r w:rsidR="00807153">
        <w:t xml:space="preserve"> to be developed over time (rather than requiring all the detail at the point of initial approval); </w:t>
      </w:r>
    </w:p>
    <w:p w14:paraId="79A019B9" w14:textId="03530790" w:rsidR="00954C5F" w:rsidRDefault="00E5449F" w:rsidP="00977390">
      <w:pPr>
        <w:pStyle w:val="dotpoints"/>
      </w:pPr>
      <w:r>
        <w:t>R</w:t>
      </w:r>
      <w:r w:rsidR="00954C5F">
        <w:t xml:space="preserve">equires licensees to demonstrate how they have considered a range of factors in their DMRP (additional to </w:t>
      </w:r>
      <w:r w:rsidR="00F24E65">
        <w:t>Option 1</w:t>
      </w:r>
      <w:r w:rsidR="00954C5F">
        <w:t>);</w:t>
      </w:r>
      <w:r w:rsidR="00954C5F" w:rsidRPr="005E3F9E">
        <w:t xml:space="preserve"> </w:t>
      </w:r>
    </w:p>
    <w:p w14:paraId="2C58190C" w14:textId="2F2279F2" w:rsidR="005E3F9E" w:rsidRDefault="00E5449F" w:rsidP="00687D94">
      <w:pPr>
        <w:pStyle w:val="dotpoints"/>
      </w:pPr>
      <w:r>
        <w:t>R</w:t>
      </w:r>
      <w:r w:rsidR="00977390">
        <w:t>equires licensees to assess</w:t>
      </w:r>
      <w:r w:rsidR="00582C2B">
        <w:t xml:space="preserve"> </w:t>
      </w:r>
      <w:r w:rsidR="00584B11">
        <w:t xml:space="preserve">additional risks including </w:t>
      </w:r>
      <w:r w:rsidR="00977390">
        <w:t>the cumulative/regional impacts of the proposed rehabilitation</w:t>
      </w:r>
      <w:r w:rsidR="00584B11">
        <w:t>,</w:t>
      </w:r>
      <w:r w:rsidR="00977390">
        <w:t xml:space="preserve"> </w:t>
      </w:r>
      <w:r w:rsidR="00584B11">
        <w:t xml:space="preserve">the sudden or unplanned cessation of mining, and </w:t>
      </w:r>
      <w:r w:rsidR="00954C5F">
        <w:t xml:space="preserve">climate change </w:t>
      </w:r>
      <w:r w:rsidR="00977390">
        <w:t xml:space="preserve">(additional to </w:t>
      </w:r>
      <w:r w:rsidR="00F24E65">
        <w:t>Option 1</w:t>
      </w:r>
      <w:r w:rsidR="00977390">
        <w:t>);</w:t>
      </w:r>
      <w:r w:rsidR="00954C5F">
        <w:t xml:space="preserve"> </w:t>
      </w:r>
      <w:r w:rsidR="005E3F9E">
        <w:t>and</w:t>
      </w:r>
    </w:p>
    <w:p w14:paraId="1F7F822D" w14:textId="00DDDD00" w:rsidR="00807153" w:rsidRDefault="00E5449F" w:rsidP="00807153">
      <w:pPr>
        <w:pStyle w:val="dotpoints"/>
      </w:pPr>
      <w:r>
        <w:lastRenderedPageBreak/>
        <w:t>R</w:t>
      </w:r>
      <w:r w:rsidR="00807153">
        <w:t>equires licensees to consult with a prescribed list of parties, and demonstrate how the outcomes of these consultations are considered in the DMRP</w:t>
      </w:r>
      <w:r w:rsidR="008D1E7D">
        <w:t xml:space="preserve"> (additional to </w:t>
      </w:r>
      <w:r w:rsidR="00F24E65">
        <w:t>Option 1</w:t>
      </w:r>
      <w:r w:rsidR="008D1E7D">
        <w:t>)</w:t>
      </w:r>
      <w:r w:rsidR="00807153">
        <w:t>.</w:t>
      </w:r>
    </w:p>
    <w:p w14:paraId="79B1B0EA" w14:textId="5935C684" w:rsidR="00807153" w:rsidRDefault="00807153" w:rsidP="00072DA6">
      <w:r>
        <w:t xml:space="preserve">Under </w:t>
      </w:r>
      <w:r w:rsidR="00F24E65">
        <w:t>Option 2</w:t>
      </w:r>
      <w:r>
        <w:t>, the final outcome of rehabilitation would be prescribed in regulations as:</w:t>
      </w:r>
    </w:p>
    <w:p w14:paraId="0280C34C" w14:textId="077CF74E" w:rsidR="003A3F2B" w:rsidRDefault="00E5449F" w:rsidP="00807153">
      <w:pPr>
        <w:pStyle w:val="dotpoints"/>
      </w:pPr>
      <w:r>
        <w:t>T</w:t>
      </w:r>
      <w:r w:rsidR="00807153">
        <w:t>he land form is safe, stable and non-polluting</w:t>
      </w:r>
      <w:r w:rsidR="004840A7">
        <w:t>,</w:t>
      </w:r>
    </w:p>
    <w:p w14:paraId="30DD0688" w14:textId="3654BBBF" w:rsidR="00807153" w:rsidRDefault="00F116D0" w:rsidP="00807153">
      <w:pPr>
        <w:pStyle w:val="dotpoints"/>
      </w:pPr>
      <w:r>
        <w:t xml:space="preserve">The land form minimises the need for </w:t>
      </w:r>
      <w:r w:rsidR="004840A7">
        <w:t>ongoing active monitoring, maintenance or management,</w:t>
      </w:r>
      <w:r w:rsidR="00807153">
        <w:t xml:space="preserve"> </w:t>
      </w:r>
    </w:p>
    <w:p w14:paraId="2A505D42" w14:textId="61854675" w:rsidR="00807153" w:rsidRDefault="00E5449F" w:rsidP="00807153">
      <w:pPr>
        <w:pStyle w:val="dotpoints"/>
      </w:pPr>
      <w:r>
        <w:t>T</w:t>
      </w:r>
      <w:r w:rsidR="00807153">
        <w:t xml:space="preserve">he land is rehabilitated to optimise beneficial uses, with controls in place to manage any residual risks to community, environment and infrastructure, and </w:t>
      </w:r>
    </w:p>
    <w:p w14:paraId="68167C40" w14:textId="27BC94BF" w:rsidR="00807153" w:rsidRDefault="00E5449F" w:rsidP="00807153">
      <w:pPr>
        <w:pStyle w:val="dotpoints"/>
      </w:pPr>
      <w:r>
        <w:t>A</w:t>
      </w:r>
      <w:r w:rsidR="00807153">
        <w:t>s far as reasonably practicable, the land is ecologically regenerative and self-sustaining in the context of the local and regional environment.</w:t>
      </w:r>
    </w:p>
    <w:p w14:paraId="1F336164" w14:textId="59C34C96" w:rsidR="00807153" w:rsidRPr="006B33C5" w:rsidRDefault="00954C5F" w:rsidP="006B33C5">
      <w:pPr>
        <w:pStyle w:val="Heading8"/>
      </w:pPr>
      <w:r w:rsidRPr="006B33C5">
        <w:t>Rehabilitation plan content</w:t>
      </w:r>
    </w:p>
    <w:p w14:paraId="03882C36" w14:textId="4A9C3F04" w:rsidR="00E870D4" w:rsidRDefault="00954C5F">
      <w:r>
        <w:t xml:space="preserve">The core components of the rehabilitation plan under </w:t>
      </w:r>
      <w:r w:rsidR="00F24E65">
        <w:t>Option 2</w:t>
      </w:r>
      <w:r>
        <w:t xml:space="preserve"> are the same as under </w:t>
      </w:r>
      <w:r w:rsidR="00F24E65">
        <w:t>Option 1</w:t>
      </w:r>
      <w:r>
        <w:t xml:space="preserve">. As such, these aspects of the DMRP will have the same relative impact on cost to industry as </w:t>
      </w:r>
      <w:r w:rsidR="00F24E65">
        <w:t>Option 1</w:t>
      </w:r>
      <w:r>
        <w:t>.</w:t>
      </w:r>
      <w:r w:rsidR="00BB205F">
        <w:t xml:space="preserve"> The differences </w:t>
      </w:r>
      <w:r w:rsidR="00453620">
        <w:t xml:space="preserve">to </w:t>
      </w:r>
      <w:r w:rsidR="00F24E65">
        <w:t>Option 1</w:t>
      </w:r>
      <w:r w:rsidR="00453620">
        <w:t>, and their impact on cost to industry are discussed below.</w:t>
      </w:r>
    </w:p>
    <w:p w14:paraId="2F137AF0" w14:textId="29A5C97A" w:rsidR="003031B8" w:rsidRDefault="00453620" w:rsidP="00807153">
      <w:r>
        <w:t xml:space="preserve">Under </w:t>
      </w:r>
      <w:r w:rsidR="00F24E65">
        <w:t>Option 2</w:t>
      </w:r>
      <w:r>
        <w:t xml:space="preserve">, both the list of </w:t>
      </w:r>
      <w:r w:rsidR="00D94ACB">
        <w:t>matters</w:t>
      </w:r>
      <w:r>
        <w:t xml:space="preserve"> prescribed in regulations, and the requirement to demonstrate consideration of the prescribed factors listed above introduce a </w:t>
      </w:r>
      <w:r w:rsidR="00807153">
        <w:t xml:space="preserve">broader range of matters to be encompassed in the DMRP than the base case or under </w:t>
      </w:r>
      <w:r w:rsidR="00F24E65">
        <w:t>Option 1</w:t>
      </w:r>
      <w:r w:rsidR="00807153">
        <w:t xml:space="preserve">. While there are broad sustainable development principles which all rehabilitation decision-making must consider under the Act, the list of </w:t>
      </w:r>
      <w:r w:rsidR="00D94ACB">
        <w:t>matters</w:t>
      </w:r>
      <w:r w:rsidR="00807153">
        <w:t xml:space="preserve"> under </w:t>
      </w:r>
      <w:r w:rsidR="00F24E65">
        <w:t>Option 2</w:t>
      </w:r>
      <w:r w:rsidR="00807153">
        <w:t xml:space="preserve"> would introduce a much longer list of more detailed considerations, including </w:t>
      </w:r>
      <w:r w:rsidR="0099261A">
        <w:t xml:space="preserve">and </w:t>
      </w:r>
      <w:r w:rsidR="00807153">
        <w:t xml:space="preserve">extending beyond general concepts of sustainable development. </w:t>
      </w:r>
      <w:r w:rsidR="002D4AE2">
        <w:t>M</w:t>
      </w:r>
      <w:r w:rsidR="00807153">
        <w:t xml:space="preserve">ine operators may have already considered some of these concepts in rehabilitation planning indirectly or as a result of other regulatory frameworks, </w:t>
      </w:r>
      <w:r w:rsidR="002D4AE2">
        <w:t xml:space="preserve">however, </w:t>
      </w:r>
      <w:r w:rsidR="00807153">
        <w:t>the obligation to factor these matters into their rehabilitation planning is new and could lead to considerable</w:t>
      </w:r>
      <w:r w:rsidR="002D4AE2">
        <w:t xml:space="preserve"> additional</w:t>
      </w:r>
      <w:r w:rsidR="00807153">
        <w:t xml:space="preserve"> costs</w:t>
      </w:r>
      <w:r w:rsidR="002D4AE2">
        <w:t xml:space="preserve"> compared to the base case</w:t>
      </w:r>
      <w:r w:rsidR="00807153">
        <w:t>.</w:t>
      </w:r>
      <w:r w:rsidR="004946DF">
        <w:t xml:space="preserve"> </w:t>
      </w:r>
    </w:p>
    <w:p w14:paraId="5EFFD74C" w14:textId="7FE4F20C" w:rsidR="00807153" w:rsidRDefault="00807153" w:rsidP="00807153">
      <w:r w:rsidRPr="001E48CC">
        <w:t xml:space="preserve">For example, demonstrating that the DMRP is ‘climate resilient’ could involve extensive climate change modelling and the research of complex technologies and controls – which, for the current declared mines that are already hazardous in a dry and/or warm environment, could involve significant effort. </w:t>
      </w:r>
      <w:r w:rsidR="00B307BE" w:rsidRPr="001E48CC">
        <w:t>The Department of Environment, Water, Land and Planning has released Guidelines for Assessing the Impact of Climate Change on Water Availability in Victoria</w:t>
      </w:r>
      <w:r w:rsidR="007C2CB9" w:rsidRPr="001E48CC">
        <w:rPr>
          <w:rStyle w:val="FootnoteReference"/>
        </w:rPr>
        <w:footnoteReference w:id="197"/>
      </w:r>
      <w:r w:rsidR="00B307BE" w:rsidRPr="001E48CC">
        <w:t xml:space="preserve">, which provides guidance for mine operators </w:t>
      </w:r>
      <w:r w:rsidR="006C58E0" w:rsidRPr="001E48CC">
        <w:t xml:space="preserve">as to </w:t>
      </w:r>
      <w:r w:rsidR="00CD35AC" w:rsidRPr="001E48CC">
        <w:t xml:space="preserve">how to assess future water availability for </w:t>
      </w:r>
      <w:r w:rsidR="00B343DB" w:rsidRPr="001E48CC">
        <w:t>rehabilitation plan</w:t>
      </w:r>
      <w:r w:rsidR="007C2CB9" w:rsidRPr="001E48CC">
        <w:t xml:space="preserve">s. </w:t>
      </w:r>
      <w:r w:rsidRPr="001E48CC">
        <w:t xml:space="preserve">Planning to encompass this wide range of considerations and principles, and to meet a different objective than has been required from licensees to date, can be expected to create significant costs for industry under </w:t>
      </w:r>
      <w:r w:rsidR="00F24E65" w:rsidRPr="001E48CC">
        <w:t>Option 2</w:t>
      </w:r>
      <w:r w:rsidR="003031B8" w:rsidRPr="001E48CC">
        <w:t xml:space="preserve"> compared to the base case</w:t>
      </w:r>
      <w:r w:rsidRPr="001E48CC">
        <w:t>.</w:t>
      </w:r>
      <w:r>
        <w:t xml:space="preserve"> </w:t>
      </w:r>
    </w:p>
    <w:p w14:paraId="0E8E5B0C" w14:textId="1C784B3C" w:rsidR="00936F11" w:rsidRDefault="00936F11" w:rsidP="217C4165">
      <w:pPr>
        <w:rPr>
          <w:b/>
          <w:bCs/>
          <w:i/>
          <w:iCs/>
        </w:rPr>
      </w:pPr>
      <w:r>
        <w:t xml:space="preserve">Planning against </w:t>
      </w:r>
      <w:r w:rsidR="00ED314E">
        <w:t>prescribed matters</w:t>
      </w:r>
      <w:r>
        <w:t xml:space="preserve"> rather than towards a defined, technical outcome (as required under Option 1)</w:t>
      </w:r>
      <w:r w:rsidR="00305280">
        <w:t xml:space="preserve"> increases uncertainty and</w:t>
      </w:r>
      <w:r>
        <w:t xml:space="preserve"> creates a risk of differing interpretations of what is required in a DMRP between the licensees and ERR. This could lead to a DMRP being rejected by ERR, or going through lengthy review processes, and the licensee needing to prepare alternative criteria or negotiate for their acceptance, leading to additional costs. </w:t>
      </w:r>
      <w:r w:rsidR="00305280">
        <w:t xml:space="preserve">One of the mine operators has noted that lack of clarity or direction can create multiple reworks and resubmissions by the mine operators which creates cost burden. Another mine operator noted that every month a rehabilitation plan is not actioned (e.g. because it has not yet been approved) costs millions in holding costs, and significant risks being carried </w:t>
      </w:r>
      <w:r w:rsidR="00A4594D">
        <w:t>(</w:t>
      </w:r>
      <w:r w:rsidR="00305280">
        <w:t>such as fire risk to site and community, site management, safety, mining risk</w:t>
      </w:r>
      <w:r w:rsidR="00A4594D">
        <w:t>)</w:t>
      </w:r>
      <w:r w:rsidR="00D60DCA">
        <w:t xml:space="preserve"> that </w:t>
      </w:r>
      <w:r w:rsidR="00F63634">
        <w:t xml:space="preserve">require active </w:t>
      </w:r>
      <w:r w:rsidR="008836D6">
        <w:t>management</w:t>
      </w:r>
      <w:r w:rsidR="00F63634">
        <w:t xml:space="preserve"> until rehabilitation works can occur</w:t>
      </w:r>
      <w:r w:rsidR="00305280">
        <w:t xml:space="preserve">. </w:t>
      </w:r>
    </w:p>
    <w:p w14:paraId="23F4039C" w14:textId="0CE2A929" w:rsidR="00494A90" w:rsidRDefault="00F24E65" w:rsidP="00807153">
      <w:pPr>
        <w:tabs>
          <w:tab w:val="left" w:pos="1307"/>
        </w:tabs>
      </w:pPr>
      <w:r>
        <w:t>Option 2</w:t>
      </w:r>
      <w:r w:rsidR="00807153">
        <w:t xml:space="preserve"> requires licensees to provide a range of documents and evidence with their DMRP when it is submitted for approval. Two operators indicated that ERR’s handling of requests for similar evidence in the past has been a demanding process because of, in their opinion, ERR’s lack of capacity to assess the requested material. ERR’s handling of evidence and information requests </w:t>
      </w:r>
      <w:r w:rsidR="00AC30DA">
        <w:t xml:space="preserve">is perceived by the operators to create more costs/effort </w:t>
      </w:r>
      <w:r w:rsidR="00807153">
        <w:t xml:space="preserve">than compiling the documents, because the operators already gather information to support their operations and rehabilitation planning. </w:t>
      </w:r>
    </w:p>
    <w:p w14:paraId="3DCEAF04" w14:textId="6782A5BB" w:rsidR="00537E05" w:rsidRDefault="00B41298" w:rsidP="00807153">
      <w:pPr>
        <w:tabs>
          <w:tab w:val="left" w:pos="1307"/>
        </w:tabs>
      </w:pPr>
      <w:r>
        <w:lastRenderedPageBreak/>
        <w:t>T</w:t>
      </w:r>
      <w:r w:rsidR="00807153">
        <w:t xml:space="preserve">he requirement to submit evidence under </w:t>
      </w:r>
      <w:r w:rsidR="00F24E65">
        <w:t>Option 2</w:t>
      </w:r>
      <w:r w:rsidR="00807153">
        <w:t xml:space="preserve"> is an additional obligation and is likely to create costs</w:t>
      </w:r>
      <w:r>
        <w:t xml:space="preserve"> for industry. However, mine operators are likely to already have</w:t>
      </w:r>
      <w:r w:rsidR="00C66CE6">
        <w:t xml:space="preserve"> </w:t>
      </w:r>
      <w:r w:rsidR="0009214F">
        <w:t>created</w:t>
      </w:r>
      <w:r w:rsidR="00C66CE6">
        <w:t xml:space="preserve"> </w:t>
      </w:r>
      <w:r w:rsidR="0009214F">
        <w:t xml:space="preserve">this information </w:t>
      </w:r>
      <w:r w:rsidR="00C66CE6">
        <w:t>as part of developing the rehabilitation plan content. As such, it is considered that the requirement to provide the prescribed documents with the DMRP would impose minor costs on the licensees relative to the base case</w:t>
      </w:r>
      <w:r w:rsidR="00537E05">
        <w:t xml:space="preserve"> and </w:t>
      </w:r>
      <w:r w:rsidR="00F24E65">
        <w:t>Option 1</w:t>
      </w:r>
      <w:r w:rsidR="00C66CE6">
        <w:t>.</w:t>
      </w:r>
      <w:r w:rsidR="00807153">
        <w:t xml:space="preserve"> </w:t>
      </w:r>
    </w:p>
    <w:p w14:paraId="738997D2" w14:textId="7716F2EE" w:rsidR="00B51C4C" w:rsidRDefault="00537E05" w:rsidP="00807153">
      <w:pPr>
        <w:tabs>
          <w:tab w:val="left" w:pos="1307"/>
        </w:tabs>
      </w:pPr>
      <w:r>
        <w:t>Overall,</w:t>
      </w:r>
      <w:r w:rsidR="00A755F3">
        <w:t xml:space="preserve"> </w:t>
      </w:r>
      <w:r w:rsidR="00F24E65">
        <w:t>Option 2</w:t>
      </w:r>
      <w:r w:rsidR="00A755F3">
        <w:t xml:space="preserve"> requires </w:t>
      </w:r>
      <w:r w:rsidR="009270AD">
        <w:t xml:space="preserve">greater information to be developed for the DMRP than </w:t>
      </w:r>
      <w:r w:rsidR="00F24E65">
        <w:t>Option 1</w:t>
      </w:r>
      <w:r w:rsidR="009270AD">
        <w:t xml:space="preserve">. As such, it is considered to impose a greater cost to industry relative to the base case than </w:t>
      </w:r>
      <w:r w:rsidR="00F24E65">
        <w:t>Option 1</w:t>
      </w:r>
      <w:r w:rsidR="009270AD">
        <w:t>.</w:t>
      </w:r>
    </w:p>
    <w:p w14:paraId="5BEEDF3B" w14:textId="27658970" w:rsidR="003A1E44" w:rsidRDefault="003A1E44" w:rsidP="006B33C5">
      <w:pPr>
        <w:pStyle w:val="Heading8"/>
      </w:pPr>
      <w:r>
        <w:t>Risk assessments</w:t>
      </w:r>
    </w:p>
    <w:p w14:paraId="15F1C5B3" w14:textId="2EE908A1" w:rsidR="003A1E44" w:rsidRDefault="003A1E44" w:rsidP="003A1E44">
      <w:r>
        <w:t xml:space="preserve">The core risk assessment under </w:t>
      </w:r>
      <w:r w:rsidR="00F24E65">
        <w:t>Option 2</w:t>
      </w:r>
      <w:r>
        <w:t xml:space="preserve"> are the same as under </w:t>
      </w:r>
      <w:r w:rsidR="00F24E65">
        <w:t>Option 1</w:t>
      </w:r>
      <w:r>
        <w:t xml:space="preserve">. As such, these aspects of the risk assessment will have the same relative impact on cost to industry as </w:t>
      </w:r>
      <w:r w:rsidR="00F24E65">
        <w:t>Option 1</w:t>
      </w:r>
      <w:r>
        <w:t xml:space="preserve">. In addition, under </w:t>
      </w:r>
      <w:r w:rsidR="00F24E65">
        <w:t>Option 2</w:t>
      </w:r>
      <w:r>
        <w:t xml:space="preserve">, licensees must address risks relating to: </w:t>
      </w:r>
    </w:p>
    <w:p w14:paraId="773A2E6E" w14:textId="2AE8C4C8" w:rsidR="003A1E44" w:rsidRDefault="3C17C6C7" w:rsidP="5CF0E88B">
      <w:pPr>
        <w:pStyle w:val="ListParagraph"/>
        <w:numPr>
          <w:ilvl w:val="0"/>
          <w:numId w:val="31"/>
        </w:numPr>
        <w:spacing w:after="60"/>
        <w:ind w:left="426" w:hanging="357"/>
        <w:rPr>
          <w:rFonts w:asciiTheme="minorHAnsi" w:hAnsiTheme="minorHAnsi" w:cstheme="minorBidi"/>
          <w:sz w:val="18"/>
          <w:szCs w:val="18"/>
        </w:rPr>
      </w:pPr>
      <w:r w:rsidRPr="5CF0E88B">
        <w:rPr>
          <w:rFonts w:asciiTheme="minorHAnsi" w:hAnsiTheme="minorHAnsi" w:cstheme="minorBidi"/>
          <w:sz w:val="18"/>
          <w:szCs w:val="18"/>
        </w:rPr>
        <w:t>r</w:t>
      </w:r>
      <w:r w:rsidR="77A6525C" w:rsidRPr="5CF0E88B">
        <w:rPr>
          <w:rFonts w:asciiTheme="minorHAnsi" w:hAnsiTheme="minorHAnsi" w:cstheme="minorBidi"/>
          <w:sz w:val="18"/>
          <w:szCs w:val="18"/>
        </w:rPr>
        <w:t>egional impacts</w:t>
      </w:r>
      <w:r w:rsidR="003E6BE1">
        <w:rPr>
          <w:rFonts w:asciiTheme="minorHAnsi" w:hAnsiTheme="minorHAnsi" w:cstheme="minorBidi"/>
          <w:sz w:val="18"/>
          <w:szCs w:val="18"/>
        </w:rPr>
        <w:t>;</w:t>
      </w:r>
    </w:p>
    <w:p w14:paraId="0E1419F7" w14:textId="3ED20213" w:rsidR="003A1E44" w:rsidRDefault="77A6525C" w:rsidP="5CF0E88B">
      <w:pPr>
        <w:pStyle w:val="ListParagraph"/>
        <w:numPr>
          <w:ilvl w:val="0"/>
          <w:numId w:val="31"/>
        </w:numPr>
        <w:spacing w:after="60"/>
        <w:ind w:left="426" w:hanging="357"/>
        <w:rPr>
          <w:rFonts w:asciiTheme="minorHAnsi" w:hAnsiTheme="minorHAnsi" w:cstheme="minorBidi"/>
          <w:sz w:val="18"/>
          <w:szCs w:val="18"/>
        </w:rPr>
      </w:pPr>
      <w:r w:rsidRPr="5CF0E88B">
        <w:rPr>
          <w:rFonts w:asciiTheme="minorHAnsi" w:hAnsiTheme="minorHAnsi" w:cstheme="minorBidi"/>
          <w:sz w:val="18"/>
          <w:szCs w:val="18"/>
        </w:rPr>
        <w:t>sudden or unplanned cessation of mining operations and/or mine closure</w:t>
      </w:r>
      <w:r w:rsidR="003E6BE1">
        <w:rPr>
          <w:rFonts w:asciiTheme="minorHAnsi" w:hAnsiTheme="minorHAnsi" w:cstheme="minorBidi"/>
          <w:sz w:val="18"/>
          <w:szCs w:val="18"/>
        </w:rPr>
        <w:t>;</w:t>
      </w:r>
    </w:p>
    <w:p w14:paraId="3434D0B4" w14:textId="19A66F71" w:rsidR="003A1E44" w:rsidRPr="00D478C7" w:rsidRDefault="77A6525C" w:rsidP="5CF0E88B">
      <w:pPr>
        <w:pStyle w:val="ListParagraph"/>
        <w:numPr>
          <w:ilvl w:val="0"/>
          <w:numId w:val="31"/>
        </w:numPr>
        <w:spacing w:after="60"/>
        <w:ind w:left="426" w:hanging="357"/>
        <w:rPr>
          <w:rFonts w:asciiTheme="minorHAnsi" w:hAnsiTheme="minorHAnsi" w:cstheme="minorBidi"/>
          <w:sz w:val="18"/>
          <w:szCs w:val="18"/>
        </w:rPr>
      </w:pPr>
      <w:r w:rsidRPr="5CF0E88B">
        <w:rPr>
          <w:rFonts w:asciiTheme="minorHAnsi" w:hAnsiTheme="minorHAnsi" w:cstheme="minorBidi"/>
          <w:sz w:val="18"/>
          <w:szCs w:val="18"/>
        </w:rPr>
        <w:t>climate chang</w:t>
      </w:r>
      <w:r w:rsidR="003E6BE1">
        <w:rPr>
          <w:rFonts w:asciiTheme="minorHAnsi" w:hAnsiTheme="minorHAnsi" w:cstheme="minorBidi"/>
          <w:sz w:val="18"/>
          <w:szCs w:val="18"/>
        </w:rPr>
        <w:t>e.</w:t>
      </w:r>
      <w:r w:rsidRPr="5CF0E88B">
        <w:rPr>
          <w:rFonts w:asciiTheme="minorHAnsi" w:hAnsiTheme="minorHAnsi" w:cstheme="minorBidi"/>
          <w:sz w:val="18"/>
          <w:szCs w:val="18"/>
        </w:rPr>
        <w:t xml:space="preserve"> </w:t>
      </w:r>
    </w:p>
    <w:p w14:paraId="30A6F280" w14:textId="53E66880" w:rsidR="003A1E44" w:rsidRDefault="003A1E44" w:rsidP="006B33C5">
      <w:r>
        <w:t>The costs and effort incurred in preparing management plans to address risks associated with climate change</w:t>
      </w:r>
      <w:r w:rsidR="00D764E0">
        <w:t>,</w:t>
      </w:r>
      <w:r>
        <w:t xml:space="preserve"> the sudden/early closure of the mine, and in assessing the cumulative/regional impact of the proposed DMRP, will depend on the level of detail required for the DMRP. </w:t>
      </w:r>
      <w:r w:rsidR="00F24E65">
        <w:t>Option 2</w:t>
      </w:r>
      <w:r>
        <w:t xml:space="preserve"> does not specify the level of detail required, however, submissions from the mine operators and more general findings by VAGO have indicated that ERR has historically taken a risk-averse and conservative approach to its decision-making with respect to rehabilitation planning. As such it is considered that more, rather than less, detail and therefore effort would be required in meeting these obligations. </w:t>
      </w:r>
    </w:p>
    <w:p w14:paraId="0AD0432E" w14:textId="36C904F0" w:rsidR="00D764E0" w:rsidRDefault="003A1E44" w:rsidP="007A37C9">
      <w:r>
        <w:t xml:space="preserve">Planning for risks associated with climate change is likely to involve considerable effort given the complexity and specialist nature of climate change modelling, especially for </w:t>
      </w:r>
      <w:r w:rsidR="00D81DB2">
        <w:t>modelling at a regional level</w:t>
      </w:r>
      <w:r>
        <w:t>, and the challenges in finding technologies and controls to ensure that the mine site is safely managed. One of the mine</w:t>
      </w:r>
      <w:r w:rsidR="00030CDB">
        <w:t xml:space="preserve"> operator</w:t>
      </w:r>
      <w:r>
        <w:t>’s responses noted that it would not be appropriate, in its opinion, to require operators to plan for a high cost assumption of extreme, worst-case scenarios</w:t>
      </w:r>
      <w:r w:rsidR="00D81DB2">
        <w:t xml:space="preserve">, rather they considered that </w:t>
      </w:r>
      <w:r w:rsidR="0056353E">
        <w:t>it was more appropriate for them to be planning for a ‘mid-case’ scenario</w:t>
      </w:r>
      <w:r>
        <w:t xml:space="preserve">. </w:t>
      </w:r>
      <w:r w:rsidR="00030CDB">
        <w:t xml:space="preserve">In addition, the mine operators </w:t>
      </w:r>
      <w:r w:rsidR="003D3F1B">
        <w:t xml:space="preserve">raised concerns about their ability to factor in </w:t>
      </w:r>
      <w:r w:rsidR="00EF57E2">
        <w:t xml:space="preserve">mitigating actions due to the state’s transition to a net zero emissions target by 2050 into </w:t>
      </w:r>
      <w:r w:rsidR="00FB5271">
        <w:t>their planning for risks associated with climate change</w:t>
      </w:r>
      <w:r w:rsidR="00EF57E2">
        <w:t>.</w:t>
      </w:r>
      <w:r w:rsidR="00FB5271">
        <w:t xml:space="preserve"> </w:t>
      </w:r>
      <w:r w:rsidR="00E127E4">
        <w:t xml:space="preserve">The department </w:t>
      </w:r>
      <w:r w:rsidR="00781114">
        <w:t xml:space="preserve">accepts there is inherent complexity and uncertainty involved in </w:t>
      </w:r>
      <w:r w:rsidR="00471F66">
        <w:t>planning for risks associated with climate change</w:t>
      </w:r>
      <w:r w:rsidR="00010CFB">
        <w:t>, which will increase costs for licensees to develop risk assessments</w:t>
      </w:r>
      <w:r w:rsidR="000952C1">
        <w:t xml:space="preserve"> and risk management plans </w:t>
      </w:r>
      <w:r w:rsidR="00F026B0">
        <w:t>relative to the base case</w:t>
      </w:r>
      <w:r w:rsidR="00471F66">
        <w:t>.</w:t>
      </w:r>
      <w:r w:rsidR="0082001C" w:rsidDel="00330263">
        <w:t xml:space="preserve"> </w:t>
      </w:r>
    </w:p>
    <w:p w14:paraId="3B451E44" w14:textId="54AC8C0D" w:rsidR="003A1E44" w:rsidRPr="00BF3564" w:rsidRDefault="003A1E44" w:rsidP="00BF3564">
      <w:r>
        <w:t>Overall, the requirement</w:t>
      </w:r>
      <w:r w:rsidR="0004124C">
        <w:t xml:space="preserve"> for additional risk assessments under </w:t>
      </w:r>
      <w:r w:rsidR="00F24E65">
        <w:t>Option 2</w:t>
      </w:r>
      <w:r>
        <w:t xml:space="preserve"> are expected to create significant costs for licensees</w:t>
      </w:r>
      <w:r w:rsidR="0004124C">
        <w:t xml:space="preserve"> relative to the base case</w:t>
      </w:r>
      <w:r>
        <w:t>.</w:t>
      </w:r>
    </w:p>
    <w:p w14:paraId="6C2A60D8" w14:textId="314F35A4" w:rsidR="0004124C" w:rsidRDefault="0004124C" w:rsidP="0004124C">
      <w:pPr>
        <w:pStyle w:val="Heading8"/>
      </w:pPr>
      <w:r>
        <w:t>Post closure plan</w:t>
      </w:r>
    </w:p>
    <w:p w14:paraId="46C9AC8B" w14:textId="3AA98545" w:rsidR="0004124C" w:rsidRDefault="0004124C" w:rsidP="00BF3564">
      <w:r>
        <w:t xml:space="preserve">The requirement for a post closure plan under </w:t>
      </w:r>
      <w:r w:rsidR="00F24E65">
        <w:t>Option 2</w:t>
      </w:r>
      <w:r>
        <w:t xml:space="preserve"> is the same as under </w:t>
      </w:r>
      <w:r w:rsidR="00F24E65">
        <w:t>Option 1</w:t>
      </w:r>
      <w:r>
        <w:t xml:space="preserve">. </w:t>
      </w:r>
      <w:r w:rsidR="00FB5271">
        <w:t xml:space="preserve">However, </w:t>
      </w:r>
      <w:r w:rsidR="00CB4DE6">
        <w:t>under Option 2, the detail of the post closure plan can be developed over time, which addresses the challenges associated with Option 1 in developing a detailed post-closure plan early in the rehabilitation planning process</w:t>
      </w:r>
      <w:r w:rsidR="00E132FC">
        <w:t xml:space="preserve"> before the uncertainties around rehabilitation related issues, such as water availability, are resolved</w:t>
      </w:r>
      <w:r w:rsidR="00CB4DE6">
        <w:t>.</w:t>
      </w:r>
      <w:r w:rsidR="00E132FC">
        <w:t xml:space="preserve"> This may result in some cost savings to mine operators</w:t>
      </w:r>
      <w:r w:rsidR="008F40F6">
        <w:t xml:space="preserve"> relative to Option 1</w:t>
      </w:r>
      <w:r w:rsidR="00E132FC">
        <w:t>, as they may not be required to undertake as broad a range of assessments to fill information gaps as under Option 1.</w:t>
      </w:r>
      <w:r w:rsidR="009F69D9">
        <w:t xml:space="preserve"> </w:t>
      </w:r>
    </w:p>
    <w:p w14:paraId="706AB0B4" w14:textId="77777777" w:rsidR="00B83D3D" w:rsidRDefault="00FB0D20" w:rsidP="03942CF3">
      <w:pPr>
        <w:rPr>
          <w:highlight w:val="yellow"/>
        </w:rPr>
      </w:pPr>
      <w:r>
        <w:t>On the other hand, n</w:t>
      </w:r>
      <w:r w:rsidR="009F69D9">
        <w:t xml:space="preserve">ot having a confirmed post closure plan until </w:t>
      </w:r>
      <w:r>
        <w:t>very late in the mine lifecycle can add uncertainty for licensees in the short-term</w:t>
      </w:r>
      <w:r w:rsidR="007D6AAB">
        <w:t>, which increases financial risk.</w:t>
      </w:r>
      <w:r w:rsidR="001A24AE">
        <w:t xml:space="preserve"> </w:t>
      </w:r>
      <w:r w:rsidR="003214CE">
        <w:t>One of the mine operators submitted that the potential for frequent changes to closure objectives and criteria</w:t>
      </w:r>
      <w:r w:rsidR="00E95DA7">
        <w:t xml:space="preserve"> under Option 2 presents a material risk to mine operators in terms of mine closure planning. </w:t>
      </w:r>
    </w:p>
    <w:p w14:paraId="78624F68" w14:textId="08E4817F" w:rsidR="002E2E74" w:rsidRPr="00BF3564" w:rsidRDefault="00E95DA7" w:rsidP="00BF3564">
      <w:r>
        <w:t>While Option 2 does not envisage</w:t>
      </w:r>
      <w:r w:rsidR="00B83D3D">
        <w:t xml:space="preserve"> frequent significant changes to closure objective</w:t>
      </w:r>
      <w:r w:rsidR="001463ED">
        <w:t xml:space="preserve">s and criteria, </w:t>
      </w:r>
      <w:r w:rsidR="003C359E">
        <w:t xml:space="preserve">having more frequent reviews and flexibility in rehabilitation planning does introduce an element of uncertainty </w:t>
      </w:r>
      <w:r w:rsidR="00D463C2">
        <w:t>for the post closure plan.</w:t>
      </w:r>
      <w:r w:rsidR="00543C34">
        <w:t xml:space="preserve"> </w:t>
      </w:r>
      <w:r w:rsidR="00A83F68">
        <w:t xml:space="preserve">However, </w:t>
      </w:r>
      <w:r w:rsidR="0079691B">
        <w:t>a</w:t>
      </w:r>
      <w:r w:rsidR="00A83F68" w:rsidRPr="00A83F68">
        <w:t xml:space="preserve"> well-informed, consistent approach from the regulator should result in changes of diminishing significance </w:t>
      </w:r>
      <w:r w:rsidR="0079691B">
        <w:t xml:space="preserve">as mine closure </w:t>
      </w:r>
      <w:r w:rsidR="00A83F68" w:rsidRPr="00A83F68">
        <w:t>approach</w:t>
      </w:r>
      <w:r w:rsidR="0079691B">
        <w:t>es.</w:t>
      </w:r>
      <w:r w:rsidR="00A83F68" w:rsidRPr="00A83F68">
        <w:t xml:space="preserve"> </w:t>
      </w:r>
      <w:r w:rsidR="00D463C2">
        <w:t xml:space="preserve">The </w:t>
      </w:r>
      <w:r w:rsidR="00543C34">
        <w:t xml:space="preserve">post closure </w:t>
      </w:r>
      <w:r w:rsidR="00D463C2">
        <w:t xml:space="preserve">plan needs to be confirmed before rehabilitation is complete, as </w:t>
      </w:r>
      <w:r w:rsidR="006F0725">
        <w:t xml:space="preserve">changes to the </w:t>
      </w:r>
      <w:r w:rsidR="00543C34">
        <w:t>plan</w:t>
      </w:r>
      <w:r w:rsidR="006F0725">
        <w:t xml:space="preserve"> can impact on </w:t>
      </w:r>
      <w:r w:rsidR="000E3E96">
        <w:t xml:space="preserve">the </w:t>
      </w:r>
      <w:r w:rsidR="006F0725">
        <w:t xml:space="preserve">rehabilitation a licensee needs to undertake before it can demonstrate the closure criteria </w:t>
      </w:r>
      <w:r w:rsidR="006F0725" w:rsidRPr="00B13804">
        <w:t>have been met.</w:t>
      </w:r>
      <w:r w:rsidR="00B13804">
        <w:t xml:space="preserve"> </w:t>
      </w:r>
      <w:r w:rsidR="002A09F4" w:rsidRPr="00B13804">
        <w:t xml:space="preserve">The later </w:t>
      </w:r>
      <w:r w:rsidR="006979BE" w:rsidRPr="00B13804">
        <w:t xml:space="preserve">the </w:t>
      </w:r>
      <w:r w:rsidR="00DC46F9" w:rsidRPr="00B13804">
        <w:t xml:space="preserve">post </w:t>
      </w:r>
      <w:r w:rsidR="006979BE" w:rsidRPr="00B13804">
        <w:t>closure plan is finalise</w:t>
      </w:r>
      <w:r w:rsidR="00AF1679" w:rsidRPr="00B13804">
        <w:t xml:space="preserve">d increases the risk for mine licensees that </w:t>
      </w:r>
      <w:r w:rsidR="00127C21" w:rsidRPr="00B13804">
        <w:t xml:space="preserve">changes to </w:t>
      </w:r>
      <w:r w:rsidR="00DC46F9" w:rsidRPr="00B13804">
        <w:t xml:space="preserve">the post closure plan </w:t>
      </w:r>
      <w:r w:rsidR="004C3072" w:rsidRPr="00B13804">
        <w:t>may impact th</w:t>
      </w:r>
      <w:r w:rsidR="00FD618B" w:rsidRPr="00B13804">
        <w:t xml:space="preserve">e rehabilitation that needs to be completed </w:t>
      </w:r>
      <w:r w:rsidR="000E3E96" w:rsidRPr="00B13804">
        <w:t>before t</w:t>
      </w:r>
      <w:r w:rsidR="00F76B2B" w:rsidRPr="00B13804">
        <w:t>he licensee can apply for a mine closure determination. The later changes are made tha</w:t>
      </w:r>
      <w:r w:rsidR="006B0C27" w:rsidRPr="00B13804">
        <w:t>t materially impact rehabilitation activity, the less likely a mine operator will be able to respond and update its rehabilitation approach, due to the decline in earnings over the operational phases of the mine.</w:t>
      </w:r>
      <w:r w:rsidR="00C435E9">
        <w:t xml:space="preserve"> </w:t>
      </w:r>
    </w:p>
    <w:p w14:paraId="61417D64" w14:textId="281C09CF" w:rsidR="00807153" w:rsidRPr="000C43E6" w:rsidRDefault="0004124C" w:rsidP="006B33C5">
      <w:pPr>
        <w:pStyle w:val="Heading8"/>
      </w:pPr>
      <w:r>
        <w:lastRenderedPageBreak/>
        <w:t>Community engagement</w:t>
      </w:r>
    </w:p>
    <w:p w14:paraId="0D70616F" w14:textId="2AD1D606" w:rsidR="002B472F" w:rsidRDefault="00F24E65" w:rsidP="00807153">
      <w:pPr>
        <w:tabs>
          <w:tab w:val="left" w:pos="1307"/>
        </w:tabs>
      </w:pPr>
      <w:r>
        <w:t>Option 2</w:t>
      </w:r>
      <w:r w:rsidR="00807153">
        <w:t xml:space="preserve"> defines a non-exhaustive list of consultees and requires licensees to include evidence of how the views of consultees have been considered in the DMRP.</w:t>
      </w:r>
      <w:r w:rsidR="00253FCD">
        <w:t xml:space="preserve"> In addition, licensees are required to consult with the community about the proposed DMRP.</w:t>
      </w:r>
      <w:r w:rsidR="00807153">
        <w:t xml:space="preserve"> This requirement to address the views of consultees in the DMRP is an additional obligation compared to </w:t>
      </w:r>
      <w:r>
        <w:t>Option 1</w:t>
      </w:r>
      <w:r w:rsidR="00807153">
        <w:t>, which just requires licensees to report on the substance of the views expressed</w:t>
      </w:r>
      <w:r w:rsidR="005B202B">
        <w:t xml:space="preserve">, and the base case, which does not require </w:t>
      </w:r>
      <w:r w:rsidR="000038AA">
        <w:t xml:space="preserve">a report on </w:t>
      </w:r>
      <w:r w:rsidR="005B202B">
        <w:t>consultation</w:t>
      </w:r>
      <w:r w:rsidR="00807153">
        <w:t xml:space="preserve">. </w:t>
      </w:r>
    </w:p>
    <w:p w14:paraId="536F79AC" w14:textId="71250750" w:rsidR="00213CED" w:rsidRPr="00AA4F46" w:rsidRDefault="004F343B" w:rsidP="217C4165">
      <w:pPr>
        <w:tabs>
          <w:tab w:val="left" w:pos="1307"/>
        </w:tabs>
      </w:pPr>
      <w:r>
        <w:t>T</w:t>
      </w:r>
      <w:r w:rsidR="006D5FB9">
        <w:t xml:space="preserve">hree operators noted that the requirement to show how views of consultees have been considered in the DMRP increases </w:t>
      </w:r>
      <w:r w:rsidR="00620057">
        <w:t>re</w:t>
      </w:r>
      <w:r w:rsidR="000C7ACA">
        <w:t xml:space="preserve">putational </w:t>
      </w:r>
      <w:r w:rsidR="006D5FB9">
        <w:t xml:space="preserve">risk for licensees, </w:t>
      </w:r>
      <w:r w:rsidR="001C070F">
        <w:t xml:space="preserve">as views of some stakeholders can be unrealistic and are not technically supported. </w:t>
      </w:r>
      <w:r w:rsidR="00807153">
        <w:t xml:space="preserve">These risks for operators arising from community consultation are greater under </w:t>
      </w:r>
      <w:r w:rsidR="00F24E65">
        <w:t>Option 2</w:t>
      </w:r>
      <w:r w:rsidR="00807153">
        <w:t xml:space="preserve"> because of the increased requirement to incorporate the expressed views into the DMRP.</w:t>
      </w:r>
      <w:r w:rsidR="008D34D1">
        <w:t xml:space="preserve"> </w:t>
      </w:r>
    </w:p>
    <w:p w14:paraId="7D1DD16B" w14:textId="1F3836C4" w:rsidR="00123E03" w:rsidRDefault="00807153" w:rsidP="00850EC6">
      <w:pPr>
        <w:tabs>
          <w:tab w:val="left" w:pos="1307"/>
        </w:tabs>
      </w:pPr>
      <w:r>
        <w:t xml:space="preserve">The prescription of a list of parties to be consulted </w:t>
      </w:r>
      <w:r w:rsidR="00123E03">
        <w:t>may</w:t>
      </w:r>
      <w:r>
        <w:t xml:space="preserve"> reduce the risk of ERR determining that consultation has been insufficient under </w:t>
      </w:r>
      <w:r w:rsidR="00F24E65">
        <w:t>Option 2</w:t>
      </w:r>
      <w:r>
        <w:t xml:space="preserve"> than </w:t>
      </w:r>
      <w:r w:rsidR="00F24E65">
        <w:t>Option 1</w:t>
      </w:r>
      <w:r w:rsidR="00123E03">
        <w:t>, resulting in potential cost reductions for operators, as expectations about stakeholder consultation are clearer upfron</w:t>
      </w:r>
      <w:r w:rsidR="00970AB3">
        <w:t>t</w:t>
      </w:r>
      <w:r>
        <w:t xml:space="preserve">. </w:t>
      </w:r>
    </w:p>
    <w:p w14:paraId="11D88191" w14:textId="2C4890EE" w:rsidR="00807153" w:rsidRDefault="00970AB3" w:rsidP="00850EC6">
      <w:pPr>
        <w:tabs>
          <w:tab w:val="left" w:pos="1307"/>
        </w:tabs>
      </w:pPr>
      <w:r>
        <w:t>Overall</w:t>
      </w:r>
      <w:r w:rsidR="00807153">
        <w:t xml:space="preserve">, the risk for licensees associated with an obligation to incorporate potentially ‘unrealistic’ expectations or concerns into planning under </w:t>
      </w:r>
      <w:r w:rsidR="00F24E65">
        <w:t>Option 2</w:t>
      </w:r>
      <w:r w:rsidR="00807153">
        <w:t xml:space="preserve"> means that this option is considered to create higher costs for licensees than </w:t>
      </w:r>
      <w:r w:rsidR="00E314AE">
        <w:t xml:space="preserve">the base case, or </w:t>
      </w:r>
      <w:r w:rsidR="00F24E65">
        <w:t>Option 1</w:t>
      </w:r>
      <w:r w:rsidR="00807153">
        <w:t xml:space="preserve">. </w:t>
      </w:r>
    </w:p>
    <w:p w14:paraId="7706470B" w14:textId="0734E55E" w:rsidR="00BB205F" w:rsidRDefault="00BB205F" w:rsidP="006B33C5">
      <w:pPr>
        <w:pStyle w:val="Heading8"/>
      </w:pPr>
      <w:r>
        <w:t>Timing</w:t>
      </w:r>
    </w:p>
    <w:p w14:paraId="44E75D43" w14:textId="3297226A" w:rsidR="00AE4838" w:rsidRDefault="00BB205F" w:rsidP="00BB205F">
      <w:r>
        <w:t xml:space="preserve">The prescribed rehabilitation outcome and ability to develop the DMRP over time under </w:t>
      </w:r>
      <w:r w:rsidR="00F24E65">
        <w:t>Option 2</w:t>
      </w:r>
      <w:r>
        <w:t xml:space="preserve"> allows more flexibility for licensees in </w:t>
      </w:r>
      <w:r w:rsidR="003A4C69">
        <w:t>developing</w:t>
      </w:r>
      <w:r>
        <w:t xml:space="preserve"> their DMRP</w:t>
      </w:r>
      <w:r w:rsidR="003A4C69">
        <w:t xml:space="preserve"> compared to the base case and </w:t>
      </w:r>
      <w:r w:rsidR="00F24E65">
        <w:t>Option 1</w:t>
      </w:r>
      <w:r>
        <w:t xml:space="preserve">. The expectation under </w:t>
      </w:r>
      <w:r w:rsidR="00F24E65">
        <w:t>Option 2</w:t>
      </w:r>
      <w:r>
        <w:t xml:space="preserve"> is that DMRPs would develop over time as knowledge about the mine site and how it can most effectively be rehabilitated</w:t>
      </w:r>
      <w:r w:rsidR="007C09FF">
        <w:t xml:space="preserve"> develops</w:t>
      </w:r>
      <w:r w:rsidR="00AE4838">
        <w:t>. This expectation</w:t>
      </w:r>
      <w:r>
        <w:t xml:space="preserve"> aligns with the preference for iterative rehabilitation planning expressed by all mine operators in their responses to the consultations</w:t>
      </w:r>
      <w:r w:rsidR="00AE4838">
        <w:t>:</w:t>
      </w:r>
    </w:p>
    <w:p w14:paraId="42EE0A48" w14:textId="2CDEDFCA" w:rsidR="00AE4838" w:rsidRDefault="00BB205F" w:rsidP="00AE4838">
      <w:pPr>
        <w:pStyle w:val="dotpoints"/>
      </w:pPr>
      <w:r>
        <w:t xml:space="preserve">One of the mine operators expressed the opinion that requiring all the detail for rehabilitation at the outset was ‘unrealistic’, because the detailed knowledge necessary for in-depth planning is accrued over the operational and rehabilitation life of the mine. </w:t>
      </w:r>
    </w:p>
    <w:p w14:paraId="376DE059" w14:textId="77777777" w:rsidR="00AE4838" w:rsidRDefault="00BB205F" w:rsidP="00AE4838">
      <w:pPr>
        <w:pStyle w:val="dotpoints"/>
      </w:pPr>
      <w:r>
        <w:t xml:space="preserve">Another operator considered that the level of detail within rehabilitation plans increases as planning moves through the stages of rehabilitation. </w:t>
      </w:r>
    </w:p>
    <w:p w14:paraId="29F2797A" w14:textId="5218CFBC" w:rsidR="00BB205F" w:rsidRDefault="00BB205F" w:rsidP="00BF3564">
      <w:r>
        <w:t xml:space="preserve">These views </w:t>
      </w:r>
      <w:r w:rsidR="00DB2002">
        <w:t>suggest</w:t>
      </w:r>
      <w:r>
        <w:t xml:space="preserve"> that, allowing plans to develop over the course of rehabilitation may result in cost savings, when compared to </w:t>
      </w:r>
      <w:r w:rsidR="00F24E65">
        <w:t>Option 1</w:t>
      </w:r>
      <w:r w:rsidR="00DB2002">
        <w:t>. This is because</w:t>
      </w:r>
      <w:r>
        <w:t xml:space="preserve"> mine operators can draw on information about the mine site as it is accumulated through usual business operations and plan accordingly, rather than needing to research potential risks and viable rehabilitation activities without as in-depth a knowledge base about the technical characteristics of the mine site. These cost savings would occur at the time of developing the initial plan.</w:t>
      </w:r>
      <w:r w:rsidR="00DB2002">
        <w:t xml:space="preserve"> </w:t>
      </w:r>
      <w:r w:rsidR="0F68D482">
        <w:t xml:space="preserve">This approach is consistent with the approach taken by Western Australia </w:t>
      </w:r>
      <w:r w:rsidR="4F128BF3">
        <w:t xml:space="preserve">and Germany </w:t>
      </w:r>
      <w:r w:rsidR="0F68D482">
        <w:t xml:space="preserve">in relation to </w:t>
      </w:r>
      <w:r w:rsidR="347BFC5A">
        <w:t>its</w:t>
      </w:r>
      <w:r w:rsidR="0F68D482">
        <w:t xml:space="preserve"> rehabilitation and closure framework.</w:t>
      </w:r>
    </w:p>
    <w:p w14:paraId="07F49610" w14:textId="489383E6" w:rsidR="00BB205F" w:rsidRDefault="00DB2002" w:rsidP="00BF3564">
      <w:r>
        <w:t xml:space="preserve">Relative to the base case, </w:t>
      </w:r>
      <w:r w:rsidR="00F24E65">
        <w:t>Option 2</w:t>
      </w:r>
      <w:r>
        <w:t xml:space="preserve"> </w:t>
      </w:r>
      <w:r w:rsidR="00042092">
        <w:t>will be more costly, as there is no requirement to develop a DMRP.</w:t>
      </w:r>
    </w:p>
    <w:p w14:paraId="39EF5D96" w14:textId="46E07744" w:rsidR="00807153" w:rsidRDefault="00807153" w:rsidP="006B33C5">
      <w:pPr>
        <w:pStyle w:val="Heading9"/>
      </w:pPr>
      <w:r>
        <w:t>Review and updating rehabilitation plans</w:t>
      </w:r>
    </w:p>
    <w:p w14:paraId="2EE60907" w14:textId="464F26CC" w:rsidR="00807153" w:rsidRDefault="00F24E65" w:rsidP="00807153">
      <w:r>
        <w:t>Option 2</w:t>
      </w:r>
      <w:r w:rsidR="00807153">
        <w:t xml:space="preserve"> requires that the</w:t>
      </w:r>
      <w:r w:rsidR="00FB227D">
        <w:t xml:space="preserve"> rehabilitation and post-closure management risks identified in the</w:t>
      </w:r>
      <w:r w:rsidR="00807153">
        <w:t xml:space="preserve"> DMRP must be reviewed </w:t>
      </w:r>
      <w:r w:rsidR="002021C2">
        <w:t>every year</w:t>
      </w:r>
      <w:r w:rsidR="00807153">
        <w:t xml:space="preserve">. This </w:t>
      </w:r>
      <w:r w:rsidR="002021C2">
        <w:t>may</w:t>
      </w:r>
      <w:r w:rsidR="00807153">
        <w:t xml:space="preserve"> require mine operators to provide an updated DMRP, as well as required supporting documents, to ERR every year. As this is proposed to be more of a ‘notification’ type process, and mine operators will be updating and refining the plan as part of their normal operations, this is not expected to impose significant additional cost</w:t>
      </w:r>
      <w:r w:rsidR="00BB0D99">
        <w:t xml:space="preserve"> compared to the base case</w:t>
      </w:r>
      <w:r w:rsidR="00807153">
        <w:t>.</w:t>
      </w:r>
    </w:p>
    <w:p w14:paraId="49F51A99" w14:textId="42C34C89" w:rsidR="00807153" w:rsidRPr="00AA4F46" w:rsidRDefault="00807153" w:rsidP="217C4165">
      <w:r>
        <w:t xml:space="preserve">One of the operators commenting on this aspect of </w:t>
      </w:r>
      <w:r w:rsidR="00F24E65">
        <w:t>Option 2</w:t>
      </w:r>
      <w:r>
        <w:t xml:space="preserve"> indicated that while they were generally supportive of an ongoing development process, they consider that the scope of the ongoing reviews must be clear. </w:t>
      </w:r>
    </w:p>
    <w:p w14:paraId="2478CF99" w14:textId="15563777" w:rsidR="00957BE4" w:rsidRDefault="00807153" w:rsidP="00936F11">
      <w:r>
        <w:t xml:space="preserve">Variations of the DMRP under </w:t>
      </w:r>
      <w:r w:rsidR="00F24E65">
        <w:t>Option 2</w:t>
      </w:r>
      <w:r>
        <w:t xml:space="preserve"> would only occur where there is a ‘significant increase in risk’ </w:t>
      </w:r>
      <w:r w:rsidRPr="00EE393A">
        <w:t>as identified through the risk matrix assessment used for a variation</w:t>
      </w:r>
      <w:r>
        <w:t xml:space="preserve">. The process to undertake a variation is the same as </w:t>
      </w:r>
      <w:r w:rsidR="00F24E65">
        <w:t>Option 1</w:t>
      </w:r>
      <w:r w:rsidR="009C3D6A">
        <w:t xml:space="preserve"> and the base case</w:t>
      </w:r>
      <w:r>
        <w:t xml:space="preserve">, and would not impose any additional costs. However, by adopting an iterative approach to rehabilitation planning, it is expected that variations may not be required as frequently as under </w:t>
      </w:r>
      <w:r w:rsidR="00F24E65">
        <w:t>Option 1</w:t>
      </w:r>
      <w:r>
        <w:t xml:space="preserve">, as there is more flexibility in the regime to accommodate variations to rehabilitation planning under </w:t>
      </w:r>
      <w:r w:rsidR="00F24E65">
        <w:t>Option 2</w:t>
      </w:r>
      <w:r>
        <w:t>.</w:t>
      </w:r>
    </w:p>
    <w:p w14:paraId="73BBD96A" w14:textId="2980B0E8" w:rsidR="00EE6FB1" w:rsidRDefault="00EE6FB1" w:rsidP="003F70FF">
      <w:pPr>
        <w:pStyle w:val="Heading6"/>
      </w:pPr>
      <w:r>
        <w:lastRenderedPageBreak/>
        <w:t>Cost to industry scores</w:t>
      </w:r>
    </w:p>
    <w:p w14:paraId="490F79F7" w14:textId="085C5303" w:rsidR="00EE6FB1" w:rsidRDefault="00EE6FB1" w:rsidP="00F744F4">
      <w:pPr>
        <w:tabs>
          <w:tab w:val="left" w:pos="1307"/>
        </w:tabs>
      </w:pPr>
      <w:r>
        <w:fldChar w:fldCharType="begin"/>
      </w:r>
      <w:r>
        <w:instrText xml:space="preserve"> REF _Ref55478051 \h </w:instrText>
      </w:r>
      <w:r>
        <w:fldChar w:fldCharType="separate"/>
      </w:r>
      <w:r w:rsidR="000B3BF6">
        <w:t xml:space="preserve">Table </w:t>
      </w:r>
      <w:r w:rsidR="000B3BF6">
        <w:rPr>
          <w:noProof/>
        </w:rPr>
        <w:t>11</w:t>
      </w:r>
      <w:r>
        <w:fldChar w:fldCharType="end"/>
      </w:r>
      <w:r>
        <w:t xml:space="preserve"> sets out the scores allocated to </w:t>
      </w:r>
      <w:r w:rsidR="00F24E65">
        <w:t>Option 1</w:t>
      </w:r>
      <w:r>
        <w:t xml:space="preserve"> and </w:t>
      </w:r>
      <w:r w:rsidR="00F24E65">
        <w:t>Option 2</w:t>
      </w:r>
      <w:r>
        <w:t xml:space="preserve"> in relation to the cost to industry criterion. </w:t>
      </w:r>
      <w:r w:rsidR="00A35EFA">
        <w:t xml:space="preserve">Both options impose higher costs than the base case simply by virtue of enforcing the obligation to submit a DMRP. In terms of the comparative magnitude of the costs imposed by each option, </w:t>
      </w:r>
      <w:r w:rsidR="00F24E65">
        <w:t>Option 2</w:t>
      </w:r>
      <w:r w:rsidR="00A35EFA">
        <w:t xml:space="preserve"> is considered likely to create higher costs for licensees</w:t>
      </w:r>
      <w:r w:rsidR="001429D6">
        <w:t xml:space="preserve"> over time</w:t>
      </w:r>
      <w:r w:rsidR="00A35EFA">
        <w:t>. While</w:t>
      </w:r>
      <w:r>
        <w:t xml:space="preserve"> </w:t>
      </w:r>
      <w:r w:rsidR="00F24E65">
        <w:t>Option 2</w:t>
      </w:r>
      <w:r>
        <w:t>’s iterative approach is deemed to align more closely</w:t>
      </w:r>
      <w:r w:rsidR="00A35EFA">
        <w:t xml:space="preserve"> to the actual rehabilitation planning undertaken by the current declared mine licensees,</w:t>
      </w:r>
      <w:r w:rsidR="001429D6">
        <w:t xml:space="preserve"> and would result in cost savings initially</w:t>
      </w:r>
      <w:r w:rsidR="00FB6032">
        <w:t xml:space="preserve"> compared to </w:t>
      </w:r>
      <w:r w:rsidR="00F24E65">
        <w:t>Option 1</w:t>
      </w:r>
      <w:r w:rsidR="001429D6">
        <w:t>,</w:t>
      </w:r>
      <w:r w:rsidR="00A35EFA">
        <w:t xml:space="preserve"> the requirements to consider and incorporate a broader array of factors in the DMRP is considered to significantly increase the </w:t>
      </w:r>
      <w:r w:rsidR="00EA4EF6">
        <w:t>effort and cost</w:t>
      </w:r>
      <w:r w:rsidR="00A35EFA">
        <w:t xml:space="preserve"> of this approach compared to </w:t>
      </w:r>
      <w:r w:rsidR="00F24E65">
        <w:t>Option 1</w:t>
      </w:r>
      <w:r w:rsidR="00A35EFA">
        <w:t xml:space="preserve"> or the base case. </w:t>
      </w:r>
    </w:p>
    <w:p w14:paraId="2EF3E5D8" w14:textId="18BC2B65" w:rsidR="00EE6FB1" w:rsidRDefault="00EE6FB1" w:rsidP="00EE6FB1">
      <w:pPr>
        <w:pStyle w:val="Caption"/>
      </w:pPr>
      <w:bookmarkStart w:id="331" w:name="_Ref55478051"/>
      <w:bookmarkStart w:id="332" w:name="_Toc104217627"/>
      <w:r>
        <w:t xml:space="preserve">Table </w:t>
      </w:r>
      <w:r>
        <w:fldChar w:fldCharType="begin"/>
      </w:r>
      <w:r>
        <w:instrText>SEQ Table \* ARABIC</w:instrText>
      </w:r>
      <w:r>
        <w:fldChar w:fldCharType="separate"/>
      </w:r>
      <w:r w:rsidR="000B3BF6">
        <w:rPr>
          <w:noProof/>
        </w:rPr>
        <w:t>11</w:t>
      </w:r>
      <w:r>
        <w:fldChar w:fldCharType="end"/>
      </w:r>
      <w:bookmarkEnd w:id="331"/>
      <w:r w:rsidR="006E7746">
        <w:rPr>
          <w:noProof/>
        </w:rPr>
        <w:t>:</w:t>
      </w:r>
      <w:r>
        <w:t xml:space="preserve"> Options for DMRPs - cost to industry scores</w:t>
      </w:r>
      <w:bookmarkEnd w:id="332"/>
    </w:p>
    <w:tbl>
      <w:tblPr>
        <w:tblStyle w:val="TableGrid"/>
        <w:tblW w:w="5000" w:type="pct"/>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ayout w:type="fixed"/>
        <w:tblCellMar>
          <w:top w:w="28" w:type="dxa"/>
          <w:bottom w:w="28" w:type="dxa"/>
        </w:tblCellMar>
        <w:tblLook w:val="04A0" w:firstRow="1" w:lastRow="0" w:firstColumn="1" w:lastColumn="0" w:noHBand="0" w:noVBand="1"/>
        <w:tblCaption w:val="Table heading"/>
      </w:tblPr>
      <w:tblGrid>
        <w:gridCol w:w="3402"/>
        <w:gridCol w:w="1874"/>
        <w:gridCol w:w="1874"/>
        <w:gridCol w:w="1876"/>
      </w:tblGrid>
      <w:tr w:rsidR="006C71D3" w:rsidRPr="00D51674" w14:paraId="7EADF99F" w14:textId="1B48B994" w:rsidTr="008E75CA">
        <w:trPr>
          <w:trHeight w:val="283"/>
          <w:tblHeader/>
        </w:trPr>
        <w:tc>
          <w:tcPr>
            <w:tcW w:w="1885" w:type="pct"/>
            <w:shd w:val="clear" w:color="auto" w:fill="1B0B38"/>
            <w:vAlign w:val="center"/>
          </w:tcPr>
          <w:p w14:paraId="47E8CB27" w14:textId="77777777" w:rsidR="00944169" w:rsidRPr="00BA70A6" w:rsidRDefault="00944169" w:rsidP="008E75CA">
            <w:pPr>
              <w:spacing w:before="0"/>
              <w:rPr>
                <w:rStyle w:val="Strong"/>
                <w:color w:val="FFFFFF" w:themeColor="background1"/>
              </w:rPr>
            </w:pPr>
            <w:r>
              <w:rPr>
                <w:rStyle w:val="Strong"/>
                <w:color w:val="FFFFFF" w:themeColor="background1"/>
              </w:rPr>
              <w:t>Option</w:t>
            </w:r>
          </w:p>
        </w:tc>
        <w:tc>
          <w:tcPr>
            <w:tcW w:w="1038" w:type="pct"/>
            <w:shd w:val="clear" w:color="auto" w:fill="1B0B38"/>
            <w:vAlign w:val="center"/>
          </w:tcPr>
          <w:p w14:paraId="4A682B5A" w14:textId="5B8C9A8A" w:rsidR="00944169" w:rsidRDefault="002C4E22" w:rsidP="008E75CA">
            <w:pPr>
              <w:spacing w:before="0"/>
              <w:jc w:val="center"/>
              <w:rPr>
                <w:rStyle w:val="Strong"/>
                <w:color w:val="FFFFFF" w:themeColor="background1"/>
              </w:rPr>
            </w:pPr>
            <w:r>
              <w:rPr>
                <w:rStyle w:val="Strong"/>
                <w:color w:val="FFFFFF" w:themeColor="background1"/>
              </w:rPr>
              <w:t>W</w:t>
            </w:r>
            <w:r w:rsidRPr="008E75CA">
              <w:rPr>
                <w:rStyle w:val="Strong"/>
                <w:color w:val="FFFFFF" w:themeColor="background1"/>
              </w:rPr>
              <w:t>eighting</w:t>
            </w:r>
          </w:p>
        </w:tc>
        <w:tc>
          <w:tcPr>
            <w:tcW w:w="1038" w:type="pct"/>
            <w:shd w:val="clear" w:color="auto" w:fill="1B0B38"/>
            <w:vAlign w:val="center"/>
          </w:tcPr>
          <w:p w14:paraId="48C668C4" w14:textId="5700F145" w:rsidR="00944169" w:rsidRPr="00BA70A6" w:rsidRDefault="002C4E22" w:rsidP="008E75CA">
            <w:pPr>
              <w:spacing w:before="0"/>
              <w:jc w:val="center"/>
              <w:rPr>
                <w:rStyle w:val="Strong"/>
                <w:color w:val="FFFFFF" w:themeColor="background1"/>
              </w:rPr>
            </w:pPr>
            <w:r>
              <w:rPr>
                <w:rStyle w:val="Strong"/>
                <w:color w:val="FFFFFF" w:themeColor="background1"/>
              </w:rPr>
              <w:t>Unweighted</w:t>
            </w:r>
            <w:r w:rsidR="00944169">
              <w:rPr>
                <w:rStyle w:val="Strong"/>
                <w:color w:val="FFFFFF" w:themeColor="background1"/>
              </w:rPr>
              <w:t xml:space="preserve"> score</w:t>
            </w:r>
          </w:p>
        </w:tc>
        <w:tc>
          <w:tcPr>
            <w:tcW w:w="1039" w:type="pct"/>
            <w:shd w:val="clear" w:color="auto" w:fill="1B0B38"/>
            <w:vAlign w:val="center"/>
          </w:tcPr>
          <w:p w14:paraId="50043290" w14:textId="76F77416" w:rsidR="00944169" w:rsidRDefault="002C4E22" w:rsidP="008E75CA">
            <w:pPr>
              <w:spacing w:before="0"/>
              <w:jc w:val="center"/>
              <w:rPr>
                <w:rStyle w:val="Strong"/>
                <w:color w:val="FFFFFF" w:themeColor="background1"/>
              </w:rPr>
            </w:pPr>
            <w:r>
              <w:rPr>
                <w:rStyle w:val="Strong"/>
                <w:color w:val="FFFFFF" w:themeColor="background1"/>
              </w:rPr>
              <w:t>W</w:t>
            </w:r>
            <w:r w:rsidRPr="008E75CA">
              <w:rPr>
                <w:rStyle w:val="Strong"/>
                <w:color w:val="FFFFFF" w:themeColor="background1"/>
              </w:rPr>
              <w:t>eighted score</w:t>
            </w:r>
          </w:p>
        </w:tc>
      </w:tr>
      <w:tr w:rsidR="00027239" w:rsidRPr="00D51674" w14:paraId="59F4B4AF" w14:textId="336A8775" w:rsidTr="008E75CA">
        <w:trPr>
          <w:trHeight w:val="283"/>
        </w:trPr>
        <w:tc>
          <w:tcPr>
            <w:tcW w:w="1885" w:type="pct"/>
            <w:tcBorders>
              <w:bottom w:val="single" w:sz="4" w:space="0" w:color="1B0B38"/>
            </w:tcBorders>
            <w:vAlign w:val="center"/>
          </w:tcPr>
          <w:p w14:paraId="734E4178" w14:textId="02922495" w:rsidR="00027239" w:rsidRPr="00D51674" w:rsidRDefault="00027239" w:rsidP="00027239">
            <w:pPr>
              <w:spacing w:before="0"/>
            </w:pPr>
            <w:r>
              <w:t>Option 1</w:t>
            </w:r>
          </w:p>
        </w:tc>
        <w:tc>
          <w:tcPr>
            <w:tcW w:w="1038" w:type="pct"/>
            <w:tcBorders>
              <w:bottom w:val="single" w:sz="4" w:space="0" w:color="1B0B38"/>
            </w:tcBorders>
            <w:vAlign w:val="center"/>
          </w:tcPr>
          <w:p w14:paraId="3863D69D" w14:textId="7C139B25" w:rsidR="00027239" w:rsidRDefault="00027239" w:rsidP="00027239">
            <w:pPr>
              <w:spacing w:before="0"/>
              <w:jc w:val="center"/>
            </w:pPr>
            <w:r>
              <w:t>25%</w:t>
            </w:r>
          </w:p>
        </w:tc>
        <w:tc>
          <w:tcPr>
            <w:tcW w:w="1038" w:type="pct"/>
            <w:tcBorders>
              <w:bottom w:val="single" w:sz="4" w:space="0" w:color="1B0B38"/>
            </w:tcBorders>
            <w:vAlign w:val="center"/>
          </w:tcPr>
          <w:p w14:paraId="1C328A6A" w14:textId="7E0D1ABD" w:rsidR="00027239" w:rsidRPr="00D51674" w:rsidRDefault="00027239" w:rsidP="00027239">
            <w:pPr>
              <w:spacing w:before="0"/>
              <w:jc w:val="center"/>
            </w:pPr>
            <w:r>
              <w:t>-5</w:t>
            </w:r>
          </w:p>
        </w:tc>
        <w:tc>
          <w:tcPr>
            <w:tcW w:w="1039" w:type="pct"/>
            <w:tcBorders>
              <w:bottom w:val="single" w:sz="4" w:space="0" w:color="1B0B38"/>
            </w:tcBorders>
            <w:vAlign w:val="center"/>
          </w:tcPr>
          <w:p w14:paraId="18DB6ACC" w14:textId="1733D45A" w:rsidR="00027239" w:rsidRDefault="00027239" w:rsidP="00027239">
            <w:pPr>
              <w:spacing w:before="0"/>
              <w:jc w:val="center"/>
            </w:pPr>
            <w:r>
              <w:rPr>
                <w:rFonts w:cs="Arial"/>
                <w:szCs w:val="18"/>
              </w:rPr>
              <w:t>-1.25</w:t>
            </w:r>
          </w:p>
        </w:tc>
      </w:tr>
      <w:tr w:rsidR="00027239" w:rsidRPr="006043AB" w14:paraId="2B47EA9A" w14:textId="0F48776E" w:rsidTr="008E75CA">
        <w:trPr>
          <w:trHeight w:val="283"/>
        </w:trPr>
        <w:tc>
          <w:tcPr>
            <w:tcW w:w="1885" w:type="pct"/>
            <w:tcBorders>
              <w:top w:val="single" w:sz="4" w:space="0" w:color="1B0B38"/>
              <w:bottom w:val="single" w:sz="4" w:space="0" w:color="1B0B38"/>
            </w:tcBorders>
            <w:vAlign w:val="center"/>
          </w:tcPr>
          <w:p w14:paraId="1BC495E9" w14:textId="19E14C5B" w:rsidR="00027239" w:rsidRPr="00D8367F" w:rsidRDefault="00027239" w:rsidP="00027239">
            <w:pPr>
              <w:spacing w:before="0"/>
              <w:rPr>
                <w:rStyle w:val="Strong"/>
                <w:b w:val="0"/>
                <w:bCs w:val="0"/>
              </w:rPr>
            </w:pPr>
            <w:r>
              <w:rPr>
                <w:rStyle w:val="Strong"/>
                <w:b w:val="0"/>
                <w:bCs w:val="0"/>
              </w:rPr>
              <w:t>Option 2</w:t>
            </w:r>
          </w:p>
        </w:tc>
        <w:tc>
          <w:tcPr>
            <w:tcW w:w="1038" w:type="pct"/>
            <w:tcBorders>
              <w:top w:val="single" w:sz="4" w:space="0" w:color="1B0B38"/>
              <w:bottom w:val="single" w:sz="4" w:space="0" w:color="1B0B38"/>
            </w:tcBorders>
            <w:vAlign w:val="center"/>
          </w:tcPr>
          <w:p w14:paraId="6DF9A3BA" w14:textId="00FA2A7C" w:rsidR="00027239" w:rsidRDefault="00027239" w:rsidP="00027239">
            <w:pPr>
              <w:spacing w:before="0"/>
              <w:jc w:val="center"/>
              <w:rPr>
                <w:rStyle w:val="Strong"/>
                <w:b w:val="0"/>
                <w:bCs w:val="0"/>
              </w:rPr>
            </w:pPr>
            <w:r>
              <w:rPr>
                <w:rStyle w:val="Strong"/>
                <w:b w:val="0"/>
                <w:bCs w:val="0"/>
              </w:rPr>
              <w:t>25%</w:t>
            </w:r>
          </w:p>
        </w:tc>
        <w:tc>
          <w:tcPr>
            <w:tcW w:w="1038" w:type="pct"/>
            <w:tcBorders>
              <w:top w:val="single" w:sz="4" w:space="0" w:color="1B0B38"/>
              <w:bottom w:val="single" w:sz="4" w:space="0" w:color="1B0B38"/>
            </w:tcBorders>
            <w:vAlign w:val="center"/>
          </w:tcPr>
          <w:p w14:paraId="5FB7DA8B" w14:textId="5E6BF096" w:rsidR="00027239" w:rsidRPr="00D8367F" w:rsidRDefault="00027239" w:rsidP="00027239">
            <w:pPr>
              <w:spacing w:before="0"/>
              <w:jc w:val="center"/>
              <w:rPr>
                <w:rStyle w:val="Strong"/>
                <w:b w:val="0"/>
                <w:bCs w:val="0"/>
              </w:rPr>
            </w:pPr>
            <w:r>
              <w:rPr>
                <w:rStyle w:val="Strong"/>
                <w:b w:val="0"/>
                <w:bCs w:val="0"/>
              </w:rPr>
              <w:t>-7</w:t>
            </w:r>
          </w:p>
        </w:tc>
        <w:tc>
          <w:tcPr>
            <w:tcW w:w="1039" w:type="pct"/>
            <w:tcBorders>
              <w:top w:val="single" w:sz="4" w:space="0" w:color="1B0B38"/>
              <w:bottom w:val="single" w:sz="4" w:space="0" w:color="1B0B38"/>
            </w:tcBorders>
            <w:vAlign w:val="center"/>
          </w:tcPr>
          <w:p w14:paraId="6A1A60FF" w14:textId="6447D79C" w:rsidR="00027239" w:rsidRPr="00196008" w:rsidRDefault="00027239" w:rsidP="00027239">
            <w:pPr>
              <w:spacing w:before="0"/>
              <w:jc w:val="center"/>
              <w:rPr>
                <w:rStyle w:val="Strong"/>
                <w:b w:val="0"/>
                <w:bCs w:val="0"/>
              </w:rPr>
            </w:pPr>
            <w:r>
              <w:rPr>
                <w:szCs w:val="18"/>
              </w:rPr>
              <w:t>-1.75</w:t>
            </w:r>
          </w:p>
        </w:tc>
      </w:tr>
    </w:tbl>
    <w:p w14:paraId="7E558C40" w14:textId="71F08C2B" w:rsidR="0024528B" w:rsidRDefault="00A35EFA" w:rsidP="00D50C43">
      <w:pPr>
        <w:pStyle w:val="Heading3"/>
        <w:numPr>
          <w:ilvl w:val="2"/>
          <w:numId w:val="124"/>
        </w:numPr>
      </w:pPr>
      <w:bookmarkStart w:id="333" w:name="_Toc104217713"/>
      <w:r>
        <w:t>Cost to government</w:t>
      </w:r>
      <w:bookmarkEnd w:id="333"/>
    </w:p>
    <w:p w14:paraId="60308644" w14:textId="3AE87212" w:rsidR="001477CB" w:rsidRDefault="001477CB" w:rsidP="001477CB">
      <w:r>
        <w:t>The costs to government associated with the DMRPs relate to the effort involved in administ</w:t>
      </w:r>
      <w:r w:rsidR="00CD07B3">
        <w:t>er</w:t>
      </w:r>
      <w:r>
        <w:t xml:space="preserve">ing this part of the </w:t>
      </w:r>
      <w:r w:rsidR="006D027C">
        <w:t>proposed Regulations</w:t>
      </w:r>
      <w:r>
        <w:t xml:space="preserve">, including: </w:t>
      </w:r>
    </w:p>
    <w:p w14:paraId="409BB9D1" w14:textId="77777777" w:rsidR="001477CB" w:rsidRDefault="001477CB" w:rsidP="001477CB">
      <w:pPr>
        <w:pStyle w:val="dotpoints"/>
      </w:pPr>
      <w:r>
        <w:t xml:space="preserve">Assessment and approval of DMRPs, </w:t>
      </w:r>
    </w:p>
    <w:p w14:paraId="31345BF8" w14:textId="77777777" w:rsidR="001477CB" w:rsidRDefault="001477CB" w:rsidP="001477CB">
      <w:pPr>
        <w:pStyle w:val="dotpoints"/>
      </w:pPr>
      <w:r>
        <w:t xml:space="preserve">Monitoring rehabilitation carried out under the DMRP, and </w:t>
      </w:r>
    </w:p>
    <w:p w14:paraId="40B91927" w14:textId="77777777" w:rsidR="001477CB" w:rsidRDefault="001477CB" w:rsidP="001477CB">
      <w:pPr>
        <w:pStyle w:val="dotpoints"/>
      </w:pPr>
      <w:r>
        <w:t xml:space="preserve">Responding to reported events or circumstances in relation to the plan. </w:t>
      </w:r>
    </w:p>
    <w:p w14:paraId="1806C1C4" w14:textId="77777777" w:rsidR="001477CB" w:rsidRDefault="001477CB" w:rsidP="001477CB">
      <w:r>
        <w:t>The cost to government related to the risks posed by declared mine land and the liability for rehabilitating it is assessed as part of the benefit criteria.</w:t>
      </w:r>
    </w:p>
    <w:p w14:paraId="56443273" w14:textId="6DF50998" w:rsidR="001477CB" w:rsidRDefault="00F24E65" w:rsidP="003F70FF">
      <w:pPr>
        <w:pStyle w:val="Heading6"/>
      </w:pPr>
      <w:r>
        <w:t>Option 1</w:t>
      </w:r>
    </w:p>
    <w:p w14:paraId="11088E0D" w14:textId="391CEF16" w:rsidR="00C81DA1" w:rsidRDefault="006A2B64" w:rsidP="00C81DA1">
      <w:r>
        <w:t xml:space="preserve">Overall, </w:t>
      </w:r>
      <w:r w:rsidR="00F24E65">
        <w:t>Option 1</w:t>
      </w:r>
      <w:r>
        <w:t xml:space="preserve"> </w:t>
      </w:r>
      <w:r w:rsidR="0088436C">
        <w:t>results in</w:t>
      </w:r>
      <w:r>
        <w:t xml:space="preserve"> higher costs</w:t>
      </w:r>
      <w:r w:rsidR="0088436C">
        <w:t xml:space="preserve"> to government</w:t>
      </w:r>
      <w:r>
        <w:t xml:space="preserve"> than the base case, because </w:t>
      </w:r>
      <w:r w:rsidR="001D0ABE">
        <w:t xml:space="preserve">this option </w:t>
      </w:r>
      <w:r w:rsidR="00C81DA1" w:rsidRPr="0051672E">
        <w:t>require</w:t>
      </w:r>
      <w:r w:rsidR="001D0ABE">
        <w:t>s</w:t>
      </w:r>
      <w:r w:rsidR="00C81DA1">
        <w:t xml:space="preserve"> additional information compared to the base case, which requires ERR to assess greater volumes of information, including more detailed risk assessments and a post closure plan for each of the mine.</w:t>
      </w:r>
      <w:r w:rsidR="0088436C">
        <w:t xml:space="preserve"> </w:t>
      </w:r>
      <w:r w:rsidR="00084C72">
        <w:t>As such, it has been scored somewhat negative (</w:t>
      </w:r>
      <w:r w:rsidR="00EB3F9C">
        <w:t>-1) compared to the base case.</w:t>
      </w:r>
    </w:p>
    <w:p w14:paraId="78044136" w14:textId="179CBF1E" w:rsidR="00C81DA1" w:rsidRPr="00BF3564" w:rsidRDefault="00EB3F9C" w:rsidP="006B33C5">
      <w:pPr>
        <w:pStyle w:val="Heading7"/>
      </w:pPr>
      <w:r>
        <w:t>Assessment and approval of DMRPs</w:t>
      </w:r>
    </w:p>
    <w:p w14:paraId="1150531A" w14:textId="5BE94715" w:rsidR="001477CB" w:rsidRPr="00D12D7E" w:rsidRDefault="001477CB" w:rsidP="001477CB">
      <w:r>
        <w:t xml:space="preserve">The process for approving the DMRP under </w:t>
      </w:r>
      <w:r w:rsidR="00F24E65">
        <w:t>Option 1</w:t>
      </w:r>
      <w:r>
        <w:t xml:space="preserve"> would be similar to the base case, and to ERR’s current role in assessing the rehabilitation component of work plans. Licensees propose final land forms and the activities they believe are necessary to achieve that land form, and ERR assesses whether the plan is adequate to achieve that outcome and whether both activities and outcome are in line with what the Act requires. </w:t>
      </w:r>
    </w:p>
    <w:p w14:paraId="5190C072" w14:textId="5F04F817" w:rsidR="001477CB" w:rsidRDefault="001477CB" w:rsidP="001477CB">
      <w:r>
        <w:t xml:space="preserve">The existing rehabilitation plans for the declared mines were approved some decades ago. All three currently declared mines will be required to submit DMRPs under </w:t>
      </w:r>
      <w:r w:rsidR="00F24E65">
        <w:t>Option 1</w:t>
      </w:r>
      <w:r>
        <w:t xml:space="preserve"> within one year of the regulations coming into effect. The DMRP will be required to include more comprehensive risk assessments and planning than the previously submitted rehabilitation plans for the mines</w:t>
      </w:r>
      <w:r w:rsidR="00542978">
        <w:t xml:space="preserve">, as outlined in </w:t>
      </w:r>
      <w:r w:rsidR="003144A1">
        <w:t>section 6.3.2</w:t>
      </w:r>
      <w:r>
        <w:t xml:space="preserve">. The extent and complexity of the risks posed by the declared mines, and their somewhat unique physical characteristics, heightens the difficulty in planning for their rehabilitation, but also in determining whether proposed rehabilitative works are likely to achieve the required outcomes. The depth of technical knowledge required to assess the DMRPs may translate into additional costs for ERR, potentially through the need to engage contractors to assist in the assessment. Further, the additional information required by </w:t>
      </w:r>
      <w:r w:rsidR="00F24E65">
        <w:t>Option 1</w:t>
      </w:r>
      <w:r>
        <w:t xml:space="preserve"> compared to the 2019 Regulations requires ERR to assess greater volumes of information, including more detailed risk assessments and a post closure plan for each of the mine. </w:t>
      </w:r>
    </w:p>
    <w:p w14:paraId="3933B180" w14:textId="2BE74593" w:rsidR="001477CB" w:rsidRDefault="001477CB" w:rsidP="001477CB">
      <w:r>
        <w:t xml:space="preserve">In terms of timing, the bulk of ERR’s work (and costs) under </w:t>
      </w:r>
      <w:r w:rsidR="00F24E65">
        <w:t>Option 1</w:t>
      </w:r>
      <w:r>
        <w:t xml:space="preserve"> would be expected to occur at the initial point of DMRP approval, with the possibility of further costs arising in the situation that a variation is submitted by a licensee. </w:t>
      </w:r>
    </w:p>
    <w:p w14:paraId="21F8F63C" w14:textId="2A798C73" w:rsidR="00E07E5A" w:rsidRDefault="00E07E5A" w:rsidP="00E07E5A">
      <w:pPr>
        <w:pStyle w:val="Heading7"/>
      </w:pPr>
      <w:r>
        <w:t>Monitoring rehabilitation carried out under the DMRP</w:t>
      </w:r>
    </w:p>
    <w:p w14:paraId="140DEDB9" w14:textId="3D5061C6" w:rsidR="00E07E5A" w:rsidRPr="00E07E5A" w:rsidRDefault="00BD2EDD" w:rsidP="00E07E5A">
      <w:r w:rsidRPr="00FC26C9">
        <w:t xml:space="preserve">Reporting </w:t>
      </w:r>
      <w:r>
        <w:t xml:space="preserve">obligations under </w:t>
      </w:r>
      <w:r w:rsidR="00F24E65">
        <w:t>Option 1</w:t>
      </w:r>
      <w:r>
        <w:t xml:space="preserve"> would be the same as under the base case. As such, </w:t>
      </w:r>
      <w:r w:rsidR="00A1139B">
        <w:t xml:space="preserve">the cost to government is expected to </w:t>
      </w:r>
      <w:r w:rsidR="00465FC4">
        <w:t xml:space="preserve">be </w:t>
      </w:r>
      <w:r w:rsidR="00E4096C">
        <w:t>the same as</w:t>
      </w:r>
      <w:r w:rsidR="00A1139B">
        <w:t xml:space="preserve"> the base case for this component.</w:t>
      </w:r>
    </w:p>
    <w:p w14:paraId="0F2D5E69" w14:textId="3A544277" w:rsidR="001477CB" w:rsidRDefault="00F24E65" w:rsidP="003F70FF">
      <w:pPr>
        <w:pStyle w:val="Heading6"/>
      </w:pPr>
      <w:r>
        <w:lastRenderedPageBreak/>
        <w:t>Option 2</w:t>
      </w:r>
    </w:p>
    <w:p w14:paraId="0594B0F6" w14:textId="395698C2" w:rsidR="00E4096C" w:rsidRDefault="00E4096C" w:rsidP="006B33C5">
      <w:pPr>
        <w:tabs>
          <w:tab w:val="left" w:pos="1307"/>
        </w:tabs>
      </w:pPr>
      <w:r>
        <w:t xml:space="preserve">Overall, </w:t>
      </w:r>
      <w:r w:rsidR="00F24E65">
        <w:t>Option 2</w:t>
      </w:r>
      <w:r>
        <w:t xml:space="preserve"> results in higher costs to government than the base case, because this option </w:t>
      </w:r>
      <w:r w:rsidRPr="0051672E">
        <w:t>require</w:t>
      </w:r>
      <w:r>
        <w:t>s additional information compared to the base case, which requires ERR to assess greater volumes of information, including more detailed risk assessments and a post closure plan for each of the mine</w:t>
      </w:r>
      <w:r w:rsidR="008C2B54">
        <w:t>s</w:t>
      </w:r>
      <w:r>
        <w:t xml:space="preserve">. </w:t>
      </w:r>
      <w:r w:rsidR="003F2222">
        <w:t xml:space="preserve">In addition, the need for ongoing involvement and monitoring by </w:t>
      </w:r>
      <w:r w:rsidR="00091955">
        <w:t>operators</w:t>
      </w:r>
      <w:r w:rsidR="003F2222">
        <w:t xml:space="preserve"> increases cost for </w:t>
      </w:r>
      <w:r w:rsidR="00091955">
        <w:t>industry</w:t>
      </w:r>
      <w:r w:rsidR="003F2222">
        <w:t xml:space="preserve"> under </w:t>
      </w:r>
      <w:r w:rsidR="00F24E65">
        <w:t>Option 2</w:t>
      </w:r>
      <w:r w:rsidR="003F2222">
        <w:t xml:space="preserve"> compared to </w:t>
      </w:r>
      <w:r w:rsidR="00F24E65">
        <w:t>Option 1</w:t>
      </w:r>
      <w:r w:rsidR="003F2222">
        <w:t xml:space="preserve">. </w:t>
      </w:r>
      <w:r>
        <w:t>As such, it has been scored somewhat negative (-</w:t>
      </w:r>
      <w:r w:rsidR="00B2566F">
        <w:t>2</w:t>
      </w:r>
      <w:r>
        <w:t>) compared to the base case.</w:t>
      </w:r>
    </w:p>
    <w:p w14:paraId="4B46C3DF" w14:textId="7E76FE94" w:rsidR="00E4096C" w:rsidRDefault="005B52C3" w:rsidP="006B33C5">
      <w:pPr>
        <w:pStyle w:val="Heading7"/>
      </w:pPr>
      <w:r>
        <w:t>Assessment and approval of DMRPs</w:t>
      </w:r>
    </w:p>
    <w:p w14:paraId="27D10F9E" w14:textId="599C5BC3" w:rsidR="00E47590" w:rsidRDefault="000B0002" w:rsidP="000B0002">
      <w:r>
        <w:t xml:space="preserve">The timing and cost to government would differ under </w:t>
      </w:r>
      <w:r w:rsidR="00F24E65">
        <w:t>Option 2</w:t>
      </w:r>
      <w:r>
        <w:t xml:space="preserve"> compared with </w:t>
      </w:r>
      <w:r w:rsidR="008C2B54">
        <w:t xml:space="preserve">both </w:t>
      </w:r>
      <w:r>
        <w:t xml:space="preserve">the base case and </w:t>
      </w:r>
      <w:r w:rsidR="00F24E65">
        <w:t>Option 1</w:t>
      </w:r>
      <w:r>
        <w:t xml:space="preserve">. This is due to the iterative approach to rehabilitation planning adopted in </w:t>
      </w:r>
      <w:r w:rsidR="00F24E65">
        <w:t>Option 2</w:t>
      </w:r>
      <w:r>
        <w:t xml:space="preserve">. </w:t>
      </w:r>
      <w:r w:rsidR="00A52A87">
        <w:t xml:space="preserve">Under </w:t>
      </w:r>
      <w:r w:rsidR="00F24E65">
        <w:t>Option 2</w:t>
      </w:r>
      <w:r w:rsidR="00A52A87">
        <w:t>, assessment and approval of DMRPs occurs over a number of stages:</w:t>
      </w:r>
    </w:p>
    <w:p w14:paraId="037D4485" w14:textId="542BC1BF" w:rsidR="00A52A87" w:rsidRDefault="00A52A87" w:rsidP="00A52A87">
      <w:pPr>
        <w:pStyle w:val="dotpoints"/>
      </w:pPr>
      <w:r>
        <w:t>Initial plan approval</w:t>
      </w:r>
    </w:p>
    <w:p w14:paraId="2DB48D16" w14:textId="23FDB351" w:rsidR="00A52A87" w:rsidRDefault="00A52A87" w:rsidP="00A52A87">
      <w:pPr>
        <w:pStyle w:val="dotpoints"/>
      </w:pPr>
      <w:r>
        <w:t>Regular review</w:t>
      </w:r>
      <w:r w:rsidR="000B0002">
        <w:t xml:space="preserve"> </w:t>
      </w:r>
    </w:p>
    <w:p w14:paraId="56D4F068" w14:textId="4A2F1E2C" w:rsidR="00277576" w:rsidRDefault="00277576" w:rsidP="007E505F">
      <w:r>
        <w:t xml:space="preserve">Overall, the assessment and approval of DMRPs under </w:t>
      </w:r>
      <w:r w:rsidR="00F24E65">
        <w:t>Option 2</w:t>
      </w:r>
      <w:r w:rsidR="00D70A2E">
        <w:t xml:space="preserve"> results in higher costs to government than the base case, due to the additional information contained in DMRPs, and the </w:t>
      </w:r>
      <w:r w:rsidR="0035494C">
        <w:t>annual</w:t>
      </w:r>
      <w:r w:rsidR="00D70A2E">
        <w:t xml:space="preserve"> review</w:t>
      </w:r>
      <w:r w:rsidR="00EB5EB3">
        <w:t xml:space="preserve"> of</w:t>
      </w:r>
      <w:r w:rsidR="00A05126">
        <w:t xml:space="preserve"> rehabilitation and post-closure risk identified in the</w:t>
      </w:r>
      <w:r w:rsidR="00EB5EB3">
        <w:t xml:space="preserve"> DMRPs.</w:t>
      </w:r>
    </w:p>
    <w:p w14:paraId="2B4CF97F" w14:textId="3C9C15C9" w:rsidR="00E47590" w:rsidRDefault="00E47590" w:rsidP="006B33C5">
      <w:pPr>
        <w:pStyle w:val="Heading8"/>
      </w:pPr>
      <w:r>
        <w:t>Initial plan approval</w:t>
      </w:r>
    </w:p>
    <w:p w14:paraId="5A8B8CA1" w14:textId="0CA553B5" w:rsidR="001477CB" w:rsidRDefault="001477CB" w:rsidP="001477CB">
      <w:r>
        <w:t xml:space="preserve">Under </w:t>
      </w:r>
      <w:r w:rsidR="00F24E65">
        <w:t>Option 2</w:t>
      </w:r>
      <w:r>
        <w:t>, the DMRP approval decision requires ERR to assess the plan against the prescribed</w:t>
      </w:r>
      <w:r w:rsidR="008F4611">
        <w:t xml:space="preserve"> matters</w:t>
      </w:r>
      <w:r>
        <w:t xml:space="preserve"> , and also take into account the list of prescribed considerations. The DMRP, when submitted, may not describe all the activities required to rehabilitate the land, but will include a plan for filling any knowledge gaps.</w:t>
      </w:r>
    </w:p>
    <w:p w14:paraId="369ED5F4" w14:textId="50ED71EE" w:rsidR="001477CB" w:rsidRDefault="00F24E65" w:rsidP="001477CB">
      <w:r>
        <w:t>Option 2</w:t>
      </w:r>
      <w:r w:rsidR="001477CB">
        <w:t xml:space="preserve"> requires the same increase in detail and coverage under the DMRP compared </w:t>
      </w:r>
      <w:r>
        <w:t>Option 1</w:t>
      </w:r>
      <w:r w:rsidR="001477CB">
        <w:t xml:space="preserve"> and is considered, as a starting point, to impose </w:t>
      </w:r>
      <w:r w:rsidR="003452DA">
        <w:t>a similar</w:t>
      </w:r>
      <w:r w:rsidR="001477CB">
        <w:t xml:space="preserve"> level of increase to government costs</w:t>
      </w:r>
      <w:r w:rsidR="002D144A">
        <w:t xml:space="preserve"> compared to the base case</w:t>
      </w:r>
      <w:r w:rsidR="001477CB">
        <w:t>.</w:t>
      </w:r>
    </w:p>
    <w:p w14:paraId="0682C6D7" w14:textId="010E2021" w:rsidR="001477CB" w:rsidRDefault="001477CB" w:rsidP="001477CB">
      <w:r>
        <w:t xml:space="preserve">The </w:t>
      </w:r>
      <w:r w:rsidR="002D144A">
        <w:t xml:space="preserve">requirement </w:t>
      </w:r>
      <w:r>
        <w:t xml:space="preserve">for ERR to assess plans against </w:t>
      </w:r>
      <w:r w:rsidR="000F6865">
        <w:t>prescribed matters</w:t>
      </w:r>
      <w:r>
        <w:t xml:space="preserve"> rather than against a defined rehabilitation outcome may impact further on the costs involved in the approval process, particularly in the short-term, as ERR </w:t>
      </w:r>
      <w:r w:rsidR="002D144A">
        <w:t xml:space="preserve">adjusts </w:t>
      </w:r>
      <w:r>
        <w:t xml:space="preserve">to a </w:t>
      </w:r>
      <w:r w:rsidR="00C92669">
        <w:t>developing</w:t>
      </w:r>
      <w:r>
        <w:t xml:space="preserve"> assessment approach. As noted in the ‘cost to industry’ assessment above, there is a risk of ambiguity in a</w:t>
      </w:r>
      <w:r w:rsidR="006554DE">
        <w:t>n iterative</w:t>
      </w:r>
      <w:r>
        <w:t xml:space="preserve"> approach, especially given that the change from a </w:t>
      </w:r>
      <w:r w:rsidR="00467BD3">
        <w:t>post mining land use</w:t>
      </w:r>
      <w:r>
        <w:t xml:space="preserve">-based outcome to a more agnostic outcome is a significant change in the regulatory approach to rehabilitation planning in Victoria. As a result, ERR would likely need to issue guidance to the licensees as to its expectations under the new approach, whether through correspondence with each of the mines or by developing formal guidelines for publication. This would entail higher costs for government under </w:t>
      </w:r>
      <w:r w:rsidR="00F24E65">
        <w:t>Option 2</w:t>
      </w:r>
      <w:r>
        <w:t xml:space="preserve"> than under </w:t>
      </w:r>
      <w:r w:rsidR="00F24E65">
        <w:t>Option 1</w:t>
      </w:r>
      <w:r>
        <w:t xml:space="preserve">.  </w:t>
      </w:r>
    </w:p>
    <w:p w14:paraId="05777A3B" w14:textId="3EF70349" w:rsidR="001477CB" w:rsidRDefault="001477CB" w:rsidP="001477CB">
      <w:r>
        <w:t xml:space="preserve">The level of effort involved in ERR’s initial assessment </w:t>
      </w:r>
      <w:r w:rsidR="000421A0">
        <w:t xml:space="preserve">of </w:t>
      </w:r>
      <w:r>
        <w:t xml:space="preserve">the DMRP would </w:t>
      </w:r>
      <w:r w:rsidR="002E16D9">
        <w:t xml:space="preserve">also </w:t>
      </w:r>
      <w:r>
        <w:t xml:space="preserve">depend on how complete the plan is, but it is assumed for the purpose of this analysis that any DMRP submitted under </w:t>
      </w:r>
      <w:r w:rsidR="00F24E65">
        <w:t>Option 2</w:t>
      </w:r>
      <w:r>
        <w:t xml:space="preserve"> would be at least somewhat less detailed than under </w:t>
      </w:r>
      <w:r w:rsidR="00F24E65">
        <w:t>Option 1</w:t>
      </w:r>
      <w:r>
        <w:t xml:space="preserve">, as two of the mines are still operational and would be in the process of actively developing rehabilitation plans. The DMRP submitted for Hazelwood is likely to be relatively more detailed, as it has already </w:t>
      </w:r>
      <w:r w:rsidR="003A65FD">
        <w:t xml:space="preserve">ceased operations </w:t>
      </w:r>
      <w:r>
        <w:t>and is</w:t>
      </w:r>
      <w:r w:rsidR="00BC0147">
        <w:t xml:space="preserve"> working towards closure and relinquishment</w:t>
      </w:r>
      <w:r>
        <w:t>.</w:t>
      </w:r>
      <w:r w:rsidR="00AD4D50">
        <w:t xml:space="preserve"> </w:t>
      </w:r>
      <w:r w:rsidR="00DB771D">
        <w:t>Th</w:t>
      </w:r>
      <w:r w:rsidR="000B72D4">
        <w:t>e iterative approach under Option 2</w:t>
      </w:r>
      <w:r w:rsidR="00DB771D">
        <w:t xml:space="preserve"> may reduce the level of effort required by ERR to undertake the initial assessment of the DMRP, compared to assessing a more complete plan under </w:t>
      </w:r>
      <w:r w:rsidR="00F24E65">
        <w:t>Option 1</w:t>
      </w:r>
      <w:r w:rsidR="00DB771D">
        <w:t xml:space="preserve">. </w:t>
      </w:r>
      <w:r w:rsidR="00395337">
        <w:t>On balance, however, this is unlikely to offset the additional cost of assessing plans against</w:t>
      </w:r>
      <w:r w:rsidR="00ED314E">
        <w:t xml:space="preserve"> </w:t>
      </w:r>
      <w:r w:rsidR="007E2972">
        <w:t>prescribed matters</w:t>
      </w:r>
      <w:r w:rsidR="00D35FFF">
        <w:t xml:space="preserve"> noted above.</w:t>
      </w:r>
    </w:p>
    <w:p w14:paraId="5C638E34" w14:textId="77777777" w:rsidR="000B0002" w:rsidRDefault="000B0002" w:rsidP="000B0002">
      <w:pPr>
        <w:pStyle w:val="Heading8"/>
      </w:pPr>
      <w:bookmarkStart w:id="334" w:name="_Hlk97541475"/>
      <w:r>
        <w:t>Regular review</w:t>
      </w:r>
    </w:p>
    <w:p w14:paraId="0C9C1F25" w14:textId="38F8A1AA" w:rsidR="000B0002" w:rsidRDefault="00D35FFF" w:rsidP="001477CB">
      <w:r>
        <w:t xml:space="preserve">Under </w:t>
      </w:r>
      <w:r w:rsidR="00F24E65">
        <w:t>Option 2</w:t>
      </w:r>
      <w:r>
        <w:t xml:space="preserve">, </w:t>
      </w:r>
      <w:r w:rsidR="001C37D2">
        <w:t>the operator</w:t>
      </w:r>
      <w:r>
        <w:t xml:space="preserve"> is also required to undertake a</w:t>
      </w:r>
      <w:r w:rsidR="00BB1884">
        <w:t>n annual</w:t>
      </w:r>
      <w:r>
        <w:t xml:space="preserve"> review of </w:t>
      </w:r>
      <w:r w:rsidR="00BB1884">
        <w:t xml:space="preserve">the rehabilitation and post-closure management risks identified in the </w:t>
      </w:r>
      <w:r w:rsidR="002F64A7">
        <w:t xml:space="preserve">DMRPs, which is in addition to requirements either under the base case or </w:t>
      </w:r>
      <w:r w:rsidR="00F24E65">
        <w:t>Option 1</w:t>
      </w:r>
      <w:r w:rsidR="002F64A7">
        <w:t xml:space="preserve">. </w:t>
      </w:r>
    </w:p>
    <w:p w14:paraId="041DA434" w14:textId="4A0823F2" w:rsidR="00BC476B" w:rsidRDefault="001477CB" w:rsidP="00F14186">
      <w:r>
        <w:t xml:space="preserve">The </w:t>
      </w:r>
      <w:r w:rsidR="00195A80">
        <w:t>annual</w:t>
      </w:r>
      <w:r>
        <w:t xml:space="preserve"> review would entail a ‘light touch’ approach, focussed on assessing whether identified knowledge gaps have been, or are being filled, and monitoring the progress of </w:t>
      </w:r>
      <w:r w:rsidR="00BC396A">
        <w:t>risk management activities</w:t>
      </w:r>
      <w:r>
        <w:t xml:space="preserve">. However, towards the point of closure, the review may become more intensive as the mine </w:t>
      </w:r>
      <w:r w:rsidR="001B5430">
        <w:t>moves into</w:t>
      </w:r>
      <w:r>
        <w:t xml:space="preserve"> the final rehabilitation stage of its life cycle. The need for ongoing </w:t>
      </w:r>
      <w:r w:rsidR="007E4495">
        <w:t>reviews</w:t>
      </w:r>
      <w:r>
        <w:t xml:space="preserve"> by </w:t>
      </w:r>
      <w:r w:rsidR="007E4495">
        <w:t>operators</w:t>
      </w:r>
      <w:r>
        <w:t xml:space="preserve"> increases cost for </w:t>
      </w:r>
      <w:r w:rsidR="007E4495">
        <w:t>industry</w:t>
      </w:r>
      <w:r>
        <w:t xml:space="preserve"> under </w:t>
      </w:r>
      <w:r w:rsidR="00F24E65">
        <w:t>Option 2</w:t>
      </w:r>
      <w:r>
        <w:t xml:space="preserve"> compared to </w:t>
      </w:r>
      <w:r w:rsidR="00F24E65">
        <w:t>Option 1</w:t>
      </w:r>
      <w:r w:rsidR="002F64A7">
        <w:t xml:space="preserve"> and the base case</w:t>
      </w:r>
      <w:r>
        <w:t xml:space="preserve">. On the other hand, the </w:t>
      </w:r>
      <w:r w:rsidR="007206D9">
        <w:t>annual review</w:t>
      </w:r>
      <w:r>
        <w:t xml:space="preserve"> allows for knowledge-building amongst </w:t>
      </w:r>
      <w:r w:rsidR="007206D9">
        <w:t>operator</w:t>
      </w:r>
      <w:r>
        <w:t xml:space="preserve"> staff, both generally and in relation to the specific mines</w:t>
      </w:r>
      <w:r w:rsidR="002F64A7">
        <w:t xml:space="preserve">, which may increase the efficiency </w:t>
      </w:r>
      <w:r w:rsidR="00277576">
        <w:t xml:space="preserve">of </w:t>
      </w:r>
      <w:r w:rsidR="007206D9">
        <w:t>operators</w:t>
      </w:r>
      <w:r w:rsidR="00277576">
        <w:t xml:space="preserve"> in undertaking reviews</w:t>
      </w:r>
      <w:r>
        <w:t>. This cost reduction is not considered likely to outweigh the additional costs involved in the ongoing program of review.</w:t>
      </w:r>
      <w:bookmarkEnd w:id="334"/>
      <w:r>
        <w:t xml:space="preserve"> </w:t>
      </w:r>
    </w:p>
    <w:p w14:paraId="18B24CCF" w14:textId="77777777" w:rsidR="003A119D" w:rsidRDefault="003A119D" w:rsidP="003A119D">
      <w:pPr>
        <w:pStyle w:val="Heading7"/>
      </w:pPr>
      <w:r>
        <w:lastRenderedPageBreak/>
        <w:t>Monitoring rehabilitation carried out under the DMRP</w:t>
      </w:r>
    </w:p>
    <w:p w14:paraId="1838DBC4" w14:textId="77777777" w:rsidR="003A119D" w:rsidRPr="00BE23D0" w:rsidRDefault="003A119D" w:rsidP="003A119D">
      <w:r>
        <w:t xml:space="preserve">In addition to the annual reporting obligations set out in the Act, under Option 2, declared mine licensees’ annual reports would be required to include: </w:t>
      </w:r>
    </w:p>
    <w:p w14:paraId="5853AE91" w14:textId="777A3EFD" w:rsidR="003A119D" w:rsidRDefault="386C82E9" w:rsidP="5CF0E88B">
      <w:pPr>
        <w:pStyle w:val="ListParagraph"/>
        <w:numPr>
          <w:ilvl w:val="0"/>
          <w:numId w:val="31"/>
        </w:numPr>
        <w:spacing w:after="60"/>
        <w:ind w:left="426" w:hanging="357"/>
        <w:rPr>
          <w:rFonts w:asciiTheme="minorHAnsi" w:hAnsiTheme="minorHAnsi" w:cstheme="minorBidi"/>
          <w:sz w:val="18"/>
          <w:szCs w:val="18"/>
        </w:rPr>
      </w:pPr>
      <w:r w:rsidRPr="5CF0E88B">
        <w:rPr>
          <w:rFonts w:asciiTheme="minorHAnsi" w:hAnsiTheme="minorHAnsi" w:cstheme="minorBidi"/>
          <w:sz w:val="18"/>
          <w:szCs w:val="18"/>
        </w:rPr>
        <w:t>research undertaken over the year</w:t>
      </w:r>
      <w:r w:rsidR="000B3C85">
        <w:rPr>
          <w:rFonts w:asciiTheme="minorHAnsi" w:hAnsiTheme="minorHAnsi" w:cstheme="minorBidi"/>
          <w:sz w:val="18"/>
          <w:szCs w:val="18"/>
        </w:rPr>
        <w:t>;</w:t>
      </w:r>
    </w:p>
    <w:p w14:paraId="1D5CCBA4" w14:textId="1C65E7B7" w:rsidR="003A119D" w:rsidRDefault="386C82E9" w:rsidP="5CF0E88B">
      <w:pPr>
        <w:pStyle w:val="ListParagraph"/>
        <w:numPr>
          <w:ilvl w:val="0"/>
          <w:numId w:val="31"/>
        </w:numPr>
        <w:spacing w:after="60"/>
        <w:ind w:left="426" w:hanging="357"/>
        <w:rPr>
          <w:rFonts w:asciiTheme="minorHAnsi" w:hAnsiTheme="minorHAnsi" w:cstheme="minorBidi"/>
          <w:sz w:val="18"/>
          <w:szCs w:val="18"/>
        </w:rPr>
      </w:pPr>
      <w:r w:rsidRPr="5CF0E88B">
        <w:rPr>
          <w:rFonts w:asciiTheme="minorHAnsi" w:hAnsiTheme="minorHAnsi" w:cstheme="minorBidi"/>
          <w:sz w:val="18"/>
          <w:szCs w:val="18"/>
        </w:rPr>
        <w:t>updated site status information</w:t>
      </w:r>
      <w:r w:rsidR="000B3C85">
        <w:rPr>
          <w:rFonts w:asciiTheme="minorHAnsi" w:hAnsiTheme="minorHAnsi" w:cstheme="minorBidi"/>
          <w:sz w:val="18"/>
          <w:szCs w:val="18"/>
        </w:rPr>
        <w:t>;</w:t>
      </w:r>
    </w:p>
    <w:p w14:paraId="0BFD19B0" w14:textId="4ADA23C5" w:rsidR="003A119D" w:rsidRDefault="386C82E9" w:rsidP="5CF0E88B">
      <w:pPr>
        <w:pStyle w:val="ListParagraph"/>
        <w:numPr>
          <w:ilvl w:val="0"/>
          <w:numId w:val="31"/>
        </w:numPr>
        <w:spacing w:after="60"/>
        <w:ind w:left="426" w:hanging="357"/>
        <w:rPr>
          <w:rFonts w:asciiTheme="minorHAnsi" w:hAnsiTheme="minorHAnsi" w:cstheme="minorBidi"/>
          <w:sz w:val="18"/>
          <w:szCs w:val="18"/>
        </w:rPr>
      </w:pPr>
      <w:r w:rsidRPr="5CF0E88B">
        <w:rPr>
          <w:rFonts w:asciiTheme="minorHAnsi" w:hAnsiTheme="minorHAnsi" w:cstheme="minorBidi"/>
          <w:sz w:val="18"/>
          <w:szCs w:val="18"/>
        </w:rPr>
        <w:t>an update on the development of the rehabilitation plan (i.e., a description of progress made in adding detail to the plan)</w:t>
      </w:r>
      <w:r w:rsidR="000B3C85">
        <w:rPr>
          <w:rFonts w:asciiTheme="minorHAnsi" w:hAnsiTheme="minorHAnsi" w:cstheme="minorBidi"/>
          <w:sz w:val="18"/>
          <w:szCs w:val="18"/>
        </w:rPr>
        <w:t>;</w:t>
      </w:r>
    </w:p>
    <w:p w14:paraId="07CF36E1" w14:textId="3615BB0B" w:rsidR="003A119D" w:rsidRDefault="386C82E9" w:rsidP="5CF0E88B">
      <w:pPr>
        <w:pStyle w:val="ListParagraph"/>
        <w:numPr>
          <w:ilvl w:val="0"/>
          <w:numId w:val="31"/>
        </w:numPr>
        <w:spacing w:after="60"/>
        <w:ind w:left="426" w:hanging="357"/>
        <w:rPr>
          <w:rFonts w:asciiTheme="minorHAnsi" w:hAnsiTheme="minorHAnsi" w:cstheme="minorBidi"/>
          <w:sz w:val="18"/>
          <w:szCs w:val="18"/>
        </w:rPr>
      </w:pPr>
      <w:r w:rsidRPr="5CF0E88B">
        <w:rPr>
          <w:rFonts w:asciiTheme="minorHAnsi" w:hAnsiTheme="minorHAnsi" w:cstheme="minorBidi"/>
          <w:sz w:val="18"/>
          <w:szCs w:val="18"/>
        </w:rPr>
        <w:t>rehabilitation activities and progress against rehabilitation milestones</w:t>
      </w:r>
      <w:r w:rsidR="000B3C85">
        <w:rPr>
          <w:rFonts w:asciiTheme="minorHAnsi" w:hAnsiTheme="minorHAnsi" w:cstheme="minorBidi"/>
          <w:sz w:val="18"/>
          <w:szCs w:val="18"/>
        </w:rPr>
        <w:t>; and</w:t>
      </w:r>
    </w:p>
    <w:p w14:paraId="33790339" w14:textId="2C42AB56" w:rsidR="003A119D" w:rsidRDefault="386C82E9" w:rsidP="5CF0E88B">
      <w:pPr>
        <w:pStyle w:val="ListParagraph"/>
        <w:numPr>
          <w:ilvl w:val="0"/>
          <w:numId w:val="31"/>
        </w:numPr>
        <w:spacing w:after="60"/>
        <w:ind w:left="426" w:hanging="357"/>
        <w:rPr>
          <w:rFonts w:asciiTheme="minorHAnsi" w:hAnsiTheme="minorHAnsi" w:cstheme="minorBidi"/>
          <w:sz w:val="18"/>
          <w:szCs w:val="18"/>
        </w:rPr>
      </w:pPr>
      <w:r w:rsidRPr="5CF0E88B">
        <w:rPr>
          <w:rFonts w:asciiTheme="minorHAnsi" w:hAnsiTheme="minorHAnsi" w:cstheme="minorBidi"/>
          <w:sz w:val="18"/>
          <w:szCs w:val="18"/>
        </w:rPr>
        <w:t xml:space="preserve">an updated estimate of the rehabilitation liability for the mine site and the net change in the estimated rehabilitation liability of the mine. </w:t>
      </w:r>
    </w:p>
    <w:p w14:paraId="4947C252" w14:textId="5F5EDEA3" w:rsidR="003A119D" w:rsidRDefault="003A119D" w:rsidP="00F14186">
      <w:r>
        <w:t xml:space="preserve">As such, the cost to government is expected to be slightly higher than the base case for this component. It would also be higher than </w:t>
      </w:r>
      <w:r w:rsidR="00F24E65">
        <w:t>Option 1</w:t>
      </w:r>
      <w:r>
        <w:t>, as there is additional information ERR would need to review.</w:t>
      </w:r>
    </w:p>
    <w:p w14:paraId="0641560A" w14:textId="4ABDCDCE" w:rsidR="00BE37A3" w:rsidRDefault="00BE37A3" w:rsidP="003F70FF">
      <w:pPr>
        <w:pStyle w:val="Heading6"/>
      </w:pPr>
      <w:r>
        <w:t>Cost to government scores</w:t>
      </w:r>
    </w:p>
    <w:p w14:paraId="1E5BA110" w14:textId="44CF1F09" w:rsidR="003363DE" w:rsidRPr="0051672E" w:rsidRDefault="00E421EB" w:rsidP="001477CB">
      <w:pPr>
        <w:tabs>
          <w:tab w:val="left" w:pos="1307"/>
        </w:tabs>
        <w:rPr>
          <w:b/>
          <w:bCs/>
          <w:highlight w:val="yellow"/>
        </w:rPr>
      </w:pPr>
      <w:r>
        <w:fldChar w:fldCharType="begin"/>
      </w:r>
      <w:r>
        <w:instrText xml:space="preserve"> REF _Ref56503112 \h </w:instrText>
      </w:r>
      <w:r>
        <w:fldChar w:fldCharType="separate"/>
      </w:r>
      <w:r w:rsidR="000B3BF6">
        <w:t xml:space="preserve">Table </w:t>
      </w:r>
      <w:r w:rsidR="000B3BF6">
        <w:rPr>
          <w:noProof/>
        </w:rPr>
        <w:t>12</w:t>
      </w:r>
      <w:r>
        <w:fldChar w:fldCharType="end"/>
      </w:r>
      <w:r>
        <w:t xml:space="preserve"> </w:t>
      </w:r>
      <w:r w:rsidR="001477CB">
        <w:t xml:space="preserve">sets out the scores allocated to </w:t>
      </w:r>
      <w:r w:rsidR="00F24E65">
        <w:t>Option 1</w:t>
      </w:r>
      <w:r w:rsidR="001477CB">
        <w:t xml:space="preserve"> and </w:t>
      </w:r>
      <w:r w:rsidR="00F24E65">
        <w:t>Option 2</w:t>
      </w:r>
      <w:r w:rsidR="001477CB">
        <w:t xml:space="preserve"> in relation to the cost to </w:t>
      </w:r>
      <w:r>
        <w:t>government</w:t>
      </w:r>
      <w:r w:rsidR="001477CB">
        <w:t xml:space="preserve"> criterion. </w:t>
      </w:r>
      <w:r w:rsidR="001477CB" w:rsidRPr="0051672E">
        <w:t>Both options impose higher costs than the base case</w:t>
      </w:r>
      <w:r w:rsidR="0051672E" w:rsidRPr="0051672E">
        <w:t xml:space="preserve"> because they require</w:t>
      </w:r>
      <w:r w:rsidR="0051672E">
        <w:t xml:space="preserve"> additional information compared to the base case, which requires ERR to assess greater volumes of information, including more detailed risk assessments and a post closure plan for each of the mine.</w:t>
      </w:r>
      <w:r w:rsidR="0051672E">
        <w:rPr>
          <w:b/>
          <w:bCs/>
        </w:rPr>
        <w:t xml:space="preserve"> </w:t>
      </w:r>
      <w:r w:rsidR="003363DE">
        <w:t xml:space="preserve">The need for ongoing involvement and monitoring by ERR increases </w:t>
      </w:r>
      <w:r w:rsidR="00EB5EB3">
        <w:t xml:space="preserve">the relative </w:t>
      </w:r>
      <w:r w:rsidR="003363DE">
        <w:t xml:space="preserve">cost for government under </w:t>
      </w:r>
      <w:r w:rsidR="00F24E65">
        <w:t>Option 2</w:t>
      </w:r>
      <w:r w:rsidR="003363DE">
        <w:t xml:space="preserve"> compared to </w:t>
      </w:r>
      <w:r w:rsidR="00F24E65">
        <w:t>Option 1</w:t>
      </w:r>
      <w:r w:rsidR="00EB5EB3">
        <w:t>.</w:t>
      </w:r>
    </w:p>
    <w:p w14:paraId="1724A02D" w14:textId="6BDBF2F2" w:rsidR="00BE37A3" w:rsidRDefault="00BE37A3" w:rsidP="00BE37A3">
      <w:pPr>
        <w:pStyle w:val="Caption"/>
      </w:pPr>
      <w:bookmarkStart w:id="335" w:name="_Ref56503112"/>
      <w:bookmarkStart w:id="336" w:name="_Toc104217628"/>
      <w:r>
        <w:t xml:space="preserve">Table </w:t>
      </w:r>
      <w:r>
        <w:fldChar w:fldCharType="begin"/>
      </w:r>
      <w:r>
        <w:instrText>SEQ Table \* ARABIC</w:instrText>
      </w:r>
      <w:r>
        <w:fldChar w:fldCharType="separate"/>
      </w:r>
      <w:r w:rsidR="000B3BF6">
        <w:rPr>
          <w:noProof/>
        </w:rPr>
        <w:t>12</w:t>
      </w:r>
      <w:r>
        <w:fldChar w:fldCharType="end"/>
      </w:r>
      <w:bookmarkEnd w:id="335"/>
      <w:r w:rsidR="006E7746">
        <w:rPr>
          <w:noProof/>
        </w:rPr>
        <w:t>:</w:t>
      </w:r>
      <w:r>
        <w:t xml:space="preserve"> Options for DMRPs - cost to government scores</w:t>
      </w:r>
      <w:bookmarkEnd w:id="336"/>
    </w:p>
    <w:tbl>
      <w:tblPr>
        <w:tblStyle w:val="TableGrid"/>
        <w:tblW w:w="5000" w:type="pct"/>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CellMar>
          <w:top w:w="28" w:type="dxa"/>
          <w:bottom w:w="28" w:type="dxa"/>
        </w:tblCellMar>
        <w:tblLook w:val="04A0" w:firstRow="1" w:lastRow="0" w:firstColumn="1" w:lastColumn="0" w:noHBand="0" w:noVBand="1"/>
        <w:tblCaption w:val="Table heading"/>
      </w:tblPr>
      <w:tblGrid>
        <w:gridCol w:w="3836"/>
        <w:gridCol w:w="1632"/>
        <w:gridCol w:w="1776"/>
        <w:gridCol w:w="1782"/>
      </w:tblGrid>
      <w:tr w:rsidR="00196008" w14:paraId="0162B145" w14:textId="77777777" w:rsidTr="000305BF">
        <w:trPr>
          <w:trHeight w:val="283"/>
          <w:tblHeader/>
        </w:trPr>
        <w:tc>
          <w:tcPr>
            <w:tcW w:w="2125" w:type="pct"/>
            <w:shd w:val="clear" w:color="auto" w:fill="1B0B38"/>
            <w:vAlign w:val="center"/>
          </w:tcPr>
          <w:p w14:paraId="6528714C" w14:textId="77777777" w:rsidR="00466024" w:rsidRPr="00BA70A6" w:rsidRDefault="00466024" w:rsidP="008E75CA">
            <w:pPr>
              <w:spacing w:before="0"/>
              <w:jc w:val="center"/>
              <w:rPr>
                <w:rStyle w:val="Strong"/>
                <w:color w:val="FFFFFF" w:themeColor="background1"/>
              </w:rPr>
            </w:pPr>
            <w:r>
              <w:rPr>
                <w:rStyle w:val="Strong"/>
                <w:color w:val="FFFFFF" w:themeColor="background1"/>
              </w:rPr>
              <w:t>Option</w:t>
            </w:r>
          </w:p>
        </w:tc>
        <w:tc>
          <w:tcPr>
            <w:tcW w:w="904" w:type="pct"/>
            <w:shd w:val="clear" w:color="auto" w:fill="1B0B38"/>
            <w:vAlign w:val="center"/>
          </w:tcPr>
          <w:p w14:paraId="5B8F6B7E" w14:textId="77777777" w:rsidR="00466024" w:rsidRDefault="00466024" w:rsidP="008E75CA">
            <w:pPr>
              <w:spacing w:before="0"/>
              <w:jc w:val="center"/>
              <w:rPr>
                <w:rStyle w:val="Strong"/>
                <w:color w:val="FFFFFF" w:themeColor="background1"/>
              </w:rPr>
            </w:pPr>
            <w:r>
              <w:rPr>
                <w:rStyle w:val="Strong"/>
                <w:color w:val="FFFFFF" w:themeColor="background1"/>
              </w:rPr>
              <w:t>W</w:t>
            </w:r>
            <w:r w:rsidRPr="0074315C">
              <w:rPr>
                <w:rStyle w:val="Strong"/>
                <w:color w:val="FFFFFF" w:themeColor="background1"/>
              </w:rPr>
              <w:t>eighting</w:t>
            </w:r>
          </w:p>
        </w:tc>
        <w:tc>
          <w:tcPr>
            <w:tcW w:w="984" w:type="pct"/>
            <w:shd w:val="clear" w:color="auto" w:fill="1B0B38"/>
            <w:vAlign w:val="center"/>
          </w:tcPr>
          <w:p w14:paraId="281B966B" w14:textId="77777777" w:rsidR="00466024" w:rsidRPr="00BA70A6" w:rsidRDefault="00466024" w:rsidP="008E75CA">
            <w:pPr>
              <w:spacing w:before="0"/>
              <w:jc w:val="center"/>
              <w:rPr>
                <w:rStyle w:val="Strong"/>
                <w:color w:val="FFFFFF" w:themeColor="background1"/>
              </w:rPr>
            </w:pPr>
            <w:r>
              <w:rPr>
                <w:rStyle w:val="Strong"/>
                <w:color w:val="FFFFFF" w:themeColor="background1"/>
              </w:rPr>
              <w:t>Unweighted score</w:t>
            </w:r>
          </w:p>
        </w:tc>
        <w:tc>
          <w:tcPr>
            <w:tcW w:w="987" w:type="pct"/>
            <w:shd w:val="clear" w:color="auto" w:fill="1B0B38"/>
            <w:vAlign w:val="center"/>
          </w:tcPr>
          <w:p w14:paraId="456651F3" w14:textId="77777777" w:rsidR="00466024" w:rsidRDefault="00466024" w:rsidP="008E75CA">
            <w:pPr>
              <w:spacing w:before="0"/>
              <w:jc w:val="center"/>
              <w:rPr>
                <w:rStyle w:val="Strong"/>
                <w:color w:val="FFFFFF" w:themeColor="background1"/>
              </w:rPr>
            </w:pPr>
            <w:r>
              <w:rPr>
                <w:rStyle w:val="Strong"/>
                <w:color w:val="FFFFFF" w:themeColor="background1"/>
              </w:rPr>
              <w:t>W</w:t>
            </w:r>
            <w:r w:rsidRPr="0074315C">
              <w:rPr>
                <w:rStyle w:val="Strong"/>
                <w:color w:val="FFFFFF" w:themeColor="background1"/>
              </w:rPr>
              <w:t>eighted score</w:t>
            </w:r>
          </w:p>
        </w:tc>
      </w:tr>
      <w:tr w:rsidR="000305BF" w14:paraId="1911C4DD" w14:textId="77777777" w:rsidTr="000305BF">
        <w:trPr>
          <w:trHeight w:val="283"/>
        </w:trPr>
        <w:tc>
          <w:tcPr>
            <w:tcW w:w="2125" w:type="pct"/>
            <w:tcBorders>
              <w:bottom w:val="single" w:sz="4" w:space="0" w:color="1B0B38"/>
            </w:tcBorders>
            <w:vAlign w:val="center"/>
          </w:tcPr>
          <w:p w14:paraId="42375D50" w14:textId="52A22C1E" w:rsidR="000305BF" w:rsidRPr="00D51674" w:rsidRDefault="000305BF" w:rsidP="000305BF">
            <w:pPr>
              <w:spacing w:before="0"/>
            </w:pPr>
            <w:r>
              <w:t>Option 1</w:t>
            </w:r>
          </w:p>
        </w:tc>
        <w:tc>
          <w:tcPr>
            <w:tcW w:w="904" w:type="pct"/>
            <w:tcBorders>
              <w:bottom w:val="single" w:sz="4" w:space="0" w:color="1B0B38"/>
            </w:tcBorders>
            <w:vAlign w:val="center"/>
          </w:tcPr>
          <w:p w14:paraId="61039736" w14:textId="74C28FEE" w:rsidR="000305BF" w:rsidRDefault="000305BF" w:rsidP="000305BF">
            <w:pPr>
              <w:spacing w:before="0"/>
              <w:jc w:val="center"/>
            </w:pPr>
            <w:r>
              <w:rPr>
                <w:rFonts w:cs="Arial"/>
                <w:szCs w:val="18"/>
              </w:rPr>
              <w:t>25%</w:t>
            </w:r>
          </w:p>
        </w:tc>
        <w:tc>
          <w:tcPr>
            <w:tcW w:w="984" w:type="pct"/>
            <w:tcBorders>
              <w:bottom w:val="single" w:sz="4" w:space="0" w:color="1B0B38"/>
            </w:tcBorders>
            <w:vAlign w:val="center"/>
          </w:tcPr>
          <w:p w14:paraId="61CCCD0E" w14:textId="5529059B" w:rsidR="000305BF" w:rsidRPr="00D51674" w:rsidRDefault="000305BF" w:rsidP="000305BF">
            <w:pPr>
              <w:spacing w:before="0"/>
              <w:jc w:val="center"/>
            </w:pPr>
            <w:r>
              <w:t>-1</w:t>
            </w:r>
          </w:p>
        </w:tc>
        <w:tc>
          <w:tcPr>
            <w:tcW w:w="987" w:type="pct"/>
            <w:tcBorders>
              <w:bottom w:val="single" w:sz="4" w:space="0" w:color="1B0B38"/>
            </w:tcBorders>
            <w:vAlign w:val="center"/>
          </w:tcPr>
          <w:p w14:paraId="08E37525" w14:textId="671882D6" w:rsidR="000305BF" w:rsidRDefault="000305BF" w:rsidP="000305BF">
            <w:pPr>
              <w:spacing w:before="0"/>
              <w:jc w:val="center"/>
            </w:pPr>
            <w:r>
              <w:rPr>
                <w:rFonts w:cs="Arial"/>
                <w:szCs w:val="18"/>
              </w:rPr>
              <w:t>-0.25</w:t>
            </w:r>
          </w:p>
        </w:tc>
      </w:tr>
      <w:tr w:rsidR="000305BF" w14:paraId="62D27563" w14:textId="77777777" w:rsidTr="000305BF">
        <w:trPr>
          <w:trHeight w:val="283"/>
        </w:trPr>
        <w:tc>
          <w:tcPr>
            <w:tcW w:w="2125" w:type="pct"/>
            <w:tcBorders>
              <w:top w:val="single" w:sz="4" w:space="0" w:color="1B0B38"/>
              <w:bottom w:val="single" w:sz="4" w:space="0" w:color="1B0B38"/>
            </w:tcBorders>
            <w:vAlign w:val="center"/>
          </w:tcPr>
          <w:p w14:paraId="59BA2382" w14:textId="10A3E9E0" w:rsidR="000305BF" w:rsidRPr="00D8367F" w:rsidRDefault="000305BF" w:rsidP="000305BF">
            <w:pPr>
              <w:spacing w:before="0"/>
              <w:rPr>
                <w:rStyle w:val="Strong"/>
                <w:b w:val="0"/>
                <w:bCs w:val="0"/>
              </w:rPr>
            </w:pPr>
            <w:r>
              <w:rPr>
                <w:rStyle w:val="Strong"/>
                <w:b w:val="0"/>
                <w:bCs w:val="0"/>
              </w:rPr>
              <w:t>Option 2</w:t>
            </w:r>
          </w:p>
        </w:tc>
        <w:tc>
          <w:tcPr>
            <w:tcW w:w="904" w:type="pct"/>
            <w:tcBorders>
              <w:top w:val="single" w:sz="4" w:space="0" w:color="1B0B38"/>
              <w:bottom w:val="single" w:sz="4" w:space="0" w:color="1B0B38"/>
            </w:tcBorders>
            <w:vAlign w:val="center"/>
          </w:tcPr>
          <w:p w14:paraId="54F1082B" w14:textId="326042CE" w:rsidR="000305BF" w:rsidRDefault="000305BF" w:rsidP="000305BF">
            <w:pPr>
              <w:spacing w:before="0"/>
              <w:jc w:val="center"/>
              <w:rPr>
                <w:rStyle w:val="Strong"/>
                <w:b w:val="0"/>
                <w:bCs w:val="0"/>
              </w:rPr>
            </w:pPr>
            <w:r>
              <w:rPr>
                <w:szCs w:val="18"/>
              </w:rPr>
              <w:t>25%</w:t>
            </w:r>
          </w:p>
        </w:tc>
        <w:tc>
          <w:tcPr>
            <w:tcW w:w="984" w:type="pct"/>
            <w:tcBorders>
              <w:top w:val="single" w:sz="4" w:space="0" w:color="1B0B38"/>
              <w:bottom w:val="single" w:sz="4" w:space="0" w:color="1B0B38"/>
            </w:tcBorders>
            <w:vAlign w:val="center"/>
          </w:tcPr>
          <w:p w14:paraId="3DD34093" w14:textId="36C049CD" w:rsidR="000305BF" w:rsidRPr="00D8367F" w:rsidRDefault="000305BF" w:rsidP="000305BF">
            <w:pPr>
              <w:spacing w:before="0"/>
              <w:jc w:val="center"/>
              <w:rPr>
                <w:rStyle w:val="Strong"/>
                <w:b w:val="0"/>
                <w:bCs w:val="0"/>
              </w:rPr>
            </w:pPr>
            <w:r>
              <w:rPr>
                <w:rStyle w:val="Strong"/>
                <w:b w:val="0"/>
                <w:bCs w:val="0"/>
              </w:rPr>
              <w:t>-2</w:t>
            </w:r>
          </w:p>
        </w:tc>
        <w:tc>
          <w:tcPr>
            <w:tcW w:w="987" w:type="pct"/>
            <w:tcBorders>
              <w:top w:val="single" w:sz="4" w:space="0" w:color="1B0B38"/>
              <w:bottom w:val="single" w:sz="4" w:space="0" w:color="1B0B38"/>
            </w:tcBorders>
            <w:vAlign w:val="center"/>
          </w:tcPr>
          <w:p w14:paraId="6C6110E8" w14:textId="31EFA45D" w:rsidR="000305BF" w:rsidRDefault="000305BF" w:rsidP="000305BF">
            <w:pPr>
              <w:spacing w:before="0"/>
              <w:jc w:val="center"/>
              <w:rPr>
                <w:rStyle w:val="Strong"/>
                <w:b w:val="0"/>
                <w:bCs w:val="0"/>
              </w:rPr>
            </w:pPr>
            <w:r>
              <w:rPr>
                <w:szCs w:val="18"/>
              </w:rPr>
              <w:t>-0.5</w:t>
            </w:r>
          </w:p>
        </w:tc>
      </w:tr>
    </w:tbl>
    <w:p w14:paraId="2BA9D111" w14:textId="77777777" w:rsidR="00BA2B40" w:rsidRDefault="00BA2B40" w:rsidP="00BA2B40">
      <w:bookmarkStart w:id="337" w:name="_Hlk58514708"/>
    </w:p>
    <w:p w14:paraId="7566B4EF" w14:textId="67AB24A6" w:rsidR="00F14186" w:rsidRDefault="004458E7" w:rsidP="00D50C43">
      <w:pPr>
        <w:pStyle w:val="Heading2"/>
        <w:numPr>
          <w:ilvl w:val="1"/>
          <w:numId w:val="124"/>
        </w:numPr>
      </w:pPr>
      <w:bookmarkStart w:id="338" w:name="_Toc104217714"/>
      <w:r>
        <w:t>Analysis of o</w:t>
      </w:r>
      <w:r w:rsidR="00F14186" w:rsidRPr="00A35EFA">
        <w:t xml:space="preserve">ptions for </w:t>
      </w:r>
      <w:r w:rsidR="004A142F">
        <w:t>mine closure determinations</w:t>
      </w:r>
      <w:bookmarkEnd w:id="338"/>
      <w:r w:rsidR="00F14186" w:rsidRPr="00A35EFA">
        <w:t xml:space="preserve"> </w:t>
      </w:r>
    </w:p>
    <w:p w14:paraId="097F6757" w14:textId="108857D1" w:rsidR="006E7746" w:rsidRDefault="006E7746" w:rsidP="006E7746">
      <w:r>
        <w:fldChar w:fldCharType="begin"/>
      </w:r>
      <w:r>
        <w:instrText xml:space="preserve"> REF _Ref56587241 \h </w:instrText>
      </w:r>
      <w:r>
        <w:fldChar w:fldCharType="separate"/>
      </w:r>
      <w:r w:rsidR="000B3BF6">
        <w:t xml:space="preserve">Table </w:t>
      </w:r>
      <w:r w:rsidR="000B3BF6">
        <w:rPr>
          <w:noProof/>
        </w:rPr>
        <w:t>13</w:t>
      </w:r>
      <w:r>
        <w:fldChar w:fldCharType="end"/>
      </w:r>
      <w:r>
        <w:t xml:space="preserve"> summarises the key differences between the options for </w:t>
      </w:r>
      <w:r w:rsidR="00702A85">
        <w:t>mine closure determinations</w:t>
      </w:r>
      <w:r>
        <w:t>.</w:t>
      </w:r>
    </w:p>
    <w:p w14:paraId="77AC193E" w14:textId="41996E01" w:rsidR="006E7746" w:rsidRDefault="006E7746" w:rsidP="006E7746">
      <w:pPr>
        <w:pStyle w:val="Caption"/>
      </w:pPr>
      <w:bookmarkStart w:id="339" w:name="_Ref56587241"/>
      <w:bookmarkStart w:id="340" w:name="_Toc104217629"/>
      <w:r>
        <w:t xml:space="preserve">Table </w:t>
      </w:r>
      <w:r>
        <w:fldChar w:fldCharType="begin"/>
      </w:r>
      <w:r>
        <w:instrText>SEQ Table \* ARABIC</w:instrText>
      </w:r>
      <w:r>
        <w:fldChar w:fldCharType="separate"/>
      </w:r>
      <w:r w:rsidR="000B3BF6">
        <w:rPr>
          <w:noProof/>
        </w:rPr>
        <w:t>13</w:t>
      </w:r>
      <w:r>
        <w:fldChar w:fldCharType="end"/>
      </w:r>
      <w:bookmarkEnd w:id="339"/>
      <w:r>
        <w:t xml:space="preserve">: Summary of options for </w:t>
      </w:r>
      <w:r w:rsidR="007F1746">
        <w:t>mine closure determinations</w:t>
      </w:r>
      <w:bookmarkEnd w:id="340"/>
    </w:p>
    <w:tbl>
      <w:tblPr>
        <w:tblStyle w:val="TableGrid"/>
        <w:tblW w:w="5000" w:type="pct"/>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CellMar>
          <w:top w:w="28" w:type="dxa"/>
          <w:bottom w:w="28" w:type="dxa"/>
        </w:tblCellMar>
        <w:tblLook w:val="04A0" w:firstRow="1" w:lastRow="0" w:firstColumn="1" w:lastColumn="0" w:noHBand="0" w:noVBand="1"/>
        <w:tblCaption w:val="Table heading"/>
      </w:tblPr>
      <w:tblGrid>
        <w:gridCol w:w="3008"/>
        <w:gridCol w:w="3009"/>
        <w:gridCol w:w="3009"/>
      </w:tblGrid>
      <w:tr w:rsidR="006E7746" w:rsidRPr="00D51674" w14:paraId="7CBAE7ED" w14:textId="77777777" w:rsidTr="006B33C5">
        <w:trPr>
          <w:trHeight w:val="283"/>
          <w:tblHeader/>
        </w:trPr>
        <w:tc>
          <w:tcPr>
            <w:tcW w:w="1666" w:type="pct"/>
            <w:shd w:val="clear" w:color="auto" w:fill="1B0B38"/>
            <w:vAlign w:val="center"/>
          </w:tcPr>
          <w:p w14:paraId="205158E9" w14:textId="77777777" w:rsidR="006E7746" w:rsidRDefault="006E7746" w:rsidP="008E75CA">
            <w:pPr>
              <w:spacing w:before="0"/>
              <w:jc w:val="center"/>
              <w:rPr>
                <w:rStyle w:val="Strong"/>
                <w:color w:val="FFFFFF" w:themeColor="background1"/>
              </w:rPr>
            </w:pPr>
            <w:r>
              <w:rPr>
                <w:rStyle w:val="Strong"/>
                <w:color w:val="FFFFFF" w:themeColor="background1"/>
              </w:rPr>
              <w:t>Base case</w:t>
            </w:r>
          </w:p>
        </w:tc>
        <w:tc>
          <w:tcPr>
            <w:tcW w:w="1667" w:type="pct"/>
            <w:shd w:val="clear" w:color="auto" w:fill="1B0B38"/>
            <w:vAlign w:val="center"/>
          </w:tcPr>
          <w:p w14:paraId="6BCCA002" w14:textId="2E079E84" w:rsidR="006E7746" w:rsidRDefault="00F24E65" w:rsidP="008E75CA">
            <w:pPr>
              <w:spacing w:before="0"/>
              <w:jc w:val="center"/>
              <w:rPr>
                <w:rStyle w:val="Strong"/>
                <w:color w:val="FFFFFF" w:themeColor="background1"/>
              </w:rPr>
            </w:pPr>
            <w:r>
              <w:rPr>
                <w:rStyle w:val="Strong"/>
                <w:color w:val="FFFFFF" w:themeColor="background1"/>
              </w:rPr>
              <w:t>Option 1</w:t>
            </w:r>
          </w:p>
        </w:tc>
        <w:tc>
          <w:tcPr>
            <w:tcW w:w="1667" w:type="pct"/>
            <w:shd w:val="clear" w:color="auto" w:fill="1B0B38"/>
            <w:vAlign w:val="center"/>
          </w:tcPr>
          <w:p w14:paraId="242363DD" w14:textId="0C2F6055" w:rsidR="006E7746" w:rsidRDefault="00F24E65" w:rsidP="008E75CA">
            <w:pPr>
              <w:spacing w:before="0"/>
              <w:jc w:val="center"/>
              <w:rPr>
                <w:rStyle w:val="Strong"/>
                <w:color w:val="FFFFFF" w:themeColor="background1"/>
              </w:rPr>
            </w:pPr>
            <w:r>
              <w:rPr>
                <w:rStyle w:val="Strong"/>
                <w:color w:val="FFFFFF" w:themeColor="background1"/>
              </w:rPr>
              <w:t>Option 2</w:t>
            </w:r>
          </w:p>
        </w:tc>
      </w:tr>
      <w:tr w:rsidR="007A6822" w:rsidRPr="00D327FB" w14:paraId="79C9653F" w14:textId="77777777" w:rsidTr="006B33C5">
        <w:trPr>
          <w:trHeight w:val="358"/>
        </w:trPr>
        <w:tc>
          <w:tcPr>
            <w:tcW w:w="1666" w:type="pct"/>
            <w:tcBorders>
              <w:bottom w:val="single" w:sz="4" w:space="0" w:color="1B0B38"/>
            </w:tcBorders>
          </w:tcPr>
          <w:p w14:paraId="00888B65" w14:textId="77777777" w:rsidR="007A6822" w:rsidRPr="007C3037" w:rsidRDefault="007A6822" w:rsidP="006B33C5">
            <w:pPr>
              <w:spacing w:before="0" w:after="60"/>
              <w:rPr>
                <w:b/>
                <w:bCs/>
              </w:rPr>
            </w:pPr>
            <w:r>
              <w:rPr>
                <w:b/>
                <w:bCs/>
              </w:rPr>
              <w:t>Application for closure determination</w:t>
            </w:r>
          </w:p>
          <w:p w14:paraId="11584FC7" w14:textId="77777777" w:rsidR="007A6822" w:rsidRDefault="007A6822" w:rsidP="006B33C5">
            <w:pPr>
              <w:spacing w:before="0" w:after="60"/>
              <w:rPr>
                <w:rStyle w:val="Strong"/>
                <w:rFonts w:eastAsiaTheme="majorEastAsia"/>
                <w:b w:val="0"/>
                <w:bCs w:val="0"/>
              </w:rPr>
            </w:pPr>
            <w:r w:rsidRPr="007C3037">
              <w:rPr>
                <w:rStyle w:val="Strong"/>
                <w:rFonts w:eastAsiaTheme="majorEastAsia"/>
                <w:b w:val="0"/>
                <w:bCs w:val="0"/>
              </w:rPr>
              <w:t>Plans do not include specified closure criteria that address key risks and must be considered in future decision making</w:t>
            </w:r>
          </w:p>
          <w:p w14:paraId="03F92D9C" w14:textId="77777777" w:rsidR="007A6822" w:rsidRPr="007C3037" w:rsidRDefault="007A6822" w:rsidP="006B33C5">
            <w:pPr>
              <w:keepNext/>
              <w:spacing w:before="0" w:after="60"/>
              <w:rPr>
                <w:b/>
                <w:bCs/>
              </w:rPr>
            </w:pPr>
            <w:r>
              <w:rPr>
                <w:b/>
                <w:bCs/>
              </w:rPr>
              <w:t>Decision making – closure determination</w:t>
            </w:r>
          </w:p>
          <w:p w14:paraId="759D37A4" w14:textId="39AEA79E" w:rsidR="007A6822" w:rsidRPr="0086244C" w:rsidRDefault="007A6822" w:rsidP="006B33C5">
            <w:pPr>
              <w:keepNext/>
              <w:spacing w:before="0" w:after="60"/>
              <w:rPr>
                <w:rStyle w:val="Strong"/>
                <w:b w:val="0"/>
                <w:bCs w:val="0"/>
              </w:rPr>
            </w:pPr>
            <w:r>
              <w:t>No prescribed decision-making process, because objectives are bespoke and site-specific</w:t>
            </w:r>
          </w:p>
        </w:tc>
        <w:tc>
          <w:tcPr>
            <w:tcW w:w="1667" w:type="pct"/>
            <w:tcBorders>
              <w:bottom w:val="single" w:sz="4" w:space="0" w:color="1B0B38"/>
            </w:tcBorders>
          </w:tcPr>
          <w:p w14:paraId="58920F74" w14:textId="77777777" w:rsidR="007A6822" w:rsidRPr="007C3037" w:rsidRDefault="007A6822" w:rsidP="006B33C5">
            <w:pPr>
              <w:spacing w:before="0" w:after="60"/>
              <w:rPr>
                <w:b/>
                <w:bCs/>
              </w:rPr>
            </w:pPr>
            <w:r>
              <w:rPr>
                <w:b/>
                <w:bCs/>
              </w:rPr>
              <w:t>Application for closure determination</w:t>
            </w:r>
          </w:p>
          <w:p w14:paraId="7667A7C9" w14:textId="77777777" w:rsidR="007A6822" w:rsidRDefault="007A6822" w:rsidP="006B33C5">
            <w:pPr>
              <w:spacing w:before="0" w:after="60"/>
            </w:pPr>
            <w:r>
              <w:t>Licensees are required to provide third-party verification that the closure criteria for the mine have been met with their closure determination application</w:t>
            </w:r>
          </w:p>
          <w:p w14:paraId="019CB146" w14:textId="77777777" w:rsidR="007A6822" w:rsidRPr="007C3037" w:rsidRDefault="007A6822" w:rsidP="006B33C5">
            <w:pPr>
              <w:spacing w:before="0" w:after="60"/>
              <w:rPr>
                <w:b/>
                <w:bCs/>
              </w:rPr>
            </w:pPr>
            <w:r>
              <w:rPr>
                <w:b/>
                <w:bCs/>
              </w:rPr>
              <w:t>Decision making – closure determination</w:t>
            </w:r>
          </w:p>
          <w:p w14:paraId="0CD7E9BB" w14:textId="35D456B9" w:rsidR="007A6822" w:rsidRPr="00FD37D5" w:rsidRDefault="007A6822" w:rsidP="006B33C5">
            <w:pPr>
              <w:spacing w:before="0" w:after="60"/>
              <w:rPr>
                <w:rStyle w:val="Strong"/>
                <w:b w:val="0"/>
                <w:bCs w:val="0"/>
              </w:rPr>
            </w:pPr>
            <w:r>
              <w:t>No prescribed decision-making process, because objectives are bespoke and site-specific</w:t>
            </w:r>
          </w:p>
        </w:tc>
        <w:tc>
          <w:tcPr>
            <w:tcW w:w="1667" w:type="pct"/>
            <w:tcBorders>
              <w:bottom w:val="single" w:sz="4" w:space="0" w:color="1B0B38"/>
            </w:tcBorders>
          </w:tcPr>
          <w:p w14:paraId="2B6D7CD9" w14:textId="77777777" w:rsidR="007A6822" w:rsidRPr="007C3037" w:rsidRDefault="007A6822" w:rsidP="006B33C5">
            <w:pPr>
              <w:spacing w:before="0" w:after="60"/>
              <w:rPr>
                <w:b/>
                <w:bCs/>
              </w:rPr>
            </w:pPr>
            <w:r>
              <w:rPr>
                <w:b/>
                <w:bCs/>
              </w:rPr>
              <w:t>Application for closure determination</w:t>
            </w:r>
          </w:p>
          <w:p w14:paraId="225B61D5" w14:textId="77777777" w:rsidR="007A6822" w:rsidRPr="007C3037" w:rsidRDefault="007A6822" w:rsidP="006B33C5">
            <w:pPr>
              <w:spacing w:before="0" w:after="60"/>
              <w:rPr>
                <w:rStyle w:val="Strong"/>
                <w:rFonts w:eastAsiaTheme="majorEastAsia"/>
                <w:b w:val="0"/>
                <w:bCs w:val="0"/>
              </w:rPr>
            </w:pPr>
            <w:r w:rsidRPr="007C3037">
              <w:rPr>
                <w:rStyle w:val="Strong"/>
                <w:b w:val="0"/>
                <w:bCs w:val="0"/>
              </w:rPr>
              <w:t>Licensees are required to provide evidence that closure criteria have been met</w:t>
            </w:r>
          </w:p>
          <w:p w14:paraId="26C4E96B" w14:textId="77777777" w:rsidR="007A6822" w:rsidRDefault="007A6822" w:rsidP="006B33C5">
            <w:pPr>
              <w:keepNext/>
              <w:spacing w:before="0" w:after="60"/>
              <w:rPr>
                <w:rStyle w:val="Strong"/>
                <w:rFonts w:eastAsiaTheme="majorEastAsia"/>
                <w:b w:val="0"/>
                <w:bCs w:val="0"/>
              </w:rPr>
            </w:pPr>
            <w:r w:rsidRPr="007C3037">
              <w:rPr>
                <w:rStyle w:val="Strong"/>
                <w:rFonts w:eastAsiaTheme="majorEastAsia"/>
              </w:rPr>
              <w:t>D</w:t>
            </w:r>
            <w:r>
              <w:rPr>
                <w:rStyle w:val="Strong"/>
                <w:rFonts w:eastAsiaTheme="majorEastAsia"/>
              </w:rPr>
              <w:t>ecision making – closure determination</w:t>
            </w:r>
          </w:p>
          <w:p w14:paraId="6B3B7AD2" w14:textId="77777777" w:rsidR="007A6822" w:rsidRPr="007C3037" w:rsidRDefault="007A6822" w:rsidP="006B33C5">
            <w:pPr>
              <w:keepNext/>
              <w:spacing w:before="0" w:after="60"/>
              <w:rPr>
                <w:rStyle w:val="Strong"/>
                <w:rFonts w:eastAsiaTheme="majorEastAsia"/>
                <w:b w:val="0"/>
                <w:bCs w:val="0"/>
              </w:rPr>
            </w:pPr>
            <w:r w:rsidRPr="007C3037">
              <w:rPr>
                <w:rStyle w:val="Strong"/>
                <w:rFonts w:eastAsiaTheme="majorEastAsia"/>
                <w:b w:val="0"/>
                <w:bCs w:val="0"/>
              </w:rPr>
              <w:t>Regulations set out</w:t>
            </w:r>
            <w:r>
              <w:rPr>
                <w:rStyle w:val="Strong"/>
                <w:rFonts w:eastAsiaTheme="majorEastAsia"/>
                <w:b w:val="0"/>
                <w:bCs w:val="0"/>
              </w:rPr>
              <w:t xml:space="preserve"> matters to be considered by the decision-maker</w:t>
            </w:r>
          </w:p>
          <w:p w14:paraId="7739A705" w14:textId="0D08FF15" w:rsidR="007A6822" w:rsidRPr="00A41FB3" w:rsidRDefault="005E49AD" w:rsidP="006B33C5">
            <w:pPr>
              <w:spacing w:before="0" w:after="60"/>
              <w:rPr>
                <w:rStyle w:val="Strong"/>
                <w:rFonts w:eastAsiaTheme="majorEastAsia"/>
              </w:rPr>
            </w:pPr>
            <w:r w:rsidRPr="00D14C9F">
              <w:rPr>
                <w:rStyle w:val="Strong"/>
                <w:rFonts w:eastAsiaTheme="majorEastAsia"/>
                <w:b w:val="0"/>
                <w:bCs w:val="0"/>
              </w:rPr>
              <w:t>Regulations set out an extended list of referrals (e.g. EPA, councils)</w:t>
            </w:r>
          </w:p>
        </w:tc>
      </w:tr>
    </w:tbl>
    <w:p w14:paraId="281BFFDF" w14:textId="37C07DC6" w:rsidR="00A35EFA" w:rsidRDefault="00A35EFA" w:rsidP="00D50C43">
      <w:pPr>
        <w:pStyle w:val="Heading3"/>
        <w:numPr>
          <w:ilvl w:val="2"/>
          <w:numId w:val="124"/>
        </w:numPr>
      </w:pPr>
      <w:bookmarkStart w:id="341" w:name="_Toc104217715"/>
      <w:r>
        <w:lastRenderedPageBreak/>
        <w:t>Benefits</w:t>
      </w:r>
      <w:bookmarkEnd w:id="341"/>
    </w:p>
    <w:p w14:paraId="6EA5F50F" w14:textId="453F5F52" w:rsidR="00A35EFA" w:rsidRDefault="007C3FEE" w:rsidP="00D25E4E">
      <w:pPr>
        <w:pStyle w:val="Heading6"/>
        <w:spacing w:after="120"/>
      </w:pPr>
      <w:r>
        <w:t>Support informed decision-making to ensure rehabilitation meets legislative objectives</w:t>
      </w:r>
    </w:p>
    <w:tbl>
      <w:tblPr>
        <w:tblW w:w="8880" w:type="dxa"/>
        <w:tblLook w:val="04A0" w:firstRow="1" w:lastRow="0" w:firstColumn="1" w:lastColumn="0" w:noHBand="0" w:noVBand="1"/>
      </w:tblPr>
      <w:tblGrid>
        <w:gridCol w:w="5066"/>
        <w:gridCol w:w="1384"/>
        <w:gridCol w:w="1215"/>
        <w:gridCol w:w="1215"/>
      </w:tblGrid>
      <w:tr w:rsidR="00FB3EB4" w:rsidRPr="008E75CA" w14:paraId="22494F7C" w14:textId="77777777" w:rsidTr="00D25E4E">
        <w:trPr>
          <w:trHeight w:val="470"/>
        </w:trPr>
        <w:tc>
          <w:tcPr>
            <w:tcW w:w="5066" w:type="dxa"/>
            <w:tcBorders>
              <w:top w:val="single" w:sz="8" w:space="0" w:color="064EA8"/>
              <w:left w:val="nil"/>
              <w:bottom w:val="single" w:sz="8" w:space="0" w:color="064EA8"/>
              <w:right w:val="nil"/>
            </w:tcBorders>
            <w:shd w:val="clear" w:color="000000" w:fill="1B0B38"/>
            <w:vAlign w:val="center"/>
            <w:hideMark/>
          </w:tcPr>
          <w:p w14:paraId="319F2C94" w14:textId="77777777" w:rsidR="00FB3EB4" w:rsidRPr="008E75CA" w:rsidRDefault="00FB3EB4" w:rsidP="00D77130">
            <w:pPr>
              <w:keepNext/>
              <w:spacing w:before="0" w:after="0"/>
              <w:rPr>
                <w:rFonts w:asciiTheme="majorHAnsi" w:hAnsiTheme="majorHAnsi" w:cstheme="majorHAnsi"/>
                <w:b/>
                <w:bCs/>
                <w:color w:val="FFFFFF"/>
                <w:szCs w:val="18"/>
                <w:lang w:eastAsia="en-AU"/>
              </w:rPr>
            </w:pPr>
            <w:r w:rsidRPr="008E75CA">
              <w:rPr>
                <w:rFonts w:asciiTheme="majorHAnsi" w:hAnsiTheme="majorHAnsi" w:cstheme="majorHAnsi"/>
                <w:b/>
                <w:bCs/>
                <w:color w:val="FFFFFF"/>
                <w:szCs w:val="18"/>
                <w:lang w:eastAsia="en-AU"/>
              </w:rPr>
              <w:t>Criteria</w:t>
            </w:r>
          </w:p>
        </w:tc>
        <w:tc>
          <w:tcPr>
            <w:tcW w:w="1384" w:type="dxa"/>
            <w:tcBorders>
              <w:top w:val="single" w:sz="8" w:space="0" w:color="064EA8"/>
              <w:left w:val="nil"/>
              <w:bottom w:val="single" w:sz="8" w:space="0" w:color="064EA8"/>
              <w:right w:val="nil"/>
            </w:tcBorders>
            <w:shd w:val="clear" w:color="000000" w:fill="1B0B38"/>
            <w:vAlign w:val="center"/>
            <w:hideMark/>
          </w:tcPr>
          <w:p w14:paraId="427DED0D" w14:textId="77777777" w:rsidR="00FB3EB4" w:rsidRPr="008E75CA" w:rsidRDefault="00FB3EB4" w:rsidP="00D77130">
            <w:pPr>
              <w:keepNext/>
              <w:spacing w:before="0" w:after="0"/>
              <w:jc w:val="center"/>
              <w:rPr>
                <w:rFonts w:asciiTheme="majorHAnsi" w:hAnsiTheme="majorHAnsi" w:cstheme="majorHAnsi"/>
                <w:b/>
                <w:bCs/>
                <w:color w:val="FFFFFF"/>
                <w:szCs w:val="18"/>
                <w:lang w:eastAsia="en-AU"/>
              </w:rPr>
            </w:pPr>
            <w:r w:rsidRPr="008E75CA">
              <w:rPr>
                <w:rFonts w:asciiTheme="majorHAnsi" w:hAnsiTheme="majorHAnsi" w:cstheme="majorHAnsi"/>
                <w:b/>
                <w:bCs/>
                <w:color w:val="FFFFFF"/>
                <w:szCs w:val="18"/>
                <w:lang w:eastAsia="en-AU"/>
              </w:rPr>
              <w:t>Weighting</w:t>
            </w:r>
          </w:p>
        </w:tc>
        <w:tc>
          <w:tcPr>
            <w:tcW w:w="2430" w:type="dxa"/>
            <w:gridSpan w:val="2"/>
            <w:tcBorders>
              <w:top w:val="single" w:sz="8" w:space="0" w:color="064EA8"/>
              <w:left w:val="nil"/>
              <w:bottom w:val="single" w:sz="8" w:space="0" w:color="064EA8"/>
              <w:right w:val="nil"/>
            </w:tcBorders>
            <w:shd w:val="clear" w:color="000000" w:fill="1B0B38"/>
            <w:vAlign w:val="center"/>
            <w:hideMark/>
          </w:tcPr>
          <w:p w14:paraId="73FBE9E8" w14:textId="77777777" w:rsidR="00FB3EB4" w:rsidRPr="008E75CA" w:rsidRDefault="00FB3EB4" w:rsidP="00D77130">
            <w:pPr>
              <w:keepNext/>
              <w:spacing w:before="0" w:after="0"/>
              <w:jc w:val="center"/>
              <w:rPr>
                <w:rFonts w:asciiTheme="majorHAnsi" w:hAnsiTheme="majorHAnsi" w:cstheme="majorHAnsi"/>
                <w:b/>
                <w:bCs/>
                <w:color w:val="FFFFFF"/>
                <w:szCs w:val="18"/>
                <w:lang w:eastAsia="en-AU"/>
              </w:rPr>
            </w:pPr>
            <w:r w:rsidRPr="008E75CA">
              <w:rPr>
                <w:rFonts w:asciiTheme="majorHAnsi" w:hAnsiTheme="majorHAnsi" w:cstheme="majorHAnsi"/>
                <w:b/>
                <w:bCs/>
                <w:color w:val="FFFFFF"/>
                <w:szCs w:val="18"/>
                <w:lang w:eastAsia="en-AU"/>
              </w:rPr>
              <w:t>Unweighted Scores</w:t>
            </w:r>
          </w:p>
        </w:tc>
      </w:tr>
      <w:tr w:rsidR="00FB3EB4" w:rsidRPr="008E75CA" w14:paraId="6D01D00C" w14:textId="77777777" w:rsidTr="00D25E4E">
        <w:trPr>
          <w:trHeight w:val="470"/>
        </w:trPr>
        <w:tc>
          <w:tcPr>
            <w:tcW w:w="5066" w:type="dxa"/>
            <w:tcBorders>
              <w:top w:val="nil"/>
              <w:left w:val="nil"/>
              <w:bottom w:val="single" w:sz="8" w:space="0" w:color="064EA8"/>
              <w:right w:val="nil"/>
            </w:tcBorders>
            <w:shd w:val="clear" w:color="000000" w:fill="E7E6E6"/>
            <w:vAlign w:val="center"/>
            <w:hideMark/>
          </w:tcPr>
          <w:p w14:paraId="717B1898" w14:textId="77777777" w:rsidR="00FB3EB4" w:rsidRPr="008E75CA" w:rsidRDefault="00FB3EB4" w:rsidP="00D77130">
            <w:pPr>
              <w:keepNext/>
              <w:spacing w:before="0" w:after="0"/>
              <w:rPr>
                <w:rFonts w:asciiTheme="majorHAnsi" w:hAnsiTheme="majorHAnsi" w:cstheme="majorHAnsi"/>
                <w:b/>
                <w:bCs/>
                <w:szCs w:val="18"/>
                <w:lang w:eastAsia="en-AU"/>
              </w:rPr>
            </w:pPr>
          </w:p>
        </w:tc>
        <w:tc>
          <w:tcPr>
            <w:tcW w:w="1384" w:type="dxa"/>
            <w:tcBorders>
              <w:top w:val="nil"/>
              <w:left w:val="nil"/>
              <w:bottom w:val="single" w:sz="8" w:space="0" w:color="064EA8"/>
              <w:right w:val="nil"/>
            </w:tcBorders>
            <w:shd w:val="clear" w:color="000000" w:fill="E7E6E6"/>
            <w:vAlign w:val="center"/>
            <w:hideMark/>
          </w:tcPr>
          <w:p w14:paraId="1A6B632D" w14:textId="76033713" w:rsidR="00FB3EB4" w:rsidRPr="008E75CA" w:rsidRDefault="00FB3EB4" w:rsidP="00D77130">
            <w:pPr>
              <w:keepNext/>
              <w:spacing w:before="0" w:after="0"/>
              <w:jc w:val="center"/>
              <w:rPr>
                <w:rFonts w:asciiTheme="majorHAnsi" w:hAnsiTheme="majorHAnsi" w:cstheme="majorHAnsi"/>
                <w:b/>
                <w:bCs/>
                <w:szCs w:val="18"/>
                <w:lang w:eastAsia="en-AU"/>
              </w:rPr>
            </w:pPr>
          </w:p>
        </w:tc>
        <w:tc>
          <w:tcPr>
            <w:tcW w:w="1215" w:type="dxa"/>
            <w:tcBorders>
              <w:top w:val="nil"/>
              <w:left w:val="nil"/>
              <w:bottom w:val="single" w:sz="8" w:space="0" w:color="064EA8"/>
              <w:right w:val="nil"/>
            </w:tcBorders>
            <w:shd w:val="clear" w:color="000000" w:fill="E7E6E6"/>
            <w:vAlign w:val="center"/>
            <w:hideMark/>
          </w:tcPr>
          <w:p w14:paraId="24C874D0" w14:textId="77777777" w:rsidR="00FB3EB4" w:rsidRPr="008E75CA" w:rsidRDefault="00FB3EB4" w:rsidP="00D77130">
            <w:pPr>
              <w:keepNext/>
              <w:spacing w:before="0" w:after="0"/>
              <w:jc w:val="center"/>
              <w:rPr>
                <w:rFonts w:asciiTheme="majorHAnsi" w:hAnsiTheme="majorHAnsi" w:cstheme="majorHAnsi"/>
                <w:b/>
                <w:bCs/>
                <w:szCs w:val="18"/>
                <w:lang w:eastAsia="en-AU"/>
              </w:rPr>
            </w:pPr>
            <w:r>
              <w:rPr>
                <w:rFonts w:asciiTheme="majorHAnsi" w:hAnsiTheme="majorHAnsi" w:cstheme="majorHAnsi"/>
                <w:b/>
                <w:bCs/>
                <w:szCs w:val="18"/>
                <w:lang w:eastAsia="en-AU"/>
              </w:rPr>
              <w:t>Option 1</w:t>
            </w:r>
          </w:p>
        </w:tc>
        <w:tc>
          <w:tcPr>
            <w:tcW w:w="1215" w:type="dxa"/>
            <w:tcBorders>
              <w:top w:val="nil"/>
              <w:left w:val="nil"/>
              <w:bottom w:val="single" w:sz="8" w:space="0" w:color="064EA8"/>
              <w:right w:val="nil"/>
            </w:tcBorders>
            <w:shd w:val="clear" w:color="000000" w:fill="E7E6E6"/>
            <w:vAlign w:val="center"/>
            <w:hideMark/>
          </w:tcPr>
          <w:p w14:paraId="393623A2" w14:textId="77777777" w:rsidR="00FB3EB4" w:rsidRPr="008E75CA" w:rsidRDefault="00FB3EB4" w:rsidP="00D77130">
            <w:pPr>
              <w:keepNext/>
              <w:spacing w:before="0" w:after="0"/>
              <w:jc w:val="center"/>
              <w:rPr>
                <w:rFonts w:asciiTheme="majorHAnsi" w:hAnsiTheme="majorHAnsi" w:cstheme="majorHAnsi"/>
                <w:b/>
                <w:bCs/>
                <w:szCs w:val="18"/>
                <w:lang w:eastAsia="en-AU"/>
              </w:rPr>
            </w:pPr>
            <w:r>
              <w:rPr>
                <w:rFonts w:asciiTheme="majorHAnsi" w:hAnsiTheme="majorHAnsi" w:cstheme="majorHAnsi"/>
                <w:b/>
                <w:bCs/>
                <w:szCs w:val="18"/>
                <w:lang w:eastAsia="en-AU"/>
              </w:rPr>
              <w:t>Option 2</w:t>
            </w:r>
          </w:p>
        </w:tc>
      </w:tr>
      <w:tr w:rsidR="00FB3EB4" w:rsidRPr="008E75CA" w14:paraId="434C614D" w14:textId="77777777" w:rsidTr="00D25E4E">
        <w:trPr>
          <w:trHeight w:val="470"/>
        </w:trPr>
        <w:tc>
          <w:tcPr>
            <w:tcW w:w="5066" w:type="dxa"/>
            <w:tcBorders>
              <w:top w:val="nil"/>
              <w:left w:val="nil"/>
              <w:bottom w:val="nil"/>
              <w:right w:val="nil"/>
            </w:tcBorders>
            <w:shd w:val="clear" w:color="auto" w:fill="auto"/>
            <w:vAlign w:val="center"/>
            <w:hideMark/>
          </w:tcPr>
          <w:p w14:paraId="79974029" w14:textId="77777777" w:rsidR="00FB3EB4" w:rsidRPr="008E75CA" w:rsidRDefault="00FB3EB4" w:rsidP="00D25E4E">
            <w:pPr>
              <w:keepNext/>
              <w:spacing w:before="0" w:after="0"/>
              <w:rPr>
                <w:rFonts w:asciiTheme="majorHAnsi" w:hAnsiTheme="majorHAnsi" w:cstheme="majorHAnsi"/>
              </w:rPr>
            </w:pPr>
            <w:r w:rsidRPr="008E75CA">
              <w:rPr>
                <w:rFonts w:asciiTheme="majorHAnsi" w:hAnsiTheme="majorHAnsi" w:cstheme="majorHAnsi"/>
              </w:rPr>
              <w:t>Support informed decision-making to ensure rehabilitation meets legislative objectives</w:t>
            </w:r>
          </w:p>
        </w:tc>
        <w:tc>
          <w:tcPr>
            <w:tcW w:w="1384" w:type="dxa"/>
            <w:tcBorders>
              <w:top w:val="nil"/>
              <w:left w:val="nil"/>
              <w:bottom w:val="single" w:sz="8" w:space="0" w:color="064EA8"/>
              <w:right w:val="nil"/>
            </w:tcBorders>
            <w:shd w:val="clear" w:color="auto" w:fill="auto"/>
            <w:vAlign w:val="center"/>
            <w:hideMark/>
          </w:tcPr>
          <w:p w14:paraId="3A856300" w14:textId="51816138" w:rsidR="00FB3EB4" w:rsidRPr="008E75CA" w:rsidRDefault="00FB3EB4" w:rsidP="00D77130">
            <w:pPr>
              <w:keepNext/>
              <w:spacing w:before="0" w:after="0"/>
              <w:jc w:val="center"/>
              <w:rPr>
                <w:rFonts w:asciiTheme="majorHAnsi" w:hAnsiTheme="majorHAnsi" w:cstheme="majorHAnsi"/>
                <w:szCs w:val="18"/>
                <w:lang w:eastAsia="en-AU"/>
              </w:rPr>
            </w:pPr>
            <w:r w:rsidRPr="008E75CA">
              <w:rPr>
                <w:rFonts w:asciiTheme="majorHAnsi" w:hAnsiTheme="majorHAnsi" w:cstheme="majorHAnsi"/>
                <w:szCs w:val="18"/>
                <w:lang w:eastAsia="en-AU"/>
              </w:rPr>
              <w:t>25%</w:t>
            </w:r>
          </w:p>
        </w:tc>
        <w:tc>
          <w:tcPr>
            <w:tcW w:w="1215" w:type="dxa"/>
            <w:tcBorders>
              <w:top w:val="nil"/>
              <w:left w:val="nil"/>
              <w:bottom w:val="single" w:sz="8" w:space="0" w:color="064EA8"/>
              <w:right w:val="nil"/>
            </w:tcBorders>
            <w:shd w:val="clear" w:color="auto" w:fill="auto"/>
            <w:vAlign w:val="center"/>
            <w:hideMark/>
          </w:tcPr>
          <w:p w14:paraId="2A33C574" w14:textId="77777777" w:rsidR="00FB3EB4" w:rsidRPr="008E75CA" w:rsidRDefault="00FB3EB4" w:rsidP="00D77130">
            <w:pPr>
              <w:keepNext/>
              <w:spacing w:before="0" w:after="0"/>
              <w:jc w:val="center"/>
              <w:rPr>
                <w:rFonts w:asciiTheme="majorHAnsi" w:hAnsiTheme="majorHAnsi" w:cstheme="majorHAnsi"/>
                <w:szCs w:val="18"/>
                <w:lang w:eastAsia="en-AU"/>
              </w:rPr>
            </w:pPr>
            <w:r>
              <w:rPr>
                <w:rFonts w:asciiTheme="majorHAnsi" w:hAnsiTheme="majorHAnsi" w:cstheme="majorHAnsi"/>
                <w:szCs w:val="18"/>
                <w:lang w:eastAsia="en-AU"/>
              </w:rPr>
              <w:t>8</w:t>
            </w:r>
          </w:p>
        </w:tc>
        <w:tc>
          <w:tcPr>
            <w:tcW w:w="1215" w:type="dxa"/>
            <w:tcBorders>
              <w:top w:val="nil"/>
              <w:left w:val="nil"/>
              <w:bottom w:val="single" w:sz="8" w:space="0" w:color="064EA8"/>
              <w:right w:val="nil"/>
            </w:tcBorders>
            <w:shd w:val="clear" w:color="auto" w:fill="auto"/>
            <w:vAlign w:val="center"/>
            <w:hideMark/>
          </w:tcPr>
          <w:p w14:paraId="1F2AAD70" w14:textId="77777777" w:rsidR="00FB3EB4" w:rsidRPr="008E75CA" w:rsidRDefault="00FB3EB4" w:rsidP="00D77130">
            <w:pPr>
              <w:keepNext/>
              <w:spacing w:before="0" w:after="0"/>
              <w:jc w:val="center"/>
              <w:rPr>
                <w:rFonts w:asciiTheme="majorHAnsi" w:hAnsiTheme="majorHAnsi" w:cstheme="majorHAnsi"/>
                <w:szCs w:val="18"/>
                <w:lang w:eastAsia="en-AU"/>
              </w:rPr>
            </w:pPr>
            <w:r>
              <w:rPr>
                <w:rFonts w:asciiTheme="majorHAnsi" w:hAnsiTheme="majorHAnsi" w:cstheme="majorHAnsi"/>
                <w:szCs w:val="18"/>
                <w:lang w:eastAsia="en-AU"/>
              </w:rPr>
              <w:t>5</w:t>
            </w:r>
          </w:p>
        </w:tc>
      </w:tr>
    </w:tbl>
    <w:p w14:paraId="5555F22F" w14:textId="3485AED1" w:rsidR="0091395B" w:rsidRPr="006F567D" w:rsidRDefault="007C3FEE" w:rsidP="006B33C5">
      <w:pPr>
        <w:pStyle w:val="Heading7"/>
      </w:pPr>
      <w:r>
        <w:t>Option 1</w:t>
      </w:r>
    </w:p>
    <w:p w14:paraId="4341BFE0" w14:textId="6AA6BAE3" w:rsidR="00C62F3D" w:rsidRDefault="068DA803" w:rsidP="0024528B">
      <w:r>
        <w:t>Option 1</w:t>
      </w:r>
      <w:r w:rsidR="11865E48">
        <w:t xml:space="preserve"> requires licensees to provide </w:t>
      </w:r>
      <w:r w:rsidR="44D3DD54">
        <w:t>third party verification that closure criteria have been met</w:t>
      </w:r>
      <w:r w:rsidR="11865E48">
        <w:t>. This is an additional requirement compared to the base case, and</w:t>
      </w:r>
      <w:r w:rsidR="44D3DD54">
        <w:t xml:space="preserve"> </w:t>
      </w:r>
      <w:r w:rsidR="68D564A9">
        <w:t>would ensure that additional information is provided to government to support its decision</w:t>
      </w:r>
      <w:r w:rsidR="11865E48">
        <w:t>. A</w:t>
      </w:r>
      <w:r w:rsidR="68D564A9">
        <w:t xml:space="preserve">ssuming the closure criteria defined for the mine are adequate, </w:t>
      </w:r>
      <w:r w:rsidR="11865E48">
        <w:t xml:space="preserve">this additional information requirement </w:t>
      </w:r>
      <w:r w:rsidR="68D564A9">
        <w:t xml:space="preserve">promotes rehabilitation that meets legislative objectives. </w:t>
      </w:r>
    </w:p>
    <w:p w14:paraId="4C4AD4AC" w14:textId="658E85AB" w:rsidR="00A35EFA" w:rsidRDefault="2366C345" w:rsidP="0024528B">
      <w:r>
        <w:t>In addition, h</w:t>
      </w:r>
      <w:r w:rsidR="42E8B430">
        <w:t xml:space="preserve">aving independent third-party verification that the closure criteria have been met potentially improves government decision making compared to the base case where ERR is assessing the information. </w:t>
      </w:r>
      <w:r w:rsidR="1D35CC75">
        <w:t>The r</w:t>
      </w:r>
      <w:r w:rsidR="3C799FB6">
        <w:t xml:space="preserve">ecent VAGO audit </w:t>
      </w:r>
      <w:r w:rsidR="1D35CC75">
        <w:t>found</w:t>
      </w:r>
      <w:r w:rsidR="3C799FB6">
        <w:t xml:space="preserve"> </w:t>
      </w:r>
      <w:r w:rsidR="1D35CC75">
        <w:t>that ERR had historically lacked key capabilities</w:t>
      </w:r>
      <w:r w:rsidR="1892B0AC">
        <w:t xml:space="preserve"> (e.g. geotechnical expertise and data analytics)</w:t>
      </w:r>
      <w:r w:rsidR="1D35CC75">
        <w:t xml:space="preserve"> to effectively </w:t>
      </w:r>
      <w:r w:rsidR="1892B0AC">
        <w:t>regulate mine rehabilitation</w:t>
      </w:r>
      <w:r w:rsidR="35702042">
        <w:t xml:space="preserve"> and has capacity challenges</w:t>
      </w:r>
      <w:r w:rsidR="1892B0AC">
        <w:t xml:space="preserve">. ERR </w:t>
      </w:r>
      <w:r w:rsidR="007B56DF">
        <w:t xml:space="preserve">is continuing to build </w:t>
      </w:r>
      <w:r w:rsidR="39681EBF">
        <w:t>its</w:t>
      </w:r>
      <w:r w:rsidR="587B70DC">
        <w:t>’</w:t>
      </w:r>
      <w:r w:rsidR="39681EBF">
        <w:t xml:space="preserve"> technical expertise</w:t>
      </w:r>
      <w:r w:rsidR="00F6746F">
        <w:t xml:space="preserve"> </w:t>
      </w:r>
      <w:r w:rsidR="007B56DF">
        <w:t>since the audit</w:t>
      </w:r>
      <w:r w:rsidR="00F6746F">
        <w:t xml:space="preserve">, </w:t>
      </w:r>
      <w:r w:rsidR="00806F9E">
        <w:t xml:space="preserve">but </w:t>
      </w:r>
      <w:r w:rsidR="587B70DC">
        <w:t>this historical lack of capability has eroded trust in the regulator</w:t>
      </w:r>
      <w:r w:rsidR="7A0A5AC5">
        <w:t xml:space="preserve"> by the industry and other stakeholders</w:t>
      </w:r>
      <w:r w:rsidR="00F6746F">
        <w:t xml:space="preserve">. </w:t>
      </w:r>
      <w:r w:rsidR="3D56019D">
        <w:t>As such, an independent third</w:t>
      </w:r>
      <w:r w:rsidR="00400595">
        <w:t xml:space="preserve"> </w:t>
      </w:r>
      <w:r w:rsidR="3D56019D">
        <w:t xml:space="preserve">party verification </w:t>
      </w:r>
      <w:r w:rsidR="35702042">
        <w:t>addresses this challenge</w:t>
      </w:r>
      <w:r w:rsidR="7A656299">
        <w:t xml:space="preserve">, and potentially allows government to make quicker decisions. </w:t>
      </w:r>
      <w:r w:rsidR="68D564A9">
        <w:t xml:space="preserve">This is a </w:t>
      </w:r>
      <w:r w:rsidR="0DE6E71E">
        <w:t>significant</w:t>
      </w:r>
      <w:r w:rsidR="68D564A9">
        <w:t xml:space="preserve"> improvement on the base case.</w:t>
      </w:r>
    </w:p>
    <w:p w14:paraId="19049A6C" w14:textId="44D8BAFF" w:rsidR="007C3FEE" w:rsidRDefault="007C3FEE" w:rsidP="007C3FEE">
      <w:pPr>
        <w:pStyle w:val="Heading7"/>
      </w:pPr>
      <w:r>
        <w:t>Option 2</w:t>
      </w:r>
    </w:p>
    <w:p w14:paraId="60A4DDB3" w14:textId="04CBD2F1" w:rsidR="007C3FEE" w:rsidRDefault="007C3FEE" w:rsidP="007C3FEE">
      <w:r>
        <w:t xml:space="preserve">Under Option 2 licensees are required to provide evidence that closure criteria have been met, supporting their adherence to the </w:t>
      </w:r>
      <w:r w:rsidR="007E2972">
        <w:t>prescribed matters</w:t>
      </w:r>
      <w:r>
        <w:t xml:space="preserve"> set out in the regulations. This requirement would mean that much more information is available to government in its decision than under the base case, which is a </w:t>
      </w:r>
      <w:r w:rsidR="006C4911">
        <w:t>moderate</w:t>
      </w:r>
      <w:r>
        <w:t xml:space="preserve"> improvement on the base case and supports informed decision making by government.</w:t>
      </w:r>
    </w:p>
    <w:p w14:paraId="6D69DC43" w14:textId="41312867" w:rsidR="00B254E6" w:rsidRDefault="00DC572F" w:rsidP="007C3FEE">
      <w:r>
        <w:t xml:space="preserve">However, as noted above, </w:t>
      </w:r>
      <w:r w:rsidR="00127E32">
        <w:t xml:space="preserve">ERR has historically lacked key </w:t>
      </w:r>
      <w:r w:rsidR="00252AAC">
        <w:t xml:space="preserve">internal </w:t>
      </w:r>
      <w:r w:rsidR="00127E32">
        <w:t>capa</w:t>
      </w:r>
      <w:r w:rsidR="00FF5DCB">
        <w:t>city</w:t>
      </w:r>
      <w:r w:rsidR="00193E61">
        <w:t xml:space="preserve"> to </w:t>
      </w:r>
      <w:r w:rsidR="00BD111B">
        <w:t>assess</w:t>
      </w:r>
      <w:r w:rsidR="005F0C03">
        <w:t xml:space="preserve"> whether closure criteria have been met </w:t>
      </w:r>
      <w:r w:rsidR="001C571B">
        <w:t>in a timely manner</w:t>
      </w:r>
      <w:r w:rsidR="00157919">
        <w:t xml:space="preserve">. </w:t>
      </w:r>
      <w:r w:rsidR="00EC1A46">
        <w:t>As such, decision-making would take longer under Option 2 than Option 1, and key stakeholders may no</w:t>
      </w:r>
      <w:r w:rsidR="003C7FB9">
        <w:t>t trust the assessment of the regulator.</w:t>
      </w:r>
    </w:p>
    <w:p w14:paraId="773B5B1C" w14:textId="77777777" w:rsidR="007C3FEE" w:rsidRPr="007C3FEE" w:rsidRDefault="00A90B59" w:rsidP="00D25E4E">
      <w:pPr>
        <w:pStyle w:val="Heading6"/>
        <w:spacing w:after="120"/>
      </w:pPr>
      <w:r w:rsidRPr="007C3FEE">
        <w:t>Provide a transparent, clear decision-making process</w:t>
      </w:r>
      <w:r w:rsidR="007C3FEE" w:rsidRPr="007C3FEE">
        <w:t xml:space="preserve"> </w:t>
      </w:r>
    </w:p>
    <w:tbl>
      <w:tblPr>
        <w:tblW w:w="8880" w:type="dxa"/>
        <w:tblLook w:val="04A0" w:firstRow="1" w:lastRow="0" w:firstColumn="1" w:lastColumn="0" w:noHBand="0" w:noVBand="1"/>
      </w:tblPr>
      <w:tblGrid>
        <w:gridCol w:w="5066"/>
        <w:gridCol w:w="1384"/>
        <w:gridCol w:w="1215"/>
        <w:gridCol w:w="1215"/>
      </w:tblGrid>
      <w:tr w:rsidR="00FC2386" w:rsidRPr="008E75CA" w14:paraId="70328301" w14:textId="77777777" w:rsidTr="00D25E4E">
        <w:trPr>
          <w:trHeight w:val="470"/>
        </w:trPr>
        <w:tc>
          <w:tcPr>
            <w:tcW w:w="5066" w:type="dxa"/>
            <w:tcBorders>
              <w:top w:val="single" w:sz="8" w:space="0" w:color="064EA8"/>
              <w:left w:val="nil"/>
              <w:bottom w:val="single" w:sz="8" w:space="0" w:color="064EA8"/>
              <w:right w:val="nil"/>
            </w:tcBorders>
            <w:shd w:val="clear" w:color="000000" w:fill="1B0B38"/>
            <w:vAlign w:val="center"/>
            <w:hideMark/>
          </w:tcPr>
          <w:p w14:paraId="78C43B6A" w14:textId="77777777" w:rsidR="00FC2386" w:rsidRPr="008E75CA" w:rsidRDefault="00FC2386" w:rsidP="00D77130">
            <w:pPr>
              <w:keepNext/>
              <w:spacing w:before="0" w:after="0"/>
              <w:rPr>
                <w:rFonts w:asciiTheme="majorHAnsi" w:hAnsiTheme="majorHAnsi" w:cstheme="majorHAnsi"/>
                <w:b/>
                <w:bCs/>
                <w:color w:val="FFFFFF"/>
                <w:szCs w:val="18"/>
                <w:lang w:eastAsia="en-AU"/>
              </w:rPr>
            </w:pPr>
            <w:r w:rsidRPr="008E75CA">
              <w:rPr>
                <w:rFonts w:asciiTheme="majorHAnsi" w:hAnsiTheme="majorHAnsi" w:cstheme="majorHAnsi"/>
                <w:b/>
                <w:bCs/>
                <w:color w:val="FFFFFF"/>
                <w:szCs w:val="18"/>
                <w:lang w:eastAsia="en-AU"/>
              </w:rPr>
              <w:t>Criteria</w:t>
            </w:r>
          </w:p>
        </w:tc>
        <w:tc>
          <w:tcPr>
            <w:tcW w:w="1384" w:type="dxa"/>
            <w:tcBorders>
              <w:top w:val="single" w:sz="8" w:space="0" w:color="064EA8"/>
              <w:left w:val="nil"/>
              <w:bottom w:val="single" w:sz="8" w:space="0" w:color="064EA8"/>
              <w:right w:val="nil"/>
            </w:tcBorders>
            <w:shd w:val="clear" w:color="000000" w:fill="1B0B38"/>
            <w:vAlign w:val="center"/>
            <w:hideMark/>
          </w:tcPr>
          <w:p w14:paraId="1B283B89" w14:textId="77777777" w:rsidR="00FC2386" w:rsidRPr="008E75CA" w:rsidRDefault="00FC2386" w:rsidP="00D77130">
            <w:pPr>
              <w:keepNext/>
              <w:spacing w:before="0" w:after="0"/>
              <w:jc w:val="center"/>
              <w:rPr>
                <w:rFonts w:asciiTheme="majorHAnsi" w:hAnsiTheme="majorHAnsi" w:cstheme="majorHAnsi"/>
                <w:b/>
                <w:bCs/>
                <w:color w:val="FFFFFF"/>
                <w:szCs w:val="18"/>
                <w:lang w:eastAsia="en-AU"/>
              </w:rPr>
            </w:pPr>
            <w:r w:rsidRPr="008E75CA">
              <w:rPr>
                <w:rFonts w:asciiTheme="majorHAnsi" w:hAnsiTheme="majorHAnsi" w:cstheme="majorHAnsi"/>
                <w:b/>
                <w:bCs/>
                <w:color w:val="FFFFFF"/>
                <w:szCs w:val="18"/>
                <w:lang w:eastAsia="en-AU"/>
              </w:rPr>
              <w:t>Weighting</w:t>
            </w:r>
          </w:p>
        </w:tc>
        <w:tc>
          <w:tcPr>
            <w:tcW w:w="2430" w:type="dxa"/>
            <w:gridSpan w:val="2"/>
            <w:tcBorders>
              <w:top w:val="single" w:sz="8" w:space="0" w:color="064EA8"/>
              <w:left w:val="nil"/>
              <w:bottom w:val="single" w:sz="8" w:space="0" w:color="064EA8"/>
              <w:right w:val="nil"/>
            </w:tcBorders>
            <w:shd w:val="clear" w:color="000000" w:fill="1B0B38"/>
            <w:vAlign w:val="center"/>
            <w:hideMark/>
          </w:tcPr>
          <w:p w14:paraId="7180AB24" w14:textId="77777777" w:rsidR="00FC2386" w:rsidRPr="008E75CA" w:rsidRDefault="00FC2386" w:rsidP="00D77130">
            <w:pPr>
              <w:keepNext/>
              <w:spacing w:before="0" w:after="0"/>
              <w:jc w:val="center"/>
              <w:rPr>
                <w:rFonts w:asciiTheme="majorHAnsi" w:hAnsiTheme="majorHAnsi" w:cstheme="majorHAnsi"/>
                <w:b/>
                <w:bCs/>
                <w:color w:val="FFFFFF"/>
                <w:szCs w:val="18"/>
                <w:lang w:eastAsia="en-AU"/>
              </w:rPr>
            </w:pPr>
            <w:r w:rsidRPr="008E75CA">
              <w:rPr>
                <w:rFonts w:asciiTheme="majorHAnsi" w:hAnsiTheme="majorHAnsi" w:cstheme="majorHAnsi"/>
                <w:b/>
                <w:bCs/>
                <w:color w:val="FFFFFF"/>
                <w:szCs w:val="18"/>
                <w:lang w:eastAsia="en-AU"/>
              </w:rPr>
              <w:t>Unweighted Scores</w:t>
            </w:r>
          </w:p>
        </w:tc>
      </w:tr>
      <w:tr w:rsidR="00FC2386" w:rsidRPr="008E75CA" w14:paraId="47F8E792" w14:textId="77777777" w:rsidTr="00D25E4E">
        <w:trPr>
          <w:trHeight w:val="470"/>
        </w:trPr>
        <w:tc>
          <w:tcPr>
            <w:tcW w:w="5066" w:type="dxa"/>
            <w:tcBorders>
              <w:top w:val="nil"/>
              <w:left w:val="nil"/>
              <w:bottom w:val="single" w:sz="8" w:space="0" w:color="064EA8"/>
              <w:right w:val="nil"/>
            </w:tcBorders>
            <w:shd w:val="clear" w:color="000000" w:fill="E7E6E6"/>
            <w:vAlign w:val="center"/>
            <w:hideMark/>
          </w:tcPr>
          <w:p w14:paraId="5CD8B22D" w14:textId="77777777" w:rsidR="00FC2386" w:rsidRPr="008E75CA" w:rsidRDefault="00FC2386" w:rsidP="00D77130">
            <w:pPr>
              <w:keepNext/>
              <w:spacing w:before="0" w:after="0"/>
              <w:rPr>
                <w:rFonts w:asciiTheme="majorHAnsi" w:hAnsiTheme="majorHAnsi" w:cstheme="majorHAnsi"/>
                <w:b/>
                <w:bCs/>
                <w:szCs w:val="18"/>
                <w:lang w:eastAsia="en-AU"/>
              </w:rPr>
            </w:pPr>
          </w:p>
        </w:tc>
        <w:tc>
          <w:tcPr>
            <w:tcW w:w="1384" w:type="dxa"/>
            <w:tcBorders>
              <w:top w:val="nil"/>
              <w:left w:val="nil"/>
              <w:bottom w:val="single" w:sz="8" w:space="0" w:color="064EA8"/>
              <w:right w:val="nil"/>
            </w:tcBorders>
            <w:shd w:val="clear" w:color="000000" w:fill="E7E6E6"/>
            <w:vAlign w:val="center"/>
            <w:hideMark/>
          </w:tcPr>
          <w:p w14:paraId="00384916" w14:textId="5BB746E2" w:rsidR="00FC2386" w:rsidRPr="008E75CA" w:rsidRDefault="00FC2386" w:rsidP="00D77130">
            <w:pPr>
              <w:keepNext/>
              <w:spacing w:before="0" w:after="0"/>
              <w:jc w:val="center"/>
              <w:rPr>
                <w:rFonts w:asciiTheme="majorHAnsi" w:hAnsiTheme="majorHAnsi" w:cstheme="majorHAnsi"/>
                <w:b/>
                <w:bCs/>
                <w:szCs w:val="18"/>
                <w:lang w:eastAsia="en-AU"/>
              </w:rPr>
            </w:pPr>
          </w:p>
        </w:tc>
        <w:tc>
          <w:tcPr>
            <w:tcW w:w="1215" w:type="dxa"/>
            <w:tcBorders>
              <w:top w:val="nil"/>
              <w:left w:val="nil"/>
              <w:bottom w:val="single" w:sz="8" w:space="0" w:color="064EA8"/>
              <w:right w:val="nil"/>
            </w:tcBorders>
            <w:shd w:val="clear" w:color="000000" w:fill="E7E6E6"/>
            <w:vAlign w:val="center"/>
            <w:hideMark/>
          </w:tcPr>
          <w:p w14:paraId="0A587137" w14:textId="77777777" w:rsidR="00FC2386" w:rsidRPr="008E75CA" w:rsidRDefault="00FC2386" w:rsidP="00D77130">
            <w:pPr>
              <w:keepNext/>
              <w:spacing w:before="0" w:after="0"/>
              <w:jc w:val="center"/>
              <w:rPr>
                <w:rFonts w:asciiTheme="majorHAnsi" w:hAnsiTheme="majorHAnsi" w:cstheme="majorHAnsi"/>
                <w:b/>
                <w:bCs/>
                <w:szCs w:val="18"/>
                <w:lang w:eastAsia="en-AU"/>
              </w:rPr>
            </w:pPr>
            <w:r>
              <w:rPr>
                <w:rFonts w:asciiTheme="majorHAnsi" w:hAnsiTheme="majorHAnsi" w:cstheme="majorHAnsi"/>
                <w:b/>
                <w:bCs/>
                <w:szCs w:val="18"/>
                <w:lang w:eastAsia="en-AU"/>
              </w:rPr>
              <w:t>Option 1</w:t>
            </w:r>
          </w:p>
        </w:tc>
        <w:tc>
          <w:tcPr>
            <w:tcW w:w="1215" w:type="dxa"/>
            <w:tcBorders>
              <w:top w:val="nil"/>
              <w:left w:val="nil"/>
              <w:bottom w:val="single" w:sz="8" w:space="0" w:color="064EA8"/>
              <w:right w:val="nil"/>
            </w:tcBorders>
            <w:shd w:val="clear" w:color="000000" w:fill="E7E6E6"/>
            <w:vAlign w:val="center"/>
            <w:hideMark/>
          </w:tcPr>
          <w:p w14:paraId="7DFC0280" w14:textId="77777777" w:rsidR="00FC2386" w:rsidRPr="008E75CA" w:rsidRDefault="00FC2386" w:rsidP="00D77130">
            <w:pPr>
              <w:keepNext/>
              <w:spacing w:before="0" w:after="0"/>
              <w:jc w:val="center"/>
              <w:rPr>
                <w:rFonts w:asciiTheme="majorHAnsi" w:hAnsiTheme="majorHAnsi" w:cstheme="majorHAnsi"/>
                <w:b/>
                <w:bCs/>
                <w:szCs w:val="18"/>
                <w:lang w:eastAsia="en-AU"/>
              </w:rPr>
            </w:pPr>
            <w:r>
              <w:rPr>
                <w:rFonts w:asciiTheme="majorHAnsi" w:hAnsiTheme="majorHAnsi" w:cstheme="majorHAnsi"/>
                <w:b/>
                <w:bCs/>
                <w:szCs w:val="18"/>
                <w:lang w:eastAsia="en-AU"/>
              </w:rPr>
              <w:t>Option 2</w:t>
            </w:r>
          </w:p>
        </w:tc>
      </w:tr>
      <w:tr w:rsidR="00FC2386" w:rsidRPr="008E75CA" w14:paraId="76DA22B8" w14:textId="77777777" w:rsidTr="00D25E4E">
        <w:trPr>
          <w:trHeight w:val="470"/>
        </w:trPr>
        <w:tc>
          <w:tcPr>
            <w:tcW w:w="5066" w:type="dxa"/>
            <w:tcBorders>
              <w:top w:val="nil"/>
              <w:left w:val="nil"/>
              <w:bottom w:val="single" w:sz="8" w:space="0" w:color="064EA8"/>
              <w:right w:val="nil"/>
            </w:tcBorders>
            <w:shd w:val="clear" w:color="auto" w:fill="auto"/>
            <w:vAlign w:val="center"/>
            <w:hideMark/>
          </w:tcPr>
          <w:p w14:paraId="55C45436" w14:textId="77777777" w:rsidR="00FC2386" w:rsidRPr="008E75CA" w:rsidRDefault="00FC2386" w:rsidP="00D25E4E">
            <w:pPr>
              <w:spacing w:before="0" w:after="0"/>
              <w:rPr>
                <w:rFonts w:asciiTheme="majorHAnsi" w:hAnsiTheme="majorHAnsi" w:cstheme="majorHAnsi"/>
                <w:szCs w:val="18"/>
                <w:lang w:eastAsia="en-AU"/>
              </w:rPr>
            </w:pPr>
            <w:r w:rsidRPr="008E75CA">
              <w:rPr>
                <w:rFonts w:asciiTheme="majorHAnsi" w:hAnsiTheme="majorHAnsi" w:cstheme="majorHAnsi"/>
              </w:rPr>
              <w:t>Provide a transparent, clear decision-making process</w:t>
            </w:r>
          </w:p>
        </w:tc>
        <w:tc>
          <w:tcPr>
            <w:tcW w:w="1384" w:type="dxa"/>
            <w:tcBorders>
              <w:top w:val="nil"/>
              <w:left w:val="nil"/>
              <w:bottom w:val="single" w:sz="8" w:space="0" w:color="064EA8"/>
              <w:right w:val="nil"/>
            </w:tcBorders>
            <w:shd w:val="clear" w:color="auto" w:fill="auto"/>
            <w:vAlign w:val="center"/>
            <w:hideMark/>
          </w:tcPr>
          <w:p w14:paraId="67DF70F5" w14:textId="6B7B8E96" w:rsidR="00FC2386" w:rsidRPr="008E75CA" w:rsidRDefault="00FC2386" w:rsidP="00D77130">
            <w:pPr>
              <w:spacing w:before="0" w:after="0"/>
              <w:jc w:val="center"/>
              <w:rPr>
                <w:rFonts w:asciiTheme="majorHAnsi" w:hAnsiTheme="majorHAnsi" w:cstheme="majorHAnsi"/>
                <w:szCs w:val="18"/>
                <w:lang w:eastAsia="en-AU"/>
              </w:rPr>
            </w:pPr>
            <w:r w:rsidRPr="008E75CA">
              <w:rPr>
                <w:rFonts w:asciiTheme="majorHAnsi" w:hAnsiTheme="majorHAnsi" w:cstheme="majorHAnsi"/>
                <w:szCs w:val="18"/>
                <w:lang w:eastAsia="en-AU"/>
              </w:rPr>
              <w:t>25%</w:t>
            </w:r>
          </w:p>
        </w:tc>
        <w:tc>
          <w:tcPr>
            <w:tcW w:w="1215" w:type="dxa"/>
            <w:tcBorders>
              <w:top w:val="nil"/>
              <w:left w:val="nil"/>
              <w:bottom w:val="single" w:sz="8" w:space="0" w:color="064EA8"/>
              <w:right w:val="nil"/>
            </w:tcBorders>
            <w:shd w:val="clear" w:color="auto" w:fill="auto"/>
            <w:vAlign w:val="center"/>
            <w:hideMark/>
          </w:tcPr>
          <w:p w14:paraId="01FD62F0" w14:textId="77777777" w:rsidR="00FC2386" w:rsidRPr="008E75CA" w:rsidRDefault="00FC2386" w:rsidP="00D77130">
            <w:pPr>
              <w:spacing w:before="0" w:after="0"/>
              <w:jc w:val="center"/>
              <w:rPr>
                <w:rFonts w:asciiTheme="majorHAnsi" w:hAnsiTheme="majorHAnsi" w:cstheme="majorHAnsi"/>
                <w:szCs w:val="18"/>
                <w:lang w:eastAsia="en-AU"/>
              </w:rPr>
            </w:pPr>
            <w:r w:rsidRPr="008E75CA">
              <w:rPr>
                <w:rFonts w:asciiTheme="majorHAnsi" w:hAnsiTheme="majorHAnsi" w:cstheme="majorHAnsi"/>
                <w:szCs w:val="18"/>
                <w:lang w:eastAsia="en-AU"/>
              </w:rPr>
              <w:t>0</w:t>
            </w:r>
          </w:p>
        </w:tc>
        <w:tc>
          <w:tcPr>
            <w:tcW w:w="1215" w:type="dxa"/>
            <w:tcBorders>
              <w:top w:val="nil"/>
              <w:left w:val="nil"/>
              <w:bottom w:val="single" w:sz="8" w:space="0" w:color="064EA8"/>
              <w:right w:val="nil"/>
            </w:tcBorders>
            <w:shd w:val="clear" w:color="auto" w:fill="auto"/>
            <w:vAlign w:val="center"/>
            <w:hideMark/>
          </w:tcPr>
          <w:p w14:paraId="70C9554B" w14:textId="77777777" w:rsidR="00FC2386" w:rsidRPr="008E75CA" w:rsidRDefault="00FC2386" w:rsidP="00D77130">
            <w:pPr>
              <w:spacing w:before="0" w:after="0"/>
              <w:jc w:val="center"/>
              <w:rPr>
                <w:rFonts w:asciiTheme="majorHAnsi" w:hAnsiTheme="majorHAnsi" w:cstheme="majorHAnsi"/>
                <w:szCs w:val="18"/>
                <w:lang w:eastAsia="en-AU"/>
              </w:rPr>
            </w:pPr>
            <w:r>
              <w:rPr>
                <w:rFonts w:asciiTheme="majorHAnsi" w:hAnsiTheme="majorHAnsi" w:cstheme="majorHAnsi"/>
                <w:szCs w:val="18"/>
                <w:lang w:eastAsia="en-AU"/>
              </w:rPr>
              <w:t>6</w:t>
            </w:r>
          </w:p>
        </w:tc>
      </w:tr>
    </w:tbl>
    <w:p w14:paraId="607A9B46" w14:textId="467E52CD" w:rsidR="007C3FEE" w:rsidRPr="007C3FEE" w:rsidRDefault="007C3FEE" w:rsidP="007C3FEE">
      <w:pPr>
        <w:pStyle w:val="Heading7"/>
      </w:pPr>
      <w:r>
        <w:t>Option 1</w:t>
      </w:r>
    </w:p>
    <w:p w14:paraId="581C1B5A" w14:textId="54F3DF1F" w:rsidR="00A35EFA" w:rsidRDefault="00A35EFA" w:rsidP="0024528B">
      <w:r>
        <w:t>Under this option, no process is prescribed for the Minister to follow in making their determination</w:t>
      </w:r>
      <w:r w:rsidR="00A208A2">
        <w:t xml:space="preserve"> in addition to that set out in the Act</w:t>
      </w:r>
      <w:r>
        <w:t xml:space="preserve">. This is no improvement on the base case. </w:t>
      </w:r>
    </w:p>
    <w:p w14:paraId="1B824AFC" w14:textId="65E4FAE6" w:rsidR="00A35EFA" w:rsidRDefault="00F24E65" w:rsidP="007C3FEE">
      <w:pPr>
        <w:pStyle w:val="Heading7"/>
      </w:pPr>
      <w:r>
        <w:t>Option 2</w:t>
      </w:r>
    </w:p>
    <w:p w14:paraId="606AD5E4" w14:textId="75B33061" w:rsidR="00A208A2" w:rsidRDefault="068DA803" w:rsidP="0024528B">
      <w:r>
        <w:t>Option 2</w:t>
      </w:r>
      <w:r w:rsidR="6002E060">
        <w:t xml:space="preserve"> prescribe</w:t>
      </w:r>
      <w:r w:rsidR="68F3AD8F">
        <w:t>s</w:t>
      </w:r>
      <w:r w:rsidR="6002E060">
        <w:t xml:space="preserve"> a list of matters to be considered by the Minister in their determination, and an extended list of referrals beyond those set out in the Act. Both requirements are considered to improve the clarity and transparency of decision-making </w:t>
      </w:r>
      <w:r w:rsidR="62EB693F">
        <w:t xml:space="preserve">relative to the base case, </w:t>
      </w:r>
      <w:r w:rsidR="6002E060">
        <w:t>by making clear, to government, industry, and the community, what matters are relevant and important in the decision. Including a list of considerations also means that the</w:t>
      </w:r>
      <w:r w:rsidR="493762A3">
        <w:t xml:space="preserve">re is more </w:t>
      </w:r>
      <w:r w:rsidR="7C0F638E">
        <w:t xml:space="preserve">certainty and </w:t>
      </w:r>
      <w:r w:rsidR="493762A3">
        <w:t>transparency in</w:t>
      </w:r>
      <w:r w:rsidR="7C0F638E">
        <w:t xml:space="preserve"> the</w:t>
      </w:r>
      <w:r w:rsidR="6002E060">
        <w:t xml:space="preserve"> Minister’s decision</w:t>
      </w:r>
      <w:r w:rsidR="7C0F638E">
        <w:t xml:space="preserve"> making</w:t>
      </w:r>
      <w:r w:rsidR="6002E060">
        <w:t>.</w:t>
      </w:r>
      <w:r w:rsidR="62EB693F">
        <w:t xml:space="preserve"> This is a significant improvement on the base case.</w:t>
      </w:r>
    </w:p>
    <w:p w14:paraId="12B6A1F3" w14:textId="427FABB8" w:rsidR="00A208A2" w:rsidRDefault="00A208A2" w:rsidP="003F70FF">
      <w:pPr>
        <w:pStyle w:val="Heading6"/>
      </w:pPr>
      <w:r>
        <w:lastRenderedPageBreak/>
        <w:t>Benefits scores</w:t>
      </w:r>
    </w:p>
    <w:p w14:paraId="36EB86E3" w14:textId="45388DEE" w:rsidR="00A208A2" w:rsidRDefault="00A208A2" w:rsidP="0024528B">
      <w:r>
        <w:fldChar w:fldCharType="begin"/>
      </w:r>
      <w:r>
        <w:instrText xml:space="preserve"> REF _Ref55479155 \h </w:instrText>
      </w:r>
      <w:r>
        <w:fldChar w:fldCharType="separate"/>
      </w:r>
      <w:r w:rsidR="000B3BF6">
        <w:t xml:space="preserve">Table </w:t>
      </w:r>
      <w:r w:rsidR="000B3BF6">
        <w:rPr>
          <w:noProof/>
        </w:rPr>
        <w:t>14</w:t>
      </w:r>
      <w:r>
        <w:fldChar w:fldCharType="end"/>
      </w:r>
      <w:r>
        <w:t xml:space="preserve"> sets out the scores allocated to </w:t>
      </w:r>
      <w:r w:rsidR="00F24E65">
        <w:t>Option 1</w:t>
      </w:r>
      <w:r>
        <w:t xml:space="preserve"> and </w:t>
      </w:r>
      <w:r w:rsidR="00F24E65">
        <w:t>Option 2</w:t>
      </w:r>
      <w:r>
        <w:t xml:space="preserve"> against the benefits criterion. While both options are more effective than the base case, the increased transparency and clarity of decision-making afforded by </w:t>
      </w:r>
      <w:r w:rsidR="00F24E65">
        <w:t>Option 2</w:t>
      </w:r>
      <w:r>
        <w:t xml:space="preserve"> means that it is scored higher than </w:t>
      </w:r>
      <w:r w:rsidR="00F24E65">
        <w:t>Option 1</w:t>
      </w:r>
      <w:r>
        <w:t>.</w:t>
      </w:r>
    </w:p>
    <w:p w14:paraId="1FD7F4BC" w14:textId="7704BFCE" w:rsidR="00A35EFA" w:rsidRDefault="00A35EFA" w:rsidP="00811C1F">
      <w:pPr>
        <w:pStyle w:val="Caption"/>
      </w:pPr>
      <w:bookmarkStart w:id="342" w:name="_Ref55479155"/>
      <w:bookmarkStart w:id="343" w:name="_Toc104217630"/>
      <w:r>
        <w:t xml:space="preserve">Table </w:t>
      </w:r>
      <w:r>
        <w:fldChar w:fldCharType="begin"/>
      </w:r>
      <w:r>
        <w:instrText>SEQ Table \* ARABIC</w:instrText>
      </w:r>
      <w:r>
        <w:fldChar w:fldCharType="separate"/>
      </w:r>
      <w:r w:rsidR="000B3BF6">
        <w:rPr>
          <w:noProof/>
        </w:rPr>
        <w:t>14</w:t>
      </w:r>
      <w:r>
        <w:fldChar w:fldCharType="end"/>
      </w:r>
      <w:bookmarkEnd w:id="342"/>
      <w:r w:rsidR="00702A85">
        <w:rPr>
          <w:noProof/>
        </w:rPr>
        <w:t>:</w:t>
      </w:r>
      <w:r>
        <w:t xml:space="preserve"> Benefits scores - mine closure determinations</w:t>
      </w:r>
      <w:bookmarkEnd w:id="343"/>
    </w:p>
    <w:tbl>
      <w:tblPr>
        <w:tblW w:w="8880" w:type="dxa"/>
        <w:tblLook w:val="04A0" w:firstRow="1" w:lastRow="0" w:firstColumn="1" w:lastColumn="0" w:noHBand="0" w:noVBand="1"/>
        <w:tblCaption w:val="Table heading"/>
      </w:tblPr>
      <w:tblGrid>
        <w:gridCol w:w="3974"/>
        <w:gridCol w:w="1086"/>
        <w:gridCol w:w="953"/>
        <w:gridCol w:w="953"/>
        <w:gridCol w:w="957"/>
        <w:gridCol w:w="957"/>
      </w:tblGrid>
      <w:tr w:rsidR="002E0DCC" w:rsidRPr="002E0DCC" w14:paraId="73B0A9A3" w14:textId="77777777" w:rsidTr="008E75CA">
        <w:trPr>
          <w:trHeight w:val="470"/>
        </w:trPr>
        <w:tc>
          <w:tcPr>
            <w:tcW w:w="3974" w:type="dxa"/>
            <w:tcBorders>
              <w:top w:val="single" w:sz="8" w:space="0" w:color="064EA8"/>
              <w:left w:val="nil"/>
              <w:bottom w:val="single" w:sz="8" w:space="0" w:color="064EA8"/>
              <w:right w:val="nil"/>
            </w:tcBorders>
            <w:shd w:val="clear" w:color="000000" w:fill="1B0B38"/>
            <w:vAlign w:val="center"/>
            <w:hideMark/>
          </w:tcPr>
          <w:p w14:paraId="47A3E200" w14:textId="77777777" w:rsidR="00A61459" w:rsidRPr="008E75CA" w:rsidRDefault="00A61459" w:rsidP="00811C1F">
            <w:pPr>
              <w:keepNext/>
              <w:spacing w:before="0" w:after="0"/>
              <w:rPr>
                <w:rFonts w:asciiTheme="majorHAnsi" w:hAnsiTheme="majorHAnsi" w:cstheme="majorHAnsi"/>
                <w:b/>
                <w:bCs/>
                <w:color w:val="FFFFFF"/>
                <w:szCs w:val="18"/>
                <w:lang w:eastAsia="en-AU"/>
              </w:rPr>
            </w:pPr>
            <w:r w:rsidRPr="008E75CA">
              <w:rPr>
                <w:rFonts w:asciiTheme="majorHAnsi" w:hAnsiTheme="majorHAnsi" w:cstheme="majorHAnsi"/>
                <w:b/>
                <w:bCs/>
                <w:color w:val="FFFFFF"/>
                <w:szCs w:val="18"/>
                <w:lang w:eastAsia="en-AU"/>
              </w:rPr>
              <w:t>Criteria</w:t>
            </w:r>
          </w:p>
        </w:tc>
        <w:tc>
          <w:tcPr>
            <w:tcW w:w="1086" w:type="dxa"/>
            <w:tcBorders>
              <w:top w:val="single" w:sz="8" w:space="0" w:color="064EA8"/>
              <w:left w:val="nil"/>
              <w:bottom w:val="single" w:sz="8" w:space="0" w:color="064EA8"/>
              <w:right w:val="nil"/>
            </w:tcBorders>
            <w:shd w:val="clear" w:color="000000" w:fill="1B0B38"/>
            <w:vAlign w:val="center"/>
            <w:hideMark/>
          </w:tcPr>
          <w:p w14:paraId="752206B8" w14:textId="77777777" w:rsidR="00A61459" w:rsidRPr="008E75CA" w:rsidRDefault="00A61459" w:rsidP="00811C1F">
            <w:pPr>
              <w:keepNext/>
              <w:spacing w:before="0" w:after="0"/>
              <w:jc w:val="center"/>
              <w:rPr>
                <w:rFonts w:asciiTheme="majorHAnsi" w:hAnsiTheme="majorHAnsi" w:cstheme="majorHAnsi"/>
                <w:b/>
                <w:bCs/>
                <w:color w:val="FFFFFF"/>
                <w:szCs w:val="18"/>
                <w:lang w:eastAsia="en-AU"/>
              </w:rPr>
            </w:pPr>
            <w:r w:rsidRPr="008E75CA">
              <w:rPr>
                <w:rFonts w:asciiTheme="majorHAnsi" w:hAnsiTheme="majorHAnsi" w:cstheme="majorHAnsi"/>
                <w:b/>
                <w:bCs/>
                <w:color w:val="FFFFFF"/>
                <w:szCs w:val="18"/>
                <w:lang w:eastAsia="en-AU"/>
              </w:rPr>
              <w:t>Weighting</w:t>
            </w:r>
          </w:p>
        </w:tc>
        <w:tc>
          <w:tcPr>
            <w:tcW w:w="1906" w:type="dxa"/>
            <w:gridSpan w:val="2"/>
            <w:tcBorders>
              <w:top w:val="single" w:sz="8" w:space="0" w:color="064EA8"/>
              <w:left w:val="nil"/>
              <w:bottom w:val="single" w:sz="8" w:space="0" w:color="064EA8"/>
              <w:right w:val="nil"/>
            </w:tcBorders>
            <w:shd w:val="clear" w:color="000000" w:fill="1B0B38"/>
            <w:vAlign w:val="center"/>
            <w:hideMark/>
          </w:tcPr>
          <w:p w14:paraId="3568B030" w14:textId="77777777" w:rsidR="00A61459" w:rsidRPr="008E75CA" w:rsidRDefault="00A61459" w:rsidP="00811C1F">
            <w:pPr>
              <w:keepNext/>
              <w:spacing w:before="0" w:after="0"/>
              <w:jc w:val="center"/>
              <w:rPr>
                <w:rFonts w:asciiTheme="majorHAnsi" w:hAnsiTheme="majorHAnsi" w:cstheme="majorHAnsi"/>
                <w:b/>
                <w:bCs/>
                <w:color w:val="FFFFFF"/>
                <w:szCs w:val="18"/>
                <w:lang w:eastAsia="en-AU"/>
              </w:rPr>
            </w:pPr>
            <w:r w:rsidRPr="008E75CA">
              <w:rPr>
                <w:rFonts w:asciiTheme="majorHAnsi" w:hAnsiTheme="majorHAnsi" w:cstheme="majorHAnsi"/>
                <w:b/>
                <w:bCs/>
                <w:color w:val="FFFFFF"/>
                <w:szCs w:val="18"/>
                <w:lang w:eastAsia="en-AU"/>
              </w:rPr>
              <w:t>Unweighted Scores</w:t>
            </w:r>
          </w:p>
        </w:tc>
        <w:tc>
          <w:tcPr>
            <w:tcW w:w="1914" w:type="dxa"/>
            <w:gridSpan w:val="2"/>
            <w:tcBorders>
              <w:top w:val="single" w:sz="8" w:space="0" w:color="064EA8"/>
              <w:left w:val="nil"/>
              <w:bottom w:val="single" w:sz="8" w:space="0" w:color="064EA8"/>
              <w:right w:val="nil"/>
            </w:tcBorders>
            <w:shd w:val="clear" w:color="000000" w:fill="1B0B38"/>
            <w:vAlign w:val="center"/>
            <w:hideMark/>
          </w:tcPr>
          <w:p w14:paraId="0C3BF848" w14:textId="77777777" w:rsidR="00A61459" w:rsidRPr="008E75CA" w:rsidRDefault="00A61459" w:rsidP="00811C1F">
            <w:pPr>
              <w:keepNext/>
              <w:spacing w:before="0" w:after="0"/>
              <w:jc w:val="center"/>
              <w:rPr>
                <w:rFonts w:asciiTheme="majorHAnsi" w:hAnsiTheme="majorHAnsi" w:cstheme="majorHAnsi"/>
                <w:b/>
                <w:bCs/>
                <w:color w:val="FFFFFF"/>
                <w:szCs w:val="18"/>
                <w:lang w:eastAsia="en-AU"/>
              </w:rPr>
            </w:pPr>
            <w:r w:rsidRPr="008E75CA">
              <w:rPr>
                <w:rFonts w:asciiTheme="majorHAnsi" w:hAnsiTheme="majorHAnsi" w:cstheme="majorHAnsi"/>
                <w:b/>
                <w:bCs/>
                <w:color w:val="FFFFFF"/>
                <w:szCs w:val="18"/>
                <w:lang w:eastAsia="en-AU"/>
              </w:rPr>
              <w:t>Weighted Scores</w:t>
            </w:r>
          </w:p>
        </w:tc>
      </w:tr>
      <w:tr w:rsidR="002E0DCC" w:rsidRPr="002E0DCC" w14:paraId="2A590F13" w14:textId="77777777" w:rsidTr="008E75CA">
        <w:trPr>
          <w:trHeight w:val="470"/>
        </w:trPr>
        <w:tc>
          <w:tcPr>
            <w:tcW w:w="3974" w:type="dxa"/>
            <w:tcBorders>
              <w:top w:val="nil"/>
              <w:left w:val="nil"/>
              <w:bottom w:val="single" w:sz="8" w:space="0" w:color="064EA8"/>
              <w:right w:val="nil"/>
            </w:tcBorders>
            <w:shd w:val="clear" w:color="000000" w:fill="E7E6E6"/>
            <w:vAlign w:val="center"/>
            <w:hideMark/>
          </w:tcPr>
          <w:p w14:paraId="5B68B6FE" w14:textId="7ECFEC4C" w:rsidR="00A61459" w:rsidRPr="008E75CA" w:rsidRDefault="00A61459" w:rsidP="00811C1F">
            <w:pPr>
              <w:keepNext/>
              <w:spacing w:before="0" w:after="0"/>
              <w:rPr>
                <w:rFonts w:asciiTheme="majorHAnsi" w:hAnsiTheme="majorHAnsi" w:cstheme="majorHAnsi"/>
                <w:b/>
                <w:bCs/>
                <w:szCs w:val="18"/>
                <w:lang w:eastAsia="en-AU"/>
              </w:rPr>
            </w:pPr>
          </w:p>
        </w:tc>
        <w:tc>
          <w:tcPr>
            <w:tcW w:w="1086" w:type="dxa"/>
            <w:tcBorders>
              <w:top w:val="nil"/>
              <w:left w:val="nil"/>
              <w:bottom w:val="single" w:sz="8" w:space="0" w:color="064EA8"/>
              <w:right w:val="nil"/>
            </w:tcBorders>
            <w:shd w:val="clear" w:color="000000" w:fill="E7E6E6"/>
            <w:vAlign w:val="center"/>
            <w:hideMark/>
          </w:tcPr>
          <w:p w14:paraId="5B4113F3" w14:textId="77777777" w:rsidR="00A61459" w:rsidRPr="008E75CA" w:rsidRDefault="00A61459" w:rsidP="00811C1F">
            <w:pPr>
              <w:keepNext/>
              <w:spacing w:before="0" w:after="0"/>
              <w:jc w:val="center"/>
              <w:rPr>
                <w:rFonts w:asciiTheme="majorHAnsi" w:hAnsiTheme="majorHAnsi" w:cstheme="majorHAnsi"/>
                <w:b/>
                <w:bCs/>
                <w:szCs w:val="18"/>
                <w:lang w:eastAsia="en-AU"/>
              </w:rPr>
            </w:pPr>
            <w:r w:rsidRPr="008E75CA">
              <w:rPr>
                <w:rFonts w:asciiTheme="majorHAnsi" w:hAnsiTheme="majorHAnsi" w:cstheme="majorHAnsi"/>
                <w:b/>
                <w:bCs/>
                <w:szCs w:val="18"/>
                <w:lang w:eastAsia="en-AU"/>
              </w:rPr>
              <w:t> </w:t>
            </w:r>
          </w:p>
        </w:tc>
        <w:tc>
          <w:tcPr>
            <w:tcW w:w="953" w:type="dxa"/>
            <w:tcBorders>
              <w:top w:val="nil"/>
              <w:left w:val="nil"/>
              <w:bottom w:val="single" w:sz="8" w:space="0" w:color="064EA8"/>
              <w:right w:val="nil"/>
            </w:tcBorders>
            <w:shd w:val="clear" w:color="000000" w:fill="E7E6E6"/>
            <w:vAlign w:val="center"/>
            <w:hideMark/>
          </w:tcPr>
          <w:p w14:paraId="6AA73DC5" w14:textId="66D74FB3" w:rsidR="00A61459" w:rsidRPr="008E75CA" w:rsidRDefault="00F24E65" w:rsidP="00811C1F">
            <w:pPr>
              <w:keepNext/>
              <w:spacing w:before="0" w:after="0"/>
              <w:jc w:val="center"/>
              <w:rPr>
                <w:rFonts w:asciiTheme="majorHAnsi" w:hAnsiTheme="majorHAnsi" w:cstheme="majorHAnsi"/>
                <w:b/>
                <w:bCs/>
                <w:szCs w:val="18"/>
                <w:lang w:eastAsia="en-AU"/>
              </w:rPr>
            </w:pPr>
            <w:r>
              <w:rPr>
                <w:rFonts w:asciiTheme="majorHAnsi" w:hAnsiTheme="majorHAnsi" w:cstheme="majorHAnsi"/>
                <w:b/>
                <w:bCs/>
                <w:szCs w:val="18"/>
                <w:lang w:eastAsia="en-AU"/>
              </w:rPr>
              <w:t>Option 1</w:t>
            </w:r>
          </w:p>
        </w:tc>
        <w:tc>
          <w:tcPr>
            <w:tcW w:w="953" w:type="dxa"/>
            <w:tcBorders>
              <w:top w:val="nil"/>
              <w:left w:val="nil"/>
              <w:bottom w:val="single" w:sz="8" w:space="0" w:color="064EA8"/>
              <w:right w:val="nil"/>
            </w:tcBorders>
            <w:shd w:val="clear" w:color="000000" w:fill="E7E6E6"/>
            <w:vAlign w:val="center"/>
            <w:hideMark/>
          </w:tcPr>
          <w:p w14:paraId="2CF9AF5F" w14:textId="4F0E682E" w:rsidR="00A61459" w:rsidRPr="008E75CA" w:rsidRDefault="00F24E65" w:rsidP="00811C1F">
            <w:pPr>
              <w:keepNext/>
              <w:spacing w:before="0" w:after="0"/>
              <w:jc w:val="center"/>
              <w:rPr>
                <w:rFonts w:asciiTheme="majorHAnsi" w:hAnsiTheme="majorHAnsi" w:cstheme="majorHAnsi"/>
                <w:b/>
                <w:bCs/>
                <w:szCs w:val="18"/>
                <w:lang w:eastAsia="en-AU"/>
              </w:rPr>
            </w:pPr>
            <w:r>
              <w:rPr>
                <w:rFonts w:asciiTheme="majorHAnsi" w:hAnsiTheme="majorHAnsi" w:cstheme="majorHAnsi"/>
                <w:b/>
                <w:bCs/>
                <w:szCs w:val="18"/>
                <w:lang w:eastAsia="en-AU"/>
              </w:rPr>
              <w:t>Option 2</w:t>
            </w:r>
          </w:p>
        </w:tc>
        <w:tc>
          <w:tcPr>
            <w:tcW w:w="957" w:type="dxa"/>
            <w:tcBorders>
              <w:top w:val="nil"/>
              <w:left w:val="nil"/>
              <w:bottom w:val="single" w:sz="8" w:space="0" w:color="064EA8"/>
              <w:right w:val="nil"/>
            </w:tcBorders>
            <w:shd w:val="clear" w:color="000000" w:fill="E7E6E6"/>
            <w:vAlign w:val="center"/>
            <w:hideMark/>
          </w:tcPr>
          <w:p w14:paraId="01C98C35" w14:textId="075C15D1" w:rsidR="00A61459" w:rsidRPr="008E75CA" w:rsidRDefault="00F24E65" w:rsidP="00811C1F">
            <w:pPr>
              <w:keepNext/>
              <w:spacing w:before="0" w:after="0"/>
              <w:jc w:val="center"/>
              <w:rPr>
                <w:rFonts w:asciiTheme="majorHAnsi" w:hAnsiTheme="majorHAnsi" w:cstheme="majorHAnsi"/>
                <w:b/>
                <w:bCs/>
                <w:szCs w:val="18"/>
                <w:lang w:eastAsia="en-AU"/>
              </w:rPr>
            </w:pPr>
            <w:r>
              <w:rPr>
                <w:rFonts w:asciiTheme="majorHAnsi" w:hAnsiTheme="majorHAnsi" w:cstheme="majorHAnsi"/>
                <w:b/>
                <w:bCs/>
                <w:szCs w:val="18"/>
                <w:lang w:eastAsia="en-AU"/>
              </w:rPr>
              <w:t>Option 1</w:t>
            </w:r>
          </w:p>
        </w:tc>
        <w:tc>
          <w:tcPr>
            <w:tcW w:w="957" w:type="dxa"/>
            <w:tcBorders>
              <w:top w:val="nil"/>
              <w:left w:val="nil"/>
              <w:bottom w:val="single" w:sz="8" w:space="0" w:color="064EA8"/>
              <w:right w:val="nil"/>
            </w:tcBorders>
            <w:shd w:val="clear" w:color="000000" w:fill="E7E6E6"/>
            <w:vAlign w:val="center"/>
            <w:hideMark/>
          </w:tcPr>
          <w:p w14:paraId="2C1485AD" w14:textId="2C7FC20F" w:rsidR="00A61459" w:rsidRPr="008E75CA" w:rsidRDefault="00F24E65" w:rsidP="00811C1F">
            <w:pPr>
              <w:keepNext/>
              <w:spacing w:before="0" w:after="0"/>
              <w:jc w:val="center"/>
              <w:rPr>
                <w:rFonts w:asciiTheme="majorHAnsi" w:hAnsiTheme="majorHAnsi" w:cstheme="majorHAnsi"/>
                <w:b/>
                <w:bCs/>
                <w:szCs w:val="18"/>
                <w:lang w:eastAsia="en-AU"/>
              </w:rPr>
            </w:pPr>
            <w:r>
              <w:rPr>
                <w:rFonts w:asciiTheme="majorHAnsi" w:hAnsiTheme="majorHAnsi" w:cstheme="majorHAnsi"/>
                <w:b/>
                <w:bCs/>
                <w:szCs w:val="18"/>
                <w:lang w:eastAsia="en-AU"/>
              </w:rPr>
              <w:t>Option 2</w:t>
            </w:r>
          </w:p>
        </w:tc>
      </w:tr>
      <w:tr w:rsidR="002E0DCC" w:rsidRPr="002E0DCC" w14:paraId="4F0B373F" w14:textId="77777777" w:rsidTr="008E75CA">
        <w:trPr>
          <w:trHeight w:val="470"/>
        </w:trPr>
        <w:tc>
          <w:tcPr>
            <w:tcW w:w="3974" w:type="dxa"/>
            <w:tcBorders>
              <w:top w:val="nil"/>
              <w:left w:val="nil"/>
              <w:bottom w:val="nil"/>
              <w:right w:val="nil"/>
            </w:tcBorders>
            <w:shd w:val="clear" w:color="auto" w:fill="auto"/>
            <w:vAlign w:val="center"/>
            <w:hideMark/>
          </w:tcPr>
          <w:p w14:paraId="5A504EC1" w14:textId="77777777" w:rsidR="00A61459" w:rsidRPr="008E75CA" w:rsidRDefault="00A61459" w:rsidP="00D25E4E">
            <w:pPr>
              <w:keepNext/>
              <w:spacing w:before="0" w:after="0"/>
              <w:rPr>
                <w:rFonts w:asciiTheme="majorHAnsi" w:hAnsiTheme="majorHAnsi" w:cstheme="majorHAnsi"/>
              </w:rPr>
            </w:pPr>
            <w:r w:rsidRPr="008E75CA">
              <w:rPr>
                <w:rFonts w:asciiTheme="majorHAnsi" w:hAnsiTheme="majorHAnsi" w:cstheme="majorHAnsi"/>
              </w:rPr>
              <w:t>Support informed decision-making to ensure rehabilitation meets legislative objectives</w:t>
            </w:r>
          </w:p>
        </w:tc>
        <w:tc>
          <w:tcPr>
            <w:tcW w:w="1086" w:type="dxa"/>
            <w:tcBorders>
              <w:top w:val="nil"/>
              <w:left w:val="nil"/>
              <w:bottom w:val="single" w:sz="8" w:space="0" w:color="064EA8"/>
              <w:right w:val="nil"/>
            </w:tcBorders>
            <w:shd w:val="clear" w:color="auto" w:fill="auto"/>
            <w:vAlign w:val="center"/>
            <w:hideMark/>
          </w:tcPr>
          <w:p w14:paraId="55EA1EE0" w14:textId="7E1A0A3F" w:rsidR="00A61459" w:rsidRPr="008E75CA" w:rsidRDefault="00A61459" w:rsidP="00811C1F">
            <w:pPr>
              <w:keepNext/>
              <w:spacing w:before="0" w:after="0"/>
              <w:jc w:val="center"/>
              <w:rPr>
                <w:rFonts w:asciiTheme="majorHAnsi" w:hAnsiTheme="majorHAnsi" w:cstheme="majorHAnsi"/>
                <w:szCs w:val="18"/>
                <w:lang w:eastAsia="en-AU"/>
              </w:rPr>
            </w:pPr>
            <w:r w:rsidRPr="008E75CA">
              <w:rPr>
                <w:rFonts w:asciiTheme="majorHAnsi" w:hAnsiTheme="majorHAnsi" w:cstheme="majorHAnsi"/>
                <w:szCs w:val="18"/>
                <w:lang w:eastAsia="en-AU"/>
              </w:rPr>
              <w:t>25%</w:t>
            </w:r>
          </w:p>
        </w:tc>
        <w:tc>
          <w:tcPr>
            <w:tcW w:w="953" w:type="dxa"/>
            <w:tcBorders>
              <w:top w:val="nil"/>
              <w:left w:val="nil"/>
              <w:bottom w:val="single" w:sz="8" w:space="0" w:color="064EA8"/>
              <w:right w:val="nil"/>
            </w:tcBorders>
            <w:shd w:val="clear" w:color="auto" w:fill="auto"/>
            <w:vAlign w:val="center"/>
            <w:hideMark/>
          </w:tcPr>
          <w:p w14:paraId="11AF4C46" w14:textId="4370420C" w:rsidR="00A61459" w:rsidRPr="008E75CA" w:rsidRDefault="006C4911" w:rsidP="00811C1F">
            <w:pPr>
              <w:keepNext/>
              <w:spacing w:before="0" w:after="0"/>
              <w:jc w:val="center"/>
              <w:rPr>
                <w:rFonts w:asciiTheme="majorHAnsi" w:hAnsiTheme="majorHAnsi" w:cstheme="majorHAnsi"/>
                <w:szCs w:val="18"/>
                <w:lang w:eastAsia="en-AU"/>
              </w:rPr>
            </w:pPr>
            <w:r>
              <w:rPr>
                <w:rFonts w:asciiTheme="majorHAnsi" w:hAnsiTheme="majorHAnsi" w:cstheme="majorHAnsi"/>
                <w:szCs w:val="18"/>
                <w:lang w:eastAsia="en-AU"/>
              </w:rPr>
              <w:t>8</w:t>
            </w:r>
          </w:p>
        </w:tc>
        <w:tc>
          <w:tcPr>
            <w:tcW w:w="953" w:type="dxa"/>
            <w:tcBorders>
              <w:top w:val="nil"/>
              <w:left w:val="nil"/>
              <w:bottom w:val="single" w:sz="8" w:space="0" w:color="064EA8"/>
              <w:right w:val="nil"/>
            </w:tcBorders>
            <w:shd w:val="clear" w:color="auto" w:fill="auto"/>
            <w:vAlign w:val="center"/>
            <w:hideMark/>
          </w:tcPr>
          <w:p w14:paraId="0D0DC531" w14:textId="2CD7827D" w:rsidR="00A61459" w:rsidRPr="008E75CA" w:rsidRDefault="006C4911" w:rsidP="00811C1F">
            <w:pPr>
              <w:keepNext/>
              <w:spacing w:before="0" w:after="0"/>
              <w:jc w:val="center"/>
              <w:rPr>
                <w:rFonts w:asciiTheme="majorHAnsi" w:hAnsiTheme="majorHAnsi" w:cstheme="majorHAnsi"/>
                <w:szCs w:val="18"/>
                <w:lang w:eastAsia="en-AU"/>
              </w:rPr>
            </w:pPr>
            <w:r>
              <w:rPr>
                <w:rFonts w:asciiTheme="majorHAnsi" w:hAnsiTheme="majorHAnsi" w:cstheme="majorHAnsi"/>
                <w:szCs w:val="18"/>
                <w:lang w:eastAsia="en-AU"/>
              </w:rPr>
              <w:t>5</w:t>
            </w:r>
          </w:p>
        </w:tc>
        <w:tc>
          <w:tcPr>
            <w:tcW w:w="957" w:type="dxa"/>
            <w:tcBorders>
              <w:top w:val="nil"/>
              <w:left w:val="nil"/>
              <w:bottom w:val="single" w:sz="8" w:space="0" w:color="064EA8"/>
              <w:right w:val="nil"/>
            </w:tcBorders>
            <w:shd w:val="clear" w:color="auto" w:fill="auto"/>
            <w:vAlign w:val="center"/>
            <w:hideMark/>
          </w:tcPr>
          <w:p w14:paraId="64529F46" w14:textId="79C85FFA" w:rsidR="00A61459" w:rsidRPr="008E75CA" w:rsidRDefault="006219BF" w:rsidP="00811C1F">
            <w:pPr>
              <w:keepNext/>
              <w:spacing w:before="0" w:after="0"/>
              <w:jc w:val="center"/>
              <w:rPr>
                <w:rFonts w:asciiTheme="majorHAnsi" w:hAnsiTheme="majorHAnsi" w:cstheme="majorHAnsi"/>
                <w:szCs w:val="18"/>
                <w:lang w:eastAsia="en-AU"/>
              </w:rPr>
            </w:pPr>
            <w:r>
              <w:rPr>
                <w:rFonts w:asciiTheme="majorHAnsi" w:hAnsiTheme="majorHAnsi" w:cstheme="majorHAnsi"/>
                <w:szCs w:val="18"/>
                <w:lang w:eastAsia="en-AU"/>
              </w:rPr>
              <w:t>2.00</w:t>
            </w:r>
          </w:p>
        </w:tc>
        <w:tc>
          <w:tcPr>
            <w:tcW w:w="957" w:type="dxa"/>
            <w:tcBorders>
              <w:top w:val="nil"/>
              <w:left w:val="nil"/>
              <w:bottom w:val="single" w:sz="8" w:space="0" w:color="064EA8"/>
              <w:right w:val="nil"/>
            </w:tcBorders>
            <w:shd w:val="clear" w:color="auto" w:fill="auto"/>
            <w:vAlign w:val="center"/>
            <w:hideMark/>
          </w:tcPr>
          <w:p w14:paraId="50B51C4B" w14:textId="024ECF6A" w:rsidR="00A61459" w:rsidRPr="008E75CA" w:rsidRDefault="006219BF" w:rsidP="00811C1F">
            <w:pPr>
              <w:keepNext/>
              <w:spacing w:before="0" w:after="0"/>
              <w:jc w:val="center"/>
              <w:rPr>
                <w:rFonts w:asciiTheme="majorHAnsi" w:hAnsiTheme="majorHAnsi" w:cstheme="majorHAnsi"/>
                <w:szCs w:val="18"/>
                <w:lang w:eastAsia="en-AU"/>
              </w:rPr>
            </w:pPr>
            <w:r w:rsidRPr="008E75CA">
              <w:rPr>
                <w:rFonts w:asciiTheme="majorHAnsi" w:hAnsiTheme="majorHAnsi" w:cstheme="majorHAnsi"/>
                <w:szCs w:val="18"/>
                <w:lang w:eastAsia="en-AU"/>
              </w:rPr>
              <w:t>1.25</w:t>
            </w:r>
          </w:p>
        </w:tc>
      </w:tr>
      <w:tr w:rsidR="002E0DCC" w:rsidRPr="002E0DCC" w14:paraId="70116982" w14:textId="77777777" w:rsidTr="008E75CA">
        <w:trPr>
          <w:trHeight w:val="470"/>
        </w:trPr>
        <w:tc>
          <w:tcPr>
            <w:tcW w:w="3974" w:type="dxa"/>
            <w:tcBorders>
              <w:top w:val="nil"/>
              <w:left w:val="nil"/>
              <w:bottom w:val="single" w:sz="8" w:space="0" w:color="064EA8"/>
              <w:right w:val="nil"/>
            </w:tcBorders>
            <w:shd w:val="clear" w:color="auto" w:fill="auto"/>
            <w:vAlign w:val="center"/>
            <w:hideMark/>
          </w:tcPr>
          <w:p w14:paraId="7C534918" w14:textId="77777777" w:rsidR="00A61459" w:rsidRPr="008E75CA" w:rsidRDefault="00A61459" w:rsidP="00D25E4E">
            <w:pPr>
              <w:spacing w:before="0" w:after="0"/>
              <w:rPr>
                <w:rFonts w:asciiTheme="majorHAnsi" w:hAnsiTheme="majorHAnsi" w:cstheme="majorHAnsi"/>
                <w:szCs w:val="18"/>
                <w:lang w:eastAsia="en-AU"/>
              </w:rPr>
            </w:pPr>
            <w:r w:rsidRPr="008E75CA">
              <w:rPr>
                <w:rFonts w:asciiTheme="majorHAnsi" w:hAnsiTheme="majorHAnsi" w:cstheme="majorHAnsi"/>
              </w:rPr>
              <w:t>Provide a transparent, clear decision-making process</w:t>
            </w:r>
          </w:p>
        </w:tc>
        <w:tc>
          <w:tcPr>
            <w:tcW w:w="1086" w:type="dxa"/>
            <w:tcBorders>
              <w:top w:val="nil"/>
              <w:left w:val="nil"/>
              <w:bottom w:val="single" w:sz="8" w:space="0" w:color="064EA8"/>
              <w:right w:val="nil"/>
            </w:tcBorders>
            <w:shd w:val="clear" w:color="auto" w:fill="auto"/>
            <w:vAlign w:val="center"/>
            <w:hideMark/>
          </w:tcPr>
          <w:p w14:paraId="22281C6D" w14:textId="2477D69F" w:rsidR="00A61459" w:rsidRPr="008E75CA" w:rsidRDefault="00A61459" w:rsidP="008E75CA">
            <w:pPr>
              <w:spacing w:before="0" w:after="0"/>
              <w:jc w:val="center"/>
              <w:rPr>
                <w:rFonts w:asciiTheme="majorHAnsi" w:hAnsiTheme="majorHAnsi" w:cstheme="majorHAnsi"/>
                <w:szCs w:val="18"/>
                <w:lang w:eastAsia="en-AU"/>
              </w:rPr>
            </w:pPr>
            <w:r w:rsidRPr="008E75CA">
              <w:rPr>
                <w:rFonts w:asciiTheme="majorHAnsi" w:hAnsiTheme="majorHAnsi" w:cstheme="majorHAnsi"/>
                <w:szCs w:val="18"/>
                <w:lang w:eastAsia="en-AU"/>
              </w:rPr>
              <w:t>25%</w:t>
            </w:r>
          </w:p>
        </w:tc>
        <w:tc>
          <w:tcPr>
            <w:tcW w:w="953" w:type="dxa"/>
            <w:tcBorders>
              <w:top w:val="nil"/>
              <w:left w:val="nil"/>
              <w:bottom w:val="single" w:sz="8" w:space="0" w:color="064EA8"/>
              <w:right w:val="nil"/>
            </w:tcBorders>
            <w:shd w:val="clear" w:color="auto" w:fill="auto"/>
            <w:vAlign w:val="center"/>
            <w:hideMark/>
          </w:tcPr>
          <w:p w14:paraId="77D73B11" w14:textId="77777777" w:rsidR="00A61459" w:rsidRPr="008E75CA" w:rsidRDefault="00A61459" w:rsidP="008E75CA">
            <w:pPr>
              <w:spacing w:before="0" w:after="0"/>
              <w:jc w:val="center"/>
              <w:rPr>
                <w:rFonts w:asciiTheme="majorHAnsi" w:hAnsiTheme="majorHAnsi" w:cstheme="majorHAnsi"/>
                <w:szCs w:val="18"/>
                <w:lang w:eastAsia="en-AU"/>
              </w:rPr>
            </w:pPr>
            <w:r w:rsidRPr="008E75CA">
              <w:rPr>
                <w:rFonts w:asciiTheme="majorHAnsi" w:hAnsiTheme="majorHAnsi" w:cstheme="majorHAnsi"/>
                <w:szCs w:val="18"/>
                <w:lang w:eastAsia="en-AU"/>
              </w:rPr>
              <w:t>0</w:t>
            </w:r>
          </w:p>
        </w:tc>
        <w:tc>
          <w:tcPr>
            <w:tcW w:w="953" w:type="dxa"/>
            <w:tcBorders>
              <w:top w:val="nil"/>
              <w:left w:val="nil"/>
              <w:bottom w:val="single" w:sz="8" w:space="0" w:color="064EA8"/>
              <w:right w:val="nil"/>
            </w:tcBorders>
            <w:shd w:val="clear" w:color="auto" w:fill="auto"/>
            <w:vAlign w:val="center"/>
            <w:hideMark/>
          </w:tcPr>
          <w:p w14:paraId="1701E13B" w14:textId="2EE34B1E" w:rsidR="00A61459" w:rsidRPr="008E75CA" w:rsidRDefault="0028395D" w:rsidP="008E75CA">
            <w:pPr>
              <w:spacing w:before="0" w:after="0"/>
              <w:jc w:val="center"/>
              <w:rPr>
                <w:rFonts w:asciiTheme="majorHAnsi" w:hAnsiTheme="majorHAnsi" w:cstheme="majorHAnsi"/>
                <w:szCs w:val="18"/>
                <w:lang w:eastAsia="en-AU"/>
              </w:rPr>
            </w:pPr>
            <w:r>
              <w:rPr>
                <w:rFonts w:asciiTheme="majorHAnsi" w:hAnsiTheme="majorHAnsi" w:cstheme="majorHAnsi"/>
                <w:szCs w:val="18"/>
                <w:lang w:eastAsia="en-AU"/>
              </w:rPr>
              <w:t>6</w:t>
            </w:r>
          </w:p>
        </w:tc>
        <w:tc>
          <w:tcPr>
            <w:tcW w:w="957" w:type="dxa"/>
            <w:tcBorders>
              <w:top w:val="nil"/>
              <w:left w:val="nil"/>
              <w:bottom w:val="single" w:sz="8" w:space="0" w:color="064EA8"/>
              <w:right w:val="nil"/>
            </w:tcBorders>
            <w:shd w:val="clear" w:color="auto" w:fill="auto"/>
            <w:vAlign w:val="center"/>
            <w:hideMark/>
          </w:tcPr>
          <w:p w14:paraId="3E2A5732" w14:textId="77777777" w:rsidR="00A61459" w:rsidRPr="008E75CA" w:rsidRDefault="00A61459" w:rsidP="008E75CA">
            <w:pPr>
              <w:spacing w:before="0" w:after="0"/>
              <w:jc w:val="center"/>
              <w:rPr>
                <w:rFonts w:asciiTheme="majorHAnsi" w:hAnsiTheme="majorHAnsi" w:cstheme="majorHAnsi"/>
                <w:szCs w:val="18"/>
                <w:lang w:eastAsia="en-AU"/>
              </w:rPr>
            </w:pPr>
            <w:r w:rsidRPr="008E75CA">
              <w:rPr>
                <w:rFonts w:asciiTheme="majorHAnsi" w:hAnsiTheme="majorHAnsi" w:cstheme="majorHAnsi"/>
                <w:szCs w:val="18"/>
                <w:lang w:eastAsia="en-AU"/>
              </w:rPr>
              <w:t>0.00</w:t>
            </w:r>
          </w:p>
        </w:tc>
        <w:tc>
          <w:tcPr>
            <w:tcW w:w="957" w:type="dxa"/>
            <w:tcBorders>
              <w:top w:val="nil"/>
              <w:left w:val="nil"/>
              <w:bottom w:val="single" w:sz="8" w:space="0" w:color="064EA8"/>
              <w:right w:val="nil"/>
            </w:tcBorders>
            <w:shd w:val="clear" w:color="auto" w:fill="auto"/>
            <w:vAlign w:val="center"/>
            <w:hideMark/>
          </w:tcPr>
          <w:p w14:paraId="795FECEE" w14:textId="247165B0" w:rsidR="00A61459" w:rsidRPr="008E75CA" w:rsidRDefault="00A61459" w:rsidP="008E75CA">
            <w:pPr>
              <w:spacing w:before="0" w:after="0"/>
              <w:jc w:val="center"/>
              <w:rPr>
                <w:rFonts w:asciiTheme="majorHAnsi" w:hAnsiTheme="majorHAnsi" w:cstheme="majorHAnsi"/>
                <w:szCs w:val="18"/>
                <w:lang w:eastAsia="en-AU"/>
              </w:rPr>
            </w:pPr>
            <w:r w:rsidRPr="008E75CA">
              <w:rPr>
                <w:rFonts w:asciiTheme="majorHAnsi" w:hAnsiTheme="majorHAnsi" w:cstheme="majorHAnsi"/>
                <w:szCs w:val="18"/>
                <w:lang w:eastAsia="en-AU"/>
              </w:rPr>
              <w:t>1.</w:t>
            </w:r>
            <w:r w:rsidR="008568BE">
              <w:rPr>
                <w:rFonts w:asciiTheme="majorHAnsi" w:hAnsiTheme="majorHAnsi" w:cstheme="majorHAnsi"/>
                <w:szCs w:val="18"/>
                <w:lang w:eastAsia="en-AU"/>
              </w:rPr>
              <w:t>50</w:t>
            </w:r>
          </w:p>
        </w:tc>
      </w:tr>
      <w:tr w:rsidR="002E0DCC" w:rsidRPr="002E0DCC" w14:paraId="60DABD7D" w14:textId="77777777" w:rsidTr="008E75CA">
        <w:trPr>
          <w:trHeight w:val="300"/>
        </w:trPr>
        <w:tc>
          <w:tcPr>
            <w:tcW w:w="3974" w:type="dxa"/>
            <w:tcBorders>
              <w:top w:val="nil"/>
              <w:left w:val="nil"/>
              <w:bottom w:val="single" w:sz="8" w:space="0" w:color="064EA8"/>
              <w:right w:val="nil"/>
            </w:tcBorders>
            <w:shd w:val="clear" w:color="auto" w:fill="auto"/>
            <w:vAlign w:val="center"/>
            <w:hideMark/>
          </w:tcPr>
          <w:p w14:paraId="67099497" w14:textId="77777777" w:rsidR="00A61459" w:rsidRPr="008E75CA" w:rsidRDefault="00A61459" w:rsidP="008E75CA">
            <w:pPr>
              <w:spacing w:before="0" w:after="0"/>
              <w:ind w:left="321"/>
              <w:jc w:val="right"/>
              <w:rPr>
                <w:rFonts w:asciiTheme="majorHAnsi" w:hAnsiTheme="majorHAnsi" w:cstheme="majorHAnsi"/>
                <w:b/>
                <w:bCs/>
              </w:rPr>
            </w:pPr>
            <w:r w:rsidRPr="008E75CA">
              <w:rPr>
                <w:rFonts w:asciiTheme="majorHAnsi" w:hAnsiTheme="majorHAnsi" w:cstheme="majorHAnsi"/>
                <w:b/>
                <w:bCs/>
              </w:rPr>
              <w:t xml:space="preserve">Total </w:t>
            </w:r>
          </w:p>
        </w:tc>
        <w:tc>
          <w:tcPr>
            <w:tcW w:w="1086" w:type="dxa"/>
            <w:tcBorders>
              <w:top w:val="nil"/>
              <w:left w:val="nil"/>
              <w:bottom w:val="single" w:sz="8" w:space="0" w:color="064EA8"/>
              <w:right w:val="nil"/>
            </w:tcBorders>
            <w:shd w:val="clear" w:color="auto" w:fill="auto"/>
            <w:vAlign w:val="center"/>
            <w:hideMark/>
          </w:tcPr>
          <w:p w14:paraId="75964223" w14:textId="2D56C5D7" w:rsidR="00A61459" w:rsidRPr="008E75CA" w:rsidRDefault="00A61459" w:rsidP="008E75CA">
            <w:pPr>
              <w:spacing w:before="0" w:after="0"/>
              <w:jc w:val="center"/>
              <w:rPr>
                <w:rFonts w:asciiTheme="majorHAnsi" w:hAnsiTheme="majorHAnsi" w:cstheme="majorHAnsi"/>
                <w:b/>
                <w:bCs/>
              </w:rPr>
            </w:pPr>
            <w:r w:rsidRPr="008E75CA">
              <w:rPr>
                <w:rFonts w:asciiTheme="majorHAnsi" w:hAnsiTheme="majorHAnsi" w:cstheme="majorHAnsi"/>
                <w:b/>
                <w:bCs/>
              </w:rPr>
              <w:t>50%</w:t>
            </w:r>
          </w:p>
        </w:tc>
        <w:tc>
          <w:tcPr>
            <w:tcW w:w="953" w:type="dxa"/>
            <w:tcBorders>
              <w:top w:val="nil"/>
              <w:left w:val="nil"/>
              <w:bottom w:val="single" w:sz="8" w:space="0" w:color="064EA8"/>
              <w:right w:val="nil"/>
            </w:tcBorders>
            <w:shd w:val="clear" w:color="auto" w:fill="auto"/>
            <w:vAlign w:val="center"/>
            <w:hideMark/>
          </w:tcPr>
          <w:p w14:paraId="20743E64" w14:textId="3199616C" w:rsidR="00A61459" w:rsidRPr="008E75CA" w:rsidRDefault="00A61459" w:rsidP="008E75CA">
            <w:pPr>
              <w:spacing w:before="0" w:after="0"/>
              <w:ind w:left="321"/>
              <w:jc w:val="center"/>
              <w:rPr>
                <w:rFonts w:asciiTheme="majorHAnsi" w:hAnsiTheme="majorHAnsi" w:cstheme="majorHAnsi"/>
                <w:b/>
                <w:bCs/>
              </w:rPr>
            </w:pPr>
          </w:p>
        </w:tc>
        <w:tc>
          <w:tcPr>
            <w:tcW w:w="953" w:type="dxa"/>
            <w:tcBorders>
              <w:top w:val="nil"/>
              <w:left w:val="nil"/>
              <w:bottom w:val="single" w:sz="8" w:space="0" w:color="064EA8"/>
              <w:right w:val="nil"/>
            </w:tcBorders>
            <w:shd w:val="clear" w:color="auto" w:fill="auto"/>
            <w:vAlign w:val="center"/>
            <w:hideMark/>
          </w:tcPr>
          <w:p w14:paraId="268A379B" w14:textId="643B4300" w:rsidR="00A61459" w:rsidRPr="008E75CA" w:rsidRDefault="00A61459" w:rsidP="008E75CA">
            <w:pPr>
              <w:spacing w:before="0" w:after="0"/>
              <w:ind w:left="321"/>
              <w:jc w:val="center"/>
              <w:rPr>
                <w:rFonts w:asciiTheme="majorHAnsi" w:hAnsiTheme="majorHAnsi" w:cstheme="majorHAnsi"/>
                <w:b/>
                <w:bCs/>
              </w:rPr>
            </w:pPr>
          </w:p>
        </w:tc>
        <w:tc>
          <w:tcPr>
            <w:tcW w:w="957" w:type="dxa"/>
            <w:tcBorders>
              <w:top w:val="nil"/>
              <w:left w:val="nil"/>
              <w:bottom w:val="single" w:sz="8" w:space="0" w:color="064EA8"/>
              <w:right w:val="nil"/>
            </w:tcBorders>
            <w:shd w:val="clear" w:color="auto" w:fill="auto"/>
            <w:vAlign w:val="center"/>
            <w:hideMark/>
          </w:tcPr>
          <w:p w14:paraId="1F83EE68" w14:textId="4A46E206" w:rsidR="00A61459" w:rsidRPr="008E75CA" w:rsidRDefault="00DA5A6E" w:rsidP="008E75CA">
            <w:pPr>
              <w:spacing w:before="0" w:after="0"/>
              <w:jc w:val="center"/>
              <w:rPr>
                <w:rFonts w:asciiTheme="majorHAnsi" w:hAnsiTheme="majorHAnsi" w:cstheme="majorHAnsi"/>
                <w:b/>
                <w:bCs/>
              </w:rPr>
            </w:pPr>
            <w:r>
              <w:rPr>
                <w:rFonts w:asciiTheme="majorHAnsi" w:hAnsiTheme="majorHAnsi" w:cstheme="majorHAnsi"/>
                <w:b/>
                <w:bCs/>
              </w:rPr>
              <w:t>2.00</w:t>
            </w:r>
          </w:p>
        </w:tc>
        <w:tc>
          <w:tcPr>
            <w:tcW w:w="957" w:type="dxa"/>
            <w:tcBorders>
              <w:top w:val="nil"/>
              <w:left w:val="nil"/>
              <w:bottom w:val="single" w:sz="8" w:space="0" w:color="064EA8"/>
              <w:right w:val="nil"/>
            </w:tcBorders>
            <w:shd w:val="clear" w:color="auto" w:fill="auto"/>
            <w:vAlign w:val="center"/>
            <w:hideMark/>
          </w:tcPr>
          <w:p w14:paraId="235DCEFE" w14:textId="3D614B40" w:rsidR="00A61459" w:rsidRPr="008E75CA" w:rsidRDefault="008568BE" w:rsidP="008E75CA">
            <w:pPr>
              <w:spacing w:before="0" w:after="0"/>
              <w:jc w:val="center"/>
              <w:rPr>
                <w:rFonts w:asciiTheme="majorHAnsi" w:hAnsiTheme="majorHAnsi" w:cstheme="majorHAnsi"/>
                <w:b/>
                <w:bCs/>
              </w:rPr>
            </w:pPr>
            <w:r>
              <w:rPr>
                <w:rFonts w:asciiTheme="majorHAnsi" w:hAnsiTheme="majorHAnsi" w:cstheme="majorHAnsi"/>
                <w:b/>
                <w:bCs/>
              </w:rPr>
              <w:t>2.75</w:t>
            </w:r>
          </w:p>
        </w:tc>
      </w:tr>
    </w:tbl>
    <w:p w14:paraId="63853F2B" w14:textId="7BFCBB02" w:rsidR="00A208A2" w:rsidRDefault="00A208A2" w:rsidP="00D50C43">
      <w:pPr>
        <w:pStyle w:val="Heading3"/>
        <w:numPr>
          <w:ilvl w:val="2"/>
          <w:numId w:val="124"/>
        </w:numPr>
      </w:pPr>
      <w:bookmarkStart w:id="344" w:name="_Toc104217716"/>
      <w:bookmarkEnd w:id="337"/>
      <w:r>
        <w:t>Cost to industry</w:t>
      </w:r>
      <w:bookmarkEnd w:id="344"/>
    </w:p>
    <w:p w14:paraId="5051EB37" w14:textId="702714C7" w:rsidR="00A208A2" w:rsidRDefault="00F24E65" w:rsidP="003F70FF">
      <w:pPr>
        <w:pStyle w:val="Heading6"/>
      </w:pPr>
      <w:r>
        <w:t>Option 1</w:t>
      </w:r>
    </w:p>
    <w:p w14:paraId="6549C6CB" w14:textId="27AEEA82" w:rsidR="00351828" w:rsidRDefault="00351828" w:rsidP="0024528B">
      <w:r>
        <w:t xml:space="preserve">Overall, </w:t>
      </w:r>
      <w:r w:rsidR="00F24E65">
        <w:t>Option 1</w:t>
      </w:r>
      <w:r>
        <w:t xml:space="preserve"> is considered </w:t>
      </w:r>
      <w:r w:rsidR="006C16FE">
        <w:t xml:space="preserve">to impose moderately more costs on declared mine licensees than the base case, as </w:t>
      </w:r>
      <w:r w:rsidR="00915651">
        <w:t>the regulations require licensees to provide third party verification that the closure criteria for the mine have been met. As such, it has been scored moderately negative (-</w:t>
      </w:r>
      <w:r w:rsidR="00391595">
        <w:t>4</w:t>
      </w:r>
      <w:r w:rsidR="00915651">
        <w:t>) compared to the base case</w:t>
      </w:r>
      <w:r w:rsidR="00470947">
        <w:t>.</w:t>
      </w:r>
    </w:p>
    <w:p w14:paraId="62E903B4" w14:textId="1B13F5C1" w:rsidR="0047088A" w:rsidRDefault="00037283" w:rsidP="0024528B">
      <w:r>
        <w:t xml:space="preserve">The </w:t>
      </w:r>
      <w:r w:rsidR="005A301B">
        <w:t xml:space="preserve">additional requirement </w:t>
      </w:r>
      <w:r>
        <w:t xml:space="preserve">to provide third-party verification that the closure criteria for the mine have been met </w:t>
      </w:r>
      <w:r w:rsidR="00590B58">
        <w:t xml:space="preserve">as part of the application for </w:t>
      </w:r>
      <w:r w:rsidR="00750F9E">
        <w:t xml:space="preserve">a </w:t>
      </w:r>
      <w:r w:rsidR="00590B58">
        <w:t xml:space="preserve">closure determination </w:t>
      </w:r>
      <w:r w:rsidR="005A301B">
        <w:t>compared to the base case</w:t>
      </w:r>
      <w:r>
        <w:t xml:space="preserve"> </w:t>
      </w:r>
      <w:r w:rsidR="005A301B">
        <w:t>would impose additional costs</w:t>
      </w:r>
      <w:r>
        <w:t xml:space="preserve"> on mine operators</w:t>
      </w:r>
      <w:r w:rsidR="005A301B">
        <w:t>.</w:t>
      </w:r>
      <w:r>
        <w:t xml:space="preserve"> </w:t>
      </w:r>
      <w:r w:rsidR="0047088A">
        <w:t xml:space="preserve">One of the mine operators indicated that this would cost ‘millions of dollars in consultancies alone’. Another operator responded to the question about the cost of providing this verification that, ‘using Hazelwood as an example the initial suite of reports, studies and investigations was in excess of $2m’ (this was not Hazelwood’s operator). Presumably this operator was referring to Hazelwood’s costs in applying for closure, noting that this process occurred outside the declared mine rehabilitation framework covered in this RIS. </w:t>
      </w:r>
    </w:p>
    <w:p w14:paraId="17B55707" w14:textId="217030C6" w:rsidR="0047088A" w:rsidRDefault="0047088A" w:rsidP="0024528B">
      <w:r>
        <w:t xml:space="preserve">It is considered that the cost to industry of </w:t>
      </w:r>
      <w:r w:rsidR="00F24E65">
        <w:t>Option 1</w:t>
      </w:r>
      <w:r>
        <w:t xml:space="preserve"> would be in the order of several million dollars, based on these submissions.</w:t>
      </w:r>
    </w:p>
    <w:p w14:paraId="53A43615" w14:textId="2D941267" w:rsidR="0047088A" w:rsidRDefault="00F24E65" w:rsidP="003F70FF">
      <w:pPr>
        <w:pStyle w:val="Heading6"/>
      </w:pPr>
      <w:r>
        <w:t>Option 2</w:t>
      </w:r>
    </w:p>
    <w:p w14:paraId="4CAB473B" w14:textId="2D17214B" w:rsidR="005A4BB1" w:rsidRDefault="005A4BB1" w:rsidP="0024528B">
      <w:r>
        <w:t xml:space="preserve">Overall, </w:t>
      </w:r>
      <w:r w:rsidR="00F24E65">
        <w:t>Option 2</w:t>
      </w:r>
      <w:r>
        <w:t xml:space="preserve"> is considered to impose moderately more costs on declared mine licensees than the base case, as the regulations require licensees to provide evidence that the closure criteria have been met. </w:t>
      </w:r>
      <w:r w:rsidR="00750AA0">
        <w:t xml:space="preserve">However, these costs are considered to be lower than </w:t>
      </w:r>
      <w:r w:rsidR="00F24E65">
        <w:t>Option 1</w:t>
      </w:r>
      <w:r w:rsidR="00750AA0">
        <w:t xml:space="preserve">, as </w:t>
      </w:r>
      <w:r w:rsidR="00750F9E">
        <w:t>external verification is not required. As such, it has been scored moderately negative (-3) compared to the base case.</w:t>
      </w:r>
    </w:p>
    <w:p w14:paraId="1D5A19B3" w14:textId="3284E892" w:rsidR="005A301B" w:rsidRDefault="00F24E65" w:rsidP="0024528B">
      <w:r>
        <w:t>Option 2</w:t>
      </w:r>
      <w:r w:rsidR="0047088A">
        <w:t xml:space="preserve"> </w:t>
      </w:r>
      <w:r w:rsidR="00453CDE">
        <w:t>also requires</w:t>
      </w:r>
      <w:r w:rsidR="005A301B">
        <w:t xml:space="preserve"> additional </w:t>
      </w:r>
      <w:r w:rsidR="00453CDE">
        <w:t>information and evidence to be provided that the closure criteria have been met</w:t>
      </w:r>
      <w:r w:rsidR="00750F9E">
        <w:t xml:space="preserve"> as part of the application for a closure determination</w:t>
      </w:r>
      <w:r w:rsidR="005A301B">
        <w:t>,</w:t>
      </w:r>
      <w:r w:rsidR="00750F9E">
        <w:t xml:space="preserve"> which</w:t>
      </w:r>
      <w:r w:rsidR="005A301B">
        <w:t xml:space="preserve"> impose additional costs</w:t>
      </w:r>
      <w:r w:rsidR="00750F9E" w:rsidRPr="00750F9E">
        <w:t xml:space="preserve"> </w:t>
      </w:r>
      <w:r w:rsidR="00750F9E">
        <w:t>compared to the base case</w:t>
      </w:r>
      <w:r w:rsidR="0047088A">
        <w:t xml:space="preserve">. </w:t>
      </w:r>
    </w:p>
    <w:p w14:paraId="36947F47" w14:textId="7FABF633" w:rsidR="005A301B" w:rsidRDefault="005A301B" w:rsidP="0024528B">
      <w:r>
        <w:t xml:space="preserve">The two operators that responded directly to </w:t>
      </w:r>
      <w:r w:rsidR="00453CDE">
        <w:t>consultation</w:t>
      </w:r>
      <w:r>
        <w:t xml:space="preserve"> question</w:t>
      </w:r>
      <w:r w:rsidR="00453CDE">
        <w:t>s relating to this additional requirement</w:t>
      </w:r>
      <w:r>
        <w:t xml:space="preserve"> commented primarily on the costs incurred as a result of ERR’s handling of information requests rather than the effort or cost involved in compiling the information/evidence itself. Each of the operators emphasised, in its submission, that the collection of information about their mine site is an important part of their business-as-usual practices, and that rehabilitation planning is based on the factual, scientific evidence accrued about their mine sites. </w:t>
      </w:r>
    </w:p>
    <w:p w14:paraId="653FF63D" w14:textId="48B12D86" w:rsidR="0047088A" w:rsidRDefault="72B61583" w:rsidP="0024528B">
      <w:r>
        <w:t>The flexibility and capacity for operators</w:t>
      </w:r>
      <w:r w:rsidR="6B54830A">
        <w:t xml:space="preserve"> </w:t>
      </w:r>
      <w:r>
        <w:t xml:space="preserve">to develop the closure criteria for their mine over time </w:t>
      </w:r>
      <w:r w:rsidR="05318006">
        <w:t>under</w:t>
      </w:r>
      <w:r w:rsidR="6B54830A">
        <w:t xml:space="preserve"> the iterative rehabilitation approach under </w:t>
      </w:r>
      <w:r w:rsidR="068DA803">
        <w:t>Option 2</w:t>
      </w:r>
      <w:r w:rsidR="05318006">
        <w:t xml:space="preserve"> relative to the base case,</w:t>
      </w:r>
      <w:r>
        <w:t xml:space="preserve"> combined with business-as-usual data gathering practices means that </w:t>
      </w:r>
      <w:r w:rsidR="068DA803">
        <w:t>Option 2</w:t>
      </w:r>
      <w:r>
        <w:t xml:space="preserve"> </w:t>
      </w:r>
      <w:r w:rsidR="14365B1C">
        <w:t>may</w:t>
      </w:r>
      <w:r>
        <w:t xml:space="preserve"> impose lower costs on licensees than </w:t>
      </w:r>
      <w:r w:rsidR="068DA803">
        <w:t>Option 1</w:t>
      </w:r>
      <w:r w:rsidR="05318006">
        <w:t>, relative to the base case</w:t>
      </w:r>
      <w:r>
        <w:t>. This is because rather than having to commission and facilitate an independent audit, licensees could both reasonably readily ensure over the course of planning that their closure criteria are practically achievable, and rely on data they already gather</w:t>
      </w:r>
      <w:r w:rsidR="0AB45147">
        <w:t xml:space="preserve"> as part of normal operating practices</w:t>
      </w:r>
      <w:r>
        <w:t xml:space="preserve">. However, this would depend on ERR’s handling of the information and evidence: if this created extra effort for licensees, as has been experienced </w:t>
      </w:r>
      <w:r w:rsidR="5C377F29">
        <w:t xml:space="preserve">in relation to other information requests, the cost reduction of </w:t>
      </w:r>
      <w:r w:rsidR="068DA803">
        <w:t>Option 2</w:t>
      </w:r>
      <w:r w:rsidR="5C377F29">
        <w:t xml:space="preserve"> </w:t>
      </w:r>
      <w:r w:rsidR="0AB45147">
        <w:t xml:space="preserve">relative to </w:t>
      </w:r>
      <w:r w:rsidR="068DA803">
        <w:t>Option 1</w:t>
      </w:r>
      <w:r w:rsidR="0AB45147">
        <w:t xml:space="preserve"> </w:t>
      </w:r>
      <w:r w:rsidR="5C377F29">
        <w:t>would be less clear</w:t>
      </w:r>
      <w:r w:rsidR="2709EC85">
        <w:t xml:space="preserve">. It is </w:t>
      </w:r>
      <w:r w:rsidR="2709EC85">
        <w:lastRenderedPageBreak/>
        <w:t xml:space="preserve">clear the level of change involved in shifting to the iterative approach under Option 2 (overall) would require capacity-building within ERR, and it is assumed that at least some of the issues previously experienced by operators in relation to information requests by ERR would be ameliorated by this process. However, this is as yet speculation, so it is considered that, on balance, although the costs for industry under </w:t>
      </w:r>
      <w:r w:rsidR="068DA803">
        <w:t>Option 2</w:t>
      </w:r>
      <w:r w:rsidR="2709EC85">
        <w:t xml:space="preserve"> are likely to be lower than </w:t>
      </w:r>
      <w:r w:rsidR="068DA803">
        <w:t>Option 1</w:t>
      </w:r>
      <w:r w:rsidR="2709EC85">
        <w:t xml:space="preserve">, the difference may not be considerable. </w:t>
      </w:r>
    </w:p>
    <w:p w14:paraId="521D4B2A" w14:textId="110C6848" w:rsidR="0047088A" w:rsidRDefault="0047088A" w:rsidP="003F70FF">
      <w:pPr>
        <w:pStyle w:val="Heading6"/>
      </w:pPr>
      <w:r>
        <w:t>Cost to industry scores</w:t>
      </w:r>
    </w:p>
    <w:p w14:paraId="53101569" w14:textId="6B6429AA" w:rsidR="0024528B" w:rsidRDefault="00BE37A3" w:rsidP="0024528B">
      <w:r>
        <w:fldChar w:fldCharType="begin"/>
      </w:r>
      <w:r>
        <w:instrText xml:space="preserve"> REF _Ref55482871 \h </w:instrText>
      </w:r>
      <w:r>
        <w:fldChar w:fldCharType="separate"/>
      </w:r>
      <w:r w:rsidR="000B3BF6">
        <w:t xml:space="preserve">Table </w:t>
      </w:r>
      <w:r w:rsidR="000B3BF6">
        <w:rPr>
          <w:noProof/>
        </w:rPr>
        <w:t>15</w:t>
      </w:r>
      <w:r>
        <w:fldChar w:fldCharType="end"/>
      </w:r>
      <w:r>
        <w:t xml:space="preserve"> </w:t>
      </w:r>
      <w:r w:rsidR="0024528B">
        <w:t>sets out th</w:t>
      </w:r>
      <w:r>
        <w:t xml:space="preserve">e scores allocated to </w:t>
      </w:r>
      <w:r w:rsidR="00F24E65">
        <w:t>Option 1</w:t>
      </w:r>
      <w:r>
        <w:t xml:space="preserve"> and </w:t>
      </w:r>
      <w:r w:rsidR="00F24E65">
        <w:t>Option 2</w:t>
      </w:r>
      <w:r>
        <w:t xml:space="preserve"> against the cost to industry criterion. Both options impose additional costs on licensees compared to the base case. It is considered that the costs likely to be incurred under </w:t>
      </w:r>
      <w:r w:rsidR="00F24E65">
        <w:t>Option 2</w:t>
      </w:r>
      <w:r>
        <w:t xml:space="preserve"> are slightly l</w:t>
      </w:r>
      <w:r w:rsidR="00290A0E">
        <w:t xml:space="preserve">ower than those imposed by </w:t>
      </w:r>
      <w:r w:rsidR="00F24E65">
        <w:t>Option 1</w:t>
      </w:r>
      <w:r w:rsidR="00290A0E">
        <w:t>, but that both options will be</w:t>
      </w:r>
      <w:r w:rsidR="006C4DD0">
        <w:t xml:space="preserve"> moderately more</w:t>
      </w:r>
      <w:r w:rsidR="00290A0E">
        <w:t xml:space="preserve"> costly</w:t>
      </w:r>
      <w:r w:rsidR="006C4DD0">
        <w:t xml:space="preserve"> than the base case</w:t>
      </w:r>
      <w:r w:rsidR="00290A0E">
        <w:t xml:space="preserve"> for operators to comply with.</w:t>
      </w:r>
    </w:p>
    <w:p w14:paraId="1CA65D3E" w14:textId="22F241B9" w:rsidR="00BE37A3" w:rsidRDefault="00BE37A3" w:rsidP="00BE37A3">
      <w:pPr>
        <w:pStyle w:val="Caption"/>
      </w:pPr>
      <w:bookmarkStart w:id="345" w:name="_Ref55482871"/>
      <w:bookmarkStart w:id="346" w:name="_Toc104217631"/>
      <w:r>
        <w:t xml:space="preserve">Table </w:t>
      </w:r>
      <w:r>
        <w:fldChar w:fldCharType="begin"/>
      </w:r>
      <w:r>
        <w:instrText>SEQ Table \* ARABIC</w:instrText>
      </w:r>
      <w:r>
        <w:fldChar w:fldCharType="separate"/>
      </w:r>
      <w:r w:rsidR="000B3BF6">
        <w:rPr>
          <w:noProof/>
        </w:rPr>
        <w:t>15</w:t>
      </w:r>
      <w:r>
        <w:fldChar w:fldCharType="end"/>
      </w:r>
      <w:bookmarkEnd w:id="345"/>
      <w:r w:rsidR="00D260C7">
        <w:rPr>
          <w:noProof/>
        </w:rPr>
        <w:t>:</w:t>
      </w:r>
      <w:r>
        <w:t xml:space="preserve"> Cost to industry scores - mine closure determinations</w:t>
      </w:r>
      <w:bookmarkEnd w:id="346"/>
    </w:p>
    <w:tbl>
      <w:tblPr>
        <w:tblStyle w:val="TableGrid"/>
        <w:tblW w:w="5000" w:type="pct"/>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CellMar>
          <w:top w:w="28" w:type="dxa"/>
          <w:bottom w:w="28" w:type="dxa"/>
        </w:tblCellMar>
        <w:tblLook w:val="04A0" w:firstRow="1" w:lastRow="0" w:firstColumn="1" w:lastColumn="0" w:noHBand="0" w:noVBand="1"/>
        <w:tblCaption w:val="Table heading"/>
      </w:tblPr>
      <w:tblGrid>
        <w:gridCol w:w="4562"/>
        <w:gridCol w:w="1489"/>
        <w:gridCol w:w="1489"/>
        <w:gridCol w:w="1486"/>
      </w:tblGrid>
      <w:tr w:rsidR="00144AF4" w:rsidRPr="00D51674" w14:paraId="14D1C6E8" w14:textId="77777777" w:rsidTr="217C4165">
        <w:trPr>
          <w:tblHeader/>
        </w:trPr>
        <w:tc>
          <w:tcPr>
            <w:tcW w:w="2527" w:type="pct"/>
            <w:shd w:val="clear" w:color="auto" w:fill="1B0B38"/>
            <w:vAlign w:val="center"/>
          </w:tcPr>
          <w:p w14:paraId="0C9B9213" w14:textId="77777777" w:rsidR="00144AF4" w:rsidRPr="00BA70A6" w:rsidRDefault="00144AF4" w:rsidP="008E75CA">
            <w:pPr>
              <w:spacing w:before="0"/>
              <w:rPr>
                <w:rStyle w:val="Strong"/>
                <w:color w:val="FFFFFF" w:themeColor="background1"/>
              </w:rPr>
            </w:pPr>
            <w:r>
              <w:rPr>
                <w:rStyle w:val="Strong"/>
                <w:color w:val="FFFFFF" w:themeColor="background1"/>
              </w:rPr>
              <w:t>Option</w:t>
            </w:r>
          </w:p>
        </w:tc>
        <w:tc>
          <w:tcPr>
            <w:tcW w:w="825" w:type="pct"/>
            <w:shd w:val="clear" w:color="auto" w:fill="1B0B38"/>
            <w:vAlign w:val="center"/>
          </w:tcPr>
          <w:p w14:paraId="473F8BD0" w14:textId="77777777" w:rsidR="00144AF4" w:rsidRDefault="00144AF4" w:rsidP="008E75CA">
            <w:pPr>
              <w:spacing w:before="0"/>
              <w:jc w:val="center"/>
              <w:rPr>
                <w:rStyle w:val="Strong"/>
                <w:color w:val="FFFFFF" w:themeColor="background1"/>
              </w:rPr>
            </w:pPr>
            <w:r>
              <w:rPr>
                <w:rStyle w:val="Strong"/>
                <w:color w:val="FFFFFF" w:themeColor="background1"/>
              </w:rPr>
              <w:t>W</w:t>
            </w:r>
            <w:r w:rsidRPr="0074315C">
              <w:rPr>
                <w:rStyle w:val="Strong"/>
                <w:color w:val="FFFFFF" w:themeColor="background1"/>
              </w:rPr>
              <w:t>eighting</w:t>
            </w:r>
          </w:p>
        </w:tc>
        <w:tc>
          <w:tcPr>
            <w:tcW w:w="825" w:type="pct"/>
            <w:shd w:val="clear" w:color="auto" w:fill="1B0B38"/>
            <w:vAlign w:val="center"/>
          </w:tcPr>
          <w:p w14:paraId="6BE38B25" w14:textId="77777777" w:rsidR="00144AF4" w:rsidRPr="00BA70A6" w:rsidRDefault="00144AF4" w:rsidP="008E75CA">
            <w:pPr>
              <w:spacing w:before="0"/>
              <w:jc w:val="center"/>
              <w:rPr>
                <w:rStyle w:val="Strong"/>
                <w:color w:val="FFFFFF" w:themeColor="background1"/>
              </w:rPr>
            </w:pPr>
            <w:r>
              <w:rPr>
                <w:rStyle w:val="Strong"/>
                <w:color w:val="FFFFFF" w:themeColor="background1"/>
              </w:rPr>
              <w:t>Unweighted score</w:t>
            </w:r>
          </w:p>
        </w:tc>
        <w:tc>
          <w:tcPr>
            <w:tcW w:w="823" w:type="pct"/>
            <w:shd w:val="clear" w:color="auto" w:fill="1B0B38"/>
            <w:vAlign w:val="center"/>
          </w:tcPr>
          <w:p w14:paraId="135DE974" w14:textId="77777777" w:rsidR="00144AF4" w:rsidRDefault="00144AF4" w:rsidP="008E75CA">
            <w:pPr>
              <w:spacing w:before="0"/>
              <w:jc w:val="center"/>
              <w:rPr>
                <w:rStyle w:val="Strong"/>
                <w:color w:val="FFFFFF" w:themeColor="background1"/>
              </w:rPr>
            </w:pPr>
            <w:r>
              <w:rPr>
                <w:rStyle w:val="Strong"/>
                <w:color w:val="FFFFFF" w:themeColor="background1"/>
              </w:rPr>
              <w:t>W</w:t>
            </w:r>
            <w:r w:rsidRPr="0074315C">
              <w:rPr>
                <w:rStyle w:val="Strong"/>
                <w:color w:val="FFFFFF" w:themeColor="background1"/>
              </w:rPr>
              <w:t>eighted score</w:t>
            </w:r>
          </w:p>
        </w:tc>
      </w:tr>
      <w:tr w:rsidR="00E629A2" w:rsidRPr="00D51674" w14:paraId="7F789E01" w14:textId="77777777" w:rsidTr="217C4165">
        <w:trPr>
          <w:trHeight w:val="283"/>
        </w:trPr>
        <w:tc>
          <w:tcPr>
            <w:tcW w:w="2527" w:type="pct"/>
            <w:tcBorders>
              <w:bottom w:val="single" w:sz="4" w:space="0" w:color="1B0B38"/>
            </w:tcBorders>
            <w:vAlign w:val="center"/>
          </w:tcPr>
          <w:p w14:paraId="4EC87BDC" w14:textId="4D3B8987" w:rsidR="00E629A2" w:rsidRPr="00D51674" w:rsidRDefault="00E629A2" w:rsidP="00E629A2">
            <w:pPr>
              <w:spacing w:before="0"/>
            </w:pPr>
            <w:r>
              <w:t>Option 1</w:t>
            </w:r>
          </w:p>
        </w:tc>
        <w:tc>
          <w:tcPr>
            <w:tcW w:w="825" w:type="pct"/>
            <w:tcBorders>
              <w:bottom w:val="single" w:sz="4" w:space="0" w:color="1B0B38"/>
            </w:tcBorders>
            <w:vAlign w:val="center"/>
          </w:tcPr>
          <w:p w14:paraId="7C448EFE" w14:textId="58909A5C" w:rsidR="00E629A2" w:rsidRDefault="00E629A2" w:rsidP="00E629A2">
            <w:pPr>
              <w:spacing w:before="0"/>
              <w:jc w:val="center"/>
            </w:pPr>
            <w:r>
              <w:t>25%</w:t>
            </w:r>
          </w:p>
        </w:tc>
        <w:tc>
          <w:tcPr>
            <w:tcW w:w="825" w:type="pct"/>
            <w:tcBorders>
              <w:bottom w:val="single" w:sz="4" w:space="0" w:color="1B0B38"/>
            </w:tcBorders>
            <w:vAlign w:val="center"/>
          </w:tcPr>
          <w:p w14:paraId="6D2EB1F0" w14:textId="38665A5D" w:rsidR="00E629A2" w:rsidRPr="00D51674" w:rsidRDefault="00E629A2" w:rsidP="00E629A2">
            <w:pPr>
              <w:spacing w:before="0"/>
              <w:jc w:val="center"/>
            </w:pPr>
            <w:r>
              <w:t>-4</w:t>
            </w:r>
          </w:p>
        </w:tc>
        <w:tc>
          <w:tcPr>
            <w:tcW w:w="823" w:type="pct"/>
            <w:tcBorders>
              <w:bottom w:val="single" w:sz="4" w:space="0" w:color="1B0B38"/>
            </w:tcBorders>
            <w:vAlign w:val="center"/>
          </w:tcPr>
          <w:p w14:paraId="336D3435" w14:textId="19D4D5A5" w:rsidR="00E629A2" w:rsidRDefault="00E629A2" w:rsidP="00E629A2">
            <w:pPr>
              <w:spacing w:before="0"/>
              <w:jc w:val="center"/>
            </w:pPr>
            <w:r>
              <w:rPr>
                <w:rFonts w:cs="Arial"/>
                <w:szCs w:val="18"/>
              </w:rPr>
              <w:t>-1.00</w:t>
            </w:r>
          </w:p>
        </w:tc>
      </w:tr>
      <w:tr w:rsidR="00E629A2" w:rsidRPr="006043AB" w14:paraId="2680B7F6" w14:textId="77777777" w:rsidTr="217C4165">
        <w:trPr>
          <w:trHeight w:val="283"/>
        </w:trPr>
        <w:tc>
          <w:tcPr>
            <w:tcW w:w="2527" w:type="pct"/>
            <w:tcBorders>
              <w:top w:val="single" w:sz="4" w:space="0" w:color="1B0B38"/>
              <w:bottom w:val="single" w:sz="4" w:space="0" w:color="1B0B38"/>
            </w:tcBorders>
            <w:vAlign w:val="center"/>
          </w:tcPr>
          <w:p w14:paraId="51529AE0" w14:textId="5BB4B29C" w:rsidR="00E629A2" w:rsidRPr="00D8367F" w:rsidRDefault="00E629A2" w:rsidP="00E629A2">
            <w:pPr>
              <w:spacing w:before="0"/>
              <w:rPr>
                <w:rStyle w:val="Strong"/>
                <w:b w:val="0"/>
                <w:bCs w:val="0"/>
              </w:rPr>
            </w:pPr>
            <w:r>
              <w:rPr>
                <w:rStyle w:val="Strong"/>
                <w:b w:val="0"/>
                <w:bCs w:val="0"/>
              </w:rPr>
              <w:t>Option 2</w:t>
            </w:r>
          </w:p>
        </w:tc>
        <w:tc>
          <w:tcPr>
            <w:tcW w:w="825" w:type="pct"/>
            <w:tcBorders>
              <w:top w:val="single" w:sz="4" w:space="0" w:color="1B0B38"/>
              <w:bottom w:val="single" w:sz="4" w:space="0" w:color="1B0B38"/>
            </w:tcBorders>
            <w:vAlign w:val="center"/>
          </w:tcPr>
          <w:p w14:paraId="690C6FCB" w14:textId="59795977" w:rsidR="00E629A2" w:rsidRDefault="00E629A2" w:rsidP="00E629A2">
            <w:pPr>
              <w:spacing w:before="0"/>
              <w:jc w:val="center"/>
              <w:rPr>
                <w:rStyle w:val="Strong"/>
                <w:b w:val="0"/>
                <w:bCs w:val="0"/>
              </w:rPr>
            </w:pPr>
            <w:r>
              <w:rPr>
                <w:rStyle w:val="Strong"/>
                <w:b w:val="0"/>
                <w:bCs w:val="0"/>
              </w:rPr>
              <w:t>25%</w:t>
            </w:r>
          </w:p>
        </w:tc>
        <w:tc>
          <w:tcPr>
            <w:tcW w:w="825" w:type="pct"/>
            <w:tcBorders>
              <w:top w:val="single" w:sz="4" w:space="0" w:color="1B0B38"/>
              <w:bottom w:val="single" w:sz="4" w:space="0" w:color="1B0B38"/>
            </w:tcBorders>
            <w:vAlign w:val="center"/>
          </w:tcPr>
          <w:p w14:paraId="1D29B895" w14:textId="69C71A5A" w:rsidR="00E629A2" w:rsidRPr="00D8367F" w:rsidRDefault="00E629A2" w:rsidP="00E629A2">
            <w:pPr>
              <w:spacing w:before="0"/>
              <w:jc w:val="center"/>
              <w:rPr>
                <w:rStyle w:val="Strong"/>
                <w:b w:val="0"/>
                <w:bCs w:val="0"/>
              </w:rPr>
            </w:pPr>
            <w:r>
              <w:rPr>
                <w:rStyle w:val="Strong"/>
                <w:b w:val="0"/>
                <w:bCs w:val="0"/>
              </w:rPr>
              <w:t>-3</w:t>
            </w:r>
          </w:p>
        </w:tc>
        <w:tc>
          <w:tcPr>
            <w:tcW w:w="823" w:type="pct"/>
            <w:tcBorders>
              <w:top w:val="single" w:sz="4" w:space="0" w:color="1B0B38"/>
              <w:bottom w:val="single" w:sz="4" w:space="0" w:color="1B0B38"/>
            </w:tcBorders>
            <w:vAlign w:val="center"/>
          </w:tcPr>
          <w:p w14:paraId="649AECF1" w14:textId="1F6A136F" w:rsidR="00E629A2" w:rsidRPr="0089011E" w:rsidRDefault="00E629A2" w:rsidP="00E629A2">
            <w:pPr>
              <w:spacing w:before="0"/>
              <w:jc w:val="center"/>
              <w:rPr>
                <w:rStyle w:val="Strong"/>
                <w:b w:val="0"/>
                <w:bCs w:val="0"/>
              </w:rPr>
            </w:pPr>
            <w:r>
              <w:rPr>
                <w:szCs w:val="18"/>
              </w:rPr>
              <w:t>-0.75</w:t>
            </w:r>
          </w:p>
        </w:tc>
      </w:tr>
    </w:tbl>
    <w:p w14:paraId="58D984F6" w14:textId="1D9EFCBC" w:rsidR="217C4165" w:rsidRDefault="217C4165"/>
    <w:p w14:paraId="50BC25A2" w14:textId="3DF9FEA1" w:rsidR="00BE37A3" w:rsidRDefault="00290A0E" w:rsidP="00D50C43">
      <w:pPr>
        <w:pStyle w:val="Heading3"/>
        <w:numPr>
          <w:ilvl w:val="2"/>
          <w:numId w:val="124"/>
        </w:numPr>
      </w:pPr>
      <w:bookmarkStart w:id="347" w:name="_Toc104217717"/>
      <w:r>
        <w:t>Cost to government</w:t>
      </w:r>
      <w:bookmarkEnd w:id="347"/>
    </w:p>
    <w:p w14:paraId="3AAA39A9" w14:textId="31501F45" w:rsidR="00290A0E" w:rsidRDefault="00F24E65" w:rsidP="003F70FF">
      <w:pPr>
        <w:pStyle w:val="Heading6"/>
      </w:pPr>
      <w:r>
        <w:t>Option 1</w:t>
      </w:r>
    </w:p>
    <w:p w14:paraId="5703DEB4" w14:textId="5AF5B633" w:rsidR="000F28F7" w:rsidRDefault="000F28F7" w:rsidP="0024528B">
      <w:r>
        <w:t xml:space="preserve">Overall, </w:t>
      </w:r>
      <w:r w:rsidR="00F24E65">
        <w:t>Option 1</w:t>
      </w:r>
      <w:r w:rsidR="000B0028">
        <w:t xml:space="preserve"> is considered to result in slightly more cost to government than the base case, </w:t>
      </w:r>
      <w:r w:rsidR="000258C5">
        <w:t>as the Minister would have additional information to consider as part of their closure determination.</w:t>
      </w:r>
      <w:r w:rsidR="002A5345">
        <w:t xml:space="preserve"> As such, </w:t>
      </w:r>
      <w:r w:rsidR="00F24E65">
        <w:t>Option 1</w:t>
      </w:r>
      <w:r w:rsidR="002A5345">
        <w:t xml:space="preserve"> has been scored as slightly negative (-1) compared to the base case.</w:t>
      </w:r>
    </w:p>
    <w:p w14:paraId="79D68298" w14:textId="256A0530" w:rsidR="00662AA9" w:rsidRDefault="00662AA9" w:rsidP="006B33C5">
      <w:pPr>
        <w:pStyle w:val="Heading7"/>
      </w:pPr>
      <w:r>
        <w:t>Assessment of application for closure determination</w:t>
      </w:r>
    </w:p>
    <w:p w14:paraId="2B1237A9" w14:textId="193CCBCE" w:rsidR="0024528B" w:rsidRDefault="00290A0E" w:rsidP="0024528B">
      <w:r>
        <w:t xml:space="preserve">Under </w:t>
      </w:r>
      <w:r w:rsidR="00F24E65">
        <w:t>Option 1</w:t>
      </w:r>
      <w:r>
        <w:t>, the Minister would be provided with a third-party verification that the closure criteria for the subject mine have been met</w:t>
      </w:r>
      <w:r w:rsidR="00BE7BE7">
        <w:t xml:space="preserve">, in addition to the information provided </w:t>
      </w:r>
      <w:r w:rsidR="00DD60B1">
        <w:t>under the base case</w:t>
      </w:r>
      <w:r>
        <w:t xml:space="preserve">. </w:t>
      </w:r>
    </w:p>
    <w:p w14:paraId="3A284373" w14:textId="06C7588A" w:rsidR="001D39D5" w:rsidRDefault="4151B232" w:rsidP="003437CE">
      <w:r>
        <w:t xml:space="preserve">The provision of additional information which the Minister must consider, is considered to increase the effort of the Minister in making a closure determination, as the validity of the third-party verification must be considered. </w:t>
      </w:r>
      <w:r w:rsidR="01ED8D90">
        <w:t>However, the third-party verification may reduce the overall</w:t>
      </w:r>
      <w:r w:rsidR="15A02098">
        <w:t xml:space="preserve"> effort and time</w:t>
      </w:r>
      <w:r w:rsidR="01ED8D90">
        <w:t xml:space="preserve"> of undertaking a closure determination, as expert evidence could </w:t>
      </w:r>
      <w:r w:rsidR="786A3748">
        <w:t>create efficiencies in considering the other information provided as part of the base case.</w:t>
      </w:r>
      <w:r w:rsidR="006D4DC3">
        <w:t xml:space="preserve"> This can</w:t>
      </w:r>
      <w:r w:rsidR="009F4BA5">
        <w:t xml:space="preserve"> curtail</w:t>
      </w:r>
      <w:r w:rsidR="0017629B">
        <w:t xml:space="preserve"> the ongoing cost requirements</w:t>
      </w:r>
      <w:r w:rsidR="00AA02E6">
        <w:t xml:space="preserve"> </w:t>
      </w:r>
      <w:r w:rsidR="00462F06">
        <w:t>of</w:t>
      </w:r>
      <w:r w:rsidR="00AA02E6">
        <w:t xml:space="preserve"> the ERR to maintain </w:t>
      </w:r>
      <w:r w:rsidR="00E86174">
        <w:t>specialist</w:t>
      </w:r>
      <w:r w:rsidR="00AA02E6">
        <w:t xml:space="preserve"> capability to assess and </w:t>
      </w:r>
      <w:r w:rsidR="00E86174">
        <w:t>verify closure criteria.</w:t>
      </w:r>
      <w:r w:rsidR="786A3748">
        <w:t xml:space="preserve"> </w:t>
      </w:r>
    </w:p>
    <w:p w14:paraId="4B8323BC" w14:textId="597901FD" w:rsidR="001D39D5" w:rsidRDefault="0035640C" w:rsidP="003437CE">
      <w:r>
        <w:t xml:space="preserve">Further, </w:t>
      </w:r>
      <w:r w:rsidR="001D39D5">
        <w:t>prescribing the information required for a closure decision</w:t>
      </w:r>
      <w:r w:rsidR="0061297C">
        <w:t xml:space="preserve"> may reduce the costs to government compared to the base case, although this is unlikely to be significant. This is because it provides clarity around the requirements of a closure application, meaning that the likelihood of questions and queries being posed to the </w:t>
      </w:r>
      <w:r w:rsidR="006D439C">
        <w:t>department</w:t>
      </w:r>
      <w:r w:rsidR="0061297C">
        <w:t xml:space="preserve"> is reduced, and there is less </w:t>
      </w:r>
      <w:r w:rsidR="009B4BAD">
        <w:t>follow up required by the regulator to obtain required information that was not included in the closure application.</w:t>
      </w:r>
    </w:p>
    <w:p w14:paraId="32F6E064" w14:textId="7A15A472" w:rsidR="00290A0E" w:rsidRDefault="003437CE" w:rsidP="003437CE">
      <w:r>
        <w:t xml:space="preserve">On balance, </w:t>
      </w:r>
      <w:r w:rsidR="00290A0E">
        <w:t>the</w:t>
      </w:r>
      <w:r>
        <w:t xml:space="preserve"> additional</w:t>
      </w:r>
      <w:r w:rsidR="00290A0E">
        <w:t xml:space="preserve"> cost to government of </w:t>
      </w:r>
      <w:r w:rsidR="00F24E65">
        <w:t>Option 1</w:t>
      </w:r>
      <w:r>
        <w:t xml:space="preserve"> relative to the base case</w:t>
      </w:r>
      <w:r w:rsidR="00290A0E">
        <w:t xml:space="preserve"> is considered to be low.</w:t>
      </w:r>
    </w:p>
    <w:p w14:paraId="4A49D47A" w14:textId="2679D627" w:rsidR="00662AA9" w:rsidRDefault="00662AA9" w:rsidP="00662AA9">
      <w:pPr>
        <w:pStyle w:val="Heading7"/>
      </w:pPr>
      <w:r>
        <w:t>Decision making – closure determination</w:t>
      </w:r>
    </w:p>
    <w:p w14:paraId="2B196B10" w14:textId="1C80E45A" w:rsidR="00662AA9" w:rsidRPr="00662AA9" w:rsidRDefault="00662AA9" w:rsidP="00662AA9">
      <w:r>
        <w:t xml:space="preserve">Under </w:t>
      </w:r>
      <w:r w:rsidR="00F24E65">
        <w:t>Option 1</w:t>
      </w:r>
      <w:r>
        <w:t xml:space="preserve"> the regulations would not prescribe any other processes or matters for consideration beyond those in the Act. As such, </w:t>
      </w:r>
      <w:r w:rsidR="004B2075">
        <w:t xml:space="preserve">this aspect of </w:t>
      </w:r>
      <w:r w:rsidR="00F24E65">
        <w:t>Option 1</w:t>
      </w:r>
      <w:r w:rsidR="004B2075">
        <w:t xml:space="preserve"> would not impose any additional cost to government relative to the base case.</w:t>
      </w:r>
    </w:p>
    <w:p w14:paraId="7F4C5AEB" w14:textId="0F295C03" w:rsidR="00BE37A3" w:rsidRDefault="00F24E65" w:rsidP="003F70FF">
      <w:pPr>
        <w:pStyle w:val="Heading6"/>
      </w:pPr>
      <w:r>
        <w:t>Option 2</w:t>
      </w:r>
    </w:p>
    <w:p w14:paraId="18B913B9" w14:textId="0EB9D7AA" w:rsidR="00785A24" w:rsidRDefault="00785A24" w:rsidP="0024528B">
      <w:r>
        <w:t xml:space="preserve">Overall, </w:t>
      </w:r>
      <w:r w:rsidR="00F24E65">
        <w:t>Option 2</w:t>
      </w:r>
      <w:r>
        <w:t xml:space="preserve"> is considered to result in moderately more cost to government than the base case, as the Minister is required to undertake an assessment of the evidence provided by the licensee in support of their closure determination, and consider the prescribed matters. As such, </w:t>
      </w:r>
      <w:r w:rsidR="00F24E65">
        <w:t>Option 2</w:t>
      </w:r>
      <w:r>
        <w:t xml:space="preserve"> has been scored as moderately negative (-3) compared to the base case.</w:t>
      </w:r>
    </w:p>
    <w:p w14:paraId="0A9360BD" w14:textId="5A55783E" w:rsidR="002B1AAD" w:rsidRDefault="002B1AAD" w:rsidP="0024528B">
      <w:r>
        <w:lastRenderedPageBreak/>
        <w:t xml:space="preserve">The time and effort required to assess the evidence provided by the licensee under Option 2 will be greater than Option 1, as the Minister (or the Minister’s delegate) is required to assess the </w:t>
      </w:r>
      <w:r w:rsidR="00C41323">
        <w:t>information provided and come to a view of whether the evidence supports a decision that the closure criteria have been met.</w:t>
      </w:r>
    </w:p>
    <w:p w14:paraId="137815A4" w14:textId="0FEE7F2E" w:rsidR="004B2075" w:rsidRDefault="004B2075" w:rsidP="006B33C5">
      <w:pPr>
        <w:pStyle w:val="Heading7"/>
      </w:pPr>
      <w:r>
        <w:t>Assessment of application for closure determination</w:t>
      </w:r>
    </w:p>
    <w:p w14:paraId="29B656CA" w14:textId="622BF164" w:rsidR="00290A0E" w:rsidRDefault="00290A0E" w:rsidP="0024528B">
      <w:r>
        <w:t xml:space="preserve">Under </w:t>
      </w:r>
      <w:r w:rsidR="00F24E65">
        <w:t>Option 2</w:t>
      </w:r>
      <w:r>
        <w:t xml:space="preserve">, the Minister would be required to undertake their own assessment of the evidence provided by the licensee in support of their closure determination. </w:t>
      </w:r>
    </w:p>
    <w:p w14:paraId="1E55E384" w14:textId="51B49767" w:rsidR="00290A0E" w:rsidRDefault="3E5B8625" w:rsidP="0024528B">
      <w:r>
        <w:t xml:space="preserve">The assessment of the evidence supporting the application for closure determination </w:t>
      </w:r>
      <w:r w:rsidR="10E0E1CC">
        <w:t>is considered to considerably increase the effort of the Minister in making a closure determination</w:t>
      </w:r>
      <w:r w:rsidR="759DEF5F">
        <w:t xml:space="preserve"> compared to Option 1</w:t>
      </w:r>
      <w:r w:rsidR="2709EC85">
        <w:t xml:space="preserve">. While the Authority and other government agencies could advise the Minister of their opinion as to whether the criteria have been met, the Minister would also need to come to a decision based on all these opinions and advice. It is considered that </w:t>
      </w:r>
      <w:r w:rsidR="068DA803">
        <w:t>Option 2</w:t>
      </w:r>
      <w:r w:rsidR="2709EC85">
        <w:t xml:space="preserve"> would result in </w:t>
      </w:r>
      <w:r w:rsidR="31606141">
        <w:t>moderately more</w:t>
      </w:r>
      <w:r w:rsidR="2709EC85">
        <w:t xml:space="preserve"> costs for government than the base case. </w:t>
      </w:r>
    </w:p>
    <w:p w14:paraId="2A2EE2BF" w14:textId="77777777" w:rsidR="004B2075" w:rsidRDefault="004B2075" w:rsidP="004B2075">
      <w:pPr>
        <w:pStyle w:val="Heading7"/>
      </w:pPr>
      <w:r>
        <w:t>Decision making – closure determination</w:t>
      </w:r>
    </w:p>
    <w:p w14:paraId="319E8869" w14:textId="3BC3C298" w:rsidR="004B2075" w:rsidRDefault="007808F9" w:rsidP="0024528B">
      <w:r>
        <w:t xml:space="preserve">Under </w:t>
      </w:r>
      <w:r w:rsidR="00F24E65">
        <w:t>Option 2</w:t>
      </w:r>
      <w:r>
        <w:t>, t</w:t>
      </w:r>
      <w:r w:rsidR="004B2075">
        <w:t>he Minister would also need to consider the prescribed matters and refer to the listed entities</w:t>
      </w:r>
      <w:r w:rsidR="00E1121B">
        <w:t>, which is considered to involve greater effort</w:t>
      </w:r>
      <w:r w:rsidR="0023131B">
        <w:t>, and cost</w:t>
      </w:r>
      <w:r w:rsidR="000C6539">
        <w:t>,</w:t>
      </w:r>
      <w:r w:rsidR="00E1121B">
        <w:t xml:space="preserve"> than the base case</w:t>
      </w:r>
      <w:r w:rsidR="004B2075">
        <w:t>.</w:t>
      </w:r>
      <w:r w:rsidR="000C6539">
        <w:t xml:space="preserve"> As such, it is considered that </w:t>
      </w:r>
      <w:r w:rsidR="00F24E65">
        <w:t>Option 2</w:t>
      </w:r>
      <w:r w:rsidR="000C6539">
        <w:t xml:space="preserve"> would result in moderately more costs for government than the base case.</w:t>
      </w:r>
    </w:p>
    <w:p w14:paraId="62E82017" w14:textId="3925C2FE" w:rsidR="00290A0E" w:rsidRDefault="00290A0E" w:rsidP="003F70FF">
      <w:pPr>
        <w:pStyle w:val="Heading6"/>
      </w:pPr>
      <w:r>
        <w:t>Cost to government scores</w:t>
      </w:r>
    </w:p>
    <w:p w14:paraId="3E6CDF64" w14:textId="62A34974" w:rsidR="00290A0E" w:rsidRPr="00290A0E" w:rsidRDefault="00290A0E" w:rsidP="00290A0E">
      <w:pPr>
        <w:pStyle w:val="Caption"/>
        <w:rPr>
          <w:i w:val="0"/>
          <w:iCs w:val="0"/>
        </w:rPr>
      </w:pPr>
      <w:r w:rsidRPr="00290A0E">
        <w:rPr>
          <w:i w:val="0"/>
          <w:iCs w:val="0"/>
        </w:rPr>
        <w:fldChar w:fldCharType="begin"/>
      </w:r>
      <w:r w:rsidRPr="00290A0E">
        <w:rPr>
          <w:i w:val="0"/>
          <w:iCs w:val="0"/>
        </w:rPr>
        <w:instrText xml:space="preserve"> REF _Ref55483526 \h  \* MERGEFORMAT </w:instrText>
      </w:r>
      <w:r w:rsidRPr="00290A0E">
        <w:rPr>
          <w:i w:val="0"/>
          <w:iCs w:val="0"/>
        </w:rPr>
      </w:r>
      <w:r w:rsidRPr="00290A0E">
        <w:rPr>
          <w:i w:val="0"/>
          <w:iCs w:val="0"/>
        </w:rPr>
        <w:fldChar w:fldCharType="separate"/>
      </w:r>
      <w:r w:rsidR="000B3BF6" w:rsidRPr="000B3BF6">
        <w:rPr>
          <w:i w:val="0"/>
          <w:iCs w:val="0"/>
        </w:rPr>
        <w:t xml:space="preserve">Table </w:t>
      </w:r>
      <w:r w:rsidR="000B3BF6" w:rsidRPr="000B3BF6">
        <w:rPr>
          <w:i w:val="0"/>
          <w:iCs w:val="0"/>
          <w:noProof/>
        </w:rPr>
        <w:t>16</w:t>
      </w:r>
      <w:r w:rsidRPr="00290A0E">
        <w:rPr>
          <w:i w:val="0"/>
          <w:iCs w:val="0"/>
        </w:rPr>
        <w:fldChar w:fldCharType="end"/>
      </w:r>
      <w:r w:rsidRPr="00290A0E">
        <w:rPr>
          <w:i w:val="0"/>
          <w:iCs w:val="0"/>
        </w:rPr>
        <w:t xml:space="preserve"> sets </w:t>
      </w:r>
      <w:r>
        <w:rPr>
          <w:i w:val="0"/>
          <w:iCs w:val="0"/>
        </w:rPr>
        <w:t xml:space="preserve">out the scores allocated to </w:t>
      </w:r>
      <w:r w:rsidR="00F24E65">
        <w:rPr>
          <w:i w:val="0"/>
          <w:iCs w:val="0"/>
        </w:rPr>
        <w:t>Option 1</w:t>
      </w:r>
      <w:r>
        <w:rPr>
          <w:i w:val="0"/>
          <w:iCs w:val="0"/>
        </w:rPr>
        <w:t xml:space="preserve"> and </w:t>
      </w:r>
      <w:r w:rsidR="00F24E65">
        <w:rPr>
          <w:i w:val="0"/>
          <w:iCs w:val="0"/>
        </w:rPr>
        <w:t>Option 2</w:t>
      </w:r>
      <w:r>
        <w:rPr>
          <w:i w:val="0"/>
          <w:iCs w:val="0"/>
        </w:rPr>
        <w:t xml:space="preserve"> in relation to the cost to government score. </w:t>
      </w:r>
      <w:r w:rsidR="00F24E65">
        <w:rPr>
          <w:i w:val="0"/>
          <w:iCs w:val="0"/>
        </w:rPr>
        <w:t>Option 2</w:t>
      </w:r>
      <w:r>
        <w:rPr>
          <w:i w:val="0"/>
          <w:iCs w:val="0"/>
        </w:rPr>
        <w:t xml:space="preserve"> is considered likely to impose </w:t>
      </w:r>
      <w:r w:rsidR="00503FEA">
        <w:rPr>
          <w:i w:val="0"/>
          <w:iCs w:val="0"/>
        </w:rPr>
        <w:t xml:space="preserve">somewhat </w:t>
      </w:r>
      <w:r>
        <w:rPr>
          <w:i w:val="0"/>
          <w:iCs w:val="0"/>
        </w:rPr>
        <w:t xml:space="preserve">higher costs than the base case (or </w:t>
      </w:r>
      <w:r w:rsidR="00F24E65">
        <w:rPr>
          <w:i w:val="0"/>
          <w:iCs w:val="0"/>
        </w:rPr>
        <w:t>Option 1</w:t>
      </w:r>
      <w:r>
        <w:rPr>
          <w:i w:val="0"/>
          <w:iCs w:val="0"/>
        </w:rPr>
        <w:t xml:space="preserve">) </w:t>
      </w:r>
      <w:r w:rsidR="00BC520C">
        <w:rPr>
          <w:i w:val="0"/>
          <w:iCs w:val="0"/>
        </w:rPr>
        <w:t>because of the extra processes government is obliged to undertake under this option.</w:t>
      </w:r>
    </w:p>
    <w:p w14:paraId="676C5741" w14:textId="090BE0EA" w:rsidR="00290A0E" w:rsidRDefault="00290A0E" w:rsidP="00290A0E">
      <w:pPr>
        <w:pStyle w:val="Caption"/>
      </w:pPr>
      <w:bookmarkStart w:id="348" w:name="_Ref55483526"/>
      <w:bookmarkStart w:id="349" w:name="_Toc104217632"/>
      <w:r>
        <w:t xml:space="preserve">Table </w:t>
      </w:r>
      <w:r>
        <w:fldChar w:fldCharType="begin"/>
      </w:r>
      <w:r>
        <w:instrText>SEQ Table \* ARABIC</w:instrText>
      </w:r>
      <w:r>
        <w:fldChar w:fldCharType="separate"/>
      </w:r>
      <w:r w:rsidR="000B3BF6">
        <w:rPr>
          <w:noProof/>
        </w:rPr>
        <w:t>16</w:t>
      </w:r>
      <w:r>
        <w:fldChar w:fldCharType="end"/>
      </w:r>
      <w:bookmarkEnd w:id="348"/>
      <w:r w:rsidR="00D260C7">
        <w:rPr>
          <w:noProof/>
        </w:rPr>
        <w:t>:</w:t>
      </w:r>
      <w:r>
        <w:t xml:space="preserve"> Cost to government scores - mine closure determination</w:t>
      </w:r>
      <w:r w:rsidR="00BC520C">
        <w:t>s</w:t>
      </w:r>
      <w:bookmarkEnd w:id="349"/>
    </w:p>
    <w:tbl>
      <w:tblPr>
        <w:tblStyle w:val="TableGrid"/>
        <w:tblW w:w="5000" w:type="pct"/>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CellMar>
          <w:top w:w="28" w:type="dxa"/>
          <w:bottom w:w="28" w:type="dxa"/>
        </w:tblCellMar>
        <w:tblLook w:val="04A0" w:firstRow="1" w:lastRow="0" w:firstColumn="1" w:lastColumn="0" w:noHBand="0" w:noVBand="1"/>
        <w:tblCaption w:val="Table heading"/>
      </w:tblPr>
      <w:tblGrid>
        <w:gridCol w:w="4562"/>
        <w:gridCol w:w="1489"/>
        <w:gridCol w:w="1489"/>
        <w:gridCol w:w="1486"/>
      </w:tblGrid>
      <w:tr w:rsidR="00144AF4" w:rsidRPr="00D51674" w14:paraId="6AE99AF0" w14:textId="77777777" w:rsidTr="217C4165">
        <w:trPr>
          <w:trHeight w:val="340"/>
          <w:tblHeader/>
        </w:trPr>
        <w:tc>
          <w:tcPr>
            <w:tcW w:w="2527" w:type="pct"/>
            <w:shd w:val="clear" w:color="auto" w:fill="1B0B38"/>
            <w:vAlign w:val="center"/>
          </w:tcPr>
          <w:p w14:paraId="7B400B9D" w14:textId="77777777" w:rsidR="00144AF4" w:rsidRPr="00BA70A6" w:rsidRDefault="00144AF4" w:rsidP="008E75CA">
            <w:pPr>
              <w:spacing w:before="0"/>
              <w:rPr>
                <w:rStyle w:val="Strong"/>
                <w:color w:val="FFFFFF" w:themeColor="background1"/>
              </w:rPr>
            </w:pPr>
            <w:r>
              <w:rPr>
                <w:rStyle w:val="Strong"/>
                <w:color w:val="FFFFFF" w:themeColor="background1"/>
              </w:rPr>
              <w:t>Option</w:t>
            </w:r>
          </w:p>
        </w:tc>
        <w:tc>
          <w:tcPr>
            <w:tcW w:w="825" w:type="pct"/>
            <w:shd w:val="clear" w:color="auto" w:fill="1B0B38"/>
            <w:vAlign w:val="center"/>
          </w:tcPr>
          <w:p w14:paraId="630A789A" w14:textId="77777777" w:rsidR="00144AF4" w:rsidRDefault="00144AF4" w:rsidP="008E75CA">
            <w:pPr>
              <w:spacing w:before="0"/>
              <w:jc w:val="center"/>
              <w:rPr>
                <w:rStyle w:val="Strong"/>
                <w:color w:val="FFFFFF" w:themeColor="background1"/>
              </w:rPr>
            </w:pPr>
            <w:r>
              <w:rPr>
                <w:rStyle w:val="Strong"/>
                <w:color w:val="FFFFFF" w:themeColor="background1"/>
              </w:rPr>
              <w:t>W</w:t>
            </w:r>
            <w:r w:rsidRPr="0074315C">
              <w:rPr>
                <w:rStyle w:val="Strong"/>
                <w:color w:val="FFFFFF" w:themeColor="background1"/>
              </w:rPr>
              <w:t>eighting</w:t>
            </w:r>
          </w:p>
        </w:tc>
        <w:tc>
          <w:tcPr>
            <w:tcW w:w="825" w:type="pct"/>
            <w:shd w:val="clear" w:color="auto" w:fill="1B0B38"/>
            <w:vAlign w:val="center"/>
          </w:tcPr>
          <w:p w14:paraId="23C186FC" w14:textId="77777777" w:rsidR="00144AF4" w:rsidRPr="00BA70A6" w:rsidRDefault="00144AF4" w:rsidP="008E75CA">
            <w:pPr>
              <w:spacing w:before="0"/>
              <w:jc w:val="center"/>
              <w:rPr>
                <w:rStyle w:val="Strong"/>
                <w:color w:val="FFFFFF" w:themeColor="background1"/>
              </w:rPr>
            </w:pPr>
            <w:r>
              <w:rPr>
                <w:rStyle w:val="Strong"/>
                <w:color w:val="FFFFFF" w:themeColor="background1"/>
              </w:rPr>
              <w:t>Unweighted score</w:t>
            </w:r>
          </w:p>
        </w:tc>
        <w:tc>
          <w:tcPr>
            <w:tcW w:w="823" w:type="pct"/>
            <w:shd w:val="clear" w:color="auto" w:fill="1B0B38"/>
            <w:vAlign w:val="center"/>
          </w:tcPr>
          <w:p w14:paraId="52643F9F" w14:textId="77777777" w:rsidR="00144AF4" w:rsidRDefault="00144AF4" w:rsidP="008E75CA">
            <w:pPr>
              <w:spacing w:before="0"/>
              <w:jc w:val="center"/>
              <w:rPr>
                <w:rStyle w:val="Strong"/>
                <w:color w:val="FFFFFF" w:themeColor="background1"/>
              </w:rPr>
            </w:pPr>
            <w:r>
              <w:rPr>
                <w:rStyle w:val="Strong"/>
                <w:color w:val="FFFFFF" w:themeColor="background1"/>
              </w:rPr>
              <w:t>W</w:t>
            </w:r>
            <w:r w:rsidRPr="0074315C">
              <w:rPr>
                <w:rStyle w:val="Strong"/>
                <w:color w:val="FFFFFF" w:themeColor="background1"/>
              </w:rPr>
              <w:t>eighted score</w:t>
            </w:r>
          </w:p>
        </w:tc>
      </w:tr>
      <w:tr w:rsidR="00E14926" w:rsidRPr="00D51674" w14:paraId="4793FCAA" w14:textId="77777777" w:rsidTr="217C4165">
        <w:trPr>
          <w:trHeight w:val="283"/>
        </w:trPr>
        <w:tc>
          <w:tcPr>
            <w:tcW w:w="2527" w:type="pct"/>
            <w:tcBorders>
              <w:bottom w:val="single" w:sz="4" w:space="0" w:color="1B0B38"/>
            </w:tcBorders>
            <w:vAlign w:val="center"/>
          </w:tcPr>
          <w:p w14:paraId="1EE9E3C6" w14:textId="7D174B1A" w:rsidR="00E14926" w:rsidRPr="00D51674" w:rsidRDefault="00E14926" w:rsidP="00E14926">
            <w:pPr>
              <w:spacing w:before="0"/>
            </w:pPr>
            <w:r>
              <w:t>Option 1</w:t>
            </w:r>
          </w:p>
        </w:tc>
        <w:tc>
          <w:tcPr>
            <w:tcW w:w="825" w:type="pct"/>
            <w:tcBorders>
              <w:bottom w:val="single" w:sz="4" w:space="0" w:color="1B0B38"/>
            </w:tcBorders>
            <w:vAlign w:val="center"/>
          </w:tcPr>
          <w:p w14:paraId="0DD3DCB4" w14:textId="43783DB3" w:rsidR="00E14926" w:rsidRDefault="00CF5AAC" w:rsidP="00E14926">
            <w:pPr>
              <w:spacing w:before="0"/>
              <w:jc w:val="center"/>
            </w:pPr>
            <w:r>
              <w:t>2</w:t>
            </w:r>
            <w:r w:rsidR="00E14926">
              <w:t>5%</w:t>
            </w:r>
          </w:p>
        </w:tc>
        <w:tc>
          <w:tcPr>
            <w:tcW w:w="825" w:type="pct"/>
            <w:tcBorders>
              <w:bottom w:val="single" w:sz="4" w:space="0" w:color="1B0B38"/>
            </w:tcBorders>
            <w:vAlign w:val="center"/>
          </w:tcPr>
          <w:p w14:paraId="13C69A98" w14:textId="44BF5EDA" w:rsidR="00E14926" w:rsidRPr="00D51674" w:rsidRDefault="00E14926" w:rsidP="00E14926">
            <w:pPr>
              <w:spacing w:before="0"/>
              <w:jc w:val="center"/>
            </w:pPr>
            <w:r>
              <w:t>-1</w:t>
            </w:r>
          </w:p>
        </w:tc>
        <w:tc>
          <w:tcPr>
            <w:tcW w:w="823" w:type="pct"/>
            <w:tcBorders>
              <w:bottom w:val="single" w:sz="4" w:space="0" w:color="1B0B38"/>
            </w:tcBorders>
            <w:vAlign w:val="center"/>
          </w:tcPr>
          <w:p w14:paraId="45256B59" w14:textId="76E3D497" w:rsidR="00E14926" w:rsidRDefault="00E14926" w:rsidP="00E14926">
            <w:pPr>
              <w:spacing w:before="0"/>
              <w:jc w:val="center"/>
            </w:pPr>
            <w:r>
              <w:rPr>
                <w:rFonts w:cs="Arial"/>
                <w:szCs w:val="18"/>
              </w:rPr>
              <w:t>-0.25</w:t>
            </w:r>
          </w:p>
        </w:tc>
      </w:tr>
      <w:tr w:rsidR="00E14926" w:rsidRPr="006043AB" w14:paraId="7DCFC2D8" w14:textId="77777777" w:rsidTr="217C4165">
        <w:trPr>
          <w:trHeight w:val="283"/>
        </w:trPr>
        <w:tc>
          <w:tcPr>
            <w:tcW w:w="2527" w:type="pct"/>
            <w:tcBorders>
              <w:top w:val="single" w:sz="4" w:space="0" w:color="1B0B38"/>
              <w:bottom w:val="single" w:sz="4" w:space="0" w:color="1B0B38"/>
            </w:tcBorders>
            <w:vAlign w:val="center"/>
          </w:tcPr>
          <w:p w14:paraId="1350DC9A" w14:textId="77EEB6B1" w:rsidR="00E14926" w:rsidRPr="00D8367F" w:rsidRDefault="00E14926" w:rsidP="00E14926">
            <w:pPr>
              <w:spacing w:before="0"/>
              <w:rPr>
                <w:rStyle w:val="Strong"/>
                <w:b w:val="0"/>
                <w:bCs w:val="0"/>
              </w:rPr>
            </w:pPr>
            <w:r>
              <w:rPr>
                <w:rStyle w:val="Strong"/>
                <w:b w:val="0"/>
                <w:bCs w:val="0"/>
              </w:rPr>
              <w:t>Option 2</w:t>
            </w:r>
          </w:p>
        </w:tc>
        <w:tc>
          <w:tcPr>
            <w:tcW w:w="825" w:type="pct"/>
            <w:tcBorders>
              <w:top w:val="single" w:sz="4" w:space="0" w:color="1B0B38"/>
              <w:bottom w:val="single" w:sz="4" w:space="0" w:color="1B0B38"/>
            </w:tcBorders>
            <w:vAlign w:val="center"/>
          </w:tcPr>
          <w:p w14:paraId="202BC76E" w14:textId="7791561C" w:rsidR="00E14926" w:rsidRDefault="00CF5AAC" w:rsidP="00E14926">
            <w:pPr>
              <w:spacing w:before="0"/>
              <w:jc w:val="center"/>
              <w:rPr>
                <w:rStyle w:val="Strong"/>
                <w:b w:val="0"/>
                <w:bCs w:val="0"/>
              </w:rPr>
            </w:pPr>
            <w:r>
              <w:rPr>
                <w:rStyle w:val="Strong"/>
                <w:b w:val="0"/>
                <w:bCs w:val="0"/>
              </w:rPr>
              <w:t>2</w:t>
            </w:r>
            <w:r w:rsidR="00E14926">
              <w:rPr>
                <w:rStyle w:val="Strong"/>
                <w:b w:val="0"/>
                <w:bCs w:val="0"/>
              </w:rPr>
              <w:t>5%</w:t>
            </w:r>
          </w:p>
        </w:tc>
        <w:tc>
          <w:tcPr>
            <w:tcW w:w="825" w:type="pct"/>
            <w:tcBorders>
              <w:top w:val="single" w:sz="4" w:space="0" w:color="1B0B38"/>
              <w:bottom w:val="single" w:sz="4" w:space="0" w:color="1B0B38"/>
            </w:tcBorders>
            <w:vAlign w:val="center"/>
          </w:tcPr>
          <w:p w14:paraId="4A8E8560" w14:textId="22AE566A" w:rsidR="00E14926" w:rsidRPr="00D8367F" w:rsidRDefault="00E14926" w:rsidP="00E14926">
            <w:pPr>
              <w:spacing w:before="0"/>
              <w:jc w:val="center"/>
              <w:rPr>
                <w:rStyle w:val="Strong"/>
                <w:b w:val="0"/>
                <w:bCs w:val="0"/>
              </w:rPr>
            </w:pPr>
            <w:r>
              <w:rPr>
                <w:rStyle w:val="Strong"/>
                <w:b w:val="0"/>
                <w:bCs w:val="0"/>
              </w:rPr>
              <w:t>-3</w:t>
            </w:r>
          </w:p>
        </w:tc>
        <w:tc>
          <w:tcPr>
            <w:tcW w:w="823" w:type="pct"/>
            <w:tcBorders>
              <w:top w:val="single" w:sz="4" w:space="0" w:color="1B0B38"/>
              <w:bottom w:val="single" w:sz="4" w:space="0" w:color="1B0B38"/>
            </w:tcBorders>
            <w:vAlign w:val="center"/>
          </w:tcPr>
          <w:p w14:paraId="589F997A" w14:textId="1DA1655D" w:rsidR="00E14926" w:rsidRPr="0089011E" w:rsidRDefault="00E14926" w:rsidP="00E14926">
            <w:pPr>
              <w:spacing w:before="0"/>
              <w:jc w:val="center"/>
              <w:rPr>
                <w:rStyle w:val="Strong"/>
                <w:b w:val="0"/>
                <w:bCs w:val="0"/>
              </w:rPr>
            </w:pPr>
            <w:r>
              <w:rPr>
                <w:szCs w:val="18"/>
              </w:rPr>
              <w:t>-0.75</w:t>
            </w:r>
          </w:p>
        </w:tc>
      </w:tr>
    </w:tbl>
    <w:p w14:paraId="6B319EF4" w14:textId="5E4FE9B4" w:rsidR="00F14186" w:rsidRPr="00BC520C" w:rsidRDefault="004458E7" w:rsidP="00D50C43">
      <w:pPr>
        <w:pStyle w:val="Heading2"/>
        <w:numPr>
          <w:ilvl w:val="1"/>
          <w:numId w:val="124"/>
        </w:numPr>
      </w:pPr>
      <w:bookmarkStart w:id="350" w:name="_Toc48038603"/>
      <w:bookmarkStart w:id="351" w:name="_Toc48038721"/>
      <w:bookmarkStart w:id="352" w:name="_Toc48038604"/>
      <w:bookmarkStart w:id="353" w:name="_Toc48038722"/>
      <w:bookmarkStart w:id="354" w:name="_Toc48038605"/>
      <w:bookmarkStart w:id="355" w:name="_Toc48038723"/>
      <w:bookmarkStart w:id="356" w:name="_Toc48038606"/>
      <w:bookmarkStart w:id="357" w:name="_Toc48038724"/>
      <w:bookmarkStart w:id="358" w:name="_Toc48038627"/>
      <w:bookmarkStart w:id="359" w:name="_Toc48038745"/>
      <w:bookmarkStart w:id="360" w:name="_Toc48038628"/>
      <w:bookmarkStart w:id="361" w:name="_Toc48038746"/>
      <w:bookmarkStart w:id="362" w:name="_Toc48038629"/>
      <w:bookmarkStart w:id="363" w:name="_Toc48038747"/>
      <w:bookmarkStart w:id="364" w:name="_Toc48038630"/>
      <w:bookmarkStart w:id="365" w:name="_Toc48038748"/>
      <w:bookmarkStart w:id="366" w:name="_Toc48038631"/>
      <w:bookmarkStart w:id="367" w:name="_Toc48038749"/>
      <w:bookmarkStart w:id="368" w:name="_Toc48038632"/>
      <w:bookmarkStart w:id="369" w:name="_Toc48038750"/>
      <w:bookmarkStart w:id="370" w:name="_Toc48038633"/>
      <w:bookmarkStart w:id="371" w:name="_Toc48038751"/>
      <w:bookmarkStart w:id="372" w:name="_Toc48038634"/>
      <w:bookmarkStart w:id="373" w:name="_Toc48038752"/>
      <w:bookmarkStart w:id="374" w:name="_Toc48038644"/>
      <w:bookmarkStart w:id="375" w:name="_Toc48038762"/>
      <w:bookmarkStart w:id="376" w:name="_Toc104217718"/>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r>
        <w:t>Analysis of o</w:t>
      </w:r>
      <w:r w:rsidR="00F14186" w:rsidRPr="00BC520C">
        <w:t xml:space="preserve">ptions for </w:t>
      </w:r>
      <w:r w:rsidR="00885CF7" w:rsidRPr="00BC520C">
        <w:t>mine land registration</w:t>
      </w:r>
      <w:bookmarkEnd w:id="376"/>
    </w:p>
    <w:p w14:paraId="338CAEE0" w14:textId="0542D654" w:rsidR="00702A85" w:rsidRDefault="00702A85" w:rsidP="00702A85">
      <w:r>
        <w:fldChar w:fldCharType="begin"/>
      </w:r>
      <w:r>
        <w:instrText xml:space="preserve"> REF _Ref56589124 \h </w:instrText>
      </w:r>
      <w:r>
        <w:fldChar w:fldCharType="separate"/>
      </w:r>
      <w:r w:rsidR="000B3BF6">
        <w:t xml:space="preserve">Table </w:t>
      </w:r>
      <w:r w:rsidR="000B3BF6">
        <w:rPr>
          <w:noProof/>
        </w:rPr>
        <w:t>17</w:t>
      </w:r>
      <w:r>
        <w:fldChar w:fldCharType="end"/>
      </w:r>
      <w:r>
        <w:t xml:space="preserve"> summarises the key differences between the options for mine land registration.</w:t>
      </w:r>
    </w:p>
    <w:p w14:paraId="371DA51C" w14:textId="2DCB4D61" w:rsidR="00702A85" w:rsidRDefault="00702A85" w:rsidP="00702A85">
      <w:pPr>
        <w:pStyle w:val="Caption"/>
      </w:pPr>
      <w:bookmarkStart w:id="377" w:name="_Ref56589124"/>
      <w:bookmarkStart w:id="378" w:name="_Toc104217633"/>
      <w:r>
        <w:t xml:space="preserve">Table </w:t>
      </w:r>
      <w:r>
        <w:fldChar w:fldCharType="begin"/>
      </w:r>
      <w:r>
        <w:instrText>SEQ Table \* ARABIC</w:instrText>
      </w:r>
      <w:r>
        <w:fldChar w:fldCharType="separate"/>
      </w:r>
      <w:r w:rsidR="000B3BF6">
        <w:rPr>
          <w:noProof/>
        </w:rPr>
        <w:t>17</w:t>
      </w:r>
      <w:r>
        <w:fldChar w:fldCharType="end"/>
      </w:r>
      <w:bookmarkEnd w:id="377"/>
      <w:r>
        <w:t>: Summary of options for mine land registration</w:t>
      </w:r>
      <w:bookmarkEnd w:id="378"/>
    </w:p>
    <w:tbl>
      <w:tblPr>
        <w:tblStyle w:val="TableGrid"/>
        <w:tblW w:w="5000" w:type="pct"/>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3008"/>
        <w:gridCol w:w="3009"/>
        <w:gridCol w:w="3009"/>
      </w:tblGrid>
      <w:tr w:rsidR="00702A85" w:rsidRPr="00D51674" w14:paraId="4E6DCCCA" w14:textId="77777777" w:rsidTr="50EBBABE">
        <w:trPr>
          <w:tblHeader/>
        </w:trPr>
        <w:tc>
          <w:tcPr>
            <w:tcW w:w="1666" w:type="pct"/>
            <w:shd w:val="clear" w:color="auto" w:fill="1B0B38"/>
          </w:tcPr>
          <w:p w14:paraId="075405EE" w14:textId="77777777" w:rsidR="00702A85" w:rsidRDefault="00702A85" w:rsidP="006F567D">
            <w:pPr>
              <w:jc w:val="center"/>
              <w:rPr>
                <w:rStyle w:val="Strong"/>
                <w:color w:val="FFFFFF" w:themeColor="background1"/>
              </w:rPr>
            </w:pPr>
            <w:r>
              <w:rPr>
                <w:rStyle w:val="Strong"/>
                <w:color w:val="FFFFFF" w:themeColor="background1"/>
              </w:rPr>
              <w:t>Base case</w:t>
            </w:r>
          </w:p>
        </w:tc>
        <w:tc>
          <w:tcPr>
            <w:tcW w:w="1667" w:type="pct"/>
            <w:shd w:val="clear" w:color="auto" w:fill="1B0B38"/>
          </w:tcPr>
          <w:p w14:paraId="3D743E5F" w14:textId="0A01771C" w:rsidR="00702A85" w:rsidRDefault="00F24E65" w:rsidP="006F567D">
            <w:pPr>
              <w:jc w:val="center"/>
              <w:rPr>
                <w:rStyle w:val="Strong"/>
                <w:color w:val="FFFFFF" w:themeColor="background1"/>
              </w:rPr>
            </w:pPr>
            <w:r>
              <w:rPr>
                <w:rStyle w:val="Strong"/>
                <w:color w:val="FFFFFF" w:themeColor="background1"/>
              </w:rPr>
              <w:t>Option 1</w:t>
            </w:r>
          </w:p>
        </w:tc>
        <w:tc>
          <w:tcPr>
            <w:tcW w:w="1667" w:type="pct"/>
            <w:shd w:val="clear" w:color="auto" w:fill="1B0B38"/>
          </w:tcPr>
          <w:p w14:paraId="2F89A438" w14:textId="7DA12B1B" w:rsidR="00702A85" w:rsidRDefault="00F24E65" w:rsidP="006F567D">
            <w:pPr>
              <w:jc w:val="center"/>
              <w:rPr>
                <w:rStyle w:val="Strong"/>
                <w:color w:val="FFFFFF" w:themeColor="background1"/>
              </w:rPr>
            </w:pPr>
            <w:r>
              <w:rPr>
                <w:rStyle w:val="Strong"/>
                <w:color w:val="FFFFFF" w:themeColor="background1"/>
              </w:rPr>
              <w:t>Option 2</w:t>
            </w:r>
          </w:p>
        </w:tc>
      </w:tr>
      <w:tr w:rsidR="00434103" w:rsidRPr="00D327FB" w14:paraId="3FB13D80" w14:textId="77777777" w:rsidTr="50EBBABE">
        <w:trPr>
          <w:trHeight w:val="358"/>
        </w:trPr>
        <w:tc>
          <w:tcPr>
            <w:tcW w:w="1666" w:type="pct"/>
            <w:tcBorders>
              <w:bottom w:val="single" w:sz="4" w:space="0" w:color="1B0B38"/>
            </w:tcBorders>
          </w:tcPr>
          <w:p w14:paraId="531AB633" w14:textId="77777777" w:rsidR="00434103" w:rsidRPr="00D14C9F" w:rsidRDefault="00434103" w:rsidP="00434103">
            <w:pPr>
              <w:rPr>
                <w:rStyle w:val="Strong"/>
                <w:rFonts w:eastAsiaTheme="majorEastAsia"/>
              </w:rPr>
            </w:pPr>
            <w:r w:rsidRPr="00D14C9F">
              <w:rPr>
                <w:rStyle w:val="Strong"/>
                <w:rFonts w:eastAsiaTheme="majorEastAsia"/>
              </w:rPr>
              <w:t>Mine land registration</w:t>
            </w:r>
          </w:p>
          <w:p w14:paraId="42CCA030" w14:textId="77777777" w:rsidR="00434103" w:rsidRDefault="00434103" w:rsidP="00434103">
            <w:pPr>
              <w:rPr>
                <w:rStyle w:val="Strong"/>
                <w:rFonts w:eastAsiaTheme="majorEastAsia"/>
                <w:b w:val="0"/>
                <w:bCs w:val="0"/>
              </w:rPr>
            </w:pPr>
            <w:r w:rsidRPr="00D14C9F">
              <w:rPr>
                <w:rStyle w:val="Strong"/>
                <w:b w:val="0"/>
                <w:bCs w:val="0"/>
              </w:rPr>
              <w:t>No information is prescribed to be provided upon registration.</w:t>
            </w:r>
          </w:p>
          <w:p w14:paraId="3F2A2D3A" w14:textId="77777777" w:rsidR="00434103" w:rsidRPr="00D14C9F" w:rsidRDefault="00434103" w:rsidP="00434103">
            <w:pPr>
              <w:rPr>
                <w:rStyle w:val="Strong"/>
                <w:rFonts w:eastAsiaTheme="majorEastAsia"/>
                <w:b w:val="0"/>
                <w:bCs w:val="0"/>
              </w:rPr>
            </w:pPr>
            <w:r w:rsidRPr="00D14C9F">
              <w:rPr>
                <w:rStyle w:val="Strong"/>
                <w:rFonts w:eastAsiaTheme="majorEastAsia"/>
                <w:b w:val="0"/>
                <w:bCs w:val="0"/>
              </w:rPr>
              <w:t>No registration process is prescribed</w:t>
            </w:r>
          </w:p>
          <w:p w14:paraId="5015D11A" w14:textId="77777777" w:rsidR="00434103" w:rsidRPr="00D14C9F" w:rsidRDefault="00434103" w:rsidP="00434103">
            <w:pPr>
              <w:rPr>
                <w:rStyle w:val="Strong"/>
                <w:rFonts w:eastAsiaTheme="majorEastAsia"/>
              </w:rPr>
            </w:pPr>
            <w:r>
              <w:rPr>
                <w:rStyle w:val="Strong"/>
                <w:rFonts w:eastAsiaTheme="majorEastAsia"/>
              </w:rPr>
              <w:t xml:space="preserve">Declared Mine </w:t>
            </w:r>
            <w:r w:rsidRPr="00D14C9F">
              <w:rPr>
                <w:rStyle w:val="Strong"/>
                <w:rFonts w:eastAsiaTheme="majorEastAsia"/>
              </w:rPr>
              <w:t>Fund</w:t>
            </w:r>
            <w:r>
              <w:rPr>
                <w:rStyle w:val="Strong"/>
                <w:rFonts w:eastAsiaTheme="majorEastAsia"/>
              </w:rPr>
              <w:t xml:space="preserve"> contribution</w:t>
            </w:r>
          </w:p>
          <w:p w14:paraId="6556300E" w14:textId="0D49BCC9" w:rsidR="00434103" w:rsidRPr="007F1746" w:rsidRDefault="00434103" w:rsidP="00434103">
            <w:pPr>
              <w:rPr>
                <w:rStyle w:val="Strong"/>
                <w:b w:val="0"/>
                <w:bCs w:val="0"/>
              </w:rPr>
            </w:pPr>
            <w:r w:rsidRPr="00D14C9F">
              <w:rPr>
                <w:rStyle w:val="Strong"/>
                <w:rFonts w:eastAsiaTheme="majorEastAsia"/>
                <w:b w:val="0"/>
                <w:bCs w:val="0"/>
              </w:rPr>
              <w:t>No prescribed process for calculating the Fund contribution amount</w:t>
            </w:r>
          </w:p>
        </w:tc>
        <w:tc>
          <w:tcPr>
            <w:tcW w:w="1667" w:type="pct"/>
            <w:tcBorders>
              <w:bottom w:val="single" w:sz="4" w:space="0" w:color="1B0B38"/>
            </w:tcBorders>
          </w:tcPr>
          <w:p w14:paraId="3470D3A3" w14:textId="77777777" w:rsidR="00434103" w:rsidRPr="00D14C9F" w:rsidRDefault="00434103" w:rsidP="00434103">
            <w:pPr>
              <w:rPr>
                <w:b/>
                <w:bCs/>
              </w:rPr>
            </w:pPr>
            <w:r w:rsidRPr="00D14C9F">
              <w:rPr>
                <w:b/>
                <w:bCs/>
              </w:rPr>
              <w:t>Mine land registration</w:t>
            </w:r>
          </w:p>
          <w:p w14:paraId="6773E98E" w14:textId="77777777" w:rsidR="00434103" w:rsidRDefault="00434103" w:rsidP="00434103">
            <w:r>
              <w:t>Licensees are required to submit the post-closure plan and audited costing of the plan for their declared mine upon registration</w:t>
            </w:r>
          </w:p>
          <w:p w14:paraId="64D3E884" w14:textId="77777777" w:rsidR="00434103" w:rsidRDefault="00434103" w:rsidP="00434103">
            <w:r>
              <w:t>No prescribed procedure for the Authority to follow in registering declared mine land.</w:t>
            </w:r>
          </w:p>
          <w:p w14:paraId="308BFA6D" w14:textId="77777777" w:rsidR="00434103" w:rsidRPr="00D14C9F" w:rsidRDefault="00434103" w:rsidP="00434103">
            <w:pPr>
              <w:rPr>
                <w:rStyle w:val="Strong"/>
                <w:rFonts w:eastAsiaTheme="majorEastAsia"/>
              </w:rPr>
            </w:pPr>
            <w:r>
              <w:rPr>
                <w:rStyle w:val="Strong"/>
                <w:rFonts w:eastAsiaTheme="majorEastAsia"/>
              </w:rPr>
              <w:t xml:space="preserve">Declared Mine </w:t>
            </w:r>
            <w:r w:rsidRPr="00D14C9F">
              <w:rPr>
                <w:rStyle w:val="Strong"/>
                <w:rFonts w:eastAsiaTheme="majorEastAsia"/>
              </w:rPr>
              <w:t>Fund</w:t>
            </w:r>
            <w:r>
              <w:rPr>
                <w:rStyle w:val="Strong"/>
                <w:rFonts w:eastAsiaTheme="majorEastAsia"/>
              </w:rPr>
              <w:t xml:space="preserve"> contribution</w:t>
            </w:r>
          </w:p>
          <w:p w14:paraId="367E7EA6" w14:textId="1CCD0A56" w:rsidR="00434103" w:rsidRPr="00FD37D5" w:rsidRDefault="00434103" w:rsidP="00434103">
            <w:pPr>
              <w:rPr>
                <w:rStyle w:val="Strong"/>
                <w:b w:val="0"/>
                <w:bCs w:val="0"/>
              </w:rPr>
            </w:pPr>
            <w:r>
              <w:t xml:space="preserve">No prescribed process for calculating the Fund contribution amount. </w:t>
            </w:r>
          </w:p>
        </w:tc>
        <w:tc>
          <w:tcPr>
            <w:tcW w:w="1667" w:type="pct"/>
            <w:tcBorders>
              <w:bottom w:val="single" w:sz="4" w:space="0" w:color="1B0B38"/>
            </w:tcBorders>
          </w:tcPr>
          <w:p w14:paraId="24D45658" w14:textId="77777777" w:rsidR="00434103" w:rsidRPr="00D14C9F" w:rsidRDefault="00434103" w:rsidP="00434103">
            <w:pPr>
              <w:rPr>
                <w:b/>
                <w:bCs/>
              </w:rPr>
            </w:pPr>
            <w:r w:rsidRPr="00D14C9F">
              <w:rPr>
                <w:b/>
                <w:bCs/>
              </w:rPr>
              <w:t>Mine land registration</w:t>
            </w:r>
          </w:p>
          <w:p w14:paraId="01012677" w14:textId="3B717552" w:rsidR="00434103" w:rsidRDefault="1F58548B" w:rsidP="00434103">
            <w:r>
              <w:t>Licensees are required to submit the post-closure plan for their declared mine upon registration</w:t>
            </w:r>
          </w:p>
          <w:p w14:paraId="242D41EA" w14:textId="77777777" w:rsidR="00434103" w:rsidRDefault="00434103" w:rsidP="00434103">
            <w:r>
              <w:t>Licensees are required to submit an extensive list of documents and evidence upon the registration of their declared mine land.</w:t>
            </w:r>
          </w:p>
          <w:p w14:paraId="77468350" w14:textId="77777777" w:rsidR="00434103" w:rsidRDefault="00434103" w:rsidP="00434103">
            <w:r>
              <w:t>Prescribed procedure for the Authority to follow in registering declared mine land.</w:t>
            </w:r>
          </w:p>
          <w:p w14:paraId="672884D4" w14:textId="77777777" w:rsidR="00434103" w:rsidRPr="00D14C9F" w:rsidRDefault="00434103" w:rsidP="00434103">
            <w:pPr>
              <w:rPr>
                <w:rStyle w:val="Strong"/>
                <w:rFonts w:eastAsiaTheme="majorEastAsia"/>
              </w:rPr>
            </w:pPr>
            <w:r>
              <w:rPr>
                <w:rStyle w:val="Strong"/>
                <w:rFonts w:eastAsiaTheme="majorEastAsia"/>
              </w:rPr>
              <w:t xml:space="preserve">Declared Mine </w:t>
            </w:r>
            <w:r w:rsidRPr="00D14C9F">
              <w:rPr>
                <w:rStyle w:val="Strong"/>
                <w:rFonts w:eastAsiaTheme="majorEastAsia"/>
              </w:rPr>
              <w:t>Fund</w:t>
            </w:r>
            <w:r>
              <w:rPr>
                <w:rStyle w:val="Strong"/>
                <w:rFonts w:eastAsiaTheme="majorEastAsia"/>
              </w:rPr>
              <w:t xml:space="preserve"> contribution</w:t>
            </w:r>
          </w:p>
          <w:p w14:paraId="2DCD7FEC" w14:textId="2C2FB64C" w:rsidR="00434103" w:rsidRPr="004E2872" w:rsidRDefault="00434103" w:rsidP="00434103">
            <w:pPr>
              <w:rPr>
                <w:rStyle w:val="Strong"/>
                <w:b w:val="0"/>
                <w:bCs w:val="0"/>
              </w:rPr>
            </w:pPr>
            <w:r w:rsidRPr="00D14C9F">
              <w:rPr>
                <w:rStyle w:val="Strong"/>
                <w:b w:val="0"/>
                <w:bCs w:val="0"/>
              </w:rPr>
              <w:t>A method for the calculation of the fund contribution is prescribed</w:t>
            </w:r>
          </w:p>
        </w:tc>
      </w:tr>
    </w:tbl>
    <w:p w14:paraId="256FD041" w14:textId="43103794" w:rsidR="0024528B" w:rsidRDefault="00ED1A39" w:rsidP="00D50C43">
      <w:pPr>
        <w:pStyle w:val="Heading3"/>
        <w:numPr>
          <w:ilvl w:val="2"/>
          <w:numId w:val="124"/>
        </w:numPr>
      </w:pPr>
      <w:bookmarkStart w:id="379" w:name="_Toc104217719"/>
      <w:bookmarkStart w:id="380" w:name="_Hlk58514812"/>
      <w:r>
        <w:lastRenderedPageBreak/>
        <w:t>Benefits</w:t>
      </w:r>
      <w:bookmarkEnd w:id="379"/>
    </w:p>
    <w:p w14:paraId="60310CCB" w14:textId="1332681C" w:rsidR="00996E77" w:rsidRPr="006510C8" w:rsidRDefault="00996E77" w:rsidP="006B33C5">
      <w:r>
        <w:t>The effectiveness of each option in relation to each of the benefits sub-criteria is analysed below.</w:t>
      </w:r>
    </w:p>
    <w:p w14:paraId="4D9501B0" w14:textId="2B81D764" w:rsidR="0024528B" w:rsidRDefault="007C3FEE" w:rsidP="00D25E4E">
      <w:pPr>
        <w:pStyle w:val="Heading6"/>
        <w:spacing w:after="120"/>
      </w:pPr>
      <w:r>
        <w:t>Obtain and record relevant information about declared mine sites</w:t>
      </w:r>
    </w:p>
    <w:tbl>
      <w:tblPr>
        <w:tblW w:w="8880" w:type="dxa"/>
        <w:tblLook w:val="04A0" w:firstRow="1" w:lastRow="0" w:firstColumn="1" w:lastColumn="0" w:noHBand="0" w:noVBand="1"/>
      </w:tblPr>
      <w:tblGrid>
        <w:gridCol w:w="5067"/>
        <w:gridCol w:w="1383"/>
        <w:gridCol w:w="1215"/>
        <w:gridCol w:w="1215"/>
      </w:tblGrid>
      <w:tr w:rsidR="00EB363F" w:rsidRPr="00D71890" w14:paraId="2832512A" w14:textId="77777777" w:rsidTr="00D25E4E">
        <w:trPr>
          <w:trHeight w:val="470"/>
          <w:tblHeader/>
        </w:trPr>
        <w:tc>
          <w:tcPr>
            <w:tcW w:w="5067" w:type="dxa"/>
            <w:tcBorders>
              <w:top w:val="single" w:sz="8" w:space="0" w:color="064EA8"/>
              <w:left w:val="nil"/>
              <w:bottom w:val="single" w:sz="8" w:space="0" w:color="064EA8"/>
              <w:right w:val="nil"/>
            </w:tcBorders>
            <w:shd w:val="clear" w:color="000000" w:fill="1B0B38"/>
            <w:vAlign w:val="center"/>
            <w:hideMark/>
          </w:tcPr>
          <w:p w14:paraId="56D1E90F" w14:textId="77777777" w:rsidR="00EB363F" w:rsidRPr="00D71890" w:rsidRDefault="00EB363F" w:rsidP="00D77130">
            <w:pPr>
              <w:spacing w:before="0" w:after="0"/>
              <w:rPr>
                <w:rFonts w:cs="Arial"/>
                <w:b/>
                <w:bCs/>
                <w:color w:val="FFFFFF"/>
                <w:szCs w:val="18"/>
                <w:lang w:eastAsia="en-AU"/>
              </w:rPr>
            </w:pPr>
            <w:r w:rsidRPr="00D71890">
              <w:rPr>
                <w:rFonts w:cs="Arial"/>
                <w:b/>
                <w:bCs/>
                <w:color w:val="FFFFFF"/>
                <w:szCs w:val="18"/>
                <w:lang w:eastAsia="en-AU"/>
              </w:rPr>
              <w:t>Criteria</w:t>
            </w:r>
          </w:p>
        </w:tc>
        <w:tc>
          <w:tcPr>
            <w:tcW w:w="1383" w:type="dxa"/>
            <w:tcBorders>
              <w:top w:val="single" w:sz="8" w:space="0" w:color="064EA8"/>
              <w:left w:val="nil"/>
              <w:bottom w:val="single" w:sz="8" w:space="0" w:color="064EA8"/>
              <w:right w:val="nil"/>
            </w:tcBorders>
            <w:shd w:val="clear" w:color="000000" w:fill="1B0B38"/>
            <w:vAlign w:val="center"/>
            <w:hideMark/>
          </w:tcPr>
          <w:p w14:paraId="4DE6BCCA" w14:textId="77777777" w:rsidR="00EB363F" w:rsidRPr="00D71890" w:rsidRDefault="00EB363F" w:rsidP="00D77130">
            <w:pPr>
              <w:spacing w:before="0" w:after="0"/>
              <w:jc w:val="center"/>
              <w:rPr>
                <w:rFonts w:cs="Arial"/>
                <w:b/>
                <w:bCs/>
                <w:color w:val="FFFFFF"/>
                <w:szCs w:val="18"/>
                <w:lang w:eastAsia="en-AU"/>
              </w:rPr>
            </w:pPr>
            <w:r w:rsidRPr="00D71890">
              <w:rPr>
                <w:rFonts w:cs="Arial"/>
                <w:b/>
                <w:bCs/>
                <w:color w:val="FFFFFF"/>
                <w:szCs w:val="18"/>
                <w:lang w:eastAsia="en-AU"/>
              </w:rPr>
              <w:t>Weighting</w:t>
            </w:r>
          </w:p>
        </w:tc>
        <w:tc>
          <w:tcPr>
            <w:tcW w:w="2430" w:type="dxa"/>
            <w:gridSpan w:val="2"/>
            <w:tcBorders>
              <w:top w:val="single" w:sz="8" w:space="0" w:color="064EA8"/>
              <w:left w:val="nil"/>
              <w:bottom w:val="single" w:sz="8" w:space="0" w:color="064EA8"/>
              <w:right w:val="nil"/>
            </w:tcBorders>
            <w:shd w:val="clear" w:color="000000" w:fill="1B0B38"/>
            <w:vAlign w:val="center"/>
            <w:hideMark/>
          </w:tcPr>
          <w:p w14:paraId="27E57125" w14:textId="77777777" w:rsidR="00EB363F" w:rsidRPr="00D71890" w:rsidRDefault="00EB363F" w:rsidP="00D77130">
            <w:pPr>
              <w:spacing w:before="0" w:after="0"/>
              <w:jc w:val="center"/>
              <w:rPr>
                <w:rFonts w:cs="Arial"/>
                <w:b/>
                <w:bCs/>
                <w:color w:val="FFFFFF"/>
                <w:szCs w:val="18"/>
                <w:lang w:eastAsia="en-AU"/>
              </w:rPr>
            </w:pPr>
            <w:r w:rsidRPr="00D71890">
              <w:rPr>
                <w:rFonts w:cs="Arial"/>
                <w:b/>
                <w:bCs/>
                <w:color w:val="FFFFFF"/>
                <w:szCs w:val="18"/>
                <w:lang w:eastAsia="en-AU"/>
              </w:rPr>
              <w:t>Unweighted Scores</w:t>
            </w:r>
          </w:p>
        </w:tc>
      </w:tr>
      <w:tr w:rsidR="00EB363F" w:rsidRPr="00D71890" w14:paraId="145D1D04" w14:textId="77777777" w:rsidTr="00D25E4E">
        <w:trPr>
          <w:trHeight w:val="470"/>
        </w:trPr>
        <w:tc>
          <w:tcPr>
            <w:tcW w:w="5067" w:type="dxa"/>
            <w:tcBorders>
              <w:top w:val="nil"/>
              <w:left w:val="nil"/>
              <w:bottom w:val="single" w:sz="8" w:space="0" w:color="064EA8"/>
              <w:right w:val="nil"/>
            </w:tcBorders>
            <w:shd w:val="clear" w:color="000000" w:fill="E7E6E6"/>
            <w:vAlign w:val="center"/>
            <w:hideMark/>
          </w:tcPr>
          <w:p w14:paraId="2D607EFE" w14:textId="77777777" w:rsidR="00EB363F" w:rsidRPr="00D71890" w:rsidRDefault="00EB363F" w:rsidP="00D77130">
            <w:pPr>
              <w:spacing w:before="0" w:after="0"/>
              <w:rPr>
                <w:rFonts w:cs="Arial"/>
                <w:b/>
                <w:bCs/>
                <w:szCs w:val="18"/>
                <w:lang w:eastAsia="en-AU"/>
              </w:rPr>
            </w:pPr>
          </w:p>
        </w:tc>
        <w:tc>
          <w:tcPr>
            <w:tcW w:w="1383" w:type="dxa"/>
            <w:tcBorders>
              <w:top w:val="nil"/>
              <w:left w:val="nil"/>
              <w:bottom w:val="single" w:sz="8" w:space="0" w:color="064EA8"/>
              <w:right w:val="nil"/>
            </w:tcBorders>
            <w:shd w:val="clear" w:color="000000" w:fill="E7E6E6"/>
            <w:vAlign w:val="center"/>
            <w:hideMark/>
          </w:tcPr>
          <w:p w14:paraId="69F49BBB" w14:textId="77777777" w:rsidR="00EB363F" w:rsidRPr="00D71890" w:rsidRDefault="00EB363F" w:rsidP="00D77130">
            <w:pPr>
              <w:spacing w:before="0" w:after="0"/>
              <w:jc w:val="center"/>
              <w:rPr>
                <w:rFonts w:cs="Arial"/>
                <w:b/>
                <w:bCs/>
                <w:szCs w:val="18"/>
                <w:lang w:eastAsia="en-AU"/>
              </w:rPr>
            </w:pPr>
            <w:r w:rsidRPr="00D71890">
              <w:rPr>
                <w:rFonts w:cs="Arial"/>
                <w:b/>
                <w:bCs/>
                <w:szCs w:val="18"/>
                <w:lang w:eastAsia="en-AU"/>
              </w:rPr>
              <w:t> </w:t>
            </w:r>
          </w:p>
        </w:tc>
        <w:tc>
          <w:tcPr>
            <w:tcW w:w="1215" w:type="dxa"/>
            <w:tcBorders>
              <w:top w:val="nil"/>
              <w:left w:val="nil"/>
              <w:bottom w:val="single" w:sz="8" w:space="0" w:color="1B0B38"/>
              <w:right w:val="nil"/>
            </w:tcBorders>
            <w:shd w:val="clear" w:color="000000" w:fill="E7E6E6"/>
            <w:vAlign w:val="center"/>
            <w:hideMark/>
          </w:tcPr>
          <w:p w14:paraId="68073D62" w14:textId="77777777" w:rsidR="00EB363F" w:rsidRPr="00D71890" w:rsidRDefault="00EB363F" w:rsidP="00D77130">
            <w:pPr>
              <w:spacing w:before="0" w:after="0"/>
              <w:jc w:val="center"/>
              <w:rPr>
                <w:rFonts w:cs="Arial"/>
                <w:b/>
                <w:bCs/>
                <w:szCs w:val="18"/>
                <w:lang w:eastAsia="en-AU"/>
              </w:rPr>
            </w:pPr>
            <w:r>
              <w:rPr>
                <w:rFonts w:cs="Arial"/>
                <w:b/>
                <w:bCs/>
                <w:szCs w:val="18"/>
                <w:lang w:eastAsia="en-AU"/>
              </w:rPr>
              <w:t>Option 1</w:t>
            </w:r>
          </w:p>
        </w:tc>
        <w:tc>
          <w:tcPr>
            <w:tcW w:w="1215" w:type="dxa"/>
            <w:tcBorders>
              <w:top w:val="nil"/>
              <w:left w:val="nil"/>
              <w:bottom w:val="single" w:sz="8" w:space="0" w:color="1B0B38"/>
              <w:right w:val="nil"/>
            </w:tcBorders>
            <w:shd w:val="clear" w:color="000000" w:fill="E7E6E6"/>
            <w:vAlign w:val="center"/>
            <w:hideMark/>
          </w:tcPr>
          <w:p w14:paraId="78CABA61" w14:textId="77777777" w:rsidR="00EB363F" w:rsidRPr="00D71890" w:rsidRDefault="00EB363F" w:rsidP="00D77130">
            <w:pPr>
              <w:spacing w:before="0" w:after="0"/>
              <w:jc w:val="center"/>
              <w:rPr>
                <w:rFonts w:cs="Arial"/>
                <w:b/>
                <w:bCs/>
                <w:szCs w:val="18"/>
                <w:lang w:eastAsia="en-AU"/>
              </w:rPr>
            </w:pPr>
            <w:r>
              <w:rPr>
                <w:rFonts w:cs="Arial"/>
                <w:b/>
                <w:bCs/>
                <w:szCs w:val="18"/>
                <w:lang w:eastAsia="en-AU"/>
              </w:rPr>
              <w:t>Option 2</w:t>
            </w:r>
          </w:p>
        </w:tc>
      </w:tr>
      <w:tr w:rsidR="00EB363F" w:rsidRPr="00D71890" w14:paraId="5FE6D5A7" w14:textId="77777777" w:rsidTr="00D25E4E">
        <w:trPr>
          <w:trHeight w:val="1160"/>
        </w:trPr>
        <w:tc>
          <w:tcPr>
            <w:tcW w:w="5067" w:type="dxa"/>
            <w:tcBorders>
              <w:top w:val="nil"/>
              <w:left w:val="nil"/>
              <w:bottom w:val="single" w:sz="8" w:space="0" w:color="064EA8"/>
              <w:right w:val="nil"/>
            </w:tcBorders>
            <w:shd w:val="clear" w:color="auto" w:fill="auto"/>
            <w:vAlign w:val="center"/>
            <w:hideMark/>
          </w:tcPr>
          <w:p w14:paraId="532EED02" w14:textId="77777777" w:rsidR="00EB363F" w:rsidRPr="00D71890" w:rsidRDefault="00EB363F" w:rsidP="00D77130">
            <w:pPr>
              <w:spacing w:before="0" w:after="0"/>
              <w:rPr>
                <w:rFonts w:cs="Arial"/>
                <w:szCs w:val="18"/>
                <w:lang w:eastAsia="en-AU"/>
              </w:rPr>
            </w:pPr>
            <w:r w:rsidRPr="00D71890">
              <w:rPr>
                <w:rFonts w:cs="Arial"/>
                <w:szCs w:val="18"/>
                <w:lang w:eastAsia="en-AU"/>
              </w:rPr>
              <w:t>Obtain and record relevant information about declared mine sites, risks and necessary post-closure management to support informed government, stakeholder and community decision-making.</w:t>
            </w:r>
          </w:p>
        </w:tc>
        <w:tc>
          <w:tcPr>
            <w:tcW w:w="1383" w:type="dxa"/>
            <w:tcBorders>
              <w:top w:val="nil"/>
              <w:left w:val="nil"/>
              <w:bottom w:val="single" w:sz="8" w:space="0" w:color="064EA8"/>
              <w:right w:val="nil"/>
            </w:tcBorders>
            <w:shd w:val="clear" w:color="auto" w:fill="auto"/>
            <w:vAlign w:val="center"/>
            <w:hideMark/>
          </w:tcPr>
          <w:p w14:paraId="4A47354D" w14:textId="53BA578F" w:rsidR="00EB363F" w:rsidRPr="00D71890" w:rsidRDefault="00EB363F" w:rsidP="00D77130">
            <w:pPr>
              <w:spacing w:before="0" w:after="0"/>
              <w:jc w:val="center"/>
              <w:rPr>
                <w:rFonts w:cs="Arial"/>
                <w:szCs w:val="18"/>
                <w:lang w:eastAsia="en-AU"/>
              </w:rPr>
            </w:pPr>
            <w:r w:rsidRPr="00D71890">
              <w:rPr>
                <w:rFonts w:cs="Arial"/>
                <w:szCs w:val="18"/>
                <w:lang w:eastAsia="en-AU"/>
              </w:rPr>
              <w:t>25%</w:t>
            </w:r>
          </w:p>
        </w:tc>
        <w:tc>
          <w:tcPr>
            <w:tcW w:w="1215" w:type="dxa"/>
            <w:tcBorders>
              <w:top w:val="nil"/>
              <w:left w:val="nil"/>
              <w:bottom w:val="single" w:sz="8" w:space="0" w:color="064EA8"/>
              <w:right w:val="nil"/>
            </w:tcBorders>
            <w:shd w:val="clear" w:color="auto" w:fill="auto"/>
            <w:vAlign w:val="center"/>
            <w:hideMark/>
          </w:tcPr>
          <w:p w14:paraId="28D4A111" w14:textId="77777777" w:rsidR="00EB363F" w:rsidRPr="00D71890" w:rsidRDefault="00EB363F" w:rsidP="00D77130">
            <w:pPr>
              <w:spacing w:before="0" w:after="0"/>
              <w:jc w:val="center"/>
              <w:rPr>
                <w:rFonts w:cs="Arial"/>
                <w:szCs w:val="18"/>
                <w:lang w:eastAsia="en-AU"/>
              </w:rPr>
            </w:pPr>
            <w:r>
              <w:rPr>
                <w:rFonts w:cs="Arial"/>
                <w:szCs w:val="18"/>
                <w:lang w:eastAsia="en-AU"/>
              </w:rPr>
              <w:t>1</w:t>
            </w:r>
          </w:p>
        </w:tc>
        <w:tc>
          <w:tcPr>
            <w:tcW w:w="1215" w:type="dxa"/>
            <w:tcBorders>
              <w:top w:val="nil"/>
              <w:left w:val="nil"/>
              <w:bottom w:val="single" w:sz="8" w:space="0" w:color="064EA8"/>
              <w:right w:val="nil"/>
            </w:tcBorders>
            <w:shd w:val="clear" w:color="auto" w:fill="auto"/>
            <w:vAlign w:val="center"/>
            <w:hideMark/>
          </w:tcPr>
          <w:p w14:paraId="0033D7B4" w14:textId="77777777" w:rsidR="00EB363F" w:rsidRPr="00D71890" w:rsidRDefault="00EB363F" w:rsidP="00D77130">
            <w:pPr>
              <w:spacing w:before="0" w:after="0"/>
              <w:jc w:val="center"/>
              <w:rPr>
                <w:rFonts w:cs="Arial"/>
                <w:szCs w:val="18"/>
                <w:lang w:eastAsia="en-AU"/>
              </w:rPr>
            </w:pPr>
            <w:r w:rsidRPr="00D71890">
              <w:rPr>
                <w:rFonts w:cs="Arial"/>
                <w:szCs w:val="18"/>
                <w:lang w:eastAsia="en-AU"/>
              </w:rPr>
              <w:t>7</w:t>
            </w:r>
          </w:p>
        </w:tc>
      </w:tr>
    </w:tbl>
    <w:p w14:paraId="0B4EEFCA" w14:textId="5D0DB5AA" w:rsidR="00C5655D" w:rsidRPr="0074315C" w:rsidRDefault="007C3FEE" w:rsidP="006B33C5">
      <w:pPr>
        <w:pStyle w:val="Heading7"/>
      </w:pPr>
      <w:r>
        <w:t>Option 1</w:t>
      </w:r>
    </w:p>
    <w:p w14:paraId="6A599FA8" w14:textId="1AEC7927" w:rsidR="00C5655D" w:rsidRDefault="00F24E65" w:rsidP="00C5655D">
      <w:r>
        <w:t>Option 1</w:t>
      </w:r>
      <w:r w:rsidR="00C5655D">
        <w:t xml:space="preserve"> </w:t>
      </w:r>
      <w:r w:rsidR="00DE278E">
        <w:t>requires licensees to submit the post closure plan and audited costing of the plan for their declared mine upon registration. Th</w:t>
      </w:r>
      <w:r w:rsidR="00E164C6">
        <w:t xml:space="preserve">e audited costing is </w:t>
      </w:r>
      <w:r w:rsidR="00C5655D">
        <w:t xml:space="preserve">in addition to what is required under the Act. As such, </w:t>
      </w:r>
      <w:r>
        <w:t>Option 1</w:t>
      </w:r>
      <w:r w:rsidR="00C5655D">
        <w:t xml:space="preserve"> is considered to be a</w:t>
      </w:r>
      <w:r w:rsidR="00E164C6">
        <w:t xml:space="preserve"> slight</w:t>
      </w:r>
      <w:r w:rsidR="00C5655D">
        <w:t xml:space="preserve"> improvement on the base case</w:t>
      </w:r>
      <w:r w:rsidR="00E164C6">
        <w:t xml:space="preserve">, as </w:t>
      </w:r>
      <w:r w:rsidR="00EE126B">
        <w:t>additional information about the cost of the post closure plan will be available relative to the base case</w:t>
      </w:r>
      <w:r w:rsidR="00C5655D">
        <w:t>.</w:t>
      </w:r>
    </w:p>
    <w:p w14:paraId="3326E601" w14:textId="77777777" w:rsidR="007C3FEE" w:rsidRPr="0074315C" w:rsidRDefault="007C3FEE" w:rsidP="007C3FEE">
      <w:pPr>
        <w:pStyle w:val="Heading7"/>
      </w:pPr>
      <w:r>
        <w:t>Option 2</w:t>
      </w:r>
    </w:p>
    <w:p w14:paraId="765284AF" w14:textId="77777777" w:rsidR="007C3FEE" w:rsidRDefault="007C3FEE" w:rsidP="007C3FEE">
      <w:r>
        <w:t>Option 2 is considered to be more effective than the base case in relation to the first benefits sub-criterion of obtaining and recording information about declared mines to support informed decision-making, as an extensive list of documents and evidence is prescribed to be provided upon registration of the declared mine land. As such, more information about declared mine sites will be registered, relative to the base case, and available to government, stakeholders and the community to inform future decision-making about the declared mine sites post closure.</w:t>
      </w:r>
    </w:p>
    <w:p w14:paraId="4A00C759" w14:textId="77777777" w:rsidR="007C3FEE" w:rsidRDefault="00C5655D" w:rsidP="00D25E4E">
      <w:pPr>
        <w:pStyle w:val="Heading6"/>
        <w:spacing w:after="120"/>
      </w:pPr>
      <w:r>
        <w:t>Support the fair and accurate determination of fund contribution amounts</w:t>
      </w:r>
      <w:r w:rsidR="007C3FEE">
        <w:t xml:space="preserve"> </w:t>
      </w:r>
    </w:p>
    <w:tbl>
      <w:tblPr>
        <w:tblW w:w="8880" w:type="dxa"/>
        <w:tblLook w:val="04A0" w:firstRow="1" w:lastRow="0" w:firstColumn="1" w:lastColumn="0" w:noHBand="0" w:noVBand="1"/>
      </w:tblPr>
      <w:tblGrid>
        <w:gridCol w:w="5067"/>
        <w:gridCol w:w="1383"/>
        <w:gridCol w:w="1215"/>
        <w:gridCol w:w="1215"/>
      </w:tblGrid>
      <w:tr w:rsidR="00EB363F" w:rsidRPr="00D71890" w14:paraId="27176B9E" w14:textId="77777777" w:rsidTr="00D25E4E">
        <w:trPr>
          <w:trHeight w:val="470"/>
          <w:tblHeader/>
        </w:trPr>
        <w:tc>
          <w:tcPr>
            <w:tcW w:w="5067" w:type="dxa"/>
            <w:tcBorders>
              <w:top w:val="single" w:sz="8" w:space="0" w:color="064EA8"/>
              <w:left w:val="nil"/>
              <w:bottom w:val="single" w:sz="8" w:space="0" w:color="064EA8"/>
              <w:right w:val="nil"/>
            </w:tcBorders>
            <w:shd w:val="clear" w:color="000000" w:fill="1B0B38"/>
            <w:vAlign w:val="center"/>
            <w:hideMark/>
          </w:tcPr>
          <w:p w14:paraId="321DCA5A" w14:textId="77777777" w:rsidR="00EB363F" w:rsidRPr="00D71890" w:rsidRDefault="00EB363F" w:rsidP="00D77130">
            <w:pPr>
              <w:spacing w:before="0" w:after="0"/>
              <w:rPr>
                <w:rFonts w:cs="Arial"/>
                <w:b/>
                <w:bCs/>
                <w:color w:val="FFFFFF"/>
                <w:szCs w:val="18"/>
                <w:lang w:eastAsia="en-AU"/>
              </w:rPr>
            </w:pPr>
            <w:r w:rsidRPr="00D71890">
              <w:rPr>
                <w:rFonts w:cs="Arial"/>
                <w:b/>
                <w:bCs/>
                <w:color w:val="FFFFFF"/>
                <w:szCs w:val="18"/>
                <w:lang w:eastAsia="en-AU"/>
              </w:rPr>
              <w:t>Criteria</w:t>
            </w:r>
          </w:p>
        </w:tc>
        <w:tc>
          <w:tcPr>
            <w:tcW w:w="1383" w:type="dxa"/>
            <w:tcBorders>
              <w:top w:val="single" w:sz="8" w:space="0" w:color="064EA8"/>
              <w:left w:val="nil"/>
              <w:bottom w:val="single" w:sz="8" w:space="0" w:color="064EA8"/>
              <w:right w:val="nil"/>
            </w:tcBorders>
            <w:shd w:val="clear" w:color="000000" w:fill="1B0B38"/>
            <w:vAlign w:val="center"/>
            <w:hideMark/>
          </w:tcPr>
          <w:p w14:paraId="3BE8A3DB" w14:textId="77777777" w:rsidR="00EB363F" w:rsidRPr="00D71890" w:rsidRDefault="00EB363F" w:rsidP="00D77130">
            <w:pPr>
              <w:spacing w:before="0" w:after="0"/>
              <w:jc w:val="center"/>
              <w:rPr>
                <w:rFonts w:cs="Arial"/>
                <w:b/>
                <w:bCs/>
                <w:color w:val="FFFFFF"/>
                <w:szCs w:val="18"/>
                <w:lang w:eastAsia="en-AU"/>
              </w:rPr>
            </w:pPr>
            <w:r w:rsidRPr="00D71890">
              <w:rPr>
                <w:rFonts w:cs="Arial"/>
                <w:b/>
                <w:bCs/>
                <w:color w:val="FFFFFF"/>
                <w:szCs w:val="18"/>
                <w:lang w:eastAsia="en-AU"/>
              </w:rPr>
              <w:t>Weighting</w:t>
            </w:r>
          </w:p>
        </w:tc>
        <w:tc>
          <w:tcPr>
            <w:tcW w:w="2430" w:type="dxa"/>
            <w:gridSpan w:val="2"/>
            <w:tcBorders>
              <w:top w:val="single" w:sz="8" w:space="0" w:color="064EA8"/>
              <w:left w:val="nil"/>
              <w:bottom w:val="single" w:sz="8" w:space="0" w:color="064EA8"/>
              <w:right w:val="nil"/>
            </w:tcBorders>
            <w:shd w:val="clear" w:color="000000" w:fill="1B0B38"/>
            <w:vAlign w:val="center"/>
            <w:hideMark/>
          </w:tcPr>
          <w:p w14:paraId="66E2D522" w14:textId="77777777" w:rsidR="00EB363F" w:rsidRPr="00D71890" w:rsidRDefault="00EB363F" w:rsidP="00D77130">
            <w:pPr>
              <w:spacing w:before="0" w:after="0"/>
              <w:jc w:val="center"/>
              <w:rPr>
                <w:rFonts w:cs="Arial"/>
                <w:b/>
                <w:bCs/>
                <w:color w:val="FFFFFF"/>
                <w:szCs w:val="18"/>
                <w:lang w:eastAsia="en-AU"/>
              </w:rPr>
            </w:pPr>
            <w:r w:rsidRPr="00D71890">
              <w:rPr>
                <w:rFonts w:cs="Arial"/>
                <w:b/>
                <w:bCs/>
                <w:color w:val="FFFFFF"/>
                <w:szCs w:val="18"/>
                <w:lang w:eastAsia="en-AU"/>
              </w:rPr>
              <w:t>Unweighted Scores</w:t>
            </w:r>
          </w:p>
        </w:tc>
      </w:tr>
      <w:tr w:rsidR="00EB363F" w:rsidRPr="00D71890" w14:paraId="5D9328DE" w14:textId="77777777" w:rsidTr="00D25E4E">
        <w:trPr>
          <w:trHeight w:val="470"/>
        </w:trPr>
        <w:tc>
          <w:tcPr>
            <w:tcW w:w="5067" w:type="dxa"/>
            <w:tcBorders>
              <w:top w:val="nil"/>
              <w:left w:val="nil"/>
              <w:bottom w:val="single" w:sz="8" w:space="0" w:color="064EA8"/>
              <w:right w:val="nil"/>
            </w:tcBorders>
            <w:shd w:val="clear" w:color="000000" w:fill="E7E6E6"/>
            <w:vAlign w:val="center"/>
            <w:hideMark/>
          </w:tcPr>
          <w:p w14:paraId="48886650" w14:textId="77777777" w:rsidR="00EB363F" w:rsidRPr="00D71890" w:rsidRDefault="00EB363F" w:rsidP="00D77130">
            <w:pPr>
              <w:spacing w:before="0" w:after="0"/>
              <w:rPr>
                <w:rFonts w:cs="Arial"/>
                <w:b/>
                <w:bCs/>
                <w:szCs w:val="18"/>
                <w:lang w:eastAsia="en-AU"/>
              </w:rPr>
            </w:pPr>
          </w:p>
        </w:tc>
        <w:tc>
          <w:tcPr>
            <w:tcW w:w="1383" w:type="dxa"/>
            <w:tcBorders>
              <w:top w:val="nil"/>
              <w:left w:val="nil"/>
              <w:bottom w:val="single" w:sz="8" w:space="0" w:color="064EA8"/>
              <w:right w:val="nil"/>
            </w:tcBorders>
            <w:shd w:val="clear" w:color="000000" w:fill="E7E6E6"/>
            <w:vAlign w:val="center"/>
            <w:hideMark/>
          </w:tcPr>
          <w:p w14:paraId="33C9E3B4" w14:textId="77777777" w:rsidR="00EB363F" w:rsidRPr="00D71890" w:rsidRDefault="00EB363F" w:rsidP="00D77130">
            <w:pPr>
              <w:spacing w:before="0" w:after="0"/>
              <w:jc w:val="center"/>
              <w:rPr>
                <w:rFonts w:cs="Arial"/>
                <w:b/>
                <w:bCs/>
                <w:szCs w:val="18"/>
                <w:lang w:eastAsia="en-AU"/>
              </w:rPr>
            </w:pPr>
            <w:r w:rsidRPr="00D71890">
              <w:rPr>
                <w:rFonts w:cs="Arial"/>
                <w:b/>
                <w:bCs/>
                <w:szCs w:val="18"/>
                <w:lang w:eastAsia="en-AU"/>
              </w:rPr>
              <w:t> </w:t>
            </w:r>
          </w:p>
        </w:tc>
        <w:tc>
          <w:tcPr>
            <w:tcW w:w="1215" w:type="dxa"/>
            <w:tcBorders>
              <w:top w:val="nil"/>
              <w:left w:val="nil"/>
              <w:bottom w:val="single" w:sz="8" w:space="0" w:color="1B0B38"/>
              <w:right w:val="nil"/>
            </w:tcBorders>
            <w:shd w:val="clear" w:color="000000" w:fill="E7E6E6"/>
            <w:vAlign w:val="center"/>
            <w:hideMark/>
          </w:tcPr>
          <w:p w14:paraId="633145A8" w14:textId="77777777" w:rsidR="00EB363F" w:rsidRPr="00D71890" w:rsidRDefault="00EB363F" w:rsidP="00D77130">
            <w:pPr>
              <w:spacing w:before="0" w:after="0"/>
              <w:jc w:val="center"/>
              <w:rPr>
                <w:rFonts w:cs="Arial"/>
                <w:b/>
                <w:bCs/>
                <w:szCs w:val="18"/>
                <w:lang w:eastAsia="en-AU"/>
              </w:rPr>
            </w:pPr>
            <w:r>
              <w:rPr>
                <w:rFonts w:cs="Arial"/>
                <w:b/>
                <w:bCs/>
                <w:szCs w:val="18"/>
                <w:lang w:eastAsia="en-AU"/>
              </w:rPr>
              <w:t>Option 1</w:t>
            </w:r>
          </w:p>
        </w:tc>
        <w:tc>
          <w:tcPr>
            <w:tcW w:w="1215" w:type="dxa"/>
            <w:tcBorders>
              <w:top w:val="nil"/>
              <w:left w:val="nil"/>
              <w:bottom w:val="single" w:sz="8" w:space="0" w:color="1B0B38"/>
              <w:right w:val="nil"/>
            </w:tcBorders>
            <w:shd w:val="clear" w:color="000000" w:fill="E7E6E6"/>
            <w:vAlign w:val="center"/>
            <w:hideMark/>
          </w:tcPr>
          <w:p w14:paraId="744A32FE" w14:textId="77777777" w:rsidR="00EB363F" w:rsidRPr="00D71890" w:rsidRDefault="00EB363F" w:rsidP="00D77130">
            <w:pPr>
              <w:spacing w:before="0" w:after="0"/>
              <w:jc w:val="center"/>
              <w:rPr>
                <w:rFonts w:cs="Arial"/>
                <w:b/>
                <w:bCs/>
                <w:szCs w:val="18"/>
                <w:lang w:eastAsia="en-AU"/>
              </w:rPr>
            </w:pPr>
            <w:r>
              <w:rPr>
                <w:rFonts w:cs="Arial"/>
                <w:b/>
                <w:bCs/>
                <w:szCs w:val="18"/>
                <w:lang w:eastAsia="en-AU"/>
              </w:rPr>
              <w:t>Option 2</w:t>
            </w:r>
          </w:p>
        </w:tc>
      </w:tr>
      <w:tr w:rsidR="00EB363F" w:rsidRPr="00D71890" w14:paraId="06F4BA48" w14:textId="77777777" w:rsidTr="00D25E4E">
        <w:trPr>
          <w:trHeight w:val="1160"/>
        </w:trPr>
        <w:tc>
          <w:tcPr>
            <w:tcW w:w="5067" w:type="dxa"/>
            <w:tcBorders>
              <w:top w:val="nil"/>
              <w:left w:val="nil"/>
              <w:bottom w:val="single" w:sz="8" w:space="0" w:color="064EA8"/>
              <w:right w:val="nil"/>
            </w:tcBorders>
            <w:shd w:val="clear" w:color="auto" w:fill="auto"/>
            <w:vAlign w:val="center"/>
            <w:hideMark/>
          </w:tcPr>
          <w:p w14:paraId="12A51A45" w14:textId="77777777" w:rsidR="00EB363F" w:rsidRPr="00D71890" w:rsidRDefault="00EB363F" w:rsidP="00D77130">
            <w:pPr>
              <w:spacing w:before="0" w:after="0"/>
              <w:rPr>
                <w:rFonts w:cs="Arial"/>
                <w:szCs w:val="18"/>
                <w:lang w:eastAsia="en-AU"/>
              </w:rPr>
            </w:pPr>
            <w:r w:rsidRPr="00D71890">
              <w:rPr>
                <w:rFonts w:cs="Arial"/>
                <w:szCs w:val="18"/>
                <w:lang w:eastAsia="en-AU"/>
              </w:rPr>
              <w:t>Support the fair and accurate determination of fund contribution amounts sufficient to fund ongoing and post-closure declared mine rehabilitation activities and achieve overall regulatory objectives.</w:t>
            </w:r>
          </w:p>
        </w:tc>
        <w:tc>
          <w:tcPr>
            <w:tcW w:w="1383" w:type="dxa"/>
            <w:tcBorders>
              <w:top w:val="nil"/>
              <w:left w:val="nil"/>
              <w:bottom w:val="single" w:sz="8" w:space="0" w:color="064EA8"/>
              <w:right w:val="nil"/>
            </w:tcBorders>
            <w:shd w:val="clear" w:color="auto" w:fill="auto"/>
            <w:vAlign w:val="center"/>
            <w:hideMark/>
          </w:tcPr>
          <w:p w14:paraId="62ED9138" w14:textId="2EBDDA53" w:rsidR="00EB363F" w:rsidRPr="00D71890" w:rsidRDefault="00EB363F" w:rsidP="00D77130">
            <w:pPr>
              <w:spacing w:before="0" w:after="0"/>
              <w:jc w:val="center"/>
              <w:rPr>
                <w:rFonts w:cs="Arial"/>
                <w:szCs w:val="18"/>
                <w:lang w:eastAsia="en-AU"/>
              </w:rPr>
            </w:pPr>
            <w:r w:rsidRPr="00D71890">
              <w:rPr>
                <w:rFonts w:cs="Arial"/>
                <w:szCs w:val="18"/>
                <w:lang w:eastAsia="en-AU"/>
              </w:rPr>
              <w:t>25%</w:t>
            </w:r>
          </w:p>
        </w:tc>
        <w:tc>
          <w:tcPr>
            <w:tcW w:w="1215" w:type="dxa"/>
            <w:tcBorders>
              <w:top w:val="nil"/>
              <w:left w:val="nil"/>
              <w:bottom w:val="single" w:sz="8" w:space="0" w:color="064EA8"/>
              <w:right w:val="nil"/>
            </w:tcBorders>
            <w:shd w:val="clear" w:color="auto" w:fill="auto"/>
            <w:vAlign w:val="center"/>
            <w:hideMark/>
          </w:tcPr>
          <w:p w14:paraId="4EE90E79" w14:textId="77777777" w:rsidR="00EB363F" w:rsidRPr="00D71890" w:rsidRDefault="00EB363F" w:rsidP="00D77130">
            <w:pPr>
              <w:spacing w:before="0" w:after="0"/>
              <w:jc w:val="center"/>
              <w:rPr>
                <w:rFonts w:cs="Arial"/>
                <w:szCs w:val="18"/>
                <w:lang w:eastAsia="en-AU"/>
              </w:rPr>
            </w:pPr>
            <w:r w:rsidRPr="00D71890">
              <w:rPr>
                <w:rFonts w:cs="Arial"/>
                <w:szCs w:val="18"/>
                <w:lang w:eastAsia="en-AU"/>
              </w:rPr>
              <w:t>0</w:t>
            </w:r>
          </w:p>
        </w:tc>
        <w:tc>
          <w:tcPr>
            <w:tcW w:w="1215" w:type="dxa"/>
            <w:tcBorders>
              <w:top w:val="nil"/>
              <w:left w:val="nil"/>
              <w:bottom w:val="single" w:sz="8" w:space="0" w:color="064EA8"/>
              <w:right w:val="nil"/>
            </w:tcBorders>
            <w:shd w:val="clear" w:color="auto" w:fill="auto"/>
            <w:vAlign w:val="center"/>
            <w:hideMark/>
          </w:tcPr>
          <w:p w14:paraId="5DDD1ED5" w14:textId="77777777" w:rsidR="00EB363F" w:rsidRPr="00D71890" w:rsidRDefault="00EB363F" w:rsidP="00D77130">
            <w:pPr>
              <w:spacing w:before="0" w:after="0"/>
              <w:jc w:val="center"/>
              <w:rPr>
                <w:rFonts w:cs="Arial"/>
                <w:szCs w:val="18"/>
                <w:lang w:eastAsia="en-AU"/>
              </w:rPr>
            </w:pPr>
            <w:r>
              <w:rPr>
                <w:rFonts w:cs="Arial"/>
                <w:szCs w:val="18"/>
                <w:lang w:eastAsia="en-AU"/>
              </w:rPr>
              <w:t>6</w:t>
            </w:r>
          </w:p>
        </w:tc>
      </w:tr>
    </w:tbl>
    <w:p w14:paraId="7810EBA1" w14:textId="3D88D31E" w:rsidR="00C5655D" w:rsidRPr="0074315C" w:rsidRDefault="007C3FEE" w:rsidP="006B33C5">
      <w:pPr>
        <w:pStyle w:val="Heading7"/>
      </w:pPr>
      <w:r>
        <w:t>Option 1</w:t>
      </w:r>
    </w:p>
    <w:p w14:paraId="61434BEC" w14:textId="6529FF79" w:rsidR="00ED1A39" w:rsidRDefault="00F24E65" w:rsidP="0024528B">
      <w:r>
        <w:t>Option 1</w:t>
      </w:r>
      <w:r w:rsidR="00ED1A39">
        <w:t xml:space="preserve"> does not prescribe any additional processes or procedures in addition to what is required under the Act, in relation to the calculation of the Fund contribution amount. The </w:t>
      </w:r>
      <w:r w:rsidR="006D439C">
        <w:t>department</w:t>
      </w:r>
      <w:r w:rsidR="00ED1A39">
        <w:t xml:space="preserve"> considers that the Minister would convene an advisory committee to provide advice on an appropriate Fund contribution amount, but this would not be prescribed in the regulations and is therefore not part of </w:t>
      </w:r>
      <w:r>
        <w:t>Option 1</w:t>
      </w:r>
      <w:r w:rsidR="00ED1A39">
        <w:t>.</w:t>
      </w:r>
    </w:p>
    <w:p w14:paraId="6B6BC47A" w14:textId="07986B7D" w:rsidR="00ED1A39" w:rsidRDefault="00ED1A39" w:rsidP="0024528B">
      <w:r>
        <w:t xml:space="preserve">Accordingly, </w:t>
      </w:r>
      <w:r w:rsidR="00F24E65">
        <w:t>Option 1</w:t>
      </w:r>
      <w:r>
        <w:t xml:space="preserve"> is not considered to be an improvement on the base case.</w:t>
      </w:r>
    </w:p>
    <w:p w14:paraId="54873A26" w14:textId="454001B7" w:rsidR="00C5655D" w:rsidRPr="0074315C" w:rsidRDefault="007C3FEE" w:rsidP="006B33C5">
      <w:pPr>
        <w:pStyle w:val="Heading7"/>
      </w:pPr>
      <w:r>
        <w:t>Option 2</w:t>
      </w:r>
    </w:p>
    <w:p w14:paraId="2D699BF3" w14:textId="57EDDEDA" w:rsidR="003F2D72" w:rsidRDefault="00ED1A39" w:rsidP="1485AF21">
      <w:r>
        <w:t xml:space="preserve">Under </w:t>
      </w:r>
      <w:r w:rsidR="00F24E65">
        <w:t>Option 2</w:t>
      </w:r>
      <w:r>
        <w:t xml:space="preserve">, the regulations would prescribe a method for the calculation of the Fund contribution amount. </w:t>
      </w:r>
      <w:r w:rsidR="00CA6A35">
        <w:t>This is based on</w:t>
      </w:r>
      <w:r w:rsidR="0050458B">
        <w:t xml:space="preserve"> an estimate of</w:t>
      </w:r>
      <w:r w:rsidR="00CA6A35">
        <w:t xml:space="preserve"> the present value of the future costs </w:t>
      </w:r>
      <w:r w:rsidR="379F0FB0">
        <w:t>associated</w:t>
      </w:r>
      <w:r w:rsidR="00CA6A35">
        <w:t xml:space="preserve"> </w:t>
      </w:r>
      <w:r w:rsidR="53C67CF1">
        <w:t xml:space="preserve">with the </w:t>
      </w:r>
      <w:r w:rsidR="21C7FD83">
        <w:t xml:space="preserve">monitoring and maintenance </w:t>
      </w:r>
      <w:r w:rsidR="003E5237">
        <w:t>obligations under the</w:t>
      </w:r>
      <w:r w:rsidR="00CA6A35">
        <w:t xml:space="preserve"> post-closure plan</w:t>
      </w:r>
      <w:r w:rsidR="6A69C2E5">
        <w:t xml:space="preserve"> and an amount reflecting the cost of adverse events.</w:t>
      </w:r>
      <w:r w:rsidR="34E8DA13">
        <w:t xml:space="preserve"> </w:t>
      </w:r>
      <w:r w:rsidR="00CA6A35">
        <w:t xml:space="preserve">Compared to the base case, this improves the </w:t>
      </w:r>
      <w:r w:rsidR="00AA262D">
        <w:t xml:space="preserve">transparency and </w:t>
      </w:r>
      <w:r w:rsidR="00CA6A35">
        <w:t>fairness of the calculation of Fund contribution amounts.</w:t>
      </w:r>
      <w:r w:rsidR="003F2D72">
        <w:t xml:space="preserve"> This increased transparency, relative to the base case </w:t>
      </w:r>
      <w:r w:rsidR="00FC5264">
        <w:t>also reduces risk for government and licensees:</w:t>
      </w:r>
    </w:p>
    <w:p w14:paraId="31EE737D" w14:textId="1CF58FB9" w:rsidR="00FC5264" w:rsidRDefault="738A6603" w:rsidP="00FC5264">
      <w:pPr>
        <w:pStyle w:val="dotpoints"/>
      </w:pPr>
      <w:r>
        <w:lastRenderedPageBreak/>
        <w:t>Greater transparency and certainty of calculation of Fund contribution amounts reduces risk to government of</w:t>
      </w:r>
      <w:r w:rsidR="1FF3083F">
        <w:t xml:space="preserve"> licensees providing</w:t>
      </w:r>
      <w:r>
        <w:t xml:space="preserve"> insufficient </w:t>
      </w:r>
      <w:r w:rsidR="1FF3083F">
        <w:t>contributions and government being liable for future cost of managing declared mine land.</w:t>
      </w:r>
    </w:p>
    <w:p w14:paraId="3B3DD382" w14:textId="06F8B1C7" w:rsidR="001532D3" w:rsidRDefault="001532D3" w:rsidP="006B33C5">
      <w:pPr>
        <w:pStyle w:val="dotpoints"/>
      </w:pPr>
      <w:r>
        <w:t xml:space="preserve">Greater transparency and certainty of calculation of Fund contribution amounts reduces financial risks to declared mine operators, as they are able to predict likely </w:t>
      </w:r>
      <w:r w:rsidR="00F9455F">
        <w:t>contribution amounts, and accordingly plan for this future contribution.</w:t>
      </w:r>
    </w:p>
    <w:p w14:paraId="034053F4" w14:textId="4D2C3BF9" w:rsidR="000A782D" w:rsidRDefault="00F9455F" w:rsidP="0024528B">
      <w:r>
        <w:t xml:space="preserve">Further, </w:t>
      </w:r>
      <w:r w:rsidR="008E6C07">
        <w:t>t</w:t>
      </w:r>
      <w:r w:rsidR="00CA6A35">
        <w:t>he accuracy of the contribution amounts is improved by ensuring that the contribution amount is closely tied to the expected and planned activities set out in the post-closure plan.</w:t>
      </w:r>
      <w:r w:rsidR="0099356F">
        <w:t xml:space="preserve"> </w:t>
      </w:r>
    </w:p>
    <w:p w14:paraId="4D5DE8D5" w14:textId="196CFFAE" w:rsidR="00ED1A39" w:rsidRDefault="00F9455F" w:rsidP="0024528B">
      <w:r>
        <w:t xml:space="preserve">Overall, </w:t>
      </w:r>
      <w:r w:rsidR="00B12D98">
        <w:t xml:space="preserve">this is considered to be moderately more effective than the base case in </w:t>
      </w:r>
      <w:r w:rsidR="00DA351A">
        <w:t>supporting</w:t>
      </w:r>
      <w:r w:rsidR="0039669A">
        <w:t xml:space="preserve"> the determination </w:t>
      </w:r>
      <w:r w:rsidR="001D62D6">
        <w:t xml:space="preserve">of </w:t>
      </w:r>
      <w:r w:rsidR="0039669A">
        <w:t>contribution amounts</w:t>
      </w:r>
      <w:r w:rsidR="003D18B8">
        <w:t xml:space="preserve"> to the Fund</w:t>
      </w:r>
      <w:r w:rsidR="0039669A">
        <w:t>.</w:t>
      </w:r>
    </w:p>
    <w:p w14:paraId="35BAEA46" w14:textId="6FE4072B" w:rsidR="00ED1A39" w:rsidRDefault="00ED1A39" w:rsidP="003F70FF">
      <w:pPr>
        <w:pStyle w:val="Heading6"/>
      </w:pPr>
      <w:r>
        <w:t>Benefits scores</w:t>
      </w:r>
    </w:p>
    <w:p w14:paraId="19F3E1B4" w14:textId="7FC510C4" w:rsidR="00CA6A35" w:rsidRPr="00CA6A35" w:rsidRDefault="00CA6A35" w:rsidP="00CA6A35">
      <w:r>
        <w:fldChar w:fldCharType="begin"/>
      </w:r>
      <w:r>
        <w:instrText xml:space="preserve"> REF _Ref55485468 \h </w:instrText>
      </w:r>
      <w:r>
        <w:fldChar w:fldCharType="separate"/>
      </w:r>
      <w:r w:rsidR="000B3BF6">
        <w:t xml:space="preserve">Table </w:t>
      </w:r>
      <w:r w:rsidR="000B3BF6">
        <w:rPr>
          <w:noProof/>
        </w:rPr>
        <w:t>18</w:t>
      </w:r>
      <w:r>
        <w:fldChar w:fldCharType="end"/>
      </w:r>
      <w:r>
        <w:t xml:space="preserve"> sets out the scores allocated to </w:t>
      </w:r>
      <w:r w:rsidR="00F24E65">
        <w:t>Option 1</w:t>
      </w:r>
      <w:r>
        <w:t xml:space="preserve"> and 2 against the benefits criterion. </w:t>
      </w:r>
      <w:r w:rsidR="00F24E65">
        <w:t>Option 2</w:t>
      </w:r>
      <w:r>
        <w:t xml:space="preserve"> is considered to be much more effective than the base case</w:t>
      </w:r>
      <w:r w:rsidR="00631542">
        <w:t>, especially in obtaining and recording information about declared mine land</w:t>
      </w:r>
      <w:r>
        <w:t xml:space="preserve">, whereas </w:t>
      </w:r>
      <w:r w:rsidR="00F24E65">
        <w:t>Option 1</w:t>
      </w:r>
      <w:r>
        <w:t xml:space="preserve"> is considered to </w:t>
      </w:r>
      <w:r w:rsidR="00946163">
        <w:t>be a slight improvement from the base case</w:t>
      </w:r>
      <w:r>
        <w:t>.</w:t>
      </w:r>
    </w:p>
    <w:p w14:paraId="7FBC0435" w14:textId="79B46725" w:rsidR="00CA6A35" w:rsidRDefault="00CA6A35" w:rsidP="00EB363F">
      <w:pPr>
        <w:pStyle w:val="Caption"/>
      </w:pPr>
      <w:bookmarkStart w:id="381" w:name="_Ref55485468"/>
      <w:bookmarkStart w:id="382" w:name="_Toc104217634"/>
      <w:r>
        <w:t xml:space="preserve">Table </w:t>
      </w:r>
      <w:r>
        <w:fldChar w:fldCharType="begin"/>
      </w:r>
      <w:r>
        <w:instrText>SEQ Table \* ARABIC</w:instrText>
      </w:r>
      <w:r>
        <w:fldChar w:fldCharType="separate"/>
      </w:r>
      <w:r w:rsidR="000B3BF6">
        <w:rPr>
          <w:noProof/>
        </w:rPr>
        <w:t>18</w:t>
      </w:r>
      <w:r>
        <w:fldChar w:fldCharType="end"/>
      </w:r>
      <w:bookmarkEnd w:id="381"/>
      <w:r w:rsidR="00DB5B8E">
        <w:rPr>
          <w:noProof/>
        </w:rPr>
        <w:t>:</w:t>
      </w:r>
      <w:r>
        <w:t xml:space="preserve"> Benefits scores - mine land registration</w:t>
      </w:r>
      <w:bookmarkEnd w:id="382"/>
    </w:p>
    <w:tbl>
      <w:tblPr>
        <w:tblW w:w="8880" w:type="dxa"/>
        <w:tblLook w:val="04A0" w:firstRow="1" w:lastRow="0" w:firstColumn="1" w:lastColumn="0" w:noHBand="0" w:noVBand="1"/>
      </w:tblPr>
      <w:tblGrid>
        <w:gridCol w:w="3978"/>
        <w:gridCol w:w="1086"/>
        <w:gridCol w:w="954"/>
        <w:gridCol w:w="954"/>
        <w:gridCol w:w="954"/>
        <w:gridCol w:w="954"/>
      </w:tblGrid>
      <w:tr w:rsidR="00D71890" w:rsidRPr="00D71890" w14:paraId="11F782FF" w14:textId="77777777" w:rsidTr="008E75CA">
        <w:trPr>
          <w:trHeight w:val="470"/>
          <w:tblHeader/>
        </w:trPr>
        <w:tc>
          <w:tcPr>
            <w:tcW w:w="3978" w:type="dxa"/>
            <w:tcBorders>
              <w:top w:val="single" w:sz="8" w:space="0" w:color="064EA8"/>
              <w:left w:val="nil"/>
              <w:bottom w:val="single" w:sz="8" w:space="0" w:color="064EA8"/>
              <w:right w:val="nil"/>
            </w:tcBorders>
            <w:shd w:val="clear" w:color="000000" w:fill="1B0B38"/>
            <w:vAlign w:val="center"/>
            <w:hideMark/>
          </w:tcPr>
          <w:p w14:paraId="59B50576" w14:textId="77777777" w:rsidR="00D71890" w:rsidRPr="00D71890" w:rsidRDefault="00D71890" w:rsidP="00B22937">
            <w:pPr>
              <w:keepNext/>
              <w:spacing w:before="0" w:after="0"/>
              <w:rPr>
                <w:rFonts w:cs="Arial"/>
                <w:b/>
                <w:bCs/>
                <w:color w:val="FFFFFF"/>
                <w:szCs w:val="18"/>
                <w:lang w:eastAsia="en-AU"/>
              </w:rPr>
            </w:pPr>
            <w:r w:rsidRPr="00D71890">
              <w:rPr>
                <w:rFonts w:cs="Arial"/>
                <w:b/>
                <w:bCs/>
                <w:color w:val="FFFFFF"/>
                <w:szCs w:val="18"/>
                <w:lang w:eastAsia="en-AU"/>
              </w:rPr>
              <w:t>Criteria</w:t>
            </w:r>
          </w:p>
        </w:tc>
        <w:tc>
          <w:tcPr>
            <w:tcW w:w="1086" w:type="dxa"/>
            <w:tcBorders>
              <w:top w:val="single" w:sz="8" w:space="0" w:color="064EA8"/>
              <w:left w:val="nil"/>
              <w:bottom w:val="single" w:sz="8" w:space="0" w:color="064EA8"/>
              <w:right w:val="nil"/>
            </w:tcBorders>
            <w:shd w:val="clear" w:color="000000" w:fill="1B0B38"/>
            <w:vAlign w:val="center"/>
            <w:hideMark/>
          </w:tcPr>
          <w:p w14:paraId="109F70F0" w14:textId="77777777" w:rsidR="00D71890" w:rsidRPr="00D71890" w:rsidRDefault="00D71890" w:rsidP="00B22937">
            <w:pPr>
              <w:keepNext/>
              <w:spacing w:before="0" w:after="0"/>
              <w:jc w:val="center"/>
              <w:rPr>
                <w:rFonts w:cs="Arial"/>
                <w:b/>
                <w:bCs/>
                <w:color w:val="FFFFFF"/>
                <w:szCs w:val="18"/>
                <w:lang w:eastAsia="en-AU"/>
              </w:rPr>
            </w:pPr>
            <w:r w:rsidRPr="00D71890">
              <w:rPr>
                <w:rFonts w:cs="Arial"/>
                <w:b/>
                <w:bCs/>
                <w:color w:val="FFFFFF"/>
                <w:szCs w:val="18"/>
                <w:lang w:eastAsia="en-AU"/>
              </w:rPr>
              <w:t>Weighting</w:t>
            </w:r>
          </w:p>
        </w:tc>
        <w:tc>
          <w:tcPr>
            <w:tcW w:w="1908" w:type="dxa"/>
            <w:gridSpan w:val="2"/>
            <w:tcBorders>
              <w:top w:val="single" w:sz="8" w:space="0" w:color="064EA8"/>
              <w:left w:val="nil"/>
              <w:bottom w:val="single" w:sz="8" w:space="0" w:color="064EA8"/>
              <w:right w:val="nil"/>
            </w:tcBorders>
            <w:shd w:val="clear" w:color="000000" w:fill="1B0B38"/>
            <w:vAlign w:val="center"/>
            <w:hideMark/>
          </w:tcPr>
          <w:p w14:paraId="4FBC5E56" w14:textId="77777777" w:rsidR="00D71890" w:rsidRPr="00D71890" w:rsidRDefault="00D71890" w:rsidP="00B22937">
            <w:pPr>
              <w:keepNext/>
              <w:spacing w:before="0" w:after="0"/>
              <w:jc w:val="center"/>
              <w:rPr>
                <w:rFonts w:cs="Arial"/>
                <w:b/>
                <w:bCs/>
                <w:color w:val="FFFFFF"/>
                <w:szCs w:val="18"/>
                <w:lang w:eastAsia="en-AU"/>
              </w:rPr>
            </w:pPr>
            <w:r w:rsidRPr="00D71890">
              <w:rPr>
                <w:rFonts w:cs="Arial"/>
                <w:b/>
                <w:bCs/>
                <w:color w:val="FFFFFF"/>
                <w:szCs w:val="18"/>
                <w:lang w:eastAsia="en-AU"/>
              </w:rPr>
              <w:t>Unweighted Scores</w:t>
            </w:r>
          </w:p>
        </w:tc>
        <w:tc>
          <w:tcPr>
            <w:tcW w:w="1908" w:type="dxa"/>
            <w:gridSpan w:val="2"/>
            <w:tcBorders>
              <w:top w:val="single" w:sz="8" w:space="0" w:color="064EA8"/>
              <w:left w:val="nil"/>
              <w:bottom w:val="single" w:sz="8" w:space="0" w:color="064EA8"/>
              <w:right w:val="nil"/>
            </w:tcBorders>
            <w:shd w:val="clear" w:color="000000" w:fill="1B0B38"/>
            <w:vAlign w:val="center"/>
            <w:hideMark/>
          </w:tcPr>
          <w:p w14:paraId="087BD719" w14:textId="77777777" w:rsidR="00D71890" w:rsidRPr="00D71890" w:rsidRDefault="00D71890" w:rsidP="00B22937">
            <w:pPr>
              <w:keepNext/>
              <w:spacing w:before="0" w:after="0"/>
              <w:jc w:val="center"/>
              <w:rPr>
                <w:rFonts w:cs="Arial"/>
                <w:b/>
                <w:bCs/>
                <w:color w:val="FFFFFF"/>
                <w:szCs w:val="18"/>
                <w:lang w:eastAsia="en-AU"/>
              </w:rPr>
            </w:pPr>
            <w:r w:rsidRPr="00D71890">
              <w:rPr>
                <w:rFonts w:cs="Arial"/>
                <w:b/>
                <w:bCs/>
                <w:color w:val="FFFFFF"/>
                <w:szCs w:val="18"/>
                <w:lang w:eastAsia="en-AU"/>
              </w:rPr>
              <w:t>Weighted Scores</w:t>
            </w:r>
          </w:p>
        </w:tc>
      </w:tr>
      <w:tr w:rsidR="00D71890" w:rsidRPr="00D71890" w14:paraId="0ECBACFB" w14:textId="77777777" w:rsidTr="008E75CA">
        <w:trPr>
          <w:trHeight w:val="470"/>
        </w:trPr>
        <w:tc>
          <w:tcPr>
            <w:tcW w:w="3978" w:type="dxa"/>
            <w:tcBorders>
              <w:top w:val="nil"/>
              <w:left w:val="nil"/>
              <w:bottom w:val="single" w:sz="8" w:space="0" w:color="064EA8"/>
              <w:right w:val="nil"/>
            </w:tcBorders>
            <w:shd w:val="clear" w:color="000000" w:fill="E7E6E6"/>
            <w:vAlign w:val="center"/>
            <w:hideMark/>
          </w:tcPr>
          <w:p w14:paraId="5F692ADB" w14:textId="061D2AD0" w:rsidR="00D71890" w:rsidRPr="00D71890" w:rsidRDefault="00D71890" w:rsidP="00B22937">
            <w:pPr>
              <w:keepNext/>
              <w:spacing w:before="0" w:after="0"/>
              <w:rPr>
                <w:rFonts w:cs="Arial"/>
                <w:b/>
                <w:bCs/>
                <w:szCs w:val="18"/>
                <w:lang w:eastAsia="en-AU"/>
              </w:rPr>
            </w:pPr>
          </w:p>
        </w:tc>
        <w:tc>
          <w:tcPr>
            <w:tcW w:w="1086" w:type="dxa"/>
            <w:tcBorders>
              <w:top w:val="nil"/>
              <w:left w:val="nil"/>
              <w:bottom w:val="single" w:sz="8" w:space="0" w:color="064EA8"/>
              <w:right w:val="nil"/>
            </w:tcBorders>
            <w:shd w:val="clear" w:color="000000" w:fill="E7E6E6"/>
            <w:vAlign w:val="center"/>
            <w:hideMark/>
          </w:tcPr>
          <w:p w14:paraId="609DF291" w14:textId="77777777" w:rsidR="00D71890" w:rsidRPr="00D71890" w:rsidRDefault="00D71890" w:rsidP="00B22937">
            <w:pPr>
              <w:keepNext/>
              <w:spacing w:before="0" w:after="0"/>
              <w:jc w:val="center"/>
              <w:rPr>
                <w:rFonts w:cs="Arial"/>
                <w:b/>
                <w:bCs/>
                <w:szCs w:val="18"/>
                <w:lang w:eastAsia="en-AU"/>
              </w:rPr>
            </w:pPr>
            <w:r w:rsidRPr="00D71890">
              <w:rPr>
                <w:rFonts w:cs="Arial"/>
                <w:b/>
                <w:bCs/>
                <w:szCs w:val="18"/>
                <w:lang w:eastAsia="en-AU"/>
              </w:rPr>
              <w:t> </w:t>
            </w:r>
          </w:p>
        </w:tc>
        <w:tc>
          <w:tcPr>
            <w:tcW w:w="954" w:type="dxa"/>
            <w:tcBorders>
              <w:top w:val="nil"/>
              <w:left w:val="nil"/>
              <w:bottom w:val="single" w:sz="8" w:space="0" w:color="1B0B38"/>
              <w:right w:val="nil"/>
            </w:tcBorders>
            <w:shd w:val="clear" w:color="000000" w:fill="E7E6E6"/>
            <w:vAlign w:val="center"/>
            <w:hideMark/>
          </w:tcPr>
          <w:p w14:paraId="266F8ACE" w14:textId="5D964850" w:rsidR="00D71890" w:rsidRPr="00D71890" w:rsidRDefault="00F24E65" w:rsidP="00B22937">
            <w:pPr>
              <w:keepNext/>
              <w:spacing w:before="0" w:after="0"/>
              <w:jc w:val="center"/>
              <w:rPr>
                <w:rFonts w:cs="Arial"/>
                <w:b/>
                <w:bCs/>
                <w:szCs w:val="18"/>
                <w:lang w:eastAsia="en-AU"/>
              </w:rPr>
            </w:pPr>
            <w:r>
              <w:rPr>
                <w:rFonts w:cs="Arial"/>
                <w:b/>
                <w:bCs/>
                <w:szCs w:val="18"/>
                <w:lang w:eastAsia="en-AU"/>
              </w:rPr>
              <w:t>Option 1</w:t>
            </w:r>
          </w:p>
        </w:tc>
        <w:tc>
          <w:tcPr>
            <w:tcW w:w="954" w:type="dxa"/>
            <w:tcBorders>
              <w:top w:val="nil"/>
              <w:left w:val="nil"/>
              <w:bottom w:val="single" w:sz="8" w:space="0" w:color="1B0B38"/>
              <w:right w:val="nil"/>
            </w:tcBorders>
            <w:shd w:val="clear" w:color="000000" w:fill="E7E6E6"/>
            <w:vAlign w:val="center"/>
            <w:hideMark/>
          </w:tcPr>
          <w:p w14:paraId="202CCA6B" w14:textId="7F4D498C" w:rsidR="00D71890" w:rsidRPr="00D71890" w:rsidRDefault="00F24E65" w:rsidP="00B22937">
            <w:pPr>
              <w:keepNext/>
              <w:spacing w:before="0" w:after="0"/>
              <w:jc w:val="center"/>
              <w:rPr>
                <w:rFonts w:cs="Arial"/>
                <w:b/>
                <w:bCs/>
                <w:szCs w:val="18"/>
                <w:lang w:eastAsia="en-AU"/>
              </w:rPr>
            </w:pPr>
            <w:r>
              <w:rPr>
                <w:rFonts w:cs="Arial"/>
                <w:b/>
                <w:bCs/>
                <w:szCs w:val="18"/>
                <w:lang w:eastAsia="en-AU"/>
              </w:rPr>
              <w:t>Option 2</w:t>
            </w:r>
          </w:p>
        </w:tc>
        <w:tc>
          <w:tcPr>
            <w:tcW w:w="954" w:type="dxa"/>
            <w:tcBorders>
              <w:top w:val="nil"/>
              <w:left w:val="nil"/>
              <w:bottom w:val="single" w:sz="8" w:space="0" w:color="1B0B38"/>
              <w:right w:val="nil"/>
            </w:tcBorders>
            <w:shd w:val="clear" w:color="000000" w:fill="E7E6E6"/>
            <w:vAlign w:val="center"/>
            <w:hideMark/>
          </w:tcPr>
          <w:p w14:paraId="715E2C95" w14:textId="4BA0B8C0" w:rsidR="00D71890" w:rsidRPr="00D71890" w:rsidRDefault="00F24E65" w:rsidP="00B22937">
            <w:pPr>
              <w:keepNext/>
              <w:spacing w:before="0" w:after="0"/>
              <w:jc w:val="center"/>
              <w:rPr>
                <w:rFonts w:cs="Arial"/>
                <w:b/>
                <w:bCs/>
                <w:szCs w:val="18"/>
                <w:lang w:eastAsia="en-AU"/>
              </w:rPr>
            </w:pPr>
            <w:r>
              <w:rPr>
                <w:rFonts w:cs="Arial"/>
                <w:b/>
                <w:bCs/>
                <w:szCs w:val="18"/>
                <w:lang w:eastAsia="en-AU"/>
              </w:rPr>
              <w:t>Option 1</w:t>
            </w:r>
          </w:p>
        </w:tc>
        <w:tc>
          <w:tcPr>
            <w:tcW w:w="954" w:type="dxa"/>
            <w:tcBorders>
              <w:top w:val="nil"/>
              <w:left w:val="nil"/>
              <w:bottom w:val="single" w:sz="8" w:space="0" w:color="1B0B38"/>
              <w:right w:val="nil"/>
            </w:tcBorders>
            <w:shd w:val="clear" w:color="000000" w:fill="E7E6E6"/>
            <w:vAlign w:val="center"/>
            <w:hideMark/>
          </w:tcPr>
          <w:p w14:paraId="44E1356F" w14:textId="7C452BA8" w:rsidR="00D71890" w:rsidRPr="00D71890" w:rsidRDefault="00F24E65" w:rsidP="00B22937">
            <w:pPr>
              <w:keepNext/>
              <w:spacing w:before="0" w:after="0"/>
              <w:jc w:val="center"/>
              <w:rPr>
                <w:rFonts w:cs="Arial"/>
                <w:b/>
                <w:bCs/>
                <w:szCs w:val="18"/>
                <w:lang w:eastAsia="en-AU"/>
              </w:rPr>
            </w:pPr>
            <w:r>
              <w:rPr>
                <w:rFonts w:cs="Arial"/>
                <w:b/>
                <w:bCs/>
                <w:szCs w:val="18"/>
                <w:lang w:eastAsia="en-AU"/>
              </w:rPr>
              <w:t>Option 2</w:t>
            </w:r>
          </w:p>
        </w:tc>
      </w:tr>
      <w:tr w:rsidR="00D71890" w:rsidRPr="00D71890" w14:paraId="1F3DEE22" w14:textId="77777777" w:rsidTr="008E75CA">
        <w:trPr>
          <w:trHeight w:val="1160"/>
        </w:trPr>
        <w:tc>
          <w:tcPr>
            <w:tcW w:w="3978" w:type="dxa"/>
            <w:tcBorders>
              <w:top w:val="nil"/>
              <w:left w:val="nil"/>
              <w:bottom w:val="single" w:sz="8" w:space="0" w:color="064EA8"/>
              <w:right w:val="nil"/>
            </w:tcBorders>
            <w:shd w:val="clear" w:color="auto" w:fill="auto"/>
            <w:vAlign w:val="center"/>
            <w:hideMark/>
          </w:tcPr>
          <w:p w14:paraId="6F004781" w14:textId="77777777" w:rsidR="00D71890" w:rsidRPr="00D71890" w:rsidRDefault="00D71890" w:rsidP="00B22937">
            <w:pPr>
              <w:keepNext/>
              <w:spacing w:before="0" w:after="0"/>
              <w:rPr>
                <w:rFonts w:cs="Arial"/>
                <w:szCs w:val="18"/>
                <w:lang w:eastAsia="en-AU"/>
              </w:rPr>
            </w:pPr>
            <w:r w:rsidRPr="00D71890">
              <w:rPr>
                <w:rFonts w:cs="Arial"/>
                <w:szCs w:val="18"/>
                <w:lang w:eastAsia="en-AU"/>
              </w:rPr>
              <w:t>Obtain and record relevant information about declared mine sites, risks and necessary post-closure management to support informed government, stakeholder and community decision-making.</w:t>
            </w:r>
          </w:p>
        </w:tc>
        <w:tc>
          <w:tcPr>
            <w:tcW w:w="1086" w:type="dxa"/>
            <w:tcBorders>
              <w:top w:val="nil"/>
              <w:left w:val="nil"/>
              <w:bottom w:val="single" w:sz="8" w:space="0" w:color="064EA8"/>
              <w:right w:val="nil"/>
            </w:tcBorders>
            <w:shd w:val="clear" w:color="auto" w:fill="auto"/>
            <w:vAlign w:val="center"/>
            <w:hideMark/>
          </w:tcPr>
          <w:p w14:paraId="78C41B7E" w14:textId="446D5FAB" w:rsidR="00D71890" w:rsidRPr="00D71890" w:rsidRDefault="00D71890" w:rsidP="00B22937">
            <w:pPr>
              <w:keepNext/>
              <w:spacing w:before="0" w:after="0"/>
              <w:jc w:val="center"/>
              <w:rPr>
                <w:rFonts w:cs="Arial"/>
                <w:szCs w:val="18"/>
                <w:lang w:eastAsia="en-AU"/>
              </w:rPr>
            </w:pPr>
            <w:r w:rsidRPr="00D71890">
              <w:rPr>
                <w:rFonts w:cs="Arial"/>
                <w:szCs w:val="18"/>
                <w:lang w:eastAsia="en-AU"/>
              </w:rPr>
              <w:t>25%</w:t>
            </w:r>
          </w:p>
        </w:tc>
        <w:tc>
          <w:tcPr>
            <w:tcW w:w="954" w:type="dxa"/>
            <w:tcBorders>
              <w:top w:val="nil"/>
              <w:left w:val="nil"/>
              <w:bottom w:val="single" w:sz="8" w:space="0" w:color="064EA8"/>
              <w:right w:val="nil"/>
            </w:tcBorders>
            <w:shd w:val="clear" w:color="auto" w:fill="auto"/>
            <w:vAlign w:val="center"/>
            <w:hideMark/>
          </w:tcPr>
          <w:p w14:paraId="165FA5E4" w14:textId="18889609" w:rsidR="00D71890" w:rsidRPr="00D71890" w:rsidRDefault="00CB31A6" w:rsidP="00B22937">
            <w:pPr>
              <w:keepNext/>
              <w:spacing w:before="0" w:after="0"/>
              <w:jc w:val="center"/>
              <w:rPr>
                <w:rFonts w:cs="Arial"/>
                <w:szCs w:val="18"/>
                <w:lang w:eastAsia="en-AU"/>
              </w:rPr>
            </w:pPr>
            <w:r>
              <w:rPr>
                <w:rFonts w:cs="Arial"/>
                <w:szCs w:val="18"/>
                <w:lang w:eastAsia="en-AU"/>
              </w:rPr>
              <w:t>1</w:t>
            </w:r>
          </w:p>
        </w:tc>
        <w:tc>
          <w:tcPr>
            <w:tcW w:w="954" w:type="dxa"/>
            <w:tcBorders>
              <w:top w:val="nil"/>
              <w:left w:val="nil"/>
              <w:bottom w:val="single" w:sz="8" w:space="0" w:color="064EA8"/>
              <w:right w:val="nil"/>
            </w:tcBorders>
            <w:shd w:val="clear" w:color="auto" w:fill="auto"/>
            <w:vAlign w:val="center"/>
            <w:hideMark/>
          </w:tcPr>
          <w:p w14:paraId="6E6BCBB4" w14:textId="77777777" w:rsidR="00D71890" w:rsidRPr="00D71890" w:rsidRDefault="00D71890" w:rsidP="00B22937">
            <w:pPr>
              <w:keepNext/>
              <w:spacing w:before="0" w:after="0"/>
              <w:jc w:val="center"/>
              <w:rPr>
                <w:rFonts w:cs="Arial"/>
                <w:szCs w:val="18"/>
                <w:lang w:eastAsia="en-AU"/>
              </w:rPr>
            </w:pPr>
            <w:r w:rsidRPr="00D71890">
              <w:rPr>
                <w:rFonts w:cs="Arial"/>
                <w:szCs w:val="18"/>
                <w:lang w:eastAsia="en-AU"/>
              </w:rPr>
              <w:t>7</w:t>
            </w:r>
          </w:p>
        </w:tc>
        <w:tc>
          <w:tcPr>
            <w:tcW w:w="954" w:type="dxa"/>
            <w:tcBorders>
              <w:top w:val="nil"/>
              <w:left w:val="nil"/>
              <w:bottom w:val="single" w:sz="8" w:space="0" w:color="064EA8"/>
              <w:right w:val="nil"/>
            </w:tcBorders>
            <w:shd w:val="clear" w:color="auto" w:fill="auto"/>
            <w:vAlign w:val="center"/>
            <w:hideMark/>
          </w:tcPr>
          <w:p w14:paraId="3872BB37" w14:textId="32FC01D5" w:rsidR="00D71890" w:rsidRPr="00D71890" w:rsidRDefault="00D71890" w:rsidP="00B22937">
            <w:pPr>
              <w:keepNext/>
              <w:spacing w:before="0" w:after="0"/>
              <w:jc w:val="center"/>
              <w:rPr>
                <w:rFonts w:cs="Arial"/>
                <w:szCs w:val="18"/>
                <w:lang w:eastAsia="en-AU"/>
              </w:rPr>
            </w:pPr>
            <w:r w:rsidRPr="00D71890">
              <w:rPr>
                <w:rFonts w:cs="Arial"/>
                <w:szCs w:val="18"/>
                <w:lang w:eastAsia="en-AU"/>
              </w:rPr>
              <w:t>0.</w:t>
            </w:r>
            <w:r w:rsidR="00946163">
              <w:rPr>
                <w:rFonts w:cs="Arial"/>
                <w:szCs w:val="18"/>
                <w:lang w:eastAsia="en-AU"/>
              </w:rPr>
              <w:t>25</w:t>
            </w:r>
          </w:p>
        </w:tc>
        <w:tc>
          <w:tcPr>
            <w:tcW w:w="954" w:type="dxa"/>
            <w:tcBorders>
              <w:top w:val="nil"/>
              <w:left w:val="nil"/>
              <w:bottom w:val="single" w:sz="8" w:space="0" w:color="064EA8"/>
              <w:right w:val="nil"/>
            </w:tcBorders>
            <w:shd w:val="clear" w:color="auto" w:fill="auto"/>
            <w:vAlign w:val="center"/>
            <w:hideMark/>
          </w:tcPr>
          <w:p w14:paraId="24850C84" w14:textId="70DAAAEA" w:rsidR="00D71890" w:rsidRPr="00D71890" w:rsidRDefault="00D71890" w:rsidP="00B22937">
            <w:pPr>
              <w:keepNext/>
              <w:spacing w:before="0" w:after="0"/>
              <w:jc w:val="center"/>
              <w:rPr>
                <w:rFonts w:cs="Arial"/>
                <w:szCs w:val="18"/>
                <w:lang w:eastAsia="en-AU"/>
              </w:rPr>
            </w:pPr>
            <w:r w:rsidRPr="00D71890">
              <w:rPr>
                <w:rFonts w:cs="Arial"/>
                <w:szCs w:val="18"/>
                <w:lang w:eastAsia="en-AU"/>
              </w:rPr>
              <w:t>1.75</w:t>
            </w:r>
          </w:p>
        </w:tc>
      </w:tr>
      <w:tr w:rsidR="00D71890" w:rsidRPr="00D71890" w14:paraId="2F57C755" w14:textId="77777777" w:rsidTr="008E75CA">
        <w:trPr>
          <w:trHeight w:val="1160"/>
        </w:trPr>
        <w:tc>
          <w:tcPr>
            <w:tcW w:w="3978" w:type="dxa"/>
            <w:tcBorders>
              <w:top w:val="nil"/>
              <w:left w:val="nil"/>
              <w:bottom w:val="single" w:sz="8" w:space="0" w:color="064EA8"/>
              <w:right w:val="nil"/>
            </w:tcBorders>
            <w:shd w:val="clear" w:color="auto" w:fill="auto"/>
            <w:vAlign w:val="center"/>
            <w:hideMark/>
          </w:tcPr>
          <w:p w14:paraId="25E56173" w14:textId="77777777" w:rsidR="00D71890" w:rsidRPr="00D71890" w:rsidRDefault="00D71890" w:rsidP="008E75CA">
            <w:pPr>
              <w:spacing w:before="0" w:after="0"/>
              <w:rPr>
                <w:rFonts w:cs="Arial"/>
                <w:szCs w:val="18"/>
                <w:lang w:eastAsia="en-AU"/>
              </w:rPr>
            </w:pPr>
            <w:r w:rsidRPr="00D71890">
              <w:rPr>
                <w:rFonts w:cs="Arial"/>
                <w:szCs w:val="18"/>
                <w:lang w:eastAsia="en-AU"/>
              </w:rPr>
              <w:t>Support the fair and accurate determination of fund contribution amounts sufficient to fund ongoing and post-closure declared mine rehabilitation activities and achieve overall regulatory objectives.</w:t>
            </w:r>
          </w:p>
        </w:tc>
        <w:tc>
          <w:tcPr>
            <w:tcW w:w="1086" w:type="dxa"/>
            <w:tcBorders>
              <w:top w:val="nil"/>
              <w:left w:val="nil"/>
              <w:bottom w:val="single" w:sz="8" w:space="0" w:color="064EA8"/>
              <w:right w:val="nil"/>
            </w:tcBorders>
            <w:shd w:val="clear" w:color="auto" w:fill="auto"/>
            <w:vAlign w:val="center"/>
            <w:hideMark/>
          </w:tcPr>
          <w:p w14:paraId="6BD83D1C" w14:textId="0FDBB997" w:rsidR="00D71890" w:rsidRPr="00D71890" w:rsidRDefault="00D71890" w:rsidP="008E75CA">
            <w:pPr>
              <w:spacing w:before="0" w:after="0"/>
              <w:jc w:val="center"/>
              <w:rPr>
                <w:rFonts w:cs="Arial"/>
                <w:szCs w:val="18"/>
                <w:lang w:eastAsia="en-AU"/>
              </w:rPr>
            </w:pPr>
            <w:r w:rsidRPr="00D71890">
              <w:rPr>
                <w:rFonts w:cs="Arial"/>
                <w:szCs w:val="18"/>
                <w:lang w:eastAsia="en-AU"/>
              </w:rPr>
              <w:t>25%</w:t>
            </w:r>
          </w:p>
        </w:tc>
        <w:tc>
          <w:tcPr>
            <w:tcW w:w="954" w:type="dxa"/>
            <w:tcBorders>
              <w:top w:val="nil"/>
              <w:left w:val="nil"/>
              <w:bottom w:val="single" w:sz="8" w:space="0" w:color="064EA8"/>
              <w:right w:val="nil"/>
            </w:tcBorders>
            <w:shd w:val="clear" w:color="auto" w:fill="auto"/>
            <w:vAlign w:val="center"/>
            <w:hideMark/>
          </w:tcPr>
          <w:p w14:paraId="61AD4E2F" w14:textId="77777777" w:rsidR="00D71890" w:rsidRPr="00D71890" w:rsidRDefault="00D71890" w:rsidP="008E75CA">
            <w:pPr>
              <w:spacing w:before="0" w:after="0"/>
              <w:jc w:val="center"/>
              <w:rPr>
                <w:rFonts w:cs="Arial"/>
                <w:szCs w:val="18"/>
                <w:lang w:eastAsia="en-AU"/>
              </w:rPr>
            </w:pPr>
            <w:r w:rsidRPr="00D71890">
              <w:rPr>
                <w:rFonts w:cs="Arial"/>
                <w:szCs w:val="18"/>
                <w:lang w:eastAsia="en-AU"/>
              </w:rPr>
              <w:t>0</w:t>
            </w:r>
          </w:p>
        </w:tc>
        <w:tc>
          <w:tcPr>
            <w:tcW w:w="954" w:type="dxa"/>
            <w:tcBorders>
              <w:top w:val="nil"/>
              <w:left w:val="nil"/>
              <w:bottom w:val="single" w:sz="8" w:space="0" w:color="064EA8"/>
              <w:right w:val="nil"/>
            </w:tcBorders>
            <w:shd w:val="clear" w:color="auto" w:fill="auto"/>
            <w:vAlign w:val="center"/>
            <w:hideMark/>
          </w:tcPr>
          <w:p w14:paraId="509D5A62" w14:textId="7599C442" w:rsidR="00D71890" w:rsidRPr="00D71890" w:rsidRDefault="003C4C00" w:rsidP="008E75CA">
            <w:pPr>
              <w:spacing w:before="0" w:after="0"/>
              <w:jc w:val="center"/>
              <w:rPr>
                <w:rFonts w:cs="Arial"/>
                <w:szCs w:val="18"/>
                <w:lang w:eastAsia="en-AU"/>
              </w:rPr>
            </w:pPr>
            <w:r>
              <w:rPr>
                <w:rFonts w:cs="Arial"/>
                <w:szCs w:val="18"/>
                <w:lang w:eastAsia="en-AU"/>
              </w:rPr>
              <w:t>6</w:t>
            </w:r>
          </w:p>
        </w:tc>
        <w:tc>
          <w:tcPr>
            <w:tcW w:w="954" w:type="dxa"/>
            <w:tcBorders>
              <w:top w:val="nil"/>
              <w:left w:val="nil"/>
              <w:bottom w:val="single" w:sz="8" w:space="0" w:color="064EA8"/>
              <w:right w:val="nil"/>
            </w:tcBorders>
            <w:shd w:val="clear" w:color="auto" w:fill="auto"/>
            <w:vAlign w:val="center"/>
            <w:hideMark/>
          </w:tcPr>
          <w:p w14:paraId="3FA13E5D" w14:textId="77777777" w:rsidR="00D71890" w:rsidRPr="00D71890" w:rsidRDefault="00D71890" w:rsidP="008E75CA">
            <w:pPr>
              <w:spacing w:before="0" w:after="0"/>
              <w:jc w:val="center"/>
              <w:rPr>
                <w:rFonts w:cs="Arial"/>
                <w:szCs w:val="18"/>
                <w:lang w:eastAsia="en-AU"/>
              </w:rPr>
            </w:pPr>
            <w:r w:rsidRPr="00D71890">
              <w:rPr>
                <w:rFonts w:cs="Arial"/>
                <w:szCs w:val="18"/>
                <w:lang w:eastAsia="en-AU"/>
              </w:rPr>
              <w:t>0.00</w:t>
            </w:r>
          </w:p>
        </w:tc>
        <w:tc>
          <w:tcPr>
            <w:tcW w:w="954" w:type="dxa"/>
            <w:tcBorders>
              <w:top w:val="nil"/>
              <w:left w:val="nil"/>
              <w:bottom w:val="single" w:sz="8" w:space="0" w:color="064EA8"/>
              <w:right w:val="nil"/>
            </w:tcBorders>
            <w:shd w:val="clear" w:color="auto" w:fill="auto"/>
            <w:vAlign w:val="center"/>
            <w:hideMark/>
          </w:tcPr>
          <w:p w14:paraId="27E24AAE" w14:textId="7B6B7C97" w:rsidR="00D71890" w:rsidRPr="00D71890" w:rsidRDefault="002C65FC" w:rsidP="008E75CA">
            <w:pPr>
              <w:spacing w:before="0" w:after="0"/>
              <w:jc w:val="center"/>
              <w:rPr>
                <w:rFonts w:cs="Arial"/>
                <w:szCs w:val="18"/>
                <w:lang w:eastAsia="en-AU"/>
              </w:rPr>
            </w:pPr>
            <w:r>
              <w:rPr>
                <w:rFonts w:cs="Arial"/>
                <w:szCs w:val="18"/>
                <w:lang w:eastAsia="en-AU"/>
              </w:rPr>
              <w:t>1.5</w:t>
            </w:r>
          </w:p>
        </w:tc>
      </w:tr>
      <w:tr w:rsidR="00D71890" w:rsidRPr="00D71890" w14:paraId="3D3A9965" w14:textId="77777777" w:rsidTr="008E75CA">
        <w:trPr>
          <w:trHeight w:val="300"/>
        </w:trPr>
        <w:tc>
          <w:tcPr>
            <w:tcW w:w="3978" w:type="dxa"/>
            <w:tcBorders>
              <w:top w:val="nil"/>
              <w:left w:val="nil"/>
              <w:bottom w:val="single" w:sz="8" w:space="0" w:color="064EA8"/>
              <w:right w:val="nil"/>
            </w:tcBorders>
            <w:shd w:val="clear" w:color="auto" w:fill="auto"/>
            <w:vAlign w:val="center"/>
            <w:hideMark/>
          </w:tcPr>
          <w:p w14:paraId="5586E4B7" w14:textId="77777777" w:rsidR="00D71890" w:rsidRPr="00D71890" w:rsidRDefault="00D71890" w:rsidP="008E75CA">
            <w:pPr>
              <w:spacing w:before="0" w:after="0"/>
              <w:jc w:val="right"/>
              <w:rPr>
                <w:rFonts w:cs="Arial"/>
                <w:b/>
                <w:bCs/>
                <w:szCs w:val="18"/>
                <w:lang w:eastAsia="en-AU"/>
              </w:rPr>
            </w:pPr>
            <w:r w:rsidRPr="00D71890">
              <w:rPr>
                <w:rFonts w:cs="Arial"/>
                <w:b/>
                <w:bCs/>
                <w:szCs w:val="18"/>
                <w:lang w:eastAsia="en-AU"/>
              </w:rPr>
              <w:t xml:space="preserve">Total </w:t>
            </w:r>
          </w:p>
        </w:tc>
        <w:tc>
          <w:tcPr>
            <w:tcW w:w="1086" w:type="dxa"/>
            <w:tcBorders>
              <w:top w:val="nil"/>
              <w:left w:val="nil"/>
              <w:bottom w:val="single" w:sz="8" w:space="0" w:color="064EA8"/>
              <w:right w:val="nil"/>
            </w:tcBorders>
            <w:shd w:val="clear" w:color="auto" w:fill="auto"/>
            <w:vAlign w:val="center"/>
            <w:hideMark/>
          </w:tcPr>
          <w:p w14:paraId="33011C58" w14:textId="6597A989" w:rsidR="00D71890" w:rsidRPr="00D71890" w:rsidRDefault="00D71890" w:rsidP="008E75CA">
            <w:pPr>
              <w:spacing w:before="0" w:after="0"/>
              <w:jc w:val="center"/>
              <w:rPr>
                <w:rFonts w:cs="Arial"/>
                <w:b/>
                <w:bCs/>
                <w:szCs w:val="18"/>
                <w:lang w:eastAsia="en-AU"/>
              </w:rPr>
            </w:pPr>
            <w:r w:rsidRPr="00D71890">
              <w:rPr>
                <w:rFonts w:cs="Arial"/>
                <w:b/>
                <w:bCs/>
                <w:szCs w:val="18"/>
                <w:lang w:eastAsia="en-AU"/>
              </w:rPr>
              <w:t>50%</w:t>
            </w:r>
          </w:p>
        </w:tc>
        <w:tc>
          <w:tcPr>
            <w:tcW w:w="954" w:type="dxa"/>
            <w:tcBorders>
              <w:top w:val="nil"/>
              <w:left w:val="nil"/>
              <w:bottom w:val="single" w:sz="8" w:space="0" w:color="064EA8"/>
              <w:right w:val="nil"/>
            </w:tcBorders>
            <w:shd w:val="clear" w:color="auto" w:fill="auto"/>
            <w:vAlign w:val="center"/>
            <w:hideMark/>
          </w:tcPr>
          <w:p w14:paraId="4CA929F8" w14:textId="77777777" w:rsidR="00D71890" w:rsidRPr="00D71890" w:rsidRDefault="00D71890" w:rsidP="008E75CA">
            <w:pPr>
              <w:spacing w:before="0" w:after="0"/>
              <w:jc w:val="center"/>
              <w:rPr>
                <w:rFonts w:cs="Arial"/>
                <w:b/>
                <w:bCs/>
                <w:szCs w:val="18"/>
                <w:lang w:eastAsia="en-AU"/>
              </w:rPr>
            </w:pPr>
            <w:r w:rsidRPr="00D71890">
              <w:rPr>
                <w:rFonts w:cs="Arial"/>
                <w:b/>
                <w:bCs/>
                <w:szCs w:val="18"/>
                <w:lang w:eastAsia="en-AU"/>
              </w:rPr>
              <w:t> </w:t>
            </w:r>
          </w:p>
        </w:tc>
        <w:tc>
          <w:tcPr>
            <w:tcW w:w="954" w:type="dxa"/>
            <w:tcBorders>
              <w:top w:val="nil"/>
              <w:left w:val="nil"/>
              <w:bottom w:val="single" w:sz="8" w:space="0" w:color="064EA8"/>
              <w:right w:val="nil"/>
            </w:tcBorders>
            <w:shd w:val="clear" w:color="auto" w:fill="auto"/>
            <w:vAlign w:val="center"/>
            <w:hideMark/>
          </w:tcPr>
          <w:p w14:paraId="10BBEC4F" w14:textId="77777777" w:rsidR="00D71890" w:rsidRPr="00D71890" w:rsidRDefault="00D71890" w:rsidP="008E75CA">
            <w:pPr>
              <w:spacing w:before="0" w:after="0"/>
              <w:jc w:val="center"/>
              <w:rPr>
                <w:rFonts w:cs="Arial"/>
                <w:b/>
                <w:bCs/>
                <w:szCs w:val="18"/>
                <w:lang w:eastAsia="en-AU"/>
              </w:rPr>
            </w:pPr>
            <w:r w:rsidRPr="00D71890">
              <w:rPr>
                <w:rFonts w:cs="Arial"/>
                <w:b/>
                <w:bCs/>
                <w:szCs w:val="18"/>
                <w:lang w:eastAsia="en-AU"/>
              </w:rPr>
              <w:t> </w:t>
            </w:r>
          </w:p>
        </w:tc>
        <w:tc>
          <w:tcPr>
            <w:tcW w:w="954" w:type="dxa"/>
            <w:tcBorders>
              <w:top w:val="nil"/>
              <w:left w:val="nil"/>
              <w:bottom w:val="single" w:sz="8" w:space="0" w:color="064EA8"/>
              <w:right w:val="nil"/>
            </w:tcBorders>
            <w:shd w:val="clear" w:color="auto" w:fill="auto"/>
            <w:vAlign w:val="center"/>
            <w:hideMark/>
          </w:tcPr>
          <w:p w14:paraId="146544AE" w14:textId="064FD034" w:rsidR="00D71890" w:rsidRPr="00D71890" w:rsidRDefault="00D71890" w:rsidP="008E75CA">
            <w:pPr>
              <w:spacing w:before="0" w:after="0"/>
              <w:jc w:val="center"/>
              <w:rPr>
                <w:rFonts w:cs="Arial"/>
                <w:b/>
                <w:bCs/>
                <w:szCs w:val="18"/>
                <w:lang w:eastAsia="en-AU"/>
              </w:rPr>
            </w:pPr>
            <w:r w:rsidRPr="00D71890">
              <w:rPr>
                <w:rFonts w:cs="Arial"/>
                <w:b/>
                <w:bCs/>
                <w:szCs w:val="18"/>
                <w:lang w:eastAsia="en-AU"/>
              </w:rPr>
              <w:t>0.</w:t>
            </w:r>
            <w:r w:rsidR="00946163">
              <w:rPr>
                <w:rFonts w:cs="Arial"/>
                <w:b/>
                <w:bCs/>
                <w:szCs w:val="18"/>
                <w:lang w:eastAsia="en-AU"/>
              </w:rPr>
              <w:t>25</w:t>
            </w:r>
          </w:p>
        </w:tc>
        <w:tc>
          <w:tcPr>
            <w:tcW w:w="954" w:type="dxa"/>
            <w:tcBorders>
              <w:top w:val="nil"/>
              <w:left w:val="nil"/>
              <w:bottom w:val="single" w:sz="8" w:space="0" w:color="064EA8"/>
              <w:right w:val="nil"/>
            </w:tcBorders>
            <w:shd w:val="clear" w:color="auto" w:fill="auto"/>
            <w:vAlign w:val="center"/>
            <w:hideMark/>
          </w:tcPr>
          <w:p w14:paraId="0C08809C" w14:textId="0DB19B5E" w:rsidR="00D71890" w:rsidRPr="00D71890" w:rsidRDefault="00D71890" w:rsidP="008E75CA">
            <w:pPr>
              <w:spacing w:before="0" w:after="0"/>
              <w:jc w:val="center"/>
              <w:rPr>
                <w:rFonts w:cs="Arial"/>
                <w:b/>
                <w:bCs/>
                <w:szCs w:val="18"/>
                <w:lang w:eastAsia="en-AU"/>
              </w:rPr>
            </w:pPr>
            <w:r w:rsidRPr="00D71890">
              <w:rPr>
                <w:rFonts w:cs="Arial"/>
                <w:b/>
                <w:bCs/>
                <w:szCs w:val="18"/>
                <w:lang w:eastAsia="en-AU"/>
              </w:rPr>
              <w:t>3.</w:t>
            </w:r>
            <w:r w:rsidR="002C65FC">
              <w:rPr>
                <w:rFonts w:cs="Arial"/>
                <w:b/>
                <w:bCs/>
                <w:szCs w:val="18"/>
                <w:lang w:eastAsia="en-AU"/>
              </w:rPr>
              <w:t>2</w:t>
            </w:r>
            <w:r w:rsidRPr="00D71890">
              <w:rPr>
                <w:rFonts w:cs="Arial"/>
                <w:b/>
                <w:bCs/>
                <w:szCs w:val="18"/>
                <w:lang w:eastAsia="en-AU"/>
              </w:rPr>
              <w:t>5</w:t>
            </w:r>
          </w:p>
        </w:tc>
      </w:tr>
    </w:tbl>
    <w:p w14:paraId="686E9FFE" w14:textId="146D6293" w:rsidR="0024528B" w:rsidRDefault="00CA6A35" w:rsidP="00D50C43">
      <w:pPr>
        <w:pStyle w:val="Heading3"/>
        <w:numPr>
          <w:ilvl w:val="2"/>
          <w:numId w:val="124"/>
        </w:numPr>
      </w:pPr>
      <w:bookmarkStart w:id="383" w:name="_Toc104217720"/>
      <w:bookmarkEnd w:id="380"/>
      <w:r>
        <w:t>Cost to industry</w:t>
      </w:r>
      <w:bookmarkEnd w:id="383"/>
    </w:p>
    <w:p w14:paraId="76FCB20E" w14:textId="78158B53" w:rsidR="0024528B" w:rsidRDefault="00F24E65" w:rsidP="003F70FF">
      <w:pPr>
        <w:pStyle w:val="Heading6"/>
      </w:pPr>
      <w:r>
        <w:t>Option 1</w:t>
      </w:r>
    </w:p>
    <w:p w14:paraId="672544BB" w14:textId="2072BCF2" w:rsidR="003036D9" w:rsidRDefault="003432B7" w:rsidP="0024528B">
      <w:r>
        <w:t xml:space="preserve">Overall, </w:t>
      </w:r>
      <w:r w:rsidR="00F24E65">
        <w:t>Option 1</w:t>
      </w:r>
      <w:r w:rsidR="00201C8C">
        <w:t xml:space="preserve"> is not expected to have any cost implications for industry relative to the base case. As such, </w:t>
      </w:r>
      <w:r w:rsidR="00D2630D">
        <w:t>it has been scored the same as the base case (0).</w:t>
      </w:r>
    </w:p>
    <w:p w14:paraId="48BBA043" w14:textId="686F29AC" w:rsidR="003036D9" w:rsidRDefault="003036D9" w:rsidP="006B33C5">
      <w:pPr>
        <w:pStyle w:val="Heading7"/>
      </w:pPr>
      <w:r>
        <w:t>Mine land registration</w:t>
      </w:r>
    </w:p>
    <w:p w14:paraId="7B2CA777" w14:textId="58D13BB4" w:rsidR="00631542" w:rsidRDefault="004930F4" w:rsidP="0024528B">
      <w:r>
        <w:t xml:space="preserve">The only prescription under </w:t>
      </w:r>
      <w:r w:rsidR="00F24E65">
        <w:t>Option 1</w:t>
      </w:r>
      <w:r>
        <w:t xml:space="preserve"> in relation to the transfer of information upon registration is that documents can be submitted electronically. Beyond this, the requirements are limited to those under the Act. Accordingly, this part of </w:t>
      </w:r>
      <w:r w:rsidR="00F24E65">
        <w:t>Option 1</w:t>
      </w:r>
      <w:r>
        <w:t xml:space="preserve"> is not expected to have any cost implications for industry.</w:t>
      </w:r>
    </w:p>
    <w:p w14:paraId="3E2AA5C6" w14:textId="47303F81" w:rsidR="003036D9" w:rsidRDefault="003036D9" w:rsidP="006B33C5">
      <w:pPr>
        <w:pStyle w:val="Heading7"/>
      </w:pPr>
      <w:r>
        <w:t>Declared Mine Fund contribution</w:t>
      </w:r>
    </w:p>
    <w:p w14:paraId="75176AE6" w14:textId="4A7F2911" w:rsidR="00972C9C" w:rsidRDefault="004930F4" w:rsidP="0024528B">
      <w:r>
        <w:t xml:space="preserve">There is no prescribed process for calculating Fund contributions under </w:t>
      </w:r>
      <w:r w:rsidR="00F24E65">
        <w:t xml:space="preserve">Option </w:t>
      </w:r>
      <w:r w:rsidR="009F3F0C">
        <w:t xml:space="preserve">1. The </w:t>
      </w:r>
      <w:r w:rsidR="006D439C">
        <w:t>department</w:t>
      </w:r>
      <w:r w:rsidR="009F3F0C">
        <w:t xml:space="preserve"> considers that the Minister would convene an advisory committee under Part 4A of the Act to advise on the registration amount, but this process is not prescribed in regulation. As such it would be a matter of discretion, the same as under the base case</w:t>
      </w:r>
      <w:r w:rsidR="00EF1D5C">
        <w:t>.</w:t>
      </w:r>
    </w:p>
    <w:p w14:paraId="174D3EAC" w14:textId="4946A8F6" w:rsidR="004930F4" w:rsidRDefault="004930F4" w:rsidP="0024528B">
      <w:r>
        <w:t>One of the operators submitted a concern that th</w:t>
      </w:r>
      <w:r w:rsidR="00EF1D5C">
        <w:t>e lack of a prescribed method</w:t>
      </w:r>
      <w:r>
        <w:t xml:space="preserve"> ‘provides no certainty to licensees on the extent of post-closure liability’ and thus ‘presents an unacceptable risk’. This</w:t>
      </w:r>
      <w:r w:rsidR="00E046A4">
        <w:t xml:space="preserve"> operator</w:t>
      </w:r>
      <w:r>
        <w:t xml:space="preserve"> also perceived</w:t>
      </w:r>
      <w:r w:rsidR="00E046A4">
        <w:t xml:space="preserve"> this option</w:t>
      </w:r>
      <w:r>
        <w:t xml:space="preserve"> to impede financial management and to create the potential for inconsistent decision-making across declared mines. None of the other operators commented specifically on the options for Fund calculation</w:t>
      </w:r>
      <w:r w:rsidR="00EF1D5C">
        <w:t xml:space="preserve"> regulations. </w:t>
      </w:r>
    </w:p>
    <w:p w14:paraId="0557B6C9" w14:textId="53886C94" w:rsidR="00EF1D5C" w:rsidRDefault="00EF1D5C" w:rsidP="0024528B">
      <w:r>
        <w:lastRenderedPageBreak/>
        <w:t xml:space="preserve">It is considered that costs for operators would arise under both the base case and </w:t>
      </w:r>
      <w:r w:rsidR="00F24E65">
        <w:t>Option 1</w:t>
      </w:r>
      <w:r>
        <w:t xml:space="preserve"> in this respect, as neither provides clarity for licensees about the likely extent of their post-closure liability. </w:t>
      </w:r>
    </w:p>
    <w:p w14:paraId="4CD65043" w14:textId="5C56789B" w:rsidR="00631542" w:rsidRDefault="00F24E65" w:rsidP="003F70FF">
      <w:pPr>
        <w:pStyle w:val="Heading6"/>
      </w:pPr>
      <w:r>
        <w:t>Option 2</w:t>
      </w:r>
    </w:p>
    <w:p w14:paraId="5DAD9FBB" w14:textId="50621268" w:rsidR="003036D9" w:rsidRDefault="00705792" w:rsidP="003036D9">
      <w:r>
        <w:t xml:space="preserve">Overall, </w:t>
      </w:r>
      <w:r w:rsidR="00F24E65">
        <w:t>Option 2</w:t>
      </w:r>
      <w:r>
        <w:t xml:space="preserve"> is </w:t>
      </w:r>
      <w:r w:rsidR="00B87A73">
        <w:t xml:space="preserve">considered to impose less costs on industry relative to the base case, as the increased clarity, and lower risk associated with a prescribed calculation method for the Declared Mine Fund reduces costs for licensees. As such, </w:t>
      </w:r>
      <w:r w:rsidR="00F24E65">
        <w:t>Option 2</w:t>
      </w:r>
      <w:r w:rsidR="00B87A73">
        <w:t xml:space="preserve"> has been scored as slightly positive relative to the base case (1).</w:t>
      </w:r>
    </w:p>
    <w:p w14:paraId="49563B71" w14:textId="77777777" w:rsidR="003036D9" w:rsidRDefault="003036D9" w:rsidP="003036D9">
      <w:pPr>
        <w:pStyle w:val="Heading7"/>
      </w:pPr>
      <w:r>
        <w:t>Mine land registration</w:t>
      </w:r>
    </w:p>
    <w:p w14:paraId="4E0D969B" w14:textId="32B20046" w:rsidR="00631542" w:rsidRDefault="00F24E65" w:rsidP="0024528B">
      <w:r>
        <w:t>Option 2</w:t>
      </w:r>
      <w:r w:rsidR="00B87A73">
        <w:t xml:space="preserve"> requires licensees to provide additional documentation and information for registration. </w:t>
      </w:r>
      <w:r w:rsidR="00EF1D5C">
        <w:t>Preparing th</w:t>
      </w:r>
      <w:r w:rsidR="00A544FE">
        <w:t>e</w:t>
      </w:r>
      <w:r w:rsidR="00B87A73">
        <w:t>s</w:t>
      </w:r>
      <w:r w:rsidR="00A544FE">
        <w:t>e</w:t>
      </w:r>
      <w:r w:rsidR="00EF1D5C">
        <w:t xml:space="preserve"> documents would impose additional costs on licensees compared to the base case</w:t>
      </w:r>
      <w:r w:rsidR="00B87A73">
        <w:t xml:space="preserve">. However, </w:t>
      </w:r>
      <w:r w:rsidR="00EF1D5C">
        <w:t>these</w:t>
      </w:r>
      <w:r w:rsidR="00B87A73">
        <w:t xml:space="preserve"> costs</w:t>
      </w:r>
      <w:r w:rsidR="00EF1D5C">
        <w:t xml:space="preserve"> are not likely to be extensive as the</w:t>
      </w:r>
      <w:r w:rsidR="00B87A73">
        <w:t xml:space="preserve"> documents </w:t>
      </w:r>
      <w:r w:rsidR="00EF1D5C">
        <w:t xml:space="preserve">are limited to records and </w:t>
      </w:r>
      <w:r w:rsidR="003255DA">
        <w:t xml:space="preserve">information </w:t>
      </w:r>
      <w:r w:rsidR="00EF1D5C">
        <w:t>that it is would be kept as part of rehabilitation works</w:t>
      </w:r>
      <w:r w:rsidR="003255DA">
        <w:t xml:space="preserve"> and monitoring</w:t>
      </w:r>
      <w:r w:rsidR="00B87A73">
        <w:t>, rather than creating new information</w:t>
      </w:r>
      <w:r w:rsidR="00EF1D5C">
        <w:t>.</w:t>
      </w:r>
      <w:r w:rsidR="00B87A73">
        <w:t xml:space="preserve"> As such, </w:t>
      </w:r>
      <w:r>
        <w:t>Option 2</w:t>
      </w:r>
      <w:r w:rsidR="00F30800">
        <w:t xml:space="preserve"> would slightly increase costs relative to the base case for this component.</w:t>
      </w:r>
      <w:r w:rsidR="00EF1D5C">
        <w:t xml:space="preserve"> </w:t>
      </w:r>
    </w:p>
    <w:p w14:paraId="29391A42" w14:textId="77777777" w:rsidR="003036D9" w:rsidRDefault="003036D9" w:rsidP="003036D9">
      <w:pPr>
        <w:pStyle w:val="Heading7"/>
      </w:pPr>
      <w:r>
        <w:t>Declared Mine Fund contribution</w:t>
      </w:r>
    </w:p>
    <w:p w14:paraId="4488C31B" w14:textId="28BC9D31" w:rsidR="00EF1D5C" w:rsidRDefault="00F24E65" w:rsidP="0024528B">
      <w:r>
        <w:t>Option 2</w:t>
      </w:r>
      <w:r w:rsidR="00F30800">
        <w:t xml:space="preserve"> prescribes a calculation method </w:t>
      </w:r>
      <w:r w:rsidR="0031478A">
        <w:t xml:space="preserve">for contributions to the Declared Mine Fund. In relation to this, </w:t>
      </w:r>
      <w:r w:rsidR="00EF1D5C">
        <w:t>o</w:t>
      </w:r>
      <w:r w:rsidR="004930F4">
        <w:t xml:space="preserve">ne of the operators expressed a preference for </w:t>
      </w:r>
      <w:r>
        <w:t>Option 2</w:t>
      </w:r>
      <w:r w:rsidR="004930F4">
        <w:t xml:space="preserve"> because it </w:t>
      </w:r>
      <w:r w:rsidR="003255DA">
        <w:t xml:space="preserve">provides </w:t>
      </w:r>
      <w:r w:rsidR="004930F4">
        <w:t xml:space="preserve">licensees with ‘the certainty they need to effectively manage their exposure’. This operator felt that a more prescriptive approach that indicates the period that the contribution would be expected to cover would be even better from this perspective. </w:t>
      </w:r>
    </w:p>
    <w:p w14:paraId="4CC92C79" w14:textId="4E882559" w:rsidR="000F7ED3" w:rsidRDefault="00EF1D5C" w:rsidP="0024528B">
      <w:r>
        <w:t xml:space="preserve">It is considered that the aspect of </w:t>
      </w:r>
      <w:r w:rsidR="00F24E65">
        <w:t>Option 2</w:t>
      </w:r>
      <w:r>
        <w:t xml:space="preserve"> relating to the contribution amounts would lead to lower costs for operators compared to the base case</w:t>
      </w:r>
      <w:r w:rsidR="000F7ED3">
        <w:t>,</w:t>
      </w:r>
      <w:r>
        <w:t xml:space="preserve"> by</w:t>
      </w:r>
      <w:r w:rsidR="000F7ED3">
        <w:t>:</w:t>
      </w:r>
    </w:p>
    <w:p w14:paraId="5494A1F6" w14:textId="2B022DA1" w:rsidR="000F7ED3" w:rsidRDefault="00924E72" w:rsidP="000F7ED3">
      <w:pPr>
        <w:pStyle w:val="dotpoints"/>
      </w:pPr>
      <w:r>
        <w:t>P</w:t>
      </w:r>
      <w:r w:rsidR="00EF1D5C">
        <w:t>roviding increased certainty to operators</w:t>
      </w:r>
      <w:r w:rsidR="000F7ED3">
        <w:t xml:space="preserve"> around the calculation of the contribution amount</w:t>
      </w:r>
      <w:r w:rsidR="008833CA">
        <w:t>; and</w:t>
      </w:r>
    </w:p>
    <w:p w14:paraId="77F3B429" w14:textId="66895496" w:rsidR="008833CA" w:rsidRDefault="00924E72" w:rsidP="000F7ED3">
      <w:pPr>
        <w:pStyle w:val="dotpoints"/>
      </w:pPr>
      <w:r>
        <w:t>R</w:t>
      </w:r>
      <w:r w:rsidR="0031478A">
        <w:t>educing risk</w:t>
      </w:r>
      <w:r w:rsidR="008833CA">
        <w:t xml:space="preserve"> as to the extent of post-closure liability</w:t>
      </w:r>
      <w:r>
        <w:t xml:space="preserve">, as operators </w:t>
      </w:r>
      <w:r w:rsidR="00FD12E6">
        <w:t xml:space="preserve">can anticipate the liability and manage finances </w:t>
      </w:r>
      <w:r w:rsidR="00435E1A">
        <w:t>in anticipation of the future liability</w:t>
      </w:r>
      <w:r w:rsidR="008833CA">
        <w:t>.</w:t>
      </w:r>
    </w:p>
    <w:p w14:paraId="452E79F2" w14:textId="1C2F5AB4" w:rsidR="00EF1D5C" w:rsidRDefault="004D3E1C">
      <w:r>
        <w:t xml:space="preserve">As such, this component of </w:t>
      </w:r>
      <w:r w:rsidR="00F24E65">
        <w:t>Option 2</w:t>
      </w:r>
      <w:r>
        <w:t xml:space="preserve"> is considered to be slightly positive relative to the base case</w:t>
      </w:r>
      <w:r w:rsidR="00EF1D5C">
        <w:t xml:space="preserve">. </w:t>
      </w:r>
    </w:p>
    <w:p w14:paraId="0E26BB1E" w14:textId="10F28C01" w:rsidR="00631542" w:rsidRDefault="00631542" w:rsidP="003F70FF">
      <w:pPr>
        <w:pStyle w:val="Heading6"/>
      </w:pPr>
      <w:r>
        <w:t>Cost to industry scores</w:t>
      </w:r>
    </w:p>
    <w:p w14:paraId="43F1B218" w14:textId="6E297B0B" w:rsidR="00EF1D5C" w:rsidRDefault="00EF1D5C" w:rsidP="00EF1D5C">
      <w:r>
        <w:fldChar w:fldCharType="begin"/>
      </w:r>
      <w:r>
        <w:instrText xml:space="preserve"> REF _Ref55486729 \h </w:instrText>
      </w:r>
      <w:r>
        <w:fldChar w:fldCharType="separate"/>
      </w:r>
      <w:r w:rsidR="000B3BF6">
        <w:t xml:space="preserve">Table </w:t>
      </w:r>
      <w:r w:rsidR="000B3BF6">
        <w:rPr>
          <w:noProof/>
        </w:rPr>
        <w:t>19</w:t>
      </w:r>
      <w:r>
        <w:fldChar w:fldCharType="end"/>
      </w:r>
      <w:r>
        <w:t xml:space="preserve"> sets out the scores allocated to </w:t>
      </w:r>
      <w:r w:rsidR="00F24E65">
        <w:t>Option 1</w:t>
      </w:r>
      <w:r>
        <w:t xml:space="preserve"> and 2 against the cost to industry criterion. </w:t>
      </w:r>
      <w:r w:rsidR="00F24E65">
        <w:t>Option 1</w:t>
      </w:r>
      <w:r w:rsidR="00D10E9E">
        <w:t xml:space="preserve"> does not impose additional obligations with re</w:t>
      </w:r>
      <w:r w:rsidR="00630657">
        <w:t>gar</w:t>
      </w:r>
      <w:r w:rsidR="00D10E9E">
        <w:t xml:space="preserve">d to mine closure determinations and the </w:t>
      </w:r>
      <w:r w:rsidR="00630657">
        <w:t xml:space="preserve">declared mine fund, therefore </w:t>
      </w:r>
      <w:r w:rsidR="00A544FE">
        <w:t xml:space="preserve">it </w:t>
      </w:r>
      <w:r w:rsidR="00630657">
        <w:t xml:space="preserve">is </w:t>
      </w:r>
      <w:r>
        <w:t xml:space="preserve">equivalent to the base case, whereas </w:t>
      </w:r>
      <w:r w:rsidR="00F24E65">
        <w:t>Option 2</w:t>
      </w:r>
      <w:r>
        <w:t xml:space="preserve"> is considered to lead to lower costs overall. While </w:t>
      </w:r>
      <w:r w:rsidR="00F24E65">
        <w:t>Option 2</w:t>
      </w:r>
      <w:r>
        <w:t xml:space="preserve"> would impose </w:t>
      </w:r>
      <w:r w:rsidR="00706B75">
        <w:t xml:space="preserve">some extra costs through requiring licensees to provide more information and documents, this is considered to be outweighed by the cost savings resulting from greater certainty about the extent of post-closure liability. </w:t>
      </w:r>
    </w:p>
    <w:p w14:paraId="6C53851B" w14:textId="674D8BF4" w:rsidR="00EF1D5C" w:rsidRDefault="00EF1D5C" w:rsidP="00EF1D5C">
      <w:pPr>
        <w:pStyle w:val="Caption"/>
      </w:pPr>
      <w:bookmarkStart w:id="384" w:name="_Ref55486729"/>
      <w:bookmarkStart w:id="385" w:name="_Toc104217635"/>
      <w:r>
        <w:t xml:space="preserve">Table </w:t>
      </w:r>
      <w:r>
        <w:fldChar w:fldCharType="begin"/>
      </w:r>
      <w:r>
        <w:instrText>SEQ Table \* ARABIC</w:instrText>
      </w:r>
      <w:r>
        <w:fldChar w:fldCharType="separate"/>
      </w:r>
      <w:r w:rsidR="000B3BF6">
        <w:rPr>
          <w:noProof/>
        </w:rPr>
        <w:t>19</w:t>
      </w:r>
      <w:r>
        <w:fldChar w:fldCharType="end"/>
      </w:r>
      <w:bookmarkEnd w:id="384"/>
      <w:r w:rsidR="00DB5B8E">
        <w:rPr>
          <w:noProof/>
        </w:rPr>
        <w:t>:</w:t>
      </w:r>
      <w:r>
        <w:t xml:space="preserve"> Cost to industry scores - mine land registration</w:t>
      </w:r>
      <w:bookmarkEnd w:id="385"/>
    </w:p>
    <w:tbl>
      <w:tblPr>
        <w:tblStyle w:val="TableGrid"/>
        <w:tblW w:w="5000" w:type="pct"/>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CellMar>
          <w:top w:w="28" w:type="dxa"/>
          <w:bottom w:w="28" w:type="dxa"/>
        </w:tblCellMar>
        <w:tblLook w:val="04A0" w:firstRow="1" w:lastRow="0" w:firstColumn="1" w:lastColumn="0" w:noHBand="0" w:noVBand="1"/>
        <w:tblCaption w:val="Table heading"/>
      </w:tblPr>
      <w:tblGrid>
        <w:gridCol w:w="4562"/>
        <w:gridCol w:w="1489"/>
        <w:gridCol w:w="1489"/>
        <w:gridCol w:w="1486"/>
      </w:tblGrid>
      <w:tr w:rsidR="00D71890" w:rsidRPr="00D51674" w14:paraId="0EE4EFF4" w14:textId="77777777" w:rsidTr="008E75CA">
        <w:trPr>
          <w:tblHeader/>
        </w:trPr>
        <w:tc>
          <w:tcPr>
            <w:tcW w:w="2527" w:type="pct"/>
            <w:shd w:val="clear" w:color="auto" w:fill="1B0B38"/>
            <w:vAlign w:val="center"/>
          </w:tcPr>
          <w:p w14:paraId="18BD0C16" w14:textId="77777777" w:rsidR="00D71890" w:rsidRPr="00BA70A6" w:rsidRDefault="00D71890" w:rsidP="008E75CA">
            <w:pPr>
              <w:spacing w:before="0"/>
              <w:rPr>
                <w:rStyle w:val="Strong"/>
                <w:color w:val="FFFFFF" w:themeColor="background1"/>
              </w:rPr>
            </w:pPr>
            <w:r>
              <w:rPr>
                <w:rStyle w:val="Strong"/>
                <w:color w:val="FFFFFF" w:themeColor="background1"/>
              </w:rPr>
              <w:t>Option</w:t>
            </w:r>
          </w:p>
        </w:tc>
        <w:tc>
          <w:tcPr>
            <w:tcW w:w="825" w:type="pct"/>
            <w:shd w:val="clear" w:color="auto" w:fill="1B0B38"/>
            <w:vAlign w:val="center"/>
          </w:tcPr>
          <w:p w14:paraId="27857146" w14:textId="77777777" w:rsidR="00D71890" w:rsidRDefault="00D71890" w:rsidP="008E75CA">
            <w:pPr>
              <w:spacing w:before="0"/>
              <w:jc w:val="center"/>
              <w:rPr>
                <w:rStyle w:val="Strong"/>
                <w:color w:val="FFFFFF" w:themeColor="background1"/>
              </w:rPr>
            </w:pPr>
            <w:r>
              <w:rPr>
                <w:rStyle w:val="Strong"/>
                <w:color w:val="FFFFFF" w:themeColor="background1"/>
              </w:rPr>
              <w:t>W</w:t>
            </w:r>
            <w:r w:rsidRPr="0074315C">
              <w:rPr>
                <w:rStyle w:val="Strong"/>
                <w:color w:val="FFFFFF" w:themeColor="background1"/>
              </w:rPr>
              <w:t>eighting</w:t>
            </w:r>
          </w:p>
        </w:tc>
        <w:tc>
          <w:tcPr>
            <w:tcW w:w="825" w:type="pct"/>
            <w:shd w:val="clear" w:color="auto" w:fill="1B0B38"/>
            <w:vAlign w:val="center"/>
          </w:tcPr>
          <w:p w14:paraId="455756A2" w14:textId="77777777" w:rsidR="00D71890" w:rsidRPr="00BA70A6" w:rsidRDefault="00D71890" w:rsidP="008E75CA">
            <w:pPr>
              <w:spacing w:before="0"/>
              <w:jc w:val="center"/>
              <w:rPr>
                <w:rStyle w:val="Strong"/>
                <w:color w:val="FFFFFF" w:themeColor="background1"/>
              </w:rPr>
            </w:pPr>
            <w:r>
              <w:rPr>
                <w:rStyle w:val="Strong"/>
                <w:color w:val="FFFFFF" w:themeColor="background1"/>
              </w:rPr>
              <w:t>Unweighted score</w:t>
            </w:r>
          </w:p>
        </w:tc>
        <w:tc>
          <w:tcPr>
            <w:tcW w:w="823" w:type="pct"/>
            <w:shd w:val="clear" w:color="auto" w:fill="1B0B38"/>
            <w:vAlign w:val="center"/>
          </w:tcPr>
          <w:p w14:paraId="42A35447" w14:textId="77777777" w:rsidR="00D71890" w:rsidRDefault="00D71890" w:rsidP="008E75CA">
            <w:pPr>
              <w:spacing w:before="0"/>
              <w:jc w:val="center"/>
              <w:rPr>
                <w:rStyle w:val="Strong"/>
                <w:color w:val="FFFFFF" w:themeColor="background1"/>
              </w:rPr>
            </w:pPr>
            <w:r>
              <w:rPr>
                <w:rStyle w:val="Strong"/>
                <w:color w:val="FFFFFF" w:themeColor="background1"/>
              </w:rPr>
              <w:t>W</w:t>
            </w:r>
            <w:r w:rsidRPr="0074315C">
              <w:rPr>
                <w:rStyle w:val="Strong"/>
                <w:color w:val="FFFFFF" w:themeColor="background1"/>
              </w:rPr>
              <w:t>eighted score</w:t>
            </w:r>
          </w:p>
        </w:tc>
      </w:tr>
      <w:tr w:rsidR="001339AE" w:rsidRPr="00D51674" w14:paraId="42AE2BF4" w14:textId="77777777" w:rsidTr="008E75CA">
        <w:trPr>
          <w:trHeight w:val="283"/>
        </w:trPr>
        <w:tc>
          <w:tcPr>
            <w:tcW w:w="2527" w:type="pct"/>
            <w:tcBorders>
              <w:bottom w:val="single" w:sz="4" w:space="0" w:color="1B0B38"/>
            </w:tcBorders>
            <w:vAlign w:val="center"/>
          </w:tcPr>
          <w:p w14:paraId="7FD6140A" w14:textId="026DBCBE" w:rsidR="001339AE" w:rsidRPr="00D51674" w:rsidRDefault="001339AE" w:rsidP="001339AE">
            <w:pPr>
              <w:spacing w:before="0"/>
            </w:pPr>
            <w:r>
              <w:t>Option 1</w:t>
            </w:r>
          </w:p>
        </w:tc>
        <w:tc>
          <w:tcPr>
            <w:tcW w:w="825" w:type="pct"/>
            <w:tcBorders>
              <w:bottom w:val="single" w:sz="4" w:space="0" w:color="1B0B38"/>
            </w:tcBorders>
            <w:vAlign w:val="center"/>
          </w:tcPr>
          <w:p w14:paraId="52CBD0DF" w14:textId="71A21699" w:rsidR="001339AE" w:rsidRDefault="001339AE" w:rsidP="001339AE">
            <w:pPr>
              <w:spacing w:before="0"/>
              <w:jc w:val="center"/>
            </w:pPr>
            <w:r>
              <w:t>25%</w:t>
            </w:r>
          </w:p>
        </w:tc>
        <w:tc>
          <w:tcPr>
            <w:tcW w:w="825" w:type="pct"/>
            <w:tcBorders>
              <w:bottom w:val="single" w:sz="4" w:space="0" w:color="1B0B38"/>
            </w:tcBorders>
            <w:vAlign w:val="center"/>
          </w:tcPr>
          <w:p w14:paraId="7018E3FC" w14:textId="5FD543F7" w:rsidR="001339AE" w:rsidRPr="00D51674" w:rsidRDefault="001339AE" w:rsidP="001339AE">
            <w:pPr>
              <w:spacing w:before="0"/>
              <w:jc w:val="center"/>
            </w:pPr>
            <w:r>
              <w:t>0</w:t>
            </w:r>
          </w:p>
        </w:tc>
        <w:tc>
          <w:tcPr>
            <w:tcW w:w="823" w:type="pct"/>
            <w:tcBorders>
              <w:bottom w:val="single" w:sz="4" w:space="0" w:color="1B0B38"/>
            </w:tcBorders>
            <w:vAlign w:val="center"/>
          </w:tcPr>
          <w:p w14:paraId="05EF26BF" w14:textId="2E4D50FB" w:rsidR="001339AE" w:rsidRDefault="001339AE" w:rsidP="001339AE">
            <w:pPr>
              <w:spacing w:before="0"/>
              <w:jc w:val="center"/>
            </w:pPr>
            <w:r>
              <w:rPr>
                <w:rFonts w:cs="Arial"/>
                <w:szCs w:val="18"/>
              </w:rPr>
              <w:t>0</w:t>
            </w:r>
          </w:p>
        </w:tc>
      </w:tr>
      <w:tr w:rsidR="001339AE" w:rsidRPr="006043AB" w14:paraId="47075BC1" w14:textId="77777777" w:rsidTr="008E75CA">
        <w:trPr>
          <w:trHeight w:val="283"/>
        </w:trPr>
        <w:tc>
          <w:tcPr>
            <w:tcW w:w="2527" w:type="pct"/>
            <w:tcBorders>
              <w:top w:val="single" w:sz="4" w:space="0" w:color="1B0B38"/>
              <w:bottom w:val="single" w:sz="4" w:space="0" w:color="1B0B38"/>
            </w:tcBorders>
            <w:vAlign w:val="center"/>
          </w:tcPr>
          <w:p w14:paraId="2ED8FCD1" w14:textId="774D46EE" w:rsidR="001339AE" w:rsidRPr="00D8367F" w:rsidRDefault="001339AE" w:rsidP="001339AE">
            <w:pPr>
              <w:spacing w:before="0"/>
              <w:rPr>
                <w:rStyle w:val="Strong"/>
                <w:b w:val="0"/>
                <w:bCs w:val="0"/>
              </w:rPr>
            </w:pPr>
            <w:r>
              <w:rPr>
                <w:rStyle w:val="Strong"/>
                <w:b w:val="0"/>
                <w:bCs w:val="0"/>
              </w:rPr>
              <w:t>Option 2</w:t>
            </w:r>
          </w:p>
        </w:tc>
        <w:tc>
          <w:tcPr>
            <w:tcW w:w="825" w:type="pct"/>
            <w:tcBorders>
              <w:top w:val="single" w:sz="4" w:space="0" w:color="1B0B38"/>
              <w:bottom w:val="single" w:sz="4" w:space="0" w:color="1B0B38"/>
            </w:tcBorders>
            <w:vAlign w:val="center"/>
          </w:tcPr>
          <w:p w14:paraId="5567BB36" w14:textId="0FB0D595" w:rsidR="001339AE" w:rsidRDefault="001339AE" w:rsidP="001339AE">
            <w:pPr>
              <w:spacing w:before="0"/>
              <w:jc w:val="center"/>
              <w:rPr>
                <w:rStyle w:val="Strong"/>
                <w:b w:val="0"/>
                <w:bCs w:val="0"/>
              </w:rPr>
            </w:pPr>
            <w:r>
              <w:rPr>
                <w:rStyle w:val="Strong"/>
                <w:b w:val="0"/>
                <w:bCs w:val="0"/>
              </w:rPr>
              <w:t>25%</w:t>
            </w:r>
          </w:p>
        </w:tc>
        <w:tc>
          <w:tcPr>
            <w:tcW w:w="825" w:type="pct"/>
            <w:tcBorders>
              <w:top w:val="single" w:sz="4" w:space="0" w:color="1B0B38"/>
              <w:bottom w:val="single" w:sz="4" w:space="0" w:color="1B0B38"/>
            </w:tcBorders>
            <w:vAlign w:val="center"/>
          </w:tcPr>
          <w:p w14:paraId="0785E5EE" w14:textId="35B9A7FE" w:rsidR="001339AE" w:rsidRPr="00D8367F" w:rsidRDefault="001339AE" w:rsidP="001339AE">
            <w:pPr>
              <w:spacing w:before="0"/>
              <w:jc w:val="center"/>
              <w:rPr>
                <w:rStyle w:val="Strong"/>
                <w:b w:val="0"/>
                <w:bCs w:val="0"/>
              </w:rPr>
            </w:pPr>
            <w:r>
              <w:rPr>
                <w:rStyle w:val="Strong"/>
                <w:b w:val="0"/>
                <w:bCs w:val="0"/>
              </w:rPr>
              <w:t>1</w:t>
            </w:r>
          </w:p>
        </w:tc>
        <w:tc>
          <w:tcPr>
            <w:tcW w:w="823" w:type="pct"/>
            <w:tcBorders>
              <w:top w:val="single" w:sz="4" w:space="0" w:color="1B0B38"/>
              <w:bottom w:val="single" w:sz="4" w:space="0" w:color="1B0B38"/>
            </w:tcBorders>
            <w:vAlign w:val="center"/>
          </w:tcPr>
          <w:p w14:paraId="36D290BC" w14:textId="0DFE7712" w:rsidR="001339AE" w:rsidRPr="0074315C" w:rsidRDefault="001339AE" w:rsidP="001339AE">
            <w:pPr>
              <w:spacing w:before="0"/>
              <w:jc w:val="center"/>
              <w:rPr>
                <w:rStyle w:val="Strong"/>
                <w:b w:val="0"/>
                <w:bCs w:val="0"/>
              </w:rPr>
            </w:pPr>
            <w:r>
              <w:rPr>
                <w:szCs w:val="18"/>
              </w:rPr>
              <w:t>0.25</w:t>
            </w:r>
          </w:p>
        </w:tc>
      </w:tr>
    </w:tbl>
    <w:p w14:paraId="5CAB4EF2" w14:textId="5460FE00" w:rsidR="00B0074A" w:rsidRDefault="00B0074A" w:rsidP="00D50C43">
      <w:pPr>
        <w:pStyle w:val="Heading3"/>
        <w:numPr>
          <w:ilvl w:val="2"/>
          <w:numId w:val="124"/>
        </w:numPr>
      </w:pPr>
      <w:bookmarkStart w:id="386" w:name="_Toc104217721"/>
      <w:r>
        <w:t>Cost to government</w:t>
      </w:r>
      <w:bookmarkEnd w:id="386"/>
    </w:p>
    <w:p w14:paraId="15BF8272" w14:textId="4826BA6E" w:rsidR="00B0074A" w:rsidRDefault="00F24E65" w:rsidP="003F70FF">
      <w:pPr>
        <w:pStyle w:val="Heading6"/>
      </w:pPr>
      <w:r>
        <w:t>Option 1</w:t>
      </w:r>
    </w:p>
    <w:p w14:paraId="2A050478" w14:textId="527C1D08" w:rsidR="00D30ADF" w:rsidRDefault="00A9778F" w:rsidP="00EF1D5C">
      <w:r>
        <w:t xml:space="preserve">Overall, </w:t>
      </w:r>
      <w:r w:rsidR="00F24E65">
        <w:t>Option 1</w:t>
      </w:r>
      <w:r>
        <w:t xml:space="preserve"> </w:t>
      </w:r>
      <w:r w:rsidR="00AA1409">
        <w:t xml:space="preserve">is not considered to impose any extra costs to government compared to the base case, as there is no prescribed process or materials required from licensees at registration, and no prescribed process for calculating the Fund contribution amount. As such, </w:t>
      </w:r>
      <w:r w:rsidR="00F76890">
        <w:t>is has been scored equivalent to the base case (0).</w:t>
      </w:r>
    </w:p>
    <w:p w14:paraId="08A4F5DE" w14:textId="77777777" w:rsidR="00D30ADF" w:rsidRDefault="00D30ADF" w:rsidP="00D30ADF">
      <w:pPr>
        <w:pStyle w:val="Heading7"/>
      </w:pPr>
      <w:r>
        <w:t>Mine land registration</w:t>
      </w:r>
    </w:p>
    <w:p w14:paraId="75C8D6D1" w14:textId="456A085E" w:rsidR="00B0074A" w:rsidRDefault="00D12D7E" w:rsidP="00EF1D5C">
      <w:r>
        <w:t xml:space="preserve">Under </w:t>
      </w:r>
      <w:r w:rsidR="00F24E65">
        <w:t>Option 1</w:t>
      </w:r>
      <w:r>
        <w:t xml:space="preserve">, </w:t>
      </w:r>
      <w:r w:rsidR="00E85EA5">
        <w:t xml:space="preserve">there are no prescribed processes or materials required from licensees at registration, meaning that there would be no extra costs imposed on government under this part of </w:t>
      </w:r>
      <w:r w:rsidR="00F24E65">
        <w:t>Option 1</w:t>
      </w:r>
      <w:r w:rsidR="00E85EA5">
        <w:t xml:space="preserve"> compared to the base case.</w:t>
      </w:r>
    </w:p>
    <w:p w14:paraId="295CBD65" w14:textId="77777777" w:rsidR="00D30ADF" w:rsidRDefault="00D30ADF" w:rsidP="00D30ADF">
      <w:pPr>
        <w:pStyle w:val="Heading7"/>
      </w:pPr>
      <w:r>
        <w:lastRenderedPageBreak/>
        <w:t>Declared Mine Fund contribution</w:t>
      </w:r>
    </w:p>
    <w:p w14:paraId="446C1184" w14:textId="13016617" w:rsidR="00E85EA5" w:rsidRDefault="00E85EA5" w:rsidP="00EF1D5C">
      <w:r>
        <w:t xml:space="preserve">There would be no prescribed process for calculating the Fund contribution amount under </w:t>
      </w:r>
      <w:r w:rsidR="00F24E65">
        <w:t>Option 1</w:t>
      </w:r>
      <w:r>
        <w:t>. The Minister would convene an advisory committee to advise on an appropriate amount, which would involve costs for government, but this would not be prescribed in the regulations and hence falls outside the scope of this assessment.</w:t>
      </w:r>
      <w:r w:rsidR="00D30ADF">
        <w:t xml:space="preserve"> As such, </w:t>
      </w:r>
      <w:r w:rsidR="00F24E65">
        <w:t>Option 1</w:t>
      </w:r>
      <w:r>
        <w:t xml:space="preserve"> is not considered to impose any extra costs to government compared to the base case.</w:t>
      </w:r>
    </w:p>
    <w:p w14:paraId="7A364606" w14:textId="28475979" w:rsidR="00B0074A" w:rsidRDefault="00F24E65" w:rsidP="003F70FF">
      <w:pPr>
        <w:pStyle w:val="Heading6"/>
      </w:pPr>
      <w:r>
        <w:t>Option 2</w:t>
      </w:r>
    </w:p>
    <w:p w14:paraId="2B646D83" w14:textId="40C7A689" w:rsidR="00D30ADF" w:rsidRDefault="00F76890" w:rsidP="00D30ADF">
      <w:r>
        <w:t xml:space="preserve">Overall, </w:t>
      </w:r>
      <w:r w:rsidR="00F24E65">
        <w:t>Option 2</w:t>
      </w:r>
      <w:r>
        <w:t xml:space="preserve"> will lead to a small increase in costs for government due to the calculation of the post closure liability</w:t>
      </w:r>
      <w:r w:rsidR="00233E51">
        <w:t xml:space="preserve">, and additional information provided by licensees at registration. As such, it has been scored as slightly </w:t>
      </w:r>
      <w:r w:rsidR="00B84BB6">
        <w:t>negative (-1) compared to the base case.</w:t>
      </w:r>
    </w:p>
    <w:p w14:paraId="0392B27B" w14:textId="77777777" w:rsidR="00D30ADF" w:rsidRDefault="00D30ADF" w:rsidP="00D30ADF">
      <w:pPr>
        <w:pStyle w:val="Heading7"/>
      </w:pPr>
      <w:r>
        <w:t>Mine land registration</w:t>
      </w:r>
    </w:p>
    <w:p w14:paraId="55CF95BA" w14:textId="0478C230" w:rsidR="00B84BB6" w:rsidRPr="006510C8" w:rsidRDefault="00F24E65" w:rsidP="006B33C5">
      <w:r>
        <w:t>Option 2</w:t>
      </w:r>
      <w:r w:rsidR="00B84BB6">
        <w:t xml:space="preserve"> prescribes additional information </w:t>
      </w:r>
      <w:r w:rsidR="000F484A">
        <w:t>licensees are required to submit upon the registration of their declared mine land. It also prescribes a procedure for the Authority to follow in registering declared mine land.</w:t>
      </w:r>
    </w:p>
    <w:p w14:paraId="511A970E" w14:textId="4CF8AC6E" w:rsidR="00B0074A" w:rsidRDefault="00E85EA5" w:rsidP="00EF1D5C">
      <w:r>
        <w:t xml:space="preserve">There may be a small amount of extra effort involved under </w:t>
      </w:r>
      <w:r w:rsidR="00F24E65">
        <w:t>Option 2</w:t>
      </w:r>
      <w:r w:rsidR="000F484A">
        <w:t xml:space="preserve"> relative to the base case</w:t>
      </w:r>
      <w:r>
        <w:t xml:space="preserve"> in checking that operators have provided all the required documents and information upon registration, and in registering those materials. </w:t>
      </w:r>
      <w:r w:rsidR="00E53F21">
        <w:t>As such, this component is considered slightly more costly than the base case.</w:t>
      </w:r>
    </w:p>
    <w:p w14:paraId="6CEED75F" w14:textId="77777777" w:rsidR="00D30ADF" w:rsidRDefault="00D30ADF" w:rsidP="00D30ADF">
      <w:pPr>
        <w:pStyle w:val="Heading7"/>
      </w:pPr>
      <w:r>
        <w:t>Declared Mine Fund contribution</w:t>
      </w:r>
    </w:p>
    <w:p w14:paraId="0B679C88" w14:textId="17393A64" w:rsidR="00E85EA5" w:rsidRDefault="00F24E65" w:rsidP="00EF1D5C">
      <w:r>
        <w:t>Option 2</w:t>
      </w:r>
      <w:r w:rsidR="00E53F21">
        <w:t xml:space="preserve"> prescribes a method for the calculation of the fund contribution. </w:t>
      </w:r>
      <w:r w:rsidR="00E85EA5">
        <w:t xml:space="preserve">There </w:t>
      </w:r>
      <w:r w:rsidR="00B81076">
        <w:t xml:space="preserve">could </w:t>
      </w:r>
      <w:r w:rsidR="00E85EA5">
        <w:t xml:space="preserve">be </w:t>
      </w:r>
      <w:r w:rsidR="00B81076">
        <w:t xml:space="preserve">additional </w:t>
      </w:r>
      <w:r w:rsidR="00E85EA5">
        <w:t>effort involved for government in calculating and, potentially, negotiating on the contribution amount to the Fund</w:t>
      </w:r>
      <w:r w:rsidR="00B81076">
        <w:t xml:space="preserve"> relative to the base case</w:t>
      </w:r>
      <w:r w:rsidR="00E85EA5">
        <w:t>. It is difficult to determine the magnitude of these costs,</w:t>
      </w:r>
      <w:r w:rsidR="00373A93">
        <w:t xml:space="preserve"> as an amount is required to be determined under both the base case and </w:t>
      </w:r>
      <w:r>
        <w:t>Option 2</w:t>
      </w:r>
      <w:r w:rsidR="00373A93">
        <w:t xml:space="preserve">. However, the prescribed calculation method is expected to be more </w:t>
      </w:r>
      <w:r w:rsidR="0016359E">
        <w:t xml:space="preserve">time consuming, and the related costs </w:t>
      </w:r>
      <w:r w:rsidR="00E85EA5">
        <w:t xml:space="preserve">are considered likely to be not insignificant given that the process would involve assessing whether the adverse failure amount proposed by the licensee would be sufficient </w:t>
      </w:r>
      <w:r w:rsidR="00A564EA">
        <w:t>and</w:t>
      </w:r>
      <w:r w:rsidR="00E85EA5">
        <w:t xml:space="preserve"> acceptable.</w:t>
      </w:r>
    </w:p>
    <w:p w14:paraId="4E9E1EB9" w14:textId="4D5DE609" w:rsidR="00E85EA5" w:rsidRDefault="00E85EA5" w:rsidP="00EF1D5C">
      <w:r>
        <w:t xml:space="preserve">It is considered that </w:t>
      </w:r>
      <w:r w:rsidR="00F24E65">
        <w:t>Option 2</w:t>
      </w:r>
      <w:r>
        <w:t xml:space="preserve"> would </w:t>
      </w:r>
      <w:r w:rsidR="00B9455F">
        <w:t>lead to</w:t>
      </w:r>
      <w:r w:rsidR="0016359E">
        <w:t xml:space="preserve"> slightly</w:t>
      </w:r>
      <w:r w:rsidR="00B9455F">
        <w:t xml:space="preserve"> higher costs for government compared to the base case, due to the </w:t>
      </w:r>
      <w:r w:rsidR="002653E6">
        <w:t>calculation of the post closure liability</w:t>
      </w:r>
      <w:r w:rsidR="0016359E">
        <w:t xml:space="preserve"> following the prescribed method</w:t>
      </w:r>
      <w:r w:rsidR="002471B5">
        <w:t>.</w:t>
      </w:r>
      <w:r w:rsidR="002653E6">
        <w:t xml:space="preserve"> </w:t>
      </w:r>
      <w:r w:rsidR="00B9455F">
        <w:t xml:space="preserve"> </w:t>
      </w:r>
    </w:p>
    <w:p w14:paraId="1E957DE7" w14:textId="1BFAFCCD" w:rsidR="00B0074A" w:rsidRDefault="00B0074A" w:rsidP="003F70FF">
      <w:pPr>
        <w:pStyle w:val="Heading6"/>
      </w:pPr>
      <w:r>
        <w:t>Cost to government scores</w:t>
      </w:r>
    </w:p>
    <w:p w14:paraId="7DD7B259" w14:textId="126A36E2" w:rsidR="002471B5" w:rsidRDefault="00B9530A" w:rsidP="002471B5">
      <w:r>
        <w:fldChar w:fldCharType="begin"/>
      </w:r>
      <w:r>
        <w:instrText xml:space="preserve"> REF _Ref56589548 \h </w:instrText>
      </w:r>
      <w:r>
        <w:fldChar w:fldCharType="separate"/>
      </w:r>
      <w:r w:rsidR="000B3BF6">
        <w:t xml:space="preserve">Table </w:t>
      </w:r>
      <w:r w:rsidR="000B3BF6">
        <w:rPr>
          <w:noProof/>
        </w:rPr>
        <w:t>20</w:t>
      </w:r>
      <w:r>
        <w:fldChar w:fldCharType="end"/>
      </w:r>
      <w:r>
        <w:t xml:space="preserve"> </w:t>
      </w:r>
      <w:r w:rsidR="002471B5">
        <w:t xml:space="preserve">sets out the scores allocated to </w:t>
      </w:r>
      <w:r w:rsidR="00F24E65">
        <w:t>Option 1</w:t>
      </w:r>
      <w:r w:rsidR="002471B5">
        <w:t xml:space="preserve"> and 2 against the cost to government criterion. </w:t>
      </w:r>
      <w:r w:rsidR="00F24E65">
        <w:t>Option 1</w:t>
      </w:r>
      <w:r w:rsidR="002471B5">
        <w:t xml:space="preserve"> is not considered to impose any extra costs to government compared to the base case, whereas </w:t>
      </w:r>
      <w:r w:rsidR="00F24E65">
        <w:t>Option 2</w:t>
      </w:r>
      <w:r w:rsidR="002471B5">
        <w:t xml:space="preserve"> will lead to a small increase in costs for government due to the calculation of the post closure liability. </w:t>
      </w:r>
    </w:p>
    <w:p w14:paraId="56E1EBA1" w14:textId="4D7691E1" w:rsidR="002471B5" w:rsidRDefault="002471B5" w:rsidP="002471B5">
      <w:pPr>
        <w:pStyle w:val="Caption"/>
      </w:pPr>
      <w:bookmarkStart w:id="387" w:name="_Ref56589548"/>
      <w:bookmarkStart w:id="388" w:name="_Toc104217636"/>
      <w:r>
        <w:t xml:space="preserve">Table </w:t>
      </w:r>
      <w:r>
        <w:fldChar w:fldCharType="begin"/>
      </w:r>
      <w:r>
        <w:instrText>SEQ Table \* ARABIC</w:instrText>
      </w:r>
      <w:r>
        <w:fldChar w:fldCharType="separate"/>
      </w:r>
      <w:r w:rsidR="000B3BF6">
        <w:rPr>
          <w:noProof/>
        </w:rPr>
        <w:t>20</w:t>
      </w:r>
      <w:r>
        <w:fldChar w:fldCharType="end"/>
      </w:r>
      <w:bookmarkEnd w:id="387"/>
      <w:r w:rsidR="00DB5B8E">
        <w:rPr>
          <w:noProof/>
        </w:rPr>
        <w:t>:</w:t>
      </w:r>
      <w:r>
        <w:t xml:space="preserve"> Cost to </w:t>
      </w:r>
      <w:r w:rsidR="00B9530A">
        <w:t>government</w:t>
      </w:r>
      <w:r>
        <w:t xml:space="preserve"> scores - mine land registration</w:t>
      </w:r>
      <w:bookmarkEnd w:id="388"/>
    </w:p>
    <w:tbl>
      <w:tblPr>
        <w:tblStyle w:val="TableGrid"/>
        <w:tblW w:w="5000" w:type="pct"/>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CellMar>
          <w:top w:w="28" w:type="dxa"/>
          <w:bottom w:w="28" w:type="dxa"/>
        </w:tblCellMar>
        <w:tblLook w:val="04A0" w:firstRow="1" w:lastRow="0" w:firstColumn="1" w:lastColumn="0" w:noHBand="0" w:noVBand="1"/>
        <w:tblCaption w:val="Table heading"/>
      </w:tblPr>
      <w:tblGrid>
        <w:gridCol w:w="4562"/>
        <w:gridCol w:w="1489"/>
        <w:gridCol w:w="1489"/>
        <w:gridCol w:w="1486"/>
      </w:tblGrid>
      <w:tr w:rsidR="006C26BC" w:rsidRPr="00D51674" w14:paraId="5FB0793D" w14:textId="77777777" w:rsidTr="008E75CA">
        <w:trPr>
          <w:tblHeader/>
        </w:trPr>
        <w:tc>
          <w:tcPr>
            <w:tcW w:w="2527" w:type="pct"/>
            <w:shd w:val="clear" w:color="auto" w:fill="1B0B38"/>
            <w:vAlign w:val="center"/>
          </w:tcPr>
          <w:p w14:paraId="147A4B4F" w14:textId="77777777" w:rsidR="006C26BC" w:rsidRPr="00BA70A6" w:rsidRDefault="006C26BC" w:rsidP="008E75CA">
            <w:pPr>
              <w:spacing w:before="0"/>
              <w:rPr>
                <w:rStyle w:val="Strong"/>
                <w:color w:val="FFFFFF" w:themeColor="background1"/>
              </w:rPr>
            </w:pPr>
            <w:r>
              <w:rPr>
                <w:rStyle w:val="Strong"/>
                <w:color w:val="FFFFFF" w:themeColor="background1"/>
              </w:rPr>
              <w:t>Option</w:t>
            </w:r>
          </w:p>
        </w:tc>
        <w:tc>
          <w:tcPr>
            <w:tcW w:w="825" w:type="pct"/>
            <w:shd w:val="clear" w:color="auto" w:fill="1B0B38"/>
            <w:vAlign w:val="center"/>
          </w:tcPr>
          <w:p w14:paraId="32A7DDC8" w14:textId="77777777" w:rsidR="006C26BC" w:rsidRDefault="006C26BC" w:rsidP="008E75CA">
            <w:pPr>
              <w:spacing w:before="0"/>
              <w:jc w:val="center"/>
              <w:rPr>
                <w:rStyle w:val="Strong"/>
                <w:color w:val="FFFFFF" w:themeColor="background1"/>
              </w:rPr>
            </w:pPr>
            <w:r>
              <w:rPr>
                <w:rStyle w:val="Strong"/>
                <w:color w:val="FFFFFF" w:themeColor="background1"/>
              </w:rPr>
              <w:t>W</w:t>
            </w:r>
            <w:r w:rsidRPr="0074315C">
              <w:rPr>
                <w:rStyle w:val="Strong"/>
                <w:color w:val="FFFFFF" w:themeColor="background1"/>
              </w:rPr>
              <w:t>eighting</w:t>
            </w:r>
          </w:p>
        </w:tc>
        <w:tc>
          <w:tcPr>
            <w:tcW w:w="825" w:type="pct"/>
            <w:shd w:val="clear" w:color="auto" w:fill="1B0B38"/>
            <w:vAlign w:val="center"/>
          </w:tcPr>
          <w:p w14:paraId="6CF41174" w14:textId="77777777" w:rsidR="006C26BC" w:rsidRPr="00BA70A6" w:rsidRDefault="006C26BC" w:rsidP="008E75CA">
            <w:pPr>
              <w:spacing w:before="0"/>
              <w:jc w:val="center"/>
              <w:rPr>
                <w:rStyle w:val="Strong"/>
                <w:color w:val="FFFFFF" w:themeColor="background1"/>
              </w:rPr>
            </w:pPr>
            <w:r>
              <w:rPr>
                <w:rStyle w:val="Strong"/>
                <w:color w:val="FFFFFF" w:themeColor="background1"/>
              </w:rPr>
              <w:t>Unweighted score</w:t>
            </w:r>
          </w:p>
        </w:tc>
        <w:tc>
          <w:tcPr>
            <w:tcW w:w="823" w:type="pct"/>
            <w:shd w:val="clear" w:color="auto" w:fill="1B0B38"/>
            <w:vAlign w:val="center"/>
          </w:tcPr>
          <w:p w14:paraId="6A4E7A23" w14:textId="77777777" w:rsidR="006C26BC" w:rsidRDefault="006C26BC" w:rsidP="008E75CA">
            <w:pPr>
              <w:spacing w:before="0"/>
              <w:jc w:val="center"/>
              <w:rPr>
                <w:rStyle w:val="Strong"/>
                <w:color w:val="FFFFFF" w:themeColor="background1"/>
              </w:rPr>
            </w:pPr>
            <w:r>
              <w:rPr>
                <w:rStyle w:val="Strong"/>
                <w:color w:val="FFFFFF" w:themeColor="background1"/>
              </w:rPr>
              <w:t>W</w:t>
            </w:r>
            <w:r w:rsidRPr="0074315C">
              <w:rPr>
                <w:rStyle w:val="Strong"/>
                <w:color w:val="FFFFFF" w:themeColor="background1"/>
              </w:rPr>
              <w:t>eighted score</w:t>
            </w:r>
          </w:p>
        </w:tc>
      </w:tr>
      <w:tr w:rsidR="00DF2584" w:rsidRPr="00D51674" w14:paraId="6ABE1C20" w14:textId="77777777" w:rsidTr="008E75CA">
        <w:trPr>
          <w:trHeight w:val="283"/>
        </w:trPr>
        <w:tc>
          <w:tcPr>
            <w:tcW w:w="2527" w:type="pct"/>
            <w:tcBorders>
              <w:bottom w:val="single" w:sz="4" w:space="0" w:color="1B0B38"/>
            </w:tcBorders>
            <w:vAlign w:val="center"/>
          </w:tcPr>
          <w:p w14:paraId="102801EA" w14:textId="321D8BEF" w:rsidR="00DF2584" w:rsidRPr="00D51674" w:rsidRDefault="00DF2584" w:rsidP="00DF2584">
            <w:pPr>
              <w:spacing w:before="0"/>
            </w:pPr>
            <w:r>
              <w:t>Option 1</w:t>
            </w:r>
          </w:p>
        </w:tc>
        <w:tc>
          <w:tcPr>
            <w:tcW w:w="825" w:type="pct"/>
            <w:tcBorders>
              <w:bottom w:val="single" w:sz="4" w:space="0" w:color="1B0B38"/>
            </w:tcBorders>
            <w:vAlign w:val="center"/>
          </w:tcPr>
          <w:p w14:paraId="69DE1EEF" w14:textId="762A9B04" w:rsidR="00DF2584" w:rsidRDefault="00DF2584" w:rsidP="00DF2584">
            <w:pPr>
              <w:spacing w:before="0"/>
              <w:jc w:val="center"/>
            </w:pPr>
            <w:r>
              <w:t>25%</w:t>
            </w:r>
          </w:p>
        </w:tc>
        <w:tc>
          <w:tcPr>
            <w:tcW w:w="825" w:type="pct"/>
            <w:tcBorders>
              <w:bottom w:val="single" w:sz="4" w:space="0" w:color="1B0B38"/>
            </w:tcBorders>
            <w:vAlign w:val="center"/>
          </w:tcPr>
          <w:p w14:paraId="0955A81F" w14:textId="77777777" w:rsidR="00DF2584" w:rsidRPr="00D51674" w:rsidRDefault="00DF2584" w:rsidP="00DF2584">
            <w:pPr>
              <w:spacing w:before="0"/>
              <w:jc w:val="center"/>
            </w:pPr>
            <w:r>
              <w:t>0</w:t>
            </w:r>
          </w:p>
        </w:tc>
        <w:tc>
          <w:tcPr>
            <w:tcW w:w="823" w:type="pct"/>
            <w:tcBorders>
              <w:bottom w:val="single" w:sz="4" w:space="0" w:color="1B0B38"/>
            </w:tcBorders>
            <w:vAlign w:val="center"/>
          </w:tcPr>
          <w:p w14:paraId="361F52F4" w14:textId="6214D373" w:rsidR="00DF2584" w:rsidRDefault="00DF2584" w:rsidP="00DF2584">
            <w:pPr>
              <w:spacing w:before="0"/>
              <w:jc w:val="center"/>
            </w:pPr>
            <w:r>
              <w:rPr>
                <w:rFonts w:cs="Arial"/>
                <w:szCs w:val="18"/>
              </w:rPr>
              <w:t>0</w:t>
            </w:r>
          </w:p>
        </w:tc>
      </w:tr>
      <w:tr w:rsidR="00DF2584" w:rsidRPr="006043AB" w14:paraId="5AC3EE48" w14:textId="77777777" w:rsidTr="008E75CA">
        <w:trPr>
          <w:trHeight w:val="283"/>
        </w:trPr>
        <w:tc>
          <w:tcPr>
            <w:tcW w:w="2527" w:type="pct"/>
            <w:tcBorders>
              <w:top w:val="single" w:sz="4" w:space="0" w:color="1B0B38"/>
              <w:bottom w:val="single" w:sz="4" w:space="0" w:color="1B0B38"/>
            </w:tcBorders>
            <w:vAlign w:val="center"/>
          </w:tcPr>
          <w:p w14:paraId="1A49EE64" w14:textId="79C57FE4" w:rsidR="00DF2584" w:rsidRPr="00D8367F" w:rsidRDefault="00DF2584" w:rsidP="00DF2584">
            <w:pPr>
              <w:spacing w:before="0"/>
              <w:rPr>
                <w:rStyle w:val="Strong"/>
                <w:b w:val="0"/>
                <w:bCs w:val="0"/>
              </w:rPr>
            </w:pPr>
            <w:r>
              <w:rPr>
                <w:rStyle w:val="Strong"/>
                <w:b w:val="0"/>
                <w:bCs w:val="0"/>
              </w:rPr>
              <w:t>Option 2</w:t>
            </w:r>
          </w:p>
        </w:tc>
        <w:tc>
          <w:tcPr>
            <w:tcW w:w="825" w:type="pct"/>
            <w:tcBorders>
              <w:top w:val="single" w:sz="4" w:space="0" w:color="1B0B38"/>
              <w:bottom w:val="single" w:sz="4" w:space="0" w:color="1B0B38"/>
            </w:tcBorders>
            <w:vAlign w:val="center"/>
          </w:tcPr>
          <w:p w14:paraId="214B21FC" w14:textId="5627D5E9" w:rsidR="00DF2584" w:rsidRDefault="00DF2584" w:rsidP="00DF2584">
            <w:pPr>
              <w:spacing w:before="0"/>
              <w:jc w:val="center"/>
              <w:rPr>
                <w:rStyle w:val="Strong"/>
                <w:b w:val="0"/>
                <w:bCs w:val="0"/>
              </w:rPr>
            </w:pPr>
            <w:r>
              <w:rPr>
                <w:rStyle w:val="Strong"/>
                <w:b w:val="0"/>
                <w:bCs w:val="0"/>
              </w:rPr>
              <w:t>25%</w:t>
            </w:r>
          </w:p>
        </w:tc>
        <w:tc>
          <w:tcPr>
            <w:tcW w:w="825" w:type="pct"/>
            <w:tcBorders>
              <w:top w:val="single" w:sz="4" w:space="0" w:color="1B0B38"/>
              <w:bottom w:val="single" w:sz="4" w:space="0" w:color="1B0B38"/>
            </w:tcBorders>
            <w:vAlign w:val="center"/>
          </w:tcPr>
          <w:p w14:paraId="5A63881A" w14:textId="2999260F" w:rsidR="00DF2584" w:rsidRPr="00D8367F" w:rsidRDefault="00DF2584" w:rsidP="00DF2584">
            <w:pPr>
              <w:spacing w:before="0"/>
              <w:jc w:val="center"/>
              <w:rPr>
                <w:rStyle w:val="Strong"/>
                <w:b w:val="0"/>
                <w:bCs w:val="0"/>
              </w:rPr>
            </w:pPr>
            <w:r>
              <w:rPr>
                <w:rStyle w:val="Strong"/>
                <w:b w:val="0"/>
                <w:bCs w:val="0"/>
              </w:rPr>
              <w:t>-1</w:t>
            </w:r>
          </w:p>
        </w:tc>
        <w:tc>
          <w:tcPr>
            <w:tcW w:w="823" w:type="pct"/>
            <w:tcBorders>
              <w:top w:val="single" w:sz="4" w:space="0" w:color="1B0B38"/>
              <w:bottom w:val="single" w:sz="4" w:space="0" w:color="1B0B38"/>
            </w:tcBorders>
            <w:vAlign w:val="center"/>
          </w:tcPr>
          <w:p w14:paraId="37693931" w14:textId="51463033" w:rsidR="00DF2584" w:rsidRPr="008E75CA" w:rsidRDefault="00DF2584" w:rsidP="00DF2584">
            <w:pPr>
              <w:spacing w:before="0"/>
              <w:jc w:val="center"/>
              <w:rPr>
                <w:rStyle w:val="Strong"/>
                <w:b w:val="0"/>
                <w:bCs w:val="0"/>
              </w:rPr>
            </w:pPr>
            <w:r>
              <w:rPr>
                <w:szCs w:val="18"/>
              </w:rPr>
              <w:t>-0.25</w:t>
            </w:r>
          </w:p>
        </w:tc>
      </w:tr>
    </w:tbl>
    <w:p w14:paraId="293DBFE4" w14:textId="77777777" w:rsidR="00700762" w:rsidRDefault="00700762" w:rsidP="00D50C43">
      <w:pPr>
        <w:pStyle w:val="Heading2"/>
        <w:numPr>
          <w:ilvl w:val="1"/>
          <w:numId w:val="124"/>
        </w:numPr>
      </w:pPr>
      <w:bookmarkStart w:id="389" w:name="_Toc104217722"/>
      <w:r>
        <w:t>Data sources and limitations</w:t>
      </w:r>
      <w:bookmarkEnd w:id="389"/>
    </w:p>
    <w:p w14:paraId="40F75DC7" w14:textId="77777777" w:rsidR="00700762" w:rsidRDefault="00700762" w:rsidP="00D50C43">
      <w:pPr>
        <w:pStyle w:val="Heading3"/>
        <w:numPr>
          <w:ilvl w:val="2"/>
          <w:numId w:val="124"/>
        </w:numPr>
      </w:pPr>
      <w:bookmarkStart w:id="390" w:name="_Toc104217723"/>
      <w:r>
        <w:t>Information about the costs of mining rehabilitation</w:t>
      </w:r>
      <w:bookmarkEnd w:id="390"/>
    </w:p>
    <w:p w14:paraId="6CD56DDD" w14:textId="77777777" w:rsidR="00700762" w:rsidRDefault="00700762" w:rsidP="00700762">
      <w:r>
        <w:t>There is limited data available regarding specific cost burdens associated with regulation in the minerals industry. The information that is available is unsuitable for use as a baseline costing for this RIS because of limitations in the accuracy of the data and because of changes to the regulatory requirements that have occurred since the analysis was undertaken. However, the data is presented here to provide an indication of the magnitude of regulatory burden experienced by regulated parties.</w:t>
      </w:r>
    </w:p>
    <w:p w14:paraId="52E49791" w14:textId="77777777" w:rsidR="00700762" w:rsidRDefault="00700762" w:rsidP="003F70FF">
      <w:pPr>
        <w:pStyle w:val="Heading6"/>
      </w:pPr>
      <w:r>
        <w:t>Costing in 2018</w:t>
      </w:r>
    </w:p>
    <w:p w14:paraId="26977F40" w14:textId="7FF3006E" w:rsidR="00700762" w:rsidRDefault="00700762" w:rsidP="00700762">
      <w:r>
        <w:t xml:space="preserve">The </w:t>
      </w:r>
      <w:r w:rsidR="006D439C">
        <w:t>department</w:t>
      </w:r>
      <w:r>
        <w:t xml:space="preserve"> engaged ACIL Allen Consulting in 2018 to analyse regulatory costs imposed by the minerals and extractive industry regulations in force at the time. </w:t>
      </w:r>
    </w:p>
    <w:p w14:paraId="1CF99178" w14:textId="5959E51A" w:rsidR="00700762" w:rsidRDefault="00700762" w:rsidP="00700762">
      <w:r>
        <w:lastRenderedPageBreak/>
        <w:t xml:space="preserve">The regulatory reforms that have occurred since this analysis mean that the costs identified cannot be used as a baseline for the impact assessment in this RIS. Additionally, it is not clear that the costings </w:t>
      </w:r>
      <w:r w:rsidR="00BB3D25">
        <w:t xml:space="preserve">accurately </w:t>
      </w:r>
      <w:r>
        <w:t xml:space="preserve">distinguish between the burden imposed by the Act and that incurred as a result of supporting regulations, and there is some evidence that the parties providing input data found </w:t>
      </w:r>
      <w:r w:rsidRPr="007962DE">
        <w:t xml:space="preserve">it difficult to differentiate between costs imposed by the regulations and costs imposed by </w:t>
      </w:r>
      <w:r w:rsidR="00CF3E08">
        <w:t xml:space="preserve">the Act and </w:t>
      </w:r>
      <w:r w:rsidRPr="007962DE">
        <w:t>other legislation.</w:t>
      </w:r>
    </w:p>
    <w:p w14:paraId="2D4E6C8E" w14:textId="77777777" w:rsidR="00700762" w:rsidRPr="00EC5CBB" w:rsidRDefault="00700762" w:rsidP="00700762">
      <w:r>
        <w:t xml:space="preserve">However, the costings do provide an indication of the scale of regulatory burden experienced by the mine operators and because they are the only available data about regulatory costs are included in this RIS for this limited purpose. </w:t>
      </w:r>
    </w:p>
    <w:p w14:paraId="34A753C3" w14:textId="77777777" w:rsidR="00700762" w:rsidRDefault="00700762" w:rsidP="00700762">
      <w:r w:rsidRPr="001B12ED">
        <w:t>ACIL Allen found that the per annum regulatory burden imposed by the minerals and extractive regulations was $63.8M on the minerals sector and $10.3</w:t>
      </w:r>
      <w:r>
        <w:t xml:space="preserve"> million</w:t>
      </w:r>
      <w:r w:rsidRPr="001B12ED">
        <w:t xml:space="preserve"> on the extractives sector. The per annum burden imposed by the current minerals regulations represents approximately 25 per cent of the overall regulatory burden ($259.2</w:t>
      </w:r>
      <w:r>
        <w:t> </w:t>
      </w:r>
      <w:r w:rsidRPr="001B12ED">
        <w:t xml:space="preserve">million in total) imposed upon the sector. Regulatory burden imposed outside these regulations includes planning system requirements and native vegetation offsets. </w:t>
      </w:r>
    </w:p>
    <w:p w14:paraId="124520F5" w14:textId="3E7EC9AA" w:rsidR="00700762" w:rsidRDefault="00700762" w:rsidP="00700762">
      <w:r>
        <w:fldChar w:fldCharType="begin"/>
      </w:r>
      <w:r>
        <w:instrText xml:space="preserve"> REF _Ref4080791 \h </w:instrText>
      </w:r>
      <w:r>
        <w:fldChar w:fldCharType="separate"/>
      </w:r>
      <w:r w:rsidR="000B3BF6">
        <w:t xml:space="preserve">Table </w:t>
      </w:r>
      <w:r w:rsidR="000B3BF6">
        <w:rPr>
          <w:noProof/>
        </w:rPr>
        <w:t>21</w:t>
      </w:r>
      <w:r>
        <w:fldChar w:fldCharType="end"/>
      </w:r>
      <w:r>
        <w:t xml:space="preserve"> </w:t>
      </w:r>
      <w:r w:rsidRPr="007F7FE3">
        <w:t>summarises the regulatory costs across the mining industry:</w:t>
      </w:r>
    </w:p>
    <w:p w14:paraId="010E0491" w14:textId="77777777" w:rsidR="00700762" w:rsidRDefault="00700762" w:rsidP="00700762">
      <w:pPr>
        <w:pStyle w:val="ListBullet"/>
      </w:pPr>
      <w:r w:rsidRPr="007F7FE3">
        <w:rPr>
          <w:u w:val="single"/>
        </w:rPr>
        <w:t>administrative costs</w:t>
      </w:r>
      <w:r w:rsidRPr="007F7FE3">
        <w:t xml:space="preserve"> refer to costs associated with reporting to government, e.g., licence applications, reportable events, annual activity and expenditure returns</w:t>
      </w:r>
      <w:r>
        <w:t>; and</w:t>
      </w:r>
    </w:p>
    <w:p w14:paraId="11D1CC93" w14:textId="77777777" w:rsidR="00700762" w:rsidRPr="007F7FE3" w:rsidRDefault="00700762" w:rsidP="00700762">
      <w:pPr>
        <w:pStyle w:val="ListBullet"/>
      </w:pPr>
      <w:r w:rsidRPr="007F7FE3">
        <w:rPr>
          <w:u w:val="single"/>
        </w:rPr>
        <w:t>substantive compliance costs</w:t>
      </w:r>
      <w:r w:rsidRPr="007F7FE3">
        <w:t xml:space="preserve"> refer to costs incurred because of complying with the regulations, e.g. advertising requirements, costs of surveying a mining area, preparation of work and rehabilitation plans.</w:t>
      </w:r>
    </w:p>
    <w:p w14:paraId="38A1E916" w14:textId="77763964" w:rsidR="00700762" w:rsidRDefault="00700762" w:rsidP="00700762">
      <w:r>
        <w:fldChar w:fldCharType="begin"/>
      </w:r>
      <w:r>
        <w:instrText xml:space="preserve"> REF _Ref4080791 \h </w:instrText>
      </w:r>
      <w:r>
        <w:fldChar w:fldCharType="separate"/>
      </w:r>
      <w:r w:rsidR="000B3BF6">
        <w:t xml:space="preserve">Table </w:t>
      </w:r>
      <w:r w:rsidR="000B3BF6">
        <w:rPr>
          <w:noProof/>
        </w:rPr>
        <w:t>21</w:t>
      </w:r>
      <w:r>
        <w:fldChar w:fldCharType="end"/>
      </w:r>
      <w:r w:rsidRPr="007F7FE3">
        <w:t xml:space="preserve"> shows that administrative costs imposed by the regulations are considerably </w:t>
      </w:r>
      <w:r>
        <w:t>lower</w:t>
      </w:r>
      <w:r w:rsidRPr="007F7FE3">
        <w:t xml:space="preserve"> than substantive compliance costs (reporting requirements for mining are mostly contained in the regulations, rather than the legislation). Substantive compliance costs are mostly contained in the Act and through other legislative requirements, such as native vegetation obligations and the local government planning scheme. </w:t>
      </w:r>
      <w:r>
        <w:fldChar w:fldCharType="begin"/>
      </w:r>
      <w:r>
        <w:instrText xml:space="preserve"> REF _Ref4080870 \h </w:instrText>
      </w:r>
      <w:r>
        <w:fldChar w:fldCharType="separate"/>
      </w:r>
      <w:r w:rsidR="000B3BF6">
        <w:t xml:space="preserve">Table </w:t>
      </w:r>
      <w:r w:rsidR="000B3BF6">
        <w:rPr>
          <w:noProof/>
        </w:rPr>
        <w:t>22</w:t>
      </w:r>
      <w:r>
        <w:fldChar w:fldCharType="end"/>
      </w:r>
      <w:r w:rsidRPr="007F7FE3">
        <w:t xml:space="preserve"> below shows these costs per mining tenement.</w:t>
      </w:r>
      <w:r>
        <w:t xml:space="preserve"> Note that these costs refer to all the coal mines in Victoria, not just the Latrobe Valley declared mines. </w:t>
      </w:r>
    </w:p>
    <w:p w14:paraId="3677D37D" w14:textId="165594AD" w:rsidR="00700762" w:rsidRPr="007F7FE3" w:rsidRDefault="00700762" w:rsidP="00700762">
      <w:pPr>
        <w:pStyle w:val="Caption"/>
        <w:rPr>
          <w:rStyle w:val="Strong"/>
        </w:rPr>
      </w:pPr>
      <w:bookmarkStart w:id="391" w:name="_Ref4080791"/>
      <w:bookmarkStart w:id="392" w:name="_Ref4080785"/>
      <w:bookmarkStart w:id="393" w:name="_Toc104217637"/>
      <w:r>
        <w:t xml:space="preserve">Table </w:t>
      </w:r>
      <w:r>
        <w:rPr>
          <w:noProof/>
        </w:rPr>
        <w:fldChar w:fldCharType="begin"/>
      </w:r>
      <w:r>
        <w:rPr>
          <w:noProof/>
        </w:rPr>
        <w:instrText xml:space="preserve"> SEQ Table \* ARABIC </w:instrText>
      </w:r>
      <w:r>
        <w:rPr>
          <w:noProof/>
        </w:rPr>
        <w:fldChar w:fldCharType="separate"/>
      </w:r>
      <w:r w:rsidR="000B3BF6">
        <w:rPr>
          <w:noProof/>
        </w:rPr>
        <w:t>21</w:t>
      </w:r>
      <w:r>
        <w:rPr>
          <w:noProof/>
        </w:rPr>
        <w:fldChar w:fldCharType="end"/>
      </w:r>
      <w:bookmarkEnd w:id="391"/>
      <w:r w:rsidRPr="00F70931">
        <w:t>: Annualised regulatory cost by tenement type – minerals industry</w:t>
      </w:r>
      <w:r>
        <w:t xml:space="preserve"> ($ thousand)</w:t>
      </w:r>
      <w:bookmarkEnd w:id="392"/>
      <w:bookmarkEnd w:id="393"/>
    </w:p>
    <w:tbl>
      <w:tblPr>
        <w:tblStyle w:val="TableGrid"/>
        <w:tblW w:w="9629"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252"/>
        <w:gridCol w:w="1850"/>
        <w:gridCol w:w="2140"/>
        <w:gridCol w:w="1696"/>
        <w:gridCol w:w="1924"/>
        <w:gridCol w:w="767"/>
      </w:tblGrid>
      <w:tr w:rsidR="00700762" w:rsidRPr="00D51674" w14:paraId="6270C393" w14:textId="77777777" w:rsidTr="00687D94">
        <w:trPr>
          <w:tblHeader/>
        </w:trPr>
        <w:tc>
          <w:tcPr>
            <w:tcW w:w="0" w:type="auto"/>
            <w:vMerge w:val="restart"/>
            <w:shd w:val="clear" w:color="auto" w:fill="1B0B38"/>
            <w:vAlign w:val="center"/>
          </w:tcPr>
          <w:p w14:paraId="2DF92027" w14:textId="77777777" w:rsidR="00700762" w:rsidRPr="00BA70A6" w:rsidRDefault="00700762" w:rsidP="00687D94">
            <w:pPr>
              <w:spacing w:before="0"/>
              <w:rPr>
                <w:rStyle w:val="Strong"/>
                <w:color w:val="FFFFFF" w:themeColor="background1"/>
              </w:rPr>
            </w:pPr>
            <w:r>
              <w:rPr>
                <w:rStyle w:val="Strong"/>
                <w:color w:val="FFFFFF" w:themeColor="background1"/>
              </w:rPr>
              <w:t>Tenement type</w:t>
            </w:r>
          </w:p>
        </w:tc>
        <w:tc>
          <w:tcPr>
            <w:tcW w:w="0" w:type="auto"/>
            <w:gridSpan w:val="2"/>
            <w:shd w:val="clear" w:color="auto" w:fill="1B0B38"/>
            <w:vAlign w:val="center"/>
          </w:tcPr>
          <w:p w14:paraId="4953456B" w14:textId="77777777" w:rsidR="00700762" w:rsidRPr="00BA70A6" w:rsidRDefault="00700762" w:rsidP="00687D94">
            <w:pPr>
              <w:spacing w:before="0"/>
              <w:jc w:val="center"/>
              <w:rPr>
                <w:rStyle w:val="Strong"/>
                <w:color w:val="FFFFFF" w:themeColor="background1"/>
              </w:rPr>
            </w:pPr>
            <w:r>
              <w:rPr>
                <w:rStyle w:val="Strong"/>
                <w:color w:val="FFFFFF" w:themeColor="background1"/>
              </w:rPr>
              <w:t xml:space="preserve">Costs imposed by the Mineral Resources regulatory framework </w:t>
            </w:r>
          </w:p>
        </w:tc>
        <w:tc>
          <w:tcPr>
            <w:tcW w:w="0" w:type="auto"/>
            <w:gridSpan w:val="2"/>
            <w:shd w:val="clear" w:color="auto" w:fill="1B0B38"/>
          </w:tcPr>
          <w:p w14:paraId="1A9AFE21" w14:textId="77777777" w:rsidR="00700762" w:rsidRPr="00BA70A6" w:rsidRDefault="00700762" w:rsidP="00687D94">
            <w:pPr>
              <w:spacing w:before="0"/>
              <w:jc w:val="center"/>
              <w:rPr>
                <w:rStyle w:val="Strong"/>
                <w:color w:val="FFFFFF" w:themeColor="background1"/>
              </w:rPr>
            </w:pPr>
            <w:r>
              <w:rPr>
                <w:rStyle w:val="Strong"/>
                <w:color w:val="FFFFFF" w:themeColor="background1"/>
              </w:rPr>
              <w:t>Costs imposed by other regulatory frameworks</w:t>
            </w:r>
          </w:p>
        </w:tc>
        <w:tc>
          <w:tcPr>
            <w:tcW w:w="0" w:type="auto"/>
            <w:vMerge w:val="restart"/>
            <w:shd w:val="clear" w:color="auto" w:fill="1B0B38"/>
            <w:vAlign w:val="center"/>
          </w:tcPr>
          <w:p w14:paraId="4713ECD0" w14:textId="77777777" w:rsidR="00700762" w:rsidRPr="00BA70A6" w:rsidRDefault="00700762" w:rsidP="00687D94">
            <w:pPr>
              <w:spacing w:before="0"/>
              <w:rPr>
                <w:rStyle w:val="Strong"/>
                <w:color w:val="FFFFFF" w:themeColor="background1"/>
              </w:rPr>
            </w:pPr>
            <w:r>
              <w:rPr>
                <w:rStyle w:val="Strong"/>
                <w:color w:val="FFFFFF" w:themeColor="background1"/>
              </w:rPr>
              <w:t>Total</w:t>
            </w:r>
          </w:p>
        </w:tc>
      </w:tr>
      <w:tr w:rsidR="00700762" w:rsidRPr="00D51674" w14:paraId="6C256A9F" w14:textId="77777777" w:rsidTr="00687D94">
        <w:trPr>
          <w:tblHeader/>
        </w:trPr>
        <w:tc>
          <w:tcPr>
            <w:tcW w:w="0" w:type="auto"/>
            <w:vMerge/>
            <w:shd w:val="clear" w:color="auto" w:fill="1B0B38"/>
            <w:vAlign w:val="center"/>
          </w:tcPr>
          <w:p w14:paraId="1B0BBA58" w14:textId="77777777" w:rsidR="00700762" w:rsidRPr="00BA70A6" w:rsidRDefault="00700762" w:rsidP="00687D94">
            <w:pPr>
              <w:spacing w:before="0"/>
              <w:rPr>
                <w:rStyle w:val="Strong"/>
                <w:color w:val="FFFFFF" w:themeColor="background1"/>
              </w:rPr>
            </w:pPr>
          </w:p>
        </w:tc>
        <w:tc>
          <w:tcPr>
            <w:tcW w:w="0" w:type="auto"/>
            <w:shd w:val="clear" w:color="auto" w:fill="1B0B38"/>
            <w:vAlign w:val="center"/>
          </w:tcPr>
          <w:p w14:paraId="2BF87093" w14:textId="77777777" w:rsidR="00700762" w:rsidRPr="00BA70A6" w:rsidRDefault="00700762" w:rsidP="00687D94">
            <w:pPr>
              <w:spacing w:before="0"/>
              <w:jc w:val="center"/>
              <w:rPr>
                <w:rStyle w:val="Strong"/>
                <w:color w:val="FFFFFF" w:themeColor="background1"/>
              </w:rPr>
            </w:pPr>
            <w:r>
              <w:rPr>
                <w:rStyle w:val="Strong"/>
                <w:color w:val="FFFFFF" w:themeColor="background1"/>
              </w:rPr>
              <w:t>Administrative costs</w:t>
            </w:r>
          </w:p>
        </w:tc>
        <w:tc>
          <w:tcPr>
            <w:tcW w:w="0" w:type="auto"/>
            <w:shd w:val="clear" w:color="auto" w:fill="1B0B38"/>
          </w:tcPr>
          <w:p w14:paraId="7503907D" w14:textId="77777777" w:rsidR="00700762" w:rsidRPr="00BA70A6" w:rsidRDefault="00700762" w:rsidP="00687D94">
            <w:pPr>
              <w:spacing w:before="0"/>
              <w:jc w:val="center"/>
              <w:rPr>
                <w:rStyle w:val="Strong"/>
                <w:color w:val="FFFFFF" w:themeColor="background1"/>
              </w:rPr>
            </w:pPr>
            <w:r>
              <w:rPr>
                <w:rStyle w:val="Strong"/>
                <w:color w:val="FFFFFF" w:themeColor="background1"/>
              </w:rPr>
              <w:t>Substantive compliance costs</w:t>
            </w:r>
          </w:p>
        </w:tc>
        <w:tc>
          <w:tcPr>
            <w:tcW w:w="0" w:type="auto"/>
            <w:shd w:val="clear" w:color="auto" w:fill="1B0B38"/>
            <w:vAlign w:val="center"/>
          </w:tcPr>
          <w:p w14:paraId="24CB0A7E" w14:textId="77777777" w:rsidR="00700762" w:rsidRPr="00BA70A6" w:rsidRDefault="00700762" w:rsidP="00687D94">
            <w:pPr>
              <w:spacing w:before="0"/>
              <w:jc w:val="center"/>
              <w:rPr>
                <w:rStyle w:val="Strong"/>
                <w:color w:val="FFFFFF" w:themeColor="background1"/>
              </w:rPr>
            </w:pPr>
            <w:r>
              <w:rPr>
                <w:rStyle w:val="Strong"/>
                <w:color w:val="FFFFFF" w:themeColor="background1"/>
              </w:rPr>
              <w:t>Administrative costs</w:t>
            </w:r>
          </w:p>
        </w:tc>
        <w:tc>
          <w:tcPr>
            <w:tcW w:w="0" w:type="auto"/>
            <w:shd w:val="clear" w:color="auto" w:fill="1B0B38"/>
          </w:tcPr>
          <w:p w14:paraId="1C5E39A6" w14:textId="77777777" w:rsidR="00700762" w:rsidRPr="00BA70A6" w:rsidRDefault="00700762" w:rsidP="00687D94">
            <w:pPr>
              <w:spacing w:before="0"/>
              <w:jc w:val="center"/>
              <w:rPr>
                <w:rStyle w:val="Strong"/>
                <w:color w:val="FFFFFF" w:themeColor="background1"/>
              </w:rPr>
            </w:pPr>
            <w:r>
              <w:rPr>
                <w:rStyle w:val="Strong"/>
                <w:color w:val="FFFFFF" w:themeColor="background1"/>
              </w:rPr>
              <w:t>Substantive compliance costs</w:t>
            </w:r>
          </w:p>
        </w:tc>
        <w:tc>
          <w:tcPr>
            <w:tcW w:w="0" w:type="auto"/>
            <w:vMerge/>
            <w:shd w:val="clear" w:color="auto" w:fill="1B0B38"/>
            <w:vAlign w:val="center"/>
          </w:tcPr>
          <w:p w14:paraId="65D65FC8" w14:textId="77777777" w:rsidR="00700762" w:rsidRPr="00BA70A6" w:rsidRDefault="00700762" w:rsidP="00687D94">
            <w:pPr>
              <w:spacing w:before="0"/>
              <w:rPr>
                <w:rStyle w:val="Strong"/>
                <w:color w:val="FFFFFF" w:themeColor="background1"/>
              </w:rPr>
            </w:pPr>
          </w:p>
        </w:tc>
      </w:tr>
      <w:tr w:rsidR="00700762" w:rsidRPr="00D51674" w14:paraId="0AC7B583" w14:textId="77777777" w:rsidTr="00687D94">
        <w:trPr>
          <w:trHeight w:val="358"/>
        </w:trPr>
        <w:tc>
          <w:tcPr>
            <w:tcW w:w="0" w:type="auto"/>
            <w:tcBorders>
              <w:bottom w:val="single" w:sz="4" w:space="0" w:color="1B0B38"/>
            </w:tcBorders>
            <w:vAlign w:val="center"/>
          </w:tcPr>
          <w:p w14:paraId="72785656" w14:textId="77777777" w:rsidR="00700762" w:rsidRDefault="00700762" w:rsidP="00687D94">
            <w:pPr>
              <w:spacing w:before="0"/>
              <w:ind w:left="321"/>
            </w:pPr>
            <w:r>
              <w:t>Coal</w:t>
            </w:r>
          </w:p>
        </w:tc>
        <w:tc>
          <w:tcPr>
            <w:tcW w:w="0" w:type="auto"/>
            <w:tcBorders>
              <w:bottom w:val="single" w:sz="4" w:space="0" w:color="1B0B38"/>
            </w:tcBorders>
            <w:vAlign w:val="center"/>
          </w:tcPr>
          <w:p w14:paraId="0D9515C2" w14:textId="77777777" w:rsidR="00700762" w:rsidRPr="001E35C7" w:rsidRDefault="00700762" w:rsidP="00687D94">
            <w:pPr>
              <w:spacing w:before="0"/>
              <w:jc w:val="center"/>
            </w:pPr>
            <w:r w:rsidRPr="001E35C7">
              <w:t>9,400</w:t>
            </w:r>
          </w:p>
        </w:tc>
        <w:tc>
          <w:tcPr>
            <w:tcW w:w="0" w:type="auto"/>
            <w:tcBorders>
              <w:bottom w:val="single" w:sz="4" w:space="0" w:color="1B0B38"/>
            </w:tcBorders>
            <w:vAlign w:val="center"/>
          </w:tcPr>
          <w:p w14:paraId="2B707856" w14:textId="77777777" w:rsidR="00700762" w:rsidRPr="001E35C7" w:rsidRDefault="00700762" w:rsidP="00687D94">
            <w:pPr>
              <w:spacing w:before="0"/>
              <w:jc w:val="center"/>
            </w:pPr>
            <w:r w:rsidRPr="001E35C7">
              <w:t>15,100</w:t>
            </w:r>
          </w:p>
        </w:tc>
        <w:tc>
          <w:tcPr>
            <w:tcW w:w="0" w:type="auto"/>
            <w:tcBorders>
              <w:bottom w:val="single" w:sz="4" w:space="0" w:color="1B0B38"/>
            </w:tcBorders>
            <w:vAlign w:val="center"/>
          </w:tcPr>
          <w:p w14:paraId="14C55250" w14:textId="77777777" w:rsidR="00700762" w:rsidRPr="001E35C7" w:rsidRDefault="00700762" w:rsidP="00687D94">
            <w:pPr>
              <w:spacing w:before="0"/>
              <w:jc w:val="center"/>
            </w:pPr>
            <w:r w:rsidRPr="001E35C7">
              <w:t>-</w:t>
            </w:r>
          </w:p>
        </w:tc>
        <w:tc>
          <w:tcPr>
            <w:tcW w:w="0" w:type="auto"/>
            <w:tcBorders>
              <w:bottom w:val="single" w:sz="4" w:space="0" w:color="1B0B38"/>
            </w:tcBorders>
            <w:vAlign w:val="center"/>
          </w:tcPr>
          <w:p w14:paraId="70F37D15" w14:textId="77777777" w:rsidR="00700762" w:rsidRPr="001E35C7" w:rsidRDefault="00700762" w:rsidP="00687D94">
            <w:pPr>
              <w:spacing w:before="0"/>
              <w:jc w:val="center"/>
            </w:pPr>
            <w:r w:rsidRPr="001E35C7">
              <w:t>6,100</w:t>
            </w:r>
          </w:p>
        </w:tc>
        <w:tc>
          <w:tcPr>
            <w:tcW w:w="0" w:type="auto"/>
            <w:tcBorders>
              <w:bottom w:val="single" w:sz="4" w:space="0" w:color="1B0B38"/>
            </w:tcBorders>
            <w:vAlign w:val="center"/>
          </w:tcPr>
          <w:p w14:paraId="48128D68" w14:textId="77777777" w:rsidR="00700762" w:rsidRPr="001E35C7" w:rsidRDefault="00700762" w:rsidP="00687D94">
            <w:pPr>
              <w:spacing w:before="0"/>
              <w:jc w:val="center"/>
            </w:pPr>
            <w:r w:rsidRPr="001E35C7">
              <w:t>30,600</w:t>
            </w:r>
          </w:p>
        </w:tc>
      </w:tr>
    </w:tbl>
    <w:p w14:paraId="2A8B1731" w14:textId="77777777" w:rsidR="00700762" w:rsidRDefault="00700762" w:rsidP="00700762">
      <w:pPr>
        <w:rPr>
          <w:rStyle w:val="SubtleEmphasis"/>
          <w:i w:val="0"/>
          <w:sz w:val="16"/>
        </w:rPr>
      </w:pPr>
      <w:r w:rsidRPr="00D31640">
        <w:rPr>
          <w:rStyle w:val="SubtleEmphasis"/>
          <w:i w:val="0"/>
          <w:sz w:val="16"/>
        </w:rPr>
        <w:t xml:space="preserve">Source: </w:t>
      </w:r>
      <w:r>
        <w:rPr>
          <w:rStyle w:val="SubtleEmphasis"/>
          <w:i w:val="0"/>
          <w:sz w:val="16"/>
        </w:rPr>
        <w:t>ACIL Allen</w:t>
      </w:r>
    </w:p>
    <w:p w14:paraId="350579E9" w14:textId="71C0B22C" w:rsidR="00700762" w:rsidRPr="00955CE2" w:rsidRDefault="00700762" w:rsidP="00700762">
      <w:pPr>
        <w:pStyle w:val="Caption"/>
        <w:rPr>
          <w:rStyle w:val="Strong"/>
        </w:rPr>
      </w:pPr>
      <w:bookmarkStart w:id="394" w:name="_Ref4080870"/>
      <w:bookmarkStart w:id="395" w:name="_Toc104217638"/>
      <w:r>
        <w:t xml:space="preserve">Table </w:t>
      </w:r>
      <w:r>
        <w:rPr>
          <w:noProof/>
        </w:rPr>
        <w:fldChar w:fldCharType="begin"/>
      </w:r>
      <w:r>
        <w:rPr>
          <w:noProof/>
        </w:rPr>
        <w:instrText xml:space="preserve"> SEQ Table \* ARABIC </w:instrText>
      </w:r>
      <w:r>
        <w:rPr>
          <w:noProof/>
        </w:rPr>
        <w:fldChar w:fldCharType="separate"/>
      </w:r>
      <w:r w:rsidR="000B3BF6">
        <w:rPr>
          <w:noProof/>
        </w:rPr>
        <w:t>22</w:t>
      </w:r>
      <w:r>
        <w:rPr>
          <w:noProof/>
        </w:rPr>
        <w:fldChar w:fldCharType="end"/>
      </w:r>
      <w:bookmarkEnd w:id="394"/>
      <w:r>
        <w:t xml:space="preserve">: </w:t>
      </w:r>
      <w:r w:rsidRPr="003E551C">
        <w:t>Annualised regulatory cost by tenement type – per minerals tenement</w:t>
      </w:r>
      <w:r>
        <w:t xml:space="preserve"> ($ thousand)</w:t>
      </w:r>
      <w:bookmarkEnd w:id="395"/>
    </w:p>
    <w:tbl>
      <w:tblPr>
        <w:tblStyle w:val="TableGrid"/>
        <w:tblW w:w="9628"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226"/>
        <w:gridCol w:w="1467"/>
        <w:gridCol w:w="2552"/>
        <w:gridCol w:w="1559"/>
        <w:gridCol w:w="1818"/>
        <w:gridCol w:w="1006"/>
      </w:tblGrid>
      <w:tr w:rsidR="00700762" w:rsidRPr="00D51674" w14:paraId="0E624DBA" w14:textId="77777777" w:rsidTr="00687D94">
        <w:trPr>
          <w:trHeight w:val="483"/>
          <w:tblHeader/>
        </w:trPr>
        <w:tc>
          <w:tcPr>
            <w:tcW w:w="1226" w:type="dxa"/>
            <w:vMerge w:val="restart"/>
            <w:shd w:val="clear" w:color="auto" w:fill="1B0B38"/>
            <w:vAlign w:val="center"/>
          </w:tcPr>
          <w:p w14:paraId="2E22A195" w14:textId="77777777" w:rsidR="00700762" w:rsidRPr="00BA70A6" w:rsidRDefault="00700762" w:rsidP="00687D94">
            <w:pPr>
              <w:spacing w:before="0"/>
              <w:rPr>
                <w:rStyle w:val="Strong"/>
                <w:color w:val="FFFFFF" w:themeColor="background1"/>
              </w:rPr>
            </w:pPr>
            <w:r>
              <w:rPr>
                <w:rStyle w:val="Strong"/>
                <w:color w:val="FFFFFF" w:themeColor="background1"/>
              </w:rPr>
              <w:t>Tenement type</w:t>
            </w:r>
          </w:p>
        </w:tc>
        <w:tc>
          <w:tcPr>
            <w:tcW w:w="4019" w:type="dxa"/>
            <w:gridSpan w:val="2"/>
            <w:shd w:val="clear" w:color="auto" w:fill="1B0B38"/>
            <w:vAlign w:val="center"/>
          </w:tcPr>
          <w:p w14:paraId="019DA4FA" w14:textId="77777777" w:rsidR="00700762" w:rsidRPr="00BA70A6" w:rsidRDefault="00700762" w:rsidP="00687D94">
            <w:pPr>
              <w:spacing w:before="0"/>
              <w:jc w:val="center"/>
              <w:rPr>
                <w:rStyle w:val="Strong"/>
                <w:color w:val="FFFFFF" w:themeColor="background1"/>
              </w:rPr>
            </w:pPr>
            <w:r>
              <w:rPr>
                <w:rStyle w:val="Strong"/>
                <w:color w:val="FFFFFF" w:themeColor="background1"/>
              </w:rPr>
              <w:t>Costs imposed by the Mineral Resources regulatory framework</w:t>
            </w:r>
          </w:p>
        </w:tc>
        <w:tc>
          <w:tcPr>
            <w:tcW w:w="3377" w:type="dxa"/>
            <w:gridSpan w:val="2"/>
            <w:shd w:val="clear" w:color="auto" w:fill="1B0B38"/>
          </w:tcPr>
          <w:p w14:paraId="17CEC81D" w14:textId="77777777" w:rsidR="00700762" w:rsidRPr="00BA70A6" w:rsidRDefault="00700762" w:rsidP="00687D94">
            <w:pPr>
              <w:spacing w:before="0"/>
              <w:jc w:val="center"/>
              <w:rPr>
                <w:rStyle w:val="Strong"/>
                <w:color w:val="FFFFFF" w:themeColor="background1"/>
              </w:rPr>
            </w:pPr>
            <w:r>
              <w:rPr>
                <w:rStyle w:val="Strong"/>
                <w:color w:val="FFFFFF" w:themeColor="background1"/>
              </w:rPr>
              <w:t>Costs imposed by other regulatory frameworks</w:t>
            </w:r>
          </w:p>
        </w:tc>
        <w:tc>
          <w:tcPr>
            <w:tcW w:w="1006" w:type="dxa"/>
            <w:vMerge w:val="restart"/>
            <w:shd w:val="clear" w:color="auto" w:fill="1B0B38"/>
            <w:vAlign w:val="center"/>
          </w:tcPr>
          <w:p w14:paraId="72DFCA57" w14:textId="77777777" w:rsidR="00700762" w:rsidRDefault="00700762" w:rsidP="00687D94">
            <w:pPr>
              <w:spacing w:before="0"/>
              <w:jc w:val="center"/>
              <w:rPr>
                <w:rStyle w:val="Strong"/>
                <w:color w:val="FFFFFF" w:themeColor="background1"/>
              </w:rPr>
            </w:pPr>
            <w:r>
              <w:rPr>
                <w:rStyle w:val="Strong"/>
                <w:color w:val="FFFFFF" w:themeColor="background1"/>
              </w:rPr>
              <w:t>Total</w:t>
            </w:r>
          </w:p>
        </w:tc>
      </w:tr>
      <w:tr w:rsidR="00700762" w:rsidRPr="00D51674" w14:paraId="477E4093" w14:textId="77777777" w:rsidTr="00687D94">
        <w:trPr>
          <w:trHeight w:val="483"/>
          <w:tblHeader/>
        </w:trPr>
        <w:tc>
          <w:tcPr>
            <w:tcW w:w="1226" w:type="dxa"/>
            <w:vMerge/>
            <w:shd w:val="clear" w:color="auto" w:fill="1B0B38"/>
            <w:vAlign w:val="center"/>
          </w:tcPr>
          <w:p w14:paraId="6C4C99D5" w14:textId="77777777" w:rsidR="00700762" w:rsidRPr="00BA70A6" w:rsidRDefault="00700762" w:rsidP="00687D94">
            <w:pPr>
              <w:spacing w:before="0"/>
              <w:rPr>
                <w:rStyle w:val="Strong"/>
                <w:color w:val="FFFFFF" w:themeColor="background1"/>
              </w:rPr>
            </w:pPr>
          </w:p>
        </w:tc>
        <w:tc>
          <w:tcPr>
            <w:tcW w:w="1467" w:type="dxa"/>
            <w:shd w:val="clear" w:color="auto" w:fill="1B0B38"/>
            <w:vAlign w:val="center"/>
          </w:tcPr>
          <w:p w14:paraId="51B6623C" w14:textId="77777777" w:rsidR="00700762" w:rsidRPr="00BA70A6" w:rsidRDefault="00700762" w:rsidP="00687D94">
            <w:pPr>
              <w:spacing w:before="0"/>
              <w:jc w:val="center"/>
              <w:rPr>
                <w:rStyle w:val="Strong"/>
                <w:color w:val="FFFFFF" w:themeColor="background1"/>
              </w:rPr>
            </w:pPr>
            <w:r>
              <w:rPr>
                <w:rStyle w:val="Strong"/>
                <w:color w:val="FFFFFF" w:themeColor="background1"/>
              </w:rPr>
              <w:t>Administrative costs</w:t>
            </w:r>
          </w:p>
        </w:tc>
        <w:tc>
          <w:tcPr>
            <w:tcW w:w="2552" w:type="dxa"/>
            <w:shd w:val="clear" w:color="auto" w:fill="1B0B38"/>
            <w:vAlign w:val="center"/>
          </w:tcPr>
          <w:p w14:paraId="5CE37A53" w14:textId="77777777" w:rsidR="00700762" w:rsidRPr="00BA70A6" w:rsidRDefault="00700762" w:rsidP="00687D94">
            <w:pPr>
              <w:spacing w:before="0"/>
              <w:jc w:val="center"/>
              <w:rPr>
                <w:rStyle w:val="Strong"/>
                <w:color w:val="FFFFFF" w:themeColor="background1"/>
              </w:rPr>
            </w:pPr>
            <w:r>
              <w:rPr>
                <w:rStyle w:val="Strong"/>
                <w:color w:val="FFFFFF" w:themeColor="background1"/>
              </w:rPr>
              <w:t>Substantive compliance costs</w:t>
            </w:r>
          </w:p>
        </w:tc>
        <w:tc>
          <w:tcPr>
            <w:tcW w:w="1559" w:type="dxa"/>
            <w:shd w:val="clear" w:color="auto" w:fill="1B0B38"/>
            <w:vAlign w:val="center"/>
          </w:tcPr>
          <w:p w14:paraId="1DD8BCE3" w14:textId="77777777" w:rsidR="00700762" w:rsidRPr="00BA70A6" w:rsidRDefault="00700762" w:rsidP="00687D94">
            <w:pPr>
              <w:spacing w:before="0"/>
              <w:jc w:val="center"/>
              <w:rPr>
                <w:rStyle w:val="Strong"/>
                <w:color w:val="FFFFFF" w:themeColor="background1"/>
              </w:rPr>
            </w:pPr>
            <w:r>
              <w:rPr>
                <w:rStyle w:val="Strong"/>
                <w:color w:val="FFFFFF" w:themeColor="background1"/>
              </w:rPr>
              <w:t>Administrative costs</w:t>
            </w:r>
          </w:p>
        </w:tc>
        <w:tc>
          <w:tcPr>
            <w:tcW w:w="1818" w:type="dxa"/>
            <w:shd w:val="clear" w:color="auto" w:fill="1B0B38"/>
          </w:tcPr>
          <w:p w14:paraId="1ED3182C" w14:textId="77777777" w:rsidR="00700762" w:rsidRPr="00BA70A6" w:rsidRDefault="00700762" w:rsidP="00687D94">
            <w:pPr>
              <w:spacing w:before="0"/>
              <w:jc w:val="center"/>
              <w:rPr>
                <w:rStyle w:val="Strong"/>
                <w:color w:val="FFFFFF" w:themeColor="background1"/>
              </w:rPr>
            </w:pPr>
            <w:r>
              <w:rPr>
                <w:rStyle w:val="Strong"/>
                <w:color w:val="FFFFFF" w:themeColor="background1"/>
              </w:rPr>
              <w:t>Substantive compliance costs</w:t>
            </w:r>
          </w:p>
        </w:tc>
        <w:tc>
          <w:tcPr>
            <w:tcW w:w="1006" w:type="dxa"/>
            <w:vMerge/>
            <w:shd w:val="clear" w:color="auto" w:fill="1B0B38"/>
          </w:tcPr>
          <w:p w14:paraId="2353234F" w14:textId="77777777" w:rsidR="00700762" w:rsidRDefault="00700762" w:rsidP="00687D94">
            <w:pPr>
              <w:spacing w:before="0"/>
              <w:jc w:val="center"/>
              <w:rPr>
                <w:rStyle w:val="Strong"/>
                <w:color w:val="FFFFFF" w:themeColor="background1"/>
              </w:rPr>
            </w:pPr>
          </w:p>
        </w:tc>
      </w:tr>
      <w:tr w:rsidR="00700762" w:rsidRPr="00D51674" w14:paraId="206B01B7" w14:textId="77777777" w:rsidTr="00687D94">
        <w:trPr>
          <w:trHeight w:val="320"/>
        </w:trPr>
        <w:tc>
          <w:tcPr>
            <w:tcW w:w="1226" w:type="dxa"/>
            <w:tcBorders>
              <w:bottom w:val="single" w:sz="4" w:space="0" w:color="1B0B38"/>
            </w:tcBorders>
            <w:vAlign w:val="center"/>
          </w:tcPr>
          <w:p w14:paraId="51802E0E" w14:textId="77777777" w:rsidR="00700762" w:rsidRDefault="00700762" w:rsidP="00687D94">
            <w:pPr>
              <w:spacing w:before="0"/>
              <w:ind w:left="321"/>
            </w:pPr>
            <w:r>
              <w:t>Coal</w:t>
            </w:r>
          </w:p>
        </w:tc>
        <w:tc>
          <w:tcPr>
            <w:tcW w:w="1467" w:type="dxa"/>
            <w:tcBorders>
              <w:bottom w:val="single" w:sz="4" w:space="0" w:color="1B0B38"/>
            </w:tcBorders>
            <w:vAlign w:val="center"/>
          </w:tcPr>
          <w:p w14:paraId="3D73A315" w14:textId="77777777" w:rsidR="00700762" w:rsidRPr="00F660FD" w:rsidRDefault="00700762" w:rsidP="00687D94">
            <w:pPr>
              <w:spacing w:before="0"/>
              <w:jc w:val="center"/>
            </w:pPr>
            <w:r w:rsidRPr="00F660FD">
              <w:t>1,175</w:t>
            </w:r>
          </w:p>
        </w:tc>
        <w:tc>
          <w:tcPr>
            <w:tcW w:w="2552" w:type="dxa"/>
            <w:tcBorders>
              <w:bottom w:val="single" w:sz="4" w:space="0" w:color="1B0B38"/>
            </w:tcBorders>
            <w:vAlign w:val="center"/>
          </w:tcPr>
          <w:p w14:paraId="184427DC" w14:textId="77777777" w:rsidR="00700762" w:rsidRPr="00F660FD" w:rsidRDefault="00700762" w:rsidP="00687D94">
            <w:pPr>
              <w:spacing w:before="0"/>
              <w:jc w:val="center"/>
            </w:pPr>
            <w:r w:rsidRPr="00BE297B">
              <w:t>1,890</w:t>
            </w:r>
          </w:p>
        </w:tc>
        <w:tc>
          <w:tcPr>
            <w:tcW w:w="1559" w:type="dxa"/>
            <w:tcBorders>
              <w:bottom w:val="single" w:sz="4" w:space="0" w:color="1B0B38"/>
            </w:tcBorders>
            <w:vAlign w:val="center"/>
          </w:tcPr>
          <w:p w14:paraId="09B9E47D" w14:textId="77777777" w:rsidR="00700762" w:rsidRPr="00F660FD" w:rsidRDefault="00700762" w:rsidP="00687D94">
            <w:pPr>
              <w:spacing w:before="0"/>
              <w:jc w:val="center"/>
            </w:pPr>
            <w:r w:rsidRPr="00F660FD">
              <w:t>-</w:t>
            </w:r>
          </w:p>
        </w:tc>
        <w:tc>
          <w:tcPr>
            <w:tcW w:w="1818" w:type="dxa"/>
            <w:tcBorders>
              <w:bottom w:val="single" w:sz="4" w:space="0" w:color="1B0B38"/>
            </w:tcBorders>
            <w:vAlign w:val="center"/>
          </w:tcPr>
          <w:p w14:paraId="3B7F406A" w14:textId="77777777" w:rsidR="00700762" w:rsidRPr="00F660FD" w:rsidRDefault="00700762" w:rsidP="00687D94">
            <w:pPr>
              <w:spacing w:before="0"/>
              <w:jc w:val="center"/>
            </w:pPr>
            <w:r w:rsidRPr="00F660FD">
              <w:t>765</w:t>
            </w:r>
          </w:p>
        </w:tc>
        <w:tc>
          <w:tcPr>
            <w:tcW w:w="1006" w:type="dxa"/>
            <w:tcBorders>
              <w:bottom w:val="single" w:sz="4" w:space="0" w:color="1B0B38"/>
            </w:tcBorders>
            <w:vAlign w:val="center"/>
          </w:tcPr>
          <w:p w14:paraId="1BD6F468" w14:textId="77777777" w:rsidR="00700762" w:rsidRPr="005B7884" w:rsidRDefault="00700762" w:rsidP="00687D94">
            <w:pPr>
              <w:spacing w:before="0"/>
              <w:jc w:val="center"/>
              <w:rPr>
                <w:b/>
                <w:bCs/>
              </w:rPr>
            </w:pPr>
            <w:r w:rsidRPr="005B7884">
              <w:rPr>
                <w:b/>
                <w:bCs/>
              </w:rPr>
              <w:t>3,830</w:t>
            </w:r>
          </w:p>
        </w:tc>
      </w:tr>
    </w:tbl>
    <w:p w14:paraId="442D8B58" w14:textId="77777777" w:rsidR="00700762" w:rsidRDefault="00700762" w:rsidP="00700762">
      <w:pPr>
        <w:rPr>
          <w:rStyle w:val="SubtleEmphasis"/>
          <w:i w:val="0"/>
          <w:sz w:val="16"/>
        </w:rPr>
      </w:pPr>
      <w:r w:rsidRPr="00D31640">
        <w:rPr>
          <w:rStyle w:val="SubtleEmphasis"/>
          <w:i w:val="0"/>
          <w:sz w:val="16"/>
        </w:rPr>
        <w:t xml:space="preserve">Source: </w:t>
      </w:r>
      <w:r>
        <w:rPr>
          <w:rStyle w:val="SubtleEmphasis"/>
          <w:i w:val="0"/>
          <w:sz w:val="16"/>
        </w:rPr>
        <w:t>ACIL Allen</w:t>
      </w:r>
    </w:p>
    <w:p w14:paraId="22477BD9" w14:textId="77777777" w:rsidR="00700762" w:rsidRDefault="00700762" w:rsidP="003F70FF">
      <w:pPr>
        <w:pStyle w:val="Heading6"/>
        <w:rPr>
          <w:rStyle w:val="SubtleEmphasis"/>
          <w:rFonts w:ascii="Arial" w:hAnsi="Arial" w:cs="Times New Roman"/>
          <w:i/>
          <w:iCs/>
          <w:sz w:val="16"/>
        </w:rPr>
      </w:pPr>
      <w:r w:rsidRPr="006E1000">
        <w:rPr>
          <w:rStyle w:val="SubtleEmphasis"/>
          <w:i/>
          <w:color w:val="003866" w:themeColor="accent1" w:themeShade="7F"/>
        </w:rPr>
        <w:t>2019 Regulations RIS</w:t>
      </w:r>
    </w:p>
    <w:p w14:paraId="2B66F53F" w14:textId="3A80020B" w:rsidR="00700762" w:rsidRDefault="00700762" w:rsidP="00700762">
      <w:r>
        <w:t xml:space="preserve">The RIS prepared for the 2019 Regulations assessed the cost to industry implications of the changes in the requirements for the rehabilitation component of work plans. Noting the lack of data available about rehabilitation planning costs, the </w:t>
      </w:r>
      <w:r w:rsidR="006D439C">
        <w:t>department</w:t>
      </w:r>
      <w:r>
        <w:t xml:space="preserve"> in that RIS estimated that these changes would result in a net increase in costs to industry associated with rehabilitation planning in the order of 20-30</w:t>
      </w:r>
      <w:r w:rsidR="00ED634E">
        <w:t xml:space="preserve"> per cent</w:t>
      </w:r>
      <w:r>
        <w:t>.</w:t>
      </w:r>
      <w:r>
        <w:rPr>
          <w:rStyle w:val="FootnoteReference"/>
        </w:rPr>
        <w:footnoteReference w:id="198"/>
      </w:r>
      <w:r>
        <w:t xml:space="preserve"> </w:t>
      </w:r>
    </w:p>
    <w:p w14:paraId="27DB3B51" w14:textId="751AC820" w:rsidR="00700762" w:rsidRDefault="00700762" w:rsidP="00700762">
      <w:r>
        <w:lastRenderedPageBreak/>
        <w:t xml:space="preserve">For the reasons discussed in </w:t>
      </w:r>
      <w:r w:rsidR="00E4009C">
        <w:t>section 5.2</w:t>
      </w:r>
      <w:r>
        <w:t xml:space="preserve"> of the RIS, the 2019 Regulations’ requirements (and their associated costs) do not form part of the base case for this analysis.</w:t>
      </w:r>
    </w:p>
    <w:p w14:paraId="207F6C91" w14:textId="77777777" w:rsidR="00700762" w:rsidRDefault="00700762" w:rsidP="00D50C43">
      <w:pPr>
        <w:pStyle w:val="Heading3"/>
        <w:numPr>
          <w:ilvl w:val="2"/>
          <w:numId w:val="124"/>
        </w:numPr>
      </w:pPr>
      <w:bookmarkStart w:id="396" w:name="_Toc104217724"/>
      <w:r>
        <w:t>Consultation with declared mine operators</w:t>
      </w:r>
      <w:bookmarkEnd w:id="396"/>
    </w:p>
    <w:p w14:paraId="57DC639E" w14:textId="03E69288" w:rsidR="004E6BC3" w:rsidRDefault="00700762" w:rsidP="00700762">
      <w:r>
        <w:t xml:space="preserve">The </w:t>
      </w:r>
      <w:r w:rsidR="006D439C">
        <w:t>department</w:t>
      </w:r>
      <w:r>
        <w:t xml:space="preserve"> undertook consultation with the current declared mine operators prior to and during the preparation of this RIS. Consultation took the form of </w:t>
      </w:r>
      <w:r w:rsidR="00857B9F">
        <w:t>several</w:t>
      </w:r>
      <w:r>
        <w:t xml:space="preserve"> workshop</w:t>
      </w:r>
      <w:r w:rsidR="00857B9F">
        <w:t>s</w:t>
      </w:r>
      <w:r>
        <w:t xml:space="preserve"> with each mine operator to discuss the</w:t>
      </w:r>
      <w:r w:rsidR="005C4365">
        <w:t xml:space="preserve"> proposed</w:t>
      </w:r>
      <w:r>
        <w:t xml:space="preserve"> options, and a set of follow-up questions </w:t>
      </w:r>
      <w:r w:rsidR="00EB14D7">
        <w:t xml:space="preserve">were </w:t>
      </w:r>
      <w:r>
        <w:t>provided to gather information about the impact of the options on the declared mine</w:t>
      </w:r>
      <w:r w:rsidR="005C4365">
        <w:t xml:space="preserve"> licensees</w:t>
      </w:r>
      <w:r>
        <w:t>.</w:t>
      </w:r>
      <w:r w:rsidR="001B7163">
        <w:t xml:space="preserve"> </w:t>
      </w:r>
      <w:r w:rsidR="005C4365">
        <w:t xml:space="preserve">Licensees </w:t>
      </w:r>
      <w:r w:rsidR="001B7163">
        <w:t>were asked a series of questions to ascertain</w:t>
      </w:r>
      <w:r w:rsidR="00D445AE">
        <w:t xml:space="preserve"> information around the key areas of reports </w:t>
      </w:r>
      <w:r w:rsidR="001F4383">
        <w:t>for the base case, option 1 and option 2 including:</w:t>
      </w:r>
    </w:p>
    <w:p w14:paraId="08218E58" w14:textId="2B1A830E" w:rsidR="001F4383" w:rsidRDefault="00C358C6" w:rsidP="00C358C6">
      <w:pPr>
        <w:pStyle w:val="dotpoints"/>
      </w:pPr>
      <w:r>
        <w:t xml:space="preserve">Mine rehabilitation planning and reporting – processes, </w:t>
      </w:r>
      <w:r w:rsidR="00E27870">
        <w:t>cost and effort</w:t>
      </w:r>
      <w:r w:rsidR="00DD5214">
        <w:t xml:space="preserve"> that </w:t>
      </w:r>
      <w:r w:rsidR="003D2C23">
        <w:t>were already reported as part of regular practice and what additional information gathering</w:t>
      </w:r>
      <w:r w:rsidR="00173B65">
        <w:t xml:space="preserve"> requirements</w:t>
      </w:r>
      <w:r w:rsidR="003D2C23">
        <w:t xml:space="preserve"> </w:t>
      </w:r>
      <w:r w:rsidR="008C3577">
        <w:t xml:space="preserve">would </w:t>
      </w:r>
      <w:r w:rsidR="00173B65">
        <w:t>be required</w:t>
      </w:r>
      <w:r w:rsidR="00F34417">
        <w:t xml:space="preserve"> after the </w:t>
      </w:r>
      <w:r w:rsidR="006D027C">
        <w:t>proposed Regulations</w:t>
      </w:r>
      <w:r w:rsidR="00F34417">
        <w:t xml:space="preserve"> commence. </w:t>
      </w:r>
    </w:p>
    <w:p w14:paraId="72D6A73B" w14:textId="33C99B93" w:rsidR="00C358C6" w:rsidRDefault="62BFFDCA" w:rsidP="00C358C6">
      <w:pPr>
        <w:pStyle w:val="dotpoints"/>
      </w:pPr>
      <w:r>
        <w:t>Developing post-closure plans and undertaking risk assessments.</w:t>
      </w:r>
    </w:p>
    <w:p w14:paraId="1237CEDB" w14:textId="47520134" w:rsidR="002761C9" w:rsidRDefault="70899A89" w:rsidP="00C358C6">
      <w:pPr>
        <w:pStyle w:val="dotpoints"/>
      </w:pPr>
      <w:r>
        <w:t>Stakeholder consultation.</w:t>
      </w:r>
    </w:p>
    <w:p w14:paraId="3D29E226" w14:textId="3B1540FC" w:rsidR="006C26BC" w:rsidRDefault="00733E43" w:rsidP="00700762">
      <w:r>
        <w:t>Comments provided during the workshops and w</w:t>
      </w:r>
      <w:r w:rsidR="00700762">
        <w:t xml:space="preserve">ritten submissions provided by the declared mine operators </w:t>
      </w:r>
      <w:r w:rsidR="008F42F5">
        <w:t>were</w:t>
      </w:r>
      <w:r w:rsidR="00700762">
        <w:t xml:space="preserve"> used to inform </w:t>
      </w:r>
      <w:r w:rsidR="00DB4530">
        <w:t>this RIS</w:t>
      </w:r>
      <w:r w:rsidR="007A691C">
        <w:t xml:space="preserve"> as follows:</w:t>
      </w:r>
    </w:p>
    <w:p w14:paraId="3F1AD3B4" w14:textId="77BBFAB4" w:rsidR="007A691C" w:rsidRDefault="007A691C" w:rsidP="007A691C">
      <w:pPr>
        <w:pStyle w:val="dotpoints"/>
      </w:pPr>
      <w:r>
        <w:t>Information provided around cost, effort and alignment with internal processes has been incorporated into the RIS to inform the assessment of the cost burden to industry</w:t>
      </w:r>
      <w:r w:rsidR="000F60BE">
        <w:t>.</w:t>
      </w:r>
      <w:r w:rsidR="008870E6">
        <w:t xml:space="preserve"> The industry costs</w:t>
      </w:r>
      <w:r w:rsidR="00162A7E">
        <w:t xml:space="preserve"> include reporting and planning activities </w:t>
      </w:r>
      <w:r w:rsidR="00B50EDD">
        <w:t xml:space="preserve">internal to the licensee </w:t>
      </w:r>
      <w:r w:rsidR="00CD4D5B">
        <w:t>and outsourced technical expertise</w:t>
      </w:r>
      <w:r w:rsidR="00E47E8F">
        <w:t xml:space="preserve"> </w:t>
      </w:r>
      <w:r w:rsidR="002B3375">
        <w:t xml:space="preserve">on </w:t>
      </w:r>
      <w:r w:rsidR="00C862A4">
        <w:t xml:space="preserve">rehabilitation </w:t>
      </w:r>
      <w:r w:rsidR="00E47E8F">
        <w:t>planning</w:t>
      </w:r>
      <w:r w:rsidR="002B3375">
        <w:t xml:space="preserve"> and </w:t>
      </w:r>
      <w:r w:rsidR="001133B2">
        <w:t>mine status determination.</w:t>
      </w:r>
    </w:p>
    <w:p w14:paraId="3CADE7EF" w14:textId="34B749F7" w:rsidR="006C26BC" w:rsidRDefault="007A691C" w:rsidP="007207D2">
      <w:pPr>
        <w:pStyle w:val="dotpoints"/>
      </w:pPr>
      <w:r>
        <w:t>General comments regarding the</w:t>
      </w:r>
      <w:r w:rsidR="00E61FED">
        <w:t xml:space="preserve"> definition of</w:t>
      </w:r>
      <w:r>
        <w:t xml:space="preserve"> options ha</w:t>
      </w:r>
      <w:r w:rsidR="00E61FED">
        <w:t>ve</w:t>
      </w:r>
      <w:r>
        <w:t xml:space="preserve"> not been included in the analysis where it was not specific to the impact of the option on industry</w:t>
      </w:r>
      <w:r w:rsidR="00EB3366">
        <w:t>.</w:t>
      </w:r>
    </w:p>
    <w:p w14:paraId="4563C763" w14:textId="7410D6A2" w:rsidR="000F60BE" w:rsidRDefault="000F60BE" w:rsidP="000F60BE">
      <w:bookmarkStart w:id="397" w:name="_Toc4161410"/>
      <w:r>
        <w:t xml:space="preserve">Information provided by declared mine operators has been supplemented with outcomes observed in other jurisdictions with similar regulatory arrangements to the proposed options that were the subject of the </w:t>
      </w:r>
      <w:r w:rsidR="00D66B9C">
        <w:t>inter</w:t>
      </w:r>
      <w:r>
        <w:t>jurisdictional review.</w:t>
      </w:r>
      <w:r w:rsidR="006C21F7">
        <w:t xml:space="preserve"> </w:t>
      </w:r>
      <w:r w:rsidR="00411479">
        <w:t xml:space="preserve">Refer to </w:t>
      </w:r>
      <w:r w:rsidR="006C21F7">
        <w:t xml:space="preserve">Appendix </w:t>
      </w:r>
      <w:r w:rsidR="006047FC">
        <w:t xml:space="preserve">A </w:t>
      </w:r>
      <w:r w:rsidR="00411479">
        <w:t xml:space="preserve">for more detail on the information collected from licensees </w:t>
      </w:r>
      <w:r w:rsidR="00794776">
        <w:t xml:space="preserve">and other stakeholders </w:t>
      </w:r>
      <w:r w:rsidR="008310C8">
        <w:t xml:space="preserve">during </w:t>
      </w:r>
      <w:r w:rsidR="006C21F7">
        <w:t>consultation.</w:t>
      </w:r>
    </w:p>
    <w:p w14:paraId="3D05657C" w14:textId="77777777" w:rsidR="00EA55B5" w:rsidRDefault="00EA55B5">
      <w:pPr>
        <w:spacing w:before="0" w:line="276" w:lineRule="auto"/>
        <w:rPr>
          <w:b/>
          <w:bCs/>
          <w:color w:val="201547"/>
          <w:sz w:val="36"/>
          <w:szCs w:val="32"/>
        </w:rPr>
      </w:pPr>
      <w:r>
        <w:br w:type="page"/>
      </w:r>
    </w:p>
    <w:p w14:paraId="332F1636" w14:textId="6A887241" w:rsidR="0024528B" w:rsidRPr="0024528B" w:rsidRDefault="0024528B" w:rsidP="00D50C43">
      <w:pPr>
        <w:pStyle w:val="Heading1"/>
        <w:numPr>
          <w:ilvl w:val="0"/>
          <w:numId w:val="124"/>
        </w:numPr>
      </w:pPr>
      <w:bookmarkStart w:id="398" w:name="_Toc104217725"/>
      <w:r w:rsidRPr="0024528B">
        <w:lastRenderedPageBreak/>
        <w:t>Preferred option</w:t>
      </w:r>
      <w:bookmarkEnd w:id="397"/>
      <w:bookmarkEnd w:id="398"/>
    </w:p>
    <w:p w14:paraId="3073EBDC" w14:textId="4E1DDCC4" w:rsidR="0024528B" w:rsidRDefault="0024528B" w:rsidP="0024528B">
      <w:r>
        <w:t xml:space="preserve">The </w:t>
      </w:r>
      <w:r w:rsidR="006D027C">
        <w:t>proposed Regulations</w:t>
      </w:r>
      <w:r>
        <w:t xml:space="preserve"> will make several changes to the current regulations,</w:t>
      </w:r>
      <w:r w:rsidR="00126D70">
        <w:t xml:space="preserve"> as described in </w:t>
      </w:r>
      <w:r w:rsidR="00DB7782">
        <w:t>Chapter</w:t>
      </w:r>
      <w:r w:rsidR="00126D70">
        <w:t xml:space="preserve"> 4</w:t>
      </w:r>
      <w:r>
        <w:t xml:space="preserve"> including:</w:t>
      </w:r>
    </w:p>
    <w:p w14:paraId="0046F932" w14:textId="525CB891" w:rsidR="009E2343" w:rsidRDefault="009E2343" w:rsidP="002109B2">
      <w:pPr>
        <w:pStyle w:val="dotpoints"/>
      </w:pPr>
      <w:r>
        <w:t xml:space="preserve">Introducing </w:t>
      </w:r>
      <w:r w:rsidR="00A35274">
        <w:t xml:space="preserve">matters to be included in </w:t>
      </w:r>
      <w:r w:rsidR="006823F9">
        <w:t xml:space="preserve">the DRMP </w:t>
      </w:r>
      <w:r>
        <w:t>that align with the sustainable development principles in s. 2A of the MRSD Act and encompass principles in the LVRRS and accepted best practice industry guidance to:</w:t>
      </w:r>
    </w:p>
    <w:p w14:paraId="3DD2B5A0" w14:textId="5BB58ACF" w:rsidR="009E2343" w:rsidRDefault="5970806E" w:rsidP="009E2343">
      <w:pPr>
        <w:pStyle w:val="dotpoints2"/>
        <w:ind w:left="909" w:hanging="425"/>
      </w:pPr>
      <w:r>
        <w:t>guide decision-makers in administering the declared mine obligations over the life of the mine, through closure and during post closure</w:t>
      </w:r>
      <w:r w:rsidR="00EB2AC2">
        <w:t>;</w:t>
      </w:r>
    </w:p>
    <w:p w14:paraId="578E9963" w14:textId="128ACD5B" w:rsidR="009E2343" w:rsidRDefault="5970806E" w:rsidP="009E2343">
      <w:pPr>
        <w:pStyle w:val="dotpoints2"/>
        <w:ind w:left="909" w:hanging="425"/>
      </w:pPr>
      <w:r>
        <w:t>assist licensees in meeting their obligations</w:t>
      </w:r>
      <w:r w:rsidR="00EB2AC2">
        <w:t>; and</w:t>
      </w:r>
    </w:p>
    <w:p w14:paraId="149F4029" w14:textId="77777777" w:rsidR="009E2343" w:rsidRDefault="009E2343" w:rsidP="009E2343">
      <w:pPr>
        <w:pStyle w:val="dotpoints2"/>
        <w:ind w:left="909" w:hanging="425"/>
      </w:pPr>
      <w:r>
        <w:t>provide licensees and the community with clear expectations about how sustainability would be embedded in government decisions relating to declared mines.</w:t>
      </w:r>
    </w:p>
    <w:p w14:paraId="3C6D2C87" w14:textId="77777777" w:rsidR="009E2343" w:rsidRDefault="009E2343" w:rsidP="002109B2">
      <w:pPr>
        <w:pStyle w:val="dotpoints"/>
      </w:pPr>
      <w:r>
        <w:t>Requiring additional information to be included in the DMRP, including:</w:t>
      </w:r>
    </w:p>
    <w:p w14:paraId="43520365" w14:textId="6E495314" w:rsidR="009E2343" w:rsidRDefault="0CE786A5" w:rsidP="009E2343">
      <w:pPr>
        <w:pStyle w:val="dotpoints2"/>
        <w:ind w:left="909" w:hanging="425"/>
      </w:pPr>
      <w:r>
        <w:t>a</w:t>
      </w:r>
      <w:r w:rsidR="5970806E">
        <w:t xml:space="preserve"> proposed final landform or landforms that are safe, stable and sustainable through passive controls, to the extent practicable</w:t>
      </w:r>
      <w:r w:rsidR="004B12C1">
        <w:t>;</w:t>
      </w:r>
    </w:p>
    <w:p w14:paraId="3C59170D" w14:textId="4A2185C4" w:rsidR="009E2343" w:rsidRDefault="0CE786A5" w:rsidP="009E2343">
      <w:pPr>
        <w:pStyle w:val="dotpoints2"/>
        <w:ind w:left="909" w:hanging="425"/>
      </w:pPr>
      <w:r>
        <w:t>r</w:t>
      </w:r>
      <w:r w:rsidR="5970806E">
        <w:t xml:space="preserve">ehabilitation and site-specific closure objectives consistent with </w:t>
      </w:r>
      <w:r w:rsidR="7D277E34">
        <w:t>Ministerial guidelines</w:t>
      </w:r>
      <w:r w:rsidR="01C8001B">
        <w:t xml:space="preserve"> or information approved by the Department Head</w:t>
      </w:r>
      <w:r w:rsidR="5970806E">
        <w:t xml:space="preserve"> that set out distinct rehabilitation domains that collectively amount to the landform proposed</w:t>
      </w:r>
      <w:r w:rsidR="004B12C1">
        <w:t>;</w:t>
      </w:r>
    </w:p>
    <w:p w14:paraId="40D63400" w14:textId="03158A0C" w:rsidR="009E2343" w:rsidRDefault="0CE786A5" w:rsidP="009E2343">
      <w:pPr>
        <w:pStyle w:val="dotpoints2"/>
        <w:ind w:left="909" w:hanging="425"/>
      </w:pPr>
      <w:r>
        <w:t>p</w:t>
      </w:r>
      <w:r w:rsidR="5970806E">
        <w:t xml:space="preserve">roposed rehabilitation and closure milestones which identify each </w:t>
      </w:r>
      <w:r w:rsidR="3E8E1619">
        <w:t>relevant</w:t>
      </w:r>
      <w:r w:rsidR="5970806E">
        <w:t xml:space="preserve"> event or step necessary to rehabilitate the land to a safe, stable and sustainable condition</w:t>
      </w:r>
      <w:r w:rsidR="004B12C1">
        <w:t>;</w:t>
      </w:r>
    </w:p>
    <w:p w14:paraId="7495BB83" w14:textId="5DDD0E83" w:rsidR="009E2343" w:rsidRDefault="0CE786A5" w:rsidP="009E2343">
      <w:pPr>
        <w:pStyle w:val="dotpoints2"/>
        <w:ind w:left="909" w:hanging="425"/>
      </w:pPr>
      <w:r>
        <w:t>m</w:t>
      </w:r>
      <w:r w:rsidR="5970806E">
        <w:t xml:space="preserve">ilestones </w:t>
      </w:r>
      <w:r w:rsidR="2932503D">
        <w:t xml:space="preserve">required to meet the closure criteria and </w:t>
      </w:r>
      <w:r w:rsidR="48DBE392">
        <w:t>for obtaining the relevant legal approvals and permissions required for rehabilitation</w:t>
      </w:r>
      <w:r w:rsidR="15EF411A">
        <w:t>, closure and post-closure</w:t>
      </w:r>
      <w:r w:rsidR="004B12C1">
        <w:t>;</w:t>
      </w:r>
    </w:p>
    <w:p w14:paraId="2F4796CA" w14:textId="539CE977" w:rsidR="009E2343" w:rsidRDefault="0CE786A5" w:rsidP="009E2343">
      <w:pPr>
        <w:pStyle w:val="dotpoints2"/>
        <w:ind w:left="909" w:hanging="425"/>
      </w:pPr>
      <w:r>
        <w:t>r</w:t>
      </w:r>
      <w:r w:rsidR="5970806E">
        <w:t>isk assessment and risk management plan which identifies and provides management for</w:t>
      </w:r>
      <w:r w:rsidR="516EE152">
        <w:t xml:space="preserve"> rehabilitation risks and hazards</w:t>
      </w:r>
      <w:r w:rsidR="3B9A14AC">
        <w:t>,</w:t>
      </w:r>
      <w:r w:rsidR="5970806E">
        <w:t xml:space="preserve"> risks that may lead to early or sudden cessation of operations or mine closure, and risks that may affect the rehabilitation outcomes, objectives and milestones in the DMRP</w:t>
      </w:r>
      <w:r w:rsidR="004B12C1">
        <w:t>;</w:t>
      </w:r>
      <w:r w:rsidR="5970806E">
        <w:t xml:space="preserve"> </w:t>
      </w:r>
    </w:p>
    <w:p w14:paraId="68708325" w14:textId="344B1619" w:rsidR="009E2343" w:rsidRDefault="0CE786A5" w:rsidP="009E2343">
      <w:pPr>
        <w:pStyle w:val="dotpoints2"/>
        <w:ind w:left="909" w:hanging="425"/>
      </w:pPr>
      <w:r>
        <w:t>n</w:t>
      </w:r>
      <w:r w:rsidR="5970806E">
        <w:t>ominating a post-mining land use</w:t>
      </w:r>
      <w:r w:rsidR="004B12C1">
        <w:t>; and</w:t>
      </w:r>
    </w:p>
    <w:p w14:paraId="3F641262" w14:textId="6951A191" w:rsidR="009E2343" w:rsidRDefault="009E2343" w:rsidP="009E2343">
      <w:pPr>
        <w:pStyle w:val="dotpoints2"/>
        <w:ind w:left="909" w:hanging="425"/>
      </w:pPr>
      <w:r>
        <w:t xml:space="preserve">closure criteria </w:t>
      </w:r>
      <w:r w:rsidR="00266CAF">
        <w:t>to be met by the declared mine licensee for the closure of the mine on the declared mine land</w:t>
      </w:r>
      <w:r>
        <w:t>.</w:t>
      </w:r>
    </w:p>
    <w:p w14:paraId="7D2221AC" w14:textId="7BB02B96" w:rsidR="009E2343" w:rsidRDefault="009E2343" w:rsidP="002109B2">
      <w:pPr>
        <w:pStyle w:val="dotpoints"/>
      </w:pPr>
      <w:r>
        <w:t>Introducing post-closure plan requirements to:</w:t>
      </w:r>
    </w:p>
    <w:p w14:paraId="2172CF27" w14:textId="3893F0C3" w:rsidR="009E2343" w:rsidRPr="00CE1D3C" w:rsidRDefault="268AC7A2" w:rsidP="009E2343">
      <w:pPr>
        <w:pStyle w:val="dotpoints2"/>
        <w:ind w:left="909" w:hanging="425"/>
      </w:pPr>
      <w:r>
        <w:t xml:space="preserve">as far as reasonably practicable, </w:t>
      </w:r>
      <w:r w:rsidR="0CE786A5">
        <w:t>i</w:t>
      </w:r>
      <w:r w:rsidR="5970806E">
        <w:t>dentify who is responsible for post-closure monitoring and maintenance activities</w:t>
      </w:r>
      <w:r w:rsidR="000B4BAC">
        <w:t>;</w:t>
      </w:r>
      <w:r w:rsidR="5970806E">
        <w:t xml:space="preserve"> </w:t>
      </w:r>
    </w:p>
    <w:p w14:paraId="4C81D4D2" w14:textId="5F8C8C75" w:rsidR="009E2343" w:rsidRPr="00CE1D3C" w:rsidRDefault="0CE786A5" w:rsidP="009E2343">
      <w:pPr>
        <w:pStyle w:val="dotpoints2"/>
        <w:ind w:left="909" w:hanging="425"/>
      </w:pPr>
      <w:r>
        <w:t>i</w:t>
      </w:r>
      <w:r w:rsidR="5970806E">
        <w:t>dentify the ongoing monitoring and maintenance activities required to maintain the declared mine land in a safe and stable state</w:t>
      </w:r>
      <w:r w:rsidR="004B12C1">
        <w:t>;</w:t>
      </w:r>
    </w:p>
    <w:p w14:paraId="2BCE6B56" w14:textId="7D34B39D" w:rsidR="009E2343" w:rsidRPr="00CE1D3C" w:rsidRDefault="0CE786A5" w:rsidP="009E2343">
      <w:pPr>
        <w:pStyle w:val="dotpoints2"/>
        <w:ind w:left="909" w:hanging="425"/>
      </w:pPr>
      <w:r>
        <w:t>i</w:t>
      </w:r>
      <w:r w:rsidR="5970806E">
        <w:t>nclude a risk management plan for known and credible risks</w:t>
      </w:r>
      <w:r w:rsidR="004B12C1">
        <w:t>;</w:t>
      </w:r>
    </w:p>
    <w:p w14:paraId="404483E6" w14:textId="5B7D90B1" w:rsidR="00340A15" w:rsidRDefault="592C5D87" w:rsidP="009E2343">
      <w:pPr>
        <w:pStyle w:val="dotpoints2"/>
        <w:ind w:left="909" w:hanging="425"/>
      </w:pPr>
      <w:r>
        <w:t>as far as reasonably practicable</w:t>
      </w:r>
      <w:r w:rsidR="2E6EEFB9">
        <w:t xml:space="preserve">, </w:t>
      </w:r>
      <w:r w:rsidR="5970806E">
        <w:t>specify the time and manner in which the ongoing monitoring and maintenance activities will be carried out</w:t>
      </w:r>
      <w:r w:rsidR="00B351B2">
        <w:t>; and</w:t>
      </w:r>
    </w:p>
    <w:p w14:paraId="28F87D10" w14:textId="30A2A329" w:rsidR="009E2343" w:rsidRPr="00CE1D3C" w:rsidRDefault="00340A15" w:rsidP="009E2343">
      <w:pPr>
        <w:pStyle w:val="dotpoints2"/>
        <w:ind w:left="909" w:hanging="425"/>
      </w:pPr>
      <w:r>
        <w:t>as far as reasonably practicable, specify any data, reports and information to be provided to the Authority once the plan is registered</w:t>
      </w:r>
      <w:r w:rsidR="00751393">
        <w:t>.</w:t>
      </w:r>
    </w:p>
    <w:p w14:paraId="5FE298D7" w14:textId="4ADF173B" w:rsidR="009E2343" w:rsidRDefault="009E2343" w:rsidP="002109B2">
      <w:pPr>
        <w:pStyle w:val="dotpoints"/>
      </w:pPr>
      <w:r>
        <w:t xml:space="preserve">Introducing additional annual reporting requirements on rehabilitation activities and progress against defined milestones in the DMRP, </w:t>
      </w:r>
      <w:r w:rsidR="008B2CE1">
        <w:t>community engagement</w:t>
      </w:r>
      <w:r>
        <w:t>, research undertaken, site status and rehabilitation planning updates.</w:t>
      </w:r>
    </w:p>
    <w:p w14:paraId="130E5BA1" w14:textId="22B33341" w:rsidR="009E2343" w:rsidRDefault="009E2343" w:rsidP="002109B2">
      <w:pPr>
        <w:pStyle w:val="dotpoints"/>
      </w:pPr>
      <w:r>
        <w:t xml:space="preserve">Introducing </w:t>
      </w:r>
      <w:r w:rsidR="00601A23">
        <w:t>annual</w:t>
      </w:r>
      <w:r>
        <w:t xml:space="preserve"> reviews of</w:t>
      </w:r>
      <w:r w:rsidR="00601A23">
        <w:t xml:space="preserve"> rehabilitation and post-closure management risks</w:t>
      </w:r>
      <w:r w:rsidR="00D81588">
        <w:t xml:space="preserve"> identified in</w:t>
      </w:r>
      <w:r>
        <w:t xml:space="preserve"> DMRPs.</w:t>
      </w:r>
    </w:p>
    <w:p w14:paraId="28DDFC11" w14:textId="77777777" w:rsidR="009E2343" w:rsidRDefault="009E2343" w:rsidP="002109B2">
      <w:pPr>
        <w:pStyle w:val="dotpoints"/>
      </w:pPr>
      <w:r>
        <w:t>Specifying requirements regarding mine closure applications and decision-making:</w:t>
      </w:r>
    </w:p>
    <w:p w14:paraId="671BE413" w14:textId="15EDFB26" w:rsidR="009E2343" w:rsidRDefault="004B12C1" w:rsidP="009E2343">
      <w:pPr>
        <w:pStyle w:val="dotpoints2"/>
        <w:ind w:left="909" w:hanging="425"/>
      </w:pPr>
      <w:r>
        <w:t>r</w:t>
      </w:r>
      <w:r w:rsidR="009E2343">
        <w:t xml:space="preserve">equiring evidence to be provided with closure application (tied to </w:t>
      </w:r>
      <w:r w:rsidR="007A4C2E">
        <w:t>closure criteria</w:t>
      </w:r>
      <w:r w:rsidR="00B9337F">
        <w:t xml:space="preserve"> and community and stakeholder engagement</w:t>
      </w:r>
      <w:r w:rsidR="009E2343">
        <w:t>)</w:t>
      </w:r>
      <w:r w:rsidR="00024CE1">
        <w:t>;</w:t>
      </w:r>
    </w:p>
    <w:p w14:paraId="3409AD2E" w14:textId="65C8AC2E" w:rsidR="009E2343" w:rsidRDefault="004B12C1" w:rsidP="009E2343">
      <w:pPr>
        <w:pStyle w:val="dotpoints2"/>
        <w:ind w:left="909" w:hanging="425"/>
      </w:pPr>
      <w:r>
        <w:t>s</w:t>
      </w:r>
      <w:r w:rsidR="009E2343">
        <w:t xml:space="preserve">pecifying matters that must be considered by the decision-maker with regard to the closure application (tied to </w:t>
      </w:r>
      <w:r w:rsidR="00EB5096">
        <w:t>closure criteria</w:t>
      </w:r>
      <w:r w:rsidR="00B9337F">
        <w:t xml:space="preserve"> and community and stakeholder engagement</w:t>
      </w:r>
      <w:r w:rsidR="009E2343">
        <w:t>)</w:t>
      </w:r>
      <w:r w:rsidR="00024CE1">
        <w:t>;</w:t>
      </w:r>
    </w:p>
    <w:p w14:paraId="72459659" w14:textId="460C5C78" w:rsidR="009E2343" w:rsidRDefault="004B12C1" w:rsidP="009E2343">
      <w:pPr>
        <w:pStyle w:val="dotpoints2"/>
        <w:ind w:left="909" w:hanging="425"/>
      </w:pPr>
      <w:r>
        <w:t>s</w:t>
      </w:r>
      <w:r w:rsidR="009E2343">
        <w:t>pecifying an extended list of referrals/consultations to be undertaken by decision-maker</w:t>
      </w:r>
    </w:p>
    <w:p w14:paraId="72A5CFF6" w14:textId="7009A576" w:rsidR="009E2343" w:rsidRDefault="009E2343" w:rsidP="002109B2">
      <w:pPr>
        <w:pStyle w:val="dotpoints"/>
      </w:pPr>
      <w:r>
        <w:t xml:space="preserve">Introducing information requirements with respect to the declared mine land that would need to be included on the mine land register upon registration, including the location of the </w:t>
      </w:r>
      <w:r w:rsidR="00916662">
        <w:t>declared mine land</w:t>
      </w:r>
      <w:r>
        <w:t xml:space="preserve">, identification of </w:t>
      </w:r>
      <w:r>
        <w:lastRenderedPageBreak/>
        <w:t xml:space="preserve">the current landowner or land manager, and a description of the </w:t>
      </w:r>
      <w:r w:rsidR="0032354E">
        <w:t xml:space="preserve">mine located on the </w:t>
      </w:r>
      <w:r w:rsidR="00964D72">
        <w:t>declared mine land</w:t>
      </w:r>
      <w:r>
        <w:t xml:space="preserve"> and activities that were conducted on the </w:t>
      </w:r>
      <w:r w:rsidR="00964D72">
        <w:t>land</w:t>
      </w:r>
      <w:r>
        <w:t>.</w:t>
      </w:r>
    </w:p>
    <w:p w14:paraId="5E28057B" w14:textId="77777777" w:rsidR="009E2343" w:rsidRDefault="009E2343" w:rsidP="002109B2">
      <w:pPr>
        <w:pStyle w:val="dotpoints"/>
      </w:pPr>
      <w:r>
        <w:t>Prescribing the baseline evidence which the Minister would use to determine the amount to be paid into the Declared Mine Fund.</w:t>
      </w:r>
    </w:p>
    <w:p w14:paraId="3284D5A0" w14:textId="0AB1DEC6" w:rsidR="00AF02EF" w:rsidRDefault="00AF02EF" w:rsidP="00AF02EF">
      <w:pPr>
        <w:pStyle w:val="ListBullet"/>
        <w:numPr>
          <w:ilvl w:val="0"/>
          <w:numId w:val="0"/>
        </w:numPr>
        <w:ind w:left="360" w:hanging="360"/>
      </w:pPr>
    </w:p>
    <w:p w14:paraId="734AA74E" w14:textId="7241F011" w:rsidR="00AF02EF" w:rsidRPr="00AF02EF" w:rsidRDefault="00AF02EF" w:rsidP="00D50C43">
      <w:pPr>
        <w:pStyle w:val="Heading2"/>
        <w:numPr>
          <w:ilvl w:val="1"/>
          <w:numId w:val="124"/>
        </w:numPr>
      </w:pPr>
      <w:bookmarkStart w:id="399" w:name="_Toc4161411"/>
      <w:bookmarkStart w:id="400" w:name="_Toc104217726"/>
      <w:r w:rsidRPr="00AF02EF">
        <w:t xml:space="preserve">Expected impacts of the </w:t>
      </w:r>
      <w:r w:rsidR="006D027C">
        <w:t>proposed Regulations</w:t>
      </w:r>
      <w:bookmarkEnd w:id="399"/>
      <w:bookmarkEnd w:id="400"/>
    </w:p>
    <w:p w14:paraId="0A1A4496" w14:textId="33227F8A" w:rsidR="002109B2" w:rsidRDefault="002109B2" w:rsidP="002109B2">
      <w:r>
        <w:t xml:space="preserve">This section provides a summary of the analysis of the expected impacts (costs and benefits) of the </w:t>
      </w:r>
      <w:r w:rsidR="006D027C">
        <w:t>proposed Regulations</w:t>
      </w:r>
      <w:r>
        <w:t xml:space="preserve"> in Chapter 6. Overall, Option 2 is more suited to the uncertain environment in which declared mine rehabilitation is occurring and allows for and accommodates changing circumstances through the iterative approach to rehabilitation planning and the </w:t>
      </w:r>
      <w:r w:rsidR="00CA57D1">
        <w:t>annual</w:t>
      </w:r>
      <w:r>
        <w:t xml:space="preserve"> review cycle.</w:t>
      </w:r>
    </w:p>
    <w:p w14:paraId="2CC5E651" w14:textId="4E7C8D0D" w:rsidR="002109B2" w:rsidRDefault="002109B2" w:rsidP="002109B2">
      <w:r>
        <w:t xml:space="preserve">The expected benefits of the </w:t>
      </w:r>
      <w:r w:rsidR="006D027C">
        <w:t>proposed Regulations</w:t>
      </w:r>
      <w:r>
        <w:t xml:space="preserve"> include:</w:t>
      </w:r>
    </w:p>
    <w:p w14:paraId="3F217144" w14:textId="77777777" w:rsidR="002109B2" w:rsidRDefault="002109B2" w:rsidP="002109B2">
      <w:pPr>
        <w:pStyle w:val="dotpoints"/>
      </w:pPr>
      <w:r>
        <w:t xml:space="preserve">More detailed rehabilitation plan and long-term risk management requirements to better address externalities and manage risks associated with declared mines, including post closure risks. Information in DMRPs would link to clear outcomes and include closure criteria, rehabilitation milestones and a post closure plan. </w:t>
      </w:r>
    </w:p>
    <w:p w14:paraId="01030E41" w14:textId="0DB5E032" w:rsidR="002109B2" w:rsidRDefault="3FF3CFA6" w:rsidP="002109B2">
      <w:pPr>
        <w:pStyle w:val="dotpoints"/>
      </w:pPr>
      <w:r>
        <w:t>Improved rehabilitation plans and clearer referral requirements, which support better integrated government decision-making and rehabilitation planning due to the additional information required to be provided by mine licensees under the DMRP and annual reporting.</w:t>
      </w:r>
    </w:p>
    <w:p w14:paraId="6D469134" w14:textId="1566A413" w:rsidR="002109B2" w:rsidRDefault="3FF3CFA6" w:rsidP="002109B2">
      <w:pPr>
        <w:pStyle w:val="dotpoints"/>
      </w:pPr>
      <w:r>
        <w:t>Improved rehabilitation plans resulting in reduced risks to the community and environment from mining operations.</w:t>
      </w:r>
    </w:p>
    <w:p w14:paraId="473D5D92" w14:textId="1DB13270" w:rsidR="002109B2" w:rsidRDefault="3FF3CFA6" w:rsidP="002109B2">
      <w:pPr>
        <w:pStyle w:val="dotpoints"/>
      </w:pPr>
      <w:r>
        <w:t xml:space="preserve">The flexible approach to rehabilitation planning facilitates better management of declared mine risk and more accurate assessment of liability, which is more suited to the uncertain environment in which declared mine rehabilitation is occurring and allows for and accommodates changing circumstances through the iterative approach to planning and the </w:t>
      </w:r>
      <w:r w:rsidR="6C9DE691">
        <w:t>annual</w:t>
      </w:r>
      <w:r>
        <w:t xml:space="preserve"> review</w:t>
      </w:r>
      <w:r w:rsidR="64A13C8A">
        <w:t xml:space="preserve"> of rehabilitation and post-closure management risks.</w:t>
      </w:r>
    </w:p>
    <w:p w14:paraId="183B7BCA" w14:textId="31E8BBBE" w:rsidR="002109B2" w:rsidRDefault="3FF3CFA6" w:rsidP="002109B2">
      <w:pPr>
        <w:pStyle w:val="dotpoints"/>
      </w:pPr>
      <w:r>
        <w:t>Appropriate and integrated decision-making as it prescribes matters to be considered and parties to be consulted which provides a greater level of clarity for both government and industry.</w:t>
      </w:r>
    </w:p>
    <w:p w14:paraId="3D08AE61" w14:textId="487745AF" w:rsidR="002109B2" w:rsidRDefault="3FF3CFA6" w:rsidP="002109B2">
      <w:pPr>
        <w:pStyle w:val="dotpoints"/>
      </w:pPr>
      <w:r>
        <w:t>A significantly more transparent approach to the mine closure determination decision-making process.</w:t>
      </w:r>
    </w:p>
    <w:p w14:paraId="11168958" w14:textId="77777777" w:rsidR="002109B2" w:rsidRDefault="002109B2" w:rsidP="002109B2">
      <w:pPr>
        <w:pStyle w:val="dotpoints"/>
      </w:pPr>
      <w:r>
        <w:t>More effective gathering and recording of information about declared mine land by government, which assists in more accurate evaluation of liability and planning for post closure management of declared mine land.</w:t>
      </w:r>
    </w:p>
    <w:p w14:paraId="289FC119" w14:textId="3C7E1121" w:rsidR="002109B2" w:rsidRDefault="002109B2" w:rsidP="002109B2">
      <w:r>
        <w:t xml:space="preserve">Noting the limited data available on regulatory burden for declared mines, the </w:t>
      </w:r>
      <w:r w:rsidR="004B12C1">
        <w:t>d</w:t>
      </w:r>
      <w:r>
        <w:t xml:space="preserve">epartment estimates that the additional rehabilitation requirements in the </w:t>
      </w:r>
      <w:r w:rsidR="006D027C">
        <w:t>proposed Regulations</w:t>
      </w:r>
      <w:r>
        <w:t xml:space="preserve"> will increase cost to industry overall. </w:t>
      </w:r>
      <w:r w:rsidRPr="001D3C4C">
        <w:t xml:space="preserve">The expected </w:t>
      </w:r>
      <w:r>
        <w:t>costs to industry</w:t>
      </w:r>
      <w:r w:rsidRPr="001D3C4C">
        <w:t xml:space="preserve"> of the </w:t>
      </w:r>
      <w:r w:rsidR="006D027C">
        <w:t>proposed Regulations</w:t>
      </w:r>
      <w:r w:rsidRPr="001D3C4C">
        <w:t xml:space="preserve"> include:</w:t>
      </w:r>
    </w:p>
    <w:p w14:paraId="13BFA48A" w14:textId="565342EB" w:rsidR="002109B2" w:rsidRDefault="002109B2" w:rsidP="002109B2">
      <w:pPr>
        <w:pStyle w:val="dotpoints"/>
      </w:pPr>
      <w:r>
        <w:t xml:space="preserve">Additional costs to prepare the additional information required for a DMRP, including assessment of the risks posed by the geotechnical, hydrogeological, water quality or hydrological factors within declared mine land and a post-closure plan. The iterative approach to developing the DMRP under the </w:t>
      </w:r>
      <w:r w:rsidR="006D027C">
        <w:t>proposed Regulations</w:t>
      </w:r>
      <w:r>
        <w:t xml:space="preserve"> suggests the costs would be incurred over a longer period of time, potentially more aligned to when information about the mine site is accumulated through usual business operations, which may mitigate some of the increased costs</w:t>
      </w:r>
      <w:r w:rsidR="00751393">
        <w:t>.</w:t>
      </w:r>
    </w:p>
    <w:p w14:paraId="3A180E69" w14:textId="05958439" w:rsidR="002109B2" w:rsidRDefault="002109B2" w:rsidP="002109B2">
      <w:pPr>
        <w:pStyle w:val="dotpoints"/>
      </w:pPr>
      <w:r>
        <w:t>Moderate increase in costs for mine licensees with regard to mine closure, as a result of the evidence required to show that the closure criteria have been met as part of their applications for a closure determination</w:t>
      </w:r>
      <w:r w:rsidR="00751393">
        <w:t>.</w:t>
      </w:r>
    </w:p>
    <w:p w14:paraId="47EDA889" w14:textId="1C633A32" w:rsidR="002109B2" w:rsidRDefault="002109B2" w:rsidP="002109B2">
      <w:pPr>
        <w:pStyle w:val="dotpoints"/>
      </w:pPr>
      <w:r>
        <w:t xml:space="preserve">Potential cost savings with regards to the Declared Mine Fund requirements in the </w:t>
      </w:r>
      <w:r w:rsidR="006D027C">
        <w:t>proposed Regulations</w:t>
      </w:r>
      <w:r>
        <w:t>, as the increased clarity and lower risk associated with a prescribed calculation method reduces costs for licensees.</w:t>
      </w:r>
    </w:p>
    <w:p w14:paraId="74492454" w14:textId="6F7F7ACC" w:rsidR="00BC0DB7" w:rsidRDefault="3FF3CFA6" w:rsidP="00BC0DB7">
      <w:pPr>
        <w:pStyle w:val="dotpoints"/>
        <w:numPr>
          <w:ilvl w:val="0"/>
          <w:numId w:val="0"/>
        </w:numPr>
      </w:pPr>
      <w:r>
        <w:t xml:space="preserve">The </w:t>
      </w:r>
      <w:r w:rsidR="4DCF1E64">
        <w:t>D</w:t>
      </w:r>
      <w:r>
        <w:t xml:space="preserve">epartment also expects the additional information requirements in the </w:t>
      </w:r>
      <w:r w:rsidR="006D027C">
        <w:t>proposed Regulations</w:t>
      </w:r>
      <w:r>
        <w:t xml:space="preserve"> to increase costs to government in administering and enforcing the regulations. The expected costs to government of the </w:t>
      </w:r>
      <w:r w:rsidR="006D027C">
        <w:t>proposed Regulations</w:t>
      </w:r>
      <w:r>
        <w:t xml:space="preserve"> include:</w:t>
      </w:r>
    </w:p>
    <w:p w14:paraId="33C69AC4" w14:textId="5E2E525C" w:rsidR="002109B2" w:rsidRDefault="3FF3CFA6" w:rsidP="00FC2F3D">
      <w:pPr>
        <w:pStyle w:val="dotpoints"/>
        <w:numPr>
          <w:ilvl w:val="0"/>
          <w:numId w:val="126"/>
        </w:numPr>
      </w:pPr>
      <w:r>
        <w:t>increased costs to government from ERR assessing greater volumes of information in the DMR</w:t>
      </w:r>
      <w:r w:rsidR="00733937">
        <w:t xml:space="preserve">P </w:t>
      </w:r>
      <w:r>
        <w:t>including more detailed risk assessments and a post-closure plan for each of the declared mines</w:t>
      </w:r>
    </w:p>
    <w:p w14:paraId="652C0E31" w14:textId="2E88E4FD" w:rsidR="002109B2" w:rsidRDefault="3FF3CFA6" w:rsidP="00C81330">
      <w:pPr>
        <w:pStyle w:val="dotpoints"/>
        <w:numPr>
          <w:ilvl w:val="1"/>
          <w:numId w:val="115"/>
        </w:numPr>
      </w:pPr>
      <w:r>
        <w:t>additional cost from the introduction of regular reviews of the DMRP by ERR and the additional</w:t>
      </w:r>
      <w:r w:rsidR="00733937">
        <w:t xml:space="preserve"> </w:t>
      </w:r>
      <w:r>
        <w:t>information to be reviewed as part of the annual reviews</w:t>
      </w:r>
    </w:p>
    <w:p w14:paraId="6B9B6A6D" w14:textId="168DD980" w:rsidR="002109B2" w:rsidRDefault="3FF3CFA6" w:rsidP="002109B2">
      <w:pPr>
        <w:pStyle w:val="dotpoints"/>
        <w:numPr>
          <w:ilvl w:val="1"/>
          <w:numId w:val="115"/>
        </w:numPr>
      </w:pPr>
      <w:r>
        <w:lastRenderedPageBreak/>
        <w:t>Moderate increase in costs as a result of the assessment of additional evidence supporting the</w:t>
      </w:r>
      <w:r w:rsidR="00733937">
        <w:t xml:space="preserve"> </w:t>
      </w:r>
      <w:r>
        <w:t>application for a closure determination and prescribed consultation.</w:t>
      </w:r>
    </w:p>
    <w:p w14:paraId="4467A668" w14:textId="77777777" w:rsidR="00AF02EF" w:rsidRPr="008D117B" w:rsidRDefault="00AF02EF" w:rsidP="00D50C43">
      <w:pPr>
        <w:pStyle w:val="Heading2"/>
        <w:numPr>
          <w:ilvl w:val="1"/>
          <w:numId w:val="124"/>
        </w:numPr>
      </w:pPr>
      <w:bookmarkStart w:id="401" w:name="_Toc4161412"/>
      <w:bookmarkStart w:id="402" w:name="_Toc104217727"/>
      <w:r w:rsidRPr="008D117B">
        <w:t>Competition assessment</w:t>
      </w:r>
      <w:bookmarkEnd w:id="401"/>
      <w:bookmarkEnd w:id="402"/>
    </w:p>
    <w:p w14:paraId="5767B454" w14:textId="1CC817F0" w:rsidR="00AF02EF" w:rsidRDefault="00AF02EF" w:rsidP="00AF02EF">
      <w:r w:rsidRPr="001D3C4C">
        <w:t>A RIS is required to examine whether a proposal will affect competition.</w:t>
      </w:r>
    </w:p>
    <w:p w14:paraId="407DDE78" w14:textId="77777777" w:rsidR="00AF02EF" w:rsidRDefault="00AF02EF" w:rsidP="00AF02EF">
      <w:r w:rsidRPr="001D3C4C">
        <w:t>Any regulatory proposal needs to be scrutinised carefully to assess whether it is having an adverse impact on the ability of firms or individuals to enter and participate in the market. As a matter of good public policy, it is a fundamental principle in Victoria that any new legislation (both primary and subordinate) will not restrict competition unless it can be demonstrated that:</w:t>
      </w:r>
    </w:p>
    <w:p w14:paraId="37CC8746" w14:textId="77777777" w:rsidR="00AF02EF" w:rsidRDefault="00AF02EF" w:rsidP="00AF02EF">
      <w:pPr>
        <w:pStyle w:val="ListBullet"/>
      </w:pPr>
      <w:r>
        <w:t>the benefits of the restriction outweigh the costs, and</w:t>
      </w:r>
    </w:p>
    <w:p w14:paraId="3C6E4E90" w14:textId="77777777" w:rsidR="00AF02EF" w:rsidRPr="00B63B43" w:rsidRDefault="00AF02EF" w:rsidP="00AF02EF">
      <w:pPr>
        <w:pStyle w:val="ListBullet"/>
      </w:pPr>
      <w:r>
        <w:t>the objectives of the legislation can only be achieved by restricting competition.</w:t>
      </w:r>
    </w:p>
    <w:p w14:paraId="2730DCCF" w14:textId="33A098C9" w:rsidR="00AF02EF" w:rsidRPr="00E41BD5" w:rsidRDefault="00AF02EF" w:rsidP="00E41BD5">
      <w:pPr>
        <w:rPr>
          <w:rStyle w:val="Strong"/>
          <w:b w:val="0"/>
          <w:bCs w:val="0"/>
        </w:rPr>
      </w:pPr>
      <w:r w:rsidRPr="001D3C4C">
        <w:t>A measure is likely to have an impact on competition if any of the questions in</w:t>
      </w:r>
      <w:r w:rsidR="00E41BD5">
        <w:t xml:space="preserve"> </w:t>
      </w:r>
      <w:r w:rsidR="00E41BD5">
        <w:fldChar w:fldCharType="begin"/>
      </w:r>
      <w:r w:rsidR="00E41BD5">
        <w:instrText xml:space="preserve"> REF _Ref55572794 \h </w:instrText>
      </w:r>
      <w:r w:rsidR="00E41BD5">
        <w:fldChar w:fldCharType="separate"/>
      </w:r>
      <w:r w:rsidR="000B3BF6">
        <w:t xml:space="preserve">Table </w:t>
      </w:r>
      <w:r w:rsidR="000B3BF6">
        <w:rPr>
          <w:noProof/>
        </w:rPr>
        <w:t>23</w:t>
      </w:r>
      <w:r w:rsidR="00E41BD5">
        <w:fldChar w:fldCharType="end"/>
      </w:r>
      <w:r w:rsidR="00E41BD5">
        <w:t xml:space="preserve"> </w:t>
      </w:r>
      <w:r w:rsidRPr="001D3C4C">
        <w:t>can be answered in the affirmative.</w:t>
      </w:r>
      <w:r w:rsidR="00E41BD5">
        <w:t xml:space="preserve"> </w:t>
      </w:r>
      <w:r w:rsidR="00A24E55">
        <w:t xml:space="preserve">The context of the </w:t>
      </w:r>
      <w:r w:rsidR="006D027C">
        <w:t>proposed Regulations</w:t>
      </w:r>
      <w:r w:rsidR="00A24E55">
        <w:t xml:space="preserve"> means that a competition assessment is somewhat artificial, insofar as the size of the ‘market’ is necessarily limited to the selection of mines that are declared by the Minister. The </w:t>
      </w:r>
      <w:r w:rsidR="006D027C">
        <w:t>proposed Regulations</w:t>
      </w:r>
      <w:r w:rsidR="00A24E55">
        <w:t xml:space="preserve"> do not have any impact on mines other than those declared by the Minister, and mines don’t choose to be declared. </w:t>
      </w:r>
    </w:p>
    <w:p w14:paraId="4F59DE0B" w14:textId="2E28E1B1" w:rsidR="00E41BD5" w:rsidRDefault="00E41BD5" w:rsidP="00E41BD5">
      <w:pPr>
        <w:pStyle w:val="Caption"/>
      </w:pPr>
      <w:bookmarkStart w:id="403" w:name="_Ref55572794"/>
      <w:bookmarkStart w:id="404" w:name="_Toc104217639"/>
      <w:r>
        <w:t xml:space="preserve">Table </w:t>
      </w:r>
      <w:r>
        <w:fldChar w:fldCharType="begin"/>
      </w:r>
      <w:r>
        <w:instrText>SEQ Table \* ARABIC</w:instrText>
      </w:r>
      <w:r>
        <w:fldChar w:fldCharType="separate"/>
      </w:r>
      <w:r w:rsidR="000B3BF6">
        <w:rPr>
          <w:noProof/>
        </w:rPr>
        <w:t>23</w:t>
      </w:r>
      <w:r>
        <w:fldChar w:fldCharType="end"/>
      </w:r>
      <w:bookmarkEnd w:id="403"/>
      <w:r w:rsidR="00BE6EA8">
        <w:rPr>
          <w:noProof/>
        </w:rPr>
        <w:t>:</w:t>
      </w:r>
      <w:r>
        <w:t xml:space="preserve"> Competition assessment questions</w:t>
      </w:r>
      <w:bookmarkEnd w:id="404"/>
    </w:p>
    <w:tbl>
      <w:tblPr>
        <w:tblStyle w:val="TableGrid"/>
        <w:tblW w:w="9242"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ayout w:type="fixed"/>
        <w:tblLook w:val="04A0" w:firstRow="1" w:lastRow="0" w:firstColumn="1" w:lastColumn="0" w:noHBand="0" w:noVBand="1"/>
        <w:tblCaption w:val="Table heading"/>
      </w:tblPr>
      <w:tblGrid>
        <w:gridCol w:w="3969"/>
        <w:gridCol w:w="1304"/>
        <w:gridCol w:w="3969"/>
      </w:tblGrid>
      <w:tr w:rsidR="00AF02EF" w:rsidRPr="00D51674" w14:paraId="6092E8D7" w14:textId="77777777" w:rsidTr="00AF02EF">
        <w:trPr>
          <w:tblHeader/>
        </w:trPr>
        <w:tc>
          <w:tcPr>
            <w:tcW w:w="3969" w:type="dxa"/>
            <w:shd w:val="clear" w:color="auto" w:fill="1B0B38"/>
            <w:vAlign w:val="center"/>
          </w:tcPr>
          <w:p w14:paraId="1893A9C6" w14:textId="77777777" w:rsidR="00AF02EF" w:rsidRPr="00BA70A6" w:rsidRDefault="00AF02EF" w:rsidP="00AF02EF">
            <w:pPr>
              <w:rPr>
                <w:rStyle w:val="Strong"/>
                <w:color w:val="FFFFFF" w:themeColor="background1"/>
              </w:rPr>
            </w:pPr>
            <w:r>
              <w:rPr>
                <w:rStyle w:val="Strong"/>
                <w:color w:val="FFFFFF" w:themeColor="background1"/>
              </w:rPr>
              <w:t>Test question</w:t>
            </w:r>
          </w:p>
        </w:tc>
        <w:tc>
          <w:tcPr>
            <w:tcW w:w="1304" w:type="dxa"/>
            <w:shd w:val="clear" w:color="auto" w:fill="1B0B38"/>
            <w:vAlign w:val="center"/>
          </w:tcPr>
          <w:p w14:paraId="73E4C9B9" w14:textId="77777777" w:rsidR="00AF02EF" w:rsidRPr="00BA70A6" w:rsidRDefault="00AF02EF" w:rsidP="00AF02EF">
            <w:pPr>
              <w:rPr>
                <w:rStyle w:val="Strong"/>
                <w:color w:val="FFFFFF" w:themeColor="background1"/>
              </w:rPr>
            </w:pPr>
            <w:r>
              <w:rPr>
                <w:rStyle w:val="Strong"/>
                <w:color w:val="FFFFFF" w:themeColor="background1"/>
              </w:rPr>
              <w:t>Assessment</w:t>
            </w:r>
          </w:p>
        </w:tc>
        <w:tc>
          <w:tcPr>
            <w:tcW w:w="3969" w:type="dxa"/>
            <w:shd w:val="clear" w:color="auto" w:fill="1B0B38"/>
            <w:vAlign w:val="center"/>
          </w:tcPr>
          <w:p w14:paraId="2B1BB246" w14:textId="77777777" w:rsidR="00AF02EF" w:rsidRPr="00BA70A6" w:rsidRDefault="00AF02EF" w:rsidP="00AF02EF">
            <w:pPr>
              <w:rPr>
                <w:rStyle w:val="Strong"/>
                <w:color w:val="FFFFFF" w:themeColor="background1"/>
              </w:rPr>
            </w:pPr>
            <w:r>
              <w:rPr>
                <w:rStyle w:val="Strong"/>
                <w:color w:val="FFFFFF" w:themeColor="background1"/>
              </w:rPr>
              <w:t>Reason</w:t>
            </w:r>
          </w:p>
        </w:tc>
      </w:tr>
      <w:tr w:rsidR="00AF02EF" w:rsidRPr="00D51674" w14:paraId="702BB89B" w14:textId="77777777" w:rsidTr="00AF02EF">
        <w:trPr>
          <w:trHeight w:val="358"/>
        </w:trPr>
        <w:tc>
          <w:tcPr>
            <w:tcW w:w="3969" w:type="dxa"/>
            <w:tcBorders>
              <w:bottom w:val="single" w:sz="4" w:space="0" w:color="1B0B38"/>
            </w:tcBorders>
          </w:tcPr>
          <w:p w14:paraId="7EFB6FE5" w14:textId="77777777" w:rsidR="00AF02EF" w:rsidRPr="00D51674" w:rsidRDefault="00AF02EF" w:rsidP="00AF02EF">
            <w:r w:rsidRPr="001D3C4C">
              <w:t>Is the proposed measure likely to affect the market structure of the affected sector(s) – i.e. will it reduce the number of participants in the market, or increase the size of incumbent firms?</w:t>
            </w:r>
          </w:p>
        </w:tc>
        <w:tc>
          <w:tcPr>
            <w:tcW w:w="1304" w:type="dxa"/>
            <w:tcBorders>
              <w:bottom w:val="single" w:sz="4" w:space="0" w:color="1B0B38"/>
            </w:tcBorders>
          </w:tcPr>
          <w:p w14:paraId="0F00A4B2" w14:textId="087D839F" w:rsidR="00AF02EF" w:rsidRPr="001D3C4C" w:rsidRDefault="00E41BD5" w:rsidP="004A142F">
            <w:pPr>
              <w:jc w:val="center"/>
            </w:pPr>
            <w:r>
              <w:t>No</w:t>
            </w:r>
          </w:p>
        </w:tc>
        <w:tc>
          <w:tcPr>
            <w:tcW w:w="3969" w:type="dxa"/>
            <w:tcBorders>
              <w:bottom w:val="single" w:sz="4" w:space="0" w:color="1B0B38"/>
            </w:tcBorders>
          </w:tcPr>
          <w:p w14:paraId="26BB07EC" w14:textId="1F49A27A" w:rsidR="00AF02EF" w:rsidRPr="00D51674" w:rsidRDefault="00A24E55" w:rsidP="00AF02EF">
            <w:r>
              <w:t xml:space="preserve">The relevant market – declared mines – is dictated by declarations made by the Minister exercising a power in the Act. As such, the </w:t>
            </w:r>
            <w:r w:rsidR="006D027C">
              <w:t>proposed Regulations</w:t>
            </w:r>
            <w:r>
              <w:t xml:space="preserve"> have no effect on the number of firms in the market. The measures impose additional costs on mines and will not increase their size.</w:t>
            </w:r>
          </w:p>
        </w:tc>
      </w:tr>
      <w:tr w:rsidR="00AF02EF" w:rsidRPr="00D51674" w14:paraId="2FEDD386" w14:textId="77777777" w:rsidTr="00AF02EF">
        <w:trPr>
          <w:trHeight w:val="358"/>
        </w:trPr>
        <w:tc>
          <w:tcPr>
            <w:tcW w:w="3969" w:type="dxa"/>
            <w:tcBorders>
              <w:bottom w:val="single" w:sz="4" w:space="0" w:color="1B0B38"/>
            </w:tcBorders>
          </w:tcPr>
          <w:p w14:paraId="58560446" w14:textId="77777777" w:rsidR="00AF02EF" w:rsidRPr="001D3C4C" w:rsidRDefault="00AF02EF" w:rsidP="00AF02EF">
            <w:r w:rsidRPr="001D3C4C">
              <w:t>Will it be more difficult for new firms or individuals to enter the industry after the imposition of the proposed measure?</w:t>
            </w:r>
          </w:p>
        </w:tc>
        <w:tc>
          <w:tcPr>
            <w:tcW w:w="1304" w:type="dxa"/>
            <w:tcBorders>
              <w:bottom w:val="single" w:sz="4" w:space="0" w:color="1B0B38"/>
            </w:tcBorders>
          </w:tcPr>
          <w:p w14:paraId="76EED5E8" w14:textId="1943DBA2" w:rsidR="00AF02EF" w:rsidRPr="00D51674" w:rsidRDefault="00F17415" w:rsidP="004A142F">
            <w:pPr>
              <w:jc w:val="center"/>
            </w:pPr>
            <w:r>
              <w:t>Yes</w:t>
            </w:r>
          </w:p>
        </w:tc>
        <w:tc>
          <w:tcPr>
            <w:tcW w:w="3969" w:type="dxa"/>
            <w:tcBorders>
              <w:bottom w:val="single" w:sz="4" w:space="0" w:color="1B0B38"/>
            </w:tcBorders>
          </w:tcPr>
          <w:p w14:paraId="43911560" w14:textId="5E7132BB" w:rsidR="00AF02EF" w:rsidRPr="00D51674" w:rsidRDefault="00A24E55" w:rsidP="00AF02EF">
            <w:r>
              <w:t xml:space="preserve">It will not be more difficult for new mines to be declared (and thus, enter the ‘market’) under the </w:t>
            </w:r>
            <w:r w:rsidR="006D027C">
              <w:t>proposed Regulations</w:t>
            </w:r>
            <w:r>
              <w:t xml:space="preserve">, but newly declared mines will need to comply with additional requirements compared to </w:t>
            </w:r>
            <w:r w:rsidR="004A142F">
              <w:t xml:space="preserve">the base case. </w:t>
            </w:r>
          </w:p>
        </w:tc>
      </w:tr>
      <w:tr w:rsidR="00AF02EF" w:rsidRPr="00D51674" w14:paraId="2AA887EB" w14:textId="77777777" w:rsidTr="00AF02EF">
        <w:trPr>
          <w:trHeight w:val="358"/>
        </w:trPr>
        <w:tc>
          <w:tcPr>
            <w:tcW w:w="3969" w:type="dxa"/>
            <w:tcBorders>
              <w:bottom w:val="single" w:sz="4" w:space="0" w:color="1B0B38"/>
            </w:tcBorders>
          </w:tcPr>
          <w:p w14:paraId="51D898BD" w14:textId="77777777" w:rsidR="00AF02EF" w:rsidRPr="001D3C4C" w:rsidRDefault="00AF02EF" w:rsidP="00AF02EF">
            <w:r w:rsidRPr="001D3C4C">
              <w:t>Will the costs/benefits associated with the proposed measure affect some firms or individuals substantially more than others (e.g. small firms, part-time participants in occupations etc</w:t>
            </w:r>
            <w:r>
              <w:t>.</w:t>
            </w:r>
            <w:r w:rsidRPr="001D3C4C">
              <w:t>)?</w:t>
            </w:r>
          </w:p>
        </w:tc>
        <w:tc>
          <w:tcPr>
            <w:tcW w:w="1304" w:type="dxa"/>
            <w:tcBorders>
              <w:bottom w:val="single" w:sz="4" w:space="0" w:color="1B0B38"/>
            </w:tcBorders>
          </w:tcPr>
          <w:p w14:paraId="7D687B6C" w14:textId="07D25B63" w:rsidR="00AF02EF" w:rsidRPr="00D51674" w:rsidRDefault="008D117B" w:rsidP="004A142F">
            <w:pPr>
              <w:jc w:val="center"/>
            </w:pPr>
            <w:r>
              <w:t>No</w:t>
            </w:r>
          </w:p>
        </w:tc>
        <w:tc>
          <w:tcPr>
            <w:tcW w:w="3969" w:type="dxa"/>
            <w:tcBorders>
              <w:bottom w:val="single" w:sz="4" w:space="0" w:color="1B0B38"/>
            </w:tcBorders>
          </w:tcPr>
          <w:p w14:paraId="2C53EC9A" w14:textId="134C070F" w:rsidR="00AF02EF" w:rsidRPr="00D51674" w:rsidRDefault="004A142F" w:rsidP="00AF02EF">
            <w:r>
              <w:t xml:space="preserve">The </w:t>
            </w:r>
            <w:r w:rsidR="006D027C">
              <w:t>proposed Regulations</w:t>
            </w:r>
            <w:r>
              <w:t xml:space="preserve"> will apply equally to all declared mines. They may impact differently depending on the lifecycle stage of the mine, but the overall impact is expected to be similar.</w:t>
            </w:r>
          </w:p>
        </w:tc>
      </w:tr>
      <w:tr w:rsidR="00AF02EF" w:rsidRPr="00D51674" w14:paraId="11FA8803" w14:textId="77777777" w:rsidTr="00AF02EF">
        <w:trPr>
          <w:trHeight w:val="358"/>
        </w:trPr>
        <w:tc>
          <w:tcPr>
            <w:tcW w:w="3969" w:type="dxa"/>
            <w:tcBorders>
              <w:bottom w:val="single" w:sz="4" w:space="0" w:color="1B0B38"/>
            </w:tcBorders>
          </w:tcPr>
          <w:p w14:paraId="1E731026" w14:textId="77777777" w:rsidR="00AF02EF" w:rsidRPr="001D3C4C" w:rsidRDefault="00AF02EF" w:rsidP="00AF02EF">
            <w:r w:rsidRPr="001D3C4C">
              <w:t>Will the proposed measure restrict the ability of businesses to choose the price, quality, range or location of their products?</w:t>
            </w:r>
          </w:p>
        </w:tc>
        <w:tc>
          <w:tcPr>
            <w:tcW w:w="1304" w:type="dxa"/>
            <w:tcBorders>
              <w:bottom w:val="single" w:sz="4" w:space="0" w:color="1B0B38"/>
            </w:tcBorders>
          </w:tcPr>
          <w:p w14:paraId="3F3F4A1C" w14:textId="1976124A" w:rsidR="00AF02EF" w:rsidRPr="00D51674" w:rsidRDefault="008D117B" w:rsidP="004A142F">
            <w:pPr>
              <w:jc w:val="center"/>
            </w:pPr>
            <w:r>
              <w:t>No</w:t>
            </w:r>
          </w:p>
        </w:tc>
        <w:tc>
          <w:tcPr>
            <w:tcW w:w="3969" w:type="dxa"/>
            <w:tcBorders>
              <w:bottom w:val="single" w:sz="4" w:space="0" w:color="1B0B38"/>
            </w:tcBorders>
          </w:tcPr>
          <w:p w14:paraId="7A0AF8DF" w14:textId="73278961" w:rsidR="00AF02EF" w:rsidRPr="00D51674" w:rsidRDefault="004A142F" w:rsidP="00AF02EF">
            <w:r>
              <w:t xml:space="preserve">This question is </w:t>
            </w:r>
            <w:r w:rsidR="00970930">
              <w:t>not relevant to the proposed changes considered in this RIS.</w:t>
            </w:r>
          </w:p>
        </w:tc>
      </w:tr>
      <w:tr w:rsidR="00AF02EF" w:rsidRPr="00D51674" w14:paraId="6E86B77E" w14:textId="77777777" w:rsidTr="00AF02EF">
        <w:trPr>
          <w:trHeight w:val="358"/>
        </w:trPr>
        <w:tc>
          <w:tcPr>
            <w:tcW w:w="3969" w:type="dxa"/>
            <w:tcBorders>
              <w:bottom w:val="single" w:sz="4" w:space="0" w:color="1B0B38"/>
            </w:tcBorders>
          </w:tcPr>
          <w:p w14:paraId="53409E73" w14:textId="77777777" w:rsidR="00AF02EF" w:rsidRPr="001D3C4C" w:rsidRDefault="00AF02EF" w:rsidP="00AF02EF">
            <w:r w:rsidRPr="001D3C4C">
              <w:t>Will the proposed measure lead to higher ongoing costs for new entrants that existing firms do not have to meet?</w:t>
            </w:r>
          </w:p>
        </w:tc>
        <w:tc>
          <w:tcPr>
            <w:tcW w:w="1304" w:type="dxa"/>
            <w:tcBorders>
              <w:bottom w:val="single" w:sz="4" w:space="0" w:color="1B0B38"/>
            </w:tcBorders>
          </w:tcPr>
          <w:p w14:paraId="710B86EE" w14:textId="13822A89" w:rsidR="00AF02EF" w:rsidRPr="00D51674" w:rsidRDefault="008D117B" w:rsidP="004A142F">
            <w:pPr>
              <w:jc w:val="center"/>
            </w:pPr>
            <w:r>
              <w:t>No</w:t>
            </w:r>
          </w:p>
        </w:tc>
        <w:tc>
          <w:tcPr>
            <w:tcW w:w="3969" w:type="dxa"/>
            <w:tcBorders>
              <w:bottom w:val="single" w:sz="4" w:space="0" w:color="1B0B38"/>
            </w:tcBorders>
          </w:tcPr>
          <w:p w14:paraId="62443A8A" w14:textId="4DE01461" w:rsidR="00AF02EF" w:rsidRPr="00D51674" w:rsidRDefault="004A142F" w:rsidP="00AF02EF">
            <w:r>
              <w:t xml:space="preserve">The </w:t>
            </w:r>
            <w:r w:rsidR="006D027C">
              <w:t>proposed Regulations</w:t>
            </w:r>
            <w:r>
              <w:t xml:space="preserve"> will apply to all declared mines equally. Newly declared mines are likely to be similarly positioned to the existing declared mines – that is, the licensee will be responsible for a large, hazardous mine site with existing rehabilitation plans that will need to be adjusted and built up to meet the </w:t>
            </w:r>
            <w:r w:rsidR="006D027C">
              <w:t>proposed Regulations</w:t>
            </w:r>
            <w:r>
              <w:t>’ requirements.</w:t>
            </w:r>
          </w:p>
        </w:tc>
      </w:tr>
      <w:tr w:rsidR="00AF02EF" w:rsidRPr="00D51674" w14:paraId="4B56A984" w14:textId="77777777" w:rsidTr="00AF02EF">
        <w:trPr>
          <w:trHeight w:val="358"/>
        </w:trPr>
        <w:tc>
          <w:tcPr>
            <w:tcW w:w="3969" w:type="dxa"/>
            <w:tcBorders>
              <w:bottom w:val="single" w:sz="4" w:space="0" w:color="1B0B38"/>
            </w:tcBorders>
          </w:tcPr>
          <w:p w14:paraId="413A442D" w14:textId="77777777" w:rsidR="00AF02EF" w:rsidRPr="001D3C4C" w:rsidRDefault="00AF02EF" w:rsidP="00AF02EF">
            <w:r w:rsidRPr="001D3C4C">
              <w:t>Is the ability or incentive to innovate or develop new products or services likely to be affected by the proposed measure?</w:t>
            </w:r>
          </w:p>
        </w:tc>
        <w:tc>
          <w:tcPr>
            <w:tcW w:w="1304" w:type="dxa"/>
            <w:tcBorders>
              <w:bottom w:val="single" w:sz="4" w:space="0" w:color="1B0B38"/>
            </w:tcBorders>
          </w:tcPr>
          <w:p w14:paraId="73563F4C" w14:textId="7060C953" w:rsidR="00AF02EF" w:rsidRPr="00D51674" w:rsidRDefault="00960893" w:rsidP="004A142F">
            <w:pPr>
              <w:jc w:val="center"/>
            </w:pPr>
            <w:r>
              <w:t>No</w:t>
            </w:r>
          </w:p>
        </w:tc>
        <w:tc>
          <w:tcPr>
            <w:tcW w:w="3969" w:type="dxa"/>
            <w:tcBorders>
              <w:bottom w:val="single" w:sz="4" w:space="0" w:color="1B0B38"/>
            </w:tcBorders>
          </w:tcPr>
          <w:p w14:paraId="4EC7355A" w14:textId="4E7861B9" w:rsidR="00AF02EF" w:rsidRPr="00D51674" w:rsidRDefault="00960893" w:rsidP="00AF02EF">
            <w:r w:rsidRPr="00CC14EB">
              <w:t>The regulations do not impose restrictions on the ability to innovate.</w:t>
            </w:r>
          </w:p>
        </w:tc>
      </w:tr>
    </w:tbl>
    <w:p w14:paraId="4766542B" w14:textId="77777777" w:rsidR="00116396" w:rsidRDefault="00116396" w:rsidP="00116396">
      <w:r>
        <w:t xml:space="preserve">The Act, and by extension, the regulations contain several proposals that may restrict competition. Licensing itself restricts the eligible number of players in an industry, and licensing under the proposed Regulations also </w:t>
      </w:r>
      <w:r>
        <w:lastRenderedPageBreak/>
        <w:t xml:space="preserve">creates an exclusive property right. The licensing arrangement also specifies the type on minerals that may be mined and the location of activities. </w:t>
      </w:r>
    </w:p>
    <w:p w14:paraId="3BB7D5C1" w14:textId="77777777" w:rsidR="00116396" w:rsidRDefault="00116396" w:rsidP="00116396">
      <w:r>
        <w:t xml:space="preserve">As part of the National Competition Policy legislative review process, the Victorian Government examined the Act for competition restrictions. The review found that the main restrictions on competition contained in the legislation relate to granting licensees exclusive rights to explore or mine a given area of land. However, the review considered that the granting of licences were the most efficient means through which to secure the objectives of the legislation, one of which is “to encourage and facilitate exploration for minerals and foster the establishment and continuation of mining operations ...” </w:t>
      </w:r>
      <w:r w:rsidRPr="00CC14EB">
        <w:t>The review commented that “given the risks and large-scale capital investment associated with discovery and development of mineral deposits, restricting open competition is considered entirely justified in relation to the primary objectives of the Act, providing the cancellation provisions for failure to work are diligently enforced</w:t>
      </w:r>
      <w:r>
        <w:t>.”</w:t>
      </w:r>
      <w:r>
        <w:rPr>
          <w:rStyle w:val="FootnoteReference"/>
        </w:rPr>
        <w:footnoteReference w:id="199"/>
      </w:r>
      <w:r>
        <w:t xml:space="preserve"> </w:t>
      </w:r>
      <w:r w:rsidRPr="00CC14EB">
        <w:t>The review concluded that small number of restrictions on competition contained in the legislation were necessary to achieve the objectives of the legislation and are justified in the public interest.</w:t>
      </w:r>
    </w:p>
    <w:p w14:paraId="169028AE" w14:textId="77777777" w:rsidR="00116396" w:rsidRDefault="00116396" w:rsidP="00116396">
      <w:r w:rsidRPr="00CC14EB">
        <w:t>The competition assessment above also considers the effect of the legislation. The regulations of themselves only restrict at the margin</w:t>
      </w:r>
      <w:r>
        <w:t>—</w:t>
      </w:r>
      <w:r w:rsidRPr="00CC14EB">
        <w:t>to</w:t>
      </w:r>
      <w:r>
        <w:t xml:space="preserve"> </w:t>
      </w:r>
      <w:r w:rsidRPr="00CC14EB">
        <w:t>the extent that the regulations operationalise the Act.</w:t>
      </w:r>
    </w:p>
    <w:p w14:paraId="7CB55FBD" w14:textId="26846302" w:rsidR="69421D57" w:rsidRDefault="00116396">
      <w:r w:rsidRPr="00CC14EB">
        <w:t xml:space="preserve">It is worth noting that the proposed regulation concerning </w:t>
      </w:r>
      <w:r w:rsidR="00605327">
        <w:t>declared mine rehabilitation plans</w:t>
      </w:r>
      <w:r w:rsidRPr="00CC14EB">
        <w:t xml:space="preserve"> do not impose new obligations on licensees; however, they will improve compliance which will add to costs. </w:t>
      </w:r>
      <w:r w:rsidR="00167801" w:rsidRPr="00CC14EB">
        <w:t xml:space="preserve">The current requirements are contained throughout legislation but are </w:t>
      </w:r>
      <w:r w:rsidR="00167801">
        <w:t>ineffective without regulations</w:t>
      </w:r>
      <w:r w:rsidR="00167801" w:rsidRPr="00CC14EB">
        <w:t xml:space="preserve">. The proposal </w:t>
      </w:r>
      <w:r w:rsidR="00167801">
        <w:t>will operationalise the obligations on declared mines in the Act</w:t>
      </w:r>
      <w:r w:rsidR="00167801" w:rsidRPr="00CC14EB">
        <w:t xml:space="preserve">, </w:t>
      </w:r>
      <w:r w:rsidR="00167801">
        <w:t xml:space="preserve">and provide additional detail, </w:t>
      </w:r>
      <w:r w:rsidR="00167801" w:rsidRPr="00CC14EB">
        <w:t>making them easier to understand and should promote compliance</w:t>
      </w:r>
      <w:r w:rsidR="00167801">
        <w:t xml:space="preserve">. </w:t>
      </w:r>
      <w:r w:rsidR="00605327">
        <w:t xml:space="preserve">The requirements will apply to all declared mines equally, so </w:t>
      </w:r>
      <w:r w:rsidRPr="00CC14EB">
        <w:t>incumbents will not have an advantage over new entrants in the longer term.</w:t>
      </w:r>
    </w:p>
    <w:p w14:paraId="00A764D6" w14:textId="77777777" w:rsidR="00AF02EF" w:rsidRPr="008D117B" w:rsidRDefault="00AF02EF" w:rsidP="00D50C43">
      <w:pPr>
        <w:pStyle w:val="Heading2"/>
        <w:numPr>
          <w:ilvl w:val="1"/>
          <w:numId w:val="124"/>
        </w:numPr>
      </w:pPr>
      <w:bookmarkStart w:id="405" w:name="_Toc4161413"/>
      <w:bookmarkStart w:id="406" w:name="_Toc104217728"/>
      <w:r w:rsidRPr="008D117B">
        <w:t>Small business impacts</w:t>
      </w:r>
      <w:bookmarkEnd w:id="405"/>
      <w:bookmarkEnd w:id="406"/>
    </w:p>
    <w:p w14:paraId="3CAE9172" w14:textId="77777777" w:rsidR="00894CE2" w:rsidRDefault="00894CE2" w:rsidP="00AF02EF">
      <w:r>
        <w:t xml:space="preserve">It is Victorian Government policy to specifically consider the impact of proposed amendments to regulatory proposals on small business in RISs. </w:t>
      </w:r>
    </w:p>
    <w:p w14:paraId="53DB2AE3" w14:textId="1E015C59" w:rsidR="00AF02EF" w:rsidRDefault="00AF02EF" w:rsidP="00AF02EF">
      <w:r>
        <w:t xml:space="preserve">Small businesses may experience disproportionate effects from regulatory requirements for a range of reasons, including limited resources to interpret compliance requirements, or to keep pace with regulatory changes and the cumulative effect of different requirements. </w:t>
      </w:r>
    </w:p>
    <w:p w14:paraId="779BC66C" w14:textId="72B7CB9D" w:rsidR="0024528B" w:rsidRDefault="00E41BD5" w:rsidP="00AF02EF">
      <w:r>
        <w:t xml:space="preserve">The </w:t>
      </w:r>
      <w:r w:rsidR="006D027C">
        <w:t>proposed Regulations</w:t>
      </w:r>
      <w:r>
        <w:t xml:space="preserve"> support a legislative framework that applies only to especially hazardous mines. There have only been three mines declared by the Minister since the introduction of the power to declare mines in 2010. All three mines are owned by very large, multi-national companies. Given the characteristics of the existing declared mines, it is considered highly unlikely that any mine declared in future would be </w:t>
      </w:r>
      <w:r w:rsidR="00167801">
        <w:t>operated</w:t>
      </w:r>
      <w:r>
        <w:t xml:space="preserve"> by a small business. Accordingly, the </w:t>
      </w:r>
      <w:r w:rsidR="006D027C">
        <w:t>proposed Regulations</w:t>
      </w:r>
      <w:r>
        <w:t xml:space="preserve"> are not considered to have any small business impacts. </w:t>
      </w:r>
    </w:p>
    <w:p w14:paraId="0A6636C8" w14:textId="77777777" w:rsidR="00AF02EF" w:rsidRDefault="00AF02EF" w:rsidP="00D50C43">
      <w:pPr>
        <w:pStyle w:val="Heading2"/>
        <w:numPr>
          <w:ilvl w:val="1"/>
          <w:numId w:val="124"/>
        </w:numPr>
      </w:pPr>
      <w:bookmarkStart w:id="407" w:name="_Toc4161414"/>
      <w:bookmarkStart w:id="408" w:name="_Toc104217729"/>
      <w:r w:rsidRPr="00693C94">
        <w:t>Interstate comparison</w:t>
      </w:r>
      <w:bookmarkEnd w:id="407"/>
      <w:bookmarkEnd w:id="408"/>
    </w:p>
    <w:p w14:paraId="053E9349" w14:textId="001756B6" w:rsidR="008A7F62" w:rsidRDefault="008A7F62" w:rsidP="008A7F62">
      <w:pPr>
        <w:rPr>
          <w:rFonts w:ascii="Calibri" w:hAnsi="Calibri"/>
          <w:color w:val="auto"/>
          <w:sz w:val="22"/>
          <w:szCs w:val="22"/>
        </w:rPr>
      </w:pPr>
      <w:bookmarkStart w:id="409" w:name="_Toc4161415"/>
      <w:r>
        <w:t xml:space="preserve">As part of developing the options for assessment in this RIS, research was conducted by </w:t>
      </w:r>
      <w:r w:rsidR="00AC2182">
        <w:t>the department</w:t>
      </w:r>
      <w:r>
        <w:t xml:space="preserve"> into approaches to rehabilitation planning in other jurisdictions and as described in best practice guidance. The review examined rehabilitation regulation in </w:t>
      </w:r>
      <w:r w:rsidR="00DD333D">
        <w:t xml:space="preserve">all other Australian jurisdictions, as well as Saskatchewan and </w:t>
      </w:r>
      <w:r>
        <w:t xml:space="preserve">best practice material published by Anglo American and the </w:t>
      </w:r>
      <w:r w:rsidR="3A3269FD">
        <w:t>ICM</w:t>
      </w:r>
      <w:r w:rsidR="06AA55C6">
        <w:t>M</w:t>
      </w:r>
      <w:r>
        <w:t xml:space="preserve">. The review focused on the planning component of rehabilitation regulation, including how plans in each jurisdiction inform decisions about mine closure and the management of mine sites post-closure. The findings from the review are set out in detail in Appendix </w:t>
      </w:r>
      <w:r w:rsidR="001D62D6">
        <w:t>B</w:t>
      </w:r>
      <w:r>
        <w:t>.</w:t>
      </w:r>
    </w:p>
    <w:p w14:paraId="4B77E04E" w14:textId="77777777" w:rsidR="00AF02EF" w:rsidRDefault="00AF02EF">
      <w:pPr>
        <w:spacing w:before="0" w:line="276" w:lineRule="auto"/>
        <w:rPr>
          <w:b/>
          <w:bCs/>
          <w:color w:val="201547"/>
          <w:sz w:val="36"/>
          <w:szCs w:val="32"/>
        </w:rPr>
      </w:pPr>
      <w:r>
        <w:br w:type="page"/>
      </w:r>
    </w:p>
    <w:p w14:paraId="68D260C1" w14:textId="327B9E62" w:rsidR="00AF02EF" w:rsidRDefault="00AF02EF" w:rsidP="00D50C43">
      <w:pPr>
        <w:pStyle w:val="Heading1"/>
        <w:numPr>
          <w:ilvl w:val="0"/>
          <w:numId w:val="124"/>
        </w:numPr>
      </w:pPr>
      <w:bookmarkStart w:id="410" w:name="_Toc104217730"/>
      <w:r w:rsidRPr="00693C94">
        <w:lastRenderedPageBreak/>
        <w:t>Implementation and Compliance</w:t>
      </w:r>
      <w:bookmarkEnd w:id="409"/>
      <w:bookmarkEnd w:id="410"/>
    </w:p>
    <w:p w14:paraId="69D6BF6D" w14:textId="643715A9" w:rsidR="00AF02EF" w:rsidRDefault="00AF02EF" w:rsidP="00D50C43">
      <w:pPr>
        <w:pStyle w:val="Heading2"/>
        <w:numPr>
          <w:ilvl w:val="1"/>
          <w:numId w:val="124"/>
        </w:numPr>
      </w:pPr>
      <w:bookmarkStart w:id="411" w:name="_Toc4161416"/>
      <w:bookmarkStart w:id="412" w:name="_Toc104217731"/>
      <w:r w:rsidRPr="00693C94">
        <w:t>Implementation</w:t>
      </w:r>
      <w:bookmarkEnd w:id="411"/>
      <w:bookmarkEnd w:id="412"/>
    </w:p>
    <w:p w14:paraId="1C3B354D" w14:textId="76B927EB" w:rsidR="00995A41" w:rsidRDefault="00090021" w:rsidP="00995A41">
      <w:r>
        <w:t>The</w:t>
      </w:r>
      <w:r w:rsidR="00EE30AD">
        <w:t xml:space="preserve"> proposed R</w:t>
      </w:r>
      <w:r>
        <w:t xml:space="preserve">egulations are </w:t>
      </w:r>
      <w:r w:rsidR="00EE30AD">
        <w:t xml:space="preserve">embedded </w:t>
      </w:r>
      <w:r w:rsidR="002137F3">
        <w:t>in continuous improvement</w:t>
      </w:r>
      <w:r w:rsidR="00A55BB5">
        <w:t xml:space="preserve"> </w:t>
      </w:r>
      <w:r w:rsidR="001740E7">
        <w:t>instead of</w:t>
      </w:r>
      <w:r w:rsidR="00CB4636">
        <w:t xml:space="preserve"> </w:t>
      </w:r>
      <w:r>
        <w:t>prescri</w:t>
      </w:r>
      <w:r w:rsidR="00F63D31">
        <w:t xml:space="preserve">bing </w:t>
      </w:r>
      <w:r w:rsidR="00DD53A3" w:rsidRPr="00DD53A3">
        <w:t xml:space="preserve">specified land use </w:t>
      </w:r>
      <w:r w:rsidR="00955007">
        <w:t xml:space="preserve">after mining </w:t>
      </w:r>
      <w:r w:rsidR="005F3F12">
        <w:t>ends</w:t>
      </w:r>
      <w:r>
        <w:t xml:space="preserve">. The </w:t>
      </w:r>
      <w:r w:rsidR="00B501EB">
        <w:t>d</w:t>
      </w:r>
      <w:r>
        <w:t xml:space="preserve">epartment will continue to engage with key stakeholders, including other Departments, to ensure the regulations will be applied in a way that is consistent with their objectives and </w:t>
      </w:r>
      <w:r w:rsidR="007A670E">
        <w:t>positions.</w:t>
      </w:r>
      <w:r>
        <w:t xml:space="preserve"> </w:t>
      </w:r>
    </w:p>
    <w:p w14:paraId="3CFBA66D" w14:textId="731CF9F8" w:rsidR="00995A41" w:rsidRDefault="00995A41" w:rsidP="00995A41">
      <w:r>
        <w:t xml:space="preserve">Implementation will require a deliberate and extensive program of preparatory work, and capacity building </w:t>
      </w:r>
      <w:r w:rsidR="00456687">
        <w:t xml:space="preserve">within </w:t>
      </w:r>
      <w:r w:rsidR="00B501EB">
        <w:t>ERR</w:t>
      </w:r>
      <w:r>
        <w:t xml:space="preserve">, the Authority, and </w:t>
      </w:r>
      <w:r w:rsidR="004F7907">
        <w:t xml:space="preserve">coordination with </w:t>
      </w:r>
      <w:r>
        <w:t xml:space="preserve">co-regulators. The immense complexity and volume of information expected to be received and assessed under these regulations, dictates the regulator will need to </w:t>
      </w:r>
      <w:r w:rsidR="0089288E">
        <w:t>scale up</w:t>
      </w:r>
      <w:r w:rsidR="005C5445">
        <w:t xml:space="preserve"> </w:t>
      </w:r>
      <w:r>
        <w:t xml:space="preserve">its </w:t>
      </w:r>
      <w:r w:rsidR="005C5445">
        <w:t xml:space="preserve">in-house </w:t>
      </w:r>
      <w:r>
        <w:t xml:space="preserve">expertise </w:t>
      </w:r>
      <w:r w:rsidR="009D3910">
        <w:t>and/or</w:t>
      </w:r>
      <w:r w:rsidR="00600393">
        <w:t xml:space="preserve"> </w:t>
      </w:r>
      <w:r>
        <w:t xml:space="preserve">engage </w:t>
      </w:r>
      <w:r w:rsidR="0004454B">
        <w:t xml:space="preserve">procured </w:t>
      </w:r>
      <w:r>
        <w:t xml:space="preserve">specialists to undertake this </w:t>
      </w:r>
      <w:r w:rsidR="0030383E">
        <w:t xml:space="preserve">significant </w:t>
      </w:r>
      <w:r>
        <w:t xml:space="preserve">work to meet the expectations of the community. The Authority will require similar expertise and adequate resourcing in its role in relation to declared mines, with the capacity and understanding of co-regulators also critical to effective implementation of </w:t>
      </w:r>
      <w:r w:rsidR="001B5FCF">
        <w:t>these</w:t>
      </w:r>
      <w:r w:rsidR="00710092">
        <w:t xml:space="preserve"> r</w:t>
      </w:r>
      <w:r>
        <w:t>egulations</w:t>
      </w:r>
      <w:r w:rsidR="00C96FAA">
        <w:t xml:space="preserve"> and timely development</w:t>
      </w:r>
      <w:r w:rsidR="0050382D">
        <w:t xml:space="preserve"> of </w:t>
      </w:r>
      <w:r w:rsidR="00A83223">
        <w:t>associated activit</w:t>
      </w:r>
      <w:r w:rsidR="001B5FCF">
        <w:t>i</w:t>
      </w:r>
      <w:r w:rsidR="00A83223">
        <w:t>e</w:t>
      </w:r>
      <w:r w:rsidR="00081EC5">
        <w:t>s</w:t>
      </w:r>
      <w:r w:rsidR="005B6827">
        <w:t xml:space="preserve"> to guide industry</w:t>
      </w:r>
      <w:r w:rsidR="00A37B1C">
        <w:t xml:space="preserve"> on </w:t>
      </w:r>
      <w:r w:rsidR="00B429CE">
        <w:t>rehabilitation</w:t>
      </w:r>
      <w:r w:rsidR="00A37B1C">
        <w:t xml:space="preserve"> planning</w:t>
      </w:r>
      <w:r>
        <w:t xml:space="preserve">. </w:t>
      </w:r>
      <w:r w:rsidR="00D16EDC">
        <w:t xml:space="preserve">The </w:t>
      </w:r>
      <w:r w:rsidR="00880B08">
        <w:t xml:space="preserve">accompanying </w:t>
      </w:r>
      <w:r w:rsidR="00077A8C">
        <w:t>activities</w:t>
      </w:r>
      <w:r w:rsidR="008B4714">
        <w:t xml:space="preserve"> </w:t>
      </w:r>
      <w:r w:rsidR="00924FC4">
        <w:t xml:space="preserve">to enact the </w:t>
      </w:r>
      <w:r w:rsidR="00F53321">
        <w:t xml:space="preserve">proposed Regulations </w:t>
      </w:r>
      <w:r w:rsidR="003E5068">
        <w:t>are</w:t>
      </w:r>
      <w:r w:rsidR="008B4714">
        <w:t xml:space="preserve"> indicative and</w:t>
      </w:r>
      <w:r w:rsidR="003E5068">
        <w:t xml:space="preserve"> listed below in </w:t>
      </w:r>
      <w:r w:rsidR="0045475A">
        <w:fldChar w:fldCharType="begin"/>
      </w:r>
      <w:r w:rsidR="0045475A">
        <w:instrText xml:space="preserve"> REF _Ref103156420 \h </w:instrText>
      </w:r>
      <w:r w:rsidR="0045475A">
        <w:fldChar w:fldCharType="separate"/>
      </w:r>
      <w:r w:rsidR="000B3BF6">
        <w:t xml:space="preserve">Table </w:t>
      </w:r>
      <w:r w:rsidR="000B3BF6">
        <w:rPr>
          <w:noProof/>
        </w:rPr>
        <w:t>24</w:t>
      </w:r>
      <w:r w:rsidR="0045475A">
        <w:fldChar w:fldCharType="end"/>
      </w:r>
      <w:r w:rsidR="00F53321">
        <w:t xml:space="preserve">, along with </w:t>
      </w:r>
      <w:r w:rsidR="002835B3">
        <w:t>approximate timeframes for delivery</w:t>
      </w:r>
      <w:r w:rsidR="00567AE0">
        <w:t xml:space="preserve">. Capacity building </w:t>
      </w:r>
      <w:r w:rsidR="002678FB">
        <w:t xml:space="preserve">within the regulator, the Authority and </w:t>
      </w:r>
      <w:r w:rsidR="00F25940">
        <w:t xml:space="preserve">strategic </w:t>
      </w:r>
      <w:r w:rsidR="00C97619">
        <w:t xml:space="preserve">collaboration </w:t>
      </w:r>
      <w:r w:rsidR="00D71E93">
        <w:t xml:space="preserve">between the </w:t>
      </w:r>
      <w:r w:rsidR="008701D1">
        <w:t xml:space="preserve">relevant </w:t>
      </w:r>
      <w:r w:rsidR="003D65DB">
        <w:t>co-reg</w:t>
      </w:r>
      <w:r w:rsidR="00CF21C0">
        <w:t>ulator</w:t>
      </w:r>
      <w:r w:rsidR="00993419">
        <w:t>s</w:t>
      </w:r>
      <w:r w:rsidR="00CF21C0">
        <w:t xml:space="preserve"> </w:t>
      </w:r>
      <w:r w:rsidR="009C3EF9">
        <w:t xml:space="preserve">is critical to </w:t>
      </w:r>
      <w:r w:rsidR="008C1D47">
        <w:t xml:space="preserve">achieving </w:t>
      </w:r>
      <w:r w:rsidR="00CF0790">
        <w:t>the proposed</w:t>
      </w:r>
      <w:r w:rsidR="00E91A28">
        <w:t xml:space="preserve"> </w:t>
      </w:r>
      <w:r w:rsidR="00311E72">
        <w:t>activities</w:t>
      </w:r>
      <w:r w:rsidR="000147C9">
        <w:t xml:space="preserve">. </w:t>
      </w:r>
    </w:p>
    <w:p w14:paraId="4F0BA0E7" w14:textId="4E73825D" w:rsidR="00995A41" w:rsidRDefault="00995A41" w:rsidP="00995A41">
      <w:pPr>
        <w:pStyle w:val="Caption"/>
      </w:pPr>
      <w:bookmarkStart w:id="413" w:name="_Ref103156420"/>
      <w:bookmarkStart w:id="414" w:name="_Toc104217640"/>
      <w:r>
        <w:t xml:space="preserve">Table </w:t>
      </w:r>
      <w:r>
        <w:fldChar w:fldCharType="begin"/>
      </w:r>
      <w:r>
        <w:instrText>SEQ Table \* ARABIC</w:instrText>
      </w:r>
      <w:r>
        <w:fldChar w:fldCharType="separate"/>
      </w:r>
      <w:r w:rsidR="000B3BF6">
        <w:rPr>
          <w:noProof/>
        </w:rPr>
        <w:t>24</w:t>
      </w:r>
      <w:r>
        <w:fldChar w:fldCharType="end"/>
      </w:r>
      <w:bookmarkEnd w:id="413"/>
      <w:r>
        <w:t>: Implementation Planning</w:t>
      </w:r>
      <w:bookmarkEnd w:id="414"/>
    </w:p>
    <w:tbl>
      <w:tblPr>
        <w:tblStyle w:val="TableGrid"/>
        <w:tblW w:w="9498"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ayout w:type="fixed"/>
        <w:tblLook w:val="04A0" w:firstRow="1" w:lastRow="0" w:firstColumn="1" w:lastColumn="0" w:noHBand="0" w:noVBand="1"/>
        <w:tblCaption w:val="Table heading"/>
      </w:tblPr>
      <w:tblGrid>
        <w:gridCol w:w="1985"/>
        <w:gridCol w:w="5812"/>
        <w:gridCol w:w="1701"/>
      </w:tblGrid>
      <w:tr w:rsidR="009E6996" w:rsidRPr="00D51674" w14:paraId="142BCD9A" w14:textId="6BECF6B1" w:rsidTr="00CD14BC">
        <w:trPr>
          <w:tblHeader/>
        </w:trPr>
        <w:tc>
          <w:tcPr>
            <w:tcW w:w="1985" w:type="dxa"/>
            <w:tcBorders>
              <w:bottom w:val="single" w:sz="2" w:space="0" w:color="161615" w:themeColor="background2" w:themeShade="1A"/>
            </w:tcBorders>
            <w:shd w:val="clear" w:color="auto" w:fill="1B0B38"/>
          </w:tcPr>
          <w:p w14:paraId="14867704" w14:textId="77777777" w:rsidR="009E6996" w:rsidRPr="00353123" w:rsidRDefault="009E6996" w:rsidP="003B1E93">
            <w:pPr>
              <w:spacing w:after="60"/>
              <w:rPr>
                <w:rStyle w:val="Strong"/>
                <w:color w:val="FFFFFF" w:themeColor="background1"/>
              </w:rPr>
            </w:pPr>
            <w:r w:rsidRPr="00353123">
              <w:rPr>
                <w:b/>
                <w:color w:val="FFFFFF" w:themeColor="background1"/>
              </w:rPr>
              <w:t>Area of Regulation</w:t>
            </w:r>
          </w:p>
        </w:tc>
        <w:tc>
          <w:tcPr>
            <w:tcW w:w="5812" w:type="dxa"/>
            <w:tcBorders>
              <w:bottom w:val="single" w:sz="2" w:space="0" w:color="161615" w:themeColor="background2" w:themeShade="1A"/>
            </w:tcBorders>
            <w:shd w:val="clear" w:color="auto" w:fill="1B0B38"/>
          </w:tcPr>
          <w:p w14:paraId="05908430" w14:textId="4F09F920" w:rsidR="009E6996" w:rsidRPr="00353123" w:rsidRDefault="009E6996" w:rsidP="003B1E93">
            <w:pPr>
              <w:spacing w:after="60"/>
              <w:rPr>
                <w:rStyle w:val="Strong"/>
                <w:color w:val="FFFFFF" w:themeColor="background1"/>
              </w:rPr>
            </w:pPr>
            <w:r w:rsidRPr="00353123">
              <w:rPr>
                <w:b/>
                <w:color w:val="FFFFFF" w:themeColor="background1"/>
              </w:rPr>
              <w:t>Regulatory materials to be produced</w:t>
            </w:r>
          </w:p>
        </w:tc>
        <w:tc>
          <w:tcPr>
            <w:tcW w:w="1701" w:type="dxa"/>
            <w:tcBorders>
              <w:bottom w:val="single" w:sz="2" w:space="0" w:color="161615" w:themeColor="background2" w:themeShade="1A"/>
            </w:tcBorders>
            <w:shd w:val="clear" w:color="auto" w:fill="1B0B38"/>
          </w:tcPr>
          <w:p w14:paraId="7CC0C3D5" w14:textId="33B25133" w:rsidR="009E6996" w:rsidRPr="00353123" w:rsidRDefault="009E6996" w:rsidP="003B1E93">
            <w:pPr>
              <w:spacing w:after="60"/>
              <w:rPr>
                <w:b/>
                <w:color w:val="FFFFFF" w:themeColor="background1"/>
              </w:rPr>
            </w:pPr>
            <w:r>
              <w:rPr>
                <w:b/>
                <w:color w:val="FFFFFF" w:themeColor="background1"/>
              </w:rPr>
              <w:t>Time</w:t>
            </w:r>
            <w:r w:rsidR="00B4073B">
              <w:rPr>
                <w:b/>
                <w:color w:val="FFFFFF" w:themeColor="background1"/>
              </w:rPr>
              <w:t>frame</w:t>
            </w:r>
          </w:p>
        </w:tc>
      </w:tr>
      <w:tr w:rsidR="009E6996" w:rsidRPr="00D51674" w14:paraId="3F7BDDF3" w14:textId="2B1A2B7A" w:rsidTr="00CD14BC">
        <w:trPr>
          <w:trHeight w:val="358"/>
        </w:trPr>
        <w:tc>
          <w:tcPr>
            <w:tcW w:w="1985" w:type="dxa"/>
            <w:tcBorders>
              <w:top w:val="single" w:sz="2" w:space="0" w:color="161615" w:themeColor="background2" w:themeShade="1A"/>
              <w:bottom w:val="nil"/>
            </w:tcBorders>
          </w:tcPr>
          <w:p w14:paraId="6F7B4E35" w14:textId="77777777" w:rsidR="009E6996" w:rsidRPr="00D51674" w:rsidRDefault="009E6996" w:rsidP="00AB3E24">
            <w:r w:rsidRPr="0095761C">
              <w:rPr>
                <w:b/>
              </w:rPr>
              <w:t>Overarching</w:t>
            </w:r>
          </w:p>
        </w:tc>
        <w:tc>
          <w:tcPr>
            <w:tcW w:w="5812" w:type="dxa"/>
            <w:tcBorders>
              <w:top w:val="single" w:sz="2" w:space="0" w:color="161615" w:themeColor="background2" w:themeShade="1A"/>
              <w:bottom w:val="nil"/>
            </w:tcBorders>
          </w:tcPr>
          <w:p w14:paraId="5B46A02E" w14:textId="5BB02021" w:rsidR="009E6996" w:rsidRPr="00D51674" w:rsidRDefault="009E6996" w:rsidP="00CD14BC">
            <w:pPr>
              <w:spacing w:before="60" w:after="120"/>
            </w:pPr>
            <w:r w:rsidRPr="0095761C">
              <w:t>Communications to licensees to explain the new regulatory requirements</w:t>
            </w:r>
          </w:p>
        </w:tc>
        <w:tc>
          <w:tcPr>
            <w:tcW w:w="1701" w:type="dxa"/>
            <w:tcBorders>
              <w:top w:val="single" w:sz="2" w:space="0" w:color="161615" w:themeColor="background2" w:themeShade="1A"/>
              <w:bottom w:val="nil"/>
            </w:tcBorders>
          </w:tcPr>
          <w:p w14:paraId="2602B03A" w14:textId="3B529F26" w:rsidR="009E6996" w:rsidRPr="00B67F16" w:rsidRDefault="000F0292">
            <w:pPr>
              <w:spacing w:before="60" w:after="120"/>
            </w:pPr>
            <w:r w:rsidRPr="00B67F16">
              <w:t>Q</w:t>
            </w:r>
            <w:r w:rsidR="009A7D75">
              <w:t xml:space="preserve">uarter </w:t>
            </w:r>
            <w:r w:rsidR="00300F56">
              <w:t>3</w:t>
            </w:r>
            <w:r w:rsidR="009A7D75">
              <w:t>,</w:t>
            </w:r>
            <w:r w:rsidR="005E395F" w:rsidRPr="00B67F16">
              <w:t xml:space="preserve"> 202</w:t>
            </w:r>
            <w:r w:rsidR="00546350" w:rsidRPr="00B67F16">
              <w:t>2</w:t>
            </w:r>
          </w:p>
        </w:tc>
      </w:tr>
      <w:tr w:rsidR="005838A3" w:rsidRPr="00D51674" w14:paraId="0F6B609A" w14:textId="77777777" w:rsidTr="00CD14BC">
        <w:trPr>
          <w:trHeight w:val="358"/>
        </w:trPr>
        <w:tc>
          <w:tcPr>
            <w:tcW w:w="1985" w:type="dxa"/>
            <w:tcBorders>
              <w:top w:val="nil"/>
              <w:bottom w:val="nil"/>
            </w:tcBorders>
          </w:tcPr>
          <w:p w14:paraId="29DF0C11" w14:textId="77777777" w:rsidR="005838A3" w:rsidRPr="0095761C" w:rsidRDefault="005838A3" w:rsidP="00AB3E24">
            <w:pPr>
              <w:rPr>
                <w:b/>
              </w:rPr>
            </w:pPr>
          </w:p>
        </w:tc>
        <w:tc>
          <w:tcPr>
            <w:tcW w:w="5812" w:type="dxa"/>
            <w:tcBorders>
              <w:top w:val="nil"/>
              <w:bottom w:val="nil"/>
            </w:tcBorders>
          </w:tcPr>
          <w:p w14:paraId="6CDEB6B3" w14:textId="43062000" w:rsidR="005838A3" w:rsidRPr="0095761C" w:rsidRDefault="000F5317">
            <w:pPr>
              <w:spacing w:before="60" w:after="120"/>
            </w:pPr>
            <w:r w:rsidRPr="0095761C">
              <w:t>Website changes</w:t>
            </w:r>
          </w:p>
        </w:tc>
        <w:tc>
          <w:tcPr>
            <w:tcW w:w="1701" w:type="dxa"/>
            <w:tcBorders>
              <w:top w:val="nil"/>
              <w:bottom w:val="nil"/>
            </w:tcBorders>
          </w:tcPr>
          <w:p w14:paraId="3713D8A7" w14:textId="6C269C45" w:rsidR="005838A3" w:rsidRPr="00B67F16" w:rsidRDefault="009A7D75">
            <w:pPr>
              <w:spacing w:before="60" w:after="120"/>
            </w:pPr>
            <w:r>
              <w:t>Quarter 2,</w:t>
            </w:r>
            <w:r w:rsidR="000F5317" w:rsidRPr="00166064">
              <w:t xml:space="preserve"> 2023</w:t>
            </w:r>
          </w:p>
        </w:tc>
      </w:tr>
      <w:tr w:rsidR="005838A3" w:rsidRPr="00D51674" w14:paraId="69F1EBA7" w14:textId="77777777" w:rsidTr="00CD14BC">
        <w:trPr>
          <w:trHeight w:val="358"/>
        </w:trPr>
        <w:tc>
          <w:tcPr>
            <w:tcW w:w="1985" w:type="dxa"/>
            <w:tcBorders>
              <w:top w:val="nil"/>
              <w:bottom w:val="nil"/>
            </w:tcBorders>
          </w:tcPr>
          <w:p w14:paraId="34AEBAAF" w14:textId="77777777" w:rsidR="005838A3" w:rsidRPr="0095761C" w:rsidRDefault="005838A3" w:rsidP="00AB3E24">
            <w:pPr>
              <w:rPr>
                <w:b/>
              </w:rPr>
            </w:pPr>
          </w:p>
        </w:tc>
        <w:tc>
          <w:tcPr>
            <w:tcW w:w="5812" w:type="dxa"/>
            <w:tcBorders>
              <w:top w:val="nil"/>
              <w:bottom w:val="nil"/>
            </w:tcBorders>
          </w:tcPr>
          <w:p w14:paraId="2E3C9754" w14:textId="4ACBE2EA" w:rsidR="005838A3" w:rsidRPr="0095761C" w:rsidRDefault="005838A3">
            <w:pPr>
              <w:spacing w:before="60" w:after="120"/>
            </w:pPr>
            <w:r w:rsidRPr="0095761C">
              <w:t>Review Memoranda of Understanding or other agreements with co-regulators and make any required changes</w:t>
            </w:r>
          </w:p>
        </w:tc>
        <w:tc>
          <w:tcPr>
            <w:tcW w:w="1701" w:type="dxa"/>
            <w:tcBorders>
              <w:top w:val="nil"/>
              <w:bottom w:val="nil"/>
            </w:tcBorders>
          </w:tcPr>
          <w:p w14:paraId="65863D7E" w14:textId="1F183442" w:rsidR="005838A3" w:rsidRPr="00B67F16" w:rsidRDefault="000F5317">
            <w:pPr>
              <w:spacing w:before="60" w:after="120"/>
            </w:pPr>
            <w:r>
              <w:t>Quarter 2, 2024</w:t>
            </w:r>
          </w:p>
        </w:tc>
      </w:tr>
      <w:tr w:rsidR="005838A3" w:rsidRPr="00D51674" w14:paraId="2C34AF07" w14:textId="77777777" w:rsidTr="00CD14BC">
        <w:trPr>
          <w:trHeight w:val="358"/>
        </w:trPr>
        <w:tc>
          <w:tcPr>
            <w:tcW w:w="1985" w:type="dxa"/>
            <w:tcBorders>
              <w:top w:val="nil"/>
              <w:bottom w:val="nil"/>
            </w:tcBorders>
          </w:tcPr>
          <w:p w14:paraId="7AFA3E05" w14:textId="77777777" w:rsidR="005838A3" w:rsidRPr="0095761C" w:rsidRDefault="005838A3" w:rsidP="00AB3E24">
            <w:pPr>
              <w:rPr>
                <w:b/>
              </w:rPr>
            </w:pPr>
          </w:p>
        </w:tc>
        <w:tc>
          <w:tcPr>
            <w:tcW w:w="5812" w:type="dxa"/>
            <w:tcBorders>
              <w:top w:val="nil"/>
              <w:bottom w:val="nil"/>
            </w:tcBorders>
          </w:tcPr>
          <w:p w14:paraId="6D2A43C5" w14:textId="33382F9F" w:rsidR="005838A3" w:rsidRPr="0095761C" w:rsidRDefault="005838A3">
            <w:pPr>
              <w:spacing w:before="60" w:after="120"/>
            </w:pPr>
            <w:r w:rsidRPr="0095761C">
              <w:t>Changes to information technology systems</w:t>
            </w:r>
          </w:p>
        </w:tc>
        <w:tc>
          <w:tcPr>
            <w:tcW w:w="1701" w:type="dxa"/>
            <w:tcBorders>
              <w:top w:val="nil"/>
              <w:bottom w:val="nil"/>
            </w:tcBorders>
          </w:tcPr>
          <w:p w14:paraId="0976C372" w14:textId="25A08CE0" w:rsidR="005838A3" w:rsidRPr="00B67F16" w:rsidRDefault="005838A3">
            <w:pPr>
              <w:spacing w:before="60" w:after="120"/>
            </w:pPr>
            <w:r>
              <w:t>2025</w:t>
            </w:r>
          </w:p>
        </w:tc>
      </w:tr>
      <w:tr w:rsidR="005838A3" w:rsidRPr="00D51674" w14:paraId="6E9AD0D0" w14:textId="77777777" w:rsidTr="00CD14BC">
        <w:trPr>
          <w:trHeight w:val="358"/>
        </w:trPr>
        <w:tc>
          <w:tcPr>
            <w:tcW w:w="1985" w:type="dxa"/>
            <w:tcBorders>
              <w:top w:val="nil"/>
              <w:bottom w:val="single" w:sz="4" w:space="0" w:color="auto"/>
            </w:tcBorders>
          </w:tcPr>
          <w:p w14:paraId="6D0C643E" w14:textId="77777777" w:rsidR="005838A3" w:rsidRPr="0095761C" w:rsidRDefault="005838A3" w:rsidP="00AB3E24">
            <w:pPr>
              <w:rPr>
                <w:b/>
              </w:rPr>
            </w:pPr>
          </w:p>
        </w:tc>
        <w:tc>
          <w:tcPr>
            <w:tcW w:w="5812" w:type="dxa"/>
            <w:tcBorders>
              <w:top w:val="nil"/>
              <w:bottom w:val="single" w:sz="4" w:space="0" w:color="auto"/>
            </w:tcBorders>
          </w:tcPr>
          <w:p w14:paraId="0F6EA014" w14:textId="1D95EAC2" w:rsidR="005838A3" w:rsidRPr="0095761C" w:rsidRDefault="005838A3">
            <w:pPr>
              <w:spacing w:before="60" w:after="120"/>
            </w:pPr>
            <w:r w:rsidRPr="0095761C">
              <w:t>Revised delegations</w:t>
            </w:r>
          </w:p>
        </w:tc>
        <w:tc>
          <w:tcPr>
            <w:tcW w:w="1701" w:type="dxa"/>
            <w:tcBorders>
              <w:top w:val="nil"/>
              <w:bottom w:val="single" w:sz="4" w:space="0" w:color="auto"/>
            </w:tcBorders>
          </w:tcPr>
          <w:p w14:paraId="21FFD4FE" w14:textId="53272E72" w:rsidR="005838A3" w:rsidRPr="00B67F16" w:rsidRDefault="005838A3">
            <w:pPr>
              <w:spacing w:before="60" w:after="120"/>
            </w:pPr>
            <w:r>
              <w:t>2025</w:t>
            </w:r>
          </w:p>
        </w:tc>
      </w:tr>
      <w:tr w:rsidR="009E6996" w:rsidRPr="00D51674" w14:paraId="681C7249" w14:textId="728F3B93" w:rsidTr="00CD14BC">
        <w:trPr>
          <w:trHeight w:val="358"/>
        </w:trPr>
        <w:tc>
          <w:tcPr>
            <w:tcW w:w="1985" w:type="dxa"/>
            <w:tcBorders>
              <w:top w:val="single" w:sz="4" w:space="0" w:color="auto"/>
              <w:bottom w:val="single" w:sz="2" w:space="0" w:color="161615" w:themeColor="background2" w:themeShade="1A"/>
            </w:tcBorders>
          </w:tcPr>
          <w:p w14:paraId="0DFE99EF" w14:textId="77777777" w:rsidR="009E6996" w:rsidRPr="001D3C4C" w:rsidRDefault="009E6996" w:rsidP="00AB3E24">
            <w:r w:rsidRPr="0095761C">
              <w:rPr>
                <w:b/>
              </w:rPr>
              <w:t>Annual reporting</w:t>
            </w:r>
          </w:p>
        </w:tc>
        <w:tc>
          <w:tcPr>
            <w:tcW w:w="5812" w:type="dxa"/>
            <w:tcBorders>
              <w:top w:val="single" w:sz="4" w:space="0" w:color="auto"/>
              <w:bottom w:val="single" w:sz="2" w:space="0" w:color="161615" w:themeColor="background2" w:themeShade="1A"/>
            </w:tcBorders>
          </w:tcPr>
          <w:p w14:paraId="7B641374" w14:textId="74328555" w:rsidR="009E6996" w:rsidRPr="0095761C" w:rsidRDefault="009E6996">
            <w:pPr>
              <w:spacing w:before="60" w:after="120"/>
            </w:pPr>
            <w:r w:rsidRPr="0095761C">
              <w:t xml:space="preserve">Declared Mines Annual Report Ministerial Guideline </w:t>
            </w:r>
          </w:p>
          <w:p w14:paraId="494B3ABB" w14:textId="77777777" w:rsidR="009E6996" w:rsidRPr="0095761C" w:rsidRDefault="009E6996" w:rsidP="00CD14BC">
            <w:pPr>
              <w:spacing w:before="60" w:after="120"/>
            </w:pPr>
            <w:r w:rsidRPr="0095761C">
              <w:t>Annual reporting template</w:t>
            </w:r>
          </w:p>
          <w:p w14:paraId="6618FFDB" w14:textId="77777777" w:rsidR="009E6996" w:rsidRPr="00D51674" w:rsidRDefault="009E6996" w:rsidP="00CD14BC">
            <w:pPr>
              <w:spacing w:before="60" w:after="120"/>
            </w:pPr>
            <w:r w:rsidRPr="0095761C">
              <w:t>Policies and procedures for reviewing and assessing annual reports</w:t>
            </w:r>
          </w:p>
        </w:tc>
        <w:tc>
          <w:tcPr>
            <w:tcW w:w="1701" w:type="dxa"/>
            <w:tcBorders>
              <w:top w:val="single" w:sz="4" w:space="0" w:color="auto"/>
              <w:bottom w:val="single" w:sz="2" w:space="0" w:color="161615" w:themeColor="background2" w:themeShade="1A"/>
            </w:tcBorders>
          </w:tcPr>
          <w:p w14:paraId="7BED5EC6" w14:textId="7D2A6F66" w:rsidR="009E6996" w:rsidRPr="00B67F16" w:rsidRDefault="005E395F">
            <w:pPr>
              <w:spacing w:before="60" w:after="120"/>
            </w:pPr>
            <w:r w:rsidRPr="00CD14BC">
              <w:t>Q</w:t>
            </w:r>
            <w:r w:rsidR="009A7D75">
              <w:t xml:space="preserve">uarter </w:t>
            </w:r>
            <w:r w:rsidR="007957D3" w:rsidRPr="00CD14BC">
              <w:t>2</w:t>
            </w:r>
            <w:r w:rsidR="009A7D75">
              <w:t>,</w:t>
            </w:r>
            <w:r w:rsidRPr="00CD14BC">
              <w:t xml:space="preserve"> 2024</w:t>
            </w:r>
          </w:p>
        </w:tc>
      </w:tr>
      <w:tr w:rsidR="009E6996" w:rsidRPr="00D51674" w14:paraId="79AE53B8" w14:textId="21B84DE9" w:rsidTr="00CD14BC">
        <w:trPr>
          <w:trHeight w:val="358"/>
        </w:trPr>
        <w:tc>
          <w:tcPr>
            <w:tcW w:w="1985" w:type="dxa"/>
            <w:tcBorders>
              <w:top w:val="single" w:sz="2" w:space="0" w:color="161615" w:themeColor="background2" w:themeShade="1A"/>
              <w:bottom w:val="single" w:sz="2" w:space="0" w:color="161615" w:themeColor="background2" w:themeShade="1A"/>
            </w:tcBorders>
          </w:tcPr>
          <w:p w14:paraId="265952C8" w14:textId="77777777" w:rsidR="009E6996" w:rsidRPr="001D3C4C" w:rsidRDefault="009E6996" w:rsidP="00AB3E24">
            <w:r w:rsidRPr="0095761C">
              <w:rPr>
                <w:b/>
              </w:rPr>
              <w:t>Declared Mine Rehabilitation Plan (DMRP)</w:t>
            </w:r>
          </w:p>
        </w:tc>
        <w:tc>
          <w:tcPr>
            <w:tcW w:w="5812" w:type="dxa"/>
            <w:tcBorders>
              <w:top w:val="single" w:sz="2" w:space="0" w:color="161615" w:themeColor="background2" w:themeShade="1A"/>
              <w:bottom w:val="single" w:sz="2" w:space="0" w:color="161615" w:themeColor="background2" w:themeShade="1A"/>
            </w:tcBorders>
          </w:tcPr>
          <w:p w14:paraId="4BC98A96" w14:textId="77777777" w:rsidR="009E6996" w:rsidRPr="0095761C" w:rsidRDefault="009E6996">
            <w:pPr>
              <w:spacing w:before="60" w:after="120"/>
            </w:pPr>
            <w:r w:rsidRPr="0095761C">
              <w:t>Declared Mine Rehabilitation Plan Ministerial Guideline</w:t>
            </w:r>
          </w:p>
          <w:p w14:paraId="0DD684B9" w14:textId="77777777" w:rsidR="009E6996" w:rsidRPr="00D51674" w:rsidRDefault="009E6996">
            <w:pPr>
              <w:spacing w:before="60" w:after="120"/>
            </w:pPr>
            <w:r w:rsidRPr="0095761C">
              <w:t>Policies and procedures for assessing a declared mine rehabilitation plan or rehabilitation plan variation</w:t>
            </w:r>
          </w:p>
        </w:tc>
        <w:tc>
          <w:tcPr>
            <w:tcW w:w="1701" w:type="dxa"/>
            <w:tcBorders>
              <w:top w:val="single" w:sz="2" w:space="0" w:color="161615" w:themeColor="background2" w:themeShade="1A"/>
              <w:bottom w:val="single" w:sz="2" w:space="0" w:color="161615" w:themeColor="background2" w:themeShade="1A"/>
            </w:tcBorders>
          </w:tcPr>
          <w:p w14:paraId="3691B2FF" w14:textId="502BA29E" w:rsidR="009E6996" w:rsidRPr="00B67F16" w:rsidRDefault="009D40DD">
            <w:pPr>
              <w:spacing w:before="60" w:after="120"/>
            </w:pPr>
            <w:r w:rsidRPr="00CD14BC">
              <w:t>Q</w:t>
            </w:r>
            <w:r w:rsidR="00EF2374">
              <w:t xml:space="preserve">uarter </w:t>
            </w:r>
            <w:r w:rsidR="007957D3" w:rsidRPr="00CD14BC">
              <w:t>2</w:t>
            </w:r>
            <w:r w:rsidR="00EF2374">
              <w:t>,</w:t>
            </w:r>
            <w:r w:rsidRPr="00CD14BC">
              <w:t xml:space="preserve"> </w:t>
            </w:r>
            <w:r w:rsidR="00BB486E" w:rsidRPr="00CD14BC">
              <w:t>2024</w:t>
            </w:r>
          </w:p>
        </w:tc>
      </w:tr>
      <w:tr w:rsidR="009E6996" w:rsidRPr="00D51674" w14:paraId="698C859F" w14:textId="7286F2A2" w:rsidTr="00CD14BC">
        <w:trPr>
          <w:trHeight w:val="358"/>
        </w:trPr>
        <w:tc>
          <w:tcPr>
            <w:tcW w:w="1985" w:type="dxa"/>
            <w:tcBorders>
              <w:top w:val="single" w:sz="2" w:space="0" w:color="161615" w:themeColor="background2" w:themeShade="1A"/>
              <w:bottom w:val="single" w:sz="2" w:space="0" w:color="161615" w:themeColor="background2" w:themeShade="1A"/>
            </w:tcBorders>
          </w:tcPr>
          <w:p w14:paraId="2FCEA19F" w14:textId="77777777" w:rsidR="009E6996" w:rsidRPr="001D3C4C" w:rsidRDefault="009E6996" w:rsidP="00AB3E24">
            <w:r w:rsidRPr="0095761C">
              <w:rPr>
                <w:b/>
              </w:rPr>
              <w:t>Declared Mine Post-Closure Plan</w:t>
            </w:r>
          </w:p>
        </w:tc>
        <w:tc>
          <w:tcPr>
            <w:tcW w:w="5812" w:type="dxa"/>
            <w:tcBorders>
              <w:top w:val="single" w:sz="2" w:space="0" w:color="161615" w:themeColor="background2" w:themeShade="1A"/>
              <w:bottom w:val="single" w:sz="2" w:space="0" w:color="161615" w:themeColor="background2" w:themeShade="1A"/>
            </w:tcBorders>
          </w:tcPr>
          <w:p w14:paraId="251B1A45" w14:textId="77777777" w:rsidR="009E6996" w:rsidRPr="0095761C" w:rsidRDefault="009E6996">
            <w:pPr>
              <w:spacing w:before="60" w:after="120"/>
            </w:pPr>
            <w:r w:rsidRPr="0095761C">
              <w:t>Declared Mine Post-Closure Plan Guideline</w:t>
            </w:r>
          </w:p>
          <w:p w14:paraId="1BCB83D0" w14:textId="77777777" w:rsidR="009E6996" w:rsidRPr="00D51674" w:rsidRDefault="009E6996">
            <w:pPr>
              <w:spacing w:before="60" w:after="120"/>
            </w:pPr>
            <w:r w:rsidRPr="0095761C">
              <w:t>Policies and procedures for assessing a declared mine post-closure plan</w:t>
            </w:r>
          </w:p>
        </w:tc>
        <w:tc>
          <w:tcPr>
            <w:tcW w:w="1701" w:type="dxa"/>
            <w:tcBorders>
              <w:top w:val="single" w:sz="2" w:space="0" w:color="161615" w:themeColor="background2" w:themeShade="1A"/>
              <w:bottom w:val="single" w:sz="2" w:space="0" w:color="161615" w:themeColor="background2" w:themeShade="1A"/>
            </w:tcBorders>
          </w:tcPr>
          <w:p w14:paraId="3E171D46" w14:textId="05D1979F" w:rsidR="009E6996" w:rsidRPr="00B67F16" w:rsidRDefault="00214857">
            <w:pPr>
              <w:spacing w:before="60" w:after="120"/>
            </w:pPr>
            <w:r w:rsidRPr="00CD14BC">
              <w:t>Q</w:t>
            </w:r>
            <w:r w:rsidR="00EF2374">
              <w:t xml:space="preserve">uarter </w:t>
            </w:r>
            <w:r w:rsidR="007957D3" w:rsidRPr="00CD14BC">
              <w:t>2</w:t>
            </w:r>
            <w:r w:rsidR="00EF2374">
              <w:t>,</w:t>
            </w:r>
            <w:r w:rsidRPr="00CD14BC">
              <w:t xml:space="preserve"> 2024</w:t>
            </w:r>
          </w:p>
        </w:tc>
      </w:tr>
      <w:tr w:rsidR="009E6996" w:rsidRPr="00D51674" w14:paraId="52F6F0CD" w14:textId="4911D53C" w:rsidTr="00CD14BC">
        <w:trPr>
          <w:trHeight w:val="358"/>
        </w:trPr>
        <w:tc>
          <w:tcPr>
            <w:tcW w:w="1985" w:type="dxa"/>
            <w:tcBorders>
              <w:top w:val="single" w:sz="2" w:space="0" w:color="161615" w:themeColor="background2" w:themeShade="1A"/>
              <w:bottom w:val="single" w:sz="2" w:space="0" w:color="161615" w:themeColor="background2" w:themeShade="1A"/>
            </w:tcBorders>
          </w:tcPr>
          <w:p w14:paraId="4EEF1467" w14:textId="77777777" w:rsidR="009E6996" w:rsidRPr="001D3C4C" w:rsidRDefault="009E6996" w:rsidP="00AB3E24">
            <w:r w:rsidRPr="0095761C">
              <w:rPr>
                <w:b/>
              </w:rPr>
              <w:t>Closure of Declared Mine</w:t>
            </w:r>
          </w:p>
        </w:tc>
        <w:tc>
          <w:tcPr>
            <w:tcW w:w="5812" w:type="dxa"/>
            <w:tcBorders>
              <w:top w:val="single" w:sz="2" w:space="0" w:color="161615" w:themeColor="background2" w:themeShade="1A"/>
              <w:bottom w:val="single" w:sz="2" w:space="0" w:color="161615" w:themeColor="background2" w:themeShade="1A"/>
            </w:tcBorders>
          </w:tcPr>
          <w:p w14:paraId="44EEA5FC" w14:textId="77777777" w:rsidR="009E6996" w:rsidRPr="0095761C" w:rsidRDefault="009E6996">
            <w:pPr>
              <w:spacing w:before="60" w:after="120"/>
            </w:pPr>
            <w:r w:rsidRPr="0095761C">
              <w:t>Closure criteria guidance</w:t>
            </w:r>
          </w:p>
          <w:p w14:paraId="126283F9" w14:textId="77777777" w:rsidR="009E6996" w:rsidRPr="0095761C" w:rsidRDefault="009E6996">
            <w:pPr>
              <w:spacing w:before="60" w:after="120"/>
            </w:pPr>
            <w:r w:rsidRPr="0095761C">
              <w:t>Application for closure determination guidance</w:t>
            </w:r>
          </w:p>
          <w:p w14:paraId="686DAF9C" w14:textId="77777777" w:rsidR="009E6996" w:rsidRPr="00D51674" w:rsidRDefault="009E6996">
            <w:pPr>
              <w:spacing w:before="60" w:after="120"/>
            </w:pPr>
            <w:r w:rsidRPr="0095761C">
              <w:t>Policies and procedures for assessing application for declared mine closure</w:t>
            </w:r>
          </w:p>
        </w:tc>
        <w:tc>
          <w:tcPr>
            <w:tcW w:w="1701" w:type="dxa"/>
            <w:tcBorders>
              <w:top w:val="single" w:sz="2" w:space="0" w:color="161615" w:themeColor="background2" w:themeShade="1A"/>
              <w:bottom w:val="single" w:sz="2" w:space="0" w:color="161615" w:themeColor="background2" w:themeShade="1A"/>
            </w:tcBorders>
          </w:tcPr>
          <w:p w14:paraId="4C2E33EA" w14:textId="7318351D" w:rsidR="009E6996" w:rsidRPr="00B67F16" w:rsidRDefault="00214857">
            <w:pPr>
              <w:spacing w:before="60" w:after="120"/>
            </w:pPr>
            <w:r w:rsidRPr="00CD14BC">
              <w:t>Q</w:t>
            </w:r>
            <w:r w:rsidR="00EF2374">
              <w:t xml:space="preserve">uarter </w:t>
            </w:r>
            <w:r w:rsidR="007957D3" w:rsidRPr="00CD14BC">
              <w:t>2</w:t>
            </w:r>
            <w:r w:rsidR="00EF2374">
              <w:t>,</w:t>
            </w:r>
            <w:r w:rsidRPr="00CD14BC">
              <w:t xml:space="preserve"> 2024</w:t>
            </w:r>
          </w:p>
        </w:tc>
      </w:tr>
      <w:tr w:rsidR="009E6996" w:rsidRPr="00D51674" w14:paraId="10F66417" w14:textId="7833744C" w:rsidTr="00CD14BC">
        <w:trPr>
          <w:trHeight w:val="358"/>
        </w:trPr>
        <w:tc>
          <w:tcPr>
            <w:tcW w:w="1985" w:type="dxa"/>
            <w:tcBorders>
              <w:top w:val="single" w:sz="2" w:space="0" w:color="161615" w:themeColor="background2" w:themeShade="1A"/>
              <w:bottom w:val="nil"/>
            </w:tcBorders>
          </w:tcPr>
          <w:p w14:paraId="6680CF59" w14:textId="77777777" w:rsidR="009E6996" w:rsidRPr="001D3C4C" w:rsidRDefault="009E6996" w:rsidP="00AB3E24">
            <w:r w:rsidRPr="0095761C">
              <w:rPr>
                <w:b/>
              </w:rPr>
              <w:t>Declared Mine Fund</w:t>
            </w:r>
          </w:p>
        </w:tc>
        <w:tc>
          <w:tcPr>
            <w:tcW w:w="5812" w:type="dxa"/>
            <w:tcBorders>
              <w:top w:val="single" w:sz="2" w:space="0" w:color="161615" w:themeColor="background2" w:themeShade="1A"/>
              <w:bottom w:val="nil"/>
            </w:tcBorders>
          </w:tcPr>
          <w:p w14:paraId="144E0A86" w14:textId="53ADEA58" w:rsidR="009E6996" w:rsidRPr="00D51674" w:rsidRDefault="009E6996">
            <w:pPr>
              <w:spacing w:before="60" w:after="120"/>
            </w:pPr>
            <w:r w:rsidRPr="0095761C">
              <w:t>Policies and procedures for determining the amount to be paid into the Declared Mine Fund</w:t>
            </w:r>
          </w:p>
        </w:tc>
        <w:tc>
          <w:tcPr>
            <w:tcW w:w="1701" w:type="dxa"/>
            <w:tcBorders>
              <w:top w:val="single" w:sz="2" w:space="0" w:color="161615" w:themeColor="background2" w:themeShade="1A"/>
              <w:bottom w:val="nil"/>
            </w:tcBorders>
          </w:tcPr>
          <w:p w14:paraId="690182B7" w14:textId="5CCE3C2F" w:rsidR="009E6996" w:rsidRPr="00B67F16" w:rsidRDefault="0046346B">
            <w:pPr>
              <w:spacing w:before="60" w:after="120"/>
            </w:pPr>
            <w:r w:rsidRPr="00CD14BC">
              <w:t>Q</w:t>
            </w:r>
            <w:r w:rsidR="00EF2374">
              <w:t xml:space="preserve">uarter </w:t>
            </w:r>
            <w:r w:rsidRPr="00CD14BC">
              <w:t>4</w:t>
            </w:r>
            <w:r w:rsidR="00EF2374">
              <w:t>,</w:t>
            </w:r>
            <w:r w:rsidRPr="00CD14BC">
              <w:t xml:space="preserve"> 2024</w:t>
            </w:r>
          </w:p>
        </w:tc>
      </w:tr>
      <w:tr w:rsidR="00EF2374" w:rsidRPr="00D51674" w14:paraId="2E54951D" w14:textId="77777777" w:rsidTr="00CD14BC">
        <w:trPr>
          <w:trHeight w:val="358"/>
        </w:trPr>
        <w:tc>
          <w:tcPr>
            <w:tcW w:w="1985" w:type="dxa"/>
            <w:tcBorders>
              <w:top w:val="nil"/>
              <w:bottom w:val="nil"/>
            </w:tcBorders>
          </w:tcPr>
          <w:p w14:paraId="41041B95" w14:textId="77777777" w:rsidR="00EF2374" w:rsidRPr="0095761C" w:rsidRDefault="00EF2374" w:rsidP="00AB3E24">
            <w:pPr>
              <w:rPr>
                <w:b/>
              </w:rPr>
            </w:pPr>
          </w:p>
        </w:tc>
        <w:tc>
          <w:tcPr>
            <w:tcW w:w="5812" w:type="dxa"/>
            <w:tcBorders>
              <w:top w:val="nil"/>
              <w:bottom w:val="nil"/>
            </w:tcBorders>
          </w:tcPr>
          <w:p w14:paraId="55A2E8BC" w14:textId="0EE1B473" w:rsidR="00EF2374" w:rsidRPr="0095761C" w:rsidRDefault="00EF2374">
            <w:pPr>
              <w:spacing w:before="60" w:after="120"/>
            </w:pPr>
            <w:r w:rsidRPr="0095761C">
              <w:t>Guidance about the Declared Mine Fund</w:t>
            </w:r>
          </w:p>
        </w:tc>
        <w:tc>
          <w:tcPr>
            <w:tcW w:w="1701" w:type="dxa"/>
            <w:tcBorders>
              <w:top w:val="nil"/>
              <w:bottom w:val="nil"/>
            </w:tcBorders>
          </w:tcPr>
          <w:p w14:paraId="65C76AAE" w14:textId="15CC07BE" w:rsidR="00EF2374" w:rsidRPr="00B67F16" w:rsidRDefault="00EF2374" w:rsidP="00CD14BC">
            <w:pPr>
              <w:spacing w:before="60" w:after="120"/>
            </w:pPr>
            <w:r w:rsidRPr="00166064">
              <w:t>Q</w:t>
            </w:r>
            <w:r>
              <w:t xml:space="preserve">uarter </w:t>
            </w:r>
            <w:r w:rsidRPr="00166064">
              <w:t>4</w:t>
            </w:r>
            <w:r>
              <w:t>,</w:t>
            </w:r>
            <w:r w:rsidRPr="00166064">
              <w:t xml:space="preserve"> 2024</w:t>
            </w:r>
          </w:p>
        </w:tc>
      </w:tr>
      <w:tr w:rsidR="00EF2374" w:rsidRPr="00D51674" w14:paraId="4DAA98FB" w14:textId="77777777" w:rsidTr="00CD14BC">
        <w:trPr>
          <w:trHeight w:val="358"/>
        </w:trPr>
        <w:tc>
          <w:tcPr>
            <w:tcW w:w="1985" w:type="dxa"/>
            <w:tcBorders>
              <w:top w:val="nil"/>
              <w:bottom w:val="single" w:sz="2" w:space="0" w:color="161615" w:themeColor="background2" w:themeShade="1A"/>
            </w:tcBorders>
          </w:tcPr>
          <w:p w14:paraId="333F72B5" w14:textId="77777777" w:rsidR="00EF2374" w:rsidRPr="0095761C" w:rsidRDefault="00EF2374" w:rsidP="00AB3E24">
            <w:pPr>
              <w:rPr>
                <w:b/>
              </w:rPr>
            </w:pPr>
          </w:p>
        </w:tc>
        <w:tc>
          <w:tcPr>
            <w:tcW w:w="5812" w:type="dxa"/>
            <w:tcBorders>
              <w:top w:val="nil"/>
              <w:bottom w:val="single" w:sz="2" w:space="0" w:color="161615" w:themeColor="background2" w:themeShade="1A"/>
            </w:tcBorders>
          </w:tcPr>
          <w:p w14:paraId="24205E46" w14:textId="3F1EF720" w:rsidR="00EF2374" w:rsidRPr="0095761C" w:rsidRDefault="00EF2374">
            <w:pPr>
              <w:spacing w:before="60" w:after="120"/>
            </w:pPr>
            <w:r w:rsidRPr="0095761C">
              <w:t>Create the Declared Mine Fund</w:t>
            </w:r>
          </w:p>
        </w:tc>
        <w:tc>
          <w:tcPr>
            <w:tcW w:w="1701" w:type="dxa"/>
            <w:tcBorders>
              <w:top w:val="nil"/>
              <w:bottom w:val="single" w:sz="2" w:space="0" w:color="161615" w:themeColor="background2" w:themeShade="1A"/>
            </w:tcBorders>
          </w:tcPr>
          <w:p w14:paraId="08CD7914" w14:textId="752DB34B" w:rsidR="00EF2374" w:rsidRPr="00B67F16" w:rsidRDefault="00EF2374" w:rsidP="00CD14BC">
            <w:pPr>
              <w:spacing w:before="60" w:after="120"/>
            </w:pPr>
            <w:r w:rsidRPr="00166064">
              <w:t>After 2025</w:t>
            </w:r>
          </w:p>
        </w:tc>
      </w:tr>
      <w:tr w:rsidR="009E6996" w:rsidRPr="00D51674" w14:paraId="1E52EC78" w14:textId="53C07EEA" w:rsidTr="00CD14BC">
        <w:trPr>
          <w:trHeight w:val="358"/>
        </w:trPr>
        <w:tc>
          <w:tcPr>
            <w:tcW w:w="1985" w:type="dxa"/>
            <w:tcBorders>
              <w:top w:val="single" w:sz="2" w:space="0" w:color="161615" w:themeColor="background2" w:themeShade="1A"/>
              <w:bottom w:val="single" w:sz="2" w:space="0" w:color="161615" w:themeColor="background2" w:themeShade="1A"/>
            </w:tcBorders>
          </w:tcPr>
          <w:p w14:paraId="576A7CAD" w14:textId="77777777" w:rsidR="009E6996" w:rsidRPr="001D3C4C" w:rsidRDefault="009E6996" w:rsidP="00AB3E24">
            <w:r w:rsidRPr="0095761C">
              <w:rPr>
                <w:b/>
              </w:rPr>
              <w:lastRenderedPageBreak/>
              <w:t>Declared Mine Register</w:t>
            </w:r>
          </w:p>
        </w:tc>
        <w:tc>
          <w:tcPr>
            <w:tcW w:w="5812" w:type="dxa"/>
            <w:tcBorders>
              <w:top w:val="single" w:sz="2" w:space="0" w:color="161615" w:themeColor="background2" w:themeShade="1A"/>
              <w:bottom w:val="single" w:sz="2" w:space="0" w:color="161615" w:themeColor="background2" w:themeShade="1A"/>
            </w:tcBorders>
          </w:tcPr>
          <w:p w14:paraId="4F1DE9B7" w14:textId="77777777" w:rsidR="004146F6" w:rsidRDefault="009E6996">
            <w:pPr>
              <w:spacing w:before="60" w:after="120"/>
            </w:pPr>
            <w:r w:rsidRPr="0095761C">
              <w:t>Policies and procedures for Registration of Declared Mine Land</w:t>
            </w:r>
            <w:r w:rsidR="004146F6" w:rsidRPr="0095761C">
              <w:t xml:space="preserve"> </w:t>
            </w:r>
          </w:p>
          <w:p w14:paraId="01BF2DF6" w14:textId="566A42FA" w:rsidR="009E6996" w:rsidRPr="00D51674" w:rsidRDefault="004146F6">
            <w:pPr>
              <w:spacing w:before="60" w:after="120"/>
            </w:pPr>
            <w:r w:rsidRPr="0095761C">
              <w:t xml:space="preserve">Creation of the Declared Mine Register </w:t>
            </w:r>
          </w:p>
        </w:tc>
        <w:tc>
          <w:tcPr>
            <w:tcW w:w="1701" w:type="dxa"/>
            <w:tcBorders>
              <w:top w:val="single" w:sz="2" w:space="0" w:color="161615" w:themeColor="background2" w:themeShade="1A"/>
              <w:bottom w:val="single" w:sz="2" w:space="0" w:color="161615" w:themeColor="background2" w:themeShade="1A"/>
            </w:tcBorders>
          </w:tcPr>
          <w:p w14:paraId="7E698795" w14:textId="16B88DBB" w:rsidR="004146F6" w:rsidRPr="00CD14BC" w:rsidRDefault="004146F6">
            <w:pPr>
              <w:spacing w:before="60" w:after="120"/>
            </w:pPr>
            <w:r w:rsidRPr="00CD14BC">
              <w:t>2025</w:t>
            </w:r>
          </w:p>
          <w:p w14:paraId="1AD1BA5E" w14:textId="45984A5C" w:rsidR="009E6996" w:rsidRPr="00B67F16" w:rsidRDefault="009734D5">
            <w:pPr>
              <w:spacing w:before="60" w:after="120"/>
            </w:pPr>
            <w:r w:rsidRPr="00CD14BC">
              <w:t xml:space="preserve">After </w:t>
            </w:r>
            <w:r w:rsidR="00AC172D" w:rsidRPr="00CD14BC">
              <w:t>2025</w:t>
            </w:r>
          </w:p>
        </w:tc>
      </w:tr>
      <w:tr w:rsidR="009E6996" w:rsidRPr="00D51674" w14:paraId="0865FC4B" w14:textId="7E96FE18" w:rsidTr="00CD14BC">
        <w:trPr>
          <w:trHeight w:val="358"/>
        </w:trPr>
        <w:tc>
          <w:tcPr>
            <w:tcW w:w="1985" w:type="dxa"/>
            <w:tcBorders>
              <w:top w:val="single" w:sz="2" w:space="0" w:color="161615" w:themeColor="background2" w:themeShade="1A"/>
              <w:bottom w:val="single" w:sz="2" w:space="0" w:color="161615" w:themeColor="background2" w:themeShade="1A"/>
            </w:tcBorders>
          </w:tcPr>
          <w:p w14:paraId="6E46709D" w14:textId="77777777" w:rsidR="009E6996" w:rsidRPr="001D3C4C" w:rsidRDefault="009E6996" w:rsidP="00AB3E24">
            <w:r w:rsidRPr="0095761C">
              <w:rPr>
                <w:b/>
              </w:rPr>
              <w:t>Infringements and fees</w:t>
            </w:r>
          </w:p>
        </w:tc>
        <w:tc>
          <w:tcPr>
            <w:tcW w:w="5812" w:type="dxa"/>
            <w:tcBorders>
              <w:top w:val="single" w:sz="2" w:space="0" w:color="161615" w:themeColor="background2" w:themeShade="1A"/>
              <w:bottom w:val="single" w:sz="2" w:space="0" w:color="161615" w:themeColor="background2" w:themeShade="1A"/>
            </w:tcBorders>
          </w:tcPr>
          <w:p w14:paraId="1F5B30A5" w14:textId="77777777" w:rsidR="009E6996" w:rsidRPr="00D51674" w:rsidRDefault="009E6996" w:rsidP="00F97943">
            <w:pPr>
              <w:spacing w:before="60" w:after="120"/>
            </w:pPr>
            <w:r w:rsidRPr="0095761C">
              <w:t>Revise references to regulations and schedules in guidance and other materials</w:t>
            </w:r>
          </w:p>
        </w:tc>
        <w:tc>
          <w:tcPr>
            <w:tcW w:w="1701" w:type="dxa"/>
            <w:tcBorders>
              <w:top w:val="single" w:sz="2" w:space="0" w:color="161615" w:themeColor="background2" w:themeShade="1A"/>
              <w:bottom w:val="single" w:sz="2" w:space="0" w:color="161615" w:themeColor="background2" w:themeShade="1A"/>
            </w:tcBorders>
          </w:tcPr>
          <w:p w14:paraId="019EE4D8" w14:textId="37ADE240" w:rsidR="009E6996" w:rsidRPr="00B67F16" w:rsidRDefault="00EF3B64" w:rsidP="00F97943">
            <w:pPr>
              <w:spacing w:before="60" w:after="120"/>
            </w:pPr>
            <w:r w:rsidRPr="00CD14BC">
              <w:t>Q</w:t>
            </w:r>
            <w:r w:rsidR="00A87890">
              <w:t>uarter 2,</w:t>
            </w:r>
            <w:r w:rsidRPr="00CD14BC">
              <w:t xml:space="preserve"> 2023</w:t>
            </w:r>
          </w:p>
        </w:tc>
      </w:tr>
      <w:tr w:rsidR="009E6996" w:rsidRPr="00D51674" w14:paraId="67283A3A" w14:textId="2A0D957A" w:rsidTr="00CD14BC">
        <w:trPr>
          <w:trHeight w:val="358"/>
        </w:trPr>
        <w:tc>
          <w:tcPr>
            <w:tcW w:w="1985" w:type="dxa"/>
            <w:tcBorders>
              <w:top w:val="single" w:sz="2" w:space="0" w:color="161615" w:themeColor="background2" w:themeShade="1A"/>
              <w:bottom w:val="single" w:sz="2" w:space="0" w:color="161615" w:themeColor="background2" w:themeShade="1A"/>
            </w:tcBorders>
          </w:tcPr>
          <w:p w14:paraId="4B8C6E43" w14:textId="77777777" w:rsidR="009E6996" w:rsidRPr="001D3C4C" w:rsidRDefault="009E6996" w:rsidP="00AB3E24">
            <w:r w:rsidRPr="0095761C">
              <w:rPr>
                <w:b/>
              </w:rPr>
              <w:t>Minor and technical amendments</w:t>
            </w:r>
          </w:p>
        </w:tc>
        <w:tc>
          <w:tcPr>
            <w:tcW w:w="5812" w:type="dxa"/>
            <w:tcBorders>
              <w:top w:val="single" w:sz="2" w:space="0" w:color="161615" w:themeColor="background2" w:themeShade="1A"/>
              <w:bottom w:val="single" w:sz="2" w:space="0" w:color="161615" w:themeColor="background2" w:themeShade="1A"/>
            </w:tcBorders>
          </w:tcPr>
          <w:p w14:paraId="656ECFD6" w14:textId="77777777" w:rsidR="009E6996" w:rsidRPr="00D51674" w:rsidRDefault="009E6996" w:rsidP="00F97943">
            <w:pPr>
              <w:spacing w:before="60" w:after="120"/>
            </w:pPr>
            <w:r w:rsidRPr="0095761C">
              <w:t>Revise references to regulations and schedules in existing policies, procedures, guidance, and other materials</w:t>
            </w:r>
          </w:p>
        </w:tc>
        <w:tc>
          <w:tcPr>
            <w:tcW w:w="1701" w:type="dxa"/>
            <w:tcBorders>
              <w:top w:val="single" w:sz="2" w:space="0" w:color="161615" w:themeColor="background2" w:themeShade="1A"/>
              <w:bottom w:val="single" w:sz="2" w:space="0" w:color="161615" w:themeColor="background2" w:themeShade="1A"/>
            </w:tcBorders>
          </w:tcPr>
          <w:p w14:paraId="662C2423" w14:textId="6C31AD98" w:rsidR="009E6996" w:rsidRPr="00B67F16" w:rsidRDefault="00347F04" w:rsidP="00F97943">
            <w:pPr>
              <w:spacing w:before="60" w:after="120"/>
            </w:pPr>
            <w:r w:rsidRPr="00CD14BC">
              <w:t>Q</w:t>
            </w:r>
            <w:r w:rsidR="00A87890">
              <w:t xml:space="preserve">uarter </w:t>
            </w:r>
            <w:r w:rsidRPr="00CD14BC">
              <w:t>2</w:t>
            </w:r>
            <w:r w:rsidR="00A87890">
              <w:t>,</w:t>
            </w:r>
            <w:r w:rsidRPr="00CD14BC">
              <w:t xml:space="preserve"> 2023</w:t>
            </w:r>
          </w:p>
        </w:tc>
      </w:tr>
    </w:tbl>
    <w:p w14:paraId="55FD3C05" w14:textId="77777777" w:rsidR="003B14EE" w:rsidRDefault="003B14EE" w:rsidP="00BD6F7F"/>
    <w:p w14:paraId="413149B6" w14:textId="10EF16CD" w:rsidR="009C0DAC" w:rsidRDefault="009C0DAC" w:rsidP="00D50C43">
      <w:pPr>
        <w:pStyle w:val="Heading2"/>
        <w:numPr>
          <w:ilvl w:val="1"/>
          <w:numId w:val="124"/>
        </w:numPr>
      </w:pPr>
      <w:bookmarkStart w:id="415" w:name="_Toc104217732"/>
      <w:r>
        <w:t xml:space="preserve">ERR – </w:t>
      </w:r>
      <w:r w:rsidR="00804684">
        <w:t xml:space="preserve">Interim </w:t>
      </w:r>
      <w:r>
        <w:t xml:space="preserve">Compliance Strategy </w:t>
      </w:r>
      <w:r w:rsidR="00804684">
        <w:t>2021-</w:t>
      </w:r>
      <w:r w:rsidR="00290E9B">
        <w:t>2022</w:t>
      </w:r>
      <w:bookmarkEnd w:id="415"/>
    </w:p>
    <w:p w14:paraId="634C9AB5" w14:textId="32D82AC4" w:rsidR="00997274" w:rsidRDefault="419D7073" w:rsidP="00997274">
      <w:r>
        <w:t>ERR has a</w:t>
      </w:r>
      <w:r w:rsidR="5AAE451E">
        <w:t>n interim</w:t>
      </w:r>
      <w:r>
        <w:t xml:space="preserve"> compliance strategy which will encourage, monitor and enforce regulatory compliance of Victorian earth resource businesses. </w:t>
      </w:r>
      <w:r w:rsidR="2AA129AD">
        <w:t xml:space="preserve">ERR’s Interim Compliance Strategy outlines the way that it undertakes compliance activities, the way work is prioritised using a </w:t>
      </w:r>
      <w:r w:rsidR="00B72707">
        <w:t>risk based</w:t>
      </w:r>
      <w:r w:rsidR="2AA129AD">
        <w:t xml:space="preserve"> approach, and ERR’s use of a graded compliance strategy, spanning from education to enforcement and prosecution, where the outcome is appropriate to the level of risk posed.</w:t>
      </w:r>
      <w:r w:rsidR="008D7E5F">
        <w:rPr>
          <w:rStyle w:val="FootnoteReference"/>
        </w:rPr>
        <w:footnoteReference w:id="200"/>
      </w:r>
    </w:p>
    <w:p w14:paraId="538FAB37" w14:textId="07CF67A7" w:rsidR="00997274" w:rsidRDefault="00997274" w:rsidP="00997274">
      <w:r>
        <w:t>ERR will maintain a priority focus on preventing and responding to the key risks posed by minerals, extractives and petroleum sites to protect public safety, land, infrastructure and the environment, including (but not limited to):</w:t>
      </w:r>
    </w:p>
    <w:p w14:paraId="57F24970" w14:textId="77777777" w:rsidR="00997274" w:rsidRDefault="00997274" w:rsidP="009C3135">
      <w:pPr>
        <w:pStyle w:val="dotpoints"/>
      </w:pPr>
      <w:r>
        <w:t>Fire – coal mines, plant and equipment fires</w:t>
      </w:r>
    </w:p>
    <w:p w14:paraId="04F83FF5" w14:textId="6DDFE794" w:rsidR="00997274" w:rsidRDefault="00997274" w:rsidP="009C3135">
      <w:pPr>
        <w:pStyle w:val="dotpoints"/>
      </w:pPr>
      <w:r>
        <w:t>Stability – mines and quarries batters, integrity of tailings stor</w:t>
      </w:r>
      <w:r w:rsidR="009C2810">
        <w:t>a</w:t>
      </w:r>
      <w:r>
        <w:t>ge facilities and land erosion</w:t>
      </w:r>
    </w:p>
    <w:p w14:paraId="42BA4D8E" w14:textId="77777777" w:rsidR="00997274" w:rsidRDefault="00997274" w:rsidP="009C3135">
      <w:pPr>
        <w:pStyle w:val="dotpoints"/>
      </w:pPr>
      <w:r>
        <w:t>Rehabilitation – progressive and final rehabilitation of mines, quarries, petroleum and exploration sites</w:t>
      </w:r>
    </w:p>
    <w:p w14:paraId="003E193B" w14:textId="77777777" w:rsidR="00997274" w:rsidRDefault="00997274" w:rsidP="009C3135">
      <w:pPr>
        <w:pStyle w:val="dotpoints"/>
      </w:pPr>
      <w:r>
        <w:t>Community impacts – including dust, noise, vibrations and public safety of sites</w:t>
      </w:r>
    </w:p>
    <w:p w14:paraId="695A9B56" w14:textId="3B8AD766" w:rsidR="00997274" w:rsidRDefault="00997274" w:rsidP="009C3135">
      <w:pPr>
        <w:pStyle w:val="dotpoints"/>
      </w:pPr>
      <w:r>
        <w:t xml:space="preserve">Authorisations and access– </w:t>
      </w:r>
      <w:r w:rsidR="00B72707">
        <w:t>including Native</w:t>
      </w:r>
      <w:r>
        <w:t xml:space="preserve"> Title, land access and necessary authorisations</w:t>
      </w:r>
    </w:p>
    <w:p w14:paraId="09ADC192" w14:textId="20B6B840" w:rsidR="007538C3" w:rsidRDefault="00ED635D" w:rsidP="00997274">
      <w:r>
        <w:t>ERR</w:t>
      </w:r>
      <w:r w:rsidR="2AA129AD">
        <w:t xml:space="preserve"> will undertake compliance activities including targeted inspections and audits focusing on addressing these key risks.</w:t>
      </w:r>
    </w:p>
    <w:p w14:paraId="1BE218B7" w14:textId="1A533CF2" w:rsidR="00682DC4" w:rsidRDefault="00FC2848" w:rsidP="007538C3">
      <w:r>
        <w:t xml:space="preserve">ERR </w:t>
      </w:r>
      <w:r w:rsidR="00682DC4">
        <w:t>has a Memoranda of Understanding and agreements in place with co-regulators to enable a whole of government approach to regulation. E</w:t>
      </w:r>
      <w:r>
        <w:t>RR</w:t>
      </w:r>
      <w:r w:rsidR="00682DC4">
        <w:t>’s work with co-regulators aims to effect more efficient regulation and therefore reduce the regulatory burden on authority holders.</w:t>
      </w:r>
      <w:r>
        <w:t xml:space="preserve"> The joint regulatory landscape ERR</w:t>
      </w:r>
      <w:r w:rsidR="00DE03B8">
        <w:t xml:space="preserve"> operates within </w:t>
      </w:r>
      <w:r w:rsidR="006416BD">
        <w:t xml:space="preserve">also </w:t>
      </w:r>
      <w:r w:rsidR="00DE03B8">
        <w:t xml:space="preserve">includes </w:t>
      </w:r>
      <w:r w:rsidR="006416BD">
        <w:t xml:space="preserve">other areas </w:t>
      </w:r>
      <w:r w:rsidR="0006513B">
        <w:t xml:space="preserve">of </w:t>
      </w:r>
      <w:r w:rsidR="006416BD">
        <w:t xml:space="preserve">government as outlined in </w:t>
      </w:r>
      <w:r w:rsidR="006416BD">
        <w:fldChar w:fldCharType="begin"/>
      </w:r>
      <w:r w:rsidR="006416BD">
        <w:instrText xml:space="preserve"> REF _Ref102752063 \r \h </w:instrText>
      </w:r>
      <w:r w:rsidR="006416BD">
        <w:fldChar w:fldCharType="separate"/>
      </w:r>
      <w:r w:rsidR="000B3BF6">
        <w:t>2.2.4</w:t>
      </w:r>
      <w:r w:rsidR="006416BD">
        <w:fldChar w:fldCharType="end"/>
      </w:r>
      <w:r w:rsidR="006416BD">
        <w:t>.</w:t>
      </w:r>
    </w:p>
    <w:p w14:paraId="7BB9A248" w14:textId="43351EAE" w:rsidR="007538C3" w:rsidRDefault="007538C3" w:rsidP="007538C3">
      <w:r>
        <w:t xml:space="preserve">In February 2021, </w:t>
      </w:r>
      <w:r w:rsidR="00997274">
        <w:t>ERR</w:t>
      </w:r>
      <w:r>
        <w:t xml:space="preserve"> commenced an in-depth review of </w:t>
      </w:r>
      <w:r w:rsidR="00DA3575">
        <w:t xml:space="preserve">their </w:t>
      </w:r>
      <w:r>
        <w:t>compliance model. This review consider</w:t>
      </w:r>
      <w:r w:rsidR="00DA3575">
        <w:t>s</w:t>
      </w:r>
      <w:r>
        <w:t xml:space="preserve"> all aspects of </w:t>
      </w:r>
      <w:r w:rsidR="00DA3575">
        <w:t xml:space="preserve">its </w:t>
      </w:r>
      <w:r>
        <w:t>compliance activities across the state.</w:t>
      </w:r>
      <w:r w:rsidR="00682DC4">
        <w:t xml:space="preserve"> </w:t>
      </w:r>
      <w:r>
        <w:t xml:space="preserve">By publishing the Interim Compliance Strategy, </w:t>
      </w:r>
      <w:r w:rsidR="00997274">
        <w:t>ERR</w:t>
      </w:r>
      <w:r>
        <w:t xml:space="preserve"> aims to assure the community and other key stakeholders that compliance activities will continue in a consistent manner, underpinned by a shared understanding of objectives, regulatory approach and goals, while the review is completed. A new compliance strategy will be developed on conclusion of the review, to reflect its findings and recommendations.</w:t>
      </w:r>
    </w:p>
    <w:p w14:paraId="4EAA38A7" w14:textId="2BA3411E" w:rsidR="009C0DAC" w:rsidRDefault="009C0DAC" w:rsidP="009C0DAC">
      <w:r>
        <w:t xml:space="preserve">ERR uses several regulatory tools to encourage compliance. Typically, these range from providing advice and educational material and escalate to prosecutions with penalties attached in the order of $150,000 (see </w:t>
      </w:r>
      <w:r>
        <w:fldChar w:fldCharType="begin"/>
      </w:r>
      <w:r>
        <w:instrText xml:space="preserve"> REF _Ref15053511 \h </w:instrText>
      </w:r>
      <w:r>
        <w:fldChar w:fldCharType="separate"/>
      </w:r>
      <w:r w:rsidR="000B3BF6">
        <w:t xml:space="preserve">Table </w:t>
      </w:r>
      <w:r w:rsidR="000B3BF6">
        <w:rPr>
          <w:noProof/>
        </w:rPr>
        <w:t>25</w:t>
      </w:r>
      <w:r>
        <w:fldChar w:fldCharType="end"/>
      </w:r>
      <w:r>
        <w:t xml:space="preserve"> below). ERR’s hierarchy of compliance tools is shown below. It will be observed that an infringement notice may be used for medium risks and interventions. Infringement notices also provide a rapid and certain response for lower level offences appropriate for infringements.</w:t>
      </w:r>
    </w:p>
    <w:p w14:paraId="734C4EAF" w14:textId="77777777" w:rsidR="009C0DAC" w:rsidRDefault="009C0DAC" w:rsidP="009C0DAC">
      <w:pPr>
        <w:rPr>
          <w:highlight w:val="yellow"/>
        </w:rPr>
        <w:sectPr w:rsidR="009C0DAC" w:rsidSect="0030676D">
          <w:type w:val="continuous"/>
          <w:pgSz w:w="11906" w:h="16838"/>
          <w:pgMar w:top="1440" w:right="1440" w:bottom="1440" w:left="1440" w:header="708" w:footer="137" w:gutter="0"/>
          <w:cols w:space="708"/>
          <w:docGrid w:linePitch="360"/>
        </w:sectPr>
      </w:pPr>
      <w:r>
        <w:lastRenderedPageBreak/>
        <w:t>In the past five years there has been one prosecution under the Act and three are currently afoot. There have also been five warnings over the past year.</w:t>
      </w:r>
    </w:p>
    <w:p w14:paraId="51737E9E" w14:textId="46F67D96" w:rsidR="009C0DAC" w:rsidRPr="00B55EC8" w:rsidRDefault="009C0DAC" w:rsidP="009C0DAC">
      <w:pPr>
        <w:pStyle w:val="Caption"/>
        <w:rPr>
          <w:rStyle w:val="Strong"/>
        </w:rPr>
      </w:pPr>
      <w:bookmarkStart w:id="416" w:name="_Ref15053511"/>
      <w:bookmarkStart w:id="417" w:name="_Toc4161467"/>
      <w:bookmarkStart w:id="418" w:name="_Toc15917374"/>
      <w:bookmarkStart w:id="419" w:name="_Toc104217641"/>
      <w:r>
        <w:lastRenderedPageBreak/>
        <w:t xml:space="preserve">Table </w:t>
      </w:r>
      <w:r>
        <w:rPr>
          <w:noProof/>
        </w:rPr>
        <w:fldChar w:fldCharType="begin"/>
      </w:r>
      <w:r>
        <w:rPr>
          <w:noProof/>
        </w:rPr>
        <w:instrText xml:space="preserve"> SEQ Table \* ARABIC </w:instrText>
      </w:r>
      <w:r>
        <w:rPr>
          <w:noProof/>
        </w:rPr>
        <w:fldChar w:fldCharType="separate"/>
      </w:r>
      <w:r w:rsidR="000B3BF6">
        <w:rPr>
          <w:noProof/>
        </w:rPr>
        <w:t>25</w:t>
      </w:r>
      <w:r>
        <w:rPr>
          <w:noProof/>
        </w:rPr>
        <w:fldChar w:fldCharType="end"/>
      </w:r>
      <w:bookmarkEnd w:id="416"/>
      <w:r>
        <w:t>: ERR compliance tool hierarchy</w:t>
      </w:r>
      <w:bookmarkEnd w:id="417"/>
      <w:bookmarkEnd w:id="418"/>
      <w:bookmarkEnd w:id="419"/>
    </w:p>
    <w:tbl>
      <w:tblPr>
        <w:tblStyle w:val="TableGrid"/>
        <w:tblW w:w="5000" w:type="pct"/>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426"/>
        <w:gridCol w:w="2690"/>
        <w:gridCol w:w="5910"/>
      </w:tblGrid>
      <w:tr w:rsidR="009C0DAC" w:rsidRPr="00D51674" w14:paraId="3B9DBA12" w14:textId="77777777" w:rsidTr="00F24E65">
        <w:trPr>
          <w:tblHeader/>
        </w:trPr>
        <w:tc>
          <w:tcPr>
            <w:tcW w:w="236" w:type="pct"/>
            <w:shd w:val="clear" w:color="auto" w:fill="1B0B38"/>
            <w:vAlign w:val="center"/>
          </w:tcPr>
          <w:p w14:paraId="56CD54BB" w14:textId="77777777" w:rsidR="009C0DAC" w:rsidRPr="00BA70A6" w:rsidRDefault="009C0DAC" w:rsidP="00F24E65">
            <w:pPr>
              <w:spacing w:before="60" w:after="60"/>
              <w:rPr>
                <w:rStyle w:val="Strong"/>
                <w:color w:val="FFFFFF" w:themeColor="background1"/>
              </w:rPr>
            </w:pPr>
          </w:p>
        </w:tc>
        <w:tc>
          <w:tcPr>
            <w:tcW w:w="1490" w:type="pct"/>
            <w:shd w:val="clear" w:color="auto" w:fill="1B0B38"/>
            <w:vAlign w:val="center"/>
          </w:tcPr>
          <w:p w14:paraId="1E3861E7" w14:textId="77777777" w:rsidR="009C0DAC" w:rsidRPr="00BA70A6" w:rsidRDefault="009C0DAC" w:rsidP="00F24E65">
            <w:pPr>
              <w:spacing w:before="60" w:after="60"/>
              <w:rPr>
                <w:rStyle w:val="Strong"/>
                <w:color w:val="FFFFFF" w:themeColor="background1"/>
              </w:rPr>
            </w:pPr>
            <w:r>
              <w:rPr>
                <w:rStyle w:val="Strong"/>
                <w:color w:val="FFFFFF" w:themeColor="background1"/>
              </w:rPr>
              <w:t>Compliance measure</w:t>
            </w:r>
          </w:p>
        </w:tc>
        <w:tc>
          <w:tcPr>
            <w:tcW w:w="3274" w:type="pct"/>
            <w:shd w:val="clear" w:color="auto" w:fill="1B0B38"/>
            <w:vAlign w:val="center"/>
          </w:tcPr>
          <w:p w14:paraId="741097D5" w14:textId="77777777" w:rsidR="009C0DAC" w:rsidRPr="00BA70A6" w:rsidRDefault="009C0DAC" w:rsidP="00F24E65">
            <w:pPr>
              <w:spacing w:before="60" w:after="60"/>
              <w:rPr>
                <w:rStyle w:val="Strong"/>
                <w:color w:val="FFFFFF" w:themeColor="background1"/>
              </w:rPr>
            </w:pPr>
            <w:r>
              <w:rPr>
                <w:rStyle w:val="Strong"/>
                <w:color w:val="FFFFFF" w:themeColor="background1"/>
              </w:rPr>
              <w:t>Description</w:t>
            </w:r>
          </w:p>
        </w:tc>
      </w:tr>
      <w:tr w:rsidR="009C0DAC" w:rsidRPr="00B728F4" w14:paraId="428D651F" w14:textId="77777777" w:rsidTr="00F24E65">
        <w:trPr>
          <w:trHeight w:val="358"/>
        </w:trPr>
        <w:tc>
          <w:tcPr>
            <w:tcW w:w="5000" w:type="pct"/>
            <w:gridSpan w:val="3"/>
            <w:tcBorders>
              <w:bottom w:val="single" w:sz="4" w:space="0" w:color="1B0B38"/>
            </w:tcBorders>
          </w:tcPr>
          <w:p w14:paraId="2CF80966" w14:textId="77777777" w:rsidR="009C0DAC" w:rsidRPr="00B728F4" w:rsidRDefault="009C0DAC" w:rsidP="00F24E65">
            <w:pPr>
              <w:spacing w:before="60" w:after="60"/>
              <w:rPr>
                <w:i/>
              </w:rPr>
            </w:pPr>
            <w:r w:rsidRPr="00B728F4">
              <w:rPr>
                <w:i/>
              </w:rPr>
              <w:t>Lower level of risk and intervention</w:t>
            </w:r>
          </w:p>
        </w:tc>
      </w:tr>
      <w:tr w:rsidR="009C0DAC" w:rsidRPr="00D51674" w14:paraId="4C742300" w14:textId="77777777" w:rsidTr="00F24E65">
        <w:trPr>
          <w:trHeight w:val="358"/>
        </w:trPr>
        <w:tc>
          <w:tcPr>
            <w:tcW w:w="236" w:type="pct"/>
            <w:tcBorders>
              <w:bottom w:val="single" w:sz="4" w:space="0" w:color="1B0B38"/>
            </w:tcBorders>
            <w:vAlign w:val="center"/>
          </w:tcPr>
          <w:p w14:paraId="456D32A6" w14:textId="77777777" w:rsidR="009C0DAC" w:rsidRPr="00D51674" w:rsidRDefault="009C0DAC" w:rsidP="00F24E65">
            <w:pPr>
              <w:spacing w:before="60" w:after="60"/>
            </w:pPr>
            <w:r>
              <w:rPr>
                <w:noProof/>
                <w:lang w:val="en-GB" w:eastAsia="en-GB"/>
              </w:rPr>
              <mc:AlternateContent>
                <mc:Choice Requires="wps">
                  <w:drawing>
                    <wp:anchor distT="0" distB="0" distL="114300" distR="114300" simplePos="0" relativeHeight="251658240" behindDoc="0" locked="0" layoutInCell="1" allowOverlap="1" wp14:anchorId="08E07D93" wp14:editId="673E9BD3">
                      <wp:simplePos x="0" y="0"/>
                      <wp:positionH relativeFrom="column">
                        <wp:posOffset>55245</wp:posOffset>
                      </wp:positionH>
                      <wp:positionV relativeFrom="paragraph">
                        <wp:posOffset>43815</wp:posOffset>
                      </wp:positionV>
                      <wp:extent cx="123825" cy="5438775"/>
                      <wp:effectExtent l="19050" t="0" r="47625" b="47625"/>
                      <wp:wrapNone/>
                      <wp:docPr id="1" name="Arrow: Down 1"/>
                      <wp:cNvGraphicFramePr/>
                      <a:graphic xmlns:a="http://schemas.openxmlformats.org/drawingml/2006/main">
                        <a:graphicData uri="http://schemas.microsoft.com/office/word/2010/wordprocessingShape">
                          <wps:wsp>
                            <wps:cNvSpPr/>
                            <wps:spPr>
                              <a:xfrm>
                                <a:off x="0" y="0"/>
                                <a:ext cx="123825" cy="54387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oel="http://schemas.microsoft.com/office/2019/extlst">
                  <w:pict w14:anchorId="71F95E07">
                    <v:shapetype id="_x0000_t67" coordsize="21600,21600" o:spt="67" adj="16200,5400" path="m0@0l@1@0@1,0@2,0@2@0,21600@0,10800,21600xe" w14:anchorId="7083733A">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1" style="position:absolute;margin-left:4.35pt;margin-top:3.45pt;width:9.75pt;height:42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72ce [3204]" strokecolor="#003866 [1604]" strokeweight="2pt" type="#_x0000_t67" adj="2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"/>
                  </w:pict>
                </mc:Fallback>
              </mc:AlternateContent>
            </w:r>
          </w:p>
        </w:tc>
        <w:tc>
          <w:tcPr>
            <w:tcW w:w="1490" w:type="pct"/>
            <w:tcBorders>
              <w:bottom w:val="single" w:sz="4" w:space="0" w:color="1B0B38"/>
            </w:tcBorders>
          </w:tcPr>
          <w:p w14:paraId="093CE2B9" w14:textId="77777777" w:rsidR="009C0DAC" w:rsidRPr="00D51674" w:rsidRDefault="009C0DAC" w:rsidP="00F24E65">
            <w:pPr>
              <w:spacing w:before="60" w:after="60"/>
            </w:pPr>
            <w:r w:rsidRPr="00B728F4">
              <w:t>Engagement and advice</w:t>
            </w:r>
          </w:p>
        </w:tc>
        <w:tc>
          <w:tcPr>
            <w:tcW w:w="3274" w:type="pct"/>
            <w:tcBorders>
              <w:bottom w:val="single" w:sz="4" w:space="0" w:color="1B0B38"/>
            </w:tcBorders>
          </w:tcPr>
          <w:p w14:paraId="7FD29391" w14:textId="77777777" w:rsidR="009C0DAC" w:rsidRPr="00D51674" w:rsidRDefault="009C0DAC" w:rsidP="00F24E65">
            <w:pPr>
              <w:spacing w:before="60" w:after="60"/>
            </w:pPr>
            <w:r w:rsidRPr="00B728F4">
              <w:t>Inspectors respond to requests for advice from industry, members of the public and stakeholder groups. They help affected parties access guidance materials, codes of practice and public authority holder publications. They make all parties aware of their compliance obligations under legislation.</w:t>
            </w:r>
          </w:p>
        </w:tc>
      </w:tr>
      <w:tr w:rsidR="009C0DAC" w:rsidRPr="00D51674" w14:paraId="736ABD54" w14:textId="77777777" w:rsidTr="00F24E65">
        <w:trPr>
          <w:trHeight w:val="358"/>
        </w:trPr>
        <w:tc>
          <w:tcPr>
            <w:tcW w:w="236" w:type="pct"/>
            <w:tcBorders>
              <w:bottom w:val="single" w:sz="4" w:space="0" w:color="1B0B38"/>
            </w:tcBorders>
            <w:vAlign w:val="center"/>
          </w:tcPr>
          <w:p w14:paraId="1E6FA49F" w14:textId="77777777" w:rsidR="009C0DAC" w:rsidRPr="00D51674" w:rsidRDefault="009C0DAC" w:rsidP="00F24E65">
            <w:pPr>
              <w:spacing w:before="60" w:after="60"/>
            </w:pPr>
          </w:p>
        </w:tc>
        <w:tc>
          <w:tcPr>
            <w:tcW w:w="1490" w:type="pct"/>
            <w:tcBorders>
              <w:bottom w:val="single" w:sz="4" w:space="0" w:color="1B0B38"/>
            </w:tcBorders>
          </w:tcPr>
          <w:p w14:paraId="3C0B37A3" w14:textId="77777777" w:rsidR="009C0DAC" w:rsidRPr="00D51674" w:rsidRDefault="009C0DAC" w:rsidP="00F24E65">
            <w:pPr>
              <w:spacing w:before="60" w:after="60"/>
            </w:pPr>
            <w:r w:rsidRPr="00B728F4">
              <w:t>Provision of guidance material</w:t>
            </w:r>
          </w:p>
        </w:tc>
        <w:tc>
          <w:tcPr>
            <w:tcW w:w="3274" w:type="pct"/>
            <w:tcBorders>
              <w:bottom w:val="single" w:sz="4" w:space="0" w:color="1B0B38"/>
            </w:tcBorders>
          </w:tcPr>
          <w:p w14:paraId="156233D2" w14:textId="307D4B7C" w:rsidR="009C0DAC" w:rsidRPr="00D51674" w:rsidRDefault="009C0DAC" w:rsidP="00F24E65">
            <w:pPr>
              <w:spacing w:before="60" w:after="60"/>
            </w:pPr>
            <w:r w:rsidRPr="00B728F4">
              <w:t xml:space="preserve">Guidance materials are made available and easily accessible on </w:t>
            </w:r>
            <w:r w:rsidR="00AC2182">
              <w:t>the department</w:t>
            </w:r>
            <w:r w:rsidR="007A42D4">
              <w:t>’s</w:t>
            </w:r>
            <w:r w:rsidRPr="00B728F4">
              <w:t xml:space="preserve"> website. They advise on best practice and outline compliance obligations for authority holders and members of the public.</w:t>
            </w:r>
          </w:p>
        </w:tc>
      </w:tr>
      <w:tr w:rsidR="009C0DAC" w:rsidRPr="00D51674" w14:paraId="77BA25A1" w14:textId="77777777" w:rsidTr="00F24E65">
        <w:trPr>
          <w:trHeight w:val="358"/>
        </w:trPr>
        <w:tc>
          <w:tcPr>
            <w:tcW w:w="236" w:type="pct"/>
            <w:tcBorders>
              <w:bottom w:val="single" w:sz="4" w:space="0" w:color="1B0B38"/>
            </w:tcBorders>
            <w:vAlign w:val="center"/>
          </w:tcPr>
          <w:p w14:paraId="60EE28A3" w14:textId="77777777" w:rsidR="009C0DAC" w:rsidRPr="00D51674" w:rsidRDefault="009C0DAC" w:rsidP="00F24E65">
            <w:pPr>
              <w:spacing w:before="60" w:after="60"/>
            </w:pPr>
          </w:p>
        </w:tc>
        <w:tc>
          <w:tcPr>
            <w:tcW w:w="1490" w:type="pct"/>
            <w:tcBorders>
              <w:bottom w:val="single" w:sz="4" w:space="0" w:color="1B0B38"/>
            </w:tcBorders>
          </w:tcPr>
          <w:p w14:paraId="2B99EF6D" w14:textId="77777777" w:rsidR="009C0DAC" w:rsidRPr="00D51674" w:rsidRDefault="009C0DAC" w:rsidP="00F24E65">
            <w:pPr>
              <w:spacing w:before="60" w:after="60"/>
            </w:pPr>
            <w:r w:rsidRPr="00B728F4">
              <w:t>Inspections and audits</w:t>
            </w:r>
          </w:p>
        </w:tc>
        <w:tc>
          <w:tcPr>
            <w:tcW w:w="3274" w:type="pct"/>
            <w:tcBorders>
              <w:bottom w:val="single" w:sz="4" w:space="0" w:color="1B0B38"/>
            </w:tcBorders>
          </w:tcPr>
          <w:p w14:paraId="4B82E5E3" w14:textId="28056F28" w:rsidR="009C0DAC" w:rsidRPr="00D51674" w:rsidRDefault="007A42D4" w:rsidP="00F24E65">
            <w:pPr>
              <w:spacing w:before="60" w:after="60"/>
            </w:pPr>
            <w:r>
              <w:t xml:space="preserve">The </w:t>
            </w:r>
            <w:r w:rsidR="006D439C">
              <w:t>department</w:t>
            </w:r>
            <w:r w:rsidR="009C0DAC" w:rsidRPr="00B728F4">
              <w:t xml:space="preserve"> obtain</w:t>
            </w:r>
            <w:r>
              <w:t>s</w:t>
            </w:r>
            <w:r w:rsidR="009C0DAC" w:rsidRPr="00B728F4">
              <w:t xml:space="preserve"> information from authority holders for regulatory compliance purposes through site inspections and audits. Inspections determine whether the authority holder is meeting their compliance ob</w:t>
            </w:r>
            <w:r w:rsidR="009C0DAC">
              <w:t xml:space="preserve">ligations and, if not, </w:t>
            </w:r>
            <w:r w:rsidR="00AC2182">
              <w:t>the department</w:t>
            </w:r>
            <w:r w:rsidR="009C0DAC" w:rsidRPr="00B728F4">
              <w:t xml:space="preserve"> decide</w:t>
            </w:r>
            <w:r>
              <w:t>s</w:t>
            </w:r>
            <w:r w:rsidR="009C0DAC" w:rsidRPr="00B728F4">
              <w:t xml:space="preserve"> on appropriate action.</w:t>
            </w:r>
          </w:p>
        </w:tc>
      </w:tr>
      <w:tr w:rsidR="009C0DAC" w:rsidRPr="00D51674" w14:paraId="535DE356" w14:textId="77777777" w:rsidTr="00F24E65">
        <w:trPr>
          <w:trHeight w:val="358"/>
        </w:trPr>
        <w:tc>
          <w:tcPr>
            <w:tcW w:w="236" w:type="pct"/>
            <w:tcBorders>
              <w:bottom w:val="single" w:sz="4" w:space="0" w:color="1B0B38"/>
            </w:tcBorders>
            <w:vAlign w:val="center"/>
          </w:tcPr>
          <w:p w14:paraId="3B428E78" w14:textId="77777777" w:rsidR="009C0DAC" w:rsidRPr="00D51674" w:rsidRDefault="009C0DAC" w:rsidP="00F24E65">
            <w:pPr>
              <w:spacing w:before="60" w:after="60"/>
            </w:pPr>
          </w:p>
        </w:tc>
        <w:tc>
          <w:tcPr>
            <w:tcW w:w="1490" w:type="pct"/>
            <w:tcBorders>
              <w:bottom w:val="single" w:sz="4" w:space="0" w:color="1B0B38"/>
            </w:tcBorders>
          </w:tcPr>
          <w:p w14:paraId="03606A8A" w14:textId="77777777" w:rsidR="009C0DAC" w:rsidRPr="00D51674" w:rsidRDefault="009C0DAC" w:rsidP="00F24E65">
            <w:pPr>
              <w:spacing w:before="60" w:after="60"/>
            </w:pPr>
            <w:r w:rsidRPr="00B728F4">
              <w:t>Field entry and audit reports</w:t>
            </w:r>
          </w:p>
        </w:tc>
        <w:tc>
          <w:tcPr>
            <w:tcW w:w="3274" w:type="pct"/>
            <w:tcBorders>
              <w:bottom w:val="single" w:sz="4" w:space="0" w:color="1B0B38"/>
            </w:tcBorders>
          </w:tcPr>
          <w:p w14:paraId="24E3D48D" w14:textId="78978298" w:rsidR="009C0DAC" w:rsidRPr="00D51674" w:rsidRDefault="009C0DAC" w:rsidP="00F24E65">
            <w:pPr>
              <w:spacing w:before="60" w:after="60"/>
            </w:pPr>
            <w:r w:rsidRPr="00B728F4">
              <w:t>Foll</w:t>
            </w:r>
            <w:r>
              <w:t xml:space="preserve">owing inspections and audits, </w:t>
            </w:r>
            <w:r w:rsidR="00AC2182">
              <w:t>the department</w:t>
            </w:r>
            <w:r w:rsidRPr="00B728F4">
              <w:t xml:space="preserve"> prepare</w:t>
            </w:r>
            <w:r w:rsidR="007A42D4">
              <w:t>s</w:t>
            </w:r>
            <w:r w:rsidRPr="00B728F4">
              <w:t xml:space="preserve"> a report for the authority holder. The report discusses findings and actions that may be required to address any non-compli</w:t>
            </w:r>
            <w:r>
              <w:t xml:space="preserve">ance. In addition, </w:t>
            </w:r>
            <w:r w:rsidR="00AC2182">
              <w:t>the department</w:t>
            </w:r>
            <w:r w:rsidRPr="00B728F4">
              <w:t xml:space="preserve"> record</w:t>
            </w:r>
            <w:r w:rsidR="007A42D4">
              <w:t>s</w:t>
            </w:r>
            <w:r w:rsidRPr="00B728F4">
              <w:t xml:space="preserve"> the timeframe for closing out any non-compliances, which inspectors follow up.</w:t>
            </w:r>
          </w:p>
        </w:tc>
      </w:tr>
      <w:tr w:rsidR="009C0DAC" w:rsidRPr="00D51674" w14:paraId="5739B461" w14:textId="77777777" w:rsidTr="00F24E65">
        <w:trPr>
          <w:trHeight w:val="358"/>
        </w:trPr>
        <w:tc>
          <w:tcPr>
            <w:tcW w:w="236" w:type="pct"/>
            <w:tcBorders>
              <w:bottom w:val="single" w:sz="4" w:space="0" w:color="1B0B38"/>
            </w:tcBorders>
            <w:vAlign w:val="center"/>
          </w:tcPr>
          <w:p w14:paraId="53E74A56" w14:textId="77777777" w:rsidR="009C0DAC" w:rsidRPr="00D51674" w:rsidRDefault="009C0DAC" w:rsidP="00F24E65">
            <w:pPr>
              <w:spacing w:before="60" w:after="60"/>
            </w:pPr>
          </w:p>
        </w:tc>
        <w:tc>
          <w:tcPr>
            <w:tcW w:w="1490" w:type="pct"/>
            <w:tcBorders>
              <w:bottom w:val="single" w:sz="4" w:space="0" w:color="1B0B38"/>
            </w:tcBorders>
          </w:tcPr>
          <w:p w14:paraId="6B1B94E3" w14:textId="77777777" w:rsidR="009C0DAC" w:rsidRPr="00D51674" w:rsidRDefault="009C0DAC" w:rsidP="00F24E65">
            <w:pPr>
              <w:spacing w:before="60" w:after="60"/>
            </w:pPr>
            <w:r w:rsidRPr="00B728F4">
              <w:t>Warnings</w:t>
            </w:r>
          </w:p>
        </w:tc>
        <w:tc>
          <w:tcPr>
            <w:tcW w:w="3274" w:type="pct"/>
            <w:tcBorders>
              <w:bottom w:val="single" w:sz="4" w:space="0" w:color="1B0B38"/>
            </w:tcBorders>
          </w:tcPr>
          <w:p w14:paraId="1C2BCBE4" w14:textId="6779E8B1" w:rsidR="009C0DAC" w:rsidRPr="00D51674" w:rsidRDefault="007A42D4" w:rsidP="00F24E65">
            <w:pPr>
              <w:spacing w:before="60" w:after="60"/>
            </w:pPr>
            <w:r>
              <w:t xml:space="preserve">The </w:t>
            </w:r>
            <w:r w:rsidR="006D439C">
              <w:t>department</w:t>
            </w:r>
            <w:r w:rsidR="009C0DAC" w:rsidRPr="00B728F4">
              <w:t xml:space="preserve"> may issue warning letters or official warnings when the severity of the offence and the culpability of the offender are low.</w:t>
            </w:r>
            <w:r w:rsidR="009C0DAC">
              <w:t xml:space="preserve"> </w:t>
            </w:r>
          </w:p>
        </w:tc>
      </w:tr>
      <w:tr w:rsidR="009C0DAC" w:rsidRPr="00D51674" w14:paraId="1EEB3B08" w14:textId="77777777" w:rsidTr="00F24E65">
        <w:trPr>
          <w:trHeight w:val="358"/>
        </w:trPr>
        <w:tc>
          <w:tcPr>
            <w:tcW w:w="236" w:type="pct"/>
            <w:tcBorders>
              <w:bottom w:val="single" w:sz="4" w:space="0" w:color="1B0B38"/>
            </w:tcBorders>
            <w:vAlign w:val="center"/>
          </w:tcPr>
          <w:p w14:paraId="5BC9E32D" w14:textId="77777777" w:rsidR="009C0DAC" w:rsidRPr="00D51674" w:rsidRDefault="009C0DAC" w:rsidP="00F24E65">
            <w:pPr>
              <w:spacing w:before="60" w:after="60"/>
            </w:pPr>
          </w:p>
        </w:tc>
        <w:tc>
          <w:tcPr>
            <w:tcW w:w="1490" w:type="pct"/>
            <w:tcBorders>
              <w:bottom w:val="single" w:sz="4" w:space="0" w:color="1B0B38"/>
            </w:tcBorders>
          </w:tcPr>
          <w:p w14:paraId="6B1D0B70" w14:textId="77777777" w:rsidR="009C0DAC" w:rsidRPr="00D51674" w:rsidRDefault="009C0DAC" w:rsidP="00F24E65">
            <w:pPr>
              <w:spacing w:before="60" w:after="60"/>
            </w:pPr>
            <w:r w:rsidRPr="00B728F4">
              <w:t>Amendments, conditions and variations</w:t>
            </w:r>
          </w:p>
        </w:tc>
        <w:tc>
          <w:tcPr>
            <w:tcW w:w="3274" w:type="pct"/>
            <w:tcBorders>
              <w:bottom w:val="single" w:sz="4" w:space="0" w:color="1B0B38"/>
            </w:tcBorders>
          </w:tcPr>
          <w:p w14:paraId="544CBC93" w14:textId="4AE0C8A9" w:rsidR="009C0DAC" w:rsidRPr="00D51674" w:rsidRDefault="007A42D4" w:rsidP="00F24E65">
            <w:pPr>
              <w:spacing w:before="60" w:after="60"/>
            </w:pPr>
            <w:r>
              <w:t xml:space="preserve">The </w:t>
            </w:r>
            <w:r w:rsidR="006D439C">
              <w:t>department</w:t>
            </w:r>
            <w:r w:rsidR="009C0DAC" w:rsidRPr="00B728F4">
              <w:t xml:space="preserve"> may require authority holders to amend existing plans, including by adding or amending conditions on authority to impose greater control (for example, increased monitoring and reporting levels) on authority holders.</w:t>
            </w:r>
          </w:p>
        </w:tc>
      </w:tr>
      <w:tr w:rsidR="009C0DAC" w:rsidRPr="00D51674" w14:paraId="57E2FC36" w14:textId="77777777" w:rsidTr="00F24E65">
        <w:trPr>
          <w:trHeight w:val="358"/>
        </w:trPr>
        <w:tc>
          <w:tcPr>
            <w:tcW w:w="236" w:type="pct"/>
            <w:tcBorders>
              <w:bottom w:val="single" w:sz="4" w:space="0" w:color="1B0B38"/>
            </w:tcBorders>
            <w:vAlign w:val="center"/>
          </w:tcPr>
          <w:p w14:paraId="41445D66" w14:textId="77777777" w:rsidR="009C0DAC" w:rsidRPr="00D51674" w:rsidRDefault="009C0DAC" w:rsidP="00F24E65">
            <w:pPr>
              <w:spacing w:before="60" w:after="60"/>
            </w:pPr>
          </w:p>
        </w:tc>
        <w:tc>
          <w:tcPr>
            <w:tcW w:w="1490" w:type="pct"/>
            <w:tcBorders>
              <w:bottom w:val="single" w:sz="4" w:space="0" w:color="1B0B38"/>
            </w:tcBorders>
          </w:tcPr>
          <w:p w14:paraId="76BFF46F" w14:textId="77777777" w:rsidR="009C0DAC" w:rsidRPr="00D51674" w:rsidRDefault="009C0DAC" w:rsidP="00F24E65">
            <w:pPr>
              <w:spacing w:before="60" w:after="60"/>
            </w:pPr>
            <w:r w:rsidRPr="00B728F4">
              <w:t>Infringements and notices</w:t>
            </w:r>
          </w:p>
        </w:tc>
        <w:tc>
          <w:tcPr>
            <w:tcW w:w="3274" w:type="pct"/>
            <w:tcBorders>
              <w:bottom w:val="single" w:sz="4" w:space="0" w:color="1B0B38"/>
            </w:tcBorders>
          </w:tcPr>
          <w:p w14:paraId="3D11331F" w14:textId="1696A9B1" w:rsidR="009C0DAC" w:rsidRPr="00D51674" w:rsidRDefault="007A42D4" w:rsidP="00F24E65">
            <w:pPr>
              <w:spacing w:before="60" w:after="60"/>
            </w:pPr>
            <w:r>
              <w:t xml:space="preserve">The </w:t>
            </w:r>
            <w:r w:rsidR="006D439C">
              <w:t>department</w:t>
            </w:r>
            <w:r w:rsidR="009C0DAC" w:rsidRPr="00B728F4">
              <w:t xml:space="preserve"> may issue an infringement or notice when an infringeable offence has allegedly occurred under the relevant legislation. The receiver may have the right of appeal, depending on the applicable legislation.</w:t>
            </w:r>
          </w:p>
        </w:tc>
      </w:tr>
      <w:tr w:rsidR="009C0DAC" w:rsidRPr="00D51674" w14:paraId="0D71B338" w14:textId="77777777" w:rsidTr="00F24E65">
        <w:trPr>
          <w:trHeight w:val="358"/>
        </w:trPr>
        <w:tc>
          <w:tcPr>
            <w:tcW w:w="236" w:type="pct"/>
            <w:tcBorders>
              <w:bottom w:val="single" w:sz="4" w:space="0" w:color="1B0B38"/>
            </w:tcBorders>
            <w:vAlign w:val="center"/>
          </w:tcPr>
          <w:p w14:paraId="39F27630" w14:textId="77777777" w:rsidR="009C0DAC" w:rsidRPr="00D51674" w:rsidRDefault="009C0DAC" w:rsidP="00F24E65">
            <w:pPr>
              <w:spacing w:before="60" w:after="60"/>
            </w:pPr>
          </w:p>
        </w:tc>
        <w:tc>
          <w:tcPr>
            <w:tcW w:w="1490" w:type="pct"/>
            <w:tcBorders>
              <w:bottom w:val="single" w:sz="4" w:space="0" w:color="1B0B38"/>
            </w:tcBorders>
          </w:tcPr>
          <w:p w14:paraId="25ACEFB9" w14:textId="77777777" w:rsidR="009C0DAC" w:rsidRPr="00D51674" w:rsidRDefault="009C0DAC" w:rsidP="00F24E65">
            <w:pPr>
              <w:spacing w:before="60" w:after="60"/>
            </w:pPr>
            <w:r w:rsidRPr="00B728F4">
              <w:t>Directions</w:t>
            </w:r>
          </w:p>
        </w:tc>
        <w:tc>
          <w:tcPr>
            <w:tcW w:w="3274" w:type="pct"/>
            <w:tcBorders>
              <w:bottom w:val="single" w:sz="4" w:space="0" w:color="1B0B38"/>
            </w:tcBorders>
          </w:tcPr>
          <w:p w14:paraId="76754F57" w14:textId="77777777" w:rsidR="009C0DAC" w:rsidRPr="00D51674" w:rsidRDefault="009C0DAC" w:rsidP="00F24E65">
            <w:pPr>
              <w:spacing w:before="60" w:after="60"/>
            </w:pPr>
            <w:r w:rsidRPr="00B728F4">
              <w:t xml:space="preserve">Earth resources legislation provides </w:t>
            </w:r>
            <w:r>
              <w:t>ERR</w:t>
            </w:r>
            <w:r w:rsidRPr="00B728F4">
              <w:t xml:space="preserve"> with the power to give directions that require certain actions to occur by a certain time. Significant penalties can apply if those instructions are not followed.</w:t>
            </w:r>
          </w:p>
        </w:tc>
      </w:tr>
      <w:tr w:rsidR="009C0DAC" w:rsidRPr="00D51674" w14:paraId="79675DA9" w14:textId="77777777" w:rsidTr="00F24E65">
        <w:trPr>
          <w:trHeight w:val="358"/>
        </w:trPr>
        <w:tc>
          <w:tcPr>
            <w:tcW w:w="236" w:type="pct"/>
            <w:tcBorders>
              <w:bottom w:val="single" w:sz="4" w:space="0" w:color="1B0B38"/>
            </w:tcBorders>
            <w:vAlign w:val="center"/>
          </w:tcPr>
          <w:p w14:paraId="5DF53380" w14:textId="77777777" w:rsidR="009C0DAC" w:rsidRPr="00D51674" w:rsidRDefault="009C0DAC" w:rsidP="00F24E65">
            <w:pPr>
              <w:spacing w:before="60" w:after="60"/>
            </w:pPr>
          </w:p>
        </w:tc>
        <w:tc>
          <w:tcPr>
            <w:tcW w:w="1490" w:type="pct"/>
            <w:tcBorders>
              <w:bottom w:val="single" w:sz="4" w:space="0" w:color="1B0B38"/>
            </w:tcBorders>
          </w:tcPr>
          <w:p w14:paraId="22C58C45" w14:textId="77777777" w:rsidR="009C0DAC" w:rsidRPr="00B728F4" w:rsidRDefault="009C0DAC" w:rsidP="00F24E65">
            <w:pPr>
              <w:spacing w:before="60" w:after="60"/>
            </w:pPr>
            <w:r w:rsidRPr="00B728F4">
              <w:t>Suspensions and cancellations</w:t>
            </w:r>
          </w:p>
        </w:tc>
        <w:tc>
          <w:tcPr>
            <w:tcW w:w="3274" w:type="pct"/>
            <w:tcBorders>
              <w:bottom w:val="single" w:sz="4" w:space="0" w:color="1B0B38"/>
            </w:tcBorders>
          </w:tcPr>
          <w:p w14:paraId="0FA2F395" w14:textId="2CF89C4E" w:rsidR="009C0DAC" w:rsidRPr="00D51674" w:rsidRDefault="007A42D4" w:rsidP="00F24E65">
            <w:pPr>
              <w:spacing w:before="60" w:after="60"/>
            </w:pPr>
            <w:r>
              <w:t xml:space="preserve">The </w:t>
            </w:r>
            <w:r w:rsidR="006D439C">
              <w:t>department</w:t>
            </w:r>
            <w:r w:rsidR="009C0DAC" w:rsidRPr="00B728F4">
              <w:t xml:space="preserve"> can respond to critical non-compliance by suspending or cancelling an Authority. A formal process must be followed when senior officers take this action, and oversight by department legal representatives is employed to support cases.</w:t>
            </w:r>
          </w:p>
        </w:tc>
      </w:tr>
      <w:tr w:rsidR="009C0DAC" w:rsidRPr="00D51674" w14:paraId="19BB5B4D" w14:textId="77777777" w:rsidTr="00F24E65">
        <w:trPr>
          <w:trHeight w:val="358"/>
        </w:trPr>
        <w:tc>
          <w:tcPr>
            <w:tcW w:w="236" w:type="pct"/>
            <w:tcBorders>
              <w:bottom w:val="single" w:sz="4" w:space="0" w:color="1B0B38"/>
            </w:tcBorders>
            <w:vAlign w:val="center"/>
          </w:tcPr>
          <w:p w14:paraId="0D8127FD" w14:textId="77777777" w:rsidR="009C0DAC" w:rsidRPr="00D51674" w:rsidRDefault="009C0DAC" w:rsidP="00F24E65">
            <w:pPr>
              <w:spacing w:before="60" w:after="60"/>
            </w:pPr>
          </w:p>
        </w:tc>
        <w:tc>
          <w:tcPr>
            <w:tcW w:w="1490" w:type="pct"/>
            <w:tcBorders>
              <w:bottom w:val="single" w:sz="4" w:space="0" w:color="1B0B38"/>
            </w:tcBorders>
          </w:tcPr>
          <w:p w14:paraId="2EE7D7AC" w14:textId="77777777" w:rsidR="009C0DAC" w:rsidRPr="00B728F4" w:rsidRDefault="009C0DAC" w:rsidP="00F24E65">
            <w:pPr>
              <w:spacing w:before="60" w:after="60"/>
            </w:pPr>
            <w:r w:rsidRPr="00B728F4">
              <w:t>Prosecutions</w:t>
            </w:r>
          </w:p>
        </w:tc>
        <w:tc>
          <w:tcPr>
            <w:tcW w:w="3274" w:type="pct"/>
            <w:tcBorders>
              <w:bottom w:val="single" w:sz="4" w:space="0" w:color="1B0B38"/>
            </w:tcBorders>
          </w:tcPr>
          <w:p w14:paraId="0F49B542" w14:textId="58912E3B" w:rsidR="009C0DAC" w:rsidRPr="00D51674" w:rsidRDefault="007A42D4" w:rsidP="00F24E65">
            <w:pPr>
              <w:spacing w:before="60" w:after="60"/>
            </w:pPr>
            <w:r>
              <w:t xml:space="preserve">The </w:t>
            </w:r>
            <w:r w:rsidR="006D439C">
              <w:t>department</w:t>
            </w:r>
            <w:r w:rsidR="009C0DAC" w:rsidRPr="00B728F4">
              <w:t xml:space="preserve"> may initiate prosecution proceedings when a serious offence has allegedly occurred under Victoria’s earth resources legislation. Inspectors must prepare a brief of evidence to present the case to the Magistrates Court of Victoria. The legislation provides a range of penalties for a person found guilty of an offence. For example, as of 1 July 2017, this is up to a maxim</w:t>
            </w:r>
            <w:r w:rsidR="009C0DAC">
              <w:t>um of $158,570 under the Act</w:t>
            </w:r>
            <w:r w:rsidR="009C0DAC" w:rsidRPr="00B728F4">
              <w:t>.</w:t>
            </w:r>
          </w:p>
        </w:tc>
      </w:tr>
      <w:tr w:rsidR="009C0DAC" w:rsidRPr="00B728F4" w14:paraId="7B3A5BCB" w14:textId="77777777" w:rsidTr="00F24E65">
        <w:tc>
          <w:tcPr>
            <w:tcW w:w="5000" w:type="pct"/>
            <w:gridSpan w:val="3"/>
            <w:tcBorders>
              <w:top w:val="single" w:sz="4" w:space="0" w:color="1B0B38"/>
              <w:bottom w:val="single" w:sz="4" w:space="0" w:color="1B0B38"/>
            </w:tcBorders>
          </w:tcPr>
          <w:p w14:paraId="43AA66E6" w14:textId="77777777" w:rsidR="009C0DAC" w:rsidRPr="00B728F4" w:rsidRDefault="009C0DAC" w:rsidP="00F24E65">
            <w:pPr>
              <w:spacing w:before="60" w:after="60"/>
              <w:rPr>
                <w:i/>
              </w:rPr>
            </w:pPr>
            <w:r w:rsidRPr="00B728F4">
              <w:rPr>
                <w:i/>
              </w:rPr>
              <w:t>Higher level of risk and intervention</w:t>
            </w:r>
          </w:p>
        </w:tc>
      </w:tr>
    </w:tbl>
    <w:p w14:paraId="4F43C48E" w14:textId="77777777" w:rsidR="00575718" w:rsidRDefault="00575718" w:rsidP="00D50C43">
      <w:pPr>
        <w:pStyle w:val="Heading2"/>
        <w:numPr>
          <w:ilvl w:val="1"/>
          <w:numId w:val="124"/>
        </w:numPr>
      </w:pPr>
      <w:bookmarkStart w:id="420" w:name="_Toc104217733"/>
      <w:r>
        <w:t>Infringement Notices</w:t>
      </w:r>
      <w:bookmarkEnd w:id="420"/>
    </w:p>
    <w:p w14:paraId="75D8580B" w14:textId="7D67C8F6" w:rsidR="00575718" w:rsidRDefault="00575718" w:rsidP="00575718">
      <w:r w:rsidRPr="00B728F4">
        <w:t xml:space="preserve">Infringement notices are important part of the ERR’s enforcement and compliance regime. Infringement notices seek to balance fairness (lower fine levels, convenience of payment, consistency of approach) with compliance and system efficiency (reduced administration costs, no need to appear in court, no conviction). Infringement notices also provide a rapid and certain response for lower level offences appropriate for infringements, with deterrence dependent on people being aware they are likely to be detected offending and dealt with through less </w:t>
      </w:r>
      <w:r w:rsidRPr="00B728F4">
        <w:lastRenderedPageBreak/>
        <w:t>severe penalties. The maximum infringement penalty for an individual should generally not exceed 12 penalty units (</w:t>
      </w:r>
      <w:r>
        <w:t>a penalty unit is currently $165</w:t>
      </w:r>
      <w:r w:rsidRPr="00B728F4">
        <w:t>.</w:t>
      </w:r>
      <w:r>
        <w:t>22;</w:t>
      </w:r>
      <w:r w:rsidRPr="00B728F4">
        <w:t xml:space="preserve"> 12 penal</w:t>
      </w:r>
      <w:r>
        <w:t>ty units is equivalent to $1,983</w:t>
      </w:r>
      <w:r w:rsidRPr="00B728F4">
        <w:t>), and for a corporation should not</w:t>
      </w:r>
      <w:r>
        <w:t xml:space="preserve"> exceed 60 penalty units ($9,913).</w:t>
      </w:r>
      <w:r>
        <w:rPr>
          <w:rStyle w:val="FootnoteReference"/>
        </w:rPr>
        <w:footnoteReference w:id="201"/>
      </w:r>
    </w:p>
    <w:p w14:paraId="11BBB318" w14:textId="0E80E7DA" w:rsidR="00AF02EF" w:rsidRDefault="00AF02EF" w:rsidP="00AF02EF"/>
    <w:p w14:paraId="6A5E0B45" w14:textId="77777777" w:rsidR="00AF02EF" w:rsidRDefault="00AF02EF">
      <w:pPr>
        <w:spacing w:before="0" w:line="276" w:lineRule="auto"/>
        <w:rPr>
          <w:b/>
          <w:bCs/>
          <w:color w:val="201547"/>
          <w:sz w:val="36"/>
          <w:szCs w:val="32"/>
        </w:rPr>
      </w:pPr>
      <w:bookmarkStart w:id="421" w:name="_Toc4161419"/>
      <w:r>
        <w:br w:type="page"/>
      </w:r>
    </w:p>
    <w:p w14:paraId="2B64F59E" w14:textId="145DB7BA" w:rsidR="00AF02EF" w:rsidRDefault="00AF02EF" w:rsidP="00D50C43">
      <w:pPr>
        <w:pStyle w:val="Heading1"/>
        <w:numPr>
          <w:ilvl w:val="0"/>
          <w:numId w:val="124"/>
        </w:numPr>
      </w:pPr>
      <w:bookmarkStart w:id="422" w:name="_Toc104217734"/>
      <w:r w:rsidRPr="00B728F4">
        <w:lastRenderedPageBreak/>
        <w:t>Evaluation</w:t>
      </w:r>
      <w:bookmarkEnd w:id="421"/>
      <w:bookmarkEnd w:id="422"/>
    </w:p>
    <w:p w14:paraId="5B2F865D" w14:textId="47BA458B" w:rsidR="00AF02EF" w:rsidRDefault="00AF02EF" w:rsidP="00AF02EF">
      <w:r w:rsidRPr="00B728F4">
        <w:t xml:space="preserve">The proposed Regulations will be subject to an ongoing evaluation strategy, which will focus on assessing the costs and benefits of the proposed Regulations. The evaluation strategy will consider baseline data and key performance indicators, such as reporting statistics, enforcement data and internal ERR statistics regarding activities taken according to the Regulations. Ongoing consultation with stakeholders will also take place, particularly in relation to </w:t>
      </w:r>
      <w:r w:rsidR="004B4FB7">
        <w:t>information to be included in the DMRP,</w:t>
      </w:r>
      <w:r w:rsidR="00192B93">
        <w:t xml:space="preserve"> the post</w:t>
      </w:r>
      <w:r w:rsidR="00051E17">
        <w:t xml:space="preserve"> </w:t>
      </w:r>
      <w:r w:rsidR="00192B93">
        <w:t>closure plan</w:t>
      </w:r>
      <w:r w:rsidR="004B4FB7">
        <w:t xml:space="preserve"> </w:t>
      </w:r>
      <w:r w:rsidR="00424DC4">
        <w:t xml:space="preserve">and the </w:t>
      </w:r>
      <w:r w:rsidR="00646685">
        <w:t>requirements for closure criteria</w:t>
      </w:r>
      <w:r w:rsidR="00424DC4">
        <w:t>.</w:t>
      </w:r>
    </w:p>
    <w:p w14:paraId="3A4FC4C1" w14:textId="709B58FE" w:rsidR="00AF02EF" w:rsidRPr="00A929C8" w:rsidRDefault="00AF02EF" w:rsidP="007D1AC0">
      <w:pPr>
        <w:pStyle w:val="Caption"/>
        <w:rPr>
          <w:rStyle w:val="Strong"/>
        </w:rPr>
      </w:pPr>
      <w:bookmarkStart w:id="423" w:name="_Toc4161468"/>
      <w:bookmarkStart w:id="424" w:name="_Toc104217642"/>
      <w:r>
        <w:t xml:space="preserve">Table </w:t>
      </w:r>
      <w:r>
        <w:rPr>
          <w:noProof/>
        </w:rPr>
        <w:fldChar w:fldCharType="begin"/>
      </w:r>
      <w:r>
        <w:rPr>
          <w:noProof/>
        </w:rPr>
        <w:instrText xml:space="preserve"> SEQ Table \* ARABIC </w:instrText>
      </w:r>
      <w:r>
        <w:rPr>
          <w:noProof/>
        </w:rPr>
        <w:fldChar w:fldCharType="separate"/>
      </w:r>
      <w:r w:rsidR="000B3BF6">
        <w:rPr>
          <w:noProof/>
        </w:rPr>
        <w:t>26</w:t>
      </w:r>
      <w:r>
        <w:rPr>
          <w:noProof/>
        </w:rPr>
        <w:fldChar w:fldCharType="end"/>
      </w:r>
      <w:r>
        <w:t xml:space="preserve">: Evaluation of the </w:t>
      </w:r>
      <w:r w:rsidR="006D027C">
        <w:t>proposed Regulations</w:t>
      </w:r>
      <w:bookmarkEnd w:id="423"/>
      <w:bookmarkEnd w:id="424"/>
    </w:p>
    <w:tbl>
      <w:tblPr>
        <w:tblStyle w:val="TableGrid"/>
        <w:tblW w:w="9214"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2835"/>
        <w:gridCol w:w="6379"/>
      </w:tblGrid>
      <w:tr w:rsidR="00AF02EF" w:rsidRPr="00D51674" w14:paraId="5AA9557D" w14:textId="77777777" w:rsidTr="1465A4CF">
        <w:trPr>
          <w:tblHeader/>
        </w:trPr>
        <w:tc>
          <w:tcPr>
            <w:tcW w:w="2835" w:type="dxa"/>
            <w:shd w:val="clear" w:color="auto" w:fill="1B0B38"/>
            <w:vAlign w:val="center"/>
          </w:tcPr>
          <w:p w14:paraId="213C04E5" w14:textId="77777777" w:rsidR="00AF02EF" w:rsidRPr="00BA70A6" w:rsidRDefault="00AF02EF" w:rsidP="003B1E93">
            <w:pPr>
              <w:spacing w:after="60"/>
              <w:rPr>
                <w:rStyle w:val="Strong"/>
                <w:color w:val="FFFFFF" w:themeColor="background1"/>
              </w:rPr>
            </w:pPr>
            <w:r>
              <w:rPr>
                <w:rStyle w:val="Strong"/>
                <w:color w:val="FFFFFF" w:themeColor="background1"/>
              </w:rPr>
              <w:t>Evaluation</w:t>
            </w:r>
          </w:p>
        </w:tc>
        <w:tc>
          <w:tcPr>
            <w:tcW w:w="6379" w:type="dxa"/>
            <w:shd w:val="clear" w:color="auto" w:fill="1B0B38"/>
            <w:vAlign w:val="center"/>
          </w:tcPr>
          <w:p w14:paraId="1694846F" w14:textId="77777777" w:rsidR="00AF02EF" w:rsidRPr="00BA70A6" w:rsidRDefault="00AF02EF" w:rsidP="003B1E93">
            <w:pPr>
              <w:spacing w:after="60"/>
              <w:rPr>
                <w:rStyle w:val="Strong"/>
                <w:color w:val="FFFFFF" w:themeColor="background1"/>
              </w:rPr>
            </w:pPr>
            <w:r>
              <w:rPr>
                <w:rStyle w:val="Strong"/>
                <w:color w:val="FFFFFF" w:themeColor="background1"/>
              </w:rPr>
              <w:t>Action</w:t>
            </w:r>
          </w:p>
        </w:tc>
      </w:tr>
      <w:tr w:rsidR="00AF02EF" w:rsidRPr="00D51674" w14:paraId="4F9BB43C" w14:textId="77777777" w:rsidTr="1465A4CF">
        <w:trPr>
          <w:trHeight w:val="358"/>
        </w:trPr>
        <w:tc>
          <w:tcPr>
            <w:tcW w:w="2835" w:type="dxa"/>
            <w:tcBorders>
              <w:bottom w:val="single" w:sz="4" w:space="0" w:color="1B0B38"/>
            </w:tcBorders>
          </w:tcPr>
          <w:p w14:paraId="2D417AF9" w14:textId="77777777" w:rsidR="00AF02EF" w:rsidRPr="00722D41" w:rsidRDefault="00AF02EF" w:rsidP="00AF02EF">
            <w:r w:rsidRPr="00722D41">
              <w:t>Objectives of the evaluation</w:t>
            </w:r>
          </w:p>
        </w:tc>
        <w:tc>
          <w:tcPr>
            <w:tcW w:w="6379" w:type="dxa"/>
            <w:tcBorders>
              <w:bottom w:val="single" w:sz="4" w:space="0" w:color="1B0B38"/>
            </w:tcBorders>
            <w:vAlign w:val="center"/>
          </w:tcPr>
          <w:p w14:paraId="44175EC6" w14:textId="0BA96708" w:rsidR="00AF02EF" w:rsidRPr="00D51674" w:rsidRDefault="6E246704" w:rsidP="00D94E15">
            <w:pPr>
              <w:spacing w:after="120"/>
            </w:pPr>
            <w:r>
              <w:t xml:space="preserve">Iteratively reviewed up until the end of public consultation on the proposed Regulations in </w:t>
            </w:r>
            <w:r w:rsidR="006264F4">
              <w:t xml:space="preserve">August </w:t>
            </w:r>
            <w:r>
              <w:t>2022</w:t>
            </w:r>
          </w:p>
        </w:tc>
      </w:tr>
      <w:tr w:rsidR="00AF02EF" w:rsidRPr="00D51674" w14:paraId="00A6DE4E" w14:textId="77777777" w:rsidTr="1465A4CF">
        <w:trPr>
          <w:trHeight w:val="358"/>
        </w:trPr>
        <w:tc>
          <w:tcPr>
            <w:tcW w:w="2835" w:type="dxa"/>
            <w:tcBorders>
              <w:bottom w:val="single" w:sz="4" w:space="0" w:color="1B0B38"/>
            </w:tcBorders>
          </w:tcPr>
          <w:p w14:paraId="235E47A0" w14:textId="77777777" w:rsidR="00AF02EF" w:rsidRPr="00722D41" w:rsidRDefault="00AF02EF" w:rsidP="00AF02EF">
            <w:r w:rsidRPr="00722D41">
              <w:t>Framework for the evaluation</w:t>
            </w:r>
          </w:p>
        </w:tc>
        <w:tc>
          <w:tcPr>
            <w:tcW w:w="6379" w:type="dxa"/>
            <w:tcBorders>
              <w:bottom w:val="single" w:sz="4" w:space="0" w:color="1B0B38"/>
            </w:tcBorders>
            <w:vAlign w:val="center"/>
          </w:tcPr>
          <w:p w14:paraId="4677E55C" w14:textId="4F2A6311" w:rsidR="00AF02EF" w:rsidRPr="00D51674" w:rsidRDefault="6E246704" w:rsidP="00D94E15">
            <w:pPr>
              <w:spacing w:after="120"/>
            </w:pPr>
            <w:r>
              <w:t xml:space="preserve">Iteratively reviewed up until the end of public consultation on the proposed Regulations in </w:t>
            </w:r>
            <w:r w:rsidR="006264F4">
              <w:t xml:space="preserve">August </w:t>
            </w:r>
            <w:r>
              <w:t>2022</w:t>
            </w:r>
          </w:p>
        </w:tc>
      </w:tr>
      <w:tr w:rsidR="00AF02EF" w:rsidRPr="00D51674" w14:paraId="53E20028" w14:textId="77777777" w:rsidTr="1465A4CF">
        <w:trPr>
          <w:trHeight w:val="358"/>
        </w:trPr>
        <w:tc>
          <w:tcPr>
            <w:tcW w:w="2835" w:type="dxa"/>
            <w:tcBorders>
              <w:bottom w:val="single" w:sz="4" w:space="0" w:color="1B0B38"/>
            </w:tcBorders>
          </w:tcPr>
          <w:p w14:paraId="1CAB0EAF" w14:textId="77777777" w:rsidR="00AF02EF" w:rsidRPr="00722D41" w:rsidRDefault="00AF02EF" w:rsidP="00AF02EF">
            <w:r w:rsidRPr="00722D41">
              <w:t>Key information that will be collected to assess progress against delivering objectives</w:t>
            </w:r>
          </w:p>
        </w:tc>
        <w:tc>
          <w:tcPr>
            <w:tcW w:w="6379" w:type="dxa"/>
            <w:tcBorders>
              <w:bottom w:val="single" w:sz="4" w:space="0" w:color="1B0B38"/>
            </w:tcBorders>
            <w:vAlign w:val="center"/>
          </w:tcPr>
          <w:p w14:paraId="6E14E3C6" w14:textId="5B67D166" w:rsidR="00A10606" w:rsidRDefault="00A10606" w:rsidP="00CD14BC">
            <w:pPr>
              <w:spacing w:after="120"/>
            </w:pPr>
            <w:r>
              <w:t xml:space="preserve">Clarity experienced by </w:t>
            </w:r>
            <w:r w:rsidR="006C5452">
              <w:t>ERR</w:t>
            </w:r>
            <w:r w:rsidR="003D627B">
              <w:t>, the Authority</w:t>
            </w:r>
            <w:r w:rsidR="006C5452">
              <w:t xml:space="preserve"> and field staff </w:t>
            </w:r>
            <w:r w:rsidR="00B22311">
              <w:t>in relation to:</w:t>
            </w:r>
          </w:p>
          <w:p w14:paraId="6FD67983" w14:textId="22EEBAEB" w:rsidR="00B22311" w:rsidRPr="00B22311" w:rsidRDefault="00B22311" w:rsidP="00CD14BC">
            <w:pPr>
              <w:pStyle w:val="ListParagraph"/>
              <w:numPr>
                <w:ilvl w:val="0"/>
                <w:numId w:val="141"/>
              </w:numPr>
              <w:spacing w:after="120"/>
              <w:ind w:left="714" w:hanging="357"/>
              <w:contextualSpacing w:val="0"/>
              <w:rPr>
                <w:rFonts w:asciiTheme="minorHAnsi" w:hAnsiTheme="minorHAnsi" w:cstheme="minorHAnsi"/>
                <w:sz w:val="18"/>
                <w:szCs w:val="18"/>
              </w:rPr>
            </w:pPr>
            <w:r w:rsidRPr="00B22311">
              <w:rPr>
                <w:rFonts w:asciiTheme="minorHAnsi" w:hAnsiTheme="minorHAnsi" w:cstheme="minorHAnsi"/>
                <w:sz w:val="18"/>
                <w:szCs w:val="18"/>
              </w:rPr>
              <w:t>Declared Mines Annual Reporting requirements</w:t>
            </w:r>
            <w:r w:rsidR="00D64143">
              <w:rPr>
                <w:rFonts w:asciiTheme="minorHAnsi" w:hAnsiTheme="minorHAnsi" w:cstheme="minorHAnsi"/>
                <w:sz w:val="18"/>
                <w:szCs w:val="18"/>
              </w:rPr>
              <w:t>,</w:t>
            </w:r>
          </w:p>
          <w:p w14:paraId="09FDF857" w14:textId="60E196D3" w:rsidR="00B22311" w:rsidRPr="00D64143" w:rsidRDefault="003A6EA9" w:rsidP="00CD14BC">
            <w:pPr>
              <w:pStyle w:val="ListParagraph"/>
              <w:numPr>
                <w:ilvl w:val="0"/>
                <w:numId w:val="141"/>
              </w:numPr>
              <w:spacing w:after="120"/>
              <w:ind w:left="714" w:hanging="357"/>
              <w:contextualSpacing w:val="0"/>
              <w:rPr>
                <w:rFonts w:asciiTheme="minorHAnsi" w:hAnsiTheme="minorHAnsi" w:cstheme="minorHAnsi"/>
                <w:sz w:val="18"/>
                <w:szCs w:val="18"/>
              </w:rPr>
            </w:pPr>
            <w:r w:rsidRPr="00D64143">
              <w:rPr>
                <w:rFonts w:asciiTheme="minorHAnsi" w:hAnsiTheme="minorHAnsi" w:cstheme="minorHAnsi"/>
                <w:sz w:val="18"/>
                <w:szCs w:val="18"/>
              </w:rPr>
              <w:t>Declared Mine Rehabilitation Plan requirements</w:t>
            </w:r>
            <w:r w:rsidR="00D64143">
              <w:rPr>
                <w:rFonts w:asciiTheme="minorHAnsi" w:hAnsiTheme="minorHAnsi" w:cstheme="minorHAnsi"/>
                <w:sz w:val="18"/>
                <w:szCs w:val="18"/>
              </w:rPr>
              <w:t>,</w:t>
            </w:r>
          </w:p>
          <w:p w14:paraId="056A1B0A" w14:textId="1854732E" w:rsidR="00E106E3" w:rsidRPr="00E106E3" w:rsidRDefault="00E106E3" w:rsidP="00CD14BC">
            <w:pPr>
              <w:pStyle w:val="ListParagraph"/>
              <w:numPr>
                <w:ilvl w:val="0"/>
                <w:numId w:val="141"/>
              </w:numPr>
              <w:spacing w:after="120"/>
              <w:ind w:left="714" w:hanging="357"/>
              <w:contextualSpacing w:val="0"/>
              <w:rPr>
                <w:rFonts w:asciiTheme="minorHAnsi" w:hAnsiTheme="minorHAnsi" w:cstheme="minorHAnsi"/>
                <w:sz w:val="18"/>
                <w:szCs w:val="18"/>
              </w:rPr>
            </w:pPr>
            <w:r w:rsidRPr="00E106E3">
              <w:rPr>
                <w:rFonts w:asciiTheme="minorHAnsi" w:hAnsiTheme="minorHAnsi" w:cstheme="minorHAnsi"/>
                <w:sz w:val="18"/>
                <w:szCs w:val="18"/>
              </w:rPr>
              <w:t>Guidance about the Declared Mine Fund</w:t>
            </w:r>
            <w:r>
              <w:rPr>
                <w:rFonts w:asciiTheme="minorHAnsi" w:hAnsiTheme="minorHAnsi" w:cstheme="minorHAnsi"/>
                <w:sz w:val="18"/>
                <w:szCs w:val="18"/>
              </w:rPr>
              <w:t>,</w:t>
            </w:r>
          </w:p>
          <w:p w14:paraId="061D53CA" w14:textId="06124191" w:rsidR="003A6EA9" w:rsidRPr="00D64143" w:rsidRDefault="003A6EA9" w:rsidP="00CD14BC">
            <w:pPr>
              <w:pStyle w:val="ListParagraph"/>
              <w:numPr>
                <w:ilvl w:val="0"/>
                <w:numId w:val="141"/>
              </w:numPr>
              <w:spacing w:after="120"/>
              <w:ind w:left="714" w:hanging="357"/>
              <w:contextualSpacing w:val="0"/>
              <w:rPr>
                <w:rFonts w:asciiTheme="minorHAnsi" w:hAnsiTheme="minorHAnsi" w:cstheme="minorHAnsi"/>
                <w:sz w:val="18"/>
                <w:szCs w:val="18"/>
              </w:rPr>
            </w:pPr>
            <w:r w:rsidRPr="00D64143">
              <w:rPr>
                <w:rFonts w:asciiTheme="minorHAnsi" w:hAnsiTheme="minorHAnsi" w:cstheme="minorHAnsi"/>
                <w:sz w:val="18"/>
                <w:szCs w:val="18"/>
              </w:rPr>
              <w:t>Declared Mine Post-Closure Plan requirements</w:t>
            </w:r>
            <w:r w:rsidR="00D64143">
              <w:rPr>
                <w:rFonts w:asciiTheme="minorHAnsi" w:hAnsiTheme="minorHAnsi" w:cstheme="minorHAnsi"/>
                <w:sz w:val="18"/>
                <w:szCs w:val="18"/>
              </w:rPr>
              <w:t>, and</w:t>
            </w:r>
          </w:p>
          <w:p w14:paraId="1F1DC381" w14:textId="0AC2DDF3" w:rsidR="003A6EA9" w:rsidRPr="00D56E31" w:rsidRDefault="00C95AF4" w:rsidP="00CD14BC">
            <w:pPr>
              <w:pStyle w:val="ListParagraph"/>
              <w:numPr>
                <w:ilvl w:val="0"/>
                <w:numId w:val="141"/>
              </w:numPr>
              <w:spacing w:before="60" w:after="120"/>
              <w:ind w:left="714" w:hanging="357"/>
              <w:contextualSpacing w:val="0"/>
              <w:rPr>
                <w:rFonts w:asciiTheme="minorHAnsi" w:hAnsiTheme="minorHAnsi" w:cstheme="minorHAnsi"/>
                <w:sz w:val="18"/>
                <w:szCs w:val="18"/>
              </w:rPr>
            </w:pPr>
            <w:r w:rsidRPr="00D64143">
              <w:rPr>
                <w:rFonts w:asciiTheme="minorHAnsi" w:hAnsiTheme="minorHAnsi" w:cstheme="minorHAnsi"/>
                <w:sz w:val="18"/>
                <w:szCs w:val="18"/>
              </w:rPr>
              <w:t>Application for closure criteria and closure determination guidance</w:t>
            </w:r>
            <w:r w:rsidR="00D64143">
              <w:rPr>
                <w:rFonts w:asciiTheme="minorHAnsi" w:hAnsiTheme="minorHAnsi" w:cstheme="minorHAnsi"/>
                <w:sz w:val="18"/>
                <w:szCs w:val="18"/>
              </w:rPr>
              <w:t>.</w:t>
            </w:r>
          </w:p>
        </w:tc>
      </w:tr>
      <w:tr w:rsidR="00AF02EF" w:rsidRPr="00D51674" w14:paraId="3D58C91D" w14:textId="77777777" w:rsidTr="1465A4CF">
        <w:trPr>
          <w:trHeight w:val="358"/>
        </w:trPr>
        <w:tc>
          <w:tcPr>
            <w:tcW w:w="2835" w:type="dxa"/>
            <w:tcBorders>
              <w:bottom w:val="single" w:sz="4" w:space="0" w:color="1B0B38"/>
            </w:tcBorders>
          </w:tcPr>
          <w:p w14:paraId="202CE5A3" w14:textId="77777777" w:rsidR="00AF02EF" w:rsidRPr="00722D41" w:rsidRDefault="00AF02EF" w:rsidP="00AF02EF">
            <w:r w:rsidRPr="00722D41">
              <w:t>Responsibility for collecting, analysing and reporting on data and information</w:t>
            </w:r>
          </w:p>
        </w:tc>
        <w:tc>
          <w:tcPr>
            <w:tcW w:w="6379" w:type="dxa"/>
            <w:tcBorders>
              <w:bottom w:val="single" w:sz="4" w:space="0" w:color="1B0B38"/>
            </w:tcBorders>
            <w:vAlign w:val="center"/>
          </w:tcPr>
          <w:p w14:paraId="75724F4A" w14:textId="65CE9C3C" w:rsidR="00892735" w:rsidRPr="00D51674" w:rsidRDefault="006C671E" w:rsidP="00D56E31">
            <w:pPr>
              <w:spacing w:after="120"/>
            </w:pPr>
            <w:r>
              <w:t>Collection and reporting by t</w:t>
            </w:r>
            <w:r w:rsidR="00892735">
              <w:t>he department</w:t>
            </w:r>
            <w:r w:rsidR="00715BDD">
              <w:t xml:space="preserve"> and t</w:t>
            </w:r>
            <w:r w:rsidR="00892735">
              <w:t>he regulator</w:t>
            </w:r>
            <w:r w:rsidR="00E31D0F">
              <w:t xml:space="preserve"> from when licensees submit</w:t>
            </w:r>
            <w:r w:rsidR="00425251">
              <w:t xml:space="preserve"> their DMRP and post</w:t>
            </w:r>
            <w:r w:rsidR="00051E17">
              <w:t xml:space="preserve"> </w:t>
            </w:r>
            <w:r w:rsidR="00425251">
              <w:t>closure plan</w:t>
            </w:r>
            <w:r w:rsidR="00C83A19">
              <w:t xml:space="preserve"> w</w:t>
            </w:r>
            <w:r w:rsidR="00FC7B2C">
              <w:t>hen</w:t>
            </w:r>
            <w:r w:rsidR="00C83A19">
              <w:t xml:space="preserve"> applying for mine closure</w:t>
            </w:r>
          </w:p>
        </w:tc>
      </w:tr>
      <w:tr w:rsidR="00AF02EF" w:rsidRPr="00D51674" w14:paraId="30991F2D" w14:textId="77777777" w:rsidTr="1465A4CF">
        <w:trPr>
          <w:trHeight w:val="358"/>
        </w:trPr>
        <w:tc>
          <w:tcPr>
            <w:tcW w:w="2835" w:type="dxa"/>
            <w:tcBorders>
              <w:bottom w:val="single" w:sz="4" w:space="0" w:color="1B0B38"/>
            </w:tcBorders>
          </w:tcPr>
          <w:p w14:paraId="12282180" w14:textId="16EF5CA8" w:rsidR="00AF02EF" w:rsidRPr="00722D41" w:rsidRDefault="002454B2" w:rsidP="00AF02EF">
            <w:r>
              <w:t xml:space="preserve">Stakeholder Engagement </w:t>
            </w:r>
            <w:r w:rsidR="00AF02EF" w:rsidRPr="00722D41">
              <w:t>Plan</w:t>
            </w:r>
          </w:p>
        </w:tc>
        <w:tc>
          <w:tcPr>
            <w:tcW w:w="6379" w:type="dxa"/>
            <w:tcBorders>
              <w:bottom w:val="single" w:sz="4" w:space="0" w:color="1B0B38"/>
            </w:tcBorders>
            <w:vAlign w:val="center"/>
          </w:tcPr>
          <w:p w14:paraId="2899D550" w14:textId="34F50863" w:rsidR="00AF02EF" w:rsidRPr="00D51674" w:rsidRDefault="00D94E15" w:rsidP="000F153E">
            <w:pPr>
              <w:spacing w:after="120"/>
            </w:pPr>
            <w:r>
              <w:t xml:space="preserve">Iteratively reviewed </w:t>
            </w:r>
            <w:r w:rsidR="00BE0F55">
              <w:t xml:space="preserve">with </w:t>
            </w:r>
            <w:r w:rsidR="00DB2D2E">
              <w:t>industry licensees</w:t>
            </w:r>
            <w:r w:rsidR="0047097A">
              <w:t>, community</w:t>
            </w:r>
            <w:r w:rsidR="004557C5">
              <w:t>, the regulator</w:t>
            </w:r>
            <w:r w:rsidR="006B22A9">
              <w:t>, the Authority</w:t>
            </w:r>
            <w:r w:rsidR="00070445">
              <w:t xml:space="preserve"> and </w:t>
            </w:r>
            <w:r w:rsidR="00E22095">
              <w:t>any public sector body</w:t>
            </w:r>
            <w:r w:rsidR="000F153E">
              <w:t xml:space="preserve"> responsible for the oversight of a matter in the </w:t>
            </w:r>
            <w:r w:rsidR="007F5DC7">
              <w:t xml:space="preserve">DMRP </w:t>
            </w:r>
            <w:r w:rsidR="00FB34F2">
              <w:t xml:space="preserve">that </w:t>
            </w:r>
            <w:r w:rsidR="00581719">
              <w:t xml:space="preserve">licensees </w:t>
            </w:r>
            <w:r w:rsidR="00FB34F2">
              <w:t>must consult</w:t>
            </w:r>
            <w:r w:rsidR="00EF7874">
              <w:t xml:space="preserve"> with</w:t>
            </w:r>
          </w:p>
        </w:tc>
      </w:tr>
      <w:tr w:rsidR="00AF02EF" w:rsidRPr="00D51674" w14:paraId="7FF62363" w14:textId="77777777" w:rsidTr="1465A4CF">
        <w:tc>
          <w:tcPr>
            <w:tcW w:w="2835" w:type="dxa"/>
            <w:tcBorders>
              <w:top w:val="single" w:sz="4" w:space="0" w:color="1B0B38"/>
              <w:bottom w:val="single" w:sz="4" w:space="0" w:color="1B0B38"/>
            </w:tcBorders>
          </w:tcPr>
          <w:p w14:paraId="7D4DD544" w14:textId="77777777" w:rsidR="00AF02EF" w:rsidRDefault="00AF02EF" w:rsidP="00AF02EF">
            <w:r w:rsidRPr="00722D41">
              <w:t>Timing of evaluation</w:t>
            </w:r>
          </w:p>
        </w:tc>
        <w:tc>
          <w:tcPr>
            <w:tcW w:w="6379" w:type="dxa"/>
            <w:tcBorders>
              <w:top w:val="single" w:sz="4" w:space="0" w:color="1B0B38"/>
              <w:bottom w:val="single" w:sz="4" w:space="0" w:color="1B0B38"/>
            </w:tcBorders>
            <w:vAlign w:val="center"/>
          </w:tcPr>
          <w:p w14:paraId="23DD6847" w14:textId="28275EF7" w:rsidR="00AF02EF" w:rsidRPr="00D51674" w:rsidRDefault="009B6614" w:rsidP="00D56E31">
            <w:pPr>
              <w:spacing w:after="120"/>
            </w:pPr>
            <w:r>
              <w:t xml:space="preserve">Iteratively </w:t>
            </w:r>
            <w:r w:rsidR="00D56E31">
              <w:t xml:space="preserve">after </w:t>
            </w:r>
            <w:r w:rsidR="006142A2">
              <w:t xml:space="preserve">proposed Regulations </w:t>
            </w:r>
            <w:r w:rsidR="00612421">
              <w:t xml:space="preserve">due to </w:t>
            </w:r>
            <w:r w:rsidR="006142A2">
              <w:t>commence</w:t>
            </w:r>
            <w:r w:rsidR="0047656B">
              <w:t xml:space="preserve"> in </w:t>
            </w:r>
            <w:r w:rsidR="00AB6E72">
              <w:t>September</w:t>
            </w:r>
            <w:r w:rsidR="0047656B">
              <w:t xml:space="preserve"> 2022</w:t>
            </w:r>
          </w:p>
        </w:tc>
      </w:tr>
    </w:tbl>
    <w:p w14:paraId="2576DFCD" w14:textId="77777777" w:rsidR="00EF4D19" w:rsidRDefault="00EF4D19"/>
    <w:p w14:paraId="20B884A1" w14:textId="77777777" w:rsidR="00AF02EF" w:rsidRDefault="00AF02EF" w:rsidP="00AF02EF">
      <w:pPr>
        <w:rPr>
          <w:rStyle w:val="SubtleEmphasis"/>
          <w:i w:val="0"/>
          <w:sz w:val="16"/>
        </w:rPr>
      </w:pPr>
      <w:r>
        <w:rPr>
          <w:rStyle w:val="SubtleEmphasis"/>
          <w:i w:val="0"/>
          <w:sz w:val="16"/>
        </w:rPr>
        <w:t xml:space="preserve">* </w:t>
      </w:r>
      <w:r w:rsidRPr="004E4F0C">
        <w:rPr>
          <w:rStyle w:val="SubtleEmphasis"/>
          <w:i w:val="0"/>
          <w:sz w:val="16"/>
        </w:rPr>
        <w:t>Intervention logic is the rationale on which many aspects of the framework are based. It supports the choices made at a lead agency level on outcome measures and targets, and the choices made by departments on their selection of activities.</w:t>
      </w:r>
    </w:p>
    <w:p w14:paraId="16CD340D" w14:textId="08F7C541" w:rsidR="00AF02EF" w:rsidRDefault="00AF02EF" w:rsidP="006951E6">
      <w:pPr>
        <w:rPr>
          <w:b/>
          <w:bCs/>
          <w:color w:val="201547"/>
          <w:sz w:val="36"/>
          <w:szCs w:val="32"/>
        </w:rPr>
      </w:pPr>
      <w:r w:rsidRPr="004E4F0C">
        <w:t xml:space="preserve">The </w:t>
      </w:r>
      <w:r w:rsidR="006D439C">
        <w:t>department</w:t>
      </w:r>
      <w:r w:rsidRPr="004E4F0C">
        <w:t xml:space="preserve"> will continue to engage with stakeholders on a regular basis to discuss the effectiveness of the Regulations and any suggestions for change. Periodic review of the data and key performance indicators may indicate changes in the overall trends and may provide indicative information about the effectiveness of the Regulations in reducing negative impacts and enhancing positive impacts of minerals industries. Earth Resources Policy and Programs staff will liaise with ERR and field staff to monitor the effectiveness of </w:t>
      </w:r>
      <w:r w:rsidR="00855911">
        <w:t xml:space="preserve">the proposed </w:t>
      </w:r>
      <w:r w:rsidRPr="004E4F0C">
        <w:t>Regulations on an ongoing basis.</w:t>
      </w:r>
      <w:bookmarkStart w:id="425" w:name="_Toc4161420"/>
    </w:p>
    <w:p w14:paraId="52E55654" w14:textId="425D35C3" w:rsidR="00AF02EF" w:rsidRDefault="00AF02EF">
      <w:pPr>
        <w:spacing w:before="0" w:line="276" w:lineRule="auto"/>
        <w:rPr>
          <w:b/>
          <w:bCs/>
          <w:color w:val="201547"/>
          <w:sz w:val="36"/>
          <w:szCs w:val="32"/>
        </w:rPr>
      </w:pPr>
      <w:bookmarkStart w:id="426" w:name="_Toc4161421"/>
      <w:bookmarkEnd w:id="425"/>
    </w:p>
    <w:p w14:paraId="24386D33" w14:textId="77777777" w:rsidR="003A3115" w:rsidRDefault="003A3115">
      <w:pPr>
        <w:spacing w:before="0" w:line="276" w:lineRule="auto"/>
        <w:rPr>
          <w:b/>
          <w:bCs/>
          <w:color w:val="201547"/>
          <w:sz w:val="36"/>
          <w:szCs w:val="32"/>
        </w:rPr>
      </w:pPr>
      <w:r>
        <w:br w:type="page"/>
      </w:r>
    </w:p>
    <w:p w14:paraId="6424B49F" w14:textId="3179AEEC" w:rsidR="009801A0" w:rsidRDefault="009219CD" w:rsidP="009219CD">
      <w:pPr>
        <w:pStyle w:val="Heading1"/>
        <w:numPr>
          <w:ilvl w:val="0"/>
          <w:numId w:val="0"/>
        </w:numPr>
      </w:pPr>
      <w:bookmarkStart w:id="427" w:name="_Toc104217735"/>
      <w:bookmarkEnd w:id="426"/>
      <w:r>
        <w:lastRenderedPageBreak/>
        <w:t xml:space="preserve">Appendix A: </w:t>
      </w:r>
      <w:r w:rsidR="00F11CBC">
        <w:t>Stakeholder</w:t>
      </w:r>
      <w:r w:rsidR="009801A0">
        <w:t xml:space="preserve"> </w:t>
      </w:r>
      <w:r w:rsidR="00EE6B46">
        <w:t>c</w:t>
      </w:r>
      <w:r w:rsidR="009801A0">
        <w:t xml:space="preserve">onsultation </w:t>
      </w:r>
      <w:r w:rsidR="00EE6B46">
        <w:t>activit</w:t>
      </w:r>
      <w:r w:rsidR="00F11CBC">
        <w:t>ies</w:t>
      </w:r>
      <w:bookmarkEnd w:id="427"/>
    </w:p>
    <w:p w14:paraId="499C4EA9" w14:textId="647329A3" w:rsidR="006047FC" w:rsidRDefault="006047FC" w:rsidP="006951E6">
      <w:pPr>
        <w:pStyle w:val="introparagraph"/>
      </w:pPr>
      <w:r>
        <w:t>Consultation</w:t>
      </w:r>
      <w:r w:rsidR="0099601B">
        <w:t xml:space="preserve"> schedule</w:t>
      </w:r>
    </w:p>
    <w:p w14:paraId="0C827BE5" w14:textId="0417E4A8" w:rsidR="006047FC" w:rsidRDefault="00924E36" w:rsidP="006047FC">
      <w:r>
        <w:t xml:space="preserve">To inform the development of the proposed Regulations and the preparation of this RIS, the department conducted consultation with industry </w:t>
      </w:r>
      <w:r w:rsidR="00B94FE3">
        <w:t>operators</w:t>
      </w:r>
      <w:r>
        <w:t xml:space="preserve">. Consultation </w:t>
      </w:r>
      <w:r w:rsidR="00D656B3">
        <w:t xml:space="preserve">also </w:t>
      </w:r>
      <w:r w:rsidR="00EF25E3">
        <w:t xml:space="preserve">included </w:t>
      </w:r>
      <w:r>
        <w:t xml:space="preserve">various stakeholder groups </w:t>
      </w:r>
      <w:r w:rsidR="00A2691E">
        <w:t xml:space="preserve">such as other </w:t>
      </w:r>
      <w:r w:rsidR="00D014D3">
        <w:t xml:space="preserve">areas of </w:t>
      </w:r>
      <w:r w:rsidR="00A2691E">
        <w:t>government</w:t>
      </w:r>
      <w:r w:rsidR="00D014D3">
        <w:t xml:space="preserve"> and co-regulators as </w:t>
      </w:r>
      <w:r>
        <w:t>outlined below.</w:t>
      </w:r>
    </w:p>
    <w:p w14:paraId="390ACD68" w14:textId="60033FAB" w:rsidR="00CE6DE9" w:rsidRDefault="00CE6DE9" w:rsidP="00CE6DE9">
      <w:pPr>
        <w:pStyle w:val="Caption"/>
      </w:pPr>
      <w:bookmarkStart w:id="428" w:name="_Toc104217643"/>
      <w:r>
        <w:t xml:space="preserve">Table </w:t>
      </w:r>
      <w:r>
        <w:fldChar w:fldCharType="begin"/>
      </w:r>
      <w:r>
        <w:instrText>SEQ Table \* ARABIC</w:instrText>
      </w:r>
      <w:r>
        <w:fldChar w:fldCharType="separate"/>
      </w:r>
      <w:r w:rsidR="000B3BF6">
        <w:rPr>
          <w:noProof/>
        </w:rPr>
        <w:t>27</w:t>
      </w:r>
      <w:r>
        <w:fldChar w:fldCharType="end"/>
      </w:r>
      <w:r>
        <w:t>: Consultation activity schedule</w:t>
      </w:r>
      <w:bookmarkEnd w:id="428"/>
    </w:p>
    <w:tbl>
      <w:tblPr>
        <w:tblStyle w:val="TableGrid"/>
        <w:tblW w:w="9072" w:type="dxa"/>
        <w:tblBorders>
          <w:top w:val="none" w:sz="0" w:space="0" w:color="auto"/>
          <w:left w:val="none" w:sz="0" w:space="0" w:color="auto"/>
          <w:bottom w:val="none" w:sz="0" w:space="0" w:color="auto"/>
          <w:right w:val="none" w:sz="0" w:space="0" w:color="auto"/>
          <w:insideH w:val="single" w:sz="4" w:space="0" w:color="161615" w:themeColor="background2" w:themeShade="1A"/>
          <w:insideV w:val="single" w:sz="4" w:space="0" w:color="161615" w:themeColor="background2" w:themeShade="1A"/>
        </w:tblBorders>
        <w:tblLook w:val="04A0" w:firstRow="1" w:lastRow="0" w:firstColumn="1" w:lastColumn="0" w:noHBand="0" w:noVBand="1"/>
      </w:tblPr>
      <w:tblGrid>
        <w:gridCol w:w="2552"/>
        <w:gridCol w:w="6520"/>
      </w:tblGrid>
      <w:tr w:rsidR="00827002" w:rsidRPr="00827002" w14:paraId="002AB769" w14:textId="77777777" w:rsidTr="00760939">
        <w:tc>
          <w:tcPr>
            <w:tcW w:w="2552" w:type="dxa"/>
            <w:tcBorders>
              <w:top w:val="nil"/>
              <w:bottom w:val="single" w:sz="12" w:space="0" w:color="161615" w:themeColor="background2" w:themeShade="1A"/>
            </w:tcBorders>
            <w:shd w:val="clear" w:color="auto" w:fill="002654" w:themeFill="text2" w:themeFillShade="80"/>
          </w:tcPr>
          <w:p w14:paraId="04776229" w14:textId="780287D8" w:rsidR="00DF76BD" w:rsidRPr="00827002" w:rsidRDefault="00175019" w:rsidP="006047FC">
            <w:pPr>
              <w:rPr>
                <w:rStyle w:val="Strong"/>
                <w:bCs w:val="0"/>
                <w:color w:val="FFFFFF" w:themeColor="background1"/>
              </w:rPr>
            </w:pPr>
            <w:r w:rsidRPr="00827002">
              <w:rPr>
                <w:rStyle w:val="Strong"/>
                <w:bCs w:val="0"/>
                <w:color w:val="FFFFFF" w:themeColor="background1"/>
              </w:rPr>
              <w:t>Time period</w:t>
            </w:r>
          </w:p>
        </w:tc>
        <w:tc>
          <w:tcPr>
            <w:tcW w:w="6520" w:type="dxa"/>
            <w:tcBorders>
              <w:top w:val="nil"/>
              <w:bottom w:val="single" w:sz="12" w:space="0" w:color="161615" w:themeColor="background2" w:themeShade="1A"/>
            </w:tcBorders>
            <w:shd w:val="clear" w:color="auto" w:fill="002654" w:themeFill="text2" w:themeFillShade="80"/>
          </w:tcPr>
          <w:p w14:paraId="72FD72D1" w14:textId="3C36CD65" w:rsidR="00DF76BD" w:rsidRPr="00827002" w:rsidRDefault="009F1024" w:rsidP="006047FC">
            <w:pPr>
              <w:rPr>
                <w:rStyle w:val="Strong"/>
                <w:bCs w:val="0"/>
                <w:color w:val="FFFFFF" w:themeColor="background1"/>
              </w:rPr>
            </w:pPr>
            <w:r w:rsidRPr="00827002">
              <w:rPr>
                <w:rStyle w:val="Strong"/>
                <w:bCs w:val="0"/>
                <w:color w:val="FFFFFF" w:themeColor="background1"/>
              </w:rPr>
              <w:t>Consultation details</w:t>
            </w:r>
          </w:p>
        </w:tc>
      </w:tr>
      <w:tr w:rsidR="00DF76BD" w:rsidRPr="007D16FF" w14:paraId="056801D9" w14:textId="77777777" w:rsidTr="00760939">
        <w:tc>
          <w:tcPr>
            <w:tcW w:w="2552" w:type="dxa"/>
            <w:tcBorders>
              <w:top w:val="single" w:sz="12" w:space="0" w:color="161615" w:themeColor="background2" w:themeShade="1A"/>
              <w:bottom w:val="single" w:sz="4" w:space="0" w:color="161615" w:themeColor="background2" w:themeShade="1A"/>
              <w:right w:val="nil"/>
            </w:tcBorders>
          </w:tcPr>
          <w:p w14:paraId="01CAF7D0" w14:textId="2CB46E5B" w:rsidR="00DF76BD" w:rsidRPr="007D16FF" w:rsidRDefault="00F978B1" w:rsidP="000E4D6A">
            <w:pPr>
              <w:spacing w:after="120"/>
              <w:rPr>
                <w:rFonts w:asciiTheme="minorHAnsi" w:hAnsiTheme="minorHAnsi" w:cstheme="minorHAnsi"/>
                <w:szCs w:val="18"/>
              </w:rPr>
            </w:pPr>
            <w:r w:rsidRPr="007D16FF">
              <w:rPr>
                <w:rFonts w:asciiTheme="minorHAnsi" w:hAnsiTheme="minorHAnsi" w:cstheme="minorHAnsi"/>
                <w:szCs w:val="18"/>
              </w:rPr>
              <w:t>Ju</w:t>
            </w:r>
            <w:r w:rsidR="005209AD" w:rsidRPr="007D16FF">
              <w:rPr>
                <w:rFonts w:asciiTheme="minorHAnsi" w:hAnsiTheme="minorHAnsi" w:cstheme="minorHAnsi"/>
                <w:szCs w:val="18"/>
              </w:rPr>
              <w:t>ly</w:t>
            </w:r>
            <w:r w:rsidRPr="007D16FF">
              <w:rPr>
                <w:rFonts w:asciiTheme="minorHAnsi" w:hAnsiTheme="minorHAnsi" w:cstheme="minorHAnsi"/>
                <w:szCs w:val="18"/>
              </w:rPr>
              <w:t xml:space="preserve"> 2020</w:t>
            </w:r>
          </w:p>
        </w:tc>
        <w:tc>
          <w:tcPr>
            <w:tcW w:w="6520" w:type="dxa"/>
            <w:tcBorders>
              <w:top w:val="single" w:sz="12" w:space="0" w:color="161615" w:themeColor="background2" w:themeShade="1A"/>
              <w:left w:val="nil"/>
              <w:bottom w:val="single" w:sz="4" w:space="0" w:color="161615" w:themeColor="background2" w:themeShade="1A"/>
            </w:tcBorders>
          </w:tcPr>
          <w:p w14:paraId="629190AC" w14:textId="0BF1B2D1" w:rsidR="00DF76BD" w:rsidRPr="007D16FF" w:rsidRDefault="00AD3348" w:rsidP="000E4D6A">
            <w:pPr>
              <w:spacing w:after="120"/>
              <w:ind w:left="125"/>
              <w:rPr>
                <w:rFonts w:asciiTheme="minorHAnsi" w:hAnsiTheme="minorHAnsi" w:cstheme="minorHAnsi"/>
                <w:szCs w:val="18"/>
              </w:rPr>
            </w:pPr>
            <w:r w:rsidRPr="007D16FF">
              <w:rPr>
                <w:rFonts w:asciiTheme="minorHAnsi" w:hAnsiTheme="minorHAnsi" w:cstheme="minorHAnsi"/>
                <w:szCs w:val="18"/>
              </w:rPr>
              <w:t>BRV briefings and guidance sought</w:t>
            </w:r>
          </w:p>
        </w:tc>
      </w:tr>
      <w:tr w:rsidR="00DF76BD" w:rsidRPr="007D16FF" w14:paraId="68EB2680" w14:textId="77777777" w:rsidTr="00760939">
        <w:tc>
          <w:tcPr>
            <w:tcW w:w="2552" w:type="dxa"/>
            <w:tcBorders>
              <w:top w:val="single" w:sz="4" w:space="0" w:color="161615" w:themeColor="background2" w:themeShade="1A"/>
              <w:bottom w:val="single" w:sz="4" w:space="0" w:color="161615" w:themeColor="background2" w:themeShade="1A"/>
              <w:right w:val="nil"/>
            </w:tcBorders>
          </w:tcPr>
          <w:p w14:paraId="021BA08D" w14:textId="1690DFF3" w:rsidR="00DF76BD" w:rsidRPr="007D16FF" w:rsidRDefault="005209AD" w:rsidP="000E4D6A">
            <w:pPr>
              <w:spacing w:after="120"/>
              <w:rPr>
                <w:rFonts w:asciiTheme="minorHAnsi" w:hAnsiTheme="minorHAnsi" w:cstheme="minorHAnsi"/>
                <w:szCs w:val="18"/>
              </w:rPr>
            </w:pPr>
            <w:r w:rsidRPr="007D16FF">
              <w:rPr>
                <w:rFonts w:asciiTheme="minorHAnsi" w:hAnsiTheme="minorHAnsi" w:cstheme="minorHAnsi"/>
                <w:szCs w:val="18"/>
              </w:rPr>
              <w:t>August 2020</w:t>
            </w:r>
          </w:p>
        </w:tc>
        <w:tc>
          <w:tcPr>
            <w:tcW w:w="6520" w:type="dxa"/>
            <w:tcBorders>
              <w:top w:val="single" w:sz="4" w:space="0" w:color="161615" w:themeColor="background2" w:themeShade="1A"/>
              <w:left w:val="nil"/>
              <w:bottom w:val="single" w:sz="4" w:space="0" w:color="161615" w:themeColor="background2" w:themeShade="1A"/>
            </w:tcBorders>
          </w:tcPr>
          <w:p w14:paraId="33B4E7B3" w14:textId="6E89BAC0" w:rsidR="009E6953" w:rsidRPr="007D16FF" w:rsidRDefault="009E6953" w:rsidP="000E4D6A">
            <w:pPr>
              <w:spacing w:after="120"/>
              <w:ind w:left="123"/>
              <w:rPr>
                <w:rFonts w:asciiTheme="minorHAnsi" w:hAnsiTheme="minorHAnsi" w:cstheme="minorHAnsi"/>
                <w:szCs w:val="18"/>
              </w:rPr>
            </w:pPr>
            <w:r w:rsidRPr="007D16FF">
              <w:rPr>
                <w:rFonts w:asciiTheme="minorHAnsi" w:hAnsiTheme="minorHAnsi" w:cstheme="minorHAnsi"/>
                <w:szCs w:val="18"/>
              </w:rPr>
              <w:t>DELWP matters for Ministerial &amp; Dep</w:t>
            </w:r>
            <w:r w:rsidR="00C459EF" w:rsidRPr="007D16FF">
              <w:rPr>
                <w:rFonts w:asciiTheme="minorHAnsi" w:hAnsiTheme="minorHAnsi" w:cstheme="minorHAnsi"/>
                <w:szCs w:val="18"/>
              </w:rPr>
              <w:t>artment</w:t>
            </w:r>
            <w:r w:rsidRPr="007D16FF">
              <w:rPr>
                <w:rFonts w:asciiTheme="minorHAnsi" w:hAnsiTheme="minorHAnsi" w:cstheme="minorHAnsi"/>
                <w:szCs w:val="18"/>
              </w:rPr>
              <w:t xml:space="preserve"> Head</w:t>
            </w:r>
          </w:p>
          <w:p w14:paraId="651C6B90" w14:textId="77777777" w:rsidR="00DF76BD" w:rsidRPr="007D16FF" w:rsidRDefault="009E6953" w:rsidP="000E4D6A">
            <w:pPr>
              <w:spacing w:after="120"/>
              <w:ind w:left="123"/>
              <w:rPr>
                <w:rFonts w:asciiTheme="minorHAnsi" w:hAnsiTheme="minorHAnsi" w:cstheme="minorHAnsi"/>
                <w:szCs w:val="18"/>
              </w:rPr>
            </w:pPr>
            <w:r w:rsidRPr="007D16FF">
              <w:rPr>
                <w:rFonts w:asciiTheme="minorHAnsi" w:hAnsiTheme="minorHAnsi" w:cstheme="minorHAnsi"/>
                <w:szCs w:val="18"/>
              </w:rPr>
              <w:t>BRV advice on draft RIS received</w:t>
            </w:r>
          </w:p>
          <w:p w14:paraId="78EAF5F8" w14:textId="222750D7" w:rsidR="00DF76BD" w:rsidRPr="007D16FF" w:rsidRDefault="006F25A2" w:rsidP="000E4D6A">
            <w:pPr>
              <w:spacing w:after="120"/>
              <w:ind w:left="125"/>
              <w:rPr>
                <w:rFonts w:asciiTheme="minorHAnsi" w:hAnsiTheme="minorHAnsi" w:cstheme="minorHAnsi"/>
                <w:szCs w:val="18"/>
              </w:rPr>
            </w:pPr>
            <w:r w:rsidRPr="007D16FF">
              <w:rPr>
                <w:rFonts w:asciiTheme="minorHAnsi" w:hAnsiTheme="minorHAnsi" w:cstheme="minorHAnsi"/>
                <w:szCs w:val="18"/>
              </w:rPr>
              <w:t>DTF, DPC, DELWP</w:t>
            </w:r>
            <w:r w:rsidR="00AC4708" w:rsidRPr="007D16FF">
              <w:rPr>
                <w:rFonts w:asciiTheme="minorHAnsi" w:hAnsiTheme="minorHAnsi" w:cstheme="minorHAnsi"/>
                <w:szCs w:val="18"/>
              </w:rPr>
              <w:t xml:space="preserve"> and</w:t>
            </w:r>
            <w:r w:rsidRPr="007D16FF">
              <w:rPr>
                <w:rFonts w:asciiTheme="minorHAnsi" w:hAnsiTheme="minorHAnsi" w:cstheme="minorHAnsi"/>
                <w:szCs w:val="18"/>
              </w:rPr>
              <w:t xml:space="preserve"> MLRA consultations</w:t>
            </w:r>
          </w:p>
        </w:tc>
      </w:tr>
      <w:tr w:rsidR="00DF76BD" w:rsidRPr="007D16FF" w14:paraId="4799638A" w14:textId="77777777" w:rsidTr="00760939">
        <w:tc>
          <w:tcPr>
            <w:tcW w:w="2552" w:type="dxa"/>
            <w:tcBorders>
              <w:top w:val="single" w:sz="4" w:space="0" w:color="161615" w:themeColor="background2" w:themeShade="1A"/>
              <w:bottom w:val="single" w:sz="4" w:space="0" w:color="161615" w:themeColor="background2" w:themeShade="1A"/>
              <w:right w:val="nil"/>
            </w:tcBorders>
          </w:tcPr>
          <w:p w14:paraId="2030F390" w14:textId="6BF06A73" w:rsidR="00DF76BD" w:rsidRPr="007D16FF" w:rsidRDefault="006C4D1C" w:rsidP="000E4D6A">
            <w:pPr>
              <w:spacing w:after="120"/>
              <w:rPr>
                <w:rFonts w:asciiTheme="minorHAnsi" w:hAnsiTheme="minorHAnsi" w:cstheme="minorHAnsi"/>
                <w:szCs w:val="18"/>
              </w:rPr>
            </w:pPr>
            <w:r w:rsidRPr="007D16FF">
              <w:rPr>
                <w:rFonts w:asciiTheme="minorHAnsi" w:hAnsiTheme="minorHAnsi" w:cstheme="minorHAnsi"/>
                <w:szCs w:val="18"/>
              </w:rPr>
              <w:t>September 2020</w:t>
            </w:r>
          </w:p>
        </w:tc>
        <w:tc>
          <w:tcPr>
            <w:tcW w:w="6520" w:type="dxa"/>
            <w:tcBorders>
              <w:top w:val="single" w:sz="4" w:space="0" w:color="161615" w:themeColor="background2" w:themeShade="1A"/>
              <w:left w:val="nil"/>
              <w:bottom w:val="single" w:sz="4" w:space="0" w:color="161615" w:themeColor="background2" w:themeShade="1A"/>
            </w:tcBorders>
          </w:tcPr>
          <w:p w14:paraId="32864221" w14:textId="77777777" w:rsidR="00E4110E" w:rsidRPr="007D16FF" w:rsidRDefault="00E4110E" w:rsidP="000E4D6A">
            <w:pPr>
              <w:spacing w:after="120"/>
              <w:ind w:left="123"/>
              <w:rPr>
                <w:rFonts w:asciiTheme="minorHAnsi" w:hAnsiTheme="minorHAnsi" w:cstheme="minorHAnsi"/>
                <w:szCs w:val="18"/>
              </w:rPr>
            </w:pPr>
            <w:r w:rsidRPr="007D16FF">
              <w:rPr>
                <w:rFonts w:asciiTheme="minorHAnsi" w:hAnsiTheme="minorHAnsi" w:cstheme="minorHAnsi"/>
                <w:szCs w:val="18"/>
              </w:rPr>
              <w:t>ERR consultations on Work Plan monitoring &amp; review functions</w:t>
            </w:r>
          </w:p>
          <w:p w14:paraId="10FCA6D8" w14:textId="63A3C826" w:rsidR="00DF76BD" w:rsidRPr="007D16FF" w:rsidRDefault="00E4110E" w:rsidP="000E4D6A">
            <w:pPr>
              <w:spacing w:after="120"/>
              <w:ind w:left="123"/>
              <w:rPr>
                <w:rFonts w:asciiTheme="minorHAnsi" w:hAnsiTheme="minorHAnsi" w:cstheme="minorHAnsi"/>
                <w:szCs w:val="18"/>
              </w:rPr>
            </w:pPr>
            <w:r w:rsidRPr="007D16FF">
              <w:rPr>
                <w:rFonts w:asciiTheme="minorHAnsi" w:hAnsiTheme="minorHAnsi" w:cstheme="minorHAnsi"/>
                <w:szCs w:val="18"/>
              </w:rPr>
              <w:t>DTF consultations</w:t>
            </w:r>
          </w:p>
        </w:tc>
      </w:tr>
      <w:tr w:rsidR="00DF76BD" w:rsidRPr="007D16FF" w14:paraId="19E63510" w14:textId="77777777" w:rsidTr="00760939">
        <w:tc>
          <w:tcPr>
            <w:tcW w:w="2552" w:type="dxa"/>
            <w:tcBorders>
              <w:top w:val="single" w:sz="4" w:space="0" w:color="161615" w:themeColor="background2" w:themeShade="1A"/>
              <w:bottom w:val="single" w:sz="4" w:space="0" w:color="161615" w:themeColor="background2" w:themeShade="1A"/>
              <w:right w:val="nil"/>
            </w:tcBorders>
          </w:tcPr>
          <w:p w14:paraId="628C9260" w14:textId="2E45028F" w:rsidR="00DF76BD" w:rsidRPr="007D16FF" w:rsidRDefault="00902DE3" w:rsidP="000E4D6A">
            <w:pPr>
              <w:spacing w:after="120"/>
              <w:rPr>
                <w:rFonts w:asciiTheme="minorHAnsi" w:hAnsiTheme="minorHAnsi" w:cstheme="minorHAnsi"/>
                <w:szCs w:val="18"/>
              </w:rPr>
            </w:pPr>
            <w:r w:rsidRPr="007D16FF">
              <w:rPr>
                <w:rFonts w:asciiTheme="minorHAnsi" w:hAnsiTheme="minorHAnsi" w:cstheme="minorHAnsi"/>
                <w:szCs w:val="18"/>
              </w:rPr>
              <w:t>October 2020</w:t>
            </w:r>
          </w:p>
        </w:tc>
        <w:tc>
          <w:tcPr>
            <w:tcW w:w="6520" w:type="dxa"/>
            <w:tcBorders>
              <w:top w:val="single" w:sz="4" w:space="0" w:color="161615" w:themeColor="background2" w:themeShade="1A"/>
              <w:left w:val="nil"/>
              <w:bottom w:val="single" w:sz="4" w:space="0" w:color="161615" w:themeColor="background2" w:themeShade="1A"/>
            </w:tcBorders>
          </w:tcPr>
          <w:p w14:paraId="4B5DE3C1" w14:textId="40C57006" w:rsidR="00DF76BD" w:rsidRPr="007D16FF" w:rsidRDefault="00573DDB" w:rsidP="000E4D6A">
            <w:pPr>
              <w:spacing w:after="120"/>
              <w:ind w:left="123"/>
              <w:rPr>
                <w:rFonts w:asciiTheme="minorHAnsi" w:hAnsiTheme="minorHAnsi" w:cstheme="minorHAnsi"/>
                <w:szCs w:val="18"/>
              </w:rPr>
            </w:pPr>
            <w:r w:rsidRPr="007D16FF">
              <w:rPr>
                <w:rFonts w:asciiTheme="minorHAnsi" w:hAnsiTheme="minorHAnsi" w:cstheme="minorHAnsi"/>
                <w:szCs w:val="18"/>
              </w:rPr>
              <w:t xml:space="preserve">DELWP </w:t>
            </w:r>
            <w:r w:rsidR="0045291F" w:rsidRPr="007D16FF">
              <w:rPr>
                <w:rFonts w:asciiTheme="minorHAnsi" w:hAnsiTheme="minorHAnsi" w:cstheme="minorHAnsi"/>
                <w:szCs w:val="18"/>
              </w:rPr>
              <w:t>and</w:t>
            </w:r>
            <w:r w:rsidRPr="007D16FF">
              <w:rPr>
                <w:rFonts w:asciiTheme="minorHAnsi" w:hAnsiTheme="minorHAnsi" w:cstheme="minorHAnsi"/>
                <w:szCs w:val="18"/>
              </w:rPr>
              <w:t xml:space="preserve"> DPC consultations</w:t>
            </w:r>
          </w:p>
          <w:p w14:paraId="45D866A2" w14:textId="238F0298" w:rsidR="00DF76BD" w:rsidRPr="007D16FF" w:rsidRDefault="00276B2D" w:rsidP="000E4D6A">
            <w:pPr>
              <w:spacing w:after="120"/>
              <w:ind w:left="123"/>
              <w:rPr>
                <w:rFonts w:asciiTheme="minorHAnsi" w:hAnsiTheme="minorHAnsi" w:cstheme="minorHAnsi"/>
                <w:szCs w:val="18"/>
              </w:rPr>
            </w:pPr>
            <w:r w:rsidRPr="007D16FF">
              <w:rPr>
                <w:rFonts w:asciiTheme="minorHAnsi" w:hAnsiTheme="minorHAnsi" w:cstheme="minorHAnsi"/>
                <w:szCs w:val="18"/>
              </w:rPr>
              <w:t>First</w:t>
            </w:r>
            <w:r w:rsidR="008844B8" w:rsidRPr="007D16FF">
              <w:rPr>
                <w:rFonts w:asciiTheme="minorHAnsi" w:hAnsiTheme="minorHAnsi" w:cstheme="minorHAnsi"/>
                <w:szCs w:val="18"/>
              </w:rPr>
              <w:t>-</w:t>
            </w:r>
            <w:r w:rsidRPr="007D16FF">
              <w:rPr>
                <w:rFonts w:asciiTheme="minorHAnsi" w:hAnsiTheme="minorHAnsi" w:cstheme="minorHAnsi"/>
                <w:szCs w:val="18"/>
              </w:rPr>
              <w:t xml:space="preserve">round of </w:t>
            </w:r>
            <w:r w:rsidR="00560A8E" w:rsidRPr="007D16FF">
              <w:rPr>
                <w:rFonts w:asciiTheme="minorHAnsi" w:hAnsiTheme="minorHAnsi" w:cstheme="minorHAnsi"/>
                <w:szCs w:val="18"/>
              </w:rPr>
              <w:t>Licensee pre-RIS consultation workshops</w:t>
            </w:r>
          </w:p>
        </w:tc>
      </w:tr>
      <w:tr w:rsidR="00DF76BD" w:rsidRPr="007D16FF" w14:paraId="0C600E4C" w14:textId="77777777" w:rsidTr="00760939">
        <w:tc>
          <w:tcPr>
            <w:tcW w:w="2552" w:type="dxa"/>
            <w:tcBorders>
              <w:top w:val="single" w:sz="4" w:space="0" w:color="161615" w:themeColor="background2" w:themeShade="1A"/>
              <w:bottom w:val="single" w:sz="4" w:space="0" w:color="161615" w:themeColor="background2" w:themeShade="1A"/>
              <w:right w:val="nil"/>
            </w:tcBorders>
          </w:tcPr>
          <w:p w14:paraId="2F8E62FB" w14:textId="16EC093F" w:rsidR="00DF76BD" w:rsidRPr="007D16FF" w:rsidRDefault="00CB1E87" w:rsidP="000E4D6A">
            <w:pPr>
              <w:spacing w:after="120"/>
              <w:rPr>
                <w:rFonts w:asciiTheme="minorHAnsi" w:hAnsiTheme="minorHAnsi" w:cstheme="minorHAnsi"/>
                <w:szCs w:val="18"/>
              </w:rPr>
            </w:pPr>
            <w:r w:rsidRPr="007D16FF">
              <w:rPr>
                <w:rFonts w:asciiTheme="minorHAnsi" w:hAnsiTheme="minorHAnsi" w:cstheme="minorHAnsi"/>
                <w:szCs w:val="18"/>
              </w:rPr>
              <w:t>November 2020</w:t>
            </w:r>
          </w:p>
        </w:tc>
        <w:tc>
          <w:tcPr>
            <w:tcW w:w="6520" w:type="dxa"/>
            <w:tcBorders>
              <w:top w:val="single" w:sz="4" w:space="0" w:color="161615" w:themeColor="background2" w:themeShade="1A"/>
              <w:left w:val="nil"/>
              <w:bottom w:val="single" w:sz="4" w:space="0" w:color="161615" w:themeColor="background2" w:themeShade="1A"/>
            </w:tcBorders>
          </w:tcPr>
          <w:p w14:paraId="7E6DC4CD" w14:textId="4DAA2155" w:rsidR="001D4D58" w:rsidRPr="007D16FF" w:rsidRDefault="008844B8" w:rsidP="003D627B">
            <w:pPr>
              <w:spacing w:after="120"/>
              <w:ind w:left="123"/>
              <w:rPr>
                <w:rFonts w:asciiTheme="minorHAnsi" w:hAnsiTheme="minorHAnsi" w:cstheme="minorHAnsi"/>
                <w:szCs w:val="18"/>
              </w:rPr>
            </w:pPr>
            <w:r w:rsidRPr="007D16FF">
              <w:rPr>
                <w:rFonts w:asciiTheme="minorHAnsi" w:hAnsiTheme="minorHAnsi" w:cstheme="minorHAnsi"/>
                <w:szCs w:val="18"/>
              </w:rPr>
              <w:t xml:space="preserve">First-round of </w:t>
            </w:r>
            <w:r w:rsidR="001D4D58" w:rsidRPr="007D16FF">
              <w:rPr>
                <w:rFonts w:asciiTheme="minorHAnsi" w:hAnsiTheme="minorHAnsi" w:cstheme="minorHAnsi"/>
                <w:szCs w:val="18"/>
              </w:rPr>
              <w:t>Licensee Impact Assessment submissions collected</w:t>
            </w:r>
          </w:p>
          <w:p w14:paraId="5423F3F1" w14:textId="2304330E" w:rsidR="001D4D58" w:rsidRPr="007D16FF" w:rsidRDefault="001D4D58">
            <w:pPr>
              <w:spacing w:after="120"/>
              <w:ind w:left="123"/>
              <w:rPr>
                <w:rFonts w:asciiTheme="minorHAnsi" w:hAnsiTheme="minorHAnsi" w:cstheme="minorHAnsi"/>
                <w:szCs w:val="18"/>
              </w:rPr>
            </w:pPr>
            <w:r w:rsidRPr="007D16FF">
              <w:rPr>
                <w:rFonts w:asciiTheme="minorHAnsi" w:hAnsiTheme="minorHAnsi" w:cstheme="minorHAnsi"/>
                <w:szCs w:val="18"/>
              </w:rPr>
              <w:t xml:space="preserve">LVMRAC </w:t>
            </w:r>
            <w:r w:rsidR="00AC4708" w:rsidRPr="007D16FF">
              <w:rPr>
                <w:rFonts w:asciiTheme="minorHAnsi" w:hAnsiTheme="minorHAnsi" w:cstheme="minorHAnsi"/>
                <w:szCs w:val="18"/>
              </w:rPr>
              <w:t>and</w:t>
            </w:r>
            <w:r w:rsidRPr="007D16FF">
              <w:rPr>
                <w:rFonts w:asciiTheme="minorHAnsi" w:hAnsiTheme="minorHAnsi" w:cstheme="minorHAnsi"/>
                <w:szCs w:val="18"/>
              </w:rPr>
              <w:t xml:space="preserve"> </w:t>
            </w:r>
            <w:r w:rsidR="00CC31FA">
              <w:rPr>
                <w:rFonts w:asciiTheme="minorHAnsi" w:hAnsiTheme="minorHAnsi" w:cstheme="minorHAnsi"/>
                <w:szCs w:val="18"/>
              </w:rPr>
              <w:t>City Council</w:t>
            </w:r>
            <w:r w:rsidRPr="007D16FF">
              <w:rPr>
                <w:rFonts w:asciiTheme="minorHAnsi" w:hAnsiTheme="minorHAnsi" w:cstheme="minorHAnsi"/>
                <w:szCs w:val="18"/>
              </w:rPr>
              <w:t xml:space="preserve"> consultations</w:t>
            </w:r>
          </w:p>
          <w:p w14:paraId="02524DFB" w14:textId="780B7F13" w:rsidR="001D4D58" w:rsidRPr="007D16FF" w:rsidRDefault="001D4D58">
            <w:pPr>
              <w:spacing w:after="120"/>
              <w:ind w:left="123"/>
              <w:rPr>
                <w:rFonts w:asciiTheme="minorHAnsi" w:hAnsiTheme="minorHAnsi" w:cstheme="minorHAnsi"/>
                <w:szCs w:val="18"/>
              </w:rPr>
            </w:pPr>
            <w:r w:rsidRPr="007D16FF">
              <w:rPr>
                <w:rFonts w:asciiTheme="minorHAnsi" w:hAnsiTheme="minorHAnsi" w:cstheme="minorHAnsi"/>
                <w:szCs w:val="18"/>
              </w:rPr>
              <w:t xml:space="preserve">DTF, DPC </w:t>
            </w:r>
            <w:r w:rsidR="00AC4708" w:rsidRPr="007D16FF">
              <w:rPr>
                <w:rFonts w:asciiTheme="minorHAnsi" w:hAnsiTheme="minorHAnsi" w:cstheme="minorHAnsi"/>
                <w:szCs w:val="18"/>
              </w:rPr>
              <w:t>and</w:t>
            </w:r>
            <w:r w:rsidRPr="007D16FF">
              <w:rPr>
                <w:rFonts w:asciiTheme="minorHAnsi" w:hAnsiTheme="minorHAnsi" w:cstheme="minorHAnsi"/>
                <w:szCs w:val="18"/>
              </w:rPr>
              <w:t xml:space="preserve"> DELWP pre-RIS consultation on Regulation options</w:t>
            </w:r>
          </w:p>
          <w:p w14:paraId="04780B8F" w14:textId="73276937" w:rsidR="00DF76BD" w:rsidRPr="007D16FF" w:rsidRDefault="001D4D58">
            <w:pPr>
              <w:spacing w:after="120"/>
              <w:ind w:left="125"/>
              <w:rPr>
                <w:rFonts w:asciiTheme="minorHAnsi" w:hAnsiTheme="minorHAnsi" w:cstheme="minorHAnsi"/>
                <w:szCs w:val="18"/>
              </w:rPr>
            </w:pPr>
            <w:r w:rsidRPr="007D16FF">
              <w:rPr>
                <w:rFonts w:asciiTheme="minorHAnsi" w:hAnsiTheme="minorHAnsi" w:cstheme="minorHAnsi"/>
                <w:szCs w:val="18"/>
              </w:rPr>
              <w:t xml:space="preserve">ERR </w:t>
            </w:r>
            <w:r w:rsidR="00AC4708" w:rsidRPr="007D16FF">
              <w:rPr>
                <w:rFonts w:asciiTheme="minorHAnsi" w:hAnsiTheme="minorHAnsi" w:cstheme="minorHAnsi"/>
                <w:szCs w:val="18"/>
              </w:rPr>
              <w:t>and</w:t>
            </w:r>
            <w:r w:rsidRPr="007D16FF">
              <w:rPr>
                <w:rFonts w:asciiTheme="minorHAnsi" w:hAnsiTheme="minorHAnsi" w:cstheme="minorHAnsi"/>
                <w:szCs w:val="18"/>
              </w:rPr>
              <w:t xml:space="preserve"> M</w:t>
            </w:r>
            <w:r w:rsidR="00682BF1">
              <w:rPr>
                <w:rFonts w:asciiTheme="minorHAnsi" w:hAnsiTheme="minorHAnsi" w:cstheme="minorHAnsi"/>
                <w:szCs w:val="18"/>
              </w:rPr>
              <w:t>LR</w:t>
            </w:r>
            <w:r w:rsidRPr="007D16FF">
              <w:rPr>
                <w:rFonts w:asciiTheme="minorHAnsi" w:hAnsiTheme="minorHAnsi" w:cstheme="minorHAnsi"/>
                <w:szCs w:val="18"/>
              </w:rPr>
              <w:t>A engagements</w:t>
            </w:r>
          </w:p>
        </w:tc>
      </w:tr>
      <w:tr w:rsidR="00DF76BD" w:rsidRPr="007D16FF" w14:paraId="651634A8" w14:textId="77777777" w:rsidTr="00760939">
        <w:tc>
          <w:tcPr>
            <w:tcW w:w="2552" w:type="dxa"/>
            <w:tcBorders>
              <w:top w:val="single" w:sz="4" w:space="0" w:color="161615" w:themeColor="background2" w:themeShade="1A"/>
              <w:bottom w:val="single" w:sz="4" w:space="0" w:color="161615" w:themeColor="background2" w:themeShade="1A"/>
              <w:right w:val="nil"/>
            </w:tcBorders>
          </w:tcPr>
          <w:p w14:paraId="5C112691" w14:textId="06F4EBE8" w:rsidR="00DF76BD" w:rsidRPr="007D16FF" w:rsidRDefault="0038117C" w:rsidP="000E4D6A">
            <w:pPr>
              <w:spacing w:after="120"/>
              <w:rPr>
                <w:rFonts w:asciiTheme="minorHAnsi" w:hAnsiTheme="minorHAnsi" w:cstheme="minorHAnsi"/>
                <w:szCs w:val="18"/>
              </w:rPr>
            </w:pPr>
            <w:r w:rsidRPr="007D16FF">
              <w:rPr>
                <w:rFonts w:asciiTheme="minorHAnsi" w:hAnsiTheme="minorHAnsi" w:cstheme="minorHAnsi"/>
                <w:szCs w:val="18"/>
              </w:rPr>
              <w:t>January 2021</w:t>
            </w:r>
          </w:p>
        </w:tc>
        <w:tc>
          <w:tcPr>
            <w:tcW w:w="6520" w:type="dxa"/>
            <w:tcBorders>
              <w:top w:val="single" w:sz="4" w:space="0" w:color="161615" w:themeColor="background2" w:themeShade="1A"/>
              <w:left w:val="nil"/>
              <w:bottom w:val="single" w:sz="4" w:space="0" w:color="161615" w:themeColor="background2" w:themeShade="1A"/>
            </w:tcBorders>
          </w:tcPr>
          <w:p w14:paraId="190161EB" w14:textId="2322603B" w:rsidR="00DF76BD" w:rsidRPr="007D16FF" w:rsidRDefault="0038117C" w:rsidP="000E4D6A">
            <w:pPr>
              <w:spacing w:after="120"/>
              <w:ind w:left="125"/>
              <w:rPr>
                <w:rFonts w:asciiTheme="minorHAnsi" w:hAnsiTheme="minorHAnsi" w:cstheme="minorHAnsi"/>
                <w:szCs w:val="18"/>
              </w:rPr>
            </w:pPr>
            <w:r w:rsidRPr="007D16FF">
              <w:rPr>
                <w:rFonts w:asciiTheme="minorHAnsi" w:hAnsiTheme="minorHAnsi" w:cstheme="minorHAnsi"/>
                <w:szCs w:val="18"/>
              </w:rPr>
              <w:t xml:space="preserve">MLRA advice on </w:t>
            </w:r>
            <w:r w:rsidR="00815408">
              <w:rPr>
                <w:rFonts w:asciiTheme="minorHAnsi" w:hAnsiTheme="minorHAnsi" w:cstheme="minorHAnsi"/>
                <w:szCs w:val="18"/>
              </w:rPr>
              <w:t xml:space="preserve">proposed Regulations and </w:t>
            </w:r>
            <w:r w:rsidRPr="007D16FF">
              <w:rPr>
                <w:rFonts w:asciiTheme="minorHAnsi" w:hAnsiTheme="minorHAnsi" w:cstheme="minorHAnsi"/>
                <w:szCs w:val="18"/>
              </w:rPr>
              <w:t>draft RIS received</w:t>
            </w:r>
          </w:p>
        </w:tc>
      </w:tr>
      <w:tr w:rsidR="00DF76BD" w:rsidRPr="007D16FF" w14:paraId="56921D83" w14:textId="77777777" w:rsidTr="00760939">
        <w:tc>
          <w:tcPr>
            <w:tcW w:w="2552" w:type="dxa"/>
            <w:tcBorders>
              <w:top w:val="single" w:sz="4" w:space="0" w:color="161615" w:themeColor="background2" w:themeShade="1A"/>
              <w:bottom w:val="single" w:sz="4" w:space="0" w:color="161615" w:themeColor="background2" w:themeShade="1A"/>
              <w:right w:val="nil"/>
            </w:tcBorders>
          </w:tcPr>
          <w:p w14:paraId="1FEF0B64" w14:textId="6D565C26" w:rsidR="00DF76BD" w:rsidRPr="007D16FF" w:rsidRDefault="008A6A36" w:rsidP="000E4D6A">
            <w:pPr>
              <w:spacing w:after="120"/>
              <w:rPr>
                <w:rFonts w:asciiTheme="minorHAnsi" w:hAnsiTheme="minorHAnsi" w:cstheme="minorHAnsi"/>
                <w:szCs w:val="18"/>
              </w:rPr>
            </w:pPr>
            <w:r w:rsidRPr="007D16FF">
              <w:rPr>
                <w:rFonts w:asciiTheme="minorHAnsi" w:hAnsiTheme="minorHAnsi" w:cstheme="minorHAnsi"/>
                <w:szCs w:val="18"/>
              </w:rPr>
              <w:t>April 2021</w:t>
            </w:r>
          </w:p>
        </w:tc>
        <w:tc>
          <w:tcPr>
            <w:tcW w:w="6520" w:type="dxa"/>
            <w:tcBorders>
              <w:top w:val="single" w:sz="4" w:space="0" w:color="161615" w:themeColor="background2" w:themeShade="1A"/>
              <w:left w:val="nil"/>
              <w:bottom w:val="single" w:sz="4" w:space="0" w:color="161615" w:themeColor="background2" w:themeShade="1A"/>
            </w:tcBorders>
          </w:tcPr>
          <w:p w14:paraId="3094C68F" w14:textId="49FC479C" w:rsidR="00DF76BD" w:rsidRPr="007D16FF" w:rsidRDefault="008A6A36" w:rsidP="000E4D6A">
            <w:pPr>
              <w:spacing w:after="120"/>
              <w:ind w:left="125"/>
              <w:rPr>
                <w:rFonts w:asciiTheme="minorHAnsi" w:hAnsiTheme="minorHAnsi" w:cstheme="minorHAnsi"/>
                <w:szCs w:val="18"/>
              </w:rPr>
            </w:pPr>
            <w:r w:rsidRPr="007D16FF">
              <w:rPr>
                <w:rFonts w:asciiTheme="minorHAnsi" w:hAnsiTheme="minorHAnsi" w:cstheme="minorHAnsi"/>
                <w:szCs w:val="18"/>
              </w:rPr>
              <w:t xml:space="preserve">EV briefings </w:t>
            </w:r>
            <w:r w:rsidR="00CF42E5">
              <w:rPr>
                <w:rFonts w:asciiTheme="minorHAnsi" w:hAnsiTheme="minorHAnsi" w:cstheme="minorHAnsi"/>
                <w:szCs w:val="18"/>
              </w:rPr>
              <w:t>and</w:t>
            </w:r>
            <w:r w:rsidRPr="007D16FF">
              <w:rPr>
                <w:rFonts w:asciiTheme="minorHAnsi" w:hAnsiTheme="minorHAnsi" w:cstheme="minorHAnsi"/>
                <w:szCs w:val="18"/>
              </w:rPr>
              <w:t xml:space="preserve"> consultations</w:t>
            </w:r>
          </w:p>
        </w:tc>
      </w:tr>
      <w:tr w:rsidR="00B37B76" w:rsidRPr="007D16FF" w14:paraId="12351C1A" w14:textId="77777777" w:rsidTr="00760939">
        <w:tc>
          <w:tcPr>
            <w:tcW w:w="2552" w:type="dxa"/>
            <w:tcBorders>
              <w:top w:val="single" w:sz="4" w:space="0" w:color="161615" w:themeColor="background2" w:themeShade="1A"/>
              <w:bottom w:val="single" w:sz="4" w:space="0" w:color="161615" w:themeColor="background2" w:themeShade="1A"/>
              <w:right w:val="nil"/>
            </w:tcBorders>
          </w:tcPr>
          <w:p w14:paraId="344A9183" w14:textId="6A9CDC9C" w:rsidR="00B37B76" w:rsidRPr="007D16FF" w:rsidRDefault="00B37B76" w:rsidP="000E4D6A">
            <w:pPr>
              <w:spacing w:after="120"/>
              <w:rPr>
                <w:rFonts w:asciiTheme="minorHAnsi" w:hAnsiTheme="minorHAnsi" w:cstheme="minorHAnsi"/>
                <w:szCs w:val="18"/>
              </w:rPr>
            </w:pPr>
            <w:r w:rsidRPr="007D16FF">
              <w:rPr>
                <w:rFonts w:asciiTheme="minorHAnsi" w:hAnsiTheme="minorHAnsi" w:cstheme="minorHAnsi"/>
                <w:szCs w:val="18"/>
              </w:rPr>
              <w:t xml:space="preserve">May 2021 </w:t>
            </w:r>
            <w:r w:rsidR="002F01D9" w:rsidRPr="007D16FF">
              <w:rPr>
                <w:rFonts w:asciiTheme="minorHAnsi" w:hAnsiTheme="minorHAnsi" w:cstheme="minorHAnsi"/>
                <w:szCs w:val="18"/>
              </w:rPr>
              <w:t>–</w:t>
            </w:r>
            <w:r w:rsidRPr="007D16FF">
              <w:rPr>
                <w:rFonts w:asciiTheme="minorHAnsi" w:hAnsiTheme="minorHAnsi" w:cstheme="minorHAnsi"/>
                <w:szCs w:val="18"/>
              </w:rPr>
              <w:t xml:space="preserve"> January</w:t>
            </w:r>
            <w:r w:rsidR="002F01D9" w:rsidRPr="007D16FF">
              <w:rPr>
                <w:rFonts w:asciiTheme="minorHAnsi" w:hAnsiTheme="minorHAnsi" w:cstheme="minorHAnsi"/>
                <w:szCs w:val="18"/>
              </w:rPr>
              <w:t xml:space="preserve"> 2022</w:t>
            </w:r>
          </w:p>
        </w:tc>
        <w:tc>
          <w:tcPr>
            <w:tcW w:w="6520" w:type="dxa"/>
            <w:tcBorders>
              <w:top w:val="single" w:sz="4" w:space="0" w:color="161615" w:themeColor="background2" w:themeShade="1A"/>
              <w:left w:val="nil"/>
              <w:bottom w:val="single" w:sz="4" w:space="0" w:color="161615" w:themeColor="background2" w:themeShade="1A"/>
            </w:tcBorders>
          </w:tcPr>
          <w:p w14:paraId="2BBD24AF" w14:textId="2E436F21" w:rsidR="00B37B76" w:rsidRPr="007D16FF" w:rsidRDefault="00FC6DBC" w:rsidP="000E4D6A">
            <w:pPr>
              <w:spacing w:after="120"/>
              <w:ind w:left="125"/>
              <w:rPr>
                <w:rFonts w:asciiTheme="minorHAnsi" w:hAnsiTheme="minorHAnsi" w:cstheme="minorHAnsi"/>
                <w:szCs w:val="18"/>
              </w:rPr>
            </w:pPr>
            <w:r w:rsidRPr="007D16FF">
              <w:rPr>
                <w:rFonts w:asciiTheme="minorHAnsi" w:hAnsiTheme="minorHAnsi" w:cstheme="minorHAnsi"/>
                <w:szCs w:val="18"/>
              </w:rPr>
              <w:t>DJPR development of final draft regulations and draft RIS</w:t>
            </w:r>
          </w:p>
        </w:tc>
      </w:tr>
      <w:tr w:rsidR="00175019" w:rsidRPr="007D16FF" w14:paraId="3251A77F" w14:textId="77777777" w:rsidTr="00760939">
        <w:tc>
          <w:tcPr>
            <w:tcW w:w="2552" w:type="dxa"/>
            <w:tcBorders>
              <w:top w:val="single" w:sz="4" w:space="0" w:color="161615" w:themeColor="background2" w:themeShade="1A"/>
              <w:bottom w:val="single" w:sz="4" w:space="0" w:color="161615" w:themeColor="background2" w:themeShade="1A"/>
              <w:right w:val="nil"/>
            </w:tcBorders>
          </w:tcPr>
          <w:p w14:paraId="018BC700" w14:textId="2CB63604" w:rsidR="00175019" w:rsidRPr="007D16FF" w:rsidRDefault="00E96A8B" w:rsidP="000E4D6A">
            <w:pPr>
              <w:spacing w:after="120"/>
              <w:rPr>
                <w:rFonts w:asciiTheme="minorHAnsi" w:hAnsiTheme="minorHAnsi" w:cstheme="minorHAnsi"/>
                <w:szCs w:val="18"/>
              </w:rPr>
            </w:pPr>
            <w:r w:rsidRPr="007D16FF">
              <w:rPr>
                <w:rFonts w:asciiTheme="minorHAnsi" w:hAnsiTheme="minorHAnsi" w:cstheme="minorHAnsi"/>
                <w:szCs w:val="18"/>
              </w:rPr>
              <w:t>October 2021</w:t>
            </w:r>
          </w:p>
        </w:tc>
        <w:tc>
          <w:tcPr>
            <w:tcW w:w="6520" w:type="dxa"/>
            <w:tcBorders>
              <w:top w:val="single" w:sz="4" w:space="0" w:color="161615" w:themeColor="background2" w:themeShade="1A"/>
              <w:left w:val="nil"/>
              <w:bottom w:val="single" w:sz="4" w:space="0" w:color="161615" w:themeColor="background2" w:themeShade="1A"/>
            </w:tcBorders>
          </w:tcPr>
          <w:p w14:paraId="6A5DFA21" w14:textId="6D44E47D" w:rsidR="00175019" w:rsidRPr="007D16FF" w:rsidRDefault="00911AA7" w:rsidP="000E4D6A">
            <w:pPr>
              <w:spacing w:after="120"/>
              <w:ind w:left="125"/>
              <w:rPr>
                <w:rFonts w:asciiTheme="minorHAnsi" w:hAnsiTheme="minorHAnsi" w:cstheme="minorHAnsi"/>
                <w:szCs w:val="18"/>
              </w:rPr>
            </w:pPr>
            <w:r w:rsidRPr="007D16FF">
              <w:rPr>
                <w:rFonts w:asciiTheme="minorHAnsi" w:hAnsiTheme="minorHAnsi" w:cstheme="minorHAnsi"/>
                <w:szCs w:val="18"/>
              </w:rPr>
              <w:t>ERR consultations on rehabilitation requirements</w:t>
            </w:r>
          </w:p>
        </w:tc>
      </w:tr>
      <w:tr w:rsidR="00175019" w:rsidRPr="007D16FF" w14:paraId="2C58A42C" w14:textId="77777777" w:rsidTr="00760939">
        <w:tc>
          <w:tcPr>
            <w:tcW w:w="2552" w:type="dxa"/>
            <w:tcBorders>
              <w:top w:val="single" w:sz="4" w:space="0" w:color="161615" w:themeColor="background2" w:themeShade="1A"/>
              <w:bottom w:val="single" w:sz="4" w:space="0" w:color="161615" w:themeColor="background2" w:themeShade="1A"/>
              <w:right w:val="nil"/>
            </w:tcBorders>
          </w:tcPr>
          <w:p w14:paraId="01937A79" w14:textId="73009729" w:rsidR="00175019" w:rsidRPr="007D16FF" w:rsidRDefault="00B76B3E" w:rsidP="000E4D6A">
            <w:pPr>
              <w:spacing w:after="120"/>
              <w:rPr>
                <w:rFonts w:asciiTheme="minorHAnsi" w:hAnsiTheme="minorHAnsi" w:cstheme="minorHAnsi"/>
                <w:szCs w:val="18"/>
              </w:rPr>
            </w:pPr>
            <w:r w:rsidRPr="007D16FF">
              <w:rPr>
                <w:rFonts w:asciiTheme="minorHAnsi" w:hAnsiTheme="minorHAnsi" w:cstheme="minorHAnsi"/>
                <w:szCs w:val="18"/>
              </w:rPr>
              <w:t>February 2022</w:t>
            </w:r>
          </w:p>
        </w:tc>
        <w:tc>
          <w:tcPr>
            <w:tcW w:w="6520" w:type="dxa"/>
            <w:tcBorders>
              <w:top w:val="single" w:sz="4" w:space="0" w:color="161615" w:themeColor="background2" w:themeShade="1A"/>
              <w:left w:val="nil"/>
              <w:bottom w:val="single" w:sz="4" w:space="0" w:color="161615" w:themeColor="background2" w:themeShade="1A"/>
            </w:tcBorders>
          </w:tcPr>
          <w:p w14:paraId="11CE2470" w14:textId="6E1F25C8" w:rsidR="00175019" w:rsidRPr="007D16FF" w:rsidRDefault="008844B8" w:rsidP="000E4D6A">
            <w:pPr>
              <w:spacing w:after="120"/>
              <w:ind w:left="125"/>
              <w:rPr>
                <w:rFonts w:asciiTheme="minorHAnsi" w:hAnsiTheme="minorHAnsi" w:cstheme="minorHAnsi"/>
                <w:szCs w:val="18"/>
              </w:rPr>
            </w:pPr>
            <w:r w:rsidRPr="007D16FF">
              <w:rPr>
                <w:rFonts w:asciiTheme="minorHAnsi" w:hAnsiTheme="minorHAnsi" w:cstheme="minorHAnsi"/>
                <w:szCs w:val="18"/>
              </w:rPr>
              <w:t xml:space="preserve">Second-round of </w:t>
            </w:r>
            <w:r w:rsidR="00C744E1" w:rsidRPr="007D16FF">
              <w:rPr>
                <w:rFonts w:asciiTheme="minorHAnsi" w:hAnsiTheme="minorHAnsi" w:cstheme="minorHAnsi"/>
                <w:szCs w:val="18"/>
              </w:rPr>
              <w:t>Licensee pre-RIS consultation workshops</w:t>
            </w:r>
          </w:p>
        </w:tc>
      </w:tr>
      <w:tr w:rsidR="0040111D" w:rsidRPr="007D16FF" w14:paraId="1ABFDB48" w14:textId="77777777" w:rsidTr="00760939">
        <w:tc>
          <w:tcPr>
            <w:tcW w:w="2552" w:type="dxa"/>
            <w:tcBorders>
              <w:top w:val="single" w:sz="4" w:space="0" w:color="161615" w:themeColor="background2" w:themeShade="1A"/>
              <w:bottom w:val="single" w:sz="4" w:space="0" w:color="161615" w:themeColor="background2" w:themeShade="1A"/>
              <w:right w:val="nil"/>
            </w:tcBorders>
          </w:tcPr>
          <w:p w14:paraId="72655B4C" w14:textId="2813C7E2" w:rsidR="0040111D" w:rsidRPr="007D16FF" w:rsidRDefault="0040111D" w:rsidP="000E4D6A">
            <w:pPr>
              <w:spacing w:after="120"/>
              <w:rPr>
                <w:rFonts w:asciiTheme="minorHAnsi" w:hAnsiTheme="minorHAnsi" w:cstheme="minorHAnsi"/>
                <w:szCs w:val="18"/>
              </w:rPr>
            </w:pPr>
            <w:r w:rsidRPr="007D16FF">
              <w:rPr>
                <w:rFonts w:asciiTheme="minorHAnsi" w:hAnsiTheme="minorHAnsi" w:cstheme="minorHAnsi"/>
                <w:szCs w:val="18"/>
              </w:rPr>
              <w:t xml:space="preserve">February – </w:t>
            </w:r>
            <w:r w:rsidR="00CB76E6">
              <w:rPr>
                <w:rFonts w:asciiTheme="minorHAnsi" w:hAnsiTheme="minorHAnsi" w:cstheme="minorHAnsi"/>
                <w:szCs w:val="18"/>
              </w:rPr>
              <w:t>August 2022</w:t>
            </w:r>
          </w:p>
        </w:tc>
        <w:tc>
          <w:tcPr>
            <w:tcW w:w="6520" w:type="dxa"/>
            <w:tcBorders>
              <w:top w:val="single" w:sz="4" w:space="0" w:color="161615" w:themeColor="background2" w:themeShade="1A"/>
              <w:left w:val="nil"/>
              <w:bottom w:val="single" w:sz="4" w:space="0" w:color="161615" w:themeColor="background2" w:themeShade="1A"/>
            </w:tcBorders>
          </w:tcPr>
          <w:p w14:paraId="356C6733" w14:textId="41916B06" w:rsidR="0040111D" w:rsidRPr="007D16FF" w:rsidRDefault="0040111D" w:rsidP="000E4D6A">
            <w:pPr>
              <w:spacing w:after="120"/>
              <w:ind w:left="125"/>
              <w:rPr>
                <w:rFonts w:asciiTheme="minorHAnsi" w:hAnsiTheme="minorHAnsi" w:cstheme="minorHAnsi"/>
                <w:szCs w:val="18"/>
              </w:rPr>
            </w:pPr>
            <w:r w:rsidRPr="007D16FF">
              <w:rPr>
                <w:rFonts w:asciiTheme="minorHAnsi" w:hAnsiTheme="minorHAnsi" w:cstheme="minorHAnsi"/>
                <w:szCs w:val="18"/>
              </w:rPr>
              <w:t>DELWP consultations</w:t>
            </w:r>
            <w:r w:rsidR="00295D39">
              <w:rPr>
                <w:rFonts w:asciiTheme="minorHAnsi" w:hAnsiTheme="minorHAnsi" w:cstheme="minorHAnsi"/>
                <w:szCs w:val="18"/>
              </w:rPr>
              <w:t xml:space="preserve"> on </w:t>
            </w:r>
            <w:r w:rsidR="00815408">
              <w:rPr>
                <w:rFonts w:asciiTheme="minorHAnsi" w:hAnsiTheme="minorHAnsi" w:cstheme="minorHAnsi"/>
                <w:szCs w:val="18"/>
              </w:rPr>
              <w:t xml:space="preserve">proposed Regulations and </w:t>
            </w:r>
            <w:r w:rsidR="007B094F">
              <w:rPr>
                <w:rFonts w:asciiTheme="minorHAnsi" w:hAnsiTheme="minorHAnsi" w:cstheme="minorHAnsi"/>
                <w:szCs w:val="18"/>
              </w:rPr>
              <w:t xml:space="preserve">draft </w:t>
            </w:r>
            <w:r w:rsidR="00815408">
              <w:rPr>
                <w:rFonts w:asciiTheme="minorHAnsi" w:hAnsiTheme="minorHAnsi" w:cstheme="minorHAnsi"/>
                <w:szCs w:val="18"/>
              </w:rPr>
              <w:t>RIS</w:t>
            </w:r>
          </w:p>
        </w:tc>
      </w:tr>
      <w:tr w:rsidR="00175019" w:rsidRPr="007D16FF" w14:paraId="3EF700BD" w14:textId="77777777" w:rsidTr="00760939">
        <w:tc>
          <w:tcPr>
            <w:tcW w:w="2552" w:type="dxa"/>
            <w:tcBorders>
              <w:top w:val="single" w:sz="4" w:space="0" w:color="161615" w:themeColor="background2" w:themeShade="1A"/>
              <w:bottom w:val="single" w:sz="4" w:space="0" w:color="161615" w:themeColor="background2" w:themeShade="1A"/>
              <w:right w:val="nil"/>
            </w:tcBorders>
          </w:tcPr>
          <w:p w14:paraId="5F9EF5E6" w14:textId="3E8DA267" w:rsidR="00175019" w:rsidRPr="007D16FF" w:rsidRDefault="00BA59E2" w:rsidP="000E4D6A">
            <w:pPr>
              <w:spacing w:after="120"/>
              <w:rPr>
                <w:rFonts w:asciiTheme="minorHAnsi" w:hAnsiTheme="minorHAnsi" w:cstheme="minorHAnsi"/>
                <w:szCs w:val="18"/>
              </w:rPr>
            </w:pPr>
            <w:r w:rsidRPr="007D16FF">
              <w:rPr>
                <w:rFonts w:asciiTheme="minorHAnsi" w:hAnsiTheme="minorHAnsi" w:cstheme="minorHAnsi"/>
                <w:szCs w:val="18"/>
              </w:rPr>
              <w:t>March 2022</w:t>
            </w:r>
          </w:p>
        </w:tc>
        <w:tc>
          <w:tcPr>
            <w:tcW w:w="6520" w:type="dxa"/>
            <w:tcBorders>
              <w:top w:val="single" w:sz="4" w:space="0" w:color="161615" w:themeColor="background2" w:themeShade="1A"/>
              <w:left w:val="nil"/>
              <w:bottom w:val="single" w:sz="4" w:space="0" w:color="161615" w:themeColor="background2" w:themeShade="1A"/>
            </w:tcBorders>
          </w:tcPr>
          <w:p w14:paraId="07E5D876" w14:textId="77777777" w:rsidR="00175019" w:rsidRPr="007D16FF" w:rsidRDefault="008844B8" w:rsidP="000E4D6A">
            <w:pPr>
              <w:spacing w:after="120"/>
              <w:ind w:left="123"/>
              <w:rPr>
                <w:rFonts w:asciiTheme="minorHAnsi" w:hAnsiTheme="minorHAnsi" w:cstheme="minorHAnsi"/>
                <w:szCs w:val="18"/>
              </w:rPr>
            </w:pPr>
            <w:r w:rsidRPr="007D16FF">
              <w:rPr>
                <w:rFonts w:asciiTheme="minorHAnsi" w:hAnsiTheme="minorHAnsi" w:cstheme="minorHAnsi"/>
                <w:szCs w:val="18"/>
              </w:rPr>
              <w:t>Second-round of Licensee Impact Assessment submissions collected</w:t>
            </w:r>
          </w:p>
          <w:p w14:paraId="704C6CCE" w14:textId="09CC231F" w:rsidR="00167DB9" w:rsidRPr="007D16FF" w:rsidRDefault="00167DB9" w:rsidP="000E4D6A">
            <w:pPr>
              <w:spacing w:after="120"/>
              <w:ind w:left="125"/>
              <w:rPr>
                <w:rFonts w:asciiTheme="minorHAnsi" w:hAnsiTheme="minorHAnsi" w:cstheme="minorHAnsi"/>
                <w:szCs w:val="18"/>
              </w:rPr>
            </w:pPr>
            <w:r w:rsidRPr="007D16FF">
              <w:rPr>
                <w:rFonts w:asciiTheme="minorHAnsi" w:hAnsiTheme="minorHAnsi" w:cstheme="minorHAnsi"/>
                <w:szCs w:val="18"/>
              </w:rPr>
              <w:t>DTF, DPC</w:t>
            </w:r>
            <w:r w:rsidR="00AC4708" w:rsidRPr="007D16FF">
              <w:rPr>
                <w:rFonts w:asciiTheme="minorHAnsi" w:hAnsiTheme="minorHAnsi" w:cstheme="minorHAnsi"/>
                <w:szCs w:val="18"/>
              </w:rPr>
              <w:t xml:space="preserve"> and </w:t>
            </w:r>
            <w:r w:rsidRPr="007D16FF">
              <w:rPr>
                <w:rFonts w:asciiTheme="minorHAnsi" w:hAnsiTheme="minorHAnsi" w:cstheme="minorHAnsi"/>
                <w:szCs w:val="18"/>
              </w:rPr>
              <w:t>MLRA consultations</w:t>
            </w:r>
          </w:p>
        </w:tc>
      </w:tr>
      <w:tr w:rsidR="00DC7967" w:rsidRPr="007D16FF" w14:paraId="1F17339A" w14:textId="77777777" w:rsidTr="00760939">
        <w:tc>
          <w:tcPr>
            <w:tcW w:w="2552" w:type="dxa"/>
            <w:tcBorders>
              <w:top w:val="single" w:sz="4" w:space="0" w:color="161615" w:themeColor="background2" w:themeShade="1A"/>
              <w:bottom w:val="single" w:sz="4" w:space="0" w:color="161615" w:themeColor="background2" w:themeShade="1A"/>
              <w:right w:val="nil"/>
            </w:tcBorders>
          </w:tcPr>
          <w:p w14:paraId="0B7B9CA2" w14:textId="47E79CF9" w:rsidR="00DC7967" w:rsidRPr="007D16FF" w:rsidRDefault="00DC7967" w:rsidP="000E4D6A">
            <w:pPr>
              <w:spacing w:after="120"/>
              <w:rPr>
                <w:rFonts w:asciiTheme="minorHAnsi" w:hAnsiTheme="minorHAnsi" w:cstheme="minorHAnsi"/>
                <w:szCs w:val="18"/>
              </w:rPr>
            </w:pPr>
            <w:r>
              <w:rPr>
                <w:rFonts w:asciiTheme="minorHAnsi" w:hAnsiTheme="minorHAnsi" w:cstheme="minorHAnsi"/>
                <w:szCs w:val="18"/>
              </w:rPr>
              <w:t>April 2022</w:t>
            </w:r>
          </w:p>
        </w:tc>
        <w:tc>
          <w:tcPr>
            <w:tcW w:w="6520" w:type="dxa"/>
            <w:tcBorders>
              <w:top w:val="single" w:sz="4" w:space="0" w:color="161615" w:themeColor="background2" w:themeShade="1A"/>
              <w:left w:val="nil"/>
              <w:bottom w:val="single" w:sz="4" w:space="0" w:color="161615" w:themeColor="background2" w:themeShade="1A"/>
            </w:tcBorders>
          </w:tcPr>
          <w:p w14:paraId="2034A7D4" w14:textId="6C559270" w:rsidR="00DC7967" w:rsidRPr="007D16FF" w:rsidRDefault="00DC7967" w:rsidP="000E4D6A">
            <w:pPr>
              <w:spacing w:after="120"/>
              <w:ind w:left="123"/>
              <w:rPr>
                <w:rFonts w:asciiTheme="minorHAnsi" w:hAnsiTheme="minorHAnsi" w:cstheme="minorHAnsi"/>
                <w:szCs w:val="18"/>
              </w:rPr>
            </w:pPr>
            <w:r w:rsidRPr="00DC7967">
              <w:rPr>
                <w:rFonts w:asciiTheme="minorHAnsi" w:hAnsiTheme="minorHAnsi" w:cstheme="minorHAnsi"/>
                <w:szCs w:val="18"/>
              </w:rPr>
              <w:t xml:space="preserve">MLRA advice on </w:t>
            </w:r>
            <w:r w:rsidR="00815408">
              <w:rPr>
                <w:rFonts w:asciiTheme="minorHAnsi" w:hAnsiTheme="minorHAnsi" w:cstheme="minorHAnsi"/>
                <w:szCs w:val="18"/>
              </w:rPr>
              <w:t xml:space="preserve">proposed Regulations and </w:t>
            </w:r>
            <w:r w:rsidRPr="00DC7967">
              <w:rPr>
                <w:rFonts w:asciiTheme="minorHAnsi" w:hAnsiTheme="minorHAnsi" w:cstheme="minorHAnsi"/>
                <w:szCs w:val="18"/>
              </w:rPr>
              <w:t>draft RIS received</w:t>
            </w:r>
          </w:p>
        </w:tc>
      </w:tr>
      <w:tr w:rsidR="00CB76E6" w:rsidRPr="007D16FF" w14:paraId="060E6ABD" w14:textId="77777777" w:rsidTr="00760939">
        <w:tc>
          <w:tcPr>
            <w:tcW w:w="2552" w:type="dxa"/>
            <w:tcBorders>
              <w:top w:val="single" w:sz="4" w:space="0" w:color="161615" w:themeColor="background2" w:themeShade="1A"/>
              <w:bottom w:val="nil"/>
              <w:right w:val="nil"/>
            </w:tcBorders>
          </w:tcPr>
          <w:p w14:paraId="637ED864" w14:textId="0CD11DD2" w:rsidR="00CB76E6" w:rsidRPr="007D16FF" w:rsidRDefault="00CB76E6" w:rsidP="000E4D6A">
            <w:pPr>
              <w:spacing w:after="120"/>
              <w:rPr>
                <w:rFonts w:asciiTheme="minorHAnsi" w:hAnsiTheme="minorHAnsi" w:cstheme="minorHAnsi"/>
                <w:szCs w:val="18"/>
              </w:rPr>
            </w:pPr>
            <w:r>
              <w:rPr>
                <w:rFonts w:asciiTheme="minorHAnsi" w:hAnsiTheme="minorHAnsi" w:cstheme="minorHAnsi"/>
                <w:szCs w:val="18"/>
              </w:rPr>
              <w:t xml:space="preserve">May </w:t>
            </w:r>
            <w:r w:rsidR="003C48DE">
              <w:rPr>
                <w:rFonts w:asciiTheme="minorHAnsi" w:hAnsiTheme="minorHAnsi" w:cstheme="minorHAnsi"/>
                <w:szCs w:val="18"/>
              </w:rPr>
              <w:t>– Ju</w:t>
            </w:r>
            <w:r w:rsidR="003B693C">
              <w:rPr>
                <w:rFonts w:asciiTheme="minorHAnsi" w:hAnsiTheme="minorHAnsi" w:cstheme="minorHAnsi"/>
                <w:szCs w:val="18"/>
              </w:rPr>
              <w:t>ly</w:t>
            </w:r>
            <w:r w:rsidR="003C48DE">
              <w:rPr>
                <w:rFonts w:asciiTheme="minorHAnsi" w:hAnsiTheme="minorHAnsi" w:cstheme="minorHAnsi"/>
                <w:szCs w:val="18"/>
              </w:rPr>
              <w:t xml:space="preserve"> </w:t>
            </w:r>
            <w:r>
              <w:rPr>
                <w:rFonts w:asciiTheme="minorHAnsi" w:hAnsiTheme="minorHAnsi" w:cstheme="minorHAnsi"/>
                <w:szCs w:val="18"/>
              </w:rPr>
              <w:t>2022</w:t>
            </w:r>
          </w:p>
        </w:tc>
        <w:tc>
          <w:tcPr>
            <w:tcW w:w="6520" w:type="dxa"/>
            <w:tcBorders>
              <w:top w:val="single" w:sz="4" w:space="0" w:color="161615" w:themeColor="background2" w:themeShade="1A"/>
              <w:left w:val="nil"/>
              <w:bottom w:val="nil"/>
            </w:tcBorders>
          </w:tcPr>
          <w:p w14:paraId="68837E1A" w14:textId="77777777" w:rsidR="00CB76E6" w:rsidRDefault="00295D39" w:rsidP="000E4D6A">
            <w:pPr>
              <w:spacing w:after="120"/>
              <w:ind w:left="123"/>
              <w:rPr>
                <w:rFonts w:asciiTheme="minorHAnsi" w:hAnsiTheme="minorHAnsi" w:cstheme="minorHAnsi"/>
                <w:szCs w:val="18"/>
              </w:rPr>
            </w:pPr>
            <w:r w:rsidRPr="00295D39">
              <w:rPr>
                <w:rFonts w:asciiTheme="minorHAnsi" w:hAnsiTheme="minorHAnsi" w:cstheme="minorHAnsi"/>
                <w:szCs w:val="18"/>
              </w:rPr>
              <w:t xml:space="preserve">BRV advice on </w:t>
            </w:r>
            <w:r>
              <w:rPr>
                <w:rFonts w:asciiTheme="minorHAnsi" w:hAnsiTheme="minorHAnsi" w:cstheme="minorHAnsi"/>
                <w:szCs w:val="18"/>
              </w:rPr>
              <w:t xml:space="preserve">final </w:t>
            </w:r>
            <w:r w:rsidRPr="00295D39">
              <w:rPr>
                <w:rFonts w:asciiTheme="minorHAnsi" w:hAnsiTheme="minorHAnsi" w:cstheme="minorHAnsi"/>
                <w:szCs w:val="18"/>
              </w:rPr>
              <w:t>draft RIS received</w:t>
            </w:r>
          </w:p>
          <w:p w14:paraId="4F314103" w14:textId="77777777" w:rsidR="00CB7F1E" w:rsidRDefault="00CB7F1E" w:rsidP="000E4D6A">
            <w:pPr>
              <w:spacing w:after="120"/>
              <w:ind w:left="123"/>
              <w:rPr>
                <w:rFonts w:asciiTheme="minorHAnsi" w:hAnsiTheme="minorHAnsi" w:cstheme="minorHAnsi"/>
                <w:szCs w:val="18"/>
              </w:rPr>
            </w:pPr>
            <w:r>
              <w:rPr>
                <w:rFonts w:asciiTheme="minorHAnsi" w:hAnsiTheme="minorHAnsi" w:cstheme="minorHAnsi"/>
                <w:szCs w:val="18"/>
              </w:rPr>
              <w:t>LVMRAC</w:t>
            </w:r>
            <w:r w:rsidR="00551CD2">
              <w:rPr>
                <w:rFonts w:asciiTheme="minorHAnsi" w:hAnsiTheme="minorHAnsi" w:cstheme="minorHAnsi"/>
                <w:szCs w:val="18"/>
              </w:rPr>
              <w:t xml:space="preserve"> briefings on proposed Regulations</w:t>
            </w:r>
            <w:r w:rsidR="007B094F">
              <w:rPr>
                <w:rFonts w:asciiTheme="minorHAnsi" w:hAnsiTheme="minorHAnsi" w:cstheme="minorHAnsi"/>
                <w:szCs w:val="18"/>
              </w:rPr>
              <w:t xml:space="preserve"> and </w:t>
            </w:r>
            <w:r w:rsidR="00551CD2">
              <w:rPr>
                <w:rFonts w:asciiTheme="minorHAnsi" w:hAnsiTheme="minorHAnsi" w:cstheme="minorHAnsi"/>
                <w:szCs w:val="18"/>
              </w:rPr>
              <w:t>RIS</w:t>
            </w:r>
          </w:p>
          <w:p w14:paraId="14406925" w14:textId="0F34D21B" w:rsidR="003C48DE" w:rsidRPr="007D16FF" w:rsidRDefault="003C48DE" w:rsidP="000E4D6A">
            <w:pPr>
              <w:spacing w:after="120"/>
              <w:ind w:left="123"/>
              <w:rPr>
                <w:rFonts w:asciiTheme="minorHAnsi" w:hAnsiTheme="minorHAnsi" w:cstheme="minorHAnsi"/>
                <w:szCs w:val="18"/>
              </w:rPr>
            </w:pPr>
            <w:r>
              <w:rPr>
                <w:rFonts w:asciiTheme="minorHAnsi" w:hAnsiTheme="minorHAnsi" w:cstheme="minorHAnsi"/>
                <w:szCs w:val="18"/>
              </w:rPr>
              <w:t xml:space="preserve">MLRA briefings </w:t>
            </w:r>
            <w:r w:rsidR="003B693C">
              <w:rPr>
                <w:rFonts w:asciiTheme="minorHAnsi" w:hAnsiTheme="minorHAnsi" w:cstheme="minorHAnsi"/>
                <w:szCs w:val="18"/>
              </w:rPr>
              <w:t xml:space="preserve">and consultations </w:t>
            </w:r>
            <w:r>
              <w:rPr>
                <w:rFonts w:asciiTheme="minorHAnsi" w:hAnsiTheme="minorHAnsi" w:cstheme="minorHAnsi"/>
                <w:szCs w:val="18"/>
              </w:rPr>
              <w:t>on proposed Regulations and RIS</w:t>
            </w:r>
          </w:p>
        </w:tc>
      </w:tr>
      <w:tr w:rsidR="00175019" w:rsidRPr="007D16FF" w14:paraId="59BC9BA0" w14:textId="77777777" w:rsidTr="00760939">
        <w:tc>
          <w:tcPr>
            <w:tcW w:w="2552" w:type="dxa"/>
            <w:tcBorders>
              <w:top w:val="single" w:sz="4" w:space="0" w:color="161615" w:themeColor="background2" w:themeShade="1A"/>
              <w:bottom w:val="nil"/>
              <w:right w:val="nil"/>
            </w:tcBorders>
          </w:tcPr>
          <w:p w14:paraId="24E42DB3" w14:textId="0FA951F4" w:rsidR="00175019" w:rsidRPr="007D16FF" w:rsidRDefault="0040111D" w:rsidP="000E4D6A">
            <w:pPr>
              <w:spacing w:after="120"/>
              <w:rPr>
                <w:rFonts w:asciiTheme="minorHAnsi" w:hAnsiTheme="minorHAnsi" w:cstheme="minorHAnsi"/>
                <w:szCs w:val="18"/>
              </w:rPr>
            </w:pPr>
            <w:r w:rsidRPr="007D16FF">
              <w:rPr>
                <w:rFonts w:asciiTheme="minorHAnsi" w:hAnsiTheme="minorHAnsi" w:cstheme="minorHAnsi"/>
                <w:szCs w:val="18"/>
              </w:rPr>
              <w:t>Ju</w:t>
            </w:r>
            <w:r w:rsidR="007D1074">
              <w:rPr>
                <w:rFonts w:asciiTheme="minorHAnsi" w:hAnsiTheme="minorHAnsi" w:cstheme="minorHAnsi"/>
                <w:szCs w:val="18"/>
              </w:rPr>
              <w:t>ly</w:t>
            </w:r>
            <w:r w:rsidRPr="007D16FF">
              <w:rPr>
                <w:rFonts w:asciiTheme="minorHAnsi" w:hAnsiTheme="minorHAnsi" w:cstheme="minorHAnsi"/>
                <w:szCs w:val="18"/>
              </w:rPr>
              <w:t xml:space="preserve"> </w:t>
            </w:r>
            <w:r w:rsidR="009318A9">
              <w:rPr>
                <w:rFonts w:asciiTheme="minorHAnsi" w:hAnsiTheme="minorHAnsi" w:cstheme="minorHAnsi"/>
                <w:szCs w:val="18"/>
              </w:rPr>
              <w:t xml:space="preserve">– August </w:t>
            </w:r>
            <w:r w:rsidR="00AB499D" w:rsidRPr="007D16FF">
              <w:rPr>
                <w:rFonts w:asciiTheme="minorHAnsi" w:hAnsiTheme="minorHAnsi" w:cstheme="minorHAnsi"/>
                <w:szCs w:val="18"/>
              </w:rPr>
              <w:t>2022</w:t>
            </w:r>
          </w:p>
        </w:tc>
        <w:tc>
          <w:tcPr>
            <w:tcW w:w="6520" w:type="dxa"/>
            <w:tcBorders>
              <w:top w:val="single" w:sz="4" w:space="0" w:color="161615" w:themeColor="background2" w:themeShade="1A"/>
              <w:left w:val="nil"/>
              <w:bottom w:val="nil"/>
            </w:tcBorders>
          </w:tcPr>
          <w:p w14:paraId="60B9FA1A" w14:textId="19E802F1" w:rsidR="00175019" w:rsidRPr="007D16FF" w:rsidRDefault="003147EB" w:rsidP="000E4D6A">
            <w:pPr>
              <w:spacing w:after="120"/>
              <w:ind w:left="123"/>
              <w:rPr>
                <w:rFonts w:asciiTheme="minorHAnsi" w:hAnsiTheme="minorHAnsi" w:cstheme="minorHAnsi"/>
                <w:szCs w:val="18"/>
              </w:rPr>
            </w:pPr>
            <w:r w:rsidRPr="007D16FF">
              <w:rPr>
                <w:rFonts w:asciiTheme="minorHAnsi" w:hAnsiTheme="minorHAnsi" w:cstheme="minorHAnsi"/>
                <w:szCs w:val="18"/>
              </w:rPr>
              <w:t>Public consultation on</w:t>
            </w:r>
            <w:r w:rsidR="00682BF1">
              <w:rPr>
                <w:rFonts w:asciiTheme="minorHAnsi" w:hAnsiTheme="minorHAnsi" w:cstheme="minorHAnsi"/>
                <w:szCs w:val="18"/>
              </w:rPr>
              <w:t xml:space="preserve"> the proposed</w:t>
            </w:r>
            <w:r w:rsidRPr="007D16FF">
              <w:rPr>
                <w:rFonts w:asciiTheme="minorHAnsi" w:hAnsiTheme="minorHAnsi" w:cstheme="minorHAnsi"/>
                <w:szCs w:val="18"/>
              </w:rPr>
              <w:t xml:space="preserve"> Regulations and RIS</w:t>
            </w:r>
          </w:p>
        </w:tc>
      </w:tr>
    </w:tbl>
    <w:p w14:paraId="1741F3EB" w14:textId="4B06924E" w:rsidR="00924E36" w:rsidRDefault="00924E36" w:rsidP="006951E6">
      <w:pPr>
        <w:spacing w:before="0" w:after="0"/>
      </w:pPr>
    </w:p>
    <w:p w14:paraId="4B75D33F" w14:textId="77777777" w:rsidR="00E76D11" w:rsidRDefault="006047FC" w:rsidP="006951E6">
      <w:r>
        <w:lastRenderedPageBreak/>
        <w:t xml:space="preserve">A series of workshops with each mine operator </w:t>
      </w:r>
      <w:r w:rsidR="00E76D11">
        <w:t xml:space="preserve">was established </w:t>
      </w:r>
      <w:r>
        <w:t>to discuss the options, and a set of follow-up questions</w:t>
      </w:r>
      <w:r w:rsidR="006C1ADD">
        <w:t xml:space="preserve">. </w:t>
      </w:r>
    </w:p>
    <w:p w14:paraId="04447A56" w14:textId="18BB8500" w:rsidR="00EB2E50" w:rsidRDefault="00E76D11" w:rsidP="006951E6">
      <w:pPr>
        <w:pStyle w:val="dotpoints"/>
        <w:numPr>
          <w:ilvl w:val="0"/>
          <w:numId w:val="0"/>
        </w:numPr>
      </w:pPr>
      <w:r>
        <w:t xml:space="preserve">The first round of </w:t>
      </w:r>
      <w:r w:rsidR="00EB2E50">
        <w:t>p</w:t>
      </w:r>
      <w:r>
        <w:t>re-RIS consultations with licensees involved an invi</w:t>
      </w:r>
      <w:r w:rsidR="00EB2E50">
        <w:t xml:space="preserve">tation to submit formal responses </w:t>
      </w:r>
      <w:r w:rsidR="00F531E8">
        <w:t xml:space="preserve">to </w:t>
      </w:r>
      <w:r w:rsidR="00904AFF">
        <w:t>determine the impacts of the proposed options compared to the base case</w:t>
      </w:r>
      <w:r w:rsidR="00EF5AE4">
        <w:t xml:space="preserve"> covering:</w:t>
      </w:r>
      <w:r w:rsidR="00EB2E50">
        <w:t xml:space="preserve"> </w:t>
      </w:r>
    </w:p>
    <w:p w14:paraId="09F3164E" w14:textId="20B2A699" w:rsidR="00BD0C31" w:rsidRDefault="00BD0C31" w:rsidP="006047FC">
      <w:pPr>
        <w:pStyle w:val="dotpoints"/>
      </w:pPr>
      <w:r>
        <w:t xml:space="preserve">Mine rehabilitation planning </w:t>
      </w:r>
      <w:r w:rsidR="0064059C">
        <w:t>–</w:t>
      </w:r>
      <w:r w:rsidR="00C2003D">
        <w:t xml:space="preserve"> </w:t>
      </w:r>
      <w:r>
        <w:t xml:space="preserve">to understand how </w:t>
      </w:r>
      <w:r w:rsidR="00C2003D">
        <w:t xml:space="preserve">licensees currently undertake this activity, </w:t>
      </w:r>
      <w:r w:rsidR="003D2FED">
        <w:t xml:space="preserve">how information is gathered </w:t>
      </w:r>
      <w:r w:rsidR="002C00A2">
        <w:t>to inform rehabilitation</w:t>
      </w:r>
      <w:r>
        <w:t xml:space="preserve"> planning </w:t>
      </w:r>
      <w:r w:rsidR="005423EF">
        <w:t xml:space="preserve">and frequency of </w:t>
      </w:r>
      <w:r w:rsidR="00DE25CE">
        <w:t>rehabilitation plan reviews</w:t>
      </w:r>
      <w:r w:rsidR="00B175CD">
        <w:t>.</w:t>
      </w:r>
    </w:p>
    <w:p w14:paraId="09DDF77C" w14:textId="42EA2F1C" w:rsidR="00B175CD" w:rsidRDefault="00B175CD" w:rsidP="006047FC">
      <w:pPr>
        <w:pStyle w:val="dotpoints"/>
      </w:pPr>
      <w:r>
        <w:t xml:space="preserve">Declared mine </w:t>
      </w:r>
      <w:r w:rsidR="005A6FE3">
        <w:t>rehabilitation frame</w:t>
      </w:r>
      <w:r w:rsidR="00851F61">
        <w:t xml:space="preserve">work </w:t>
      </w:r>
      <w:r w:rsidR="00432450">
        <w:t>–</w:t>
      </w:r>
      <w:r w:rsidR="00851F61">
        <w:t xml:space="preserve"> </w:t>
      </w:r>
      <w:r w:rsidR="002B7569" w:rsidRPr="002B7569">
        <w:t>to understand additional cost</w:t>
      </w:r>
      <w:r w:rsidR="0030550B">
        <w:t>s</w:t>
      </w:r>
      <w:r w:rsidR="002B7569" w:rsidRPr="002B7569">
        <w:t>/effort to prepare plans that meet the new requirements for declared mines and how rehabilitation planning would differ between closure criteria set against principles and objectives as opposed to set land use.</w:t>
      </w:r>
      <w:r w:rsidR="00432450">
        <w:t xml:space="preserve"> </w:t>
      </w:r>
    </w:p>
    <w:p w14:paraId="7EDA6E83" w14:textId="715F877A" w:rsidR="003E0257" w:rsidRDefault="000A3907" w:rsidP="006047FC">
      <w:pPr>
        <w:pStyle w:val="dotpoints"/>
      </w:pPr>
      <w:r>
        <w:t>An iterative approach</w:t>
      </w:r>
      <w:r w:rsidR="00040268">
        <w:t xml:space="preserve"> </w:t>
      </w:r>
      <w:r w:rsidR="00757FA5">
        <w:t>–</w:t>
      </w:r>
      <w:r w:rsidR="00CA3F2E">
        <w:t xml:space="preserve"> </w:t>
      </w:r>
      <w:r w:rsidR="00CA3F2E" w:rsidRPr="00CA3F2E">
        <w:t xml:space="preserve">to </w:t>
      </w:r>
      <w:r w:rsidR="00655840">
        <w:t>characterise</w:t>
      </w:r>
      <w:r w:rsidR="00655840" w:rsidRPr="00CA3F2E">
        <w:t xml:space="preserve"> </w:t>
      </w:r>
      <w:r w:rsidR="00CA3F2E" w:rsidRPr="00CA3F2E">
        <w:t xml:space="preserve">how </w:t>
      </w:r>
      <w:r w:rsidR="00757FA5">
        <w:t xml:space="preserve">the </w:t>
      </w:r>
      <w:r w:rsidR="00CA3F2E" w:rsidRPr="00CA3F2E">
        <w:t>approach to rehabilitation panning would be better or worse than what is currently required of operators and its impacts on the costs and efforts currently associated with rehabilitation planning.</w:t>
      </w:r>
    </w:p>
    <w:p w14:paraId="58C06568" w14:textId="7DBC7289" w:rsidR="0066541E" w:rsidRDefault="0066541E" w:rsidP="0066541E">
      <w:pPr>
        <w:pStyle w:val="dotpoints"/>
      </w:pPr>
      <w:r w:rsidRPr="0066541E">
        <w:t xml:space="preserve">Applying for </w:t>
      </w:r>
      <w:r w:rsidR="00A96F3E">
        <w:t>p</w:t>
      </w:r>
      <w:r w:rsidRPr="0066541E">
        <w:t xml:space="preserve">lan </w:t>
      </w:r>
      <w:r w:rsidR="00A96F3E">
        <w:t>a</w:t>
      </w:r>
      <w:r w:rsidRPr="0066541E">
        <w:t xml:space="preserve">pproval and </w:t>
      </w:r>
      <w:r w:rsidR="00A96F3E">
        <w:t>c</w:t>
      </w:r>
      <w:r w:rsidRPr="0066541E">
        <w:t xml:space="preserve">losure </w:t>
      </w:r>
      <w:r w:rsidR="00A96F3E">
        <w:t>d</w:t>
      </w:r>
      <w:r w:rsidRPr="0066541E">
        <w:t xml:space="preserve">etermination </w:t>
      </w:r>
      <w:r>
        <w:t>–</w:t>
      </w:r>
      <w:r w:rsidRPr="0066541E">
        <w:t xml:space="preserve"> to </w:t>
      </w:r>
      <w:r w:rsidR="0016343A">
        <w:t>recognise</w:t>
      </w:r>
      <w:r w:rsidRPr="0066541E">
        <w:t xml:space="preserve"> the impacts of different requirements at the plan approval stage on the costs and efforts of mine closure views on the EES process</w:t>
      </w:r>
      <w:r>
        <w:t>.</w:t>
      </w:r>
    </w:p>
    <w:p w14:paraId="3754D24D" w14:textId="05295A87" w:rsidR="0016343A" w:rsidRDefault="00FC5E91" w:rsidP="00ED0CCC">
      <w:pPr>
        <w:pStyle w:val="dotpoints"/>
      </w:pPr>
      <w:r>
        <w:t>Additional</w:t>
      </w:r>
      <w:r w:rsidR="00ED0CCC" w:rsidRPr="00ED0CCC">
        <w:t xml:space="preserve"> reporting activity </w:t>
      </w:r>
      <w:r w:rsidR="001A782D">
        <w:t>–</w:t>
      </w:r>
      <w:r w:rsidR="00ED0CCC" w:rsidRPr="00ED0CCC">
        <w:t xml:space="preserve"> to understand the impact of annual reporting on the costs and efforts associated with rehabilitation reporting.</w:t>
      </w:r>
    </w:p>
    <w:p w14:paraId="48D68EDD" w14:textId="52A49262" w:rsidR="00A81778" w:rsidRDefault="000655BF" w:rsidP="006951E6">
      <w:pPr>
        <w:pStyle w:val="dotpoints"/>
        <w:numPr>
          <w:ilvl w:val="0"/>
          <w:numId w:val="0"/>
        </w:numPr>
      </w:pPr>
      <w:r>
        <w:t xml:space="preserve">Following revisions to the </w:t>
      </w:r>
      <w:r w:rsidR="006D027C">
        <w:t>proposed Regulations</w:t>
      </w:r>
      <w:r>
        <w:t xml:space="preserve">, licensees and </w:t>
      </w:r>
      <w:r w:rsidR="00013B55">
        <w:t xml:space="preserve">other areas of government </w:t>
      </w:r>
      <w:r>
        <w:t xml:space="preserve">were consulted in a second round of pre-RIS consultations </w:t>
      </w:r>
      <w:r w:rsidR="004965AD">
        <w:t xml:space="preserve">from </w:t>
      </w:r>
      <w:r w:rsidR="00271A99">
        <w:t xml:space="preserve">February </w:t>
      </w:r>
      <w:r w:rsidR="00013B55">
        <w:t>to</w:t>
      </w:r>
      <w:r w:rsidR="00271A99">
        <w:t xml:space="preserve"> </w:t>
      </w:r>
      <w:r w:rsidR="009A1E76">
        <w:t>May</w:t>
      </w:r>
      <w:r w:rsidR="00271A99">
        <w:t xml:space="preserve"> 2022. Licensee consultations in the second round focussed on </w:t>
      </w:r>
      <w:r w:rsidR="009A1E76">
        <w:t xml:space="preserve">operationalisation of </w:t>
      </w:r>
      <w:r w:rsidR="00DF1977">
        <w:t xml:space="preserve">the </w:t>
      </w:r>
      <w:r w:rsidR="009A1E76">
        <w:t>proposed R</w:t>
      </w:r>
      <w:r w:rsidR="00DF1977">
        <w:t xml:space="preserve">egulations </w:t>
      </w:r>
      <w:r w:rsidR="00186A5B">
        <w:t>and determining whether any impact</w:t>
      </w:r>
      <w:r w:rsidR="00181B72">
        <w:t>s</w:t>
      </w:r>
      <w:r w:rsidR="00186A5B">
        <w:t xml:space="preserve"> had changed since the 2020 consultation</w:t>
      </w:r>
      <w:r w:rsidR="00271A99">
        <w:t>.</w:t>
      </w:r>
    </w:p>
    <w:p w14:paraId="16825F37" w14:textId="034386E6" w:rsidR="00741567" w:rsidRDefault="002730B5" w:rsidP="006951E6">
      <w:pPr>
        <w:pStyle w:val="dotpoints"/>
        <w:numPr>
          <w:ilvl w:val="0"/>
          <w:numId w:val="0"/>
        </w:numPr>
      </w:pPr>
      <w:r>
        <w:t xml:space="preserve">Prior to the announcement of public consultation, </w:t>
      </w:r>
      <w:r w:rsidR="004E50B4">
        <w:t>the department consulted affected parties and</w:t>
      </w:r>
      <w:r w:rsidR="003C5C88">
        <w:t xml:space="preserve"> other areas of government to further understand potential industry impacts. Consulted parties included:</w:t>
      </w:r>
    </w:p>
    <w:p w14:paraId="31E4DD32" w14:textId="2F105AA0" w:rsidR="00A62F7D" w:rsidRDefault="00A62F7D" w:rsidP="003C5C88">
      <w:pPr>
        <w:pStyle w:val="dotpoints"/>
      </w:pPr>
      <w:r>
        <w:t xml:space="preserve">The </w:t>
      </w:r>
      <w:r w:rsidR="00DB66B9" w:rsidRPr="003C5C88">
        <w:t>Department of Treasury and Finance</w:t>
      </w:r>
      <w:r w:rsidR="00653E86">
        <w:t xml:space="preserve"> (DTF),</w:t>
      </w:r>
    </w:p>
    <w:p w14:paraId="70C53D4B" w14:textId="3BD72043" w:rsidR="00A62F7D" w:rsidRDefault="00A62F7D" w:rsidP="003C5C88">
      <w:pPr>
        <w:pStyle w:val="dotpoints"/>
      </w:pPr>
      <w:r>
        <w:t xml:space="preserve">The </w:t>
      </w:r>
      <w:r w:rsidR="00DB66B9" w:rsidRPr="003C5C88">
        <w:t>Department of Premier and Cabinet</w:t>
      </w:r>
      <w:r w:rsidR="00653E86">
        <w:t xml:space="preserve"> (DPC),</w:t>
      </w:r>
    </w:p>
    <w:p w14:paraId="5D57312F" w14:textId="5305CE1D" w:rsidR="00AE2161" w:rsidRDefault="00A62F7D" w:rsidP="003C5C88">
      <w:pPr>
        <w:pStyle w:val="dotpoints"/>
      </w:pPr>
      <w:r>
        <w:t xml:space="preserve">The </w:t>
      </w:r>
      <w:r w:rsidR="00597F79" w:rsidRPr="003C5C88">
        <w:t>Department of Environment, Land, Water and Planning</w:t>
      </w:r>
      <w:r w:rsidR="00653E86">
        <w:t xml:space="preserve"> (DELWP),</w:t>
      </w:r>
    </w:p>
    <w:p w14:paraId="27CB299C" w14:textId="0E908C53" w:rsidR="00AE2161" w:rsidRDefault="00AE2161" w:rsidP="003C5C88">
      <w:pPr>
        <w:pStyle w:val="dotpoints"/>
      </w:pPr>
      <w:r>
        <w:t xml:space="preserve">The Earth Resources Regulation unit </w:t>
      </w:r>
      <w:r w:rsidR="00653E86">
        <w:t>(ERR)</w:t>
      </w:r>
      <w:r w:rsidR="00B07943">
        <w:t>,</w:t>
      </w:r>
    </w:p>
    <w:p w14:paraId="7D9128F8" w14:textId="04F95BBA" w:rsidR="009D2B3E" w:rsidRDefault="009D2B3E" w:rsidP="003C5C88">
      <w:pPr>
        <w:pStyle w:val="dotpoints"/>
      </w:pPr>
      <w:r>
        <w:t xml:space="preserve">The </w:t>
      </w:r>
      <w:r w:rsidR="0004076A" w:rsidRPr="003C5C88">
        <w:t>Environment Protection Authority Victoria</w:t>
      </w:r>
      <w:r w:rsidR="00745EDA">
        <w:t xml:space="preserve"> (EPA)</w:t>
      </w:r>
      <w:r w:rsidR="0004076A" w:rsidRPr="003C5C88">
        <w:t xml:space="preserve">, </w:t>
      </w:r>
    </w:p>
    <w:p w14:paraId="1D592BA9" w14:textId="54177F86" w:rsidR="00990CB4" w:rsidRDefault="009D2B3E" w:rsidP="003C5C88">
      <w:pPr>
        <w:pStyle w:val="dotpoints"/>
      </w:pPr>
      <w:r>
        <w:t>T</w:t>
      </w:r>
      <w:r w:rsidR="002C2E01" w:rsidRPr="003C5C88">
        <w:t>he Mine Land Rehabilitation Authority</w:t>
      </w:r>
      <w:r w:rsidR="004E5BD1">
        <w:t xml:space="preserve"> (MLRA)</w:t>
      </w:r>
      <w:r w:rsidR="00607611">
        <w:t>,</w:t>
      </w:r>
    </w:p>
    <w:p w14:paraId="3FB62DFB" w14:textId="117DCA11" w:rsidR="00733A95" w:rsidRDefault="00990CB4" w:rsidP="00C063ED">
      <w:pPr>
        <w:pStyle w:val="dotpoints"/>
      </w:pPr>
      <w:r>
        <w:t>T</w:t>
      </w:r>
      <w:r w:rsidR="00024F18" w:rsidRPr="003C5C88">
        <w:t xml:space="preserve">he </w:t>
      </w:r>
      <w:r w:rsidR="00240879" w:rsidRPr="003C5C88">
        <w:t>Latrobe Valley</w:t>
      </w:r>
      <w:r w:rsidR="00C063ED" w:rsidRPr="00C063ED">
        <w:t xml:space="preserve"> Regional Rehabilitation </w:t>
      </w:r>
      <w:r w:rsidR="00240879" w:rsidRPr="003C5C88">
        <w:t>Authority</w:t>
      </w:r>
      <w:r w:rsidR="00607611">
        <w:t>,</w:t>
      </w:r>
    </w:p>
    <w:p w14:paraId="19F5FC05" w14:textId="7B438818" w:rsidR="00733A95" w:rsidRDefault="00733A95" w:rsidP="00C063ED">
      <w:pPr>
        <w:pStyle w:val="dotpoints"/>
      </w:pPr>
      <w:r>
        <w:t>T</w:t>
      </w:r>
      <w:r w:rsidR="0019791C" w:rsidRPr="003C5C88">
        <w:t xml:space="preserve">he </w:t>
      </w:r>
      <w:r w:rsidR="00B86746" w:rsidRPr="003C5C88">
        <w:t>Latrobe Valley Mine Rehabilitation Advisory Committee</w:t>
      </w:r>
      <w:r w:rsidR="00CC31FA">
        <w:t xml:space="preserve"> (LVMRAC)</w:t>
      </w:r>
      <w:r w:rsidR="00607611">
        <w:t>,</w:t>
      </w:r>
    </w:p>
    <w:p w14:paraId="51B3968D" w14:textId="77777777" w:rsidR="00607611" w:rsidRDefault="00843FF0" w:rsidP="00C063ED">
      <w:pPr>
        <w:pStyle w:val="dotpoints"/>
      </w:pPr>
      <w:r w:rsidRPr="003C5C88">
        <w:t xml:space="preserve">Latrobe City Council, and </w:t>
      </w:r>
    </w:p>
    <w:p w14:paraId="6D95DBB3" w14:textId="047EE932" w:rsidR="00607611" w:rsidRDefault="00843FF0" w:rsidP="00C063ED">
      <w:pPr>
        <w:pStyle w:val="dotpoints"/>
      </w:pPr>
      <w:r w:rsidRPr="003C5C88">
        <w:t xml:space="preserve">LVRRS </w:t>
      </w:r>
      <w:r w:rsidR="00277AF4">
        <w:t>W</w:t>
      </w:r>
      <w:r w:rsidRPr="003C5C88">
        <w:t xml:space="preserve">orking </w:t>
      </w:r>
      <w:r w:rsidR="00277AF4">
        <w:t>G</w:t>
      </w:r>
      <w:r w:rsidRPr="003C5C88">
        <w:t>roup</w:t>
      </w:r>
      <w:r w:rsidR="00277AF4">
        <w:t xml:space="preserve"> members.</w:t>
      </w:r>
    </w:p>
    <w:p w14:paraId="427DF7E7" w14:textId="14F187AB" w:rsidR="006047FC" w:rsidRDefault="006657E1" w:rsidP="00607611">
      <w:pPr>
        <w:pStyle w:val="dotpoints"/>
        <w:numPr>
          <w:ilvl w:val="0"/>
          <w:numId w:val="0"/>
        </w:numPr>
      </w:pPr>
      <w:r>
        <w:t xml:space="preserve">The Victorian Commissioner for </w:t>
      </w:r>
      <w:r w:rsidR="005B6261" w:rsidRPr="003C5C88">
        <w:t xml:space="preserve">Better Regulation </w:t>
      </w:r>
      <w:r w:rsidR="00B94FE3">
        <w:t xml:space="preserve">(BRV) </w:t>
      </w:r>
      <w:r>
        <w:t>w</w:t>
      </w:r>
      <w:r w:rsidR="004965AD">
        <w:t>as</w:t>
      </w:r>
      <w:r w:rsidR="00F0156F" w:rsidRPr="003C5C88">
        <w:t xml:space="preserve"> consulted </w:t>
      </w:r>
      <w:r w:rsidR="00BB2850" w:rsidRPr="003C5C88">
        <w:t>for advice</w:t>
      </w:r>
      <w:r w:rsidR="00E45B51" w:rsidRPr="003C5C88">
        <w:t xml:space="preserve"> </w:t>
      </w:r>
      <w:r w:rsidR="005B6261" w:rsidRPr="003C5C88">
        <w:t xml:space="preserve">and </w:t>
      </w:r>
      <w:r w:rsidR="00BB2850" w:rsidRPr="003C5C88">
        <w:t xml:space="preserve">feedback while being </w:t>
      </w:r>
      <w:r w:rsidR="005B6261" w:rsidRPr="003C5C88">
        <w:t xml:space="preserve">kept informed </w:t>
      </w:r>
      <w:r w:rsidR="009F5E8E" w:rsidRPr="003C5C88">
        <w:t xml:space="preserve">of </w:t>
      </w:r>
      <w:r w:rsidR="00E45B51" w:rsidRPr="003C5C88">
        <w:t xml:space="preserve">key </w:t>
      </w:r>
      <w:r w:rsidR="00497894" w:rsidRPr="003C5C88">
        <w:t xml:space="preserve">changes </w:t>
      </w:r>
      <w:r w:rsidR="00C60AE4" w:rsidRPr="003C5C88">
        <w:t>throughout</w:t>
      </w:r>
      <w:r w:rsidR="00316ACB" w:rsidRPr="003C5C88">
        <w:t xml:space="preserve"> development</w:t>
      </w:r>
      <w:r w:rsidR="00C60AE4" w:rsidRPr="003C5C88">
        <w:t xml:space="preserve"> of the </w:t>
      </w:r>
      <w:r w:rsidR="00316ACB" w:rsidRPr="003C5C88">
        <w:t>RIS</w:t>
      </w:r>
      <w:r w:rsidR="0012742F">
        <w:t xml:space="preserve"> from July 2020 to April 2022.</w:t>
      </w:r>
    </w:p>
    <w:p w14:paraId="5E932972" w14:textId="77777777" w:rsidR="009801A0" w:rsidRDefault="009801A0" w:rsidP="006951E6"/>
    <w:p w14:paraId="2B7F854A" w14:textId="77777777" w:rsidR="00170EDD" w:rsidRDefault="00170EDD">
      <w:pPr>
        <w:spacing w:before="0" w:line="276" w:lineRule="auto"/>
        <w:rPr>
          <w:b/>
          <w:bCs/>
          <w:color w:val="201547"/>
          <w:sz w:val="36"/>
          <w:szCs w:val="32"/>
        </w:rPr>
      </w:pPr>
      <w:r>
        <w:br w:type="page"/>
      </w:r>
    </w:p>
    <w:p w14:paraId="71390C2A" w14:textId="12388FDE" w:rsidR="009219CD" w:rsidRPr="009219CD" w:rsidRDefault="009219CD" w:rsidP="009219CD">
      <w:pPr>
        <w:pStyle w:val="Heading1"/>
        <w:numPr>
          <w:ilvl w:val="0"/>
          <w:numId w:val="0"/>
        </w:numPr>
      </w:pPr>
      <w:bookmarkStart w:id="429" w:name="_Ref101819339"/>
      <w:bookmarkStart w:id="430" w:name="_Ref101819345"/>
      <w:bookmarkStart w:id="431" w:name="_Ref101819354"/>
      <w:bookmarkStart w:id="432" w:name="_Ref101819395"/>
      <w:bookmarkStart w:id="433" w:name="_Toc104217736"/>
      <w:r>
        <w:lastRenderedPageBreak/>
        <w:t xml:space="preserve">Appendix </w:t>
      </w:r>
      <w:r w:rsidR="009801A0">
        <w:t>B</w:t>
      </w:r>
      <w:r>
        <w:t>: Rehabilitation planning in other jurisdictions</w:t>
      </w:r>
      <w:bookmarkEnd w:id="429"/>
      <w:bookmarkEnd w:id="430"/>
      <w:bookmarkEnd w:id="431"/>
      <w:bookmarkEnd w:id="432"/>
      <w:bookmarkEnd w:id="433"/>
    </w:p>
    <w:p w14:paraId="7CFA3648" w14:textId="0A7605AA" w:rsidR="00AF02EF" w:rsidRDefault="009219CD" w:rsidP="00AF02EF">
      <w:r>
        <w:t>As part of developing the options for assessment in this RIS, research was conducted into approaches to rehabilitation planning in other jurisdictions and as described in best practice guidance. This appendix summarises the key findings of that research that have contributed to the design and assessment of the options discussed in this RIS.</w:t>
      </w:r>
    </w:p>
    <w:p w14:paraId="712D8E39" w14:textId="592F05E1" w:rsidR="009219CD" w:rsidRDefault="009219CD" w:rsidP="009219CD">
      <w:pPr>
        <w:pStyle w:val="introparagraph"/>
      </w:pPr>
      <w:r>
        <w:t>Queensland</w:t>
      </w:r>
    </w:p>
    <w:p w14:paraId="7C015DC7" w14:textId="24459759" w:rsidR="009219CD" w:rsidRDefault="009219CD" w:rsidP="00DE4290">
      <w:pPr>
        <w:spacing w:after="60"/>
      </w:pPr>
      <w:r>
        <w:t xml:space="preserve">The current regulatory framework for the rehabilitation of mines in Queensland is the result of </w:t>
      </w:r>
      <w:r w:rsidR="005305DF">
        <w:t xml:space="preserve">the state government’s response to </w:t>
      </w:r>
      <w:r>
        <w:t>recent review</w:t>
      </w:r>
      <w:r w:rsidR="005305DF">
        <w:t>s</w:t>
      </w:r>
      <w:r w:rsidR="001D65F9">
        <w:t xml:space="preserve"> of mining rehabilitation and the Queensland government’s financial assurance system designed to mitigate the financial risks involved in rehabilitating land disturbed by mining. The </w:t>
      </w:r>
      <w:r w:rsidR="001D65F9" w:rsidRPr="217C4165">
        <w:rPr>
          <w:i/>
          <w:iCs/>
        </w:rPr>
        <w:t>Review of Queensland’s Financial Assurance Framework: Final Report</w:t>
      </w:r>
      <w:r w:rsidR="001D65F9">
        <w:t xml:space="preserve"> </w:t>
      </w:r>
      <w:r w:rsidR="005305DF">
        <w:t xml:space="preserve">and the </w:t>
      </w:r>
      <w:r w:rsidR="005305DF" w:rsidRPr="217C4165">
        <w:rPr>
          <w:i/>
          <w:iCs/>
        </w:rPr>
        <w:t xml:space="preserve">Better Mine Rehabilitation for Queensland: Discussion Paper </w:t>
      </w:r>
      <w:r w:rsidR="001D65F9">
        <w:t>released in 2017,</w:t>
      </w:r>
      <w:r w:rsidR="001D65F9">
        <w:rPr>
          <w:rStyle w:val="FootnoteReference"/>
        </w:rPr>
        <w:footnoteReference w:id="202"/>
      </w:r>
      <w:r w:rsidR="001D65F9">
        <w:t xml:space="preserve"> and led to two core changes to rehabilitation regulation in the State:</w:t>
      </w:r>
      <w:r w:rsidR="001D65F9">
        <w:rPr>
          <w:rStyle w:val="FootnoteReference"/>
        </w:rPr>
        <w:footnoteReference w:id="203"/>
      </w:r>
    </w:p>
    <w:p w14:paraId="2DF32FC8" w14:textId="6C213A0B" w:rsidR="001D65F9" w:rsidRDefault="001D65F9" w:rsidP="001D65F9">
      <w:pPr>
        <w:pStyle w:val="ListBullet"/>
      </w:pPr>
      <w:r>
        <w:t>The financial assurance arrangements for mining and other resource activities were replaced with a new financial provisioning scheme and changes were made to the way rehabilitation costs are estimated.</w:t>
      </w:r>
    </w:p>
    <w:p w14:paraId="657CD04A" w14:textId="5CA6A710" w:rsidR="001D65F9" w:rsidRDefault="001D65F9" w:rsidP="001D65F9">
      <w:pPr>
        <w:pStyle w:val="ListBullet"/>
      </w:pPr>
      <w:r>
        <w:t>New requirements for the planning of progressive rehabilitation and closure of mine land were introduced.</w:t>
      </w:r>
    </w:p>
    <w:p w14:paraId="3A40ED4C" w14:textId="325913D6" w:rsidR="001315DF" w:rsidRDefault="001D65F9" w:rsidP="001D65F9">
      <w:pPr>
        <w:pStyle w:val="ListBullet"/>
        <w:numPr>
          <w:ilvl w:val="0"/>
          <w:numId w:val="0"/>
        </w:numPr>
      </w:pPr>
      <w:r>
        <w:t xml:space="preserve">This summary focuses on the </w:t>
      </w:r>
      <w:r w:rsidR="005305DF">
        <w:t xml:space="preserve">rehabilitation framework implemented by the </w:t>
      </w:r>
      <w:r>
        <w:t>second change.</w:t>
      </w:r>
    </w:p>
    <w:p w14:paraId="1BAD736C" w14:textId="40E62C53" w:rsidR="001D65F9" w:rsidRDefault="001D65F9" w:rsidP="001D65F9">
      <w:pPr>
        <w:pStyle w:val="ListBullet"/>
        <w:numPr>
          <w:ilvl w:val="0"/>
          <w:numId w:val="0"/>
        </w:numPr>
      </w:pPr>
      <w:r>
        <w:t>Mining rehabilitation</w:t>
      </w:r>
      <w:r w:rsidR="00113129">
        <w:t xml:space="preserve"> in Queensland</w:t>
      </w:r>
      <w:r>
        <w:t xml:space="preserve"> is governed primarily by the </w:t>
      </w:r>
      <w:r>
        <w:rPr>
          <w:i/>
          <w:iCs/>
        </w:rPr>
        <w:t>Environmental Protection Act 1994</w:t>
      </w:r>
      <w:r>
        <w:t xml:space="preserve">. </w:t>
      </w:r>
      <w:r w:rsidR="00113129">
        <w:t>Entities who wish to undertake an ‘environmentally relevant activity’ – activities with the potential to release contaminants into the environment, including mining – must apply to the Queensland government for an ‘environmental authority’</w:t>
      </w:r>
      <w:r w:rsidR="28DA4697">
        <w:t xml:space="preserve"> (EA)</w:t>
      </w:r>
      <w:r w:rsidR="72F72F69">
        <w:t>.</w:t>
      </w:r>
      <w:r w:rsidR="00113129">
        <w:t xml:space="preserve"> Following amendments made to the </w:t>
      </w:r>
      <w:r w:rsidR="00113129">
        <w:rPr>
          <w:i/>
          <w:iCs/>
        </w:rPr>
        <w:t>Environmental Protection Act</w:t>
      </w:r>
      <w:r w:rsidR="00113129">
        <w:t xml:space="preserve"> </w:t>
      </w:r>
      <w:r w:rsidR="74928680" w:rsidRPr="006E1000">
        <w:rPr>
          <w:i/>
        </w:rPr>
        <w:t>1994</w:t>
      </w:r>
      <w:r w:rsidR="74928680">
        <w:t xml:space="preserve"> </w:t>
      </w:r>
      <w:r w:rsidR="00113129">
        <w:t xml:space="preserve">in 2018, applicants for environmental authorities for mining activities must provide a ‘Progressive Rehabilitation and Closure Plan’ (‘PRC plan’). </w:t>
      </w:r>
    </w:p>
    <w:p w14:paraId="0E79E939" w14:textId="7FB7A7F7" w:rsidR="007C37B9" w:rsidRDefault="007C37B9" w:rsidP="001D65F9">
      <w:pPr>
        <w:pStyle w:val="ListBullet"/>
        <w:numPr>
          <w:ilvl w:val="0"/>
          <w:numId w:val="0"/>
        </w:numPr>
      </w:pPr>
      <w:r>
        <w:t>According to government guidance, the main purposes of the PRC plan are to:</w:t>
      </w:r>
      <w:r>
        <w:rPr>
          <w:rStyle w:val="FootnoteReference"/>
        </w:rPr>
        <w:footnoteReference w:id="204"/>
      </w:r>
    </w:p>
    <w:p w14:paraId="75508FD7" w14:textId="28EA547C" w:rsidR="007C37B9" w:rsidRDefault="007C37B9" w:rsidP="007C37B9">
      <w:pPr>
        <w:pStyle w:val="ListBullet"/>
      </w:pPr>
      <w:r>
        <w:t>‘</w:t>
      </w:r>
      <w:r w:rsidRPr="007C37B9">
        <w:t>require the holder of an EA to plan for how and where activities will be carried out on land in a way that maximises the progressive rehabilitation of</w:t>
      </w:r>
      <w:r>
        <w:t xml:space="preserve"> </w:t>
      </w:r>
      <w:r w:rsidRPr="007C37B9">
        <w:t>the land to a stable condition</w:t>
      </w:r>
    </w:p>
    <w:p w14:paraId="3C70DEE0" w14:textId="11302993" w:rsidR="007C37B9" w:rsidRPr="00113129" w:rsidRDefault="007C37B9" w:rsidP="007C37B9">
      <w:pPr>
        <w:pStyle w:val="ListBullet"/>
      </w:pPr>
      <w:r w:rsidRPr="007C37B9">
        <w:t>provide for the condition to which the holder must rehabilitate the land before the EA may be surrendered.</w:t>
      </w:r>
      <w:r>
        <w:t>’</w:t>
      </w:r>
    </w:p>
    <w:p w14:paraId="17617B32" w14:textId="44EA0620" w:rsidR="001D65F9" w:rsidRPr="005305DF" w:rsidRDefault="005305DF" w:rsidP="001D65F9">
      <w:pPr>
        <w:rPr>
          <w:rStyle w:val="IntenseEmphasis"/>
        </w:rPr>
      </w:pPr>
      <w:r w:rsidRPr="005305DF">
        <w:rPr>
          <w:rStyle w:val="IntenseEmphasis"/>
        </w:rPr>
        <w:t>Contents of the PRC plan</w:t>
      </w:r>
    </w:p>
    <w:p w14:paraId="6ABA0782" w14:textId="1E5AB908" w:rsidR="007C37B9" w:rsidRDefault="214787FC" w:rsidP="00893E29">
      <w:r>
        <w:t xml:space="preserve">The PRC must identify the landform or condition to which the land covered by the mining tenure will be rehabilitated at the point of closure: the identification of the ‘post mining land use’ or </w:t>
      </w:r>
      <w:r w:rsidR="192B9B64">
        <w:t>post mining land use</w:t>
      </w:r>
      <w:r>
        <w:t xml:space="preserve"> is a central part of the PRC framework.</w:t>
      </w:r>
      <w:r w:rsidR="001315DF">
        <w:rPr>
          <w:rStyle w:val="FootnoteReference"/>
        </w:rPr>
        <w:footnoteReference w:id="205"/>
      </w:r>
      <w:r w:rsidR="3C79488D">
        <w:t xml:space="preserve"> </w:t>
      </w:r>
      <w:r w:rsidR="4ECEA62E">
        <w:t>Under the primary Act, all land disturbed by mining must be rehabilitated to a ‘post-mining land use’ or managed as a ‘non-use management area’ (‘NUMA’). PRCs must identify any proposed NUMAs and any NUMAs which are justified on public interest grounds (under the Act) are subject to an independent public interest evaluation.</w:t>
      </w:r>
      <w:r>
        <w:t xml:space="preserve"> </w:t>
      </w:r>
    </w:p>
    <w:p w14:paraId="54C291DA" w14:textId="685171EE" w:rsidR="007C37B9" w:rsidRDefault="007C37B9" w:rsidP="001D65F9">
      <w:r>
        <w:t>PRC plans consist of two parts:</w:t>
      </w:r>
    </w:p>
    <w:p w14:paraId="178CB618" w14:textId="39075B26" w:rsidR="007C37B9" w:rsidRDefault="007C37B9" w:rsidP="000C6F58">
      <w:pPr>
        <w:pStyle w:val="Numberedlist"/>
        <w:numPr>
          <w:ilvl w:val="0"/>
          <w:numId w:val="36"/>
        </w:numPr>
      </w:pPr>
      <w:r>
        <w:t>rehabilitation planning</w:t>
      </w:r>
    </w:p>
    <w:p w14:paraId="6A40970B" w14:textId="0430CF11" w:rsidR="007C37B9" w:rsidRDefault="007C37B9" w:rsidP="000C6F58">
      <w:pPr>
        <w:pStyle w:val="Numberedlist"/>
        <w:numPr>
          <w:ilvl w:val="0"/>
          <w:numId w:val="36"/>
        </w:numPr>
      </w:pPr>
      <w:r>
        <w:lastRenderedPageBreak/>
        <w:t>PRCP schedule</w:t>
      </w:r>
    </w:p>
    <w:p w14:paraId="1C6FD733" w14:textId="114EC365" w:rsidR="006655FB" w:rsidRDefault="006655FB" w:rsidP="006655FB">
      <w:pPr>
        <w:pStyle w:val="Numberedlist"/>
        <w:numPr>
          <w:ilvl w:val="0"/>
          <w:numId w:val="0"/>
        </w:numPr>
      </w:pPr>
      <w:r>
        <w:t>Only the schedule is subject to a regulatory decision; the planning component is designed ‘to support and justify the development’ of the schedule.</w:t>
      </w:r>
      <w:r>
        <w:rPr>
          <w:rStyle w:val="FootnoteReference"/>
        </w:rPr>
        <w:footnoteReference w:id="206"/>
      </w:r>
      <w:r>
        <w:t xml:space="preserve"> However, the planning component must still include the information set out in the Act and supporting guidance, as described below. </w:t>
      </w:r>
    </w:p>
    <w:p w14:paraId="0A5B6788" w14:textId="5868DBDD" w:rsidR="007C37B9" w:rsidRDefault="007C37B9" w:rsidP="007C37B9">
      <w:pPr>
        <w:pStyle w:val="Numberedlist"/>
        <w:numPr>
          <w:ilvl w:val="0"/>
          <w:numId w:val="0"/>
        </w:numPr>
      </w:pPr>
      <w:r>
        <w:t>According to the PRC guidance, the rehabilitation plan component must include at least:</w:t>
      </w:r>
      <w:r>
        <w:rPr>
          <w:rStyle w:val="FootnoteReference"/>
        </w:rPr>
        <w:footnoteReference w:id="207"/>
      </w:r>
    </w:p>
    <w:p w14:paraId="240047B8" w14:textId="4569CF94" w:rsidR="007C37B9" w:rsidRDefault="214787FC" w:rsidP="008734CF">
      <w:pPr>
        <w:pStyle w:val="ListBullet"/>
        <w:spacing w:after="0"/>
      </w:pPr>
      <w:r>
        <w:t>Baseline data</w:t>
      </w:r>
      <w:r w:rsidR="4ECEA62E">
        <w:t xml:space="preserve"> about the site and mining operation</w:t>
      </w:r>
      <w:r w:rsidR="5807DCBC">
        <w:t>, including:</w:t>
      </w:r>
      <w:r w:rsidR="008734CF">
        <w:rPr>
          <w:rStyle w:val="FootnoteReference"/>
        </w:rPr>
        <w:footnoteReference w:id="208"/>
      </w:r>
    </w:p>
    <w:p w14:paraId="645403DF" w14:textId="77777777" w:rsidR="008734CF" w:rsidRDefault="008734CF" w:rsidP="008734CF">
      <w:pPr>
        <w:pStyle w:val="ListBullet"/>
        <w:numPr>
          <w:ilvl w:val="1"/>
          <w:numId w:val="29"/>
        </w:numPr>
        <w:spacing w:after="0"/>
      </w:pPr>
      <w:r w:rsidRPr="008734CF">
        <w:t>site topography (locally and regionally)</w:t>
      </w:r>
    </w:p>
    <w:p w14:paraId="71DA0496" w14:textId="5D51316C" w:rsidR="008734CF" w:rsidRDefault="008734CF" w:rsidP="008734CF">
      <w:pPr>
        <w:pStyle w:val="ListBullet"/>
        <w:numPr>
          <w:ilvl w:val="1"/>
          <w:numId w:val="29"/>
        </w:numPr>
        <w:spacing w:after="0"/>
      </w:pPr>
      <w:r w:rsidRPr="008734CF">
        <w:t>climate (general and specific (rain, evaporation, temperatures</w:t>
      </w:r>
      <w:r w:rsidR="794C8A01">
        <w:t>)</w:t>
      </w:r>
      <w:r w:rsidR="708FDC26">
        <w:t>,</w:t>
      </w:r>
      <w:r w:rsidR="72582DF9">
        <w:t xml:space="preserve"> </w:t>
      </w:r>
      <w:r w:rsidRPr="008734CF">
        <w:t>including long term projections</w:t>
      </w:r>
    </w:p>
    <w:p w14:paraId="4549A9DF" w14:textId="77777777" w:rsidR="008734CF" w:rsidRDefault="008734CF" w:rsidP="008734CF">
      <w:pPr>
        <w:pStyle w:val="ListBullet"/>
        <w:numPr>
          <w:ilvl w:val="1"/>
          <w:numId w:val="29"/>
        </w:numPr>
        <w:spacing w:after="0"/>
      </w:pPr>
      <w:r w:rsidRPr="008734CF">
        <w:t>geological setting</w:t>
      </w:r>
    </w:p>
    <w:p w14:paraId="7526612C" w14:textId="3ECC78F8" w:rsidR="008734CF" w:rsidRDefault="008734CF" w:rsidP="008734CF">
      <w:pPr>
        <w:pStyle w:val="ListBullet"/>
        <w:numPr>
          <w:ilvl w:val="1"/>
          <w:numId w:val="29"/>
        </w:numPr>
        <w:spacing w:after="0"/>
      </w:pPr>
      <w:r w:rsidRPr="008734CF">
        <w:t>site hydrology and fluvial networks</w:t>
      </w:r>
    </w:p>
    <w:p w14:paraId="49E025D6" w14:textId="77777777" w:rsidR="008734CF" w:rsidRDefault="008734CF" w:rsidP="008734CF">
      <w:pPr>
        <w:pStyle w:val="ListBullet"/>
        <w:numPr>
          <w:ilvl w:val="1"/>
          <w:numId w:val="29"/>
        </w:numPr>
        <w:spacing w:after="0"/>
      </w:pPr>
      <w:r w:rsidRPr="008734CF">
        <w:t>groundwater levels and properties</w:t>
      </w:r>
    </w:p>
    <w:p w14:paraId="51DF44FB" w14:textId="77777777" w:rsidR="008734CF" w:rsidRDefault="008734CF" w:rsidP="008734CF">
      <w:pPr>
        <w:pStyle w:val="ListBullet"/>
        <w:numPr>
          <w:ilvl w:val="1"/>
          <w:numId w:val="29"/>
        </w:numPr>
        <w:spacing w:after="0"/>
      </w:pPr>
      <w:r w:rsidRPr="008734CF">
        <w:t>soil types, properties and productivity</w:t>
      </w:r>
    </w:p>
    <w:p w14:paraId="22F40F51" w14:textId="77777777" w:rsidR="008734CF" w:rsidRDefault="008734CF" w:rsidP="008734CF">
      <w:pPr>
        <w:pStyle w:val="ListBullet"/>
        <w:numPr>
          <w:ilvl w:val="1"/>
          <w:numId w:val="29"/>
        </w:numPr>
        <w:spacing w:after="0"/>
      </w:pPr>
      <w:r w:rsidRPr="008734CF">
        <w:t>land stability (pre-existing land degradation/erosion and predisposition to ongoing stability issues)</w:t>
      </w:r>
    </w:p>
    <w:p w14:paraId="22DCF0CE" w14:textId="77777777" w:rsidR="008734CF" w:rsidRDefault="008734CF" w:rsidP="008734CF">
      <w:pPr>
        <w:pStyle w:val="ListBullet"/>
        <w:numPr>
          <w:ilvl w:val="1"/>
          <w:numId w:val="29"/>
        </w:numPr>
        <w:spacing w:after="0"/>
      </w:pPr>
      <w:r w:rsidRPr="008734CF">
        <w:t>vegetation communities and ecological data (including existing regional ecosystem mapping)</w:t>
      </w:r>
    </w:p>
    <w:p w14:paraId="66779D60" w14:textId="77777777" w:rsidR="008734CF" w:rsidRDefault="008734CF" w:rsidP="008734CF">
      <w:pPr>
        <w:pStyle w:val="ListBullet"/>
        <w:numPr>
          <w:ilvl w:val="1"/>
          <w:numId w:val="29"/>
        </w:numPr>
        <w:spacing w:after="0"/>
      </w:pPr>
      <w:r w:rsidRPr="008734CF">
        <w:t>fauna presence and populations</w:t>
      </w:r>
    </w:p>
    <w:p w14:paraId="152A5E01" w14:textId="77777777" w:rsidR="008734CF" w:rsidRDefault="008734CF" w:rsidP="008734CF">
      <w:pPr>
        <w:pStyle w:val="ListBullet"/>
        <w:numPr>
          <w:ilvl w:val="1"/>
          <w:numId w:val="29"/>
        </w:numPr>
        <w:spacing w:after="0"/>
      </w:pPr>
      <w:r w:rsidRPr="008734CF">
        <w:t>pre-mining</w:t>
      </w:r>
      <w:r>
        <w:t xml:space="preserve"> </w:t>
      </w:r>
      <w:r w:rsidRPr="008734CF">
        <w:t xml:space="preserve">land use </w:t>
      </w:r>
    </w:p>
    <w:p w14:paraId="0608F13C" w14:textId="4DBADFD9" w:rsidR="008734CF" w:rsidRDefault="008734CF" w:rsidP="008734CF">
      <w:pPr>
        <w:pStyle w:val="ListBullet"/>
        <w:numPr>
          <w:ilvl w:val="1"/>
          <w:numId w:val="29"/>
        </w:numPr>
      </w:pPr>
      <w:r w:rsidRPr="008734CF">
        <w:t>identification of underlying landholders.</w:t>
      </w:r>
    </w:p>
    <w:p w14:paraId="4832A060" w14:textId="56AD3258" w:rsidR="008734CF" w:rsidRDefault="008734CF" w:rsidP="007C37B9">
      <w:pPr>
        <w:pStyle w:val="ListBullet"/>
      </w:pPr>
      <w:r>
        <w:t xml:space="preserve">Design for closure – an explanation of </w:t>
      </w:r>
      <w:r w:rsidR="001315DF">
        <w:t>the</w:t>
      </w:r>
      <w:r>
        <w:t xml:space="preserve"> progressive rehabilitation activities</w:t>
      </w:r>
      <w:r w:rsidR="001315DF">
        <w:t xml:space="preserve"> that</w:t>
      </w:r>
      <w:r>
        <w:t xml:space="preserve"> will be carried out and how they have been considered in the design of the mine site, including:</w:t>
      </w:r>
    </w:p>
    <w:p w14:paraId="1F365071" w14:textId="77777777" w:rsidR="008734CF" w:rsidRDefault="008734CF" w:rsidP="008734CF">
      <w:pPr>
        <w:pStyle w:val="ListBullet"/>
        <w:numPr>
          <w:ilvl w:val="1"/>
          <w:numId w:val="29"/>
        </w:numPr>
        <w:spacing w:after="0"/>
      </w:pPr>
      <w:r>
        <w:t xml:space="preserve">location of mine features/infrastructure, having regard to the following considerations: </w:t>
      </w:r>
    </w:p>
    <w:p w14:paraId="72C5E0B9" w14:textId="3206F3AF" w:rsidR="008734CF" w:rsidRDefault="008734CF" w:rsidP="008734CF">
      <w:pPr>
        <w:pStyle w:val="ListBullet"/>
        <w:numPr>
          <w:ilvl w:val="2"/>
          <w:numId w:val="29"/>
        </w:numPr>
        <w:spacing w:after="0"/>
      </w:pPr>
      <w:r>
        <w:t xml:space="preserve">protection of environmental values of the site and receiving environment, including matters of National Environmental Significance, matters of State Environmental Significance and matters of Local Environmental Significance </w:t>
      </w:r>
    </w:p>
    <w:p w14:paraId="68038C31" w14:textId="77777777" w:rsidR="008734CF" w:rsidRDefault="008734CF" w:rsidP="008734CF">
      <w:pPr>
        <w:pStyle w:val="ListBullet"/>
        <w:numPr>
          <w:ilvl w:val="2"/>
          <w:numId w:val="29"/>
        </w:numPr>
        <w:spacing w:after="0"/>
      </w:pPr>
      <w:r>
        <w:t>surrounding land uses and proximity to sensitive receptors</w:t>
      </w:r>
    </w:p>
    <w:p w14:paraId="1A83127E" w14:textId="77777777" w:rsidR="008734CF" w:rsidRDefault="008734CF" w:rsidP="008734CF">
      <w:pPr>
        <w:pStyle w:val="ListBullet"/>
        <w:numPr>
          <w:ilvl w:val="2"/>
          <w:numId w:val="29"/>
        </w:numPr>
        <w:spacing w:after="0"/>
      </w:pPr>
      <w:r>
        <w:t>proximity to the open-pit exit or exits</w:t>
      </w:r>
    </w:p>
    <w:p w14:paraId="7FE36D65" w14:textId="77777777" w:rsidR="008734CF" w:rsidRDefault="008734CF" w:rsidP="008734CF">
      <w:pPr>
        <w:pStyle w:val="ListBullet"/>
        <w:numPr>
          <w:ilvl w:val="2"/>
          <w:numId w:val="29"/>
        </w:numPr>
        <w:spacing w:after="0"/>
      </w:pPr>
      <w:r>
        <w:t>the gradient of the footprint area, both for the direction of drainage from the landform and for the dumping costs</w:t>
      </w:r>
    </w:p>
    <w:p w14:paraId="4675A8C3" w14:textId="0A126CC5" w:rsidR="008734CF" w:rsidRDefault="008734CF" w:rsidP="008734CF">
      <w:pPr>
        <w:pStyle w:val="ListBullet"/>
        <w:numPr>
          <w:ilvl w:val="2"/>
          <w:numId w:val="29"/>
        </w:numPr>
        <w:spacing w:after="0"/>
      </w:pPr>
      <w:r>
        <w:t>local and regional topography</w:t>
      </w:r>
    </w:p>
    <w:p w14:paraId="74923DA5" w14:textId="77777777" w:rsidR="008734CF" w:rsidRDefault="008734CF" w:rsidP="008734CF">
      <w:pPr>
        <w:pStyle w:val="ListBullet"/>
        <w:numPr>
          <w:ilvl w:val="2"/>
          <w:numId w:val="29"/>
        </w:numPr>
        <w:spacing w:after="0"/>
      </w:pPr>
      <w:r>
        <w:t>surface and ground water features (quality, quantity and seasonal variation)</w:t>
      </w:r>
    </w:p>
    <w:p w14:paraId="4C204163" w14:textId="77777777" w:rsidR="008734CF" w:rsidRDefault="008734CF" w:rsidP="008734CF">
      <w:pPr>
        <w:pStyle w:val="ListBullet"/>
        <w:numPr>
          <w:ilvl w:val="2"/>
          <w:numId w:val="29"/>
        </w:numPr>
        <w:spacing w:after="0"/>
      </w:pPr>
      <w:r>
        <w:t>geotechnical conditions (i.e. soil/rock characteristics) and suitability for the structure type (i.e. presence of structural features that may transmit seepage)</w:t>
      </w:r>
    </w:p>
    <w:p w14:paraId="01DD711E" w14:textId="77777777" w:rsidR="001315DF" w:rsidRDefault="008734CF" w:rsidP="008734CF">
      <w:pPr>
        <w:pStyle w:val="ListBullet"/>
        <w:numPr>
          <w:ilvl w:val="2"/>
          <w:numId w:val="29"/>
        </w:numPr>
        <w:spacing w:after="0"/>
      </w:pPr>
      <w:r>
        <w:t>competing water and land uses</w:t>
      </w:r>
    </w:p>
    <w:p w14:paraId="7E6BEE45" w14:textId="3E9829EC" w:rsidR="008734CF" w:rsidRDefault="17CCA003" w:rsidP="008734CF">
      <w:pPr>
        <w:pStyle w:val="ListBullet"/>
        <w:numPr>
          <w:ilvl w:val="2"/>
          <w:numId w:val="29"/>
        </w:numPr>
        <w:spacing w:after="0"/>
      </w:pPr>
      <w:r>
        <w:t>visual impact.</w:t>
      </w:r>
    </w:p>
    <w:p w14:paraId="40594541" w14:textId="77777777" w:rsidR="008734CF" w:rsidRDefault="008734CF" w:rsidP="008734CF">
      <w:pPr>
        <w:pStyle w:val="ListBullet"/>
        <w:numPr>
          <w:ilvl w:val="1"/>
          <w:numId w:val="29"/>
        </w:numPr>
        <w:spacing w:after="0"/>
      </w:pPr>
      <w:r>
        <w:t>size, shape and design of mine features/infrastructure (e.g. waste rock dump design)</w:t>
      </w:r>
    </w:p>
    <w:p w14:paraId="0F846A4E" w14:textId="67444007" w:rsidR="008734CF" w:rsidRDefault="008734CF" w:rsidP="008734CF">
      <w:pPr>
        <w:pStyle w:val="ListBullet"/>
        <w:numPr>
          <w:ilvl w:val="1"/>
          <w:numId w:val="29"/>
        </w:numPr>
      </w:pPr>
      <w:r>
        <w:t>mining methods (such as utilising underground methods versus extraction via an open cut pit)</w:t>
      </w:r>
    </w:p>
    <w:p w14:paraId="0EF889FE" w14:textId="696AFB2B" w:rsidR="007C37B9" w:rsidRDefault="007C37B9" w:rsidP="007C37B9">
      <w:pPr>
        <w:pStyle w:val="ListBullet"/>
      </w:pPr>
      <w:r>
        <w:t xml:space="preserve">Information about community consultation </w:t>
      </w:r>
    </w:p>
    <w:p w14:paraId="01D1404C" w14:textId="4149E5A0" w:rsidR="007C37B9" w:rsidRDefault="007C37B9" w:rsidP="007C37B9">
      <w:pPr>
        <w:pStyle w:val="ListBullet"/>
      </w:pPr>
      <w:r>
        <w:t>Analysis and justification of post-mining land uses and NUMAs</w:t>
      </w:r>
    </w:p>
    <w:p w14:paraId="3BD3DC08" w14:textId="50EFCAAA" w:rsidR="007C37B9" w:rsidRDefault="007C37B9" w:rsidP="007C37B9">
      <w:pPr>
        <w:pStyle w:val="ListBullet"/>
      </w:pPr>
      <w:r>
        <w:t>Justification of timeframes for land being available for rehabilitation</w:t>
      </w:r>
      <w:r w:rsidR="001315DF">
        <w:t>, including in relation to any areas of land that will not be rehabilitated until after operations have ceased</w:t>
      </w:r>
    </w:p>
    <w:p w14:paraId="5E558A8E" w14:textId="16714E06" w:rsidR="007C37B9" w:rsidRDefault="007C37B9" w:rsidP="007C37B9">
      <w:pPr>
        <w:pStyle w:val="ListBullet"/>
      </w:pPr>
      <w:r>
        <w:t>Details of the rehabilitation methodologies and techniques that will be used, and supporting documentation</w:t>
      </w:r>
    </w:p>
    <w:p w14:paraId="13CB0C6E" w14:textId="6B24CDA4" w:rsidR="007C37B9" w:rsidRDefault="007C37B9" w:rsidP="007C37B9">
      <w:pPr>
        <w:pStyle w:val="ListBullet"/>
        <w:numPr>
          <w:ilvl w:val="0"/>
          <w:numId w:val="0"/>
        </w:numPr>
        <w:ind w:left="360" w:hanging="360"/>
      </w:pPr>
      <w:r>
        <w:t>The PRCP schedule must include:</w:t>
      </w:r>
    </w:p>
    <w:p w14:paraId="385C48D2" w14:textId="33ACE246" w:rsidR="007C37B9" w:rsidRDefault="007C37B9" w:rsidP="007C37B9">
      <w:pPr>
        <w:pStyle w:val="ListBullet"/>
      </w:pPr>
      <w:r>
        <w:t>Maps of final rehabilitation and closure outcomes for the site</w:t>
      </w:r>
    </w:p>
    <w:p w14:paraId="0A7178C4" w14:textId="0538F855" w:rsidR="007C37B9" w:rsidRDefault="007C37B9" w:rsidP="007C37B9">
      <w:pPr>
        <w:pStyle w:val="ListBullet"/>
      </w:pPr>
      <w:r>
        <w:t>Rehabilitation and management milestones</w:t>
      </w:r>
      <w:r w:rsidR="00781FE2">
        <w:t xml:space="preserve">, </w:t>
      </w:r>
      <w:r>
        <w:t>milestone criteria</w:t>
      </w:r>
      <w:r w:rsidR="00781FE2">
        <w:t xml:space="preserve"> and completion dates</w:t>
      </w:r>
    </w:p>
    <w:p w14:paraId="038B4941" w14:textId="4BA49F0A" w:rsidR="007C37B9" w:rsidRDefault="00781FE2" w:rsidP="007C37B9">
      <w:pPr>
        <w:pStyle w:val="ListBullet"/>
      </w:pPr>
      <w:r>
        <w:t>Timeframes for land becoming available for rehabilitation or improvement</w:t>
      </w:r>
    </w:p>
    <w:p w14:paraId="0576319B" w14:textId="2F90E159" w:rsidR="00781FE2" w:rsidRDefault="00781FE2" w:rsidP="007C37B9">
      <w:pPr>
        <w:pStyle w:val="ListBullet"/>
      </w:pPr>
      <w:r>
        <w:t>Rehabilitation and improvement areas</w:t>
      </w:r>
    </w:p>
    <w:p w14:paraId="7DF20057" w14:textId="759B80C9" w:rsidR="007C37B9" w:rsidRDefault="007C37B9" w:rsidP="007C37B9">
      <w:pPr>
        <w:pStyle w:val="ListBullet"/>
        <w:numPr>
          <w:ilvl w:val="0"/>
          <w:numId w:val="0"/>
        </w:numPr>
        <w:ind w:left="360" w:hanging="360"/>
      </w:pPr>
    </w:p>
    <w:p w14:paraId="6D06E24C" w14:textId="45753089" w:rsidR="00B175A2" w:rsidRDefault="00B175A2" w:rsidP="00207E8E">
      <w:pPr>
        <w:keepNext/>
        <w:rPr>
          <w:rStyle w:val="IntenseEmphasis"/>
          <w:i w:val="0"/>
          <w:iCs w:val="0"/>
        </w:rPr>
      </w:pPr>
      <w:r>
        <w:rPr>
          <w:rStyle w:val="IntenseEmphasis"/>
        </w:rPr>
        <w:lastRenderedPageBreak/>
        <w:t>Approval decision on the PRC plan</w:t>
      </w:r>
    </w:p>
    <w:p w14:paraId="2522EA16" w14:textId="199D6D5B" w:rsidR="00292673" w:rsidRDefault="0C24B63F" w:rsidP="00B625A8">
      <w:r>
        <w:t xml:space="preserve">Proposed PRCs are submitted </w:t>
      </w:r>
      <w:r w:rsidR="2745CCBE">
        <w:t xml:space="preserve">alongside the operator’s application for an environmental authority for its proposed works. The environmental authority and PRC schedule are considered separately, but a single decision is made: if either is refused, the </w:t>
      </w:r>
      <w:r w:rsidR="7446EF25">
        <w:t>EA</w:t>
      </w:r>
      <w:r w:rsidR="2745CCBE">
        <w:t xml:space="preserve"> application will be unsuccessful.</w:t>
      </w:r>
      <w:r w:rsidR="00292673">
        <w:rPr>
          <w:rStyle w:val="FootnoteReference"/>
        </w:rPr>
        <w:footnoteReference w:id="209"/>
      </w:r>
      <w:r w:rsidR="2745CCBE">
        <w:t xml:space="preserve"> </w:t>
      </w:r>
      <w:r w:rsidR="244F9D29">
        <w:t xml:space="preserve">ERR </w:t>
      </w:r>
      <w:r w:rsidR="6E21F9C6">
        <w:t xml:space="preserve">then has the opportunity to request further information if necessary, and then the application must be made publicly available for comment. Time periods apply to each stage of this process. </w:t>
      </w:r>
    </w:p>
    <w:p w14:paraId="393E8936" w14:textId="5AFBD825" w:rsidR="00893E29" w:rsidRDefault="00893E29" w:rsidP="00B625A8">
      <w:r>
        <w:t xml:space="preserve">The regulatory framework sets out extensive criteria for acceptable </w:t>
      </w:r>
      <w:r w:rsidR="00467BD3">
        <w:t>post mining land uses</w:t>
      </w:r>
      <w:r>
        <w:t xml:space="preserve">, which are considered as part of the PRC approval decision. These criteria include the viability of the </w:t>
      </w:r>
      <w:r w:rsidR="00467BD3">
        <w:t>post mining land use</w:t>
      </w:r>
      <w:r>
        <w:t xml:space="preserve"> considering the surrounding land</w:t>
      </w:r>
      <w:r w:rsidR="08D9620F">
        <w:t>.</w:t>
      </w:r>
    </w:p>
    <w:p w14:paraId="25C7A873" w14:textId="7E4A109F" w:rsidR="00893E29" w:rsidRDefault="18928E8B" w:rsidP="00B625A8">
      <w:r>
        <w:t xml:space="preserve">ERR </w:t>
      </w:r>
      <w:r w:rsidR="056BE3BA">
        <w:t xml:space="preserve">must not approve a </w:t>
      </w:r>
      <w:r w:rsidR="343AE731">
        <w:t xml:space="preserve">PRC schedule </w:t>
      </w:r>
      <w:r w:rsidR="69F33E9A">
        <w:t xml:space="preserve">unless it </w:t>
      </w:r>
      <w:r w:rsidR="343AE731">
        <w:t xml:space="preserve">provides </w:t>
      </w:r>
      <w:r w:rsidR="056BE3BA">
        <w:t>for all the land it covers to be rehabilitated to a stable</w:t>
      </w:r>
      <w:r w:rsidR="2B09367C">
        <w:t>-</w:t>
      </w:r>
      <w:r w:rsidR="056BE3BA">
        <w:t xml:space="preserve"> condition or managed as a NUMA in a way that achieves best practice management and minimises risks to the environment.</w:t>
      </w:r>
      <w:r w:rsidR="00B625A8">
        <w:rPr>
          <w:rStyle w:val="FootnoteReference"/>
        </w:rPr>
        <w:footnoteReference w:id="210"/>
      </w:r>
      <w:r w:rsidR="056BE3BA">
        <w:t xml:space="preserve"> </w:t>
      </w:r>
      <w:r w:rsidR="4E4CF62D">
        <w:t xml:space="preserve">For a proposed </w:t>
      </w:r>
      <w:r w:rsidR="0D5744CE">
        <w:t>post mining land use</w:t>
      </w:r>
      <w:r w:rsidR="4E4CF62D">
        <w:t xml:space="preserve"> to be accepted, the PRCP schedule must demonstrate that the land can be rehabilitated to a stable condition in accordance with the definition of ‘stable condition’ under the Act: the land is safe and structurally stable, there is no environmental harm being caused by anything in or on the land, and the land can sustain a </w:t>
      </w:r>
      <w:r w:rsidR="0D5744CE">
        <w:t>post mining land use</w:t>
      </w:r>
      <w:r w:rsidR="4E4CF62D">
        <w:t>.</w:t>
      </w:r>
      <w:r w:rsidR="00893E29">
        <w:rPr>
          <w:rStyle w:val="FootnoteReference"/>
        </w:rPr>
        <w:footnoteReference w:id="211"/>
      </w:r>
    </w:p>
    <w:p w14:paraId="3E32C5A9" w14:textId="07D49210" w:rsidR="00B625A8" w:rsidRPr="00B175A2" w:rsidRDefault="6622C906" w:rsidP="00B625A8">
      <w:r>
        <w:t xml:space="preserve">The approval decision requires consideration of the justification for the rehabilitation milestones included in the schedule and the designation, if applicable, of any NUMAs. </w:t>
      </w:r>
      <w:r w:rsidR="244F9D29">
        <w:t xml:space="preserve">ERR </w:t>
      </w:r>
      <w:r>
        <w:t>must also assess the PRCP objectives, consider any environmental values as specified in supporting Regulations, and consider the management hierarchy, environmental values, quality objectives and management intent contained in the plan against relevant environmental protection policies.</w:t>
      </w:r>
      <w:r w:rsidR="00B625A8">
        <w:rPr>
          <w:rStyle w:val="FootnoteReference"/>
        </w:rPr>
        <w:footnoteReference w:id="212"/>
      </w:r>
    </w:p>
    <w:p w14:paraId="7EA638C4" w14:textId="75092472" w:rsidR="00781FE2" w:rsidRDefault="00781FE2" w:rsidP="00781FE2">
      <w:pPr>
        <w:rPr>
          <w:rStyle w:val="IntenseEmphasis"/>
        </w:rPr>
      </w:pPr>
      <w:r>
        <w:rPr>
          <w:rStyle w:val="IntenseEmphasis"/>
        </w:rPr>
        <w:t xml:space="preserve">Review </w:t>
      </w:r>
      <w:r w:rsidR="00016F85">
        <w:rPr>
          <w:rStyle w:val="IntenseEmphasis"/>
        </w:rPr>
        <w:t xml:space="preserve">and monitoring </w:t>
      </w:r>
      <w:r>
        <w:rPr>
          <w:rStyle w:val="IntenseEmphasis"/>
        </w:rPr>
        <w:t>of the PRC plan</w:t>
      </w:r>
    </w:p>
    <w:p w14:paraId="21327556" w14:textId="302535DA" w:rsidR="00781FE2" w:rsidRDefault="6DE06E24" w:rsidP="00781FE2">
      <w:r>
        <w:t>Under the Act, all holders of PRCs must commission a specialist auditor to carry out a rehabilitation audit of the PRCP schedule every three years.</w:t>
      </w:r>
      <w:r w:rsidR="00781FE2">
        <w:rPr>
          <w:rStyle w:val="FootnoteReference"/>
        </w:rPr>
        <w:footnoteReference w:id="213"/>
      </w:r>
      <w:r>
        <w:t xml:space="preserve"> This audit is designed to assess the steps the operator has taken towards achieving rehabilitation milestones</w:t>
      </w:r>
      <w:r w:rsidR="36ACE702">
        <w:t xml:space="preserve">, the accuracy of any information given to </w:t>
      </w:r>
      <w:r w:rsidR="244F9D29">
        <w:t xml:space="preserve">ERR </w:t>
      </w:r>
      <w:r w:rsidR="36ACE702">
        <w:t xml:space="preserve">about rehabilitation, and whether </w:t>
      </w:r>
      <w:r w:rsidR="192B9B64">
        <w:t>post mining land uses</w:t>
      </w:r>
      <w:r w:rsidR="36ACE702">
        <w:t xml:space="preserve"> are likely to be achieved given the progress made on rehabilitation. </w:t>
      </w:r>
    </w:p>
    <w:p w14:paraId="217168AB" w14:textId="783B9BD2" w:rsidR="005B0B58" w:rsidRDefault="244F9D29" w:rsidP="00781FE2">
      <w:r>
        <w:t xml:space="preserve">ERR </w:t>
      </w:r>
      <w:r w:rsidR="36ACE702">
        <w:t xml:space="preserve">can amend the PRCP schedule in response to an audit report, and/or take compliance action if appropriate. </w:t>
      </w:r>
      <w:r w:rsidR="5EAB9BBB">
        <w:t>All audit reports are made publicly available</w:t>
      </w:r>
      <w:r w:rsidR="3C79488D">
        <w:t>.</w:t>
      </w:r>
      <w:r w:rsidR="00B175A2">
        <w:rPr>
          <w:rStyle w:val="FootnoteReference"/>
        </w:rPr>
        <w:footnoteReference w:id="214"/>
      </w:r>
    </w:p>
    <w:p w14:paraId="3EA88209" w14:textId="21D5AF41" w:rsidR="00893E29" w:rsidRDefault="00893E29" w:rsidP="00781FE2">
      <w:r>
        <w:t xml:space="preserve">Operators can apply to </w:t>
      </w:r>
      <w:r w:rsidR="00F75F6C">
        <w:t xml:space="preserve">ERR </w:t>
      </w:r>
      <w:r>
        <w:t>to amend their PRCP schedule at any time.</w:t>
      </w:r>
    </w:p>
    <w:p w14:paraId="586A40B7" w14:textId="06846690" w:rsidR="00016F85" w:rsidRPr="00127803" w:rsidRDefault="00016F85" w:rsidP="00781FE2">
      <w:pPr>
        <w:rPr>
          <w:rStyle w:val="IntenseEmphasis"/>
        </w:rPr>
      </w:pPr>
      <w:r>
        <w:rPr>
          <w:rStyle w:val="IntenseEmphasis"/>
        </w:rPr>
        <w:t>Progressive rehabilitation and mine closure</w:t>
      </w:r>
    </w:p>
    <w:p w14:paraId="05E57C72" w14:textId="2345DECC" w:rsidR="00016F85" w:rsidRDefault="27FE9199" w:rsidP="00781FE2">
      <w:r>
        <w:t xml:space="preserve">Operators can apply to </w:t>
      </w:r>
      <w:r w:rsidR="244F9D29">
        <w:t xml:space="preserve">ERR </w:t>
      </w:r>
      <w:r>
        <w:t xml:space="preserve">for a progressive rehabilitation certificate in relation to staged restoration completed over parts of the area covered by their </w:t>
      </w:r>
      <w:r w:rsidR="5FBB542C">
        <w:t>EA</w:t>
      </w:r>
      <w:r>
        <w:t xml:space="preserve">. A certification application must be accompanied by a report outlining the activities undertaken in the proposed certification area. The certificate allows the operator to reduce the amount of financial assurance held by </w:t>
      </w:r>
      <w:r w:rsidR="244F9D29">
        <w:t xml:space="preserve">ERR </w:t>
      </w:r>
      <w:r>
        <w:t>for their environmental authority.</w:t>
      </w:r>
      <w:r w:rsidR="00016F85">
        <w:rPr>
          <w:rStyle w:val="FootnoteReference"/>
        </w:rPr>
        <w:footnoteReference w:id="215"/>
      </w:r>
      <w:r>
        <w:t xml:space="preserve"> </w:t>
      </w:r>
    </w:p>
    <w:p w14:paraId="17B6210A" w14:textId="53BA3309" w:rsidR="008924E7" w:rsidRDefault="008924E7" w:rsidP="00781FE2">
      <w:r>
        <w:t xml:space="preserve">Operators can apply to surrender their </w:t>
      </w:r>
      <w:r w:rsidR="63E8D547">
        <w:t>EA</w:t>
      </w:r>
      <w:r>
        <w:t xml:space="preserve"> (equivalent to relinquishing a mining licence in Victoria) at any time. A surrender application must be accompanied by a final rehabilitation report, a post-surrender management report and a compliance statement for the </w:t>
      </w:r>
      <w:r w:rsidR="753EC3FE">
        <w:t>EA</w:t>
      </w:r>
      <w:r>
        <w:t xml:space="preserve">. Mining operators must also complete a risk assessment of the land. Together, these documents are designed to ensure and prove that land has been satisfactorily rehabilitated or managed in accordance with the PRCP schedule. The post-surrender management report must include a </w:t>
      </w:r>
      <w:r>
        <w:lastRenderedPageBreak/>
        <w:t>management plan for any risks identified in the final assessment, as well as an estimation of the costs and expenses that may be incurred in carrying out the ongoing management activities included in the plan.</w:t>
      </w:r>
    </w:p>
    <w:p w14:paraId="7B9FEE9E" w14:textId="4EC0FD88" w:rsidR="008924E7" w:rsidRDefault="244F9D29" w:rsidP="00781FE2">
      <w:r>
        <w:t xml:space="preserve">ERR </w:t>
      </w:r>
      <w:r w:rsidR="0A3DEB62">
        <w:t xml:space="preserve">will then determine if the operator is required to make a residual risk payment to cover the Government’s costs of potential future rehabilitation and management of the land after the </w:t>
      </w:r>
      <w:r w:rsidR="51E59391">
        <w:t>EA</w:t>
      </w:r>
      <w:r w:rsidR="0A3DEB62">
        <w:t xml:space="preserve"> is relinquished and the operator’s financial assurance has been returned.</w:t>
      </w:r>
      <w:r w:rsidR="008924E7">
        <w:rPr>
          <w:rStyle w:val="FootnoteReference"/>
        </w:rPr>
        <w:footnoteReference w:id="216"/>
      </w:r>
      <w:r w:rsidR="0A3DEB62">
        <w:t xml:space="preserve"> </w:t>
      </w:r>
    </w:p>
    <w:p w14:paraId="06D36E7C" w14:textId="77777777" w:rsidR="00016F85" w:rsidRDefault="00016F85" w:rsidP="007C37B9">
      <w:pPr>
        <w:pStyle w:val="ListBullet"/>
        <w:numPr>
          <w:ilvl w:val="0"/>
          <w:numId w:val="0"/>
        </w:numPr>
        <w:ind w:left="360" w:hanging="360"/>
      </w:pPr>
    </w:p>
    <w:p w14:paraId="2017722B" w14:textId="6FDB738A" w:rsidR="00016F85" w:rsidRDefault="00016F85" w:rsidP="00016F85">
      <w:pPr>
        <w:pStyle w:val="introparagraph"/>
      </w:pPr>
      <w:r>
        <w:t>Western Australia</w:t>
      </w:r>
    </w:p>
    <w:p w14:paraId="50EC6334" w14:textId="1E8FB421" w:rsidR="00450F60" w:rsidRDefault="0088096A" w:rsidP="000C6EEB">
      <w:r>
        <w:t xml:space="preserve">Environmental regulation in Western Australia has the principle objective that ‘resource industry activities are designed, operated, closed, decommissioned and rehabilitated in an ecologically sustainable manner, consistent with agreed environmental outcomes and </w:t>
      </w:r>
      <w:r w:rsidR="00467BD3">
        <w:t>post mining land uses</w:t>
      </w:r>
      <w:r>
        <w:t xml:space="preserve"> without unacceptable liability to the State’.</w:t>
      </w:r>
      <w:r>
        <w:rPr>
          <w:rStyle w:val="FootnoteReference"/>
        </w:rPr>
        <w:footnoteReference w:id="217"/>
      </w:r>
    </w:p>
    <w:p w14:paraId="1A26F7B4" w14:textId="5CCB1C4D" w:rsidR="00004A06" w:rsidRDefault="00004A06" w:rsidP="00127803">
      <w:r>
        <w:t xml:space="preserve">Prospective mine operators must submit a mining proposal to </w:t>
      </w:r>
      <w:r w:rsidR="00F75F6C">
        <w:t xml:space="preserve">ERR </w:t>
      </w:r>
      <w:r>
        <w:t xml:space="preserve">prior to commencing operations. The proposal needs to include a Mine Closure Plan (‘MCP’), which describes from the outset the operator’s proposed plan for restoring the mine site towards closure. </w:t>
      </w:r>
    </w:p>
    <w:p w14:paraId="296741FD" w14:textId="1D1BF4E8" w:rsidR="00450F60" w:rsidRPr="005305DF" w:rsidRDefault="00450F60" w:rsidP="00450F60">
      <w:pPr>
        <w:rPr>
          <w:rStyle w:val="IntenseEmphasis"/>
        </w:rPr>
      </w:pPr>
      <w:r w:rsidRPr="005305DF">
        <w:rPr>
          <w:rStyle w:val="IntenseEmphasis"/>
        </w:rPr>
        <w:t xml:space="preserve">Contents of the </w:t>
      </w:r>
      <w:r w:rsidR="00004A06">
        <w:rPr>
          <w:rStyle w:val="IntenseEmphasis"/>
        </w:rPr>
        <w:t>MCP</w:t>
      </w:r>
    </w:p>
    <w:p w14:paraId="2F9CC1A5" w14:textId="7709A444" w:rsidR="007C37B9" w:rsidRDefault="00836104" w:rsidP="007C37B9">
      <w:pPr>
        <w:pStyle w:val="Numberedlist"/>
        <w:numPr>
          <w:ilvl w:val="0"/>
          <w:numId w:val="0"/>
        </w:numPr>
      </w:pPr>
      <w:r>
        <w:t xml:space="preserve">Under the Statutory Guidelines for </w:t>
      </w:r>
      <w:r w:rsidR="7C8482E9">
        <w:t>MCPs</w:t>
      </w:r>
      <w:r>
        <w:t xml:space="preserve"> (effective 3 March 2020), t</w:t>
      </w:r>
      <w:r w:rsidR="00004A06">
        <w:t>he MCP must include:</w:t>
      </w:r>
    </w:p>
    <w:p w14:paraId="68F4B61C" w14:textId="6043125D" w:rsidR="00004A06" w:rsidRDefault="00004A06" w:rsidP="00004A06">
      <w:pPr>
        <w:pStyle w:val="ListBullet"/>
      </w:pPr>
      <w:r>
        <w:t>A project summary, including a map of all land disturbances</w:t>
      </w:r>
    </w:p>
    <w:p w14:paraId="082463BD" w14:textId="09FE17DB" w:rsidR="00004A06" w:rsidRDefault="00004A06" w:rsidP="00004A06">
      <w:pPr>
        <w:pStyle w:val="ListBullet"/>
      </w:pPr>
      <w:r>
        <w:t xml:space="preserve">An identification of all legal obligations for rehabilitation and closure affecting the </w:t>
      </w:r>
      <w:r w:rsidR="00467BD3">
        <w:t>post mining land use</w:t>
      </w:r>
      <w:r>
        <w:t xml:space="preserve"> and closure outcomes</w:t>
      </w:r>
    </w:p>
    <w:p w14:paraId="0636F6EE" w14:textId="144C55F6" w:rsidR="00004A06" w:rsidRDefault="00004A06" w:rsidP="00004A06">
      <w:pPr>
        <w:pStyle w:val="ListBullet"/>
      </w:pPr>
      <w:r>
        <w:t>Information about the stakeholder engagement that has been undertaken to date, and a strategy for ongoing engagement</w:t>
      </w:r>
    </w:p>
    <w:p w14:paraId="797F58A4" w14:textId="18AEF669" w:rsidR="00004A06" w:rsidRDefault="00004A06" w:rsidP="00004A06">
      <w:pPr>
        <w:pStyle w:val="ListBullet"/>
      </w:pPr>
      <w:r>
        <w:t xml:space="preserve">Baseline and closure data and analysis – </w:t>
      </w:r>
    </w:p>
    <w:p w14:paraId="4F8A7D4E" w14:textId="5DA2C0B8" w:rsidR="00004A06" w:rsidRDefault="36667F60" w:rsidP="000C6EEB">
      <w:pPr>
        <w:pStyle w:val="ListBullet"/>
        <w:numPr>
          <w:ilvl w:val="1"/>
          <w:numId w:val="29"/>
        </w:numPr>
      </w:pPr>
      <w:r>
        <w:t xml:space="preserve">Baseline data to inform rehabilitation and closure outcomes and criteria, identify the issues to be managed, and establish baseline conditions for closure monitoring </w:t>
      </w:r>
      <w:r w:rsidR="78783F88">
        <w:t>programs.</w:t>
      </w:r>
    </w:p>
    <w:p w14:paraId="67002314" w14:textId="49ED60C0" w:rsidR="00836104" w:rsidRDefault="78783F88" w:rsidP="000C6EEB">
      <w:pPr>
        <w:pStyle w:val="ListBullet"/>
        <w:numPr>
          <w:ilvl w:val="1"/>
          <w:numId w:val="29"/>
        </w:numPr>
      </w:pPr>
      <w:r>
        <w:t>Analysis of the baseline data to describe how the wider environment, receptors and exposure pathways have been considered, and to identify knowledge gaps and the risks of not having this information.</w:t>
      </w:r>
    </w:p>
    <w:p w14:paraId="7C0D9898" w14:textId="1BBC4D84" w:rsidR="00836104" w:rsidRDefault="66C7C431" w:rsidP="000C6EEB">
      <w:pPr>
        <w:pStyle w:val="ListBullet"/>
      </w:pPr>
      <w:r>
        <w:t>Post mining land uses</w:t>
      </w:r>
      <w:r w:rsidR="78783F88">
        <w:t xml:space="preserve"> that have been proposed or agreed with key stakeholders, including regulators – </w:t>
      </w:r>
    </w:p>
    <w:p w14:paraId="290E2BB8" w14:textId="4A910E5B" w:rsidR="00836104" w:rsidRDefault="78783F88" w:rsidP="000C6EEB">
      <w:pPr>
        <w:pStyle w:val="ListBullet"/>
        <w:numPr>
          <w:ilvl w:val="1"/>
          <w:numId w:val="29"/>
        </w:numPr>
      </w:pPr>
      <w:r>
        <w:t xml:space="preserve">The MCP must describe how the </w:t>
      </w:r>
      <w:r w:rsidR="66C7C431">
        <w:t>post mining land use</w:t>
      </w:r>
      <w:r>
        <w:t>(s) is/are relevant to the environment of the mine, achievable, acceptable to stakeholders, and ecologically sustainable in the context of the local and regional environment.</w:t>
      </w:r>
    </w:p>
    <w:p w14:paraId="46749B25" w14:textId="593E7FAA" w:rsidR="00836104" w:rsidRDefault="00836104" w:rsidP="000C6EEB">
      <w:pPr>
        <w:pStyle w:val="ListBullet"/>
      </w:pPr>
      <w:r>
        <w:t>A closure risk assessment that identifies, evaluates and rates all closure risks; identifies appropriate risk treatments; re-evaluates risk pathways post the application of treatments to identify a residual risk rating; and demonstrates that all residual risks are as low as reasonably practicable</w:t>
      </w:r>
    </w:p>
    <w:p w14:paraId="4DB48C40" w14:textId="3E2469B2" w:rsidR="00836104" w:rsidRDefault="78783F88" w:rsidP="000C6EEB">
      <w:pPr>
        <w:pStyle w:val="ListBullet"/>
        <w:numPr>
          <w:ilvl w:val="1"/>
          <w:numId w:val="29"/>
        </w:numPr>
      </w:pPr>
      <w:r>
        <w:t>The MCP also needs to provide information on the methodologies used to identify and assess these risks.</w:t>
      </w:r>
    </w:p>
    <w:p w14:paraId="4D3B620A" w14:textId="6C894EFC" w:rsidR="00836104" w:rsidRDefault="00836104" w:rsidP="000C6EEB">
      <w:pPr>
        <w:pStyle w:val="ListBullet"/>
      </w:pPr>
      <w:r>
        <w:t xml:space="preserve">Closure outcomes and completion criteria – </w:t>
      </w:r>
    </w:p>
    <w:p w14:paraId="639B8219" w14:textId="59D989EE" w:rsidR="00836104" w:rsidRDefault="00836104" w:rsidP="000C6EEB">
      <w:pPr>
        <w:pStyle w:val="ListBullet"/>
        <w:numPr>
          <w:ilvl w:val="1"/>
          <w:numId w:val="29"/>
        </w:numPr>
      </w:pPr>
      <w:r>
        <w:t xml:space="preserve">Site-specific closure outcomes consistent with the </w:t>
      </w:r>
      <w:r w:rsidR="00467BD3">
        <w:t>post mining land use</w:t>
      </w:r>
      <w:r>
        <w:t>(s) that are realistic and achievable based on the closure risk assessment</w:t>
      </w:r>
    </w:p>
    <w:p w14:paraId="09649D03" w14:textId="2DB899BC" w:rsidR="00836104" w:rsidRDefault="78783F88" w:rsidP="000C6EEB">
      <w:pPr>
        <w:pStyle w:val="ListBullet"/>
        <w:numPr>
          <w:ilvl w:val="1"/>
          <w:numId w:val="29"/>
        </w:numPr>
      </w:pPr>
      <w:r>
        <w:t>Completion criteria that are specific, measurable, achievable, relevant and time-bound, and will demonstrate the achievement of the closure outcomes.</w:t>
      </w:r>
    </w:p>
    <w:p w14:paraId="5D13AA22" w14:textId="78A93DD9" w:rsidR="00836104" w:rsidRDefault="00836104" w:rsidP="000C6EEB">
      <w:pPr>
        <w:pStyle w:val="ListBullet"/>
      </w:pPr>
      <w:r>
        <w:t>Closure implementation work program, including implementation strategies and timeframes; closure designs; and contingencies for premature or early closure or suspension of operations</w:t>
      </w:r>
    </w:p>
    <w:p w14:paraId="72CF8F09" w14:textId="6FB58875" w:rsidR="00836104" w:rsidRDefault="00836104" w:rsidP="000C6EEB">
      <w:pPr>
        <w:pStyle w:val="ListBullet"/>
      </w:pPr>
      <w:r>
        <w:t>A closure monitoring and maintenance framework to monitor progress</w:t>
      </w:r>
    </w:p>
    <w:p w14:paraId="7586EAF2" w14:textId="6D891AD1" w:rsidR="00836104" w:rsidRDefault="00836104" w:rsidP="000C6EEB">
      <w:pPr>
        <w:pStyle w:val="ListBullet"/>
      </w:pPr>
      <w:r>
        <w:lastRenderedPageBreak/>
        <w:t>Details of closure costing methodology, including clearly documented assumptions and uncertainties</w:t>
      </w:r>
    </w:p>
    <w:p w14:paraId="0A71BF27" w14:textId="4BAAC774" w:rsidR="00004A06" w:rsidRDefault="00836104" w:rsidP="00127803">
      <w:pPr>
        <w:pStyle w:val="ListBullet"/>
      </w:pPr>
      <w:r>
        <w:t>A description of data management strategies, including systems for the retention of mine records and data relevant to closure</w:t>
      </w:r>
    </w:p>
    <w:p w14:paraId="334D603B" w14:textId="710EE719" w:rsidR="00450F60" w:rsidRDefault="00450F60" w:rsidP="00450F60">
      <w:pPr>
        <w:rPr>
          <w:rStyle w:val="IntenseEmphasis"/>
          <w:i w:val="0"/>
          <w:iCs w:val="0"/>
        </w:rPr>
      </w:pPr>
      <w:r>
        <w:rPr>
          <w:rStyle w:val="IntenseEmphasis"/>
        </w:rPr>
        <w:t xml:space="preserve">Review and monitoring of the </w:t>
      </w:r>
      <w:r w:rsidR="00127803">
        <w:rPr>
          <w:rStyle w:val="IntenseEmphasis"/>
        </w:rPr>
        <w:t>MCP</w:t>
      </w:r>
    </w:p>
    <w:p w14:paraId="60BBB35A" w14:textId="77777777" w:rsidR="00127803" w:rsidRDefault="00127803" w:rsidP="00127803">
      <w:r>
        <w:t>The rehabilitation framework acknowledges that the progressive development of an MCP over the mine lifecycle, alongside progressive rehabilitation, are critical to its successful implementation, and to achieving rehabilitation outcomes.</w:t>
      </w:r>
    </w:p>
    <w:p w14:paraId="0FF3478A" w14:textId="42A2203E" w:rsidR="000C6EEB" w:rsidRPr="00127803" w:rsidRDefault="000C6EEB" w:rsidP="00127803">
      <w:r w:rsidRPr="00127803">
        <w:t>Min</w:t>
      </w:r>
      <w:r w:rsidR="00127803">
        <w:t>e operators are required to ensure that their MCP is reviewed three years after its initial approval, and every three years thereafter. The reviewed MCP has to include an environmental closure risk assessment that: identifies all the environmental closure risk pathways; evaluates these risks to derive an inherent risk rating, prior to the application of treatments; identifies appropriate risk treatments, using the hierarchy of control; re-evaluates the risk pathways to derive a residual risk rating; and demonstrates that all residual risks are as low as reasonably practicable. The reviewed mine closure plan must provide information on the processes and methodologies undertaken to identify the closure risks and their potential environmental impacts post-mining, including a description of the risk assessment criteria and risk evaluation techniques.</w:t>
      </w:r>
    </w:p>
    <w:p w14:paraId="32D3511C" w14:textId="6859DC63" w:rsidR="00450F60" w:rsidRDefault="00127803" w:rsidP="00450F60">
      <w:pPr>
        <w:rPr>
          <w:rStyle w:val="IntenseEmphasis"/>
        </w:rPr>
      </w:pPr>
      <w:r>
        <w:rPr>
          <w:rStyle w:val="IntenseEmphasis"/>
        </w:rPr>
        <w:t>Mining Rehabilitation Fund</w:t>
      </w:r>
    </w:p>
    <w:p w14:paraId="6C069EE7" w14:textId="7D64DDC5" w:rsidR="008B32EF" w:rsidRDefault="0DFDAF2A" w:rsidP="00127803">
      <w:r w:rsidRPr="00127803">
        <w:t>The</w:t>
      </w:r>
      <w:r>
        <w:t xml:space="preserve"> Mine Rehabilitation Fund is designed to meet the costs of rehabilitating abandoned mines across WA in circumstances where operators have failed to meet rehabilitation obligations and efforts to recover funds from them have been unsuccessful.</w:t>
      </w:r>
      <w:r w:rsidR="00127803">
        <w:rPr>
          <w:rStyle w:val="FootnoteReference"/>
        </w:rPr>
        <w:footnoteReference w:id="218"/>
      </w:r>
      <w:r>
        <w:t xml:space="preserve"> Operators of mines with a rehabilitation liability estimate (calculated per a statutory calculator) of $50,000 or more must pay an annual contribution to the Fund.</w:t>
      </w:r>
    </w:p>
    <w:p w14:paraId="6A3E0BE9" w14:textId="5107E0E2" w:rsidR="008B32EF" w:rsidRDefault="008B32EF" w:rsidP="006E1000">
      <w:pPr>
        <w:pStyle w:val="introparagraph"/>
      </w:pPr>
      <w:r>
        <w:t>New South Wales</w:t>
      </w:r>
    </w:p>
    <w:p w14:paraId="75FAED21" w14:textId="77777777" w:rsidR="008B32EF" w:rsidRPr="000217E5" w:rsidRDefault="008B32EF" w:rsidP="008B32EF">
      <w:bookmarkStart w:id="434" w:name="_Hlk27660937"/>
      <w:r>
        <w:t xml:space="preserve">New South Wales’ </w:t>
      </w:r>
      <w:r w:rsidRPr="000217E5">
        <w:t>regulatory approach is outcomes focused whilst being flexible to allow for industry to develop and implement innovative and best practice methodologies specific to a site.</w:t>
      </w:r>
    </w:p>
    <w:p w14:paraId="1AE44576" w14:textId="569E83B7" w:rsidR="008B32EF" w:rsidRPr="006E1000" w:rsidRDefault="008B32EF" w:rsidP="008B32EF">
      <w:pPr>
        <w:rPr>
          <w:rStyle w:val="IntenseEmphasis"/>
        </w:rPr>
      </w:pPr>
      <w:r w:rsidRPr="006E1000">
        <w:rPr>
          <w:rStyle w:val="IntenseEmphasis"/>
        </w:rPr>
        <w:t>Objectives</w:t>
      </w:r>
    </w:p>
    <w:p w14:paraId="36680CFD" w14:textId="3190CBB9" w:rsidR="008B32EF" w:rsidRPr="008C038C" w:rsidRDefault="008B32EF" w:rsidP="008B32EF">
      <w:r w:rsidRPr="008C038C">
        <w:t>The </w:t>
      </w:r>
      <w:r w:rsidRPr="008C038C">
        <w:rPr>
          <w:i/>
          <w:iCs/>
        </w:rPr>
        <w:t>Mining Act 1992</w:t>
      </w:r>
      <w:r w:rsidRPr="008C038C">
        <w:t> defines rehabilitation as the treatment or management of disturbed land or water for the purpose of establishing a safe and stable environment.</w:t>
      </w:r>
      <w:r>
        <w:t xml:space="preserve"> Rehabilitation is achieved when land is </w:t>
      </w:r>
      <w:r w:rsidRPr="008C038C">
        <w:t>safe, stable and</w:t>
      </w:r>
      <w:r>
        <w:t xml:space="preserve"> in a</w:t>
      </w:r>
      <w:r w:rsidRPr="008C038C">
        <w:t xml:space="preserve"> self-sustaining condition</w:t>
      </w:r>
      <w:r>
        <w:t>.</w:t>
      </w:r>
    </w:p>
    <w:p w14:paraId="3966B19F" w14:textId="3CD99B77" w:rsidR="008B32EF" w:rsidRPr="006E1000" w:rsidRDefault="008B32EF" w:rsidP="008B32EF">
      <w:pPr>
        <w:rPr>
          <w:rStyle w:val="IntenseEmphasis"/>
        </w:rPr>
      </w:pPr>
      <w:r w:rsidRPr="006E1000">
        <w:rPr>
          <w:rStyle w:val="IntenseEmphasis"/>
        </w:rPr>
        <w:t>Rehabilitation and Post-Closure Plan </w:t>
      </w:r>
    </w:p>
    <w:p w14:paraId="50C72571" w14:textId="3C08D1D5" w:rsidR="008B32EF" w:rsidRDefault="008B32EF" w:rsidP="008B32EF">
      <w:r w:rsidRPr="008C038C">
        <w:t>A rehabilitation plan has objectives that are agreed upon by the community and government, and lays out the post-mining use of the land.</w:t>
      </w:r>
    </w:p>
    <w:p w14:paraId="02F45099" w14:textId="77777777" w:rsidR="008B32EF" w:rsidRPr="000217E5" w:rsidRDefault="008B32EF" w:rsidP="008B32EF">
      <w:r>
        <w:t>T</w:t>
      </w:r>
      <w:r w:rsidRPr="000217E5">
        <w:t>itleholders are required to develop and implement a Mining Operations Plan (MOP)</w:t>
      </w:r>
      <w:r>
        <w:t xml:space="preserve"> (</w:t>
      </w:r>
      <w:r w:rsidRPr="000217E5">
        <w:t>soon to be called a Rehabilitation Management Plan (RMP)</w:t>
      </w:r>
      <w:r>
        <w:t>)</w:t>
      </w:r>
      <w:r w:rsidRPr="000217E5">
        <w:t>, which includes the following:</w:t>
      </w:r>
    </w:p>
    <w:p w14:paraId="71C4AA50" w14:textId="4060A92D" w:rsidR="008B32EF" w:rsidRPr="000217E5" w:rsidRDefault="39D579D8" w:rsidP="006E1000">
      <w:pPr>
        <w:pStyle w:val="dotpoints"/>
      </w:pPr>
      <w:r>
        <w:t>objectives and criteria for rehabilitation that are required to be met for rehabilitation before the Division will relinquish the mining lease and any associated rehabilitation security bond</w:t>
      </w:r>
      <w:r w:rsidR="008B32EF">
        <w:t>;</w:t>
      </w:r>
    </w:p>
    <w:p w14:paraId="20C6A9C4" w14:textId="77777777" w:rsidR="008B32EF" w:rsidRPr="000217E5" w:rsidRDefault="39D579D8" w:rsidP="006E1000">
      <w:pPr>
        <w:pStyle w:val="dotpoints"/>
      </w:pPr>
      <w:r>
        <w:t>proposed rehabilitation plans including a progressive rehabilitation schedule for the entire life cycle of a mine</w:t>
      </w:r>
      <w:r w:rsidR="008B32EF">
        <w:t>;</w:t>
      </w:r>
    </w:p>
    <w:p w14:paraId="006B8193" w14:textId="77777777" w:rsidR="008B32EF" w:rsidRPr="000217E5" w:rsidRDefault="39D579D8" w:rsidP="006E1000">
      <w:pPr>
        <w:pStyle w:val="dotpoints"/>
      </w:pPr>
      <w:r>
        <w:t>defined key risks and opportunities that need to be addressed to achieve successful rehabilitation</w:t>
      </w:r>
      <w:r w:rsidR="008B32EF">
        <w:t>;</w:t>
      </w:r>
    </w:p>
    <w:p w14:paraId="37568ED0" w14:textId="77777777" w:rsidR="008B32EF" w:rsidRPr="000217E5" w:rsidRDefault="39D579D8" w:rsidP="006E1000">
      <w:pPr>
        <w:pStyle w:val="dotpoints"/>
      </w:pPr>
      <w:r>
        <w:t>the range of risk-based rehabilitation controls and methodologies</w:t>
      </w:r>
      <w:r w:rsidR="008B32EF">
        <w:t>;</w:t>
      </w:r>
    </w:p>
    <w:p w14:paraId="0EB19410" w14:textId="77777777" w:rsidR="008B32EF" w:rsidRPr="000217E5" w:rsidRDefault="008B32EF" w:rsidP="006E1000">
      <w:pPr>
        <w:pStyle w:val="dotpoints"/>
      </w:pPr>
      <w:r w:rsidRPr="000217E5">
        <w:t>detailed monitoring programs designed to measure performance and compliance against the criteria as well as promote adaptive management processes.</w:t>
      </w:r>
    </w:p>
    <w:p w14:paraId="4D89E83A" w14:textId="77777777" w:rsidR="008B32EF" w:rsidRPr="000217E5" w:rsidRDefault="008B32EF" w:rsidP="008B32EF">
      <w:r>
        <w:t>A</w:t>
      </w:r>
      <w:r w:rsidRPr="000217E5">
        <w:t>uthorisation holders are required to report on the performance of rehabilitation on an annual basis against MOP/RMP and development approval commitments.</w:t>
      </w:r>
    </w:p>
    <w:p w14:paraId="3E9EDEAC" w14:textId="77777777" w:rsidR="008B32EF" w:rsidRPr="000217E5" w:rsidRDefault="008B32EF" w:rsidP="008B32EF">
      <w:r w:rsidRPr="000217E5">
        <w:lastRenderedPageBreak/>
        <w:t>Rehabilitation commitments and post mining land use objectives for mining development are established as part of the development approval/EIS phase of a mining project and approved by a determining authority such as Department of Planning and Environment or a local council under the </w:t>
      </w:r>
      <w:r w:rsidRPr="000217E5">
        <w:rPr>
          <w:i/>
        </w:rPr>
        <w:t>Environment Planning &amp; Assessment Act 1979</w:t>
      </w:r>
      <w:r w:rsidRPr="000217E5">
        <w:t>. The Division’s role under the Mining Act is to regulate rehabilitation activities to ensure that the post-mining land uses of a development approval issued under the Environment Planning &amp; Assessment Act 1979 are met.</w:t>
      </w:r>
    </w:p>
    <w:p w14:paraId="100DAD03" w14:textId="289BB401" w:rsidR="008B32EF" w:rsidRPr="006E1000" w:rsidRDefault="008B32EF" w:rsidP="008B32EF">
      <w:pPr>
        <w:rPr>
          <w:rStyle w:val="IntenseEmphasis"/>
        </w:rPr>
      </w:pPr>
      <w:r w:rsidRPr="006E1000">
        <w:rPr>
          <w:rStyle w:val="IntenseEmphasis"/>
        </w:rPr>
        <w:t>Approvals Process</w:t>
      </w:r>
    </w:p>
    <w:p w14:paraId="6FD15202" w14:textId="7A83096E" w:rsidR="008B32EF" w:rsidRDefault="008B32EF" w:rsidP="008B32EF">
      <w:r w:rsidRPr="008C038C">
        <w:t>The acceptability of a final void is determined by individual merit-based assessment of the proponent’s rehabilitation proposal.</w:t>
      </w:r>
      <w:r>
        <w:t xml:space="preserve"> </w:t>
      </w:r>
    </w:p>
    <w:p w14:paraId="4C441BA6" w14:textId="77777777" w:rsidR="008B32EF" w:rsidRPr="008C038C" w:rsidRDefault="008B32EF" w:rsidP="008B32EF">
      <w:r w:rsidRPr="008C038C">
        <w:t>Completion criteria represent milestones in the biophysical processes of rehabilitation that provide a high degree of confidence that the rehabilitated mine will eventually reach the desired sustainable state (the rehabilitation objective). Completion criteria indicate the success of rehabilitation and enable the operator to determine when its liability for the area ceases.</w:t>
      </w:r>
    </w:p>
    <w:p w14:paraId="61742253" w14:textId="534E9944" w:rsidR="008B32EF" w:rsidRDefault="008B32EF" w:rsidP="008B32EF">
      <w:pPr>
        <w:rPr>
          <w:rStyle w:val="IntenseEmphasis"/>
        </w:rPr>
      </w:pPr>
      <w:r w:rsidRPr="006E1000">
        <w:rPr>
          <w:rStyle w:val="IntenseEmphasis"/>
        </w:rPr>
        <w:t xml:space="preserve">Rehabilitation and </w:t>
      </w:r>
    </w:p>
    <w:p w14:paraId="6125380D" w14:textId="77777777" w:rsidR="007B50AA" w:rsidRDefault="007B50AA" w:rsidP="008B32EF"/>
    <w:p w14:paraId="21C11590" w14:textId="43CE6C80" w:rsidR="008B32EF" w:rsidRDefault="008B32EF" w:rsidP="008B32EF">
      <w:r w:rsidRPr="008C038C">
        <w:t xml:space="preserve">A revised Rehabilitation Cost Estimated Tool </w:t>
      </w:r>
      <w:r>
        <w:t xml:space="preserve">was implemented </w:t>
      </w:r>
      <w:r w:rsidRPr="008C038C">
        <w:t>on 1 June 2017.</w:t>
      </w:r>
      <w:r>
        <w:t xml:space="preserve"> </w:t>
      </w:r>
      <w:r w:rsidRPr="00610CA6">
        <w:t xml:space="preserve">Mining leases contain detailed, operational requirements for rehabilitation of the site and lodgement of a security deposit. </w:t>
      </w:r>
      <w:r>
        <w:t xml:space="preserve"> </w:t>
      </w:r>
      <w:r w:rsidRPr="00610CA6">
        <w:t>NSW requires a security deposit covering the full cost of rehabilitation.</w:t>
      </w:r>
      <w:bookmarkEnd w:id="434"/>
    </w:p>
    <w:p w14:paraId="7C660A23" w14:textId="27BFFF91" w:rsidR="008B32EF" w:rsidRDefault="008B32EF" w:rsidP="006E1000">
      <w:pPr>
        <w:pStyle w:val="introparagraph"/>
      </w:pPr>
      <w:r>
        <w:t>South Australia</w:t>
      </w:r>
    </w:p>
    <w:p w14:paraId="17115E8E" w14:textId="77777777" w:rsidR="008B32EF" w:rsidRDefault="008B32EF" w:rsidP="008B32EF">
      <w:r>
        <w:t xml:space="preserve">Reforms in 2011 moved South Australia to an outcomes-based regulatory system. </w:t>
      </w:r>
    </w:p>
    <w:p w14:paraId="10653A8A" w14:textId="77777777" w:rsidR="008B32EF" w:rsidRPr="008323CC" w:rsidRDefault="008B32EF" w:rsidP="008B32EF">
      <w:r>
        <w:t xml:space="preserve">In South Australia mineral exploration, extraction and sales are regulated under the </w:t>
      </w:r>
      <w:r w:rsidRPr="006E1000">
        <w:rPr>
          <w:i/>
          <w:iCs/>
        </w:rPr>
        <w:t>Mining Act 1971</w:t>
      </w:r>
      <w:r>
        <w:t xml:space="preserve"> and the Mining Regulations 2011. </w:t>
      </w:r>
    </w:p>
    <w:p w14:paraId="093639F1" w14:textId="056C0CBC" w:rsidR="008B32EF" w:rsidRPr="006E1000" w:rsidRDefault="008B32EF" w:rsidP="008B32EF">
      <w:pPr>
        <w:rPr>
          <w:rStyle w:val="IntenseEmphasis"/>
        </w:rPr>
      </w:pPr>
      <w:r w:rsidRPr="006E1000">
        <w:rPr>
          <w:rStyle w:val="IntenseEmphasis"/>
        </w:rPr>
        <w:t>Objectives</w:t>
      </w:r>
    </w:p>
    <w:p w14:paraId="004BD5EB" w14:textId="7F916E02" w:rsidR="008B32EF" w:rsidRPr="006A3281" w:rsidRDefault="008B32EF" w:rsidP="008B32EF">
      <w:r w:rsidRPr="006A3281">
        <w:t>Mining operations in South Australia are to be planned from the outset to ultimately return the land, after mining has been completed, to a state in which no third-party impacts are likely to occur indefinitely into the future. This means for the site to be left in a safe and physically, geochemically, and ecologically stable condition with acceptable external visual amenity.</w:t>
      </w:r>
    </w:p>
    <w:p w14:paraId="0E2599B0" w14:textId="4A200696" w:rsidR="008B32EF" w:rsidRPr="006E1000" w:rsidRDefault="008B32EF" w:rsidP="008B32EF">
      <w:pPr>
        <w:rPr>
          <w:rStyle w:val="IntenseEmphasis"/>
        </w:rPr>
      </w:pPr>
      <w:r w:rsidRPr="006E1000">
        <w:rPr>
          <w:rStyle w:val="IntenseEmphasis"/>
        </w:rPr>
        <w:t xml:space="preserve">Rehabilitation and Post-Closure Plan </w:t>
      </w:r>
    </w:p>
    <w:p w14:paraId="785A45C6" w14:textId="154188B1" w:rsidR="008B32EF" w:rsidRDefault="008B32EF" w:rsidP="008B32EF">
      <w:r>
        <w:t xml:space="preserve">A Program for Environment Protection and Rehabilitation (PEPR) must be completed by mining operators and approved by the South Australian Government. </w:t>
      </w:r>
    </w:p>
    <w:p w14:paraId="3A33BFFB" w14:textId="77777777" w:rsidR="008B32EF" w:rsidRPr="006A3281" w:rsidRDefault="008B32EF" w:rsidP="008B32EF">
      <w:r w:rsidRPr="006A3281">
        <w:t>The PEPR guideline details the process of developing appropriate rehabilitation strategies, mine completion environmental outcomes, and completion criteria</w:t>
      </w:r>
      <w:r>
        <w:t xml:space="preserve">. </w:t>
      </w:r>
      <w:r w:rsidRPr="006A3281">
        <w:t xml:space="preserve">The PEPR must contain a description of the site as it will be at completion (after all progressive rehabilitation </w:t>
      </w:r>
      <w:r>
        <w:t>is</w:t>
      </w:r>
      <w:r w:rsidRPr="006A3281">
        <w:t xml:space="preserve"> completed)</w:t>
      </w:r>
      <w:r>
        <w:t>, including:</w:t>
      </w:r>
      <w:r w:rsidRPr="006A3281">
        <w:t xml:space="preserve"> </w:t>
      </w:r>
    </w:p>
    <w:p w14:paraId="6E58DC91" w14:textId="77777777" w:rsidR="008B32EF" w:rsidRPr="006A3281" w:rsidRDefault="39D579D8" w:rsidP="006E1000">
      <w:pPr>
        <w:pStyle w:val="dotpoints"/>
      </w:pPr>
      <w:r>
        <w:t>potential land use options, landforms and proposed vegetation cover</w:t>
      </w:r>
      <w:r w:rsidR="008B32EF">
        <w:t>.</w:t>
      </w:r>
      <w:r>
        <w:t xml:space="preserve"> </w:t>
      </w:r>
    </w:p>
    <w:p w14:paraId="6212A574" w14:textId="77777777" w:rsidR="008B32EF" w:rsidRPr="006A3281" w:rsidRDefault="008B32EF" w:rsidP="006E1000">
      <w:pPr>
        <w:pStyle w:val="dotpoints"/>
      </w:pPr>
      <w:r w:rsidRPr="006A3281">
        <w:t>a description of progressive and final rehabilitation strategies.</w:t>
      </w:r>
    </w:p>
    <w:p w14:paraId="006239DF" w14:textId="77777777" w:rsidR="008B32EF" w:rsidRDefault="008B32EF">
      <w:pPr>
        <w:rPr>
          <w:b/>
          <w:i/>
        </w:rPr>
      </w:pPr>
      <w:r w:rsidRPr="41DCF473">
        <w:rPr>
          <w:rFonts w:eastAsia="Calibri"/>
        </w:rPr>
        <w:t>The PEPR must include a description of progressive rehabilitation activities designed to achieve the mine completion strategy.</w:t>
      </w:r>
    </w:p>
    <w:p w14:paraId="5352D49C" w14:textId="77777777" w:rsidR="008B32EF" w:rsidRDefault="008B32EF">
      <w:r w:rsidRPr="006A3281">
        <w:t>Outcome measurement criteria must be developed for each of the environmental outcomes (including mine rehabilitation outcomes). Certain but reasonable and realistically achievable outcomes must be proposed. Where appropriate, recognised industry standards, codes of practice or legislative provisions from other Acts can be used as criteria.</w:t>
      </w:r>
    </w:p>
    <w:p w14:paraId="2BB35225" w14:textId="77777777" w:rsidR="008B32EF" w:rsidRPr="005F734A" w:rsidRDefault="008B32EF" w:rsidP="008B32EF">
      <w:r w:rsidRPr="005F734A">
        <w:t>Mining leases contain a condition that requires the PEPR to be a public document at all times.</w:t>
      </w:r>
    </w:p>
    <w:p w14:paraId="14B53BDA" w14:textId="4A14154B" w:rsidR="008B32EF" w:rsidRPr="006E1000" w:rsidRDefault="008B32EF" w:rsidP="008B32EF">
      <w:pPr>
        <w:rPr>
          <w:rStyle w:val="IntenseEmphasis"/>
        </w:rPr>
      </w:pPr>
      <w:r w:rsidRPr="006E1000">
        <w:rPr>
          <w:rStyle w:val="IntenseEmphasis"/>
        </w:rPr>
        <w:t>Approvals Process</w:t>
      </w:r>
    </w:p>
    <w:p w14:paraId="196325C4" w14:textId="2820FDCC" w:rsidR="008B32EF" w:rsidRPr="001B32CF" w:rsidRDefault="008B32EF" w:rsidP="008B32EF">
      <w:pPr>
        <w:rPr>
          <w:i/>
        </w:rPr>
      </w:pPr>
      <w:r>
        <w:lastRenderedPageBreak/>
        <w:t xml:space="preserve">Relinquishment of a mining lease and the associated transfer </w:t>
      </w:r>
      <w:r w:rsidRPr="005F734A">
        <w:t>of liability must be applied for. The application must include a ‘mine completion report’ that includes a residual risk analysis and proposed post-surrender action, including arrangements for maintenance and funding.</w:t>
      </w:r>
      <w:r w:rsidRPr="001B32CF">
        <w:rPr>
          <w:i/>
        </w:rPr>
        <w:t xml:space="preserve"> </w:t>
      </w:r>
    </w:p>
    <w:p w14:paraId="3CA5503C" w14:textId="07AC82FB" w:rsidR="008B32EF" w:rsidRPr="006E1000" w:rsidRDefault="008B32EF" w:rsidP="008B32EF">
      <w:pPr>
        <w:rPr>
          <w:rStyle w:val="IntenseEmphasis"/>
        </w:rPr>
      </w:pPr>
      <w:r w:rsidRPr="006E1000">
        <w:rPr>
          <w:rStyle w:val="IntenseEmphasis"/>
        </w:rPr>
        <w:t>Rehabilitation and Post-Closure Fund</w:t>
      </w:r>
    </w:p>
    <w:p w14:paraId="0BBC3259" w14:textId="76A96323" w:rsidR="008B32EF" w:rsidRDefault="008B32EF" w:rsidP="008B32EF">
      <w:r>
        <w:t xml:space="preserve">The landholder must sign off on the mine completion plan accepting the residual risks and the post-relinquishment arrangements, including any associated funding. Additionally, the SA guidelines recommend the use of the NSW rehabilitation bond calculator, which contains a 5% provision for monitoring and maintenance. The </w:t>
      </w:r>
      <w:r w:rsidRPr="001A4BFE">
        <w:rPr>
          <w:i/>
        </w:rPr>
        <w:t>Mining Act 1971</w:t>
      </w:r>
      <w:r>
        <w:rPr>
          <w:i/>
        </w:rPr>
        <w:t xml:space="preserve"> (SA) </w:t>
      </w:r>
      <w:r>
        <w:t xml:space="preserve">legislates the operation and governance of the fund, with details provided in the </w:t>
      </w:r>
      <w:r>
        <w:rPr>
          <w:i/>
        </w:rPr>
        <w:t>Guidelines for Operation.</w:t>
      </w:r>
    </w:p>
    <w:p w14:paraId="64965893" w14:textId="05BD662A" w:rsidR="008B32EF" w:rsidRDefault="008B32EF" w:rsidP="006E1000">
      <w:pPr>
        <w:pStyle w:val="introparagraph"/>
      </w:pPr>
      <w:r>
        <w:t>Northern Territory</w:t>
      </w:r>
    </w:p>
    <w:p w14:paraId="330A29B8" w14:textId="77777777" w:rsidR="008B32EF" w:rsidRDefault="008B32EF" w:rsidP="008B32EF">
      <w:r>
        <w:t>The Northern Territory has an outcomes-based regulatory framework, informed by Commonwealth handbooks on leading practice in mining closure, completion and rehabilitation.</w:t>
      </w:r>
    </w:p>
    <w:p w14:paraId="72133ED8" w14:textId="3CBFA018" w:rsidR="008B32EF" w:rsidRPr="006E1000" w:rsidRDefault="008B32EF" w:rsidP="008B32EF">
      <w:pPr>
        <w:rPr>
          <w:rStyle w:val="IntenseEmphasis"/>
        </w:rPr>
      </w:pPr>
      <w:r w:rsidRPr="006E1000">
        <w:rPr>
          <w:rStyle w:val="IntenseEmphasis"/>
        </w:rPr>
        <w:t>Objectives</w:t>
      </w:r>
    </w:p>
    <w:p w14:paraId="655F103B" w14:textId="2FDDFBD7" w:rsidR="008B32EF" w:rsidRPr="00533453" w:rsidRDefault="008B32EF" w:rsidP="008B32EF">
      <w:r>
        <w:t>Rehabilitation is considered successful when</w:t>
      </w:r>
      <w:r w:rsidRPr="00533453">
        <w:t xml:space="preserve"> the land can be safely used for other purposes. </w:t>
      </w:r>
      <w:r>
        <w:t>Generally, a project area can be ‘closed out’ following at least one wet season in the Top End or a significant rainfall event in Central Australia, if there is significant vegetation regrowth present and the rehabilitated area is stable.</w:t>
      </w:r>
    </w:p>
    <w:p w14:paraId="212FAA4B" w14:textId="19152A98" w:rsidR="008B32EF" w:rsidRPr="006E1000" w:rsidRDefault="008B32EF" w:rsidP="008B32EF">
      <w:pPr>
        <w:rPr>
          <w:rStyle w:val="IntenseEmphasis"/>
        </w:rPr>
      </w:pPr>
      <w:r w:rsidRPr="006E1000">
        <w:rPr>
          <w:rStyle w:val="IntenseEmphasis"/>
        </w:rPr>
        <w:t>Rehabilitation Plan</w:t>
      </w:r>
    </w:p>
    <w:p w14:paraId="0AFE865F" w14:textId="4EC61C11" w:rsidR="008B32EF" w:rsidRPr="00533453" w:rsidRDefault="008B32EF" w:rsidP="008B32EF">
      <w:r>
        <w:t>The</w:t>
      </w:r>
      <w:r w:rsidRPr="00533453">
        <w:t xml:space="preserve"> mining management plan </w:t>
      </w:r>
      <w:r>
        <w:t xml:space="preserve">(MMP) </w:t>
      </w:r>
      <w:r w:rsidRPr="00533453">
        <w:t xml:space="preserve">is the primary tool for managing compliance with the </w:t>
      </w:r>
      <w:r w:rsidRPr="00533453">
        <w:rPr>
          <w:i/>
        </w:rPr>
        <w:t>Mining Management Act</w:t>
      </w:r>
      <w:r w:rsidRPr="002E05F9">
        <w:rPr>
          <w:i/>
        </w:rPr>
        <w:t xml:space="preserve"> 2001</w:t>
      </w:r>
      <w:r w:rsidRPr="00533453">
        <w:t>.</w:t>
      </w:r>
      <w:r>
        <w:t xml:space="preserve"> The MMP </w:t>
      </w:r>
      <w:r w:rsidRPr="00533453">
        <w:t>sets out all the environmental and other legal and regulatory obligations that must be met by mining operators.</w:t>
      </w:r>
      <w:r>
        <w:t xml:space="preserve"> The MMP includes:</w:t>
      </w:r>
    </w:p>
    <w:p w14:paraId="6175A34E" w14:textId="77777777" w:rsidR="008B32EF" w:rsidRPr="00533453" w:rsidRDefault="008B32EF" w:rsidP="006E1000">
      <w:pPr>
        <w:pStyle w:val="dotpoints"/>
      </w:pPr>
      <w:r w:rsidRPr="00533453">
        <w:t>a description of proposed mining activities</w:t>
      </w:r>
    </w:p>
    <w:p w14:paraId="7906DB66" w14:textId="77777777" w:rsidR="008B32EF" w:rsidRPr="00533453" w:rsidRDefault="008B32EF" w:rsidP="006E1000">
      <w:pPr>
        <w:pStyle w:val="dotpoints"/>
      </w:pPr>
      <w:r w:rsidRPr="00533453">
        <w:t>plans of current and proposed mine workings and infrastructure</w:t>
      </w:r>
    </w:p>
    <w:p w14:paraId="171BBFC2" w14:textId="77777777" w:rsidR="008B32EF" w:rsidRPr="00533453" w:rsidRDefault="008B32EF" w:rsidP="006E1000">
      <w:pPr>
        <w:pStyle w:val="dotpoints"/>
      </w:pPr>
      <w:r w:rsidRPr="00533453">
        <w:t>details of environmental risks and management plans</w:t>
      </w:r>
    </w:p>
    <w:p w14:paraId="1E9837F1" w14:textId="77777777" w:rsidR="008B32EF" w:rsidRPr="00533453" w:rsidRDefault="008B32EF" w:rsidP="006E1000">
      <w:pPr>
        <w:pStyle w:val="dotpoints"/>
      </w:pPr>
      <w:r w:rsidRPr="00533453">
        <w:t>a plan and costing of closure activities</w:t>
      </w:r>
    </w:p>
    <w:p w14:paraId="50A6D072" w14:textId="77777777" w:rsidR="008B32EF" w:rsidRPr="00533453" w:rsidRDefault="008B32EF" w:rsidP="006E1000">
      <w:pPr>
        <w:pStyle w:val="dotpoints"/>
      </w:pPr>
      <w:r w:rsidRPr="00533453">
        <w:t>stakeholder engagement</w:t>
      </w:r>
    </w:p>
    <w:p w14:paraId="2A979296" w14:textId="7FCB7C91" w:rsidR="008B32EF" w:rsidRPr="00A73516" w:rsidRDefault="008B32EF" w:rsidP="006E1000">
      <w:pPr>
        <w:pStyle w:val="dotpoints"/>
      </w:pPr>
      <w:r w:rsidRPr="00533453">
        <w:t>any other information or plans required by the department.</w:t>
      </w:r>
    </w:p>
    <w:p w14:paraId="13DF50EC" w14:textId="77777777" w:rsidR="008B32EF" w:rsidRDefault="008B32EF" w:rsidP="008B32EF">
      <w:r w:rsidRPr="00533453">
        <w:t>Rehabilitation should be undertaken progressively both during the mining operation and once mining has ceased.</w:t>
      </w:r>
      <w:r>
        <w:t xml:space="preserve"> The operator of mining interests is responsible for rectifying any environmental harm arising from mining activities and for final rehabilitation of the affected area.</w:t>
      </w:r>
    </w:p>
    <w:p w14:paraId="4C1CA077" w14:textId="4B0771D6" w:rsidR="008B32EF" w:rsidRPr="006E1000" w:rsidRDefault="008B32EF" w:rsidP="008B32EF">
      <w:pPr>
        <w:rPr>
          <w:rStyle w:val="IntenseEmphasis"/>
        </w:rPr>
      </w:pPr>
      <w:r w:rsidRPr="006E1000">
        <w:rPr>
          <w:rStyle w:val="IntenseEmphasis"/>
        </w:rPr>
        <w:t>Approvals Process</w:t>
      </w:r>
    </w:p>
    <w:p w14:paraId="79302BB2" w14:textId="3065CAAA" w:rsidR="008B32EF" w:rsidRPr="00533453" w:rsidRDefault="008B32EF" w:rsidP="008B32EF">
      <w:r>
        <w:t>The</w:t>
      </w:r>
      <w:r w:rsidRPr="00533453">
        <w:t xml:space="preserve"> following criteria</w:t>
      </w:r>
      <w:r>
        <w:t xml:space="preserve"> is used</w:t>
      </w:r>
      <w:r w:rsidRPr="00533453">
        <w:t xml:space="preserve"> to assess </w:t>
      </w:r>
      <w:r>
        <w:t>if</w:t>
      </w:r>
      <w:r w:rsidRPr="00533453">
        <w:t xml:space="preserve"> a site </w:t>
      </w:r>
      <w:r>
        <w:t>is</w:t>
      </w:r>
      <w:r w:rsidRPr="00533453">
        <w:t xml:space="preserve"> successfully rehabilitated:</w:t>
      </w:r>
    </w:p>
    <w:p w14:paraId="4809542F" w14:textId="77777777" w:rsidR="008B32EF" w:rsidRPr="00533453" w:rsidRDefault="008B32EF" w:rsidP="006E1000">
      <w:pPr>
        <w:pStyle w:val="dotpoints"/>
      </w:pPr>
      <w:r w:rsidRPr="00533453">
        <w:t>compatibility with the agreed land use after mining</w:t>
      </w:r>
    </w:p>
    <w:p w14:paraId="28EF671E" w14:textId="77777777" w:rsidR="008B32EF" w:rsidRPr="00533453" w:rsidRDefault="008B32EF" w:rsidP="006E1000">
      <w:pPr>
        <w:pStyle w:val="dotpoints"/>
      </w:pPr>
      <w:r w:rsidRPr="00533453">
        <w:t>safety</w:t>
      </w:r>
      <w:r>
        <w:t>, land stability</w:t>
      </w:r>
    </w:p>
    <w:p w14:paraId="0353ADCA" w14:textId="77777777" w:rsidR="008B32EF" w:rsidRPr="00533453" w:rsidRDefault="008B32EF" w:rsidP="006E1000">
      <w:pPr>
        <w:pStyle w:val="dotpoints"/>
      </w:pPr>
      <w:r w:rsidRPr="00533453">
        <w:t>low risk to livestock and other animals from contaminated water</w:t>
      </w:r>
    </w:p>
    <w:p w14:paraId="3C3EC13A" w14:textId="77777777" w:rsidR="008B32EF" w:rsidRPr="00533453" w:rsidRDefault="008B32EF" w:rsidP="006E1000">
      <w:pPr>
        <w:pStyle w:val="dotpoints"/>
      </w:pPr>
      <w:r w:rsidRPr="00533453">
        <w:t>land stability</w:t>
      </w:r>
    </w:p>
    <w:p w14:paraId="4E87934E" w14:textId="77777777" w:rsidR="008B32EF" w:rsidRPr="00533453" w:rsidRDefault="008B32EF" w:rsidP="006E1000">
      <w:pPr>
        <w:pStyle w:val="dotpoints"/>
      </w:pPr>
      <w:r w:rsidRPr="00533453">
        <w:t>rubbish clean-up</w:t>
      </w:r>
    </w:p>
    <w:p w14:paraId="422B01E2" w14:textId="77777777" w:rsidR="008B32EF" w:rsidRPr="00533453" w:rsidRDefault="008B32EF" w:rsidP="006E1000">
      <w:pPr>
        <w:pStyle w:val="dotpoints"/>
      </w:pPr>
      <w:r w:rsidRPr="00533453">
        <w:t>revegetation or other improvements</w:t>
      </w:r>
    </w:p>
    <w:p w14:paraId="06F4202F" w14:textId="77777777" w:rsidR="008B32EF" w:rsidRPr="00533453" w:rsidRDefault="008B32EF" w:rsidP="006E1000">
      <w:pPr>
        <w:pStyle w:val="dotpoints"/>
      </w:pPr>
      <w:r w:rsidRPr="00533453">
        <w:t>visual impact</w:t>
      </w:r>
    </w:p>
    <w:p w14:paraId="5E835FD2" w14:textId="77777777" w:rsidR="008B32EF" w:rsidRDefault="008B32EF" w:rsidP="006E1000">
      <w:pPr>
        <w:pStyle w:val="dotpoints"/>
      </w:pPr>
      <w:r w:rsidRPr="00533453">
        <w:t>condition of heritage and archaeological sites.</w:t>
      </w:r>
    </w:p>
    <w:p w14:paraId="54ED0643" w14:textId="7EDDF3B5" w:rsidR="008B32EF" w:rsidRPr="006E1000" w:rsidRDefault="008B32EF" w:rsidP="008B32EF">
      <w:pPr>
        <w:rPr>
          <w:rStyle w:val="IntenseEmphasis"/>
        </w:rPr>
      </w:pPr>
      <w:r w:rsidRPr="006E1000">
        <w:rPr>
          <w:rStyle w:val="IntenseEmphasis"/>
        </w:rPr>
        <w:t>Rehabilitation and Post-Closure Fund</w:t>
      </w:r>
    </w:p>
    <w:p w14:paraId="70FFF6B1" w14:textId="67B99098" w:rsidR="008B32EF" w:rsidRDefault="008B32EF" w:rsidP="008B32EF">
      <w:r>
        <w:t xml:space="preserve">As per </w:t>
      </w:r>
      <w:bookmarkStart w:id="435" w:name="_Hlk27660972"/>
      <w:r>
        <w:t xml:space="preserve">Section 40(2)(g) of the </w:t>
      </w:r>
      <w:r w:rsidRPr="00D816B5">
        <w:rPr>
          <w:i/>
        </w:rPr>
        <w:t>Mining Management Ac</w:t>
      </w:r>
      <w:r>
        <w:rPr>
          <w:i/>
        </w:rPr>
        <w:t>t 2001</w:t>
      </w:r>
      <w:r>
        <w:t xml:space="preserve">, a costing of closure activities must be included in an MMP. The expectation is for mining operators to submit 100% of the security calculated for rehabilitation. </w:t>
      </w:r>
    </w:p>
    <w:p w14:paraId="26A7EAB9" w14:textId="77777777" w:rsidR="008B32EF" w:rsidRDefault="008B32EF" w:rsidP="008B32EF">
      <w:r>
        <w:t>The Minister determines the level of security commensurate with protecting the community from closure liabilities and optimising the benefits to the community from the proposed project. Securities are regularly reviewed and adjusted taking into consideration progress in rehabilitation as well as new or expanded activities.</w:t>
      </w:r>
    </w:p>
    <w:p w14:paraId="12E48FF4" w14:textId="77777777" w:rsidR="008B32EF" w:rsidRDefault="008B32EF" w:rsidP="008B32EF">
      <w:r>
        <w:lastRenderedPageBreak/>
        <w:t>A security will be released once criteria specified in the approved closure plan have been met. These criteria include commitments and responsibilities pertaining to post closure monitoring and management of potential liabilities at the site.</w:t>
      </w:r>
    </w:p>
    <w:p w14:paraId="4E051D5E" w14:textId="3890D2C8" w:rsidR="008B32EF" w:rsidRPr="00127803" w:rsidRDefault="008B32EF" w:rsidP="008B32EF">
      <w:r>
        <w:t xml:space="preserve">An additional security amount to fund contingencies arising from failure of rehabilitation and to cover post closure costs including monitoring, maintenance, site visits and any necessary remediation works is automatically calculated and added to the total cost. </w:t>
      </w:r>
      <w:bookmarkEnd w:id="435"/>
    </w:p>
    <w:p w14:paraId="34770CFB" w14:textId="5207E420" w:rsidR="00127803" w:rsidRDefault="00127803" w:rsidP="00127803">
      <w:pPr>
        <w:pStyle w:val="introparagraph"/>
      </w:pPr>
      <w:r>
        <w:t>Anglo-American</w:t>
      </w:r>
    </w:p>
    <w:p w14:paraId="13C78515" w14:textId="5A641402" w:rsidR="00127803" w:rsidRDefault="00A0145B" w:rsidP="00127803">
      <w:r>
        <w:t xml:space="preserve">Anglo-American (‘AA’) is a very large mining company, which has published industry guidance on the responsible rehabilitation and closure of mining operations. </w:t>
      </w:r>
      <w:r w:rsidR="003A7EA6">
        <w:t>Their</w:t>
      </w:r>
      <w:r>
        <w:t xml:space="preserve"> </w:t>
      </w:r>
      <w:r w:rsidRPr="217C4165">
        <w:rPr>
          <w:i/>
          <w:iCs/>
        </w:rPr>
        <w:t>Mine Closure Toolbox</w:t>
      </w:r>
      <w:r>
        <w:t>, published in 2019, includes examples and suggested methodologies for various aspects of rehabilitation and closure planning.</w:t>
      </w:r>
      <w:r w:rsidR="00AB512F">
        <w:rPr>
          <w:rStyle w:val="FootnoteReference"/>
        </w:rPr>
        <w:footnoteReference w:id="219"/>
      </w:r>
      <w:r>
        <w:t xml:space="preserve"> </w:t>
      </w:r>
    </w:p>
    <w:p w14:paraId="4B70A362" w14:textId="304926DB" w:rsidR="00AB512F" w:rsidRDefault="00AB512F" w:rsidP="00127803">
      <w:r>
        <w:rPr>
          <w:rStyle w:val="IntenseEmphasis"/>
        </w:rPr>
        <w:t>Rehabilitation strategy and plan</w:t>
      </w:r>
    </w:p>
    <w:p w14:paraId="366D1211" w14:textId="77777777" w:rsidR="00AB512F" w:rsidRDefault="00A0145B" w:rsidP="00127803">
      <w:r>
        <w:t xml:space="preserve">AA’s rehabilitation strategy aims to ensure that all rehabilitation areas are safe, stable, non-polluting and sustainable. </w:t>
      </w:r>
      <w:r w:rsidR="00AB512F">
        <w:t>The strategy is designed to set a ‘</w:t>
      </w:r>
      <w:r w:rsidR="00AB512F" w:rsidRPr="00AB512F">
        <w:t>standard for integrating rehabilitation in business planning process and setting targets to eliminate the rehabilitation backlog (defined as lease hold area deemed not economically viable for future mining)</w:t>
      </w:r>
      <w:r w:rsidR="00AB512F">
        <w:t>’.</w:t>
      </w:r>
      <w:r w:rsidR="00AB512F">
        <w:rPr>
          <w:rStyle w:val="FootnoteReference"/>
        </w:rPr>
        <w:footnoteReference w:id="220"/>
      </w:r>
      <w:r w:rsidR="00AB512F">
        <w:t xml:space="preserve"> </w:t>
      </w:r>
    </w:p>
    <w:p w14:paraId="67861FB8" w14:textId="627E872B" w:rsidR="00A0145B" w:rsidRDefault="00AB512F" w:rsidP="00127803">
      <w:r>
        <w:t>The strategy is supported by a more detailed five-year rehabilitation plan, which should include:</w:t>
      </w:r>
    </w:p>
    <w:p w14:paraId="30DD4EE0" w14:textId="77777777" w:rsidR="00AB512F" w:rsidRDefault="00AB512F" w:rsidP="00AB512F">
      <w:pPr>
        <w:pStyle w:val="ListBullet"/>
      </w:pPr>
      <w:r w:rsidRPr="00AB512F">
        <w:t xml:space="preserve">High-level summary of the baseline environmental and legal requirements for the site. </w:t>
      </w:r>
    </w:p>
    <w:p w14:paraId="150F96D7" w14:textId="77777777" w:rsidR="00AB512F" w:rsidRDefault="00AB512F" w:rsidP="00AB512F">
      <w:pPr>
        <w:pStyle w:val="ListBullet"/>
      </w:pPr>
      <w:r w:rsidRPr="00AB512F">
        <w:t xml:space="preserve">Summary of disturbance and rehabilitation profile (in hectares) for each domain on-site, including areas available for rehabilitation. </w:t>
      </w:r>
    </w:p>
    <w:p w14:paraId="4A778AFE" w14:textId="77777777" w:rsidR="00AB512F" w:rsidRDefault="00AB512F" w:rsidP="00AB512F">
      <w:pPr>
        <w:pStyle w:val="ListBullet"/>
      </w:pPr>
      <w:r w:rsidRPr="00AB512F">
        <w:t xml:space="preserve">Annual rehabilitation targets for the five-year period. </w:t>
      </w:r>
    </w:p>
    <w:p w14:paraId="539D72DB" w14:textId="77777777" w:rsidR="00AB512F" w:rsidRDefault="00AB512F" w:rsidP="00AB512F">
      <w:pPr>
        <w:pStyle w:val="ListBullet"/>
      </w:pPr>
      <w:r w:rsidRPr="00AB512F">
        <w:t xml:space="preserve">Rehabilitation prescriptions (i.e. landform design, growth medium, erosion control measures, seeding/planting specifications, fertiliser rates) to be applied to each rehabilitation area. </w:t>
      </w:r>
    </w:p>
    <w:p w14:paraId="77C8FD8F" w14:textId="6E052048" w:rsidR="00AB512F" w:rsidRDefault="00AB512F" w:rsidP="00AB512F">
      <w:pPr>
        <w:pStyle w:val="ListBullet"/>
      </w:pPr>
      <w:r w:rsidRPr="00AB512F">
        <w:t>Estimated budget to rehabilitate according to the five</w:t>
      </w:r>
      <w:r>
        <w:t>-</w:t>
      </w:r>
      <w:r w:rsidRPr="00AB512F">
        <w:t xml:space="preserve">year plan. </w:t>
      </w:r>
    </w:p>
    <w:p w14:paraId="30138CF1" w14:textId="77777777" w:rsidR="00AB512F" w:rsidRDefault="00AB512F" w:rsidP="00AB512F">
      <w:pPr>
        <w:pStyle w:val="ListBullet"/>
      </w:pPr>
      <w:r w:rsidRPr="00AB512F">
        <w:t xml:space="preserve">Review of the rehabilitation programme implemented in the previous year including expenditure. </w:t>
      </w:r>
    </w:p>
    <w:p w14:paraId="53801D9F" w14:textId="23F2AE40" w:rsidR="00AB512F" w:rsidRDefault="00AB512F" w:rsidP="00AB512F">
      <w:pPr>
        <w:pStyle w:val="ListBullet"/>
      </w:pPr>
      <w:r w:rsidRPr="00AB512F">
        <w:t xml:space="preserve">Rehabilitation monitoring programme to be implemented over the five-year period. </w:t>
      </w:r>
    </w:p>
    <w:p w14:paraId="2B145DA8" w14:textId="7B039535" w:rsidR="00AB512F" w:rsidRPr="00A0145B" w:rsidRDefault="00AB512F" w:rsidP="00AB512F">
      <w:pPr>
        <w:pStyle w:val="ListBullet"/>
      </w:pPr>
      <w:r w:rsidRPr="00AB512F">
        <w:t>Rehabilitation maintenance and management action plan and budget to ensure areas are being managed to relinquishment.</w:t>
      </w:r>
    </w:p>
    <w:p w14:paraId="197186CF" w14:textId="60012FB8" w:rsidR="00450F60" w:rsidRPr="00127803" w:rsidRDefault="00AB512F" w:rsidP="00127803">
      <w:r>
        <w:t xml:space="preserve">AA also stipulates that the plan should be updated annually. </w:t>
      </w:r>
    </w:p>
    <w:p w14:paraId="0472C82C" w14:textId="7B32CC6A" w:rsidR="00AB512F" w:rsidRDefault="00AB512F" w:rsidP="00AB512F">
      <w:pPr>
        <w:rPr>
          <w:rStyle w:val="IntenseEmphasis"/>
          <w:i w:val="0"/>
          <w:iCs w:val="0"/>
        </w:rPr>
      </w:pPr>
      <w:r>
        <w:rPr>
          <w:rStyle w:val="IntenseEmphasis"/>
        </w:rPr>
        <w:t>Success criteria</w:t>
      </w:r>
    </w:p>
    <w:p w14:paraId="66D8EDA0" w14:textId="765AFC04" w:rsidR="00AB512F" w:rsidRDefault="00B41833" w:rsidP="00AB512F">
      <w:r w:rsidRPr="00B41833">
        <w:t xml:space="preserve">AA defines </w:t>
      </w:r>
      <w:r>
        <w:t>success or completion criteria as the agreed standards to be met in facilitating lease relinquishment. Success criteria should align with the closure vision defined for the mine, along with closure objectives. The criteria should be ‘SMART’, and iterated to become more quantitative over the course of a mining operation as concurrent rehabilitation is undertaken and criteria are tested.</w:t>
      </w:r>
    </w:p>
    <w:p w14:paraId="1B832A61" w14:textId="6E8F4859" w:rsidR="00B41833" w:rsidRPr="00B41833" w:rsidRDefault="00B41833" w:rsidP="00AB512F">
      <w:r>
        <w:t xml:space="preserve">AA advises developing a monitoring programme for the development of the success criteria, if possible in collaboration with regulators, to ensure that the right data are being collected to allow </w:t>
      </w:r>
      <w:r w:rsidR="2CCB3F98">
        <w:t>for</w:t>
      </w:r>
      <w:r>
        <w:t xml:space="preserve"> the ultimate determination of whether criteria have been met. </w:t>
      </w:r>
      <w:r>
        <w:fldChar w:fldCharType="begin"/>
      </w:r>
      <w:r>
        <w:instrText xml:space="preserve"> REF _Ref52281356 \h </w:instrText>
      </w:r>
      <w:r>
        <w:fldChar w:fldCharType="separate"/>
      </w:r>
      <w:r w:rsidR="000B3BF6">
        <w:t xml:space="preserve">Figure </w:t>
      </w:r>
      <w:r w:rsidR="000B3BF6">
        <w:rPr>
          <w:noProof/>
        </w:rPr>
        <w:t>11</w:t>
      </w:r>
      <w:r>
        <w:fldChar w:fldCharType="end"/>
      </w:r>
      <w:r>
        <w:t xml:space="preserve"> illustrates the relationship between the different elements of rehabilitation planning, including closure/success criteria.  </w:t>
      </w:r>
    </w:p>
    <w:p w14:paraId="017E08F2" w14:textId="6EAD2F10" w:rsidR="00AB512F" w:rsidRDefault="00AB512F" w:rsidP="00AB512F">
      <w:pPr>
        <w:keepNext/>
      </w:pPr>
    </w:p>
    <w:p w14:paraId="1D795486" w14:textId="44363918" w:rsidR="00450F60" w:rsidRDefault="00AB512F" w:rsidP="000C6F58">
      <w:pPr>
        <w:pStyle w:val="Caption"/>
      </w:pPr>
      <w:bookmarkStart w:id="436" w:name="_Ref52281356"/>
      <w:bookmarkStart w:id="437" w:name="_Toc104217615"/>
      <w:r>
        <w:t xml:space="preserve">Figure </w:t>
      </w:r>
      <w:r>
        <w:fldChar w:fldCharType="begin"/>
      </w:r>
      <w:r>
        <w:instrText>SEQ Figure \* ARABIC</w:instrText>
      </w:r>
      <w:r>
        <w:fldChar w:fldCharType="separate"/>
      </w:r>
      <w:r w:rsidR="000B3BF6">
        <w:rPr>
          <w:noProof/>
        </w:rPr>
        <w:t>11</w:t>
      </w:r>
      <w:r>
        <w:fldChar w:fldCharType="end"/>
      </w:r>
      <w:bookmarkEnd w:id="436"/>
      <w:r w:rsidR="002D0543">
        <w:t>:</w:t>
      </w:r>
      <w:r>
        <w:t xml:space="preserve"> AA success criteria conceptualisation</w:t>
      </w:r>
      <w:r w:rsidR="00B41833">
        <w:rPr>
          <w:rStyle w:val="FootnoteReference"/>
        </w:rPr>
        <w:footnoteReference w:id="221"/>
      </w:r>
      <w:bookmarkEnd w:id="437"/>
    </w:p>
    <w:p w14:paraId="17E48170" w14:textId="77777777" w:rsidR="002D0543" w:rsidRDefault="002D0543" w:rsidP="00AE01D3">
      <w:pPr>
        <w:pStyle w:val="introparagraph"/>
        <w:keepNext/>
      </w:pPr>
      <w:r>
        <w:rPr>
          <w:noProof/>
        </w:rPr>
        <w:drawing>
          <wp:inline distT="0" distB="0" distL="0" distR="0" wp14:anchorId="197C4AA5" wp14:editId="5ADEA8A2">
            <wp:extent cx="5731510" cy="3671570"/>
            <wp:effectExtent l="0" t="0" r="2540" b="5080"/>
            <wp:docPr id="1577419752" name="Picture 1577419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419752"/>
                    <pic:cNvPicPr/>
                  </pic:nvPicPr>
                  <pic:blipFill>
                    <a:blip r:embed="rId36">
                      <a:extLst>
                        <a:ext uri="{28A0092B-C50C-407E-A947-70E740481C1C}">
                          <a14:useLocalDpi xmlns:a14="http://schemas.microsoft.com/office/drawing/2010/main" val="0"/>
                        </a:ext>
                      </a:extLst>
                    </a:blip>
                    <a:stretch>
                      <a:fillRect/>
                    </a:stretch>
                  </pic:blipFill>
                  <pic:spPr>
                    <a:xfrm>
                      <a:off x="0" y="0"/>
                      <a:ext cx="5731510" cy="3671570"/>
                    </a:xfrm>
                    <a:prstGeom prst="rect">
                      <a:avLst/>
                    </a:prstGeom>
                  </pic:spPr>
                </pic:pic>
              </a:graphicData>
            </a:graphic>
          </wp:inline>
        </w:drawing>
      </w:r>
    </w:p>
    <w:p w14:paraId="0BDAF985" w14:textId="2C1AB6D3" w:rsidR="00B41833" w:rsidRDefault="00B41833" w:rsidP="00AE01D3">
      <w:pPr>
        <w:pStyle w:val="introparagraph"/>
        <w:keepNext/>
      </w:pPr>
      <w:r>
        <w:t>International Council on Mining and Metals</w:t>
      </w:r>
      <w:r w:rsidR="34ABB786">
        <w:t xml:space="preserve"> (ICM</w:t>
      </w:r>
      <w:r w:rsidR="18EEB705">
        <w:t>M</w:t>
      </w:r>
      <w:r w:rsidR="34ABB786">
        <w:t>)</w:t>
      </w:r>
    </w:p>
    <w:p w14:paraId="528FA53D" w14:textId="40D8BDFF" w:rsidR="007A56BA" w:rsidRDefault="00B41833" w:rsidP="00127803">
      <w:r>
        <w:t xml:space="preserve">The ICMM has published best practice </w:t>
      </w:r>
      <w:r w:rsidR="007A56BA">
        <w:t>guidance on ‘integrated mine closure’.</w:t>
      </w:r>
      <w:r w:rsidR="007A56BA">
        <w:rPr>
          <w:rStyle w:val="FootnoteReference"/>
        </w:rPr>
        <w:footnoteReference w:id="222"/>
      </w:r>
      <w:r w:rsidR="007A56BA">
        <w:t xml:space="preserve"> The ICMM emphasises that closure should be considered as an integral part of mine operators’ core business, with closure planning undertaken from the outset of mine operations.</w:t>
      </w:r>
      <w:r w:rsidR="00193D33">
        <w:t xml:space="preserve"> </w:t>
      </w:r>
    </w:p>
    <w:p w14:paraId="1B000C3C" w14:textId="006124E2" w:rsidR="007A56BA" w:rsidRDefault="007A56BA" w:rsidP="007A56BA">
      <w:pPr>
        <w:rPr>
          <w:rStyle w:val="IntenseEmphasis"/>
        </w:rPr>
      </w:pPr>
      <w:r>
        <w:rPr>
          <w:rStyle w:val="IntenseEmphasis"/>
        </w:rPr>
        <w:t>Closure plan</w:t>
      </w:r>
    </w:p>
    <w:p w14:paraId="29D0B4A4" w14:textId="1252E198" w:rsidR="007A56BA" w:rsidRDefault="007A56BA" w:rsidP="007A56BA">
      <w:r>
        <w:t xml:space="preserve">The ICMM advises the early definition of a ‘closure vision’ for the mine site, around which subsequent rehabilitation strategies and activities are oriented. The closure vision should be </w:t>
      </w:r>
      <w:r w:rsidR="00193D33">
        <w:t>expanded</w:t>
      </w:r>
      <w:r>
        <w:t xml:space="preserve"> by </w:t>
      </w:r>
      <w:r w:rsidR="00193D33">
        <w:t xml:space="preserve">closure objectives and principles, and all elements should be supported by early engagement with stakeholders and the development </w:t>
      </w:r>
      <w:r w:rsidR="6DB643CB">
        <w:t xml:space="preserve">of </w:t>
      </w:r>
      <w:r w:rsidR="00193D33">
        <w:t xml:space="preserve">a knowledge base of data about the mine. </w:t>
      </w:r>
    </w:p>
    <w:p w14:paraId="2332D60B" w14:textId="1232967E" w:rsidR="00193D33" w:rsidRDefault="00193D33" w:rsidP="007A56BA">
      <w:r>
        <w:t xml:space="preserve">The ICMM emphasises that closure planning must be an iterative process because of the ‘feedback loops’ interconnecting each element of the plan, from developing the knowledge base about the mine site, to understanding viable </w:t>
      </w:r>
      <w:r w:rsidR="00467BD3">
        <w:t>post mining land uses</w:t>
      </w:r>
      <w:r>
        <w:t xml:space="preserve">, to engaging with stakeholders about proposed closure outcomes, to contingency planning for the early or unexpected closure of mines. This iterative and inter-related conceptualisation of closure planning is illustrated in </w:t>
      </w:r>
      <w:r>
        <w:fldChar w:fldCharType="begin"/>
      </w:r>
      <w:r>
        <w:instrText xml:space="preserve"> REF _Ref52282739 \h </w:instrText>
      </w:r>
      <w:r>
        <w:fldChar w:fldCharType="separate"/>
      </w:r>
      <w:r w:rsidR="000B3BF6">
        <w:t xml:space="preserve">Figure </w:t>
      </w:r>
      <w:r w:rsidR="000B3BF6">
        <w:rPr>
          <w:noProof/>
        </w:rPr>
        <w:t>12</w:t>
      </w:r>
      <w:r>
        <w:fldChar w:fldCharType="end"/>
      </w:r>
      <w:r>
        <w:t xml:space="preserve"> below.</w:t>
      </w:r>
    </w:p>
    <w:p w14:paraId="6A4F55C5" w14:textId="62025B6C" w:rsidR="00193D33" w:rsidRDefault="00193D33" w:rsidP="003B4BE3">
      <w:pPr>
        <w:keepNext/>
        <w:jc w:val="center"/>
      </w:pPr>
    </w:p>
    <w:p w14:paraId="68C0689B" w14:textId="703445BB" w:rsidR="00193D33" w:rsidRDefault="00193D33" w:rsidP="000C6F58">
      <w:pPr>
        <w:pStyle w:val="Caption"/>
      </w:pPr>
      <w:bookmarkStart w:id="438" w:name="_Ref52282739"/>
      <w:bookmarkStart w:id="439" w:name="_Toc104217616"/>
      <w:r>
        <w:t xml:space="preserve">Figure </w:t>
      </w:r>
      <w:r>
        <w:fldChar w:fldCharType="begin"/>
      </w:r>
      <w:r>
        <w:instrText>SEQ Figure \* ARABIC</w:instrText>
      </w:r>
      <w:r>
        <w:fldChar w:fldCharType="separate"/>
      </w:r>
      <w:r w:rsidR="000B3BF6">
        <w:rPr>
          <w:noProof/>
        </w:rPr>
        <w:t>12</w:t>
      </w:r>
      <w:r>
        <w:fldChar w:fldCharType="end"/>
      </w:r>
      <w:bookmarkEnd w:id="438"/>
      <w:r w:rsidR="002D0543">
        <w:t>:</w:t>
      </w:r>
      <w:r>
        <w:t xml:space="preserve"> ICMM closure planning diagram</w:t>
      </w:r>
      <w:bookmarkEnd w:id="439"/>
    </w:p>
    <w:p w14:paraId="0F91DEA3" w14:textId="77777777" w:rsidR="002D0543" w:rsidRDefault="002D0543" w:rsidP="007A56BA">
      <w:r>
        <w:rPr>
          <w:noProof/>
        </w:rPr>
        <w:drawing>
          <wp:inline distT="0" distB="0" distL="0" distR="0" wp14:anchorId="42A4DCD6" wp14:editId="36F0B504">
            <wp:extent cx="4676776" cy="4034792"/>
            <wp:effectExtent l="0" t="0" r="0" b="3810"/>
            <wp:docPr id="1577419758" name="Picture 1577419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419758"/>
                    <pic:cNvPicPr/>
                  </pic:nvPicPr>
                  <pic:blipFill>
                    <a:blip r:embed="rId37">
                      <a:extLst>
                        <a:ext uri="{28A0092B-C50C-407E-A947-70E740481C1C}">
                          <a14:useLocalDpi xmlns:a14="http://schemas.microsoft.com/office/drawing/2010/main" val="0"/>
                        </a:ext>
                      </a:extLst>
                    </a:blip>
                    <a:stretch>
                      <a:fillRect/>
                    </a:stretch>
                  </pic:blipFill>
                  <pic:spPr>
                    <a:xfrm>
                      <a:off x="0" y="0"/>
                      <a:ext cx="4676776" cy="4034792"/>
                    </a:xfrm>
                    <a:prstGeom prst="rect">
                      <a:avLst/>
                    </a:prstGeom>
                  </pic:spPr>
                </pic:pic>
              </a:graphicData>
            </a:graphic>
          </wp:inline>
        </w:drawing>
      </w:r>
    </w:p>
    <w:p w14:paraId="26148D9F" w14:textId="4512B737" w:rsidR="00193D33" w:rsidRDefault="00193D33" w:rsidP="007A56BA">
      <w:r>
        <w:t xml:space="preserve">Less emphasis is placed on setting defined </w:t>
      </w:r>
      <w:r w:rsidR="00467BD3">
        <w:t>post mining land use</w:t>
      </w:r>
      <w:r>
        <w:t xml:space="preserve">(s) at the early stages of the plan development, but potential </w:t>
      </w:r>
      <w:r w:rsidR="00467BD3">
        <w:t>post mining land uses</w:t>
      </w:r>
      <w:r>
        <w:t xml:space="preserve"> should be considered throughout the development of the plan. </w:t>
      </w:r>
      <w:r w:rsidR="00467BD3">
        <w:t>post mining land use</w:t>
      </w:r>
      <w:r>
        <w:t xml:space="preserve">(s) should be identified in the context of landownership; economic feasibility; and regional plans; land capabilities (defines feasible land use); regulatory considerations/ obligations; the socioeconomic context, including the desires of the community and other external stakeholders (including how this context evolves over time). The </w:t>
      </w:r>
      <w:r w:rsidR="00467BD3">
        <w:t>post mining land use</w:t>
      </w:r>
      <w:r>
        <w:t>(s) should also be developed and refined to take into account the existing and continually updated knowledge base; preference beneficial uses; be adaptable (i.e. evolve over time, with changing views/desires of stakeholders, and development of innovative approaches); and identify and address failure mechanisms (contingency plans).</w:t>
      </w:r>
    </w:p>
    <w:p w14:paraId="7FE72999" w14:textId="06C9D336" w:rsidR="00193D33" w:rsidRDefault="00193D33" w:rsidP="007A56BA">
      <w:r>
        <w:t xml:space="preserve">ICMM advises that stakeholder engagement should take place throughout closure planning, and insights used to develop the closure plan. Additionally, </w:t>
      </w:r>
      <w:r w:rsidR="00826DCE">
        <w:t xml:space="preserve">ICMM emphasises that a wide range of physical, social, economic and ecological risks and opportunities should be identified and formally assessed to inform closure planning and the selection of closure activities. </w:t>
      </w:r>
    </w:p>
    <w:p w14:paraId="07B862A9" w14:textId="5AA0AD1E" w:rsidR="00826DCE" w:rsidRDefault="00826DCE" w:rsidP="007A56BA">
      <w:r>
        <w:t xml:space="preserve">The plan should identify closure activities to be implemented to achieve site-specific closure objectives. </w:t>
      </w:r>
    </w:p>
    <w:p w14:paraId="5AAB7503" w14:textId="5D62335E" w:rsidR="00826DCE" w:rsidRDefault="00826DCE" w:rsidP="00AE01D3">
      <w:pPr>
        <w:keepNext/>
        <w:rPr>
          <w:rStyle w:val="IntenseEmphasis"/>
          <w:i w:val="0"/>
          <w:iCs w:val="0"/>
        </w:rPr>
      </w:pPr>
      <w:r>
        <w:rPr>
          <w:rStyle w:val="IntenseEmphasis"/>
        </w:rPr>
        <w:t>Success criteria</w:t>
      </w:r>
    </w:p>
    <w:p w14:paraId="1B59763E" w14:textId="54183D0A" w:rsidR="00826DCE" w:rsidRPr="00826DCE" w:rsidRDefault="00826DCE" w:rsidP="00826DCE">
      <w:r w:rsidRPr="00826DCE">
        <w:t>Acc</w:t>
      </w:r>
      <w:r>
        <w:t>ording to the ICMM, success criteria should be agreed and shared with regulators and relevant external stakeholders. Success criteria are defined as the ‘specifications, measurements or requirements that, if met, denote the success of the closure activities in meeting closure objectives’.</w:t>
      </w:r>
      <w:r>
        <w:rPr>
          <w:rStyle w:val="FootnoteReference"/>
        </w:rPr>
        <w:footnoteReference w:id="223"/>
      </w:r>
    </w:p>
    <w:p w14:paraId="088455F6" w14:textId="55FDC5B0" w:rsidR="00193D33" w:rsidRDefault="004B60CE" w:rsidP="007A56BA">
      <w:r>
        <w:lastRenderedPageBreak/>
        <w:t>Similarly to AA, the ICMM states that success criteria should be ‘SMART’</w:t>
      </w:r>
      <w:r w:rsidR="0E66A315">
        <w:t>.</w:t>
      </w:r>
      <w:r>
        <w:t xml:space="preserve"> </w:t>
      </w:r>
    </w:p>
    <w:p w14:paraId="28EACF7B" w14:textId="387A2015" w:rsidR="004B60CE" w:rsidRDefault="004B60CE" w:rsidP="007A56BA">
      <w:r>
        <w:t xml:space="preserve">Criteria development may require site-specific studies and research plans, especially where the potential interactions with environmental factors are complex or long-term, and in line with the ICMM’s approach to closure planning, success criteria should be continually refined over time. </w:t>
      </w:r>
    </w:p>
    <w:p w14:paraId="54CBD4D7" w14:textId="20AE1CB2" w:rsidR="00061587" w:rsidRPr="00127803" w:rsidRDefault="00061587" w:rsidP="00127803">
      <w:r>
        <w:br w:type="page"/>
      </w:r>
    </w:p>
    <w:p w14:paraId="358CEBFC" w14:textId="0241EF68" w:rsidR="00061587" w:rsidRDefault="00061587" w:rsidP="00061587">
      <w:pPr>
        <w:pStyle w:val="Heading1"/>
        <w:numPr>
          <w:ilvl w:val="0"/>
          <w:numId w:val="0"/>
        </w:numPr>
      </w:pPr>
      <w:bookmarkStart w:id="440" w:name="_Toc104217737"/>
      <w:r>
        <w:lastRenderedPageBreak/>
        <w:t xml:space="preserve">Appendix </w:t>
      </w:r>
      <w:r w:rsidR="009801A0">
        <w:t>C</w:t>
      </w:r>
      <w:r>
        <w:t>: References</w:t>
      </w:r>
      <w:bookmarkEnd w:id="440"/>
    </w:p>
    <w:p w14:paraId="3091CE55" w14:textId="145C98D0" w:rsidR="00B70483" w:rsidRDefault="00B70483" w:rsidP="0099601B">
      <w:pPr>
        <w:rPr>
          <w:i/>
        </w:rPr>
      </w:pPr>
      <w:r>
        <w:t xml:space="preserve">ACIL Allen Consulting, </w:t>
      </w:r>
      <w:r>
        <w:rPr>
          <w:i/>
        </w:rPr>
        <w:t>Red Tape in the Victorian Earth Resources Sector – Analysis of Regulatory Costs</w:t>
      </w:r>
      <w:r w:rsidR="0079433D">
        <w:rPr>
          <w:i/>
        </w:rPr>
        <w:t>,</w:t>
      </w:r>
      <w:r w:rsidR="0016521B" w:rsidRPr="0016521B">
        <w:t xml:space="preserve"> </w:t>
      </w:r>
      <w:r w:rsidR="0016521B">
        <w:t>December 2018</w:t>
      </w:r>
      <w:r w:rsidR="0079433D">
        <w:t>.</w:t>
      </w:r>
    </w:p>
    <w:p w14:paraId="64A569B8" w14:textId="77777777" w:rsidR="00B70483" w:rsidRDefault="00B70483" w:rsidP="0099601B">
      <w:r>
        <w:t xml:space="preserve">Anglo-American, </w:t>
      </w:r>
      <w:r>
        <w:rPr>
          <w:i/>
          <w:iCs/>
        </w:rPr>
        <w:t>Mine Closure Toolbox – Examples Version 3.0</w:t>
      </w:r>
      <w:r>
        <w:t xml:space="preserve"> (2019) available at &lt;</w:t>
      </w:r>
      <w:r w:rsidRPr="00AB512F">
        <w:t>https://www.angloamerican.com/~/media/Files/A/Anglo-American-Group/PLC/sustainability/mine-closure-toolbox-examples-version-3-2019.pdf</w:t>
      </w:r>
      <w:r>
        <w:t>&gt;</w:t>
      </w:r>
    </w:p>
    <w:p w14:paraId="7246C365" w14:textId="2630752F" w:rsidR="003E7184" w:rsidRDefault="00B70483" w:rsidP="0099601B">
      <w:r w:rsidRPr="0019260C">
        <w:t xml:space="preserve">Australian Bureau of Agricultural and Resource Economics and Sciences (ABARES) </w:t>
      </w:r>
      <w:r w:rsidRPr="00D478C7">
        <w:rPr>
          <w:i/>
          <w:iCs/>
        </w:rPr>
        <w:t>Australian Land Use and Management Classification</w:t>
      </w:r>
      <w:r>
        <w:t xml:space="preserve"> (</w:t>
      </w:r>
      <w:r w:rsidRPr="0019260C">
        <w:t>October 2016</w:t>
      </w:r>
      <w:r>
        <w:t>, v 8</w:t>
      </w:r>
      <w:r w:rsidRPr="0019260C">
        <w:t xml:space="preserve">) </w:t>
      </w:r>
      <w:r>
        <w:t>&lt;</w:t>
      </w:r>
      <w:r w:rsidRPr="0019260C">
        <w:t>https://www.agriculture.gov.au/abares/aclump/land-use/alum-classification</w:t>
      </w:r>
      <w:r>
        <w:t>&gt;</w:t>
      </w:r>
    </w:p>
    <w:p w14:paraId="774235B7" w14:textId="239A51F4" w:rsidR="00B70483" w:rsidRDefault="00B70483" w:rsidP="0099601B">
      <w:r>
        <w:t xml:space="preserve">Australian Energy Market Operator, </w:t>
      </w:r>
      <w:r>
        <w:rPr>
          <w:i/>
          <w:iCs/>
        </w:rPr>
        <w:t>2020 Integrated System Plan</w:t>
      </w:r>
      <w:r>
        <w:t xml:space="preserve"> (July 2020), 70.</w:t>
      </w:r>
    </w:p>
    <w:p w14:paraId="514FB92D" w14:textId="4268FF40" w:rsidR="00190795" w:rsidRDefault="00190795" w:rsidP="0099601B">
      <w:r>
        <w:t xml:space="preserve">British Petroleum </w:t>
      </w:r>
      <w:r w:rsidRPr="007D07CA">
        <w:t xml:space="preserve">Group, </w:t>
      </w:r>
      <w:r w:rsidRPr="007D07CA">
        <w:rPr>
          <w:i/>
          <w:iCs/>
        </w:rPr>
        <w:t>Statistical Review of World Energy</w:t>
      </w:r>
      <w:r w:rsidRPr="007D07CA">
        <w:t xml:space="preserve"> </w:t>
      </w:r>
      <w:r w:rsidRPr="00960B34">
        <w:rPr>
          <w:i/>
          <w:iCs/>
        </w:rPr>
        <w:t xml:space="preserve">‘Coal consumption’ </w:t>
      </w:r>
      <w:r w:rsidR="00B228EA" w:rsidRPr="007D07CA">
        <w:t>(70</w:t>
      </w:r>
      <w:r w:rsidR="00B228EA" w:rsidRPr="007D07CA">
        <w:rPr>
          <w:vertAlign w:val="superscript"/>
        </w:rPr>
        <w:t>th</w:t>
      </w:r>
      <w:r w:rsidR="00B228EA" w:rsidRPr="007D07CA">
        <w:t xml:space="preserve"> edition, July 2021)</w:t>
      </w:r>
      <w:r w:rsidR="007D16FF">
        <w:t xml:space="preserve"> available at</w:t>
      </w:r>
      <w:r w:rsidR="00B228EA" w:rsidRPr="007D07CA">
        <w:t xml:space="preserve"> </w:t>
      </w:r>
      <w:hyperlink r:id="rId38" w:anchor="coal-consumption" w:history="1">
        <w:r w:rsidRPr="007A303A">
          <w:rPr>
            <w:rStyle w:val="Hyperlink"/>
          </w:rPr>
          <w:t>https://www.bp.com/en/global/corporate/energy-economics/statistical-review-of-world-energy/coal.html.html#coal-consumption</w:t>
        </w:r>
      </w:hyperlink>
      <w:r>
        <w:t xml:space="preserve"> </w:t>
      </w:r>
    </w:p>
    <w:p w14:paraId="42139315" w14:textId="07BBF918" w:rsidR="00B70483" w:rsidRDefault="00B70483" w:rsidP="0099601B">
      <w:r>
        <w:t xml:space="preserve">Department of the Environment and Energy, </w:t>
      </w:r>
      <w:r>
        <w:rPr>
          <w:i/>
        </w:rPr>
        <w:t>Australian Energy Update 2019</w:t>
      </w:r>
      <w:r>
        <w:t>, Table O</w:t>
      </w:r>
      <w:r w:rsidR="00A54622">
        <w:t>.</w:t>
      </w:r>
    </w:p>
    <w:p w14:paraId="5ABA1BAF" w14:textId="70806089" w:rsidR="00F16502" w:rsidRDefault="00F16502" w:rsidP="0099601B">
      <w:pPr>
        <w:rPr>
          <w:i/>
        </w:rPr>
      </w:pPr>
      <w:r>
        <w:t xml:space="preserve">Department of Environment, Land, Water and Planning, November 2020, </w:t>
      </w:r>
      <w:r w:rsidRPr="00FB7A0E">
        <w:rPr>
          <w:i/>
          <w:iCs/>
        </w:rPr>
        <w:t>Guidelines for Assessing the Impact of Climate Change on Water Availability in Victoria</w:t>
      </w:r>
      <w:r>
        <w:t xml:space="preserve">, available at </w:t>
      </w:r>
      <w:r w:rsidR="00A41F14">
        <w:t>,&lt;</w:t>
      </w:r>
      <w:r w:rsidRPr="00F16502">
        <w:t>https://www.water.vic.gov.au/__data/assets/pdf_file/0023/502934/GuidelinesClimateChangeWaterAvailVic_2020_FINAL.pdf</w:t>
      </w:r>
      <w:r w:rsidR="00A41F14">
        <w:t>&gt;</w:t>
      </w:r>
    </w:p>
    <w:p w14:paraId="64464482" w14:textId="22BCC101" w:rsidR="44AE50F4" w:rsidRDefault="29A8887D" w:rsidP="0099601B">
      <w:pPr>
        <w:pStyle w:val="Numberedlist"/>
        <w:numPr>
          <w:ilvl w:val="0"/>
          <w:numId w:val="0"/>
        </w:numPr>
        <w:spacing w:before="120" w:after="200"/>
      </w:pPr>
      <w:r>
        <w:t xml:space="preserve">Department of Jobs, Precincts and Regions, </w:t>
      </w:r>
      <w:r w:rsidRPr="44AE50F4">
        <w:rPr>
          <w:i/>
          <w:iCs/>
        </w:rPr>
        <w:t>Regulatory Impact Statement – Proposed Mineral Resources (Sustainable Development) (Mineral Industries) Regulations 2019</w:t>
      </w:r>
      <w:r>
        <w:t>, 51</w:t>
      </w:r>
      <w:r w:rsidR="00A54622">
        <w:t>.</w:t>
      </w:r>
    </w:p>
    <w:p w14:paraId="68EB8BBA" w14:textId="0AA61694" w:rsidR="44AE50F4" w:rsidRDefault="29A8887D" w:rsidP="0099601B">
      <w:pPr>
        <w:pStyle w:val="Numberedlist"/>
        <w:numPr>
          <w:ilvl w:val="0"/>
          <w:numId w:val="0"/>
        </w:numPr>
        <w:spacing w:before="120" w:after="200"/>
      </w:pPr>
      <w:r>
        <w:t>Department of Mines, Industry Regulation and Safety – WA, ‘About the MRF’ available at &lt;https://www.dmp.wa.gov.au/Environment/What-is-the-MRF-19522.aspx&gt;</w:t>
      </w:r>
    </w:p>
    <w:p w14:paraId="3BDD1887" w14:textId="63A5C6C5" w:rsidR="44AE50F4" w:rsidRDefault="29A8887D" w:rsidP="0099601B">
      <w:pPr>
        <w:pStyle w:val="Numberedlist"/>
        <w:numPr>
          <w:ilvl w:val="0"/>
          <w:numId w:val="0"/>
        </w:numPr>
        <w:spacing w:before="120" w:after="200"/>
      </w:pPr>
      <w:r>
        <w:t xml:space="preserve">Department of Mines, Industry Regulation and Safety – WA, </w:t>
      </w:r>
      <w:r w:rsidRPr="44AE50F4">
        <w:rPr>
          <w:i/>
          <w:iCs/>
        </w:rPr>
        <w:t>Environmental Objectives Policy for Mining</w:t>
      </w:r>
      <w:r>
        <w:t xml:space="preserve"> (effective 3 March 2020)</w:t>
      </w:r>
      <w:r w:rsidR="00902688">
        <w:t>.</w:t>
      </w:r>
    </w:p>
    <w:p w14:paraId="497B4519" w14:textId="14A44919" w:rsidR="44AE50F4" w:rsidRDefault="29A8887D" w:rsidP="0099601B">
      <w:pPr>
        <w:pStyle w:val="Numberedlist"/>
        <w:numPr>
          <w:ilvl w:val="0"/>
          <w:numId w:val="0"/>
        </w:numPr>
        <w:spacing w:before="120" w:after="200"/>
      </w:pPr>
      <w:r>
        <w:t xml:space="preserve">Department of Natural Resources and Environment, National Competition Policy, </w:t>
      </w:r>
      <w:r w:rsidRPr="44AE50F4">
        <w:rPr>
          <w:i/>
          <w:iCs/>
        </w:rPr>
        <w:t>Review of the Mineral Resources Development Act 1990</w:t>
      </w:r>
      <w:r>
        <w:t xml:space="preserve"> </w:t>
      </w:r>
      <w:r w:rsidR="000C5046">
        <w:t xml:space="preserve">available at </w:t>
      </w:r>
      <w:hyperlink r:id="rId39" w:history="1">
        <w:r w:rsidR="000C5046" w:rsidRPr="00100625">
          <w:rPr>
            <w:rStyle w:val="Hyperlink"/>
          </w:rPr>
          <w:t>http://ncp.ncc.gov.au</w:t>
        </w:r>
      </w:hyperlink>
    </w:p>
    <w:p w14:paraId="4809EB5A" w14:textId="60D8DE4D" w:rsidR="00280B12" w:rsidRDefault="00280B12" w:rsidP="0099601B">
      <w:pPr>
        <w:pStyle w:val="Numberedlist"/>
        <w:numPr>
          <w:ilvl w:val="0"/>
          <w:numId w:val="0"/>
        </w:numPr>
        <w:spacing w:before="120" w:after="200"/>
      </w:pPr>
      <w:r w:rsidRPr="00280B12">
        <w:t xml:space="preserve">Earth Resources Regulation, </w:t>
      </w:r>
      <w:r w:rsidRPr="00280B12">
        <w:rPr>
          <w:i/>
          <w:iCs/>
        </w:rPr>
        <w:t>Interim Compliance Strategy 2021-2022</w:t>
      </w:r>
      <w:r w:rsidRPr="00280B12">
        <w:t xml:space="preserve"> (1 March 2021)</w:t>
      </w:r>
      <w:r w:rsidR="000C5046">
        <w:t xml:space="preserve"> available at </w:t>
      </w:r>
      <w:hyperlink r:id="rId40" w:history="1">
        <w:r w:rsidR="000C5046" w:rsidRPr="00100625">
          <w:rPr>
            <w:rStyle w:val="Hyperlink"/>
          </w:rPr>
          <w:t>https://earthresources.vic.gov.au/__data/assets/pdf_file/0020/461315/Compliance-Strategy-final-published-190321.pdf</w:t>
        </w:r>
      </w:hyperlink>
      <w:r w:rsidR="000C5046">
        <w:t xml:space="preserve"> </w:t>
      </w:r>
    </w:p>
    <w:p w14:paraId="0FF76C6E" w14:textId="0BF16DB2" w:rsidR="44AE50F4" w:rsidRDefault="29A8887D" w:rsidP="0099601B">
      <w:pPr>
        <w:pStyle w:val="Numberedlist"/>
        <w:numPr>
          <w:ilvl w:val="0"/>
          <w:numId w:val="0"/>
        </w:numPr>
        <w:spacing w:before="120" w:after="200"/>
      </w:pPr>
      <w:r>
        <w:t xml:space="preserve">Earth Resources Regulation, ‘Rehabilitation bonds’ in Guidelines and codes of practice (22 October 2019) available at </w:t>
      </w:r>
      <w:hyperlink r:id="rId41">
        <w:r w:rsidRPr="44AE50F4">
          <w:rPr>
            <w:rStyle w:val="Hyperlink"/>
          </w:rPr>
          <w:t>https://earthresources.vic.gov.au/legislation-and-regulations/guidelines-and-codes-of-practice/rehabilitation-bonds</w:t>
        </w:r>
      </w:hyperlink>
    </w:p>
    <w:p w14:paraId="179FBCA0" w14:textId="54FA0CC5" w:rsidR="44AE50F4" w:rsidRDefault="29A8887D" w:rsidP="0099601B">
      <w:pPr>
        <w:pStyle w:val="Numberedlist"/>
        <w:numPr>
          <w:ilvl w:val="0"/>
          <w:numId w:val="0"/>
        </w:numPr>
        <w:spacing w:before="120" w:after="200"/>
      </w:pPr>
      <w:r>
        <w:t>Emergency Management Victoria, ‘State Emergency Response Plan: Electricity and Gas Supply Disruption Sub-Plan’ (2016)</w:t>
      </w:r>
      <w:r w:rsidR="00A54622">
        <w:t>.</w:t>
      </w:r>
    </w:p>
    <w:p w14:paraId="1FE9A210" w14:textId="77777777" w:rsidR="00B70483" w:rsidRDefault="29A8887D" w:rsidP="0099601B">
      <w:pPr>
        <w:pStyle w:val="Numberedlist"/>
        <w:numPr>
          <w:ilvl w:val="0"/>
          <w:numId w:val="0"/>
        </w:numPr>
        <w:spacing w:before="120" w:after="200"/>
      </w:pPr>
      <w:r>
        <w:t xml:space="preserve">ENGIE, ‘Hazelwood power station in Australia to close at the end of March 2017’ (3 November 2016, Media Release) &lt; </w:t>
      </w:r>
      <w:hyperlink r:id="rId42" w:history="1">
        <w:r>
          <w:t>https://www.engie.com/en/journalists/press-releases/hazelwood-power-station-australi</w:t>
        </w:r>
        <w:r w:rsidRPr="44AE50F4">
          <w:rPr>
            <w:rStyle w:val="Hyperlink"/>
          </w:rPr>
          <w:t>a</w:t>
        </w:r>
      </w:hyperlink>
      <w:r>
        <w:t>&gt;</w:t>
      </w:r>
    </w:p>
    <w:p w14:paraId="005C7BD5" w14:textId="28AD4E69" w:rsidR="44AE50F4" w:rsidRDefault="00333ED6" w:rsidP="0099601B">
      <w:pPr>
        <w:pStyle w:val="Numberedlist"/>
        <w:numPr>
          <w:ilvl w:val="0"/>
          <w:numId w:val="0"/>
        </w:numPr>
        <w:spacing w:before="120" w:after="200"/>
      </w:pPr>
      <w:r>
        <w:t xml:space="preserve">Essential Services Commission, </w:t>
      </w:r>
      <w:r w:rsidRPr="001807F0">
        <w:rPr>
          <w:i/>
          <w:iCs/>
        </w:rPr>
        <w:t>Water Pricing Framework and Approach: Implementing PREMO from 2018</w:t>
      </w:r>
      <w:r>
        <w:t xml:space="preserve"> (October 2016).</w:t>
      </w:r>
    </w:p>
    <w:p w14:paraId="51BBD326" w14:textId="3C591A12" w:rsidR="44AE50F4" w:rsidRDefault="29A8887D" w:rsidP="0099601B">
      <w:pPr>
        <w:pStyle w:val="Numberedlist"/>
        <w:numPr>
          <w:ilvl w:val="0"/>
          <w:numId w:val="0"/>
        </w:numPr>
        <w:spacing w:before="120" w:after="200"/>
      </w:pPr>
      <w:r>
        <w:t xml:space="preserve">Gerry Carman, ‘Firefights battle Morwell coal mine inferno’ (5 November 1977) </w:t>
      </w:r>
      <w:r w:rsidRPr="44AE50F4">
        <w:rPr>
          <w:i/>
          <w:iCs/>
        </w:rPr>
        <w:t>The Age</w:t>
      </w:r>
      <w:r>
        <w:t xml:space="preserve"> available at &lt;</w:t>
      </w:r>
      <w:hyperlink r:id="rId43">
        <w:r w:rsidRPr="44AE50F4">
          <w:rPr>
            <w:rStyle w:val="Hyperlink"/>
          </w:rPr>
          <w:t>https://www.theage.com.au/national/victoria/from-the-archives-1977-400-battle-giant-morwell-coal-mine-fire-20191031-p5367g.html</w:t>
        </w:r>
      </w:hyperlink>
      <w:r>
        <w:t>&gt;.</w:t>
      </w:r>
    </w:p>
    <w:p w14:paraId="4A4BBBA8" w14:textId="35170E40" w:rsidR="00784462" w:rsidRDefault="00784462" w:rsidP="0099601B">
      <w:pPr>
        <w:pStyle w:val="Numberedlist"/>
        <w:numPr>
          <w:ilvl w:val="0"/>
          <w:numId w:val="0"/>
        </w:numPr>
        <w:spacing w:before="120" w:after="200"/>
      </w:pPr>
      <w:r w:rsidRPr="00784462">
        <w:t>Bernard Teague</w:t>
      </w:r>
      <w:r>
        <w:t>,</w:t>
      </w:r>
      <w:r w:rsidRPr="00784462">
        <w:t xml:space="preserve"> John Catford </w:t>
      </w:r>
      <w:r w:rsidR="003C4591">
        <w:t xml:space="preserve">and </w:t>
      </w:r>
      <w:r w:rsidRPr="00784462">
        <w:t>Sonia Petering</w:t>
      </w:r>
      <w:r w:rsidR="002610C6">
        <w:t xml:space="preserve">, </w:t>
      </w:r>
      <w:r w:rsidR="002610C6" w:rsidRPr="00CD14BC">
        <w:rPr>
          <w:i/>
          <w:iCs/>
        </w:rPr>
        <w:t xml:space="preserve">Inquiry into </w:t>
      </w:r>
      <w:r w:rsidR="000430AA" w:rsidRPr="00CD14BC">
        <w:rPr>
          <w:i/>
          <w:iCs/>
        </w:rPr>
        <w:t>the Hazelwood Coal Mine Fire</w:t>
      </w:r>
      <w:r w:rsidR="00185194">
        <w:rPr>
          <w:i/>
          <w:iCs/>
        </w:rPr>
        <w:t>: Hazelwood Mine Fire Inquiry Report 2014</w:t>
      </w:r>
      <w:r w:rsidR="00DD589F">
        <w:t xml:space="preserve"> (</w:t>
      </w:r>
      <w:r w:rsidR="00BB28CF">
        <w:t>Report</w:t>
      </w:r>
      <w:r w:rsidR="00F64E6E">
        <w:t>,</w:t>
      </w:r>
      <w:r w:rsidR="00BB28CF">
        <w:t xml:space="preserve"> </w:t>
      </w:r>
      <w:r w:rsidR="00F64E6E">
        <w:t>Parliamentary Paper</w:t>
      </w:r>
      <w:r w:rsidR="00100677" w:rsidRPr="00100677">
        <w:t xml:space="preserve"> </w:t>
      </w:r>
      <w:r w:rsidR="00DD589F">
        <w:t xml:space="preserve">No </w:t>
      </w:r>
      <w:r w:rsidR="008C3B38">
        <w:t xml:space="preserve">342, </w:t>
      </w:r>
      <w:r w:rsidR="00551AC7">
        <w:t>29 August 2014)</w:t>
      </w:r>
      <w:r w:rsidR="003C514B">
        <w:t>.</w:t>
      </w:r>
    </w:p>
    <w:p w14:paraId="21256E6E" w14:textId="5F0B96A5" w:rsidR="00281BA4" w:rsidRDefault="00281BA4" w:rsidP="0099601B">
      <w:pPr>
        <w:pStyle w:val="Numberedlist"/>
        <w:numPr>
          <w:ilvl w:val="0"/>
          <w:numId w:val="0"/>
        </w:numPr>
        <w:spacing w:before="120" w:after="200"/>
      </w:pPr>
      <w:r w:rsidRPr="00281BA4">
        <w:lastRenderedPageBreak/>
        <w:t xml:space="preserve">Bernard Teague, John Catford and Sonia Petering, </w:t>
      </w:r>
      <w:r w:rsidRPr="00CD14BC">
        <w:rPr>
          <w:i/>
          <w:iCs/>
        </w:rPr>
        <w:t>Inquiry into the Hazelwood Coal Mine Fire</w:t>
      </w:r>
      <w:r w:rsidR="00185194">
        <w:rPr>
          <w:i/>
          <w:iCs/>
        </w:rPr>
        <w:t>:</w:t>
      </w:r>
      <w:r w:rsidR="00273C4C">
        <w:rPr>
          <w:i/>
          <w:iCs/>
        </w:rPr>
        <w:t xml:space="preserve"> Hazelwood Mine </w:t>
      </w:r>
      <w:r w:rsidR="00273C4C" w:rsidRPr="003D627B">
        <w:rPr>
          <w:i/>
          <w:iCs/>
        </w:rPr>
        <w:t>Fir</w:t>
      </w:r>
      <w:r w:rsidR="00273C4C" w:rsidRPr="005D59BF">
        <w:rPr>
          <w:i/>
          <w:iCs/>
        </w:rPr>
        <w:t>e Inquiry Report</w:t>
      </w:r>
      <w:r w:rsidRPr="00CD14BC">
        <w:rPr>
          <w:i/>
          <w:iCs/>
        </w:rPr>
        <w:t xml:space="preserve"> </w:t>
      </w:r>
      <w:r w:rsidR="00273C4C" w:rsidRPr="00CD14BC">
        <w:rPr>
          <w:i/>
          <w:iCs/>
        </w:rPr>
        <w:t>2015/2016</w:t>
      </w:r>
      <w:r w:rsidR="005D59BF">
        <w:rPr>
          <w:i/>
          <w:iCs/>
        </w:rPr>
        <w:t>,</w:t>
      </w:r>
      <w:r w:rsidR="00273C4C" w:rsidRPr="00CD14BC">
        <w:rPr>
          <w:i/>
          <w:iCs/>
        </w:rPr>
        <w:t xml:space="preserve"> volume 2</w:t>
      </w:r>
      <w:r w:rsidR="005D59BF" w:rsidRPr="00CD14BC">
        <w:rPr>
          <w:i/>
          <w:iCs/>
        </w:rPr>
        <w:t xml:space="preserve"> – Investigations into 2009 – 2014 Deaths</w:t>
      </w:r>
      <w:r w:rsidR="005D59BF">
        <w:t xml:space="preserve"> </w:t>
      </w:r>
      <w:r w:rsidRPr="00281BA4">
        <w:t xml:space="preserve">(Report, No </w:t>
      </w:r>
      <w:r w:rsidR="00BB6221">
        <w:t>81</w:t>
      </w:r>
      <w:r w:rsidRPr="00281BA4">
        <w:t xml:space="preserve">, 2 </w:t>
      </w:r>
      <w:r w:rsidR="002B32E1">
        <w:t xml:space="preserve">December </w:t>
      </w:r>
      <w:r w:rsidRPr="00281BA4">
        <w:t>201</w:t>
      </w:r>
      <w:r w:rsidR="002B32E1">
        <w:t>5</w:t>
      </w:r>
      <w:r w:rsidRPr="00281BA4">
        <w:t>).</w:t>
      </w:r>
    </w:p>
    <w:p w14:paraId="0EAA2369" w14:textId="7072E23D" w:rsidR="00516A5B" w:rsidRDefault="00516A5B" w:rsidP="00516A5B">
      <w:pPr>
        <w:pStyle w:val="Numberedlist"/>
        <w:numPr>
          <w:ilvl w:val="0"/>
          <w:numId w:val="0"/>
        </w:numPr>
        <w:spacing w:before="120" w:after="200"/>
      </w:pPr>
      <w:r w:rsidRPr="00281BA4">
        <w:t>Bernard Teague</w:t>
      </w:r>
      <w:r w:rsidR="005D59BF">
        <w:t xml:space="preserve"> and </w:t>
      </w:r>
      <w:r w:rsidRPr="00281BA4">
        <w:t xml:space="preserve">John Catford, </w:t>
      </w:r>
      <w:r w:rsidRPr="00583F68">
        <w:rPr>
          <w:i/>
          <w:iCs/>
        </w:rPr>
        <w:t xml:space="preserve">Inquiry into the Hazelwood Coal </w:t>
      </w:r>
      <w:r w:rsidRPr="003D627B">
        <w:rPr>
          <w:i/>
          <w:iCs/>
        </w:rPr>
        <w:t>Mine Fire</w:t>
      </w:r>
      <w:r w:rsidR="005D59BF" w:rsidRPr="004E67C0">
        <w:rPr>
          <w:i/>
          <w:iCs/>
        </w:rPr>
        <w:t xml:space="preserve">: </w:t>
      </w:r>
      <w:r w:rsidR="00B221EA" w:rsidRPr="00CD14BC">
        <w:rPr>
          <w:i/>
          <w:iCs/>
        </w:rPr>
        <w:t>Hazelwood Mine Fire Inquiry Report 2015/2016, volume 4 – Mine Rehabilitation</w:t>
      </w:r>
      <w:r w:rsidR="00B221EA" w:rsidRPr="00281BA4">
        <w:t xml:space="preserve"> </w:t>
      </w:r>
      <w:r w:rsidRPr="00281BA4">
        <w:t xml:space="preserve">(Report, No </w:t>
      </w:r>
      <w:r w:rsidR="00B221EA">
        <w:t>113</w:t>
      </w:r>
      <w:r w:rsidRPr="00281BA4">
        <w:t xml:space="preserve">, </w:t>
      </w:r>
      <w:r w:rsidR="004E67C0">
        <w:t xml:space="preserve">7 April </w:t>
      </w:r>
      <w:r w:rsidRPr="00281BA4">
        <w:t>201</w:t>
      </w:r>
      <w:r w:rsidR="004E67C0">
        <w:t>6</w:t>
      </w:r>
      <w:r w:rsidRPr="00281BA4">
        <w:t>).</w:t>
      </w:r>
      <w:r w:rsidR="005D59BF" w:rsidRPr="005D59BF">
        <w:t xml:space="preserve"> </w:t>
      </w:r>
    </w:p>
    <w:p w14:paraId="538C078E" w14:textId="6B9C59A1" w:rsidR="44AE50F4" w:rsidRDefault="29A8887D" w:rsidP="0099601B">
      <w:pPr>
        <w:pStyle w:val="Numberedlist"/>
        <w:numPr>
          <w:ilvl w:val="0"/>
          <w:numId w:val="0"/>
        </w:numPr>
        <w:spacing w:before="120" w:after="200"/>
      </w:pPr>
      <w:r w:rsidRPr="44AE50F4">
        <w:rPr>
          <w:i/>
          <w:iCs/>
        </w:rPr>
        <w:t>Hazelwood Power Partnership v Latrobe City Council</w:t>
      </w:r>
      <w:r>
        <w:t xml:space="preserve"> [2016] VSCA 129.</w:t>
      </w:r>
    </w:p>
    <w:p w14:paraId="6812FF38" w14:textId="1E02FFAA" w:rsidR="44AE50F4" w:rsidRDefault="006B7E9A" w:rsidP="0099601B">
      <w:pPr>
        <w:pStyle w:val="Numberedlist"/>
        <w:numPr>
          <w:ilvl w:val="0"/>
          <w:numId w:val="0"/>
        </w:numPr>
        <w:spacing w:before="120" w:after="200"/>
      </w:pPr>
      <w:r w:rsidRPr="006B7E9A">
        <w:t>International Council on Mining and Metals</w:t>
      </w:r>
      <w:r w:rsidR="29A8887D">
        <w:t xml:space="preserve">, </w:t>
      </w:r>
      <w:r w:rsidR="29A8887D" w:rsidRPr="44AE50F4">
        <w:rPr>
          <w:i/>
          <w:iCs/>
        </w:rPr>
        <w:t>Integrated Mine Closure: Good practice guide</w:t>
      </w:r>
      <w:r w:rsidR="29A8887D">
        <w:t xml:space="preserve"> (2019) available at https://www.icmm.com/website/publications/pdfs/closure/190107_good_practice_guide_web.pdf</w:t>
      </w:r>
    </w:p>
    <w:p w14:paraId="34E79831" w14:textId="751E0F26" w:rsidR="00B70483" w:rsidRDefault="29A8887D" w:rsidP="0099601B">
      <w:pPr>
        <w:pStyle w:val="Numberedlist"/>
        <w:numPr>
          <w:ilvl w:val="0"/>
          <w:numId w:val="0"/>
        </w:numPr>
        <w:spacing w:before="120" w:after="200"/>
      </w:pPr>
      <w:r>
        <w:t xml:space="preserve">International Energy Association, </w:t>
      </w:r>
      <w:r w:rsidRPr="44AE50F4">
        <w:rPr>
          <w:i/>
          <w:iCs/>
        </w:rPr>
        <w:t>World Energy Outlook 2020</w:t>
      </w:r>
      <w:r>
        <w:t xml:space="preserve"> (Flagship report, October 2020), ‘An energy world in lockdown’ </w:t>
      </w:r>
      <w:r w:rsidR="007D16FF">
        <w:t>available at</w:t>
      </w:r>
      <w:r>
        <w:t xml:space="preserve"> </w:t>
      </w:r>
      <w:hyperlink r:id="rId44" w:anchor="abstract" w:history="1">
        <w:r w:rsidRPr="44AE50F4">
          <w:rPr>
            <w:rStyle w:val="Hyperlink"/>
          </w:rPr>
          <w:t>https://www.iea.org/reports/world-energy-outlook-2020/an-energy-world-in-lockdown#abstract</w:t>
        </w:r>
      </w:hyperlink>
    </w:p>
    <w:p w14:paraId="33C6569C" w14:textId="12552C07" w:rsidR="00B70483" w:rsidRDefault="00B70483" w:rsidP="0099601B">
      <w:pPr>
        <w:pStyle w:val="Numberedlist"/>
        <w:numPr>
          <w:ilvl w:val="0"/>
          <w:numId w:val="0"/>
        </w:numPr>
        <w:spacing w:before="120" w:after="200"/>
      </w:pPr>
      <w:r>
        <w:t xml:space="preserve">International Energy Association, </w:t>
      </w:r>
      <w:r>
        <w:rPr>
          <w:i/>
          <w:iCs/>
        </w:rPr>
        <w:t>World Energy Outlook 2020</w:t>
      </w:r>
      <w:r>
        <w:t xml:space="preserve"> (Flagship report, October 2020), ‘Global coal demand by scenario, 2010-2040’ graph </w:t>
      </w:r>
      <w:r w:rsidR="007D16FF">
        <w:t>available at</w:t>
      </w:r>
      <w:r w:rsidRPr="00D30F66">
        <w:t xml:space="preserve"> </w:t>
      </w:r>
      <w:hyperlink r:id="rId45" w:history="1">
        <w:r w:rsidRPr="001822FE">
          <w:rPr>
            <w:rStyle w:val="Hyperlink"/>
          </w:rPr>
          <w:t>https://www.iea.org/reports/world-energy-outlook-2020</w:t>
        </w:r>
      </w:hyperlink>
    </w:p>
    <w:p w14:paraId="36179A54" w14:textId="0C3A55B0" w:rsidR="5CF0E88B" w:rsidRDefault="520BB57B" w:rsidP="0099601B">
      <w:pPr>
        <w:pStyle w:val="Numberedlist"/>
        <w:numPr>
          <w:ilvl w:val="0"/>
          <w:numId w:val="0"/>
        </w:numPr>
        <w:spacing w:before="120" w:after="200"/>
      </w:pPr>
      <w:r>
        <w:t xml:space="preserve">International Energy Association, </w:t>
      </w:r>
      <w:r w:rsidRPr="5CF0E88B">
        <w:rPr>
          <w:i/>
          <w:iCs/>
        </w:rPr>
        <w:t>World Energy Outlook 2020</w:t>
      </w:r>
      <w:r>
        <w:t xml:space="preserve"> (Flagship report, October 2020), ‘The shadow of the pandemic looms large’ </w:t>
      </w:r>
      <w:r w:rsidR="007D16FF">
        <w:t>available at</w:t>
      </w:r>
      <w:r>
        <w:t xml:space="preserve"> https://www.iea.org/reports/world-energy-outlook-2020</w:t>
      </w:r>
    </w:p>
    <w:p w14:paraId="141A826A" w14:textId="27EBB2AF" w:rsidR="00B70483" w:rsidRDefault="00B70483" w:rsidP="0099601B">
      <w:pPr>
        <w:pStyle w:val="Numberedlist"/>
        <w:numPr>
          <w:ilvl w:val="0"/>
          <w:numId w:val="0"/>
        </w:numPr>
        <w:spacing w:before="120" w:after="200"/>
      </w:pPr>
      <w:r>
        <w:t xml:space="preserve">Perry Williams, ‘Energy Aust eyes smelter rescue to keep coal firing’ (27 July 2020) </w:t>
      </w:r>
      <w:r>
        <w:rPr>
          <w:i/>
          <w:iCs/>
        </w:rPr>
        <w:t>The Australian</w:t>
      </w:r>
      <w:r w:rsidR="00A54622">
        <w:rPr>
          <w:i/>
          <w:iCs/>
        </w:rPr>
        <w:t>.</w:t>
      </w:r>
    </w:p>
    <w:p w14:paraId="42BB4061" w14:textId="750D211D" w:rsidR="00471042" w:rsidRDefault="00471042" w:rsidP="0099601B">
      <w:pPr>
        <w:pStyle w:val="Numberedlist"/>
        <w:numPr>
          <w:ilvl w:val="0"/>
          <w:numId w:val="0"/>
        </w:numPr>
        <w:spacing w:before="120" w:after="200"/>
      </w:pPr>
      <w:r>
        <w:t>Premier of Victoria, ‘</w:t>
      </w:r>
      <w:r w:rsidRPr="005A088E">
        <w:rPr>
          <w:i/>
          <w:iCs/>
        </w:rPr>
        <w:t>Repairing The Yallourn Mine To Ensure Our Energy Security’</w:t>
      </w:r>
      <w:r>
        <w:t xml:space="preserve"> ,30 July 2021, </w:t>
      </w:r>
      <w:r w:rsidR="007D16FF">
        <w:t>available at</w:t>
      </w:r>
      <w:r w:rsidRPr="009D7EE0">
        <w:t xml:space="preserve"> </w:t>
      </w:r>
      <w:hyperlink r:id="rId46" w:history="1">
        <w:r w:rsidR="0042342A" w:rsidRPr="007A303A">
          <w:rPr>
            <w:rStyle w:val="Hyperlink"/>
          </w:rPr>
          <w:t>https://www.premier.vic.gov.au/repairing-yallourn-mine-ensure-our-energy-security</w:t>
        </w:r>
      </w:hyperlink>
      <w:r w:rsidR="0042342A">
        <w:t xml:space="preserve"> </w:t>
      </w:r>
    </w:p>
    <w:p w14:paraId="5809D84D" w14:textId="227A8A9D" w:rsidR="00B70483" w:rsidRDefault="00B70483" w:rsidP="0099601B">
      <w:pPr>
        <w:pStyle w:val="Numberedlist"/>
        <w:numPr>
          <w:ilvl w:val="0"/>
          <w:numId w:val="0"/>
        </w:numPr>
        <w:spacing w:before="120" w:after="200"/>
      </w:pPr>
      <w:r>
        <w:t>Queensland Department of Environment and Science, ‘Guideline – Progressive rehabilitation and closure plans (PRC plans)’ (1 November 2019) available at</w:t>
      </w:r>
      <w:r w:rsidRPr="007C37B9">
        <w:t xml:space="preserve"> </w:t>
      </w:r>
      <w:hyperlink r:id="rId47" w:history="1">
        <w:r w:rsidRPr="00EE3469">
          <w:rPr>
            <w:rStyle w:val="Hyperlink"/>
          </w:rPr>
          <w:t>https://environment.des.qld.gov.au/__data/assets/pdf_file/0026/95444/rs-gl-prc-plan.pdf</w:t>
        </w:r>
      </w:hyperlink>
    </w:p>
    <w:p w14:paraId="0CBBD9DE" w14:textId="0ECAC6A9" w:rsidR="00B70483" w:rsidRDefault="00B70483" w:rsidP="0099601B">
      <w:pPr>
        <w:pStyle w:val="Numberedlist"/>
        <w:numPr>
          <w:ilvl w:val="0"/>
          <w:numId w:val="0"/>
        </w:numPr>
        <w:spacing w:before="120" w:after="200"/>
      </w:pPr>
      <w:r>
        <w:t>Queensland Department of Environment and Science, ‘Mining rehabilitation reforms’ (19 November 2019) accessed 30 July 2020, available at</w:t>
      </w:r>
      <w:r w:rsidRPr="001D65F9">
        <w:t xml:space="preserve"> </w:t>
      </w:r>
      <w:hyperlink r:id="rId48" w:history="1">
        <w:r w:rsidR="0042342A" w:rsidRPr="007A303A">
          <w:rPr>
            <w:rStyle w:val="Hyperlink"/>
          </w:rPr>
          <w:t>https://environment.des.qld.gov.au/management/policy-regulation/mining-rehab-reforms</w:t>
        </w:r>
      </w:hyperlink>
    </w:p>
    <w:p w14:paraId="1DA1CF99" w14:textId="1F4941A2" w:rsidR="00B70483" w:rsidRDefault="00B70483" w:rsidP="0099601B">
      <w:pPr>
        <w:pStyle w:val="Numberedlist"/>
        <w:numPr>
          <w:ilvl w:val="0"/>
          <w:numId w:val="0"/>
        </w:numPr>
        <w:spacing w:before="120" w:after="200"/>
      </w:pPr>
      <w:r>
        <w:t xml:space="preserve">Queensland Government – Business Queensland, ‘Progressive certification for an environmental authority’ (27 August 2020) available at </w:t>
      </w:r>
      <w:hyperlink r:id="rId49" w:history="1">
        <w:r w:rsidR="0042342A" w:rsidRPr="007A303A">
          <w:rPr>
            <w:rStyle w:val="Hyperlink"/>
          </w:rPr>
          <w:t>https://www.business.qld.gov.au/running-business/environment/licences-permits/rehabilitation/certification</w:t>
        </w:r>
      </w:hyperlink>
      <w:r w:rsidR="0042342A">
        <w:t xml:space="preserve"> </w:t>
      </w:r>
    </w:p>
    <w:p w14:paraId="63A5F207" w14:textId="52FDC74F" w:rsidR="00B70483" w:rsidRDefault="00B70483" w:rsidP="0099601B">
      <w:pPr>
        <w:pStyle w:val="Numberedlist"/>
        <w:numPr>
          <w:ilvl w:val="0"/>
          <w:numId w:val="0"/>
        </w:numPr>
        <w:spacing w:before="120" w:after="200"/>
      </w:pPr>
      <w:r>
        <w:t>Queensland Government – Business Queensland, ‘Residual risk payments for an environmental authority’ (27 August 2020) available at</w:t>
      </w:r>
      <w:r w:rsidRPr="008924E7">
        <w:t xml:space="preserve"> </w:t>
      </w:r>
      <w:hyperlink r:id="rId50" w:history="1">
        <w:r w:rsidR="001930CD" w:rsidRPr="007A303A">
          <w:rPr>
            <w:rStyle w:val="Hyperlink"/>
          </w:rPr>
          <w:t>https://www.business.qld.gov.au/running-business/environment/licences-permits/rehabilitation/residual</w:t>
        </w:r>
      </w:hyperlink>
    </w:p>
    <w:p w14:paraId="5E378137" w14:textId="77777777" w:rsidR="007D16FF" w:rsidRDefault="00B70483" w:rsidP="0099601B">
      <w:pPr>
        <w:pStyle w:val="Numberedlist"/>
        <w:numPr>
          <w:ilvl w:val="0"/>
          <w:numId w:val="0"/>
        </w:numPr>
        <w:spacing w:before="120" w:after="200"/>
      </w:pPr>
      <w:r>
        <w:t xml:space="preserve">Queensland Treasury Corporation, </w:t>
      </w:r>
      <w:r>
        <w:rPr>
          <w:i/>
          <w:iCs/>
        </w:rPr>
        <w:t>Review of Queensland’s Financial Assurance Framework</w:t>
      </w:r>
      <w:r>
        <w:t xml:space="preserve"> (April 2017) available at</w:t>
      </w:r>
      <w:r w:rsidRPr="001D65F9">
        <w:t xml:space="preserve"> </w:t>
      </w:r>
      <w:hyperlink r:id="rId51" w:history="1">
        <w:r w:rsidRPr="00EE3469">
          <w:rPr>
            <w:rStyle w:val="Hyperlink"/>
          </w:rPr>
          <w:t>https://s3.treasury.qld.gov.au/files/review-of-queenslands-financial-assurance-framework.pdf</w:t>
        </w:r>
      </w:hyperlink>
    </w:p>
    <w:p w14:paraId="7042E163" w14:textId="4091E5B5" w:rsidR="00B70483" w:rsidRDefault="00B70483" w:rsidP="0099601B">
      <w:pPr>
        <w:pStyle w:val="Numberedlist"/>
        <w:numPr>
          <w:ilvl w:val="0"/>
          <w:numId w:val="0"/>
        </w:numPr>
        <w:spacing w:before="120" w:after="200"/>
      </w:pPr>
      <w:r>
        <w:t xml:space="preserve">Queensland Department of Premier and Cabinet, Queensland Treasury and Department of Natural Resources and Mines, </w:t>
      </w:r>
      <w:r>
        <w:rPr>
          <w:i/>
          <w:iCs/>
        </w:rPr>
        <w:t>Better Mine Rehabilitation for Queensland: Discussion Paper</w:t>
      </w:r>
      <w:r>
        <w:t xml:space="preserve"> (2017) available at</w:t>
      </w:r>
      <w:r w:rsidRPr="005305DF">
        <w:t xml:space="preserve"> </w:t>
      </w:r>
      <w:hyperlink r:id="rId52" w:history="1">
        <w:r w:rsidR="007D16FF" w:rsidRPr="00E0735F">
          <w:rPr>
            <w:rStyle w:val="Hyperlink"/>
          </w:rPr>
          <w:t>https://s3.treasury.qld.gov.au/files/better-mine-rehabilitation-in-qld-discussion-paper1.pdf</w:t>
        </w:r>
      </w:hyperlink>
      <w:r w:rsidR="007D16FF">
        <w:t xml:space="preserve"> </w:t>
      </w:r>
    </w:p>
    <w:p w14:paraId="50CD93EA" w14:textId="3B4ABF9B" w:rsidR="00B70483" w:rsidRDefault="00B70483" w:rsidP="0099601B">
      <w:pPr>
        <w:pStyle w:val="Numberedlist"/>
        <w:numPr>
          <w:ilvl w:val="0"/>
          <w:numId w:val="0"/>
        </w:numPr>
        <w:spacing w:before="120" w:after="200"/>
      </w:pPr>
      <w:r>
        <w:t xml:space="preserve">SBS News, A timeline of Hazelwood power station’ (30 March 2017) available at </w:t>
      </w:r>
      <w:hyperlink r:id="rId53" w:history="1">
        <w:r w:rsidR="007D16FF" w:rsidRPr="00E0735F">
          <w:rPr>
            <w:rStyle w:val="Hyperlink"/>
          </w:rPr>
          <w:t>https://www.sbs.com.au/news/a-timeline-of-hazelwood-power-station</w:t>
        </w:r>
      </w:hyperlink>
    </w:p>
    <w:p w14:paraId="3713E538" w14:textId="78E9EA94" w:rsidR="009614B2" w:rsidRDefault="009614B2" w:rsidP="0099601B">
      <w:pPr>
        <w:pStyle w:val="Numberedlist"/>
        <w:numPr>
          <w:ilvl w:val="0"/>
          <w:numId w:val="0"/>
        </w:numPr>
        <w:spacing w:before="120" w:after="200"/>
      </w:pPr>
      <w:r>
        <w:t xml:space="preserve">Senior, </w:t>
      </w:r>
      <w:r w:rsidRPr="00777609">
        <w:t xml:space="preserve">A., Britt, A.F., Summerfield, D., Hughes, A., Hitchman, A., Cross, A., Champion, D., Huston, D., Bastrakov, E.N., Sexton, M., Moloney, J., Pheeney, J., Teh, M., Schofield, A. 2021. </w:t>
      </w:r>
      <w:r w:rsidRPr="00777609">
        <w:rPr>
          <w:i/>
          <w:iCs/>
        </w:rPr>
        <w:t>Australia's Identified Mineral Resources 2020</w:t>
      </w:r>
      <w:r w:rsidRPr="00777609">
        <w:t xml:space="preserve">. Geoscience Australia, Canberra </w:t>
      </w:r>
      <w:r w:rsidR="007D16FF">
        <w:t xml:space="preserve">available at </w:t>
      </w:r>
      <w:hyperlink r:id="rId54" w:history="1">
        <w:r w:rsidR="002700A7" w:rsidRPr="007A303A">
          <w:rPr>
            <w:rStyle w:val="Hyperlink"/>
          </w:rPr>
          <w:t>http://dx.doi.org/10.11636/1327-1466.2020</w:t>
        </w:r>
      </w:hyperlink>
      <w:r w:rsidR="002700A7">
        <w:t xml:space="preserve"> </w:t>
      </w:r>
    </w:p>
    <w:p w14:paraId="79B06912" w14:textId="2DB5EB62" w:rsidR="00B70483" w:rsidRDefault="00B70483" w:rsidP="0099601B">
      <w:pPr>
        <w:pStyle w:val="Numberedlist"/>
        <w:numPr>
          <w:ilvl w:val="0"/>
          <w:numId w:val="0"/>
        </w:numPr>
        <w:spacing w:before="120" w:after="200"/>
      </w:pPr>
      <w:r w:rsidRPr="003B1ED7">
        <w:t xml:space="preserve">State of Victoria, </w:t>
      </w:r>
      <w:r>
        <w:t xml:space="preserve">Minister for Resources, </w:t>
      </w:r>
      <w:r w:rsidRPr="003B1ED7">
        <w:rPr>
          <w:i/>
        </w:rPr>
        <w:t>State of Discovery: Mineral Resources Strategy 2018-2023</w:t>
      </w:r>
      <w:r w:rsidRPr="003B1ED7">
        <w:t>, 1</w:t>
      </w:r>
      <w:r w:rsidR="00CB0C86">
        <w:t>.</w:t>
      </w:r>
    </w:p>
    <w:p w14:paraId="7FBBDB69" w14:textId="6F6233A6" w:rsidR="00B70483" w:rsidRDefault="00B70483" w:rsidP="0099601B">
      <w:pPr>
        <w:pStyle w:val="Numberedlist"/>
        <w:numPr>
          <w:ilvl w:val="0"/>
          <w:numId w:val="0"/>
        </w:numPr>
        <w:spacing w:before="120" w:after="200"/>
      </w:pPr>
      <w:r>
        <w:t xml:space="preserve">Stretton Royal Commission, </w:t>
      </w:r>
      <w:r>
        <w:rPr>
          <w:i/>
        </w:rPr>
        <w:t>Report of the Royal Commission to inquire into the place of origin and the causes of the fires which commenced at Yallourn on the 14</w:t>
      </w:r>
      <w:r w:rsidRPr="00545061">
        <w:rPr>
          <w:i/>
          <w:vertAlign w:val="superscript"/>
        </w:rPr>
        <w:t>th</w:t>
      </w:r>
      <w:r>
        <w:rPr>
          <w:i/>
        </w:rPr>
        <w:t xml:space="preserve"> day of February, </w:t>
      </w:r>
      <w:r>
        <w:t>(1944)</w:t>
      </w:r>
      <w:r w:rsidR="00CB0C86">
        <w:t>.</w:t>
      </w:r>
    </w:p>
    <w:p w14:paraId="64DD3F5B" w14:textId="25644E55" w:rsidR="00B70483" w:rsidRDefault="00B70483" w:rsidP="0099601B">
      <w:pPr>
        <w:pStyle w:val="Numberedlist"/>
        <w:numPr>
          <w:ilvl w:val="0"/>
          <w:numId w:val="0"/>
        </w:numPr>
        <w:spacing w:before="120" w:after="200"/>
      </w:pPr>
      <w:r>
        <w:t xml:space="preserve">Tim Pallas, MP, </w:t>
      </w:r>
      <w:r>
        <w:rPr>
          <w:i/>
        </w:rPr>
        <w:t>Mineral Resources (Sustainable Development) Amendment Bill 2019 – Second Reading Speech</w:t>
      </w:r>
      <w:r>
        <w:t xml:space="preserve"> (5 June 2019) Hansard, 1944</w:t>
      </w:r>
      <w:r w:rsidR="00CB0C86">
        <w:t>.</w:t>
      </w:r>
    </w:p>
    <w:p w14:paraId="16D47BC6" w14:textId="141DE36E" w:rsidR="00B70483" w:rsidRDefault="00B70483" w:rsidP="0099601B">
      <w:pPr>
        <w:pStyle w:val="Numberedlist"/>
        <w:numPr>
          <w:ilvl w:val="0"/>
          <w:numId w:val="0"/>
        </w:numPr>
        <w:spacing w:before="120" w:after="200"/>
      </w:pPr>
      <w:r>
        <w:lastRenderedPageBreak/>
        <w:t xml:space="preserve">Victorian Auditor-General’s Office, </w:t>
      </w:r>
      <w:r>
        <w:rPr>
          <w:i/>
          <w:iCs/>
        </w:rPr>
        <w:t>Rehabilitating Mines</w:t>
      </w:r>
      <w:r>
        <w:t xml:space="preserve"> (August 2020) Independent assurance report to Parliament 2020-21</w:t>
      </w:r>
      <w:r w:rsidR="00CB0C86">
        <w:t>.</w:t>
      </w:r>
    </w:p>
    <w:p w14:paraId="709D1C1D" w14:textId="0955F398" w:rsidR="00B70483" w:rsidRDefault="00B70483" w:rsidP="0099601B">
      <w:pPr>
        <w:pStyle w:val="Numberedlist"/>
        <w:numPr>
          <w:ilvl w:val="0"/>
          <w:numId w:val="0"/>
        </w:numPr>
        <w:spacing w:before="120" w:after="200"/>
      </w:pPr>
      <w:r>
        <w:t xml:space="preserve">Victorian Department of Human Services, </w:t>
      </w:r>
      <w:r>
        <w:rPr>
          <w:i/>
        </w:rPr>
        <w:t>January 2009 Heatwave in Victoria: an Assessment of Health Impacts</w:t>
      </w:r>
      <w:r>
        <w:t xml:space="preserve"> (2009)</w:t>
      </w:r>
      <w:r w:rsidR="00E17255">
        <w:t>.</w:t>
      </w:r>
    </w:p>
    <w:p w14:paraId="564C85C9" w14:textId="55D78915" w:rsidR="00B70483" w:rsidRDefault="00B70483" w:rsidP="0099601B">
      <w:pPr>
        <w:pStyle w:val="Numberedlist"/>
        <w:numPr>
          <w:ilvl w:val="0"/>
          <w:numId w:val="0"/>
        </w:numPr>
        <w:spacing w:before="120" w:after="200"/>
      </w:pPr>
      <w:r>
        <w:t xml:space="preserve">Victorian Government Department of Environment, Land, Water and Planning, ‘Emissions reduction targets’ (30 August 2019) </w:t>
      </w:r>
      <w:r w:rsidR="007D16FF">
        <w:t>available at</w:t>
      </w:r>
      <w:r>
        <w:t xml:space="preserve"> </w:t>
      </w:r>
      <w:hyperlink r:id="rId55" w:history="1">
        <w:r w:rsidR="007D16FF" w:rsidRPr="00E0735F">
          <w:rPr>
            <w:rStyle w:val="Hyperlink"/>
          </w:rPr>
          <w:t>https://www.climatechange.vic.gov.au/reducing-emissions/emissions-targets</w:t>
        </w:r>
      </w:hyperlink>
      <w:r w:rsidR="007D16FF">
        <w:t xml:space="preserve"> </w:t>
      </w:r>
      <w:r>
        <w:t xml:space="preserve"> </w:t>
      </w:r>
    </w:p>
    <w:p w14:paraId="50B55698" w14:textId="50EF5B2C" w:rsidR="00B70483" w:rsidRDefault="00B70483" w:rsidP="0099601B">
      <w:pPr>
        <w:pStyle w:val="Numberedlist"/>
        <w:numPr>
          <w:ilvl w:val="0"/>
          <w:numId w:val="0"/>
        </w:numPr>
        <w:spacing w:before="120" w:after="200"/>
      </w:pPr>
      <w:r>
        <w:t xml:space="preserve">Victorian Government Department of Environment, Land, Water and Planning, ‘Victoria’s renewable energy targets’ (9 April 2020) </w:t>
      </w:r>
      <w:r w:rsidR="007D16FF">
        <w:t>available at</w:t>
      </w:r>
      <w:r>
        <w:t xml:space="preserve"> </w:t>
      </w:r>
      <w:hyperlink r:id="rId56" w:history="1">
        <w:r w:rsidR="007D16FF" w:rsidRPr="00E0735F">
          <w:rPr>
            <w:rStyle w:val="Hyperlink"/>
          </w:rPr>
          <w:t>https://www.energy.vic.gov.au/renewable-energy/victorias-renewable-energy-targets</w:t>
        </w:r>
      </w:hyperlink>
      <w:r w:rsidR="007D16FF">
        <w:t xml:space="preserve"> </w:t>
      </w:r>
    </w:p>
    <w:p w14:paraId="57C7F89B" w14:textId="7611E053" w:rsidR="00B70483" w:rsidRDefault="29A8887D" w:rsidP="0099601B">
      <w:pPr>
        <w:pStyle w:val="Numberedlist"/>
        <w:numPr>
          <w:ilvl w:val="0"/>
          <w:numId w:val="0"/>
        </w:numPr>
        <w:spacing w:before="120" w:after="200"/>
      </w:pPr>
      <w:r>
        <w:t>Victoria Government Gazette, No. S 366 (8 September 2010)</w:t>
      </w:r>
      <w:r w:rsidR="00E17255">
        <w:t>.</w:t>
      </w:r>
    </w:p>
    <w:p w14:paraId="2D994806" w14:textId="50E15D25" w:rsidR="00B70483" w:rsidRDefault="00B70483" w:rsidP="0099601B">
      <w:pPr>
        <w:pStyle w:val="Numberedlist"/>
        <w:numPr>
          <w:ilvl w:val="0"/>
          <w:numId w:val="0"/>
        </w:numPr>
        <w:spacing w:before="120" w:after="200"/>
      </w:pPr>
      <w:r>
        <w:t xml:space="preserve">Victorian Government, </w:t>
      </w:r>
      <w:r>
        <w:rPr>
          <w:i/>
          <w:iCs/>
        </w:rPr>
        <w:t>Latrobe Valley Regional Rehabilitation Strategy</w:t>
      </w:r>
      <w:r>
        <w:t xml:space="preserve"> (June 2020)</w:t>
      </w:r>
      <w:r w:rsidR="00E17255">
        <w:t>.</w:t>
      </w:r>
    </w:p>
    <w:p w14:paraId="6C6CCF5D" w14:textId="70BF4129" w:rsidR="00B70483" w:rsidRDefault="00B70483" w:rsidP="0099601B">
      <w:pPr>
        <w:pStyle w:val="Numberedlist"/>
        <w:numPr>
          <w:ilvl w:val="0"/>
          <w:numId w:val="0"/>
        </w:numPr>
        <w:spacing w:before="120" w:after="200"/>
      </w:pPr>
      <w:r>
        <w:t xml:space="preserve">Victorian Government, </w:t>
      </w:r>
      <w:r>
        <w:rPr>
          <w:i/>
        </w:rPr>
        <w:t>Latrobe Valley Regional Rehabilitation Strategy: Regional Geotechnical Study Synopsis Report</w:t>
      </w:r>
      <w:r>
        <w:t xml:space="preserve"> (2019)</w:t>
      </w:r>
      <w:r w:rsidR="00E17255">
        <w:t>.</w:t>
      </w:r>
    </w:p>
    <w:p w14:paraId="255C240A" w14:textId="2A8E15EC" w:rsidR="00B70483" w:rsidRDefault="00B70483" w:rsidP="0099601B">
      <w:pPr>
        <w:pStyle w:val="Numberedlist"/>
        <w:numPr>
          <w:ilvl w:val="0"/>
          <w:numId w:val="0"/>
        </w:numPr>
        <w:spacing w:before="120" w:after="200"/>
      </w:pPr>
      <w:r>
        <w:t xml:space="preserve">Victorian Government, </w:t>
      </w:r>
      <w:r>
        <w:rPr>
          <w:i/>
        </w:rPr>
        <w:t>Latrobe Valley Regional Rehabilitation Strategy: Regional Water Study Synopsis Report</w:t>
      </w:r>
      <w:r>
        <w:t xml:space="preserve"> (2020)</w:t>
      </w:r>
      <w:r w:rsidR="00E17255">
        <w:t>.</w:t>
      </w:r>
    </w:p>
    <w:p w14:paraId="5ADF53D8" w14:textId="27EBC432" w:rsidR="00B70483" w:rsidRDefault="00B70483" w:rsidP="0099601B">
      <w:pPr>
        <w:pStyle w:val="Numberedlist"/>
        <w:numPr>
          <w:ilvl w:val="0"/>
          <w:numId w:val="0"/>
        </w:numPr>
        <w:spacing w:before="120" w:after="200"/>
      </w:pPr>
      <w:r>
        <w:t xml:space="preserve">Victorian Mining Warden, </w:t>
      </w:r>
      <w:r>
        <w:rPr>
          <w:i/>
        </w:rPr>
        <w:t>Yallourn Mine Batter Failure Inquiry</w:t>
      </w:r>
      <w:r>
        <w:t xml:space="preserve"> (2008)</w:t>
      </w:r>
      <w:r w:rsidR="00E17255">
        <w:t>.</w:t>
      </w:r>
    </w:p>
    <w:p w14:paraId="0F32799A" w14:textId="77777777" w:rsidR="00FC16CE" w:rsidRDefault="00FC16CE" w:rsidP="00B70483">
      <w:pPr>
        <w:pStyle w:val="Numberedlist"/>
        <w:numPr>
          <w:ilvl w:val="0"/>
          <w:numId w:val="0"/>
        </w:numPr>
      </w:pPr>
    </w:p>
    <w:p w14:paraId="42BB68F4" w14:textId="2AB63747" w:rsidR="00FC16CE" w:rsidRDefault="00FC16CE">
      <w:pPr>
        <w:spacing w:before="0" w:line="276" w:lineRule="auto"/>
        <w:rPr>
          <w:rFonts w:asciiTheme="minorHAnsi" w:hAnsiTheme="minorHAnsi" w:cstheme="minorHAnsi"/>
          <w:szCs w:val="18"/>
          <w:lang w:eastAsia="en-AU"/>
        </w:rPr>
      </w:pPr>
      <w:r>
        <w:br w:type="page"/>
      </w:r>
    </w:p>
    <w:p w14:paraId="641A208C" w14:textId="12E6DEB6" w:rsidR="007A6934" w:rsidRDefault="007A6934" w:rsidP="007A6934">
      <w:pPr>
        <w:pStyle w:val="Heading1"/>
        <w:numPr>
          <w:ilvl w:val="0"/>
          <w:numId w:val="0"/>
        </w:numPr>
      </w:pPr>
      <w:bookmarkStart w:id="441" w:name="_Toc104217738"/>
      <w:r>
        <w:lastRenderedPageBreak/>
        <w:t xml:space="preserve">Appendix </w:t>
      </w:r>
      <w:r w:rsidR="008666D6">
        <w:t>D</w:t>
      </w:r>
      <w:r>
        <w:t xml:space="preserve">: </w:t>
      </w:r>
      <w:r w:rsidR="00AC468D">
        <w:t>Areas to be prescribed</w:t>
      </w:r>
      <w:bookmarkEnd w:id="441"/>
    </w:p>
    <w:p w14:paraId="5945BEE3" w14:textId="77777777" w:rsidR="00FC16CE" w:rsidRDefault="00FC16CE" w:rsidP="00B70483">
      <w:pPr>
        <w:pStyle w:val="Numberedlist"/>
        <w:numPr>
          <w:ilvl w:val="0"/>
          <w:numId w:val="0"/>
        </w:numPr>
      </w:pPr>
    </w:p>
    <w:tbl>
      <w:tblPr>
        <w:tblStyle w:val="GridTable4-Accent11"/>
        <w:tblW w:w="0" w:type="auto"/>
        <w:tblLook w:val="04A0" w:firstRow="1" w:lastRow="0" w:firstColumn="1" w:lastColumn="0" w:noHBand="0" w:noVBand="1"/>
      </w:tblPr>
      <w:tblGrid>
        <w:gridCol w:w="6701"/>
        <w:gridCol w:w="2305"/>
      </w:tblGrid>
      <w:tr w:rsidR="00FC16CE" w:rsidRPr="00CC56E1" w14:paraId="3CBD4B54" w14:textId="77777777" w:rsidTr="00FC16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404040"/>
          </w:tcPr>
          <w:p w14:paraId="4FEB1CFD" w14:textId="77777777" w:rsidR="00FC16CE" w:rsidRPr="00CC56E1" w:rsidRDefault="00FC16CE" w:rsidP="00FC16CE">
            <w:pPr>
              <w:spacing w:before="0"/>
              <w:jc w:val="center"/>
              <w:rPr>
                <w:rFonts w:asciiTheme="minorHAnsi" w:eastAsia="Calibri" w:hAnsiTheme="minorHAnsi" w:cstheme="minorHAnsi"/>
                <w:color w:val="FFFFFF"/>
                <w:sz w:val="20"/>
              </w:rPr>
            </w:pPr>
            <w:r w:rsidRPr="00CC56E1">
              <w:rPr>
                <w:rFonts w:asciiTheme="minorHAnsi" w:eastAsia="Calibri" w:hAnsiTheme="minorHAnsi" w:cstheme="minorHAnsi"/>
                <w:color w:val="FFFFFF"/>
                <w:sz w:val="20"/>
              </w:rPr>
              <w:t>AREAS TO BE PRESCRIBED</w:t>
            </w:r>
          </w:p>
        </w:tc>
        <w:tc>
          <w:tcPr>
            <w:tcW w:w="0" w:type="auto"/>
            <w:tcBorders>
              <w:right w:val="double" w:sz="4" w:space="0" w:color="4472C4"/>
            </w:tcBorders>
            <w:shd w:val="clear" w:color="auto" w:fill="404040"/>
          </w:tcPr>
          <w:p w14:paraId="09C3EF3A" w14:textId="77777777" w:rsidR="00FC16CE" w:rsidRPr="00CC56E1" w:rsidRDefault="00FC16CE" w:rsidP="00FC16CE">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sz w:val="20"/>
              </w:rPr>
            </w:pPr>
            <w:r w:rsidRPr="00CC56E1">
              <w:rPr>
                <w:rFonts w:asciiTheme="minorHAnsi" w:eastAsia="Calibri" w:hAnsiTheme="minorHAnsi" w:cstheme="minorHAnsi"/>
                <w:color w:val="FFFFFF"/>
                <w:sz w:val="20"/>
              </w:rPr>
              <w:t>EMPOWERING PROVISION (MRSDA sec.)</w:t>
            </w:r>
          </w:p>
        </w:tc>
      </w:tr>
      <w:tr w:rsidR="00FC16CE" w:rsidRPr="00CC56E1" w14:paraId="1E78B8EF" w14:textId="77777777" w:rsidTr="00FC1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left w:val="double" w:sz="4" w:space="0" w:color="4472C4"/>
              <w:right w:val="double" w:sz="4" w:space="0" w:color="4472C4"/>
            </w:tcBorders>
            <w:shd w:val="clear" w:color="auto" w:fill="C45911"/>
          </w:tcPr>
          <w:p w14:paraId="44FFA564" w14:textId="77777777" w:rsidR="00FC16CE" w:rsidRPr="00CC56E1" w:rsidRDefault="00FC16CE" w:rsidP="00FC16CE">
            <w:pPr>
              <w:numPr>
                <w:ilvl w:val="0"/>
                <w:numId w:val="76"/>
              </w:numPr>
              <w:spacing w:before="0"/>
              <w:contextualSpacing/>
              <w:rPr>
                <w:rFonts w:asciiTheme="minorHAnsi" w:eastAsia="Calibri" w:hAnsiTheme="minorHAnsi" w:cstheme="minorHAnsi"/>
                <w:i/>
                <w:color w:val="FFFFFF"/>
                <w:sz w:val="20"/>
              </w:rPr>
            </w:pPr>
            <w:r w:rsidRPr="00CC56E1">
              <w:rPr>
                <w:rFonts w:asciiTheme="minorHAnsi" w:eastAsia="Calibri" w:hAnsiTheme="minorHAnsi" w:cstheme="minorHAnsi"/>
                <w:i/>
                <w:color w:val="FFFFFF"/>
                <w:sz w:val="20"/>
              </w:rPr>
              <w:t>Declared Mine Rehabilitation Plan (DMRP)</w:t>
            </w:r>
          </w:p>
        </w:tc>
      </w:tr>
      <w:tr w:rsidR="00FC16CE" w:rsidRPr="00CC56E1" w14:paraId="03F030EB" w14:textId="77777777" w:rsidTr="00FC16CE">
        <w:tc>
          <w:tcPr>
            <w:cnfStyle w:val="001000000000" w:firstRow="0" w:lastRow="0" w:firstColumn="1" w:lastColumn="0" w:oddVBand="0" w:evenVBand="0" w:oddHBand="0" w:evenHBand="0" w:firstRowFirstColumn="0" w:firstRowLastColumn="0" w:lastRowFirstColumn="0" w:lastRowLastColumn="0"/>
            <w:tcW w:w="0" w:type="auto"/>
          </w:tcPr>
          <w:p w14:paraId="185B66DE" w14:textId="77777777" w:rsidR="00FC16CE" w:rsidRPr="00CC56E1" w:rsidRDefault="00FC16CE" w:rsidP="00FC16CE">
            <w:pPr>
              <w:numPr>
                <w:ilvl w:val="1"/>
                <w:numId w:val="76"/>
              </w:numPr>
              <w:spacing w:before="0"/>
              <w:ind w:left="452"/>
              <w:contextualSpacing/>
              <w:rPr>
                <w:rFonts w:asciiTheme="minorHAnsi" w:eastAsia="Calibri" w:hAnsiTheme="minorHAnsi" w:cstheme="minorHAnsi"/>
                <w:i/>
                <w:color w:val="C45911"/>
                <w:sz w:val="20"/>
              </w:rPr>
            </w:pPr>
            <w:r w:rsidRPr="00CC56E1">
              <w:rPr>
                <w:rFonts w:asciiTheme="minorHAnsi" w:eastAsia="Calibri" w:hAnsiTheme="minorHAnsi" w:cstheme="minorHAnsi"/>
                <w:i/>
                <w:color w:val="C45911"/>
                <w:sz w:val="20"/>
              </w:rPr>
              <w:t>Preparation of DMRP by the DM licensee</w:t>
            </w:r>
          </w:p>
        </w:tc>
        <w:tc>
          <w:tcPr>
            <w:tcW w:w="0" w:type="auto"/>
            <w:tcBorders>
              <w:right w:val="double" w:sz="4" w:space="0" w:color="4472C4"/>
            </w:tcBorders>
          </w:tcPr>
          <w:p w14:paraId="0586156A" w14:textId="77777777" w:rsidR="00FC16CE" w:rsidRPr="00CC56E1" w:rsidRDefault="00FC16CE" w:rsidP="00FC16CE">
            <w:pPr>
              <w:spacing w:before="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rPr>
            </w:pPr>
          </w:p>
        </w:tc>
      </w:tr>
      <w:tr w:rsidR="00FC16CE" w:rsidRPr="00CC56E1" w14:paraId="2B61CE19" w14:textId="77777777" w:rsidTr="00FC1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915DB2" w14:textId="77777777" w:rsidR="00FC16CE" w:rsidRPr="00CC56E1" w:rsidRDefault="00FC16CE" w:rsidP="00FC16CE">
            <w:pPr>
              <w:numPr>
                <w:ilvl w:val="2"/>
                <w:numId w:val="75"/>
              </w:numPr>
              <w:spacing w:before="0"/>
              <w:ind w:left="452" w:hanging="218"/>
              <w:contextualSpacing/>
              <w:rPr>
                <w:rFonts w:asciiTheme="minorHAnsi" w:eastAsia="Calibri" w:hAnsiTheme="minorHAnsi" w:cstheme="minorHAnsi"/>
                <w:color w:val="auto"/>
                <w:sz w:val="20"/>
              </w:rPr>
            </w:pPr>
            <w:r w:rsidRPr="00CC56E1">
              <w:rPr>
                <w:rFonts w:asciiTheme="minorHAnsi" w:eastAsia="Calibri" w:hAnsiTheme="minorHAnsi" w:cstheme="minorHAnsi"/>
                <w:color w:val="auto"/>
                <w:sz w:val="20"/>
              </w:rPr>
              <w:t>Period within which the DMRP is to be prepared</w:t>
            </w:r>
          </w:p>
        </w:tc>
        <w:tc>
          <w:tcPr>
            <w:tcW w:w="0" w:type="auto"/>
            <w:tcBorders>
              <w:right w:val="double" w:sz="4" w:space="0" w:color="4472C4"/>
            </w:tcBorders>
          </w:tcPr>
          <w:p w14:paraId="53C44397" w14:textId="77777777" w:rsidR="00FC16CE" w:rsidRPr="00CC56E1" w:rsidRDefault="00FC16CE" w:rsidP="00FC16CE">
            <w:pPr>
              <w:spacing w:before="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rPr>
            </w:pPr>
            <w:r w:rsidRPr="00CC56E1">
              <w:rPr>
                <w:rFonts w:asciiTheme="minorHAnsi" w:eastAsia="Calibri" w:hAnsiTheme="minorHAnsi" w:cstheme="minorHAnsi"/>
                <w:color w:val="auto"/>
                <w:sz w:val="20"/>
              </w:rPr>
              <w:t>84AZU(2)</w:t>
            </w:r>
          </w:p>
        </w:tc>
      </w:tr>
      <w:tr w:rsidR="00FC16CE" w:rsidRPr="00CC56E1" w14:paraId="2A505A58" w14:textId="77777777" w:rsidTr="00FC16CE">
        <w:tc>
          <w:tcPr>
            <w:cnfStyle w:val="001000000000" w:firstRow="0" w:lastRow="0" w:firstColumn="1" w:lastColumn="0" w:oddVBand="0" w:evenVBand="0" w:oddHBand="0" w:evenHBand="0" w:firstRowFirstColumn="0" w:firstRowLastColumn="0" w:lastRowFirstColumn="0" w:lastRowLastColumn="0"/>
            <w:tcW w:w="0" w:type="auto"/>
          </w:tcPr>
          <w:p w14:paraId="622C718B" w14:textId="77777777" w:rsidR="00FC16CE" w:rsidRPr="00CC56E1" w:rsidRDefault="00FC16CE" w:rsidP="00FC16CE">
            <w:pPr>
              <w:numPr>
                <w:ilvl w:val="2"/>
                <w:numId w:val="75"/>
              </w:numPr>
              <w:spacing w:before="0"/>
              <w:ind w:left="452" w:hanging="218"/>
              <w:contextualSpacing/>
              <w:rPr>
                <w:rFonts w:asciiTheme="minorHAnsi" w:eastAsia="Calibri" w:hAnsiTheme="minorHAnsi" w:cstheme="minorHAnsi"/>
                <w:color w:val="auto"/>
                <w:sz w:val="20"/>
              </w:rPr>
            </w:pPr>
            <w:r w:rsidRPr="00CC56E1">
              <w:rPr>
                <w:rFonts w:asciiTheme="minorHAnsi" w:eastAsia="Calibri" w:hAnsiTheme="minorHAnsi" w:cstheme="minorHAnsi"/>
                <w:color w:val="auto"/>
                <w:sz w:val="20"/>
              </w:rPr>
              <w:t>Matters to be included in a DMRP, including closure criteria and any other prescribed matter</w:t>
            </w:r>
            <w:r w:rsidRPr="00CC56E1">
              <w:rPr>
                <w:rFonts w:asciiTheme="minorHAnsi" w:eastAsia="Calibri" w:hAnsiTheme="minorHAnsi" w:cstheme="minorHAnsi"/>
                <w:color w:val="auto"/>
                <w:sz w:val="20"/>
                <w:vertAlign w:val="superscript"/>
              </w:rPr>
              <w:t>0,1</w:t>
            </w:r>
            <w:r w:rsidRPr="00CC56E1">
              <w:rPr>
                <w:rFonts w:asciiTheme="minorHAnsi" w:eastAsia="Calibri" w:hAnsiTheme="minorHAnsi" w:cstheme="minorHAnsi"/>
                <w:color w:val="auto"/>
                <w:sz w:val="20"/>
              </w:rPr>
              <w:t xml:space="preserve"> </w:t>
            </w:r>
          </w:p>
        </w:tc>
        <w:tc>
          <w:tcPr>
            <w:tcW w:w="0" w:type="auto"/>
            <w:tcBorders>
              <w:right w:val="double" w:sz="4" w:space="0" w:color="4472C4"/>
            </w:tcBorders>
          </w:tcPr>
          <w:p w14:paraId="5E0CC0E1" w14:textId="77777777" w:rsidR="00FC16CE" w:rsidRPr="00CC56E1" w:rsidRDefault="00FC16CE" w:rsidP="00FC16CE">
            <w:pPr>
              <w:spacing w:before="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rPr>
            </w:pPr>
            <w:r w:rsidRPr="00CC56E1">
              <w:rPr>
                <w:rFonts w:asciiTheme="minorHAnsi" w:eastAsia="Calibri" w:hAnsiTheme="minorHAnsi" w:cstheme="minorHAnsi"/>
                <w:color w:val="auto"/>
                <w:sz w:val="20"/>
              </w:rPr>
              <w:t>84AZU(3)(b) and (f); 124(1)(oc)(i)</w:t>
            </w:r>
          </w:p>
        </w:tc>
      </w:tr>
      <w:tr w:rsidR="00FC16CE" w:rsidRPr="00CC56E1" w14:paraId="18571B38" w14:textId="77777777" w:rsidTr="00FC1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A6BD4E" w14:textId="77777777" w:rsidR="00FC16CE" w:rsidRPr="00CC56E1" w:rsidRDefault="00FC16CE" w:rsidP="00FC16CE">
            <w:pPr>
              <w:numPr>
                <w:ilvl w:val="2"/>
                <w:numId w:val="75"/>
              </w:numPr>
              <w:spacing w:before="0"/>
              <w:ind w:left="452" w:hanging="218"/>
              <w:contextualSpacing/>
              <w:rPr>
                <w:rFonts w:asciiTheme="minorHAnsi" w:eastAsia="Calibri" w:hAnsiTheme="minorHAnsi" w:cstheme="minorHAnsi"/>
                <w:color w:val="auto"/>
                <w:sz w:val="20"/>
              </w:rPr>
            </w:pPr>
            <w:r w:rsidRPr="00CC56E1">
              <w:rPr>
                <w:rFonts w:asciiTheme="minorHAnsi" w:eastAsia="Calibri" w:hAnsiTheme="minorHAnsi" w:cstheme="minorHAnsi"/>
                <w:color w:val="auto"/>
                <w:sz w:val="20"/>
              </w:rPr>
              <w:t>Persons or classes of persons who the DM licensee must consult</w:t>
            </w:r>
          </w:p>
        </w:tc>
        <w:tc>
          <w:tcPr>
            <w:tcW w:w="0" w:type="auto"/>
            <w:tcBorders>
              <w:right w:val="double" w:sz="4" w:space="0" w:color="4472C4"/>
            </w:tcBorders>
          </w:tcPr>
          <w:p w14:paraId="02B9434A" w14:textId="77777777" w:rsidR="00FC16CE" w:rsidRPr="00CC56E1" w:rsidRDefault="00FC16CE" w:rsidP="00FC16CE">
            <w:pPr>
              <w:spacing w:before="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rPr>
            </w:pPr>
            <w:r w:rsidRPr="00CC56E1">
              <w:rPr>
                <w:rFonts w:asciiTheme="minorHAnsi" w:eastAsia="Calibri" w:hAnsiTheme="minorHAnsi" w:cstheme="minorHAnsi"/>
                <w:color w:val="auto"/>
                <w:sz w:val="20"/>
              </w:rPr>
              <w:t>84AZU(4)</w:t>
            </w:r>
          </w:p>
        </w:tc>
      </w:tr>
      <w:tr w:rsidR="00FC16CE" w:rsidRPr="00CC56E1" w14:paraId="25C58A12" w14:textId="77777777" w:rsidTr="00FC16CE">
        <w:tc>
          <w:tcPr>
            <w:cnfStyle w:val="001000000000" w:firstRow="0" w:lastRow="0" w:firstColumn="1" w:lastColumn="0" w:oddVBand="0" w:evenVBand="0" w:oddHBand="0" w:evenHBand="0" w:firstRowFirstColumn="0" w:firstRowLastColumn="0" w:lastRowFirstColumn="0" w:lastRowLastColumn="0"/>
            <w:tcW w:w="0" w:type="auto"/>
          </w:tcPr>
          <w:p w14:paraId="60BBE2B3" w14:textId="77777777" w:rsidR="00FC16CE" w:rsidRPr="00CC56E1" w:rsidRDefault="00FC16CE" w:rsidP="00FC16CE">
            <w:pPr>
              <w:numPr>
                <w:ilvl w:val="2"/>
                <w:numId w:val="75"/>
              </w:numPr>
              <w:spacing w:before="0"/>
              <w:ind w:left="452" w:hanging="218"/>
              <w:contextualSpacing/>
              <w:rPr>
                <w:rFonts w:asciiTheme="minorHAnsi" w:eastAsia="Calibri" w:hAnsiTheme="minorHAnsi" w:cstheme="minorHAnsi"/>
                <w:color w:val="auto"/>
                <w:sz w:val="20"/>
              </w:rPr>
            </w:pPr>
            <w:r w:rsidRPr="00CC56E1">
              <w:rPr>
                <w:rFonts w:asciiTheme="minorHAnsi" w:eastAsia="Calibri" w:hAnsiTheme="minorHAnsi" w:cstheme="minorHAnsi"/>
                <w:color w:val="auto"/>
                <w:sz w:val="20"/>
                <w:vertAlign w:val="superscript"/>
              </w:rPr>
              <w:t>0</w:t>
            </w:r>
            <w:r w:rsidRPr="00CC56E1">
              <w:rPr>
                <w:rFonts w:asciiTheme="minorHAnsi" w:eastAsia="Calibri" w:hAnsiTheme="minorHAnsi" w:cstheme="minorHAnsi"/>
                <w:color w:val="auto"/>
                <w:sz w:val="20"/>
              </w:rPr>
              <w:t xml:space="preserve">Making regulations with respect to different cases or classes of case  </w:t>
            </w:r>
          </w:p>
        </w:tc>
        <w:tc>
          <w:tcPr>
            <w:tcW w:w="0" w:type="auto"/>
            <w:tcBorders>
              <w:right w:val="double" w:sz="4" w:space="0" w:color="4472C4"/>
            </w:tcBorders>
          </w:tcPr>
          <w:p w14:paraId="22F4D614" w14:textId="77777777" w:rsidR="00FC16CE" w:rsidRPr="00CC56E1" w:rsidRDefault="00FC16CE" w:rsidP="00FC16CE">
            <w:pPr>
              <w:spacing w:before="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rPr>
            </w:pPr>
            <w:r w:rsidRPr="00CC56E1">
              <w:rPr>
                <w:rFonts w:asciiTheme="minorHAnsi" w:eastAsia="Calibri" w:hAnsiTheme="minorHAnsi" w:cstheme="minorHAnsi"/>
                <w:color w:val="auto"/>
                <w:sz w:val="20"/>
              </w:rPr>
              <w:t>124(2)(b)</w:t>
            </w:r>
          </w:p>
        </w:tc>
      </w:tr>
      <w:tr w:rsidR="00FC16CE" w:rsidRPr="00CC56E1" w14:paraId="2ED02719" w14:textId="77777777" w:rsidTr="00FC1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left w:val="double" w:sz="4" w:space="0" w:color="4472C4"/>
              <w:right w:val="double" w:sz="4" w:space="0" w:color="4472C4"/>
            </w:tcBorders>
          </w:tcPr>
          <w:p w14:paraId="264E8EFC" w14:textId="77777777" w:rsidR="00FC16CE" w:rsidRPr="00CC56E1" w:rsidRDefault="00FC16CE" w:rsidP="00FC16CE">
            <w:pPr>
              <w:numPr>
                <w:ilvl w:val="1"/>
                <w:numId w:val="76"/>
              </w:numPr>
              <w:spacing w:before="0"/>
              <w:ind w:left="452"/>
              <w:contextualSpacing/>
              <w:rPr>
                <w:rFonts w:asciiTheme="minorHAnsi" w:eastAsia="Calibri" w:hAnsiTheme="minorHAnsi" w:cstheme="minorHAnsi"/>
                <w:i/>
                <w:color w:val="C45911"/>
                <w:sz w:val="20"/>
              </w:rPr>
            </w:pPr>
            <w:r w:rsidRPr="00CC56E1">
              <w:rPr>
                <w:rFonts w:asciiTheme="minorHAnsi" w:eastAsia="Calibri" w:hAnsiTheme="minorHAnsi" w:cstheme="minorHAnsi"/>
                <w:i/>
                <w:color w:val="C45911"/>
                <w:sz w:val="20"/>
              </w:rPr>
              <w:t>Approval of DMRP by the Department Head</w:t>
            </w:r>
          </w:p>
        </w:tc>
      </w:tr>
      <w:tr w:rsidR="00FC16CE" w:rsidRPr="00CC56E1" w14:paraId="4A193348" w14:textId="77777777" w:rsidTr="00FC16CE">
        <w:tc>
          <w:tcPr>
            <w:cnfStyle w:val="001000000000" w:firstRow="0" w:lastRow="0" w:firstColumn="1" w:lastColumn="0" w:oddVBand="0" w:evenVBand="0" w:oddHBand="0" w:evenHBand="0" w:firstRowFirstColumn="0" w:firstRowLastColumn="0" w:lastRowFirstColumn="0" w:lastRowLastColumn="0"/>
            <w:tcW w:w="0" w:type="auto"/>
          </w:tcPr>
          <w:p w14:paraId="0278C3DA" w14:textId="77777777" w:rsidR="00FC16CE" w:rsidRPr="00CC56E1" w:rsidRDefault="00FC16CE" w:rsidP="00FC16CE">
            <w:pPr>
              <w:numPr>
                <w:ilvl w:val="2"/>
                <w:numId w:val="77"/>
              </w:numPr>
              <w:spacing w:before="0"/>
              <w:ind w:left="452"/>
              <w:contextualSpacing/>
              <w:rPr>
                <w:rFonts w:asciiTheme="minorHAnsi" w:eastAsia="Calibri" w:hAnsiTheme="minorHAnsi" w:cstheme="minorHAnsi"/>
                <w:color w:val="auto"/>
                <w:sz w:val="20"/>
              </w:rPr>
            </w:pPr>
            <w:r w:rsidRPr="00CC56E1">
              <w:rPr>
                <w:rFonts w:asciiTheme="minorHAnsi" w:eastAsia="Calibri" w:hAnsiTheme="minorHAnsi" w:cstheme="minorHAnsi"/>
                <w:color w:val="auto"/>
                <w:sz w:val="20"/>
              </w:rPr>
              <w:t xml:space="preserve">Matters the Department Head takes into account when considering the DMRP </w:t>
            </w:r>
          </w:p>
        </w:tc>
        <w:tc>
          <w:tcPr>
            <w:tcW w:w="0" w:type="auto"/>
            <w:tcBorders>
              <w:right w:val="double" w:sz="4" w:space="0" w:color="4472C4"/>
            </w:tcBorders>
          </w:tcPr>
          <w:p w14:paraId="6DFE2688" w14:textId="77777777" w:rsidR="00FC16CE" w:rsidRPr="00CC56E1" w:rsidRDefault="00FC16CE" w:rsidP="00FC16CE">
            <w:pPr>
              <w:spacing w:before="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rPr>
            </w:pPr>
            <w:r w:rsidRPr="00CC56E1">
              <w:rPr>
                <w:rFonts w:asciiTheme="minorHAnsi" w:eastAsia="Calibri" w:hAnsiTheme="minorHAnsi" w:cstheme="minorHAnsi"/>
                <w:color w:val="auto"/>
                <w:sz w:val="20"/>
              </w:rPr>
              <w:t>84AZV(1)(c) and 84AZW(2)(b)</w:t>
            </w:r>
          </w:p>
        </w:tc>
      </w:tr>
      <w:tr w:rsidR="00FC16CE" w:rsidRPr="00CC56E1" w14:paraId="51C3C9E8" w14:textId="77777777" w:rsidTr="00FC1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D13616" w14:textId="77777777" w:rsidR="00FC16CE" w:rsidRPr="00CC56E1" w:rsidRDefault="00FC16CE" w:rsidP="00FC16CE">
            <w:pPr>
              <w:numPr>
                <w:ilvl w:val="2"/>
                <w:numId w:val="77"/>
              </w:numPr>
              <w:spacing w:before="0"/>
              <w:ind w:left="452"/>
              <w:contextualSpacing/>
              <w:rPr>
                <w:rFonts w:asciiTheme="minorHAnsi" w:eastAsia="Calibri" w:hAnsiTheme="minorHAnsi" w:cstheme="minorHAnsi"/>
                <w:color w:val="auto"/>
                <w:sz w:val="20"/>
              </w:rPr>
            </w:pPr>
            <w:r w:rsidRPr="00CC56E1">
              <w:rPr>
                <w:rFonts w:asciiTheme="minorHAnsi" w:eastAsia="Calibri" w:hAnsiTheme="minorHAnsi" w:cstheme="minorHAnsi"/>
                <w:color w:val="auto"/>
                <w:sz w:val="20"/>
              </w:rPr>
              <w:t>Process followed by the Department Head in considering the DMRP (and any variation)</w:t>
            </w:r>
          </w:p>
        </w:tc>
        <w:tc>
          <w:tcPr>
            <w:tcW w:w="0" w:type="auto"/>
            <w:tcBorders>
              <w:right w:val="double" w:sz="4" w:space="0" w:color="4472C4"/>
            </w:tcBorders>
          </w:tcPr>
          <w:p w14:paraId="4C14B72B" w14:textId="77777777" w:rsidR="00FC16CE" w:rsidRPr="00CC56E1" w:rsidRDefault="00FC16CE" w:rsidP="00FC16CE">
            <w:pPr>
              <w:spacing w:before="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rPr>
            </w:pPr>
            <w:r w:rsidRPr="00CC56E1">
              <w:rPr>
                <w:rFonts w:asciiTheme="minorHAnsi" w:eastAsia="Calibri" w:hAnsiTheme="minorHAnsi" w:cstheme="minorHAnsi"/>
                <w:color w:val="auto"/>
                <w:sz w:val="20"/>
              </w:rPr>
              <w:t>84AZV(1)(d) and 84AZW(W)(2)(c)</w:t>
            </w:r>
          </w:p>
        </w:tc>
      </w:tr>
      <w:tr w:rsidR="00FC16CE" w:rsidRPr="00CC56E1" w14:paraId="42C1847E" w14:textId="77777777" w:rsidTr="00FC16CE">
        <w:tc>
          <w:tcPr>
            <w:cnfStyle w:val="001000000000" w:firstRow="0" w:lastRow="0" w:firstColumn="1" w:lastColumn="0" w:oddVBand="0" w:evenVBand="0" w:oddHBand="0" w:evenHBand="0" w:firstRowFirstColumn="0" w:firstRowLastColumn="0" w:lastRowFirstColumn="0" w:lastRowLastColumn="0"/>
            <w:tcW w:w="0" w:type="auto"/>
            <w:gridSpan w:val="2"/>
            <w:tcBorders>
              <w:right w:val="double" w:sz="4" w:space="0" w:color="4472C4"/>
            </w:tcBorders>
            <w:shd w:val="clear" w:color="auto" w:fill="C45911"/>
          </w:tcPr>
          <w:p w14:paraId="5F25A897" w14:textId="77777777" w:rsidR="00FC16CE" w:rsidRPr="00CC56E1" w:rsidRDefault="00FC16CE" w:rsidP="00FC16CE">
            <w:pPr>
              <w:numPr>
                <w:ilvl w:val="0"/>
                <w:numId w:val="77"/>
              </w:numPr>
              <w:spacing w:before="0"/>
              <w:contextualSpacing/>
              <w:rPr>
                <w:rFonts w:asciiTheme="minorHAnsi" w:eastAsia="Calibri" w:hAnsiTheme="minorHAnsi" w:cstheme="minorHAnsi"/>
                <w:i/>
                <w:color w:val="FFFFFF"/>
                <w:sz w:val="20"/>
              </w:rPr>
            </w:pPr>
            <w:r w:rsidRPr="00CC56E1">
              <w:rPr>
                <w:rFonts w:asciiTheme="minorHAnsi" w:eastAsia="Calibri" w:hAnsiTheme="minorHAnsi" w:cstheme="minorHAnsi"/>
                <w:i/>
                <w:color w:val="FFFFFF"/>
                <w:sz w:val="20"/>
              </w:rPr>
              <w:t>Closure of Declared Mine</w:t>
            </w:r>
          </w:p>
        </w:tc>
      </w:tr>
      <w:tr w:rsidR="00FC16CE" w:rsidRPr="00CC56E1" w14:paraId="70A98201" w14:textId="77777777" w:rsidTr="00FC1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double" w:sz="4" w:space="0" w:color="4472C4"/>
            </w:tcBorders>
          </w:tcPr>
          <w:p w14:paraId="1504B53C" w14:textId="77777777" w:rsidR="00FC16CE" w:rsidRPr="00CC56E1" w:rsidRDefault="00FC16CE" w:rsidP="00FC16CE">
            <w:pPr>
              <w:numPr>
                <w:ilvl w:val="1"/>
                <w:numId w:val="77"/>
              </w:numPr>
              <w:spacing w:before="0"/>
              <w:ind w:left="452"/>
              <w:contextualSpacing/>
              <w:rPr>
                <w:rFonts w:asciiTheme="minorHAnsi" w:eastAsia="Calibri" w:hAnsiTheme="minorHAnsi" w:cstheme="minorHAnsi"/>
                <w:i/>
                <w:color w:val="C45911"/>
                <w:sz w:val="20"/>
              </w:rPr>
            </w:pPr>
            <w:r w:rsidRPr="00CC56E1">
              <w:rPr>
                <w:rFonts w:asciiTheme="minorHAnsi" w:eastAsia="Calibri" w:hAnsiTheme="minorHAnsi" w:cstheme="minorHAnsi"/>
                <w:i/>
                <w:color w:val="C45911"/>
                <w:sz w:val="20"/>
              </w:rPr>
              <w:t>Application by the DM licensee to the Minister to determine closure criteria have been met</w:t>
            </w:r>
          </w:p>
        </w:tc>
      </w:tr>
      <w:tr w:rsidR="00FC16CE" w:rsidRPr="00CC56E1" w14:paraId="170EF18D" w14:textId="77777777" w:rsidTr="00FC16CE">
        <w:tc>
          <w:tcPr>
            <w:cnfStyle w:val="001000000000" w:firstRow="0" w:lastRow="0" w:firstColumn="1" w:lastColumn="0" w:oddVBand="0" w:evenVBand="0" w:oddHBand="0" w:evenHBand="0" w:firstRowFirstColumn="0" w:firstRowLastColumn="0" w:lastRowFirstColumn="0" w:lastRowLastColumn="0"/>
            <w:tcW w:w="0" w:type="auto"/>
          </w:tcPr>
          <w:p w14:paraId="31ED5DF2" w14:textId="77777777" w:rsidR="00FC16CE" w:rsidRPr="00CC56E1" w:rsidRDefault="00FC16CE" w:rsidP="00FC16CE">
            <w:pPr>
              <w:numPr>
                <w:ilvl w:val="2"/>
                <w:numId w:val="78"/>
              </w:numPr>
              <w:spacing w:before="0"/>
              <w:ind w:left="452"/>
              <w:contextualSpacing/>
              <w:rPr>
                <w:rFonts w:asciiTheme="minorHAnsi" w:eastAsia="Calibri" w:hAnsiTheme="minorHAnsi" w:cstheme="minorHAnsi"/>
                <w:color w:val="auto"/>
                <w:sz w:val="20"/>
              </w:rPr>
            </w:pPr>
            <w:r w:rsidRPr="00CC56E1">
              <w:rPr>
                <w:rFonts w:asciiTheme="minorHAnsi" w:eastAsia="Calibri" w:hAnsiTheme="minorHAnsi" w:cstheme="minorHAnsi"/>
                <w:color w:val="auto"/>
                <w:sz w:val="20"/>
              </w:rPr>
              <w:t>Information to be included in the application</w:t>
            </w:r>
          </w:p>
        </w:tc>
        <w:tc>
          <w:tcPr>
            <w:tcW w:w="0" w:type="auto"/>
            <w:tcBorders>
              <w:right w:val="double" w:sz="4" w:space="0" w:color="4472C4"/>
            </w:tcBorders>
          </w:tcPr>
          <w:p w14:paraId="7A39D0DF" w14:textId="77777777" w:rsidR="00FC16CE" w:rsidRPr="00CC56E1" w:rsidRDefault="00FC16CE" w:rsidP="00FC16CE">
            <w:pPr>
              <w:spacing w:before="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rPr>
            </w:pPr>
            <w:r w:rsidRPr="00CC56E1">
              <w:rPr>
                <w:rFonts w:asciiTheme="minorHAnsi" w:eastAsia="Calibri" w:hAnsiTheme="minorHAnsi" w:cstheme="minorHAnsi"/>
                <w:bCs/>
                <w:color w:val="auto"/>
                <w:sz w:val="20"/>
              </w:rPr>
              <w:t>84AZY(2)(a)</w:t>
            </w:r>
          </w:p>
        </w:tc>
      </w:tr>
      <w:tr w:rsidR="00FC16CE" w:rsidRPr="00CC56E1" w14:paraId="6FA2C9E7" w14:textId="77777777" w:rsidTr="00FC1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double" w:sz="4" w:space="0" w:color="4472C4"/>
            </w:tcBorders>
          </w:tcPr>
          <w:p w14:paraId="33556F7C" w14:textId="77777777" w:rsidR="00FC16CE" w:rsidRPr="00CC56E1" w:rsidRDefault="00FC16CE" w:rsidP="00FC16CE">
            <w:pPr>
              <w:numPr>
                <w:ilvl w:val="1"/>
                <w:numId w:val="77"/>
              </w:numPr>
              <w:spacing w:before="0"/>
              <w:ind w:left="452"/>
              <w:contextualSpacing/>
              <w:rPr>
                <w:rFonts w:asciiTheme="minorHAnsi" w:eastAsia="Calibri" w:hAnsiTheme="minorHAnsi" w:cstheme="minorHAnsi"/>
                <w:i/>
                <w:color w:val="C45911"/>
                <w:sz w:val="20"/>
              </w:rPr>
            </w:pPr>
            <w:r w:rsidRPr="00CC56E1">
              <w:rPr>
                <w:rFonts w:asciiTheme="minorHAnsi" w:eastAsia="Calibri" w:hAnsiTheme="minorHAnsi" w:cstheme="minorHAnsi"/>
                <w:i/>
                <w:color w:val="C45911"/>
                <w:sz w:val="20"/>
              </w:rPr>
              <w:t>Determination by the Minister that closure criteria are met</w:t>
            </w:r>
          </w:p>
        </w:tc>
      </w:tr>
      <w:tr w:rsidR="00FC16CE" w:rsidRPr="00CC56E1" w14:paraId="7ED5C299" w14:textId="77777777" w:rsidTr="00FC16CE">
        <w:tc>
          <w:tcPr>
            <w:cnfStyle w:val="001000000000" w:firstRow="0" w:lastRow="0" w:firstColumn="1" w:lastColumn="0" w:oddVBand="0" w:evenVBand="0" w:oddHBand="0" w:evenHBand="0" w:firstRowFirstColumn="0" w:firstRowLastColumn="0" w:lastRowFirstColumn="0" w:lastRowLastColumn="0"/>
            <w:tcW w:w="0" w:type="auto"/>
          </w:tcPr>
          <w:p w14:paraId="5328854C" w14:textId="77777777" w:rsidR="00FC16CE" w:rsidRPr="00CC56E1" w:rsidRDefault="00FC16CE" w:rsidP="00FC16CE">
            <w:pPr>
              <w:numPr>
                <w:ilvl w:val="2"/>
                <w:numId w:val="79"/>
              </w:numPr>
              <w:spacing w:before="0"/>
              <w:ind w:left="452"/>
              <w:contextualSpacing/>
              <w:rPr>
                <w:rFonts w:asciiTheme="minorHAnsi" w:eastAsia="Calibri" w:hAnsiTheme="minorHAnsi" w:cstheme="minorHAnsi"/>
                <w:color w:val="auto"/>
                <w:sz w:val="20"/>
              </w:rPr>
            </w:pPr>
            <w:r w:rsidRPr="00CC56E1">
              <w:rPr>
                <w:rFonts w:asciiTheme="minorHAnsi" w:eastAsia="Calibri" w:hAnsiTheme="minorHAnsi" w:cstheme="minorHAnsi"/>
                <w:color w:val="auto"/>
                <w:sz w:val="20"/>
              </w:rPr>
              <w:t>Matters the Minister must take into account on receiving the application</w:t>
            </w:r>
            <w:r w:rsidRPr="00CC56E1">
              <w:rPr>
                <w:rFonts w:asciiTheme="minorHAnsi" w:eastAsia="Calibri" w:hAnsiTheme="minorHAnsi" w:cstheme="minorHAnsi"/>
                <w:color w:val="auto"/>
                <w:sz w:val="20"/>
                <w:vertAlign w:val="superscript"/>
              </w:rPr>
              <w:t>1</w:t>
            </w:r>
          </w:p>
        </w:tc>
        <w:tc>
          <w:tcPr>
            <w:tcW w:w="0" w:type="auto"/>
            <w:tcBorders>
              <w:right w:val="double" w:sz="4" w:space="0" w:color="4472C4"/>
            </w:tcBorders>
          </w:tcPr>
          <w:p w14:paraId="548EA17B" w14:textId="77777777" w:rsidR="00FC16CE" w:rsidRPr="00CC56E1" w:rsidRDefault="00FC16CE" w:rsidP="00FC16CE">
            <w:pPr>
              <w:spacing w:before="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rPr>
            </w:pPr>
            <w:r w:rsidRPr="00CC56E1">
              <w:rPr>
                <w:rFonts w:asciiTheme="minorHAnsi" w:eastAsia="Calibri" w:hAnsiTheme="minorHAnsi" w:cstheme="minorHAnsi"/>
                <w:color w:val="auto"/>
                <w:sz w:val="20"/>
              </w:rPr>
              <w:t>84AZZ(1)(c)</w:t>
            </w:r>
          </w:p>
        </w:tc>
      </w:tr>
      <w:tr w:rsidR="00FC16CE" w:rsidRPr="00CC56E1" w14:paraId="677F6F2E" w14:textId="77777777" w:rsidTr="00FC1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975C65" w14:textId="77777777" w:rsidR="00FC16CE" w:rsidRPr="00CC56E1" w:rsidRDefault="00FC16CE" w:rsidP="00FC16CE">
            <w:pPr>
              <w:numPr>
                <w:ilvl w:val="2"/>
                <w:numId w:val="78"/>
              </w:numPr>
              <w:spacing w:before="0"/>
              <w:ind w:left="452"/>
              <w:contextualSpacing/>
              <w:rPr>
                <w:rFonts w:asciiTheme="minorHAnsi" w:eastAsia="Calibri" w:hAnsiTheme="minorHAnsi" w:cstheme="minorHAnsi"/>
                <w:color w:val="auto"/>
                <w:sz w:val="20"/>
              </w:rPr>
            </w:pPr>
            <w:r w:rsidRPr="00CC56E1">
              <w:rPr>
                <w:rFonts w:asciiTheme="minorHAnsi" w:eastAsia="Calibri" w:hAnsiTheme="minorHAnsi" w:cstheme="minorHAnsi"/>
                <w:color w:val="auto"/>
                <w:sz w:val="20"/>
              </w:rPr>
              <w:t>Process followed by the Minister on receiving the application</w:t>
            </w:r>
            <w:r w:rsidRPr="00CC56E1">
              <w:rPr>
                <w:rFonts w:asciiTheme="minorHAnsi" w:eastAsia="Calibri" w:hAnsiTheme="minorHAnsi" w:cstheme="minorHAnsi"/>
                <w:color w:val="auto"/>
                <w:sz w:val="20"/>
                <w:vertAlign w:val="superscript"/>
              </w:rPr>
              <w:t>2</w:t>
            </w:r>
          </w:p>
        </w:tc>
        <w:tc>
          <w:tcPr>
            <w:tcW w:w="0" w:type="auto"/>
            <w:tcBorders>
              <w:right w:val="double" w:sz="4" w:space="0" w:color="4472C4"/>
            </w:tcBorders>
          </w:tcPr>
          <w:p w14:paraId="6EC06F6C" w14:textId="77777777" w:rsidR="00FC16CE" w:rsidRPr="00CC56E1" w:rsidRDefault="00FC16CE" w:rsidP="00FC16CE">
            <w:pPr>
              <w:spacing w:before="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rPr>
            </w:pPr>
            <w:r w:rsidRPr="00CC56E1">
              <w:rPr>
                <w:rFonts w:asciiTheme="minorHAnsi" w:eastAsia="Calibri" w:hAnsiTheme="minorHAnsi" w:cstheme="minorHAnsi"/>
                <w:color w:val="auto"/>
                <w:sz w:val="20"/>
              </w:rPr>
              <w:t>84AZZ(1)(d)</w:t>
            </w:r>
          </w:p>
        </w:tc>
      </w:tr>
      <w:tr w:rsidR="00FC16CE" w:rsidRPr="00CC56E1" w14:paraId="48D29775" w14:textId="77777777" w:rsidTr="00FC16CE">
        <w:tc>
          <w:tcPr>
            <w:cnfStyle w:val="001000000000" w:firstRow="0" w:lastRow="0" w:firstColumn="1" w:lastColumn="0" w:oddVBand="0" w:evenVBand="0" w:oddHBand="0" w:evenHBand="0" w:firstRowFirstColumn="0" w:firstRowLastColumn="0" w:lastRowFirstColumn="0" w:lastRowLastColumn="0"/>
            <w:tcW w:w="0" w:type="auto"/>
          </w:tcPr>
          <w:p w14:paraId="1ED915C0" w14:textId="77777777" w:rsidR="00FC16CE" w:rsidRPr="00CC56E1" w:rsidRDefault="00FC16CE" w:rsidP="00FC16CE">
            <w:pPr>
              <w:numPr>
                <w:ilvl w:val="2"/>
                <w:numId w:val="78"/>
              </w:numPr>
              <w:spacing w:before="0"/>
              <w:ind w:left="452"/>
              <w:contextualSpacing/>
              <w:rPr>
                <w:rFonts w:asciiTheme="minorHAnsi" w:eastAsia="Calibri" w:hAnsiTheme="minorHAnsi" w:cstheme="minorHAnsi"/>
                <w:color w:val="auto"/>
                <w:sz w:val="20"/>
              </w:rPr>
            </w:pPr>
            <w:r w:rsidRPr="00CC56E1">
              <w:rPr>
                <w:rFonts w:asciiTheme="minorHAnsi" w:eastAsia="Calibri" w:hAnsiTheme="minorHAnsi" w:cstheme="minorHAnsi"/>
                <w:color w:val="auto"/>
                <w:sz w:val="20"/>
                <w:vertAlign w:val="superscript"/>
              </w:rPr>
              <w:t>1,2</w:t>
            </w:r>
            <w:r w:rsidRPr="00CC56E1">
              <w:rPr>
                <w:rFonts w:asciiTheme="minorHAnsi" w:eastAsia="Calibri" w:hAnsiTheme="minorHAnsi" w:cstheme="minorHAnsi"/>
                <w:color w:val="auto"/>
                <w:sz w:val="20"/>
              </w:rPr>
              <w:t xml:space="preserve">Matters and process for determining the closure criteria </w:t>
            </w:r>
          </w:p>
        </w:tc>
        <w:tc>
          <w:tcPr>
            <w:tcW w:w="0" w:type="auto"/>
            <w:tcBorders>
              <w:right w:val="double" w:sz="4" w:space="0" w:color="4472C4"/>
            </w:tcBorders>
          </w:tcPr>
          <w:p w14:paraId="092418A8" w14:textId="77777777" w:rsidR="00FC16CE" w:rsidRPr="00CC56E1" w:rsidRDefault="00FC16CE" w:rsidP="00FC16CE">
            <w:pPr>
              <w:spacing w:before="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rPr>
            </w:pPr>
            <w:r w:rsidRPr="00CC56E1">
              <w:rPr>
                <w:rFonts w:asciiTheme="minorHAnsi" w:eastAsia="Calibri" w:hAnsiTheme="minorHAnsi" w:cstheme="minorHAnsi"/>
                <w:color w:val="auto"/>
                <w:sz w:val="20"/>
              </w:rPr>
              <w:t>124(1)(oc)(ii)</w:t>
            </w:r>
          </w:p>
        </w:tc>
      </w:tr>
      <w:tr w:rsidR="00FC16CE" w:rsidRPr="00CC56E1" w14:paraId="6669634C" w14:textId="77777777" w:rsidTr="00FC1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0946B5" w14:textId="77777777" w:rsidR="00FC16CE" w:rsidRPr="00CC56E1" w:rsidRDefault="00FC16CE" w:rsidP="00FC16CE">
            <w:pPr>
              <w:numPr>
                <w:ilvl w:val="2"/>
                <w:numId w:val="78"/>
              </w:numPr>
              <w:spacing w:before="0"/>
              <w:ind w:left="452"/>
              <w:contextualSpacing/>
              <w:rPr>
                <w:rFonts w:asciiTheme="minorHAnsi" w:eastAsia="Calibri" w:hAnsiTheme="minorHAnsi" w:cstheme="minorHAnsi"/>
                <w:color w:val="auto"/>
                <w:sz w:val="20"/>
              </w:rPr>
            </w:pPr>
            <w:r w:rsidRPr="00CC56E1">
              <w:rPr>
                <w:rFonts w:asciiTheme="minorHAnsi" w:eastAsia="Calibri" w:hAnsiTheme="minorHAnsi" w:cstheme="minorHAnsi"/>
                <w:color w:val="auto"/>
                <w:sz w:val="20"/>
                <w:vertAlign w:val="superscript"/>
              </w:rPr>
              <w:t>1</w:t>
            </w:r>
            <w:r w:rsidRPr="00CC56E1">
              <w:rPr>
                <w:rFonts w:asciiTheme="minorHAnsi" w:eastAsia="Calibri" w:hAnsiTheme="minorHAnsi" w:cstheme="minorHAnsi"/>
                <w:color w:val="auto"/>
                <w:sz w:val="20"/>
              </w:rPr>
              <w:t>In determining closure criteria, take into account the risks – incl risks posed by geotechnical, hydrogeological, water quality or hydrological matters – to public safety, the environment and infrastructure</w:t>
            </w:r>
          </w:p>
        </w:tc>
        <w:tc>
          <w:tcPr>
            <w:tcW w:w="0" w:type="auto"/>
            <w:tcBorders>
              <w:right w:val="double" w:sz="4" w:space="0" w:color="4472C4"/>
            </w:tcBorders>
          </w:tcPr>
          <w:p w14:paraId="48EA7A7A" w14:textId="77777777" w:rsidR="00FC16CE" w:rsidRPr="00CC56E1" w:rsidRDefault="00FC16CE" w:rsidP="00FC16CE">
            <w:pPr>
              <w:spacing w:before="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rPr>
            </w:pPr>
            <w:r w:rsidRPr="00CC56E1">
              <w:rPr>
                <w:rFonts w:asciiTheme="minorHAnsi" w:eastAsia="Calibri" w:hAnsiTheme="minorHAnsi" w:cstheme="minorHAnsi"/>
                <w:color w:val="auto"/>
                <w:sz w:val="20"/>
              </w:rPr>
              <w:t>124(1)(oc)(iii)</w:t>
            </w:r>
          </w:p>
        </w:tc>
      </w:tr>
      <w:tr w:rsidR="00FC16CE" w:rsidRPr="00CC56E1" w14:paraId="7CB50AC6" w14:textId="77777777" w:rsidTr="00FC16CE">
        <w:tc>
          <w:tcPr>
            <w:cnfStyle w:val="001000000000" w:firstRow="0" w:lastRow="0" w:firstColumn="1" w:lastColumn="0" w:oddVBand="0" w:evenVBand="0" w:oddHBand="0" w:evenHBand="0" w:firstRowFirstColumn="0" w:firstRowLastColumn="0" w:lastRowFirstColumn="0" w:lastRowLastColumn="0"/>
            <w:tcW w:w="0" w:type="auto"/>
          </w:tcPr>
          <w:p w14:paraId="741357A9" w14:textId="77777777" w:rsidR="00FC16CE" w:rsidRPr="00CC56E1" w:rsidRDefault="00FC16CE" w:rsidP="00FC16CE">
            <w:pPr>
              <w:numPr>
                <w:ilvl w:val="2"/>
                <w:numId w:val="78"/>
              </w:numPr>
              <w:spacing w:before="0"/>
              <w:ind w:left="452"/>
              <w:contextualSpacing/>
              <w:rPr>
                <w:rFonts w:asciiTheme="minorHAnsi" w:eastAsia="Calibri" w:hAnsiTheme="minorHAnsi" w:cstheme="minorHAnsi"/>
                <w:color w:val="auto"/>
                <w:sz w:val="20"/>
              </w:rPr>
            </w:pPr>
            <w:r w:rsidRPr="00CC56E1">
              <w:rPr>
                <w:rFonts w:asciiTheme="minorHAnsi" w:eastAsia="Calibri" w:hAnsiTheme="minorHAnsi" w:cstheme="minorHAnsi"/>
                <w:color w:val="auto"/>
                <w:sz w:val="20"/>
                <w:vertAlign w:val="superscript"/>
              </w:rPr>
              <w:t>1,2</w:t>
            </w:r>
            <w:r w:rsidRPr="00CC56E1">
              <w:rPr>
                <w:rFonts w:asciiTheme="minorHAnsi" w:eastAsia="Calibri" w:hAnsiTheme="minorHAnsi" w:cstheme="minorHAnsi"/>
                <w:color w:val="auto"/>
                <w:sz w:val="20"/>
              </w:rPr>
              <w:t>Criteria and process for assessing the rehabilitation of declared mine land</w:t>
            </w:r>
          </w:p>
        </w:tc>
        <w:tc>
          <w:tcPr>
            <w:tcW w:w="0" w:type="auto"/>
            <w:tcBorders>
              <w:right w:val="double" w:sz="4" w:space="0" w:color="4472C4"/>
            </w:tcBorders>
          </w:tcPr>
          <w:p w14:paraId="2516F4AB" w14:textId="77777777" w:rsidR="00FC16CE" w:rsidRPr="00CC56E1" w:rsidRDefault="00FC16CE" w:rsidP="00FC16CE">
            <w:pPr>
              <w:spacing w:before="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rPr>
            </w:pPr>
            <w:r w:rsidRPr="00CC56E1">
              <w:rPr>
                <w:rFonts w:asciiTheme="minorHAnsi" w:eastAsia="Calibri" w:hAnsiTheme="minorHAnsi" w:cstheme="minorHAnsi"/>
                <w:color w:val="auto"/>
                <w:sz w:val="20"/>
              </w:rPr>
              <w:t>124(1)(ob)(iv)</w:t>
            </w:r>
          </w:p>
        </w:tc>
      </w:tr>
      <w:tr w:rsidR="00FC16CE" w:rsidRPr="00CC56E1" w14:paraId="5947CD29" w14:textId="77777777" w:rsidTr="00FC1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double" w:sz="4" w:space="0" w:color="4472C4"/>
            </w:tcBorders>
            <w:shd w:val="clear" w:color="auto" w:fill="C45911"/>
          </w:tcPr>
          <w:p w14:paraId="486B5925" w14:textId="77777777" w:rsidR="00FC16CE" w:rsidRPr="00CC56E1" w:rsidRDefault="00FC16CE" w:rsidP="00FC16CE">
            <w:pPr>
              <w:numPr>
                <w:ilvl w:val="0"/>
                <w:numId w:val="77"/>
              </w:numPr>
              <w:spacing w:before="0"/>
              <w:contextualSpacing/>
              <w:rPr>
                <w:rFonts w:asciiTheme="minorHAnsi" w:eastAsia="Calibri" w:hAnsiTheme="minorHAnsi" w:cstheme="minorHAnsi"/>
                <w:i/>
                <w:color w:val="FFFFFF"/>
                <w:sz w:val="20"/>
              </w:rPr>
            </w:pPr>
            <w:r w:rsidRPr="00CC56E1">
              <w:rPr>
                <w:rFonts w:asciiTheme="minorHAnsi" w:eastAsia="Calibri" w:hAnsiTheme="minorHAnsi" w:cstheme="minorHAnsi"/>
                <w:i/>
                <w:color w:val="FFFFFF"/>
                <w:sz w:val="20"/>
              </w:rPr>
              <w:t>Declared Mine Fund</w:t>
            </w:r>
          </w:p>
        </w:tc>
      </w:tr>
      <w:tr w:rsidR="00FC16CE" w:rsidRPr="00CC56E1" w14:paraId="54B533DA" w14:textId="77777777" w:rsidTr="00FC16CE">
        <w:tc>
          <w:tcPr>
            <w:cnfStyle w:val="001000000000" w:firstRow="0" w:lastRow="0" w:firstColumn="1" w:lastColumn="0" w:oddVBand="0" w:evenVBand="0" w:oddHBand="0" w:evenHBand="0" w:firstRowFirstColumn="0" w:firstRowLastColumn="0" w:lastRowFirstColumn="0" w:lastRowLastColumn="0"/>
            <w:tcW w:w="0" w:type="auto"/>
            <w:gridSpan w:val="2"/>
            <w:tcBorders>
              <w:right w:val="double" w:sz="4" w:space="0" w:color="4472C4"/>
            </w:tcBorders>
          </w:tcPr>
          <w:p w14:paraId="32968D3D" w14:textId="77777777" w:rsidR="00FC16CE" w:rsidRPr="00CC56E1" w:rsidRDefault="00FC16CE" w:rsidP="00FC16CE">
            <w:pPr>
              <w:numPr>
                <w:ilvl w:val="1"/>
                <w:numId w:val="77"/>
              </w:numPr>
              <w:spacing w:before="0"/>
              <w:ind w:left="452"/>
              <w:contextualSpacing/>
              <w:rPr>
                <w:rFonts w:asciiTheme="minorHAnsi" w:eastAsia="Calibri" w:hAnsiTheme="minorHAnsi" w:cstheme="minorHAnsi"/>
                <w:i/>
                <w:color w:val="C45911"/>
                <w:sz w:val="20"/>
              </w:rPr>
            </w:pPr>
            <w:r w:rsidRPr="00CC56E1">
              <w:rPr>
                <w:rFonts w:asciiTheme="minorHAnsi" w:eastAsia="Calibri" w:hAnsiTheme="minorHAnsi" w:cstheme="minorHAnsi"/>
                <w:i/>
                <w:color w:val="C45911"/>
                <w:sz w:val="20"/>
              </w:rPr>
              <w:t>DM licensee contribution</w:t>
            </w:r>
          </w:p>
        </w:tc>
      </w:tr>
      <w:tr w:rsidR="00FC16CE" w:rsidRPr="00CC56E1" w14:paraId="5B2A2615" w14:textId="77777777" w:rsidTr="00FC1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93121A" w14:textId="77777777" w:rsidR="00FC16CE" w:rsidRPr="00CC56E1" w:rsidRDefault="00FC16CE" w:rsidP="00FC16CE">
            <w:pPr>
              <w:numPr>
                <w:ilvl w:val="2"/>
                <w:numId w:val="81"/>
              </w:numPr>
              <w:spacing w:before="0"/>
              <w:ind w:left="454"/>
              <w:contextualSpacing/>
              <w:rPr>
                <w:rFonts w:asciiTheme="minorHAnsi" w:eastAsia="Calibri" w:hAnsiTheme="minorHAnsi" w:cstheme="minorHAnsi"/>
                <w:color w:val="auto"/>
                <w:sz w:val="20"/>
              </w:rPr>
            </w:pPr>
            <w:r w:rsidRPr="00CC56E1">
              <w:rPr>
                <w:rFonts w:asciiTheme="minorHAnsi" w:eastAsia="Calibri" w:hAnsiTheme="minorHAnsi" w:cstheme="minorHAnsi"/>
                <w:color w:val="auto"/>
                <w:sz w:val="20"/>
              </w:rPr>
              <w:t>Payment by the declared mine licensee of a specified registration amount</w:t>
            </w:r>
            <w:r w:rsidRPr="00CC56E1">
              <w:rPr>
                <w:rFonts w:asciiTheme="minorHAnsi" w:eastAsia="Calibri" w:hAnsiTheme="minorHAnsi" w:cstheme="minorHAnsi"/>
                <w:color w:val="auto"/>
                <w:sz w:val="20"/>
                <w:vertAlign w:val="superscript"/>
              </w:rPr>
              <w:t>3</w:t>
            </w:r>
          </w:p>
        </w:tc>
        <w:tc>
          <w:tcPr>
            <w:tcW w:w="0" w:type="auto"/>
            <w:tcBorders>
              <w:right w:val="double" w:sz="4" w:space="0" w:color="4472C4"/>
            </w:tcBorders>
          </w:tcPr>
          <w:p w14:paraId="132A5C78" w14:textId="77777777" w:rsidR="00FC16CE" w:rsidRPr="00CC56E1" w:rsidRDefault="00FC16CE" w:rsidP="00FC16CE">
            <w:pPr>
              <w:spacing w:before="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rPr>
            </w:pPr>
            <w:r w:rsidRPr="00CC56E1">
              <w:rPr>
                <w:rFonts w:asciiTheme="minorHAnsi" w:eastAsia="Calibri" w:hAnsiTheme="minorHAnsi" w:cstheme="minorHAnsi"/>
                <w:color w:val="auto"/>
                <w:sz w:val="20"/>
              </w:rPr>
              <w:t>94AZZB(3)(c)</w:t>
            </w:r>
          </w:p>
        </w:tc>
      </w:tr>
      <w:tr w:rsidR="00FC16CE" w:rsidRPr="00CC56E1" w14:paraId="0FCDE0C3" w14:textId="77777777" w:rsidTr="00FC16CE">
        <w:tc>
          <w:tcPr>
            <w:cnfStyle w:val="001000000000" w:firstRow="0" w:lastRow="0" w:firstColumn="1" w:lastColumn="0" w:oddVBand="0" w:evenVBand="0" w:oddHBand="0" w:evenHBand="0" w:firstRowFirstColumn="0" w:firstRowLastColumn="0" w:lastRowFirstColumn="0" w:lastRowLastColumn="0"/>
            <w:tcW w:w="0" w:type="auto"/>
          </w:tcPr>
          <w:p w14:paraId="7B03E032" w14:textId="77777777" w:rsidR="00FC16CE" w:rsidRPr="00CC56E1" w:rsidRDefault="00FC16CE" w:rsidP="00FC16CE">
            <w:pPr>
              <w:numPr>
                <w:ilvl w:val="2"/>
                <w:numId w:val="81"/>
              </w:numPr>
              <w:spacing w:before="0"/>
              <w:ind w:left="452"/>
              <w:contextualSpacing/>
              <w:rPr>
                <w:rFonts w:asciiTheme="minorHAnsi" w:eastAsia="Calibri" w:hAnsiTheme="minorHAnsi" w:cstheme="minorHAnsi"/>
                <w:color w:val="auto"/>
                <w:sz w:val="20"/>
              </w:rPr>
            </w:pPr>
            <w:r w:rsidRPr="00CC56E1">
              <w:rPr>
                <w:rFonts w:asciiTheme="minorHAnsi" w:eastAsia="Calibri" w:hAnsiTheme="minorHAnsi" w:cstheme="minorHAnsi"/>
                <w:color w:val="auto"/>
                <w:sz w:val="20"/>
                <w:vertAlign w:val="superscript"/>
              </w:rPr>
              <w:t>3</w:t>
            </w:r>
            <w:r w:rsidRPr="00CC56E1">
              <w:rPr>
                <w:rFonts w:asciiTheme="minorHAnsi" w:eastAsia="Calibri" w:hAnsiTheme="minorHAnsi" w:cstheme="minorHAnsi"/>
                <w:color w:val="auto"/>
                <w:sz w:val="20"/>
              </w:rPr>
              <w:t>Process and method for determining the amount to be paid to the Minister by a DM licensee</w:t>
            </w:r>
          </w:p>
        </w:tc>
        <w:tc>
          <w:tcPr>
            <w:tcW w:w="0" w:type="auto"/>
            <w:tcBorders>
              <w:right w:val="double" w:sz="4" w:space="0" w:color="4472C4"/>
            </w:tcBorders>
          </w:tcPr>
          <w:p w14:paraId="5EBCE5EF" w14:textId="77777777" w:rsidR="00FC16CE" w:rsidRPr="00CC56E1" w:rsidRDefault="00FC16CE" w:rsidP="00FC16CE">
            <w:pPr>
              <w:spacing w:before="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rPr>
            </w:pPr>
            <w:r w:rsidRPr="00CC56E1">
              <w:rPr>
                <w:rFonts w:asciiTheme="minorHAnsi" w:eastAsia="Calibri" w:hAnsiTheme="minorHAnsi" w:cstheme="minorHAnsi"/>
                <w:color w:val="auto"/>
                <w:sz w:val="20"/>
              </w:rPr>
              <w:t>124(1)(oc)(vi)</w:t>
            </w:r>
          </w:p>
        </w:tc>
      </w:tr>
      <w:tr w:rsidR="00FC16CE" w:rsidRPr="00CC56E1" w14:paraId="3A2CA7EB" w14:textId="77777777" w:rsidTr="00FC1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double" w:sz="4" w:space="0" w:color="4472C4"/>
            </w:tcBorders>
          </w:tcPr>
          <w:p w14:paraId="683451A2" w14:textId="77777777" w:rsidR="00FC16CE" w:rsidRPr="00CC56E1" w:rsidRDefault="00FC16CE" w:rsidP="00FC16CE">
            <w:pPr>
              <w:numPr>
                <w:ilvl w:val="1"/>
                <w:numId w:val="77"/>
              </w:numPr>
              <w:spacing w:before="0"/>
              <w:ind w:left="452"/>
              <w:contextualSpacing/>
              <w:rPr>
                <w:rFonts w:asciiTheme="minorHAnsi" w:eastAsia="Calibri" w:hAnsiTheme="minorHAnsi" w:cstheme="minorHAnsi"/>
                <w:i/>
                <w:color w:val="C45911"/>
                <w:sz w:val="20"/>
              </w:rPr>
            </w:pPr>
            <w:r w:rsidRPr="00CC56E1">
              <w:rPr>
                <w:rFonts w:asciiTheme="minorHAnsi" w:eastAsia="Calibri" w:hAnsiTheme="minorHAnsi" w:cstheme="minorHAnsi"/>
                <w:i/>
                <w:color w:val="C45911"/>
                <w:sz w:val="20"/>
              </w:rPr>
              <w:t>Forfeited bond</w:t>
            </w:r>
          </w:p>
        </w:tc>
      </w:tr>
      <w:tr w:rsidR="00FC16CE" w:rsidRPr="00CC56E1" w14:paraId="5EF6EF06" w14:textId="77777777" w:rsidTr="00FC16CE">
        <w:tc>
          <w:tcPr>
            <w:cnfStyle w:val="001000000000" w:firstRow="0" w:lastRow="0" w:firstColumn="1" w:lastColumn="0" w:oddVBand="0" w:evenVBand="0" w:oddHBand="0" w:evenHBand="0" w:firstRowFirstColumn="0" w:firstRowLastColumn="0" w:lastRowFirstColumn="0" w:lastRowLastColumn="0"/>
            <w:tcW w:w="0" w:type="auto"/>
          </w:tcPr>
          <w:p w14:paraId="5E32A3B5" w14:textId="77777777" w:rsidR="00FC16CE" w:rsidRPr="00CC56E1" w:rsidRDefault="00FC16CE" w:rsidP="00FC16CE">
            <w:pPr>
              <w:numPr>
                <w:ilvl w:val="2"/>
                <w:numId w:val="82"/>
              </w:numPr>
              <w:spacing w:before="0"/>
              <w:ind w:left="454"/>
              <w:contextualSpacing/>
              <w:rPr>
                <w:rFonts w:asciiTheme="minorHAnsi" w:eastAsia="Calibri" w:hAnsiTheme="minorHAnsi" w:cstheme="minorHAnsi"/>
                <w:color w:val="auto"/>
                <w:sz w:val="20"/>
              </w:rPr>
            </w:pPr>
            <w:r w:rsidRPr="00CC56E1">
              <w:rPr>
                <w:rFonts w:asciiTheme="minorHAnsi" w:eastAsia="Calibri" w:hAnsiTheme="minorHAnsi" w:cstheme="minorHAnsi"/>
                <w:color w:val="auto"/>
                <w:sz w:val="20"/>
              </w:rPr>
              <w:t>Process and method for determining payment into the Declared Mine Fund under section 83A [Payment of bond into the DM Fund upon cancellation of licence]</w:t>
            </w:r>
          </w:p>
        </w:tc>
        <w:tc>
          <w:tcPr>
            <w:tcW w:w="0" w:type="auto"/>
            <w:tcBorders>
              <w:right w:val="double" w:sz="4" w:space="0" w:color="4472C4"/>
            </w:tcBorders>
          </w:tcPr>
          <w:p w14:paraId="57BF3F94" w14:textId="77777777" w:rsidR="00FC16CE" w:rsidRPr="00CC56E1" w:rsidRDefault="00FC16CE" w:rsidP="00FC16CE">
            <w:pPr>
              <w:spacing w:before="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rPr>
            </w:pPr>
            <w:r w:rsidRPr="00CC56E1">
              <w:rPr>
                <w:rFonts w:asciiTheme="minorHAnsi" w:eastAsia="Calibri" w:hAnsiTheme="minorHAnsi" w:cstheme="minorHAnsi"/>
                <w:color w:val="auto"/>
                <w:sz w:val="20"/>
              </w:rPr>
              <w:t>124(1)(oc)(vi)</w:t>
            </w:r>
          </w:p>
        </w:tc>
      </w:tr>
      <w:tr w:rsidR="00FC16CE" w:rsidRPr="00CC56E1" w14:paraId="2BC69720" w14:textId="77777777" w:rsidTr="00FC1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double" w:sz="4" w:space="0" w:color="4472C4"/>
            </w:tcBorders>
            <w:shd w:val="clear" w:color="auto" w:fill="C45911"/>
          </w:tcPr>
          <w:p w14:paraId="423CA65A" w14:textId="77777777" w:rsidR="00FC16CE" w:rsidRPr="00CC56E1" w:rsidRDefault="00FC16CE" w:rsidP="00FC16CE">
            <w:pPr>
              <w:numPr>
                <w:ilvl w:val="0"/>
                <w:numId w:val="77"/>
              </w:numPr>
              <w:spacing w:before="0"/>
              <w:contextualSpacing/>
              <w:rPr>
                <w:rFonts w:asciiTheme="minorHAnsi" w:eastAsia="Calibri" w:hAnsiTheme="minorHAnsi" w:cstheme="minorHAnsi"/>
                <w:i/>
                <w:color w:val="FFFFFF"/>
                <w:sz w:val="20"/>
              </w:rPr>
            </w:pPr>
            <w:r w:rsidRPr="00CC56E1">
              <w:rPr>
                <w:rFonts w:asciiTheme="minorHAnsi" w:eastAsia="Calibri" w:hAnsiTheme="minorHAnsi" w:cstheme="minorHAnsi"/>
                <w:i/>
                <w:color w:val="FFFFFF"/>
                <w:sz w:val="20"/>
              </w:rPr>
              <w:t>Declared Mine Register</w:t>
            </w:r>
          </w:p>
        </w:tc>
      </w:tr>
      <w:tr w:rsidR="00FC16CE" w:rsidRPr="00CC56E1" w14:paraId="303FD703" w14:textId="77777777" w:rsidTr="00FC16CE">
        <w:tc>
          <w:tcPr>
            <w:cnfStyle w:val="001000000000" w:firstRow="0" w:lastRow="0" w:firstColumn="1" w:lastColumn="0" w:oddVBand="0" w:evenVBand="0" w:oddHBand="0" w:evenHBand="0" w:firstRowFirstColumn="0" w:firstRowLastColumn="0" w:lastRowFirstColumn="0" w:lastRowLastColumn="0"/>
            <w:tcW w:w="0" w:type="auto"/>
            <w:gridSpan w:val="2"/>
            <w:tcBorders>
              <w:right w:val="double" w:sz="4" w:space="0" w:color="4472C4"/>
            </w:tcBorders>
          </w:tcPr>
          <w:p w14:paraId="7CA06496" w14:textId="77777777" w:rsidR="00FC16CE" w:rsidRPr="00CC56E1" w:rsidRDefault="00FC16CE" w:rsidP="00FC16CE">
            <w:pPr>
              <w:numPr>
                <w:ilvl w:val="1"/>
                <w:numId w:val="77"/>
              </w:numPr>
              <w:spacing w:before="0"/>
              <w:ind w:left="452"/>
              <w:contextualSpacing/>
              <w:rPr>
                <w:rFonts w:asciiTheme="minorHAnsi" w:eastAsia="Calibri" w:hAnsiTheme="minorHAnsi" w:cstheme="minorHAnsi"/>
                <w:i/>
                <w:color w:val="C45911"/>
                <w:sz w:val="20"/>
              </w:rPr>
            </w:pPr>
            <w:r w:rsidRPr="00CC56E1">
              <w:rPr>
                <w:rFonts w:asciiTheme="minorHAnsi" w:eastAsia="Calibri" w:hAnsiTheme="minorHAnsi" w:cstheme="minorHAnsi"/>
                <w:i/>
                <w:color w:val="C45911"/>
                <w:sz w:val="20"/>
              </w:rPr>
              <w:t>Registration of the DM and Post-Closure Plan by the Authority at the direction of the Minister</w:t>
            </w:r>
          </w:p>
        </w:tc>
      </w:tr>
      <w:tr w:rsidR="00FC16CE" w:rsidRPr="00CC56E1" w14:paraId="2040EF5E" w14:textId="77777777" w:rsidTr="00FC1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286622" w14:textId="77777777" w:rsidR="00FC16CE" w:rsidRPr="00CC56E1" w:rsidRDefault="00FC16CE" w:rsidP="00FC16CE">
            <w:pPr>
              <w:numPr>
                <w:ilvl w:val="2"/>
                <w:numId w:val="80"/>
              </w:numPr>
              <w:spacing w:before="0"/>
              <w:ind w:left="454"/>
              <w:contextualSpacing/>
              <w:rPr>
                <w:rFonts w:asciiTheme="minorHAnsi" w:eastAsia="Calibri" w:hAnsiTheme="minorHAnsi" w:cstheme="minorHAnsi"/>
                <w:color w:val="auto"/>
                <w:sz w:val="20"/>
              </w:rPr>
            </w:pPr>
            <w:r w:rsidRPr="00CC56E1">
              <w:rPr>
                <w:rFonts w:asciiTheme="minorHAnsi" w:eastAsia="Calibri" w:hAnsiTheme="minorHAnsi" w:cstheme="minorHAnsi"/>
                <w:color w:val="auto"/>
                <w:sz w:val="20"/>
              </w:rPr>
              <w:t>Procedure to be followed by the Rehabilitation Authority to register the land and post-closure plan</w:t>
            </w:r>
            <w:r w:rsidRPr="00CC56E1">
              <w:rPr>
                <w:rFonts w:asciiTheme="minorHAnsi" w:eastAsia="Calibri" w:hAnsiTheme="minorHAnsi" w:cstheme="minorHAnsi"/>
                <w:color w:val="auto"/>
                <w:sz w:val="20"/>
                <w:vertAlign w:val="superscript"/>
              </w:rPr>
              <w:t>4</w:t>
            </w:r>
          </w:p>
        </w:tc>
        <w:tc>
          <w:tcPr>
            <w:tcW w:w="0" w:type="auto"/>
            <w:tcBorders>
              <w:right w:val="double" w:sz="4" w:space="0" w:color="4472C4"/>
            </w:tcBorders>
          </w:tcPr>
          <w:p w14:paraId="54E2EA3C" w14:textId="77777777" w:rsidR="00FC16CE" w:rsidRPr="00CC56E1" w:rsidRDefault="00FC16CE" w:rsidP="00FC16CE">
            <w:pPr>
              <w:spacing w:before="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rPr>
            </w:pPr>
            <w:r w:rsidRPr="00CC56E1">
              <w:rPr>
                <w:rFonts w:asciiTheme="minorHAnsi" w:eastAsia="Calibri" w:hAnsiTheme="minorHAnsi" w:cstheme="minorHAnsi"/>
                <w:color w:val="auto"/>
                <w:sz w:val="20"/>
              </w:rPr>
              <w:t>84AZZB(3)(a)</w:t>
            </w:r>
          </w:p>
        </w:tc>
      </w:tr>
      <w:tr w:rsidR="00FC16CE" w:rsidRPr="00CC56E1" w14:paraId="6344AEA9" w14:textId="77777777" w:rsidTr="00FC16CE">
        <w:tc>
          <w:tcPr>
            <w:cnfStyle w:val="001000000000" w:firstRow="0" w:lastRow="0" w:firstColumn="1" w:lastColumn="0" w:oddVBand="0" w:evenVBand="0" w:oddHBand="0" w:evenHBand="0" w:firstRowFirstColumn="0" w:firstRowLastColumn="0" w:lastRowFirstColumn="0" w:lastRowLastColumn="0"/>
            <w:tcW w:w="0" w:type="auto"/>
          </w:tcPr>
          <w:p w14:paraId="762BAE61" w14:textId="77777777" w:rsidR="00FC16CE" w:rsidRPr="00CC56E1" w:rsidRDefault="00FC16CE" w:rsidP="00FC16CE">
            <w:pPr>
              <w:numPr>
                <w:ilvl w:val="2"/>
                <w:numId w:val="80"/>
              </w:numPr>
              <w:spacing w:before="0"/>
              <w:ind w:left="454"/>
              <w:contextualSpacing/>
              <w:rPr>
                <w:rFonts w:asciiTheme="minorHAnsi" w:eastAsia="Calibri" w:hAnsiTheme="minorHAnsi" w:cstheme="minorHAnsi"/>
                <w:color w:val="auto"/>
                <w:sz w:val="20"/>
              </w:rPr>
            </w:pPr>
            <w:r w:rsidRPr="00CC56E1">
              <w:rPr>
                <w:rFonts w:asciiTheme="minorHAnsi" w:eastAsia="Calibri" w:hAnsiTheme="minorHAnsi" w:cstheme="minorHAnsi"/>
                <w:color w:val="auto"/>
                <w:sz w:val="20"/>
              </w:rPr>
              <w:t>Records and information the DM licensee must give to the Rehabilitation Authority</w:t>
            </w:r>
            <w:r w:rsidRPr="00CC56E1">
              <w:rPr>
                <w:rFonts w:asciiTheme="minorHAnsi" w:eastAsia="Calibri" w:hAnsiTheme="minorHAnsi" w:cstheme="minorHAnsi"/>
                <w:color w:val="auto"/>
                <w:sz w:val="20"/>
                <w:vertAlign w:val="superscript"/>
              </w:rPr>
              <w:t>5</w:t>
            </w:r>
          </w:p>
        </w:tc>
        <w:tc>
          <w:tcPr>
            <w:tcW w:w="0" w:type="auto"/>
            <w:tcBorders>
              <w:right w:val="double" w:sz="4" w:space="0" w:color="4472C4"/>
            </w:tcBorders>
          </w:tcPr>
          <w:p w14:paraId="04CDB927" w14:textId="77777777" w:rsidR="00FC16CE" w:rsidRPr="00CC56E1" w:rsidRDefault="00FC16CE" w:rsidP="00FC16CE">
            <w:pPr>
              <w:spacing w:before="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rPr>
            </w:pPr>
            <w:r w:rsidRPr="00CC56E1">
              <w:rPr>
                <w:rFonts w:asciiTheme="minorHAnsi" w:eastAsia="Calibri" w:hAnsiTheme="minorHAnsi" w:cstheme="minorHAnsi"/>
                <w:color w:val="auto"/>
                <w:sz w:val="20"/>
              </w:rPr>
              <w:t>84AZZB(3)(c)</w:t>
            </w:r>
          </w:p>
        </w:tc>
      </w:tr>
      <w:tr w:rsidR="00FC16CE" w:rsidRPr="00CC56E1" w14:paraId="6979B628" w14:textId="77777777" w:rsidTr="00FC1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ED6AA6" w14:textId="77777777" w:rsidR="00FC16CE" w:rsidRPr="00CC56E1" w:rsidRDefault="00FC16CE" w:rsidP="00FC16CE">
            <w:pPr>
              <w:numPr>
                <w:ilvl w:val="2"/>
                <w:numId w:val="80"/>
              </w:numPr>
              <w:spacing w:before="0"/>
              <w:ind w:left="454"/>
              <w:contextualSpacing/>
              <w:rPr>
                <w:rFonts w:asciiTheme="minorHAnsi" w:eastAsia="Calibri" w:hAnsiTheme="minorHAnsi" w:cstheme="minorHAnsi"/>
                <w:color w:val="auto"/>
                <w:sz w:val="20"/>
              </w:rPr>
            </w:pPr>
            <w:r w:rsidRPr="00CC56E1">
              <w:rPr>
                <w:rFonts w:asciiTheme="minorHAnsi" w:eastAsia="Calibri" w:hAnsiTheme="minorHAnsi" w:cstheme="minorHAnsi"/>
                <w:color w:val="auto"/>
                <w:sz w:val="20"/>
                <w:vertAlign w:val="superscript"/>
              </w:rPr>
              <w:t>4,5</w:t>
            </w:r>
            <w:r w:rsidRPr="00CC56E1">
              <w:rPr>
                <w:rFonts w:asciiTheme="minorHAnsi" w:eastAsia="Calibri" w:hAnsiTheme="minorHAnsi" w:cstheme="minorHAnsi"/>
                <w:color w:val="auto"/>
                <w:sz w:val="20"/>
              </w:rPr>
              <w:t>Requirements and procedures for the Authority to register declared mine land in the Register</w:t>
            </w:r>
          </w:p>
        </w:tc>
        <w:tc>
          <w:tcPr>
            <w:tcW w:w="0" w:type="auto"/>
            <w:tcBorders>
              <w:right w:val="double" w:sz="4" w:space="0" w:color="4472C4"/>
            </w:tcBorders>
          </w:tcPr>
          <w:p w14:paraId="1B2159AB" w14:textId="77777777" w:rsidR="00FC16CE" w:rsidRPr="00CC56E1" w:rsidRDefault="00FC16CE" w:rsidP="00FC16CE">
            <w:pPr>
              <w:spacing w:before="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rPr>
            </w:pPr>
            <w:r w:rsidRPr="00CC56E1">
              <w:rPr>
                <w:rFonts w:asciiTheme="minorHAnsi" w:eastAsia="Calibri" w:hAnsiTheme="minorHAnsi" w:cstheme="minorHAnsi"/>
                <w:color w:val="auto"/>
                <w:sz w:val="20"/>
              </w:rPr>
              <w:t>84AL(1)(kd)</w:t>
            </w:r>
          </w:p>
        </w:tc>
      </w:tr>
      <w:tr w:rsidR="00FC16CE" w:rsidRPr="00CC56E1" w14:paraId="6854C370" w14:textId="77777777" w:rsidTr="00FC16CE">
        <w:tc>
          <w:tcPr>
            <w:cnfStyle w:val="001000000000" w:firstRow="0" w:lastRow="0" w:firstColumn="1" w:lastColumn="0" w:oddVBand="0" w:evenVBand="0" w:oddHBand="0" w:evenHBand="0" w:firstRowFirstColumn="0" w:firstRowLastColumn="0" w:lastRowFirstColumn="0" w:lastRowLastColumn="0"/>
            <w:tcW w:w="0" w:type="auto"/>
          </w:tcPr>
          <w:p w14:paraId="7D4E0FD8" w14:textId="77777777" w:rsidR="00FC16CE" w:rsidRPr="00CC56E1" w:rsidRDefault="00FC16CE" w:rsidP="00FC16CE">
            <w:pPr>
              <w:numPr>
                <w:ilvl w:val="2"/>
                <w:numId w:val="80"/>
              </w:numPr>
              <w:spacing w:before="0"/>
              <w:ind w:left="454"/>
              <w:contextualSpacing/>
              <w:rPr>
                <w:rFonts w:asciiTheme="minorHAnsi" w:eastAsia="Calibri" w:hAnsiTheme="minorHAnsi" w:cstheme="minorHAnsi"/>
                <w:color w:val="auto"/>
                <w:sz w:val="20"/>
              </w:rPr>
            </w:pPr>
            <w:r w:rsidRPr="00CC56E1">
              <w:rPr>
                <w:rFonts w:asciiTheme="minorHAnsi" w:eastAsia="Calibri" w:hAnsiTheme="minorHAnsi" w:cstheme="minorHAnsi"/>
                <w:color w:val="auto"/>
                <w:sz w:val="20"/>
                <w:vertAlign w:val="superscript"/>
              </w:rPr>
              <w:lastRenderedPageBreak/>
              <w:t>4</w:t>
            </w:r>
            <w:r w:rsidRPr="00CC56E1">
              <w:rPr>
                <w:rFonts w:asciiTheme="minorHAnsi" w:eastAsia="Calibri" w:hAnsiTheme="minorHAnsi" w:cstheme="minorHAnsi"/>
                <w:color w:val="auto"/>
                <w:sz w:val="20"/>
              </w:rPr>
              <w:t>Process for registering DM in the Register</w:t>
            </w:r>
          </w:p>
        </w:tc>
        <w:tc>
          <w:tcPr>
            <w:tcW w:w="0" w:type="auto"/>
            <w:tcBorders>
              <w:right w:val="double" w:sz="4" w:space="0" w:color="4472C4"/>
            </w:tcBorders>
          </w:tcPr>
          <w:p w14:paraId="36C2C037" w14:textId="77777777" w:rsidR="00FC16CE" w:rsidRPr="00CC56E1" w:rsidRDefault="00FC16CE" w:rsidP="00FC16CE">
            <w:pPr>
              <w:spacing w:before="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rPr>
            </w:pPr>
            <w:r w:rsidRPr="00CC56E1">
              <w:rPr>
                <w:rFonts w:asciiTheme="minorHAnsi" w:eastAsia="Calibri" w:hAnsiTheme="minorHAnsi" w:cstheme="minorHAnsi"/>
                <w:color w:val="auto"/>
                <w:sz w:val="20"/>
              </w:rPr>
              <w:t>124(1)(oc)(v)</w:t>
            </w:r>
          </w:p>
        </w:tc>
      </w:tr>
      <w:tr w:rsidR="00FC16CE" w:rsidRPr="00CC56E1" w14:paraId="61724B8C" w14:textId="77777777" w:rsidTr="00FC1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DA8824" w14:textId="77777777" w:rsidR="00FC16CE" w:rsidRPr="00CC56E1" w:rsidRDefault="00FC16CE" w:rsidP="00FC16CE">
            <w:pPr>
              <w:numPr>
                <w:ilvl w:val="2"/>
                <w:numId w:val="80"/>
              </w:numPr>
              <w:spacing w:before="0"/>
              <w:ind w:left="454"/>
              <w:contextualSpacing/>
              <w:rPr>
                <w:rFonts w:asciiTheme="minorHAnsi" w:eastAsia="Calibri" w:hAnsiTheme="minorHAnsi" w:cstheme="minorHAnsi"/>
                <w:color w:val="auto"/>
                <w:sz w:val="20"/>
              </w:rPr>
            </w:pPr>
            <w:r w:rsidRPr="00CC56E1">
              <w:rPr>
                <w:rFonts w:asciiTheme="minorHAnsi" w:eastAsia="Calibri" w:hAnsiTheme="minorHAnsi" w:cstheme="minorHAnsi"/>
                <w:color w:val="auto"/>
                <w:sz w:val="20"/>
                <w:vertAlign w:val="superscript"/>
              </w:rPr>
              <w:t>5</w:t>
            </w:r>
            <w:r w:rsidRPr="00CC56E1">
              <w:rPr>
                <w:rFonts w:asciiTheme="minorHAnsi" w:eastAsia="Calibri" w:hAnsiTheme="minorHAnsi" w:cstheme="minorHAnsi"/>
                <w:color w:val="auto"/>
                <w:sz w:val="20"/>
              </w:rPr>
              <w:t>Matters to be entered into the Register for any land or part of land directed by the Minister to be registered</w:t>
            </w:r>
          </w:p>
        </w:tc>
        <w:tc>
          <w:tcPr>
            <w:tcW w:w="0" w:type="auto"/>
            <w:tcBorders>
              <w:right w:val="double" w:sz="4" w:space="0" w:color="4472C4"/>
            </w:tcBorders>
          </w:tcPr>
          <w:p w14:paraId="58A5887F" w14:textId="77777777" w:rsidR="00FC16CE" w:rsidRPr="00CC56E1" w:rsidRDefault="00FC16CE" w:rsidP="00FC16CE">
            <w:pPr>
              <w:spacing w:before="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rPr>
            </w:pPr>
            <w:r w:rsidRPr="00CC56E1">
              <w:rPr>
                <w:rFonts w:asciiTheme="minorHAnsi" w:eastAsia="Calibri" w:hAnsiTheme="minorHAnsi" w:cstheme="minorHAnsi"/>
                <w:color w:val="auto"/>
                <w:sz w:val="20"/>
              </w:rPr>
              <w:t>84AZZC</w:t>
            </w:r>
          </w:p>
        </w:tc>
      </w:tr>
      <w:tr w:rsidR="00FC16CE" w:rsidRPr="00CC56E1" w14:paraId="587AE3DE" w14:textId="77777777" w:rsidTr="00FC16CE">
        <w:tc>
          <w:tcPr>
            <w:cnfStyle w:val="001000000000" w:firstRow="0" w:lastRow="0" w:firstColumn="1" w:lastColumn="0" w:oddVBand="0" w:evenVBand="0" w:oddHBand="0" w:evenHBand="0" w:firstRowFirstColumn="0" w:firstRowLastColumn="0" w:lastRowFirstColumn="0" w:lastRowLastColumn="0"/>
            <w:tcW w:w="0" w:type="auto"/>
            <w:gridSpan w:val="2"/>
            <w:tcBorders>
              <w:right w:val="double" w:sz="4" w:space="0" w:color="4472C4"/>
            </w:tcBorders>
          </w:tcPr>
          <w:p w14:paraId="78C92AC6" w14:textId="77777777" w:rsidR="00FC16CE" w:rsidRPr="00CC56E1" w:rsidRDefault="00FC16CE" w:rsidP="00FC16CE">
            <w:pPr>
              <w:numPr>
                <w:ilvl w:val="1"/>
                <w:numId w:val="77"/>
              </w:numPr>
              <w:spacing w:before="0"/>
              <w:ind w:left="452"/>
              <w:contextualSpacing/>
              <w:rPr>
                <w:rFonts w:asciiTheme="minorHAnsi" w:eastAsia="Calibri" w:hAnsiTheme="minorHAnsi" w:cstheme="minorHAnsi"/>
                <w:i/>
                <w:color w:val="C45911"/>
                <w:sz w:val="20"/>
              </w:rPr>
            </w:pPr>
            <w:r w:rsidRPr="00CC56E1">
              <w:rPr>
                <w:rFonts w:asciiTheme="minorHAnsi" w:eastAsia="Calibri" w:hAnsiTheme="minorHAnsi" w:cstheme="minorHAnsi"/>
                <w:i/>
                <w:color w:val="C45911"/>
                <w:sz w:val="20"/>
              </w:rPr>
              <w:t>Documents to be registered by the Rehabilitation Authority in the Register</w:t>
            </w:r>
          </w:p>
        </w:tc>
      </w:tr>
      <w:tr w:rsidR="00FC16CE" w:rsidRPr="00CC56E1" w14:paraId="115A5A6B" w14:textId="77777777" w:rsidTr="00FC1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8491E3" w14:textId="77777777" w:rsidR="00FC16CE" w:rsidRPr="00CC56E1" w:rsidRDefault="00FC16CE" w:rsidP="00FC16CE">
            <w:pPr>
              <w:numPr>
                <w:ilvl w:val="2"/>
                <w:numId w:val="83"/>
              </w:numPr>
              <w:spacing w:before="0"/>
              <w:ind w:left="454"/>
              <w:contextualSpacing/>
              <w:rPr>
                <w:rFonts w:asciiTheme="minorHAnsi" w:eastAsia="Calibri" w:hAnsiTheme="minorHAnsi" w:cstheme="minorHAnsi"/>
                <w:color w:val="auto"/>
                <w:sz w:val="20"/>
              </w:rPr>
            </w:pPr>
            <w:r w:rsidRPr="00CC56E1">
              <w:rPr>
                <w:rFonts w:asciiTheme="minorHAnsi" w:eastAsia="Calibri" w:hAnsiTheme="minorHAnsi" w:cstheme="minorHAnsi"/>
                <w:color w:val="auto"/>
                <w:sz w:val="20"/>
                <w:vertAlign w:val="superscript"/>
              </w:rPr>
              <w:t>5</w:t>
            </w:r>
            <w:r w:rsidRPr="00CC56E1">
              <w:rPr>
                <w:rFonts w:asciiTheme="minorHAnsi" w:eastAsia="Calibri" w:hAnsiTheme="minorHAnsi" w:cstheme="minorHAnsi"/>
                <w:color w:val="auto"/>
                <w:sz w:val="20"/>
              </w:rPr>
              <w:t>Records or information that relate to the land</w:t>
            </w:r>
          </w:p>
        </w:tc>
        <w:tc>
          <w:tcPr>
            <w:tcW w:w="0" w:type="auto"/>
            <w:tcBorders>
              <w:right w:val="double" w:sz="4" w:space="0" w:color="4472C4"/>
            </w:tcBorders>
          </w:tcPr>
          <w:p w14:paraId="61DDB44A" w14:textId="77777777" w:rsidR="00FC16CE" w:rsidRPr="00CC56E1" w:rsidRDefault="00FC16CE" w:rsidP="00FC16CE">
            <w:pPr>
              <w:spacing w:before="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20"/>
              </w:rPr>
            </w:pPr>
            <w:r w:rsidRPr="00CC56E1">
              <w:rPr>
                <w:rFonts w:asciiTheme="minorHAnsi" w:eastAsia="Calibri" w:hAnsiTheme="minorHAnsi" w:cstheme="minorHAnsi"/>
                <w:color w:val="auto"/>
                <w:sz w:val="20"/>
              </w:rPr>
              <w:t>84AZZL(3)(a)(iii)</w:t>
            </w:r>
          </w:p>
        </w:tc>
      </w:tr>
      <w:tr w:rsidR="00FC16CE" w:rsidRPr="00CC56E1" w14:paraId="3A443AA0" w14:textId="77777777" w:rsidTr="00FC16CE">
        <w:tc>
          <w:tcPr>
            <w:cnfStyle w:val="001000000000" w:firstRow="0" w:lastRow="0" w:firstColumn="1" w:lastColumn="0" w:oddVBand="0" w:evenVBand="0" w:oddHBand="0" w:evenHBand="0" w:firstRowFirstColumn="0" w:firstRowLastColumn="0" w:lastRowFirstColumn="0" w:lastRowLastColumn="0"/>
            <w:tcW w:w="0" w:type="auto"/>
          </w:tcPr>
          <w:p w14:paraId="524B850D" w14:textId="77777777" w:rsidR="00FC16CE" w:rsidRPr="00CC56E1" w:rsidRDefault="00FC16CE" w:rsidP="00FC16CE">
            <w:pPr>
              <w:numPr>
                <w:ilvl w:val="2"/>
                <w:numId w:val="83"/>
              </w:numPr>
              <w:spacing w:before="0"/>
              <w:ind w:left="454"/>
              <w:contextualSpacing/>
              <w:rPr>
                <w:rFonts w:asciiTheme="minorHAnsi" w:eastAsia="Calibri" w:hAnsiTheme="minorHAnsi" w:cstheme="minorHAnsi"/>
                <w:color w:val="auto"/>
                <w:sz w:val="20"/>
              </w:rPr>
            </w:pPr>
            <w:r w:rsidRPr="00CC56E1">
              <w:rPr>
                <w:rFonts w:asciiTheme="minorHAnsi" w:eastAsia="Calibri" w:hAnsiTheme="minorHAnsi" w:cstheme="minorHAnsi"/>
                <w:color w:val="auto"/>
                <w:sz w:val="20"/>
                <w:vertAlign w:val="superscript"/>
              </w:rPr>
              <w:t>5</w:t>
            </w:r>
            <w:r w:rsidRPr="00CC56E1">
              <w:rPr>
                <w:rFonts w:asciiTheme="minorHAnsi" w:eastAsia="Calibri" w:hAnsiTheme="minorHAnsi" w:cstheme="minorHAnsi"/>
                <w:color w:val="auto"/>
                <w:sz w:val="20"/>
              </w:rPr>
              <w:t>Matters to be recorded in the Register</w:t>
            </w:r>
          </w:p>
        </w:tc>
        <w:tc>
          <w:tcPr>
            <w:tcW w:w="0" w:type="auto"/>
            <w:tcBorders>
              <w:right w:val="double" w:sz="4" w:space="0" w:color="4472C4"/>
            </w:tcBorders>
          </w:tcPr>
          <w:p w14:paraId="363C16D2" w14:textId="77777777" w:rsidR="00FC16CE" w:rsidRPr="00CC56E1" w:rsidRDefault="00FC16CE" w:rsidP="00FC16CE">
            <w:pPr>
              <w:spacing w:before="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rPr>
            </w:pPr>
            <w:r w:rsidRPr="00CC56E1">
              <w:rPr>
                <w:rFonts w:asciiTheme="minorHAnsi" w:eastAsia="Calibri" w:hAnsiTheme="minorHAnsi" w:cstheme="minorHAnsi"/>
                <w:color w:val="auto"/>
                <w:sz w:val="20"/>
              </w:rPr>
              <w:t>84AZZL(3)(b)(iii)</w:t>
            </w:r>
          </w:p>
        </w:tc>
      </w:tr>
    </w:tbl>
    <w:p w14:paraId="48E18193" w14:textId="3B6C240C" w:rsidR="00EA0930" w:rsidRDefault="00EA0930" w:rsidP="00B70483">
      <w:pPr>
        <w:pStyle w:val="Numberedlist"/>
        <w:numPr>
          <w:ilvl w:val="0"/>
          <w:numId w:val="0"/>
        </w:numPr>
      </w:pPr>
    </w:p>
    <w:p w14:paraId="3EAFB7CD" w14:textId="77777777" w:rsidR="00EA0930" w:rsidRDefault="00EA0930">
      <w:pPr>
        <w:spacing w:before="0" w:line="276" w:lineRule="auto"/>
        <w:rPr>
          <w:rFonts w:asciiTheme="minorHAnsi" w:hAnsiTheme="minorHAnsi" w:cstheme="minorHAnsi"/>
          <w:szCs w:val="18"/>
          <w:lang w:eastAsia="en-AU"/>
        </w:rPr>
      </w:pPr>
      <w:r>
        <w:br w:type="page"/>
      </w:r>
    </w:p>
    <w:p w14:paraId="73205BBC" w14:textId="762B0C56" w:rsidR="00FC16CE" w:rsidRDefault="00FC16CE" w:rsidP="00B70483">
      <w:pPr>
        <w:pStyle w:val="Numberedlist"/>
        <w:numPr>
          <w:ilvl w:val="0"/>
          <w:numId w:val="0"/>
        </w:numPr>
      </w:pPr>
    </w:p>
    <w:p w14:paraId="5120574E" w14:textId="2527EFD6" w:rsidR="007B1B52" w:rsidRPr="00D57F00" w:rsidRDefault="00EA0930" w:rsidP="00DE4290">
      <w:pPr>
        <w:pStyle w:val="Heading1"/>
        <w:numPr>
          <w:ilvl w:val="0"/>
          <w:numId w:val="0"/>
        </w:numPr>
        <w:rPr>
          <w:rFonts w:asciiTheme="majorHAnsi" w:hAnsiTheme="majorHAnsi" w:cstheme="majorHAnsi"/>
          <w:b w:val="0"/>
          <w:bCs w:val="0"/>
        </w:rPr>
      </w:pPr>
      <w:bookmarkStart w:id="442" w:name="_Toc104217739"/>
      <w:r w:rsidRPr="00D57F00">
        <w:rPr>
          <w:rFonts w:asciiTheme="majorHAnsi" w:hAnsiTheme="majorHAnsi" w:cstheme="majorHAnsi"/>
        </w:rPr>
        <w:t>Appen</w:t>
      </w:r>
      <w:r w:rsidR="007A31C2" w:rsidRPr="00D57F00">
        <w:rPr>
          <w:rFonts w:asciiTheme="majorHAnsi" w:hAnsiTheme="majorHAnsi" w:cstheme="majorHAnsi"/>
        </w:rPr>
        <w:t xml:space="preserve">dix </w:t>
      </w:r>
      <w:r w:rsidR="008666D6">
        <w:rPr>
          <w:rFonts w:asciiTheme="majorHAnsi" w:hAnsiTheme="majorHAnsi" w:cstheme="majorHAnsi"/>
        </w:rPr>
        <w:t>E</w:t>
      </w:r>
      <w:r w:rsidR="0002552D" w:rsidRPr="00D57F00">
        <w:rPr>
          <w:rFonts w:asciiTheme="majorHAnsi" w:hAnsiTheme="majorHAnsi" w:cstheme="majorHAnsi"/>
        </w:rPr>
        <w:t>:</w:t>
      </w:r>
      <w:r w:rsidR="007A31C2" w:rsidRPr="00D57F00">
        <w:rPr>
          <w:rFonts w:asciiTheme="majorHAnsi" w:hAnsiTheme="majorHAnsi" w:cstheme="majorHAnsi"/>
        </w:rPr>
        <w:t xml:space="preserve"> </w:t>
      </w:r>
      <w:r w:rsidRPr="00D57F00">
        <w:rPr>
          <w:rFonts w:asciiTheme="majorHAnsi" w:hAnsiTheme="majorHAnsi" w:cstheme="majorHAnsi"/>
          <w:b w:val="0"/>
          <w:bCs w:val="0"/>
        </w:rPr>
        <w:t>LV</w:t>
      </w:r>
      <w:r w:rsidR="007D16FF">
        <w:rPr>
          <w:rFonts w:asciiTheme="majorHAnsi" w:hAnsiTheme="majorHAnsi" w:cstheme="majorHAnsi"/>
          <w:b w:val="0"/>
          <w:bCs w:val="0"/>
        </w:rPr>
        <w:t>R</w:t>
      </w:r>
      <w:r w:rsidRPr="00D57F00">
        <w:rPr>
          <w:rFonts w:asciiTheme="majorHAnsi" w:hAnsiTheme="majorHAnsi" w:cstheme="majorHAnsi"/>
          <w:b w:val="0"/>
          <w:bCs w:val="0"/>
        </w:rPr>
        <w:t>RS definitions for Active and Passive Controls</w:t>
      </w:r>
      <w:bookmarkEnd w:id="442"/>
      <w:r w:rsidRPr="00D57F00">
        <w:rPr>
          <w:rFonts w:asciiTheme="majorHAnsi" w:hAnsiTheme="majorHAnsi" w:cstheme="majorHAnsi"/>
          <w:b w:val="0"/>
          <w:bCs w:val="0"/>
        </w:rPr>
        <w:t xml:space="preserve"> </w:t>
      </w:r>
    </w:p>
    <w:p w14:paraId="557DCB79" w14:textId="7F469072" w:rsidR="00EA0930" w:rsidRPr="00137300" w:rsidRDefault="00EA0930" w:rsidP="00463DE3">
      <w:pPr>
        <w:pStyle w:val="introparagraph"/>
        <w:rPr>
          <w:sz w:val="24"/>
          <w:szCs w:val="24"/>
        </w:rPr>
      </w:pPr>
      <w:r w:rsidRPr="00137300">
        <w:rPr>
          <w:sz w:val="24"/>
          <w:szCs w:val="24"/>
        </w:rPr>
        <w:t>Extracted from the LVRRS Regional Geotechnical Study Synopsis Report</w:t>
      </w:r>
    </w:p>
    <w:p w14:paraId="527E0ADA" w14:textId="16B9846D" w:rsidR="00800D85" w:rsidRPr="00800D85" w:rsidRDefault="00800D85" w:rsidP="00800D85">
      <w:pPr>
        <w:rPr>
          <w:rFonts w:asciiTheme="majorHAnsi" w:hAnsiTheme="majorHAnsi" w:cstheme="majorHAnsi"/>
        </w:rPr>
      </w:pPr>
      <w:r w:rsidRPr="00D57F00">
        <w:rPr>
          <w:rFonts w:asciiTheme="majorHAnsi" w:hAnsiTheme="majorHAnsi" w:cstheme="majorHAnsi"/>
          <w:spacing w:val="-1"/>
        </w:rPr>
        <w:t>The LVRRS Geotechnical Study found that active controls (i.e. maintaining horizontally drilled bores in the batters, groundwater depressurisation, surface water diversions, ground movement monitoring, fire suppression systems) and regulation practices cannot guarantee the prevention of major ground movements or coal fires. Passive controls – i.e., the use of materials to stabilise mine floors and batters, and cover exposed coal faces</w:t>
      </w:r>
      <w:r w:rsidRPr="00D57F00">
        <w:rPr>
          <w:rFonts w:asciiTheme="majorHAnsi" w:hAnsiTheme="majorHAnsi" w:cstheme="majorHAnsi"/>
        </w:rPr>
        <w:t xml:space="preserve"> – provide a more sustainable and effective way of minimising these risks. Accordingly, the LVRRS considers that as the Latrobe Valley mines close, it will be ‘highly desirable’ to transition to passive controls. </w:t>
      </w:r>
    </w:p>
    <w:p w14:paraId="55F3B6F9" w14:textId="77777777" w:rsidR="00EA0930" w:rsidRPr="0059585C" w:rsidRDefault="00EA0930" w:rsidP="00037159">
      <w:pPr>
        <w:spacing w:before="240" w:after="120"/>
        <w:rPr>
          <w:bCs/>
          <w:color w:val="78BF42"/>
          <w:sz w:val="28"/>
          <w:szCs w:val="26"/>
        </w:rPr>
      </w:pPr>
      <w:r w:rsidRPr="0059585C">
        <w:rPr>
          <w:bCs/>
          <w:color w:val="78BF42"/>
          <w:sz w:val="28"/>
          <w:szCs w:val="26"/>
        </w:rPr>
        <w:t>Active Controls</w:t>
      </w:r>
    </w:p>
    <w:p w14:paraId="01BF5C62" w14:textId="77777777" w:rsidR="00EA0930" w:rsidRPr="00D57F00" w:rsidRDefault="00EA0930" w:rsidP="00EA0930">
      <w:pPr>
        <w:rPr>
          <w:rFonts w:asciiTheme="majorHAnsi" w:hAnsiTheme="majorHAnsi" w:cstheme="majorHAnsi"/>
          <w:spacing w:val="-1"/>
        </w:rPr>
      </w:pPr>
      <w:r w:rsidRPr="00D57F00">
        <w:rPr>
          <w:rFonts w:asciiTheme="majorHAnsi" w:hAnsiTheme="majorHAnsi" w:cstheme="majorHAnsi"/>
          <w:spacing w:val="-1"/>
        </w:rPr>
        <w:t xml:space="preserve">Active controls such as groundwater pumping and drainage, surface water management and extensive monitoring are required to maintain </w:t>
      </w:r>
      <w:r w:rsidRPr="00D57F00">
        <w:rPr>
          <w:rFonts w:asciiTheme="majorHAnsi" w:hAnsiTheme="majorHAnsi" w:cstheme="majorHAnsi"/>
        </w:rPr>
        <w:t xml:space="preserve">safe operating conditions at the Latrobe Valley coal mines. Nonetheless, unexpected and undesirable land movements </w:t>
      </w:r>
      <w:r w:rsidRPr="00D57F00">
        <w:rPr>
          <w:rFonts w:asciiTheme="majorHAnsi" w:hAnsiTheme="majorHAnsi" w:cstheme="majorHAnsi"/>
          <w:spacing w:val="-1"/>
        </w:rPr>
        <w:t>have occurred ranging from small, continuous movement of mine walls (known as batters) to major batter failures extending beyond the mine crest. Exposed coal has caught fire a number of times, causing impacts to communities and the mines, most recently during the 2014 Hazelwood Mine Fire.</w:t>
      </w:r>
    </w:p>
    <w:p w14:paraId="2547BAA0" w14:textId="77777777" w:rsidR="00EA0930" w:rsidRPr="00D57F00" w:rsidRDefault="00EA0930" w:rsidP="00EA0930">
      <w:pPr>
        <w:rPr>
          <w:rFonts w:asciiTheme="majorHAnsi" w:hAnsiTheme="majorHAnsi" w:cstheme="majorHAnsi"/>
        </w:rPr>
      </w:pPr>
      <w:r w:rsidRPr="00D57F00">
        <w:rPr>
          <w:rFonts w:asciiTheme="majorHAnsi" w:hAnsiTheme="majorHAnsi" w:cstheme="majorHAnsi"/>
        </w:rPr>
        <w:t xml:space="preserve">It is clear that active controls and regulation practices can’t guarantee there won’t be major ground movements or coal fires, </w:t>
      </w:r>
      <w:r w:rsidRPr="00D57F00">
        <w:rPr>
          <w:rFonts w:asciiTheme="majorHAnsi" w:hAnsiTheme="majorHAnsi" w:cstheme="majorHAnsi"/>
          <w:spacing w:val="-1"/>
        </w:rPr>
        <w:t>as evidenced by these past failures and movements over the life of the Latrobe Valley mines.</w:t>
      </w:r>
    </w:p>
    <w:p w14:paraId="4BCF473F" w14:textId="77777777" w:rsidR="00EA0930" w:rsidRPr="0059585C" w:rsidRDefault="00EA0930" w:rsidP="00037159">
      <w:pPr>
        <w:spacing w:before="240" w:after="120"/>
        <w:rPr>
          <w:bCs/>
          <w:color w:val="78BF42"/>
          <w:sz w:val="28"/>
          <w:szCs w:val="26"/>
        </w:rPr>
      </w:pPr>
      <w:r w:rsidRPr="0059585C">
        <w:rPr>
          <w:bCs/>
          <w:color w:val="78BF42"/>
          <w:sz w:val="28"/>
          <w:szCs w:val="26"/>
        </w:rPr>
        <w:t>Passive Controls</w:t>
      </w:r>
    </w:p>
    <w:p w14:paraId="69ED126D" w14:textId="77777777" w:rsidR="00EA0930" w:rsidRPr="00D57F00" w:rsidRDefault="00EA0930" w:rsidP="00EA0930">
      <w:pPr>
        <w:rPr>
          <w:rFonts w:asciiTheme="majorHAnsi" w:hAnsiTheme="majorHAnsi" w:cstheme="majorHAnsi"/>
        </w:rPr>
      </w:pPr>
      <w:r w:rsidRPr="00D57F00">
        <w:rPr>
          <w:rFonts w:asciiTheme="majorHAnsi" w:hAnsiTheme="majorHAnsi" w:cstheme="majorHAnsi"/>
        </w:rPr>
        <w:t>Passive controls avoid the need for ongoing action in managing mine stability and fire risk. In the context of mine rehabilitation, this is achieved through landform design. Passive design elements include the use of sediments and water to stabilise mine floors and batters, and covering coal (e.g. with soil) to prevent coal ignition by external sources.</w:t>
      </w:r>
    </w:p>
    <w:p w14:paraId="46E8D7EF" w14:textId="77777777" w:rsidR="00EA0930" w:rsidRPr="00D57F00" w:rsidRDefault="00EA0930" w:rsidP="00EA0930">
      <w:pPr>
        <w:rPr>
          <w:rFonts w:asciiTheme="majorHAnsi" w:hAnsiTheme="majorHAnsi" w:cstheme="majorHAnsi"/>
        </w:rPr>
      </w:pPr>
      <w:r w:rsidRPr="00D57F00">
        <w:rPr>
          <w:rFonts w:asciiTheme="majorHAnsi" w:hAnsiTheme="majorHAnsi" w:cstheme="majorHAnsi"/>
          <w:spacing w:val="-2"/>
        </w:rPr>
        <w:t>As the mines close it will be necessary to transition to passive controls to manage stability and fire risk, to ensure that post-closure risks to the community and environment are minimised and that maintenance of the rehabilitated landform is environmentally and economically sustainable.</w:t>
      </w:r>
    </w:p>
    <w:p w14:paraId="6DB0BAB9" w14:textId="3E858203" w:rsidR="00EA0930" w:rsidRPr="00B108CE" w:rsidRDefault="00EA0930" w:rsidP="00B108CE">
      <w:pPr>
        <w:rPr>
          <w:b/>
          <w:bCs/>
          <w:color w:val="003A7D" w:themeColor="text2" w:themeShade="BF"/>
          <w:sz w:val="22"/>
          <w:szCs w:val="22"/>
        </w:rPr>
      </w:pPr>
      <w:r w:rsidRPr="00B108CE">
        <w:rPr>
          <w:b/>
          <w:bCs/>
          <w:color w:val="003A7D" w:themeColor="text2" w:themeShade="BF"/>
          <w:sz w:val="22"/>
          <w:szCs w:val="22"/>
        </w:rPr>
        <w:t>Active vs Passive Control</w:t>
      </w:r>
      <w:r w:rsidR="00137300">
        <w:rPr>
          <w:b/>
          <w:bCs/>
          <w:color w:val="003A7D" w:themeColor="text2" w:themeShade="BF"/>
          <w:sz w:val="22"/>
          <w:szCs w:val="22"/>
        </w:rPr>
        <w:t>s</w:t>
      </w:r>
    </w:p>
    <w:p w14:paraId="2FF82F50" w14:textId="77777777" w:rsidR="00EA0930" w:rsidRPr="00D57F00" w:rsidRDefault="00EA0930" w:rsidP="00EA0930">
      <w:pPr>
        <w:rPr>
          <w:rFonts w:asciiTheme="majorHAnsi" w:hAnsiTheme="majorHAnsi" w:cstheme="majorHAnsi"/>
        </w:rPr>
      </w:pPr>
      <w:r w:rsidRPr="00D57F00">
        <w:rPr>
          <w:rFonts w:asciiTheme="majorHAnsi" w:hAnsiTheme="majorHAnsi" w:cstheme="majorHAnsi"/>
        </w:rPr>
        <w:t>Currently, stability of open pit voids is managed by active controls such as groundwater pumping and drainage, surface water management and extensive monitoring.</w:t>
      </w:r>
    </w:p>
    <w:p w14:paraId="5F3BDD50" w14:textId="77777777" w:rsidR="00EA0930" w:rsidRPr="00D57F00" w:rsidRDefault="00EA0930" w:rsidP="00EA0930">
      <w:pPr>
        <w:rPr>
          <w:rFonts w:asciiTheme="majorHAnsi" w:hAnsiTheme="majorHAnsi" w:cstheme="majorHAnsi"/>
        </w:rPr>
      </w:pPr>
      <w:r w:rsidRPr="00D57F00">
        <w:rPr>
          <w:rFonts w:asciiTheme="majorHAnsi" w:hAnsiTheme="majorHAnsi" w:cstheme="majorHAnsi"/>
        </w:rPr>
        <w:t>Filling the mines with sediments and water (passive control) provides a counter force to those acting on the pit floor and mine batters, thereby replacing the current active stability controls.</w:t>
      </w:r>
    </w:p>
    <w:p w14:paraId="7465A30B" w14:textId="1463C779" w:rsidR="00EA0930" w:rsidRPr="00FD6695" w:rsidRDefault="00EA0930" w:rsidP="00FD6695">
      <w:pPr>
        <w:spacing w:after="160" w:line="259" w:lineRule="auto"/>
        <w:rPr>
          <w:rFonts w:asciiTheme="majorHAnsi" w:hAnsiTheme="majorHAnsi" w:cstheme="majorHAnsi"/>
          <w:b/>
          <w:bCs/>
          <w:sz w:val="24"/>
          <w:szCs w:val="24"/>
        </w:rPr>
      </w:pPr>
      <w:r w:rsidRPr="00FD6695">
        <w:rPr>
          <w:rFonts w:asciiTheme="majorHAnsi" w:hAnsiTheme="majorHAnsi" w:cstheme="majorHAnsi"/>
          <w:b/>
          <w:bCs/>
          <w:sz w:val="24"/>
          <w:szCs w:val="24"/>
        </w:rPr>
        <w:t>Extracts from the LVRRS Regional Geotechnical Study - Factsheet</w:t>
      </w:r>
    </w:p>
    <w:p w14:paraId="7A2CDF4B" w14:textId="77777777" w:rsidR="00EA0930" w:rsidRPr="00D57F00" w:rsidRDefault="00EA0930" w:rsidP="00EA0930">
      <w:pPr>
        <w:rPr>
          <w:rFonts w:asciiTheme="majorHAnsi" w:hAnsiTheme="majorHAnsi" w:cstheme="majorHAnsi"/>
        </w:rPr>
      </w:pPr>
      <w:r w:rsidRPr="00D57F00">
        <w:rPr>
          <w:rFonts w:asciiTheme="majorHAnsi" w:hAnsiTheme="majorHAnsi" w:cstheme="majorHAnsi"/>
        </w:rPr>
        <w:t>Active engineering controls such as ongoing groundwater pumps, surface water diversions and extensive monitoring systems are required to maintain safe and stable operating conditions at the Latrobe Valley coal mines.</w:t>
      </w:r>
    </w:p>
    <w:p w14:paraId="267F3BA8" w14:textId="1825C062" w:rsidR="00EA0930" w:rsidRPr="00D57F00" w:rsidRDefault="00EA0930" w:rsidP="00EA0930">
      <w:pPr>
        <w:rPr>
          <w:rFonts w:asciiTheme="majorHAnsi" w:hAnsiTheme="majorHAnsi" w:cstheme="majorHAnsi"/>
        </w:rPr>
      </w:pPr>
      <w:r w:rsidRPr="00D57F00">
        <w:rPr>
          <w:rFonts w:asciiTheme="majorHAnsi" w:hAnsiTheme="majorHAnsi" w:cstheme="majorHAnsi"/>
        </w:rPr>
        <w:t>Passive controls that avoid the need for action in managing stability and ground movement risks and coal ignition can be achieved through landform design. Passive design elements include the use of sediments and water to stabilise mine floors and batters, and covering exposed coal (e.g. with soil and/or water) to prevent coal ignition by external sources.</w:t>
      </w:r>
    </w:p>
    <w:p w14:paraId="1F056683" w14:textId="7330C210" w:rsidR="007C37B9" w:rsidRPr="001D65F9" w:rsidRDefault="007C37B9" w:rsidP="00B70483">
      <w:pPr>
        <w:pStyle w:val="Numberedlist"/>
        <w:numPr>
          <w:ilvl w:val="0"/>
          <w:numId w:val="0"/>
        </w:numPr>
      </w:pPr>
    </w:p>
    <w:sectPr w:rsidR="007C37B9" w:rsidRPr="001D65F9" w:rsidSect="00623898">
      <w:pgSz w:w="11906" w:h="16838"/>
      <w:pgMar w:top="1440" w:right="1440" w:bottom="1440" w:left="1440" w:header="708" w:footer="1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755A9" w14:textId="77777777" w:rsidR="008F35DB" w:rsidRDefault="008F35DB" w:rsidP="00D96C1E">
      <w:r>
        <w:separator/>
      </w:r>
    </w:p>
    <w:p w14:paraId="794E0200" w14:textId="77777777" w:rsidR="008F35DB" w:rsidRDefault="008F35DB" w:rsidP="00D96C1E"/>
  </w:endnote>
  <w:endnote w:type="continuationSeparator" w:id="0">
    <w:p w14:paraId="2CFDB74D" w14:textId="77777777" w:rsidR="008F35DB" w:rsidRDefault="008F35DB" w:rsidP="00D96C1E">
      <w:r>
        <w:continuationSeparator/>
      </w:r>
    </w:p>
    <w:p w14:paraId="1C6DD825" w14:textId="77777777" w:rsidR="008F35DB" w:rsidRDefault="008F35DB" w:rsidP="00D96C1E"/>
  </w:endnote>
  <w:endnote w:type="continuationNotice" w:id="1">
    <w:p w14:paraId="3C4D3DEB" w14:textId="77777777" w:rsidR="008F35DB" w:rsidRDefault="008F35D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EYInterstate Light">
    <w:altName w:val="Calibri"/>
    <w:charset w:val="00"/>
    <w:family w:val="auto"/>
    <w:pitch w:val="variable"/>
    <w:sig w:usb0="A00002AF" w:usb1="5000206A" w:usb2="00000000" w:usb3="00000000" w:csb0="0000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EYInterstate">
    <w:altName w:val="Calibri"/>
    <w:charset w:val="00"/>
    <w:family w:val="auto"/>
    <w:pitch w:val="variable"/>
    <w:sig w:usb0="800002AF" w:usb1="5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FBA33" w14:textId="77777777" w:rsidR="000B3BF6" w:rsidRDefault="000B3B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E6641" w14:textId="395A92CB" w:rsidR="00314925" w:rsidRDefault="000B3BF6">
    <w:pPr>
      <w:pStyle w:val="Footer"/>
    </w:pPr>
    <w:r>
      <w:rPr>
        <w:noProof/>
      </w:rPr>
      <mc:AlternateContent>
        <mc:Choice Requires="wps">
          <w:drawing>
            <wp:anchor distT="0" distB="0" distL="114300" distR="114300" simplePos="0" relativeHeight="251659276" behindDoc="0" locked="0" layoutInCell="0" allowOverlap="1" wp14:anchorId="62BE5760" wp14:editId="27458355">
              <wp:simplePos x="0" y="0"/>
              <wp:positionH relativeFrom="page">
                <wp:align>center</wp:align>
              </wp:positionH>
              <wp:positionV relativeFrom="page">
                <wp:align>bottom</wp:align>
              </wp:positionV>
              <wp:extent cx="7772400" cy="463550"/>
              <wp:effectExtent l="0" t="0" r="0" b="12700"/>
              <wp:wrapNone/>
              <wp:docPr id="3" name="MSIPCM8fc7408bac0096537d8da6ef"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87CC46" w14:textId="0C6CA388" w:rsidR="000B3BF6" w:rsidRPr="000B3BF6" w:rsidRDefault="000B3BF6" w:rsidP="000B3BF6">
                          <w:pPr>
                            <w:spacing w:before="0" w:after="0"/>
                            <w:jc w:val="center"/>
                            <w:rPr>
                              <w:rFonts w:ascii="Calibri" w:hAnsi="Calibri" w:cs="Calibri"/>
                              <w:color w:val="000000"/>
                              <w:sz w:val="24"/>
                            </w:rPr>
                          </w:pPr>
                          <w:r w:rsidRPr="000B3BF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2BE5760" id="_x0000_t202" coordsize="21600,21600" o:spt="202" path="m,l,21600r21600,l21600,xe">
              <v:stroke joinstyle="miter"/>
              <v:path gradientshapeok="t" o:connecttype="rect"/>
            </v:shapetype>
            <v:shape id="MSIPCM8fc7408bac0096537d8da6ef" o:spid="_x0000_s1038" type="#_x0000_t202" alt="{&quot;HashCode&quot;:-1264680268,&quot;Height&quot;:9999999.0,&quot;Width&quot;:9999999.0,&quot;Placement&quot;:&quot;Footer&quot;,&quot;Index&quot;:&quot;Primary&quot;,&quot;Section&quot;:1,&quot;Top&quot;:0.0,&quot;Left&quot;:0.0}" style="position:absolute;margin-left:0;margin-top:0;width:612pt;height:36.5pt;z-index:25165927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c3QTVq4CAABYBQAADgAAAAAAAAAA&#10;AAAAAAAuAgAAZHJzL2Uyb0RvYy54bWxQSwECLQAUAAYACAAAACEAvh8Kt9oAAAAFAQAADwAAAAAA&#10;AAAAAAAAAAAIBQAAZHJzL2Rvd25yZXYueG1sUEsFBgAAAAAEAAQA8wAAAA8GAAAAAA==&#10;" o:allowincell="f" filled="f" stroked="f" strokeweight=".5pt">
              <v:fill o:detectmouseclick="t"/>
              <v:textbox inset=",0,,0">
                <w:txbxContent>
                  <w:p w14:paraId="7987CC46" w14:textId="0C6CA388" w:rsidR="000B3BF6" w:rsidRPr="000B3BF6" w:rsidRDefault="000B3BF6" w:rsidP="000B3BF6">
                    <w:pPr>
                      <w:spacing w:before="0" w:after="0"/>
                      <w:jc w:val="center"/>
                      <w:rPr>
                        <w:rFonts w:ascii="Calibri" w:hAnsi="Calibri" w:cs="Calibri"/>
                        <w:color w:val="000000"/>
                        <w:sz w:val="24"/>
                      </w:rPr>
                    </w:pPr>
                    <w:r w:rsidRPr="000B3BF6">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4536C" w14:textId="20AD03ED" w:rsidR="00314925" w:rsidRDefault="000B3BF6">
    <w:pPr>
      <w:pStyle w:val="Footer"/>
    </w:pPr>
    <w:r>
      <w:rPr>
        <w:noProof/>
      </w:rPr>
      <mc:AlternateContent>
        <mc:Choice Requires="wps">
          <w:drawing>
            <wp:anchor distT="0" distB="0" distL="114300" distR="114300" simplePos="0" relativeHeight="251660300" behindDoc="0" locked="0" layoutInCell="0" allowOverlap="1" wp14:anchorId="287C70D1" wp14:editId="22798814">
              <wp:simplePos x="0" y="0"/>
              <wp:positionH relativeFrom="page">
                <wp:align>center</wp:align>
              </wp:positionH>
              <wp:positionV relativeFrom="page">
                <wp:align>bottom</wp:align>
              </wp:positionV>
              <wp:extent cx="7772400" cy="463550"/>
              <wp:effectExtent l="0" t="0" r="0" b="12700"/>
              <wp:wrapNone/>
              <wp:docPr id="4" name="MSIPCM54f24f93ba02616e17f6df8d"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D0CD53" w14:textId="4E68FFB7" w:rsidR="000B3BF6" w:rsidRPr="000B3BF6" w:rsidRDefault="000B3BF6" w:rsidP="000B3BF6">
                          <w:pPr>
                            <w:spacing w:before="0" w:after="0"/>
                            <w:jc w:val="center"/>
                            <w:rPr>
                              <w:rFonts w:ascii="Calibri" w:hAnsi="Calibri" w:cs="Calibri"/>
                              <w:color w:val="000000"/>
                              <w:sz w:val="24"/>
                            </w:rPr>
                          </w:pPr>
                          <w:r w:rsidRPr="000B3BF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87C70D1" id="_x0000_t202" coordsize="21600,21600" o:spt="202" path="m,l,21600r21600,l21600,xe">
              <v:stroke joinstyle="miter"/>
              <v:path gradientshapeok="t" o:connecttype="rect"/>
            </v:shapetype>
            <v:shape id="MSIPCM54f24f93ba02616e17f6df8d" o:spid="_x0000_s1040" type="#_x0000_t202" alt="{&quot;HashCode&quot;:-1264680268,&quot;Height&quot;:9999999.0,&quot;Width&quot;:9999999.0,&quot;Placement&quot;:&quot;Footer&quot;,&quot;Index&quot;:&quot;FirstPage&quot;,&quot;Section&quot;:1,&quot;Top&quot;:0.0,&quot;Left&quot;:0.0}" style="position:absolute;margin-left:0;margin-top:0;width:612pt;height:36.5pt;z-index:25166030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" o:allowincell="f" filled="f" stroked="f" strokeweight=".5pt">
              <v:fill o:detectmouseclick="t"/>
              <v:textbox inset=",0,,0">
                <w:txbxContent>
                  <w:p w14:paraId="3FD0CD53" w14:textId="4E68FFB7" w:rsidR="000B3BF6" w:rsidRPr="000B3BF6" w:rsidRDefault="000B3BF6" w:rsidP="000B3BF6">
                    <w:pPr>
                      <w:spacing w:before="0" w:after="0"/>
                      <w:jc w:val="center"/>
                      <w:rPr>
                        <w:rFonts w:ascii="Calibri" w:hAnsi="Calibri" w:cs="Calibri"/>
                        <w:color w:val="000000"/>
                        <w:sz w:val="24"/>
                      </w:rPr>
                    </w:pPr>
                    <w:r w:rsidRPr="000B3BF6">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81C1A" w14:textId="0C1EC305" w:rsidR="00314925" w:rsidRPr="00644924" w:rsidRDefault="000B3BF6" w:rsidP="00D96C1E">
    <w:pPr>
      <w:pStyle w:val="Footer"/>
    </w:pPr>
    <w:r>
      <w:rPr>
        <w:noProof/>
      </w:rPr>
      <mc:AlternateContent>
        <mc:Choice Requires="wps">
          <w:drawing>
            <wp:anchor distT="0" distB="0" distL="114300" distR="114300" simplePos="0" relativeHeight="251661324" behindDoc="0" locked="0" layoutInCell="0" allowOverlap="1" wp14:anchorId="132C4D4B" wp14:editId="1ED2FB7B">
              <wp:simplePos x="0" y="9403953"/>
              <wp:positionH relativeFrom="page">
                <wp:align>center</wp:align>
              </wp:positionH>
              <wp:positionV relativeFrom="page">
                <wp:align>bottom</wp:align>
              </wp:positionV>
              <wp:extent cx="7772400" cy="463550"/>
              <wp:effectExtent l="0" t="0" r="0" b="12700"/>
              <wp:wrapNone/>
              <wp:docPr id="6" name="MSIPCM3b1146f6bd8196c752c46f7f" descr="{&quot;HashCode&quot;:-1264680268,&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D2CF2E" w14:textId="212D2D0D" w:rsidR="000B3BF6" w:rsidRPr="000B3BF6" w:rsidRDefault="000B3BF6" w:rsidP="000B3BF6">
                          <w:pPr>
                            <w:spacing w:before="0" w:after="0"/>
                            <w:jc w:val="center"/>
                            <w:rPr>
                              <w:rFonts w:ascii="Calibri" w:hAnsi="Calibri" w:cs="Calibri"/>
                              <w:color w:val="000000"/>
                              <w:sz w:val="24"/>
                            </w:rPr>
                          </w:pPr>
                          <w:r w:rsidRPr="000B3BF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32C4D4B" id="_x0000_t202" coordsize="21600,21600" o:spt="202" path="m,l,21600r21600,l21600,xe">
              <v:stroke joinstyle="miter"/>
              <v:path gradientshapeok="t" o:connecttype="rect"/>
            </v:shapetype>
            <v:shape id="MSIPCM3b1146f6bd8196c752c46f7f" o:spid="_x0000_s1043" type="#_x0000_t202" alt="{&quot;HashCode&quot;:-1264680268,&quot;Height&quot;:9999999.0,&quot;Width&quot;:9999999.0,&quot;Placement&quot;:&quot;Footer&quot;,&quot;Index&quot;:&quot;Primary&quot;,&quot;Section&quot;:2,&quot;Top&quot;:0.0,&quot;Left&quot;:0.0}" style="position:absolute;margin-left:0;margin-top:0;width:612pt;height:36.5pt;z-index:25166132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B16uASsAIAAFkFAAAOAAAAAAAA&#10;AAAAAAAAAC4CAABkcnMvZTJvRG9jLnhtbFBLAQItABQABgAIAAAAIQC+Hwq32gAAAAUBAAAPAAAA&#10;AAAAAAAAAAAAAAoFAABkcnMvZG93bnJldi54bWxQSwUGAAAAAAQABADzAAAAEQYAAAAA&#10;" o:allowincell="f" filled="f" stroked="f" strokeweight=".5pt">
              <v:fill o:detectmouseclick="t"/>
              <v:textbox inset=",0,,0">
                <w:txbxContent>
                  <w:p w14:paraId="13D2CF2E" w14:textId="212D2D0D" w:rsidR="000B3BF6" w:rsidRPr="000B3BF6" w:rsidRDefault="000B3BF6" w:rsidP="000B3BF6">
                    <w:pPr>
                      <w:spacing w:before="0" w:after="0"/>
                      <w:jc w:val="center"/>
                      <w:rPr>
                        <w:rFonts w:ascii="Calibri" w:hAnsi="Calibri" w:cs="Calibri"/>
                        <w:color w:val="000000"/>
                        <w:sz w:val="24"/>
                      </w:rPr>
                    </w:pPr>
                    <w:r w:rsidRPr="000B3BF6">
                      <w:rPr>
                        <w:rFonts w:ascii="Calibri" w:hAnsi="Calibri" w:cs="Calibri"/>
                        <w:color w:val="000000"/>
                        <w:sz w:val="24"/>
                      </w:rPr>
                      <w:t>OFFICIAL</w:t>
                    </w:r>
                  </w:p>
                </w:txbxContent>
              </v:textbox>
              <w10:wrap anchorx="page" anchory="page"/>
            </v:shape>
          </w:pict>
        </mc:Fallback>
      </mc:AlternateContent>
    </w:r>
  </w:p>
  <w:sdt>
    <w:sdtPr>
      <w:id w:val="1097994085"/>
      <w:docPartObj>
        <w:docPartGallery w:val="Page Numbers (Bottom of Page)"/>
        <w:docPartUnique/>
      </w:docPartObj>
    </w:sdtPr>
    <w:sdtEndPr/>
    <w:sdtContent>
      <w:sdt>
        <w:sdtPr>
          <w:id w:val="-726373178"/>
          <w:docPartObj>
            <w:docPartGallery w:val="Page Numbers (Top of Page)"/>
            <w:docPartUnique/>
          </w:docPartObj>
        </w:sdtPr>
        <w:sdtEndPr/>
        <w:sdtContent>
          <w:p w14:paraId="43D81C1A" w14:textId="0C1EC305" w:rsidR="00314925" w:rsidRPr="00644924" w:rsidRDefault="00314925" w:rsidP="00D96C1E">
            <w:pPr>
              <w:pStyle w:val="Footer"/>
            </w:pPr>
          </w:p>
          <w:p w14:paraId="54BADB8C" w14:textId="77777777" w:rsidR="00314925" w:rsidRPr="009557F4" w:rsidRDefault="00314925" w:rsidP="008B6C18">
            <w:pPr>
              <w:pStyle w:val="Footer"/>
              <w:rPr>
                <w:rStyle w:val="FootnoteTextChar"/>
                <w:i/>
              </w:rPr>
            </w:pPr>
          </w:p>
          <w:p w14:paraId="1F857C5A" w14:textId="77777777" w:rsidR="00314925" w:rsidRPr="008B6C18" w:rsidRDefault="008F35DB" w:rsidP="009557F4">
            <w:pPr>
              <w:pStyle w:val="Footer"/>
              <w:jc w:val="right"/>
              <w:rPr>
                <w:sz w:val="24"/>
                <w:szCs w:val="24"/>
              </w:rPr>
            </w:pPr>
          </w:p>
        </w:sdtContent>
      </w:sdt>
    </w:sdtContent>
  </w:sdt>
  <w:p w14:paraId="5F005126" w14:textId="77777777" w:rsidR="00314925" w:rsidRDefault="00314925" w:rsidP="00D96C1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D6497" w14:textId="536F6085" w:rsidR="00314925" w:rsidRPr="00644924" w:rsidRDefault="000B3BF6" w:rsidP="00D96C1E">
    <w:pPr>
      <w:pStyle w:val="Footer"/>
    </w:pPr>
    <w:r>
      <w:rPr>
        <w:noProof/>
      </w:rPr>
      <mc:AlternateContent>
        <mc:Choice Requires="wps">
          <w:drawing>
            <wp:anchor distT="0" distB="0" distL="114300" distR="114300" simplePos="0" relativeHeight="251662348" behindDoc="0" locked="0" layoutInCell="0" allowOverlap="1" wp14:anchorId="72D6A36F" wp14:editId="515A3E69">
              <wp:simplePos x="0" y="0"/>
              <wp:positionH relativeFrom="page">
                <wp:align>center</wp:align>
              </wp:positionH>
              <wp:positionV relativeFrom="page">
                <wp:align>bottom</wp:align>
              </wp:positionV>
              <wp:extent cx="7772400" cy="463550"/>
              <wp:effectExtent l="0" t="0" r="0" b="12700"/>
              <wp:wrapNone/>
              <wp:docPr id="9" name="MSIPCMc77c46448bff5341bf874b2f"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F0E77A" w14:textId="632C7C8F" w:rsidR="000B3BF6" w:rsidRPr="000B3BF6" w:rsidRDefault="000B3BF6" w:rsidP="000B3BF6">
                          <w:pPr>
                            <w:spacing w:before="0" w:after="0"/>
                            <w:jc w:val="center"/>
                            <w:rPr>
                              <w:rFonts w:ascii="Calibri" w:hAnsi="Calibri" w:cs="Calibri"/>
                              <w:color w:val="000000"/>
                              <w:sz w:val="24"/>
                            </w:rPr>
                          </w:pPr>
                          <w:r w:rsidRPr="000B3BF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2D6A36F" id="_x0000_t202" coordsize="21600,21600" o:spt="202" path="m,l,21600r21600,l21600,xe">
              <v:stroke joinstyle="miter"/>
              <v:path gradientshapeok="t" o:connecttype="rect"/>
            </v:shapetype>
            <v:shape id="MSIPCMc77c46448bff5341bf874b2f" o:spid="_x0000_s1044" type="#_x0000_t202" alt="{&quot;HashCode&quot;:-1264680268,&quot;Height&quot;:9999999.0,&quot;Width&quot;:9999999.0,&quot;Placement&quot;:&quot;Footer&quot;,&quot;Index&quot;:&quot;Primary&quot;,&quot;Section&quot;:3,&quot;Top&quot;:0.0,&quot;Left&quot;:0.0}" style="position:absolute;margin-left:0;margin-top:0;width:612pt;height:36.5pt;z-index:2516623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N7MOMyvAgAAWQUAAA4AAAAAAAAA&#10;AAAAAAAALgIAAGRycy9lMm9Eb2MueG1sUEsBAi0AFAAGAAgAAAAhAL4fCrfaAAAABQEAAA8AAAAA&#10;AAAAAAAAAAAACQUAAGRycy9kb3ducmV2LnhtbFBLBQYAAAAABAAEAPMAAAAQBgAAAAA=&#10;" o:allowincell="f" filled="f" stroked="f" strokeweight=".5pt">
              <v:fill o:detectmouseclick="t"/>
              <v:textbox inset=",0,,0">
                <w:txbxContent>
                  <w:p w14:paraId="70F0E77A" w14:textId="632C7C8F" w:rsidR="000B3BF6" w:rsidRPr="000B3BF6" w:rsidRDefault="000B3BF6" w:rsidP="000B3BF6">
                    <w:pPr>
                      <w:spacing w:before="0" w:after="0"/>
                      <w:jc w:val="center"/>
                      <w:rPr>
                        <w:rFonts w:ascii="Calibri" w:hAnsi="Calibri" w:cs="Calibri"/>
                        <w:color w:val="000000"/>
                        <w:sz w:val="24"/>
                      </w:rPr>
                    </w:pPr>
                    <w:r w:rsidRPr="000B3BF6">
                      <w:rPr>
                        <w:rFonts w:ascii="Calibri" w:hAnsi="Calibri" w:cs="Calibri"/>
                        <w:color w:val="000000"/>
                        <w:sz w:val="24"/>
                      </w:rPr>
                      <w:t>OFFICIAL</w:t>
                    </w:r>
                  </w:p>
                </w:txbxContent>
              </v:textbox>
              <w10:wrap anchorx="page" anchory="page"/>
            </v:shape>
          </w:pict>
        </mc:Fallback>
      </mc:AlternateContent>
    </w:r>
  </w:p>
  <w:sdt>
    <w:sdtPr>
      <w:id w:val="1912499687"/>
      <w:docPartObj>
        <w:docPartGallery w:val="Page Numbers (Bottom of Page)"/>
        <w:docPartUnique/>
      </w:docPartObj>
    </w:sdtPr>
    <w:sdtEndPr/>
    <w:sdtContent>
      <w:sdt>
        <w:sdtPr>
          <w:id w:val="-1911684568"/>
          <w:docPartObj>
            <w:docPartGallery w:val="Page Numbers (Top of Page)"/>
            <w:docPartUnique/>
          </w:docPartObj>
        </w:sdtPr>
        <w:sdtEndPr/>
        <w:sdtContent>
          <w:p w14:paraId="1A6D6497" w14:textId="536F6085" w:rsidR="00314925" w:rsidRPr="00644924" w:rsidRDefault="00314925" w:rsidP="00D96C1E">
            <w:pPr>
              <w:pStyle w:val="Footer"/>
            </w:pPr>
          </w:p>
          <w:p w14:paraId="71B8A628" w14:textId="6FFFB1B9" w:rsidR="00314925" w:rsidRPr="00623898" w:rsidRDefault="00314925" w:rsidP="008B6C18">
            <w:pPr>
              <w:pStyle w:val="Footer"/>
              <w:rPr>
                <w:rStyle w:val="FootnoteTextChar"/>
                <w:i/>
              </w:rPr>
            </w:pPr>
            <w:r w:rsidRPr="00623898">
              <w:rPr>
                <w:rStyle w:val="FootnoteTextChar"/>
                <w:i/>
              </w:rPr>
              <w:t>Regulatory Impact Statement — Mineral Resources (Sustainable Development) (Mineral Industries) Regulations 20</w:t>
            </w:r>
            <w:r>
              <w:rPr>
                <w:rStyle w:val="FootnoteTextChar"/>
                <w:i/>
              </w:rPr>
              <w:t>2</w:t>
            </w:r>
            <w:r w:rsidR="00E928D9">
              <w:rPr>
                <w:rStyle w:val="FootnoteTextChar"/>
                <w:i/>
              </w:rPr>
              <w:t>2</w:t>
            </w:r>
          </w:p>
          <w:p w14:paraId="53CB3A4D" w14:textId="4206E2D1" w:rsidR="00314925" w:rsidRPr="008B6C18" w:rsidRDefault="008F35DB" w:rsidP="00D31640">
            <w:pPr>
              <w:pStyle w:val="Footer"/>
              <w:jc w:val="right"/>
              <w:rPr>
                <w:sz w:val="24"/>
                <w:szCs w:val="24"/>
              </w:rPr>
            </w:pPr>
          </w:p>
        </w:sdtContent>
      </w:sdt>
    </w:sdtContent>
  </w:sdt>
  <w:p w14:paraId="368879DC" w14:textId="77777777" w:rsidR="00314925" w:rsidRDefault="00314925" w:rsidP="00D96C1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91DF5" w14:textId="77777777" w:rsidR="000B3BF6" w:rsidRDefault="000B3BF6" w:rsidP="00D96C1E">
    <w:pPr>
      <w:pStyle w:val="Footer"/>
    </w:pPr>
    <w:r>
      <w:rPr>
        <w:noProof/>
      </w:rPr>
      <mc:AlternateContent>
        <mc:Choice Requires="wps">
          <w:drawing>
            <wp:anchor distT="0" distB="0" distL="114300" distR="114300" simplePos="0" relativeHeight="251663372" behindDoc="0" locked="0" layoutInCell="0" allowOverlap="1" wp14:anchorId="438FE69B" wp14:editId="5470DD9D">
              <wp:simplePos x="0" y="0"/>
              <wp:positionH relativeFrom="page">
                <wp:align>center</wp:align>
              </wp:positionH>
              <wp:positionV relativeFrom="page">
                <wp:align>bottom</wp:align>
              </wp:positionV>
              <wp:extent cx="7772400" cy="463550"/>
              <wp:effectExtent l="0" t="0" r="0" b="12700"/>
              <wp:wrapNone/>
              <wp:docPr id="12" name="MSIPCM918f416099d3947c7bc1d282" descr="{&quot;HashCode&quot;:-1264680268,&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A26112" w14:textId="78548E0A" w:rsidR="000B3BF6" w:rsidRPr="000B3BF6" w:rsidRDefault="000B3BF6" w:rsidP="000B3BF6">
                          <w:pPr>
                            <w:spacing w:before="0" w:after="0"/>
                            <w:jc w:val="center"/>
                            <w:rPr>
                              <w:rFonts w:ascii="Calibri" w:hAnsi="Calibri" w:cs="Calibri"/>
                              <w:color w:val="000000"/>
                              <w:sz w:val="24"/>
                            </w:rPr>
                          </w:pPr>
                          <w:r w:rsidRPr="000B3BF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38FE69B" id="_x0000_t202" coordsize="21600,21600" o:spt="202" path="m,l,21600r21600,l21600,xe">
              <v:stroke joinstyle="miter"/>
              <v:path gradientshapeok="t" o:connecttype="rect"/>
            </v:shapetype>
            <v:shape id="MSIPCM918f416099d3947c7bc1d282" o:spid="_x0000_s1045" type="#_x0000_t202" alt="{&quot;HashCode&quot;:-1264680268,&quot;Height&quot;:9999999.0,&quot;Width&quot;:9999999.0,&quot;Placement&quot;:&quot;Footer&quot;,&quot;Index&quot;:&quot;Primary&quot;,&quot;Section&quot;:4,&quot;Top&quot;:0.0,&quot;Left&quot;:0.0}" style="position:absolute;margin-left:0;margin-top:0;width:612pt;height:36.5pt;z-index:25166337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lZPamK4CAABaBQAADgAAAAAAAAAA&#10;AAAAAAAuAgAAZHJzL2Uyb0RvYy54bWxQSwECLQAUAAYACAAAACEAvh8Kt9oAAAAFAQAADwAAAAAA&#10;AAAAAAAAAAAIBQAAZHJzL2Rvd25yZXYueG1sUEsFBgAAAAAEAAQA8wAAAA8GAAAAAA==&#10;" o:allowincell="f" filled="f" stroked="f" strokeweight=".5pt">
              <v:fill o:detectmouseclick="t"/>
              <v:textbox inset=",0,,0">
                <w:txbxContent>
                  <w:p w14:paraId="76A26112" w14:textId="78548E0A" w:rsidR="000B3BF6" w:rsidRPr="000B3BF6" w:rsidRDefault="000B3BF6" w:rsidP="000B3BF6">
                    <w:pPr>
                      <w:spacing w:before="0" w:after="0"/>
                      <w:jc w:val="center"/>
                      <w:rPr>
                        <w:rFonts w:ascii="Calibri" w:hAnsi="Calibri" w:cs="Calibri"/>
                        <w:color w:val="000000"/>
                        <w:sz w:val="24"/>
                      </w:rPr>
                    </w:pPr>
                    <w:r w:rsidRPr="000B3BF6">
                      <w:rPr>
                        <w:rFonts w:ascii="Calibri" w:hAnsi="Calibri" w:cs="Calibri"/>
                        <w:color w:val="000000"/>
                        <w:sz w:val="24"/>
                      </w:rPr>
                      <w:t>OFFICIAL</w:t>
                    </w:r>
                  </w:p>
                </w:txbxContent>
              </v:textbox>
              <w10:wrap anchorx="page" anchory="page"/>
            </v:shape>
          </w:pict>
        </mc:Fallback>
      </mc:AlternateContent>
    </w:r>
  </w:p>
  <w:sdt>
    <w:sdtPr>
      <w:id w:val="1153487393"/>
      <w:docPartObj>
        <w:docPartGallery w:val="Page Numbers (Bottom of Page)"/>
        <w:docPartUnique/>
      </w:docPartObj>
    </w:sdtPr>
    <w:sdtEndPr/>
    <w:sdtContent>
      <w:sdt>
        <w:sdtPr>
          <w:id w:val="-1314023799"/>
          <w:docPartObj>
            <w:docPartGallery w:val="Page Numbers (Top of Page)"/>
            <w:docPartUnique/>
          </w:docPartObj>
        </w:sdtPr>
        <w:sdtEndPr/>
        <w:sdtContent>
          <w:p w14:paraId="35ADBA94" w14:textId="32F5743D" w:rsidR="00314925" w:rsidRPr="00644924" w:rsidRDefault="00314925" w:rsidP="00D96C1E">
            <w:pPr>
              <w:pStyle w:val="Footer"/>
            </w:pPr>
          </w:p>
          <w:p w14:paraId="64DB9E53" w14:textId="574E0B40" w:rsidR="00314925" w:rsidRPr="00623898" w:rsidRDefault="00314925" w:rsidP="008B6C18">
            <w:pPr>
              <w:pStyle w:val="Footer"/>
              <w:rPr>
                <w:rStyle w:val="FootnoteTextChar"/>
                <w:i/>
              </w:rPr>
            </w:pPr>
            <w:r w:rsidRPr="00623898">
              <w:rPr>
                <w:rStyle w:val="FootnoteTextChar"/>
                <w:i/>
              </w:rPr>
              <w:t xml:space="preserve">Regulatory Impact Statement — Mineral Resources (Sustainable Development) (Mineral Industries) </w:t>
            </w:r>
            <w:r w:rsidR="007745BD">
              <w:rPr>
                <w:rStyle w:val="FootnoteTextChar"/>
                <w:i/>
              </w:rPr>
              <w:t xml:space="preserve">Amendment </w:t>
            </w:r>
            <w:r w:rsidRPr="00623898">
              <w:rPr>
                <w:rStyle w:val="FootnoteTextChar"/>
                <w:i/>
              </w:rPr>
              <w:t>Regulations 20</w:t>
            </w:r>
            <w:r>
              <w:rPr>
                <w:rStyle w:val="FootnoteTextChar"/>
                <w:i/>
              </w:rPr>
              <w:t>2</w:t>
            </w:r>
            <w:r w:rsidR="00B9223D">
              <w:rPr>
                <w:rStyle w:val="FootnoteTextChar"/>
                <w:i/>
              </w:rPr>
              <w:t>2</w:t>
            </w:r>
          </w:p>
          <w:p w14:paraId="5855B8D5" w14:textId="77777777" w:rsidR="00314925" w:rsidRPr="008B6C18" w:rsidRDefault="00314925" w:rsidP="00D31640">
            <w:pPr>
              <w:pStyle w:val="Footer"/>
              <w:jc w:val="right"/>
              <w:rPr>
                <w:sz w:val="24"/>
                <w:szCs w:val="24"/>
              </w:rPr>
            </w:pPr>
            <w:r w:rsidRPr="00921A00">
              <w:rPr>
                <w:rStyle w:val="PageNumber"/>
              </w:rPr>
              <w:fldChar w:fldCharType="begin"/>
            </w:r>
            <w:r w:rsidRPr="00921A00">
              <w:rPr>
                <w:rStyle w:val="PageNumber"/>
              </w:rPr>
              <w:instrText xml:space="preserve"> PAGE </w:instrText>
            </w:r>
            <w:r w:rsidRPr="00921A00">
              <w:rPr>
                <w:rStyle w:val="PageNumber"/>
              </w:rPr>
              <w:fldChar w:fldCharType="separate"/>
            </w:r>
            <w:r>
              <w:rPr>
                <w:rStyle w:val="PageNumber"/>
                <w:noProof/>
              </w:rPr>
              <w:t>2</w:t>
            </w:r>
            <w:r w:rsidRPr="00921A00">
              <w:rPr>
                <w:rStyle w:val="PageNumber"/>
              </w:rPr>
              <w:fldChar w:fldCharType="end"/>
            </w:r>
          </w:p>
        </w:sdtContent>
      </w:sdt>
    </w:sdtContent>
  </w:sdt>
  <w:p w14:paraId="6BA0A5AF" w14:textId="77777777" w:rsidR="00314925" w:rsidRDefault="00314925" w:rsidP="00D96C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AD12D" w14:textId="77777777" w:rsidR="008F35DB" w:rsidRDefault="008F35DB" w:rsidP="00D96C1E">
      <w:r>
        <w:separator/>
      </w:r>
    </w:p>
    <w:p w14:paraId="4BF794EC" w14:textId="77777777" w:rsidR="008F35DB" w:rsidRDefault="008F35DB" w:rsidP="00D96C1E"/>
  </w:footnote>
  <w:footnote w:type="continuationSeparator" w:id="0">
    <w:p w14:paraId="7D136C99" w14:textId="77777777" w:rsidR="008F35DB" w:rsidRDefault="008F35DB" w:rsidP="00D96C1E">
      <w:r>
        <w:continuationSeparator/>
      </w:r>
    </w:p>
    <w:p w14:paraId="6D3A2031" w14:textId="77777777" w:rsidR="008F35DB" w:rsidRDefault="008F35DB" w:rsidP="00D96C1E"/>
  </w:footnote>
  <w:footnote w:type="continuationNotice" w:id="1">
    <w:p w14:paraId="001DAEA3" w14:textId="77777777" w:rsidR="008F35DB" w:rsidRDefault="008F35DB">
      <w:pPr>
        <w:spacing w:before="0" w:after="0"/>
      </w:pPr>
    </w:p>
  </w:footnote>
  <w:footnote w:id="2">
    <w:p w14:paraId="78318FF2" w14:textId="77777777" w:rsidR="00314925" w:rsidRDefault="00314925" w:rsidP="00916BFC">
      <w:pPr>
        <w:pStyle w:val="FootnoteText"/>
        <w:spacing w:before="0" w:after="0"/>
        <w:rPr>
          <w:sz w:val="14"/>
          <w:szCs w:val="14"/>
        </w:rPr>
      </w:pPr>
      <w:r>
        <w:rPr>
          <w:rStyle w:val="FootnoteReference"/>
          <w:rFonts w:eastAsiaTheme="majorEastAsia"/>
          <w:sz w:val="14"/>
          <w:szCs w:val="14"/>
        </w:rPr>
        <w:footnoteRef/>
      </w:r>
      <w:r>
        <w:rPr>
          <w:sz w:val="14"/>
          <w:szCs w:val="14"/>
        </w:rPr>
        <w:t xml:space="preserve"> By the Minister for Resources under s 7C of the Act.</w:t>
      </w:r>
    </w:p>
  </w:footnote>
  <w:footnote w:id="3">
    <w:p w14:paraId="384099AF" w14:textId="392E7D4F" w:rsidR="007B7F91" w:rsidRDefault="007B7F91" w:rsidP="000F2ED7">
      <w:pPr>
        <w:pStyle w:val="FootnoteText"/>
        <w:spacing w:before="0" w:after="0"/>
      </w:pPr>
      <w:r>
        <w:rPr>
          <w:rStyle w:val="FootnoteReference"/>
        </w:rPr>
        <w:footnoteRef/>
      </w:r>
      <w:r>
        <w:t xml:space="preserve"> </w:t>
      </w:r>
      <w:r w:rsidR="00102F80" w:rsidRPr="00102F80">
        <w:t>The Act, s 84AZ</w:t>
      </w:r>
      <w:r w:rsidR="000F2ED7">
        <w:t>ZL</w:t>
      </w:r>
      <w:r w:rsidR="00102F80" w:rsidRPr="00102F80">
        <w:t>(</w:t>
      </w:r>
      <w:r w:rsidR="000F2ED7">
        <w:t>3</w:t>
      </w:r>
      <w:r w:rsidR="00102F80" w:rsidRPr="00102F80">
        <w:t>).</w:t>
      </w:r>
    </w:p>
  </w:footnote>
  <w:footnote w:id="4">
    <w:p w14:paraId="2367810E" w14:textId="77777777" w:rsidR="009D7122" w:rsidRDefault="009D7122" w:rsidP="009D7122">
      <w:pPr>
        <w:pStyle w:val="FootnoteText"/>
        <w:spacing w:before="0" w:after="0"/>
        <w:rPr>
          <w:sz w:val="14"/>
          <w:szCs w:val="14"/>
        </w:rPr>
      </w:pPr>
      <w:r>
        <w:rPr>
          <w:rStyle w:val="FootnoteReference"/>
          <w:sz w:val="14"/>
          <w:szCs w:val="14"/>
        </w:rPr>
        <w:footnoteRef/>
      </w:r>
      <w:r>
        <w:rPr>
          <w:sz w:val="14"/>
          <w:szCs w:val="14"/>
        </w:rPr>
        <w:t xml:space="preserve"> The LVRRS provides a blueprint to progress mine rehabilitation planning and activities that achieve safe, stable and sustainable landforms that support the next land use. The LVRRS builds on the recent reforms to the Act and provides guidance to the mine licensees, government, the community and other key stakeholders on issues that need to be considered in planning for and undertaking rehabilitation of the Latrobe Valley’s three coal mines.</w:t>
      </w:r>
    </w:p>
  </w:footnote>
  <w:footnote w:id="5">
    <w:p w14:paraId="206C3DB6" w14:textId="77777777" w:rsidR="00314925" w:rsidRDefault="00314925" w:rsidP="00916BFC">
      <w:pPr>
        <w:pStyle w:val="FootnoteText"/>
        <w:spacing w:before="0" w:after="0"/>
        <w:rPr>
          <w:sz w:val="14"/>
          <w:szCs w:val="14"/>
        </w:rPr>
      </w:pPr>
      <w:r>
        <w:rPr>
          <w:rStyle w:val="FootnoteReference"/>
          <w:sz w:val="14"/>
          <w:szCs w:val="14"/>
        </w:rPr>
        <w:footnoteRef/>
      </w:r>
      <w:r>
        <w:rPr>
          <w:sz w:val="14"/>
          <w:szCs w:val="14"/>
        </w:rPr>
        <w:t xml:space="preserve"> In 2019, the declaration criteria extended to include hydrological and water quality risks as well as stability (geotechnical) and hydrogeological risks.</w:t>
      </w:r>
    </w:p>
  </w:footnote>
  <w:footnote w:id="6">
    <w:p w14:paraId="2B8E92C0" w14:textId="77777777" w:rsidR="00A22FDB" w:rsidRDefault="00A22FDB" w:rsidP="00A22FDB">
      <w:pPr>
        <w:pStyle w:val="FootnoteText"/>
        <w:spacing w:before="0" w:after="0"/>
        <w:rPr>
          <w:sz w:val="14"/>
          <w:szCs w:val="14"/>
        </w:rPr>
      </w:pPr>
      <w:r>
        <w:rPr>
          <w:rStyle w:val="FootnoteReference"/>
          <w:sz w:val="14"/>
          <w:szCs w:val="14"/>
        </w:rPr>
        <w:footnoteRef/>
      </w:r>
      <w:r>
        <w:rPr>
          <w:sz w:val="14"/>
          <w:szCs w:val="14"/>
        </w:rPr>
        <w:t xml:space="preserve"> The Mineral Resources (Sustainable Development) Amendment Act 2019 introduced a new framework for the regulation of declared mine rehabilitation designed to address the key findings and recommendations from the Hazelwood Mine Fire Enquiry.  </w:t>
      </w:r>
    </w:p>
  </w:footnote>
  <w:footnote w:id="7">
    <w:p w14:paraId="6995BB11" w14:textId="59DD4867" w:rsidR="00314925" w:rsidRDefault="00314925" w:rsidP="00916BFC">
      <w:pPr>
        <w:pStyle w:val="FootnoteText"/>
        <w:spacing w:before="0" w:after="0"/>
        <w:rPr>
          <w:sz w:val="14"/>
          <w:szCs w:val="14"/>
        </w:rPr>
      </w:pPr>
      <w:r>
        <w:rPr>
          <w:rStyle w:val="FootnoteReference"/>
          <w:sz w:val="14"/>
          <w:szCs w:val="14"/>
        </w:rPr>
        <w:footnoteRef/>
      </w:r>
      <w:r w:rsidR="44AE50F4">
        <w:rPr>
          <w:sz w:val="14"/>
          <w:szCs w:val="14"/>
        </w:rPr>
        <w:t xml:space="preserve"> Rehabilitating Mines (2020), Unconventional Gas: Managing Risks and Impacts (2015), Effectiveness of Compliance Activities: Departments of Primary Industries and Sustainability and Environment (2012).</w:t>
      </w:r>
    </w:p>
  </w:footnote>
  <w:footnote w:id="8">
    <w:p w14:paraId="3036789B" w14:textId="76B8E656" w:rsidR="00314925" w:rsidRDefault="001F5911" w:rsidP="005B561A">
      <w:pPr>
        <w:pStyle w:val="FootnoteText"/>
        <w:spacing w:before="0" w:after="0"/>
        <w:rPr>
          <w:rFonts w:cs="Arial"/>
          <w:sz w:val="14"/>
          <w:szCs w:val="14"/>
        </w:rPr>
      </w:pPr>
      <w:r w:rsidRPr="001F5911">
        <w:rPr>
          <w:rStyle w:val="FootnoteReference"/>
          <w:rFonts w:eastAsiaTheme="majorEastAsia"/>
        </w:rPr>
        <w:footnoteRef/>
      </w:r>
      <w:r>
        <w:rPr>
          <w:rFonts w:cs="Arial"/>
          <w:sz w:val="14"/>
          <w:szCs w:val="14"/>
        </w:rPr>
        <w:t xml:space="preserve"> </w:t>
      </w:r>
      <w:r w:rsidR="00A607FD" w:rsidRPr="43147CEE">
        <w:rPr>
          <w:i/>
          <w:iCs/>
        </w:rPr>
        <w:t xml:space="preserve">Mineral Resources (Sustainable Development) Act </w:t>
      </w:r>
      <w:r w:rsidR="00A607FD" w:rsidRPr="00B37801">
        <w:rPr>
          <w:i/>
          <w:iCs/>
        </w:rPr>
        <w:t>1990</w:t>
      </w:r>
      <w:r w:rsidR="00A607FD">
        <w:t xml:space="preserve"> (‘the Act’)</w:t>
      </w:r>
      <w:r w:rsidR="00507266">
        <w:t>,</w:t>
      </w:r>
      <w:r w:rsidR="00F27E78">
        <w:t xml:space="preserve"> Part 1</w:t>
      </w:r>
      <w:r w:rsidR="00507266">
        <w:t>.</w:t>
      </w:r>
      <w:r w:rsidR="00B37801">
        <w:t xml:space="preserve">1. </w:t>
      </w:r>
    </w:p>
  </w:footnote>
  <w:footnote w:id="9">
    <w:p w14:paraId="34BDAEB2" w14:textId="5E60479E" w:rsidR="00314925" w:rsidRDefault="00314925" w:rsidP="00916BFC">
      <w:pPr>
        <w:pStyle w:val="FootnoteText"/>
        <w:spacing w:before="0" w:after="0"/>
        <w:rPr>
          <w:sz w:val="14"/>
          <w:szCs w:val="14"/>
        </w:rPr>
      </w:pPr>
      <w:r w:rsidRPr="44AE50F4">
        <w:rPr>
          <w:rStyle w:val="FootnoteReference"/>
          <w:rFonts w:eastAsiaTheme="majorEastAsia" w:cs="Arial"/>
          <w:sz w:val="14"/>
          <w:szCs w:val="14"/>
        </w:rPr>
        <w:footnoteRef/>
      </w:r>
      <w:r w:rsidR="44AE50F4">
        <w:rPr>
          <w:rFonts w:cs="Arial"/>
          <w:sz w:val="14"/>
          <w:szCs w:val="14"/>
        </w:rPr>
        <w:t xml:space="preserve"> Subordinate Legislation Act, s 10.</w:t>
      </w:r>
    </w:p>
  </w:footnote>
  <w:footnote w:id="10">
    <w:p w14:paraId="64CEA893" w14:textId="1BDE88BE"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The Act, s 9.</w:t>
      </w:r>
    </w:p>
  </w:footnote>
  <w:footnote w:id="11">
    <w:p w14:paraId="6725F0BB"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8. The full range of minerals licences and authorities available under the Act are: Miner’s right, Tourist Fossicking Authority, Prospecting Licence, Exploration Licence, Mining Licence, Retention Licence.</w:t>
      </w:r>
    </w:p>
  </w:footnote>
  <w:footnote w:id="12">
    <w:p w14:paraId="35913443" w14:textId="5C6E260E"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Previous edition, </w:t>
      </w:r>
      <w:r w:rsidRPr="00735E63">
        <w:rPr>
          <w:rFonts w:asciiTheme="majorHAnsi" w:hAnsiTheme="majorHAnsi" w:cstheme="majorHAnsi"/>
          <w:i/>
        </w:rPr>
        <w:t>Victorian Guide to Regulation</w:t>
      </w:r>
      <w:r w:rsidRPr="00735E63">
        <w:rPr>
          <w:rFonts w:asciiTheme="majorHAnsi" w:hAnsiTheme="majorHAnsi" w:cstheme="majorHAnsi"/>
        </w:rPr>
        <w:t xml:space="preserve">, April 2007, page 2-2. The </w:t>
      </w:r>
      <w:r w:rsidRPr="00735E63">
        <w:rPr>
          <w:rFonts w:asciiTheme="majorHAnsi" w:hAnsiTheme="majorHAnsi" w:cstheme="majorHAnsi"/>
          <w:i/>
        </w:rPr>
        <w:t>Victorian Guide to Regulation</w:t>
      </w:r>
      <w:r w:rsidRPr="00735E63">
        <w:rPr>
          <w:rFonts w:asciiTheme="majorHAnsi" w:hAnsiTheme="majorHAnsi" w:cstheme="majorHAnsi"/>
        </w:rPr>
        <w:t xml:space="preserve"> has described externalities as follows: External costs and benefits, commonly referred to as externalities or </w:t>
      </w:r>
      <w:r w:rsidR="005D5ED8" w:rsidRPr="00735E63">
        <w:rPr>
          <w:rFonts w:asciiTheme="majorHAnsi" w:hAnsiTheme="majorHAnsi" w:cstheme="majorHAnsi"/>
        </w:rPr>
        <w:t>spill overs</w:t>
      </w:r>
      <w:r w:rsidRPr="00735E63">
        <w:rPr>
          <w:rFonts w:asciiTheme="majorHAnsi" w:hAnsiTheme="majorHAnsi" w:cstheme="majorHAnsi"/>
        </w:rPr>
        <w:t xml:space="preserve"> – which occur when an activity imposes costs (which are not compensated) or generates benefits (which are not paid for) on parties not directly involved in the activity. Without regulation, the existence of externalities results in too much (where external costs or negative externalities occur) or too little (where external benefits or positive externalities arise) of an activity taking place from society’s point of view. Pollution is the most common example of a negative externality.</w:t>
      </w:r>
    </w:p>
  </w:footnote>
  <w:footnote w:id="13">
    <w:p w14:paraId="4EA865AD" w14:textId="240CE5B9" w:rsidR="00314925" w:rsidRDefault="00314925" w:rsidP="002A497A">
      <w:pPr>
        <w:pStyle w:val="FootnoteText"/>
        <w:spacing w:before="0" w:after="0"/>
      </w:pPr>
      <w:r>
        <w:rPr>
          <w:rStyle w:val="FootnoteReference"/>
        </w:rPr>
        <w:footnoteRef/>
      </w:r>
      <w:r>
        <w:t xml:space="preserve"> The Act requires licensees to undertake the progressive rehabilitation of land (that is, the rehabilitation of mining land through activities taken during the course of mining operations before closure). Licensees must rehabilitate land in accordance with the rehabilitation plan approved by the Department (the Act, s78). The Act sets out factors to be taken into account by rehabilitation plans, including special characteristics of the land, its surrounding environment, and the need to stabilise it (the Act, s79). This obligation applies to all licences under the Act, including those covering declared mine land. The Act provides for a rehabilitation plan to be a component of a work plan in most circumstances (the Act, s 40(3)(e)).</w:t>
      </w:r>
    </w:p>
  </w:footnote>
  <w:footnote w:id="14">
    <w:p w14:paraId="6122806D" w14:textId="77777777" w:rsidR="00314925" w:rsidRDefault="00314925" w:rsidP="002A497A">
      <w:pPr>
        <w:pStyle w:val="FootnoteText"/>
        <w:spacing w:before="0" w:after="0"/>
      </w:pPr>
      <w:r>
        <w:rPr>
          <w:rStyle w:val="FootnoteReference"/>
        </w:rPr>
        <w:footnoteRef/>
      </w:r>
      <w:r>
        <w:t xml:space="preserve"> Work plans detail the precise works a licensee will undertake, and how risks will be eliminated or minimised as far as reasonably practicable. </w:t>
      </w:r>
      <w:r w:rsidRPr="00735E63">
        <w:rPr>
          <w:rFonts w:asciiTheme="majorHAnsi" w:hAnsiTheme="majorHAnsi" w:cstheme="majorHAnsi"/>
        </w:rPr>
        <w:t>Work plans are also aimed at ensuring that there is support for the efficient use of assigned resources. When a work plan is submitted ERR will consider whether the proposed program of work is consistent with the expenditure conditions in the licence. Reporting requirements (especially relating to exploration) are focussed on expenditure and production.</w:t>
      </w:r>
      <w:r>
        <w:rPr>
          <w:rFonts w:asciiTheme="majorHAnsi" w:hAnsiTheme="majorHAnsi" w:cstheme="majorHAnsi"/>
        </w:rPr>
        <w:t xml:space="preserve"> A licensee is not permitted to undertake works without an authorised work plan (the Act, s 40(2)).</w:t>
      </w:r>
    </w:p>
  </w:footnote>
  <w:footnote w:id="15">
    <w:p w14:paraId="05D52817" w14:textId="77777777" w:rsidR="00EC3EA5" w:rsidRDefault="00EC3EA5" w:rsidP="00EC3EA5">
      <w:pPr>
        <w:pStyle w:val="FootnoteText"/>
        <w:spacing w:before="0" w:after="0"/>
      </w:pPr>
      <w:r>
        <w:rPr>
          <w:rStyle w:val="FootnoteReference"/>
        </w:rPr>
        <w:footnoteRef/>
      </w:r>
      <w:r>
        <w:t xml:space="preserve"> </w:t>
      </w:r>
      <w:r w:rsidRPr="00102F80">
        <w:t>The Act, s 84AZ</w:t>
      </w:r>
      <w:r>
        <w:t>ZL</w:t>
      </w:r>
      <w:r w:rsidRPr="00102F80">
        <w:t>(</w:t>
      </w:r>
      <w:r>
        <w:t>3</w:t>
      </w:r>
      <w:r w:rsidRPr="00102F80">
        <w:t>).</w:t>
      </w:r>
    </w:p>
  </w:footnote>
  <w:footnote w:id="16">
    <w:p w14:paraId="5781BDF4" w14:textId="77777777" w:rsidR="007A3C00" w:rsidRDefault="007A3C00" w:rsidP="007A3C00">
      <w:pPr>
        <w:pStyle w:val="FootnoteText"/>
        <w:spacing w:before="0" w:after="0"/>
        <w:rPr>
          <w:sz w:val="14"/>
          <w:szCs w:val="14"/>
        </w:rPr>
      </w:pPr>
      <w:r>
        <w:rPr>
          <w:rStyle w:val="FootnoteReference"/>
          <w:sz w:val="14"/>
          <w:szCs w:val="14"/>
        </w:rPr>
        <w:footnoteRef/>
      </w:r>
      <w:r>
        <w:rPr>
          <w:sz w:val="14"/>
          <w:szCs w:val="14"/>
        </w:rPr>
        <w:t xml:space="preserve"> </w:t>
      </w:r>
      <w:r w:rsidRPr="003C4C73">
        <w:t>The LVRRS provides a blueprint to progress mine rehabilitation planning and activities that achieve safe, stable and sustainable landforms that support the next land use. The LVRRS builds on the recent reforms to the Act and provides guidance to the mine licensees, government, the community and other key stakeholders on issues that need to be considered in planning for and undertaking rehabilitation of the Latrobe Valley’s three coal mines.</w:t>
      </w:r>
    </w:p>
  </w:footnote>
  <w:footnote w:id="17">
    <w:p w14:paraId="481C61CF" w14:textId="3C7899DA"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The Act, s120A.</w:t>
      </w:r>
    </w:p>
  </w:footnote>
  <w:footnote w:id="18">
    <w:p w14:paraId="03E12E06" w14:textId="7A146542"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The Act, Part 8A.</w:t>
      </w:r>
    </w:p>
  </w:footnote>
  <w:footnote w:id="19">
    <w:p w14:paraId="70AF5E44"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There is also a Code of Practice for small quarries, which is relevant to the Extractives Regulations and out of scope of this RIS.</w:t>
      </w:r>
    </w:p>
  </w:footnote>
  <w:footnote w:id="20">
    <w:p w14:paraId="6E37F722" w14:textId="3516EC39"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Victorian Auditor-General’s Office, </w:t>
      </w:r>
      <w:r w:rsidRPr="00735E63">
        <w:rPr>
          <w:rFonts w:asciiTheme="majorHAnsi" w:hAnsiTheme="majorHAnsi" w:cstheme="majorHAnsi"/>
          <w:i/>
          <w:iCs/>
        </w:rPr>
        <w:t>Rehabilitating Mines</w:t>
      </w:r>
      <w:r w:rsidRPr="00735E63">
        <w:rPr>
          <w:rFonts w:asciiTheme="majorHAnsi" w:hAnsiTheme="majorHAnsi" w:cstheme="majorHAnsi"/>
        </w:rPr>
        <w:t xml:space="preserve"> (August 2020) Independent assurance report to Parliament 2020-21: 1 available at &lt; </w:t>
      </w:r>
      <w:hyperlink r:id="rId1" w:history="1">
        <w:r w:rsidR="005C6AE8" w:rsidRPr="007A303A">
          <w:rPr>
            <w:rStyle w:val="Hyperlink"/>
            <w:rFonts w:asciiTheme="majorHAnsi" w:hAnsiTheme="majorHAnsi" w:cstheme="majorHAnsi"/>
          </w:rPr>
          <w:t>https://www.audit.vic.gov.au/report/rehabilitating-mines</w:t>
        </w:r>
      </w:hyperlink>
      <w:r w:rsidRPr="00735E63">
        <w:rPr>
          <w:rFonts w:asciiTheme="majorHAnsi" w:hAnsiTheme="majorHAnsi" w:cstheme="majorHAnsi"/>
        </w:rPr>
        <w:t>&gt;</w:t>
      </w:r>
      <w:r w:rsidR="005C6AE8">
        <w:rPr>
          <w:rFonts w:asciiTheme="majorHAnsi" w:hAnsiTheme="majorHAnsi" w:cstheme="majorHAnsi"/>
        </w:rPr>
        <w:t xml:space="preserve"> </w:t>
      </w:r>
    </w:p>
  </w:footnote>
  <w:footnote w:id="21">
    <w:p w14:paraId="20F1C5E9"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Victorian Auditor-General’s Office, </w:t>
      </w:r>
      <w:r w:rsidRPr="00735E63">
        <w:rPr>
          <w:rFonts w:asciiTheme="majorHAnsi" w:hAnsiTheme="majorHAnsi" w:cstheme="majorHAnsi"/>
          <w:i/>
          <w:iCs/>
        </w:rPr>
        <w:t xml:space="preserve">Rehabilitating Mines </w:t>
      </w:r>
      <w:r w:rsidRPr="00735E63">
        <w:rPr>
          <w:rFonts w:asciiTheme="majorHAnsi" w:hAnsiTheme="majorHAnsi" w:cstheme="majorHAnsi"/>
        </w:rPr>
        <w:t>(5 August 2020), Appendix C (‘VAGO Audit’).</w:t>
      </w:r>
    </w:p>
  </w:footnote>
  <w:footnote w:id="22">
    <w:p w14:paraId="764236D6" w14:textId="4D1DB4C9"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Ibid1. </w:t>
      </w:r>
    </w:p>
  </w:footnote>
  <w:footnote w:id="23">
    <w:p w14:paraId="42ADD60F" w14:textId="09255986"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Ibid 16.</w:t>
      </w:r>
    </w:p>
  </w:footnote>
  <w:footnote w:id="24">
    <w:p w14:paraId="1BC632DB" w14:textId="72B8E7FD" w:rsidR="008D6D3C" w:rsidRPr="00170AFA" w:rsidRDefault="008D6D3C" w:rsidP="008D6D3C">
      <w:pPr>
        <w:pStyle w:val="FootnoteText"/>
        <w:spacing w:before="0" w:after="0"/>
      </w:pPr>
      <w:r>
        <w:rPr>
          <w:rStyle w:val="FootnoteReference"/>
        </w:rPr>
        <w:footnoteRef/>
      </w:r>
      <w:r>
        <w:t xml:space="preserve"> ERR, </w:t>
      </w:r>
      <w:r>
        <w:rPr>
          <w:i/>
          <w:iCs/>
        </w:rPr>
        <w:t>Site rehabilitation and VAGO response</w:t>
      </w:r>
      <w:r>
        <w:t>, available at &lt;</w:t>
      </w:r>
      <w:r w:rsidRPr="00170AFA">
        <w:t xml:space="preserve"> </w:t>
      </w:r>
      <w:hyperlink r:id="rId2" w:history="1">
        <w:r w:rsidRPr="00B77B44">
          <w:rPr>
            <w:rStyle w:val="Hyperlink"/>
          </w:rPr>
          <w:t>https://earthresources.vic.gov.au/community-and-land-use/rehabilitation/site-rehabilitation-vago-response</w:t>
        </w:r>
      </w:hyperlink>
      <w:r>
        <w:t>&gt;</w:t>
      </w:r>
    </w:p>
  </w:footnote>
  <w:footnote w:id="25">
    <w:p w14:paraId="23C9038C" w14:textId="2281E35E" w:rsidR="008D6D3C" w:rsidRDefault="008D6D3C" w:rsidP="006951E6">
      <w:pPr>
        <w:pStyle w:val="FootnoteText"/>
        <w:spacing w:before="0" w:after="0"/>
      </w:pPr>
      <w:r>
        <w:rPr>
          <w:rStyle w:val="FootnoteReference"/>
        </w:rPr>
        <w:footnoteRef/>
      </w:r>
      <w:r w:rsidR="44AE50F4">
        <w:t xml:space="preserve"> ERR. </w:t>
      </w:r>
    </w:p>
  </w:footnote>
  <w:footnote w:id="26">
    <w:p w14:paraId="21F9DFAF" w14:textId="728F8548"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Ibid 17.</w:t>
      </w:r>
    </w:p>
  </w:footnote>
  <w:footnote w:id="27">
    <w:p w14:paraId="7F2D3513" w14:textId="7CBF2FD0" w:rsidR="00314925" w:rsidRPr="00671130" w:rsidRDefault="00314925" w:rsidP="00947C1A">
      <w:pPr>
        <w:pStyle w:val="FootnoteText"/>
        <w:spacing w:before="0" w:after="0"/>
      </w:pPr>
      <w:r>
        <w:rPr>
          <w:rStyle w:val="FootnoteReference"/>
        </w:rPr>
        <w:footnoteRef/>
      </w:r>
      <w:r>
        <w:t xml:space="preserve"> Victorian Government, </w:t>
      </w:r>
      <w:r>
        <w:rPr>
          <w:i/>
          <w:iCs/>
        </w:rPr>
        <w:t>Management of legacy and abandoned mines on Crown Land</w:t>
      </w:r>
      <w:r>
        <w:t xml:space="preserve">, available at </w:t>
      </w:r>
      <w:hyperlink r:id="rId3" w:history="1">
        <w:r w:rsidR="008853A1" w:rsidRPr="00F40179">
          <w:rPr>
            <w:rStyle w:val="Hyperlink"/>
          </w:rPr>
          <w:t>https://earthresources.vic.gov.au/__data/assets/pdf_file/0006/614922/13262-DJPR-RRV-DELWP-Abandoned-and-Legacy-Mines-Joint-Statement_WEB-V1.pdf</w:t>
        </w:r>
      </w:hyperlink>
      <w:r w:rsidR="003C371F">
        <w:t>.</w:t>
      </w:r>
    </w:p>
  </w:footnote>
  <w:footnote w:id="28">
    <w:p w14:paraId="59B34576" w14:textId="107E33E0"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Victoria, </w:t>
      </w:r>
      <w:r w:rsidR="44AE50F4" w:rsidRPr="003562D7">
        <w:rPr>
          <w:rFonts w:asciiTheme="majorHAnsi" w:hAnsiTheme="majorHAnsi" w:cstheme="majorBidi"/>
          <w:i/>
        </w:rPr>
        <w:t>Parliamentary Debates</w:t>
      </w:r>
      <w:r w:rsidR="44AE50F4" w:rsidRPr="44AE50F4">
        <w:rPr>
          <w:rFonts w:asciiTheme="majorHAnsi" w:hAnsiTheme="majorHAnsi" w:cstheme="majorBidi"/>
        </w:rPr>
        <w:t xml:space="preserve">, Legislative Assembly, 5 June 2019, Hansard 1943, (Tim Pallas, Treasurer). </w:t>
      </w:r>
    </w:p>
  </w:footnote>
  <w:footnote w:id="29">
    <w:p w14:paraId="4D7CAD56"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84AZU(1). </w:t>
      </w:r>
    </w:p>
  </w:footnote>
  <w:footnote w:id="30">
    <w:p w14:paraId="4312A48B"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84AZU(3).</w:t>
      </w:r>
    </w:p>
  </w:footnote>
  <w:footnote w:id="31">
    <w:p w14:paraId="3D3F3C57"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84AZU(4).</w:t>
      </w:r>
    </w:p>
  </w:footnote>
  <w:footnote w:id="32">
    <w:p w14:paraId="743B2485" w14:textId="182F9F4E" w:rsidR="00314925" w:rsidRDefault="00314925" w:rsidP="00B03213">
      <w:pPr>
        <w:pStyle w:val="FootnoteText"/>
        <w:spacing w:before="0" w:after="0"/>
      </w:pPr>
      <w:r>
        <w:rPr>
          <w:rStyle w:val="FootnoteReference"/>
        </w:rPr>
        <w:footnoteRef/>
      </w:r>
      <w:r>
        <w:t xml:space="preserve"> </w:t>
      </w:r>
      <w:r w:rsidRPr="002906CE">
        <w:t xml:space="preserve">Rehabilitation bonds provide a mechanism </w:t>
      </w:r>
      <w:r>
        <w:t>to</w:t>
      </w:r>
      <w:r w:rsidRPr="002906CE">
        <w:t xml:space="preserve"> encourage industry investment in mine rehabilitatio</w:t>
      </w:r>
      <w:r>
        <w:t>n, with the</w:t>
      </w:r>
      <w:r w:rsidRPr="002906CE">
        <w:t xml:space="preserve"> </w:t>
      </w:r>
      <w:r>
        <w:t xml:space="preserve">aim to </w:t>
      </w:r>
      <w:r w:rsidRPr="002906CE">
        <w:t>ensur</w:t>
      </w:r>
      <w:r>
        <w:t>e</w:t>
      </w:r>
      <w:r w:rsidRPr="002906CE">
        <w:t xml:space="preserve"> </w:t>
      </w:r>
      <w:r>
        <w:t xml:space="preserve">that </w:t>
      </w:r>
      <w:r w:rsidRPr="002906CE">
        <w:t xml:space="preserve">rehabilitation costs do not fall to the taxpayer and </w:t>
      </w:r>
      <w:r>
        <w:t>government</w:t>
      </w:r>
      <w:r w:rsidRPr="002906CE">
        <w:t>. Licensees are required to provide a rehabilitation bond, which</w:t>
      </w:r>
      <w:r>
        <w:t xml:space="preserve"> Earth Resources Regulation (‘ERR’, a branch of the Department)</w:t>
      </w:r>
      <w:r w:rsidRPr="002906CE">
        <w:t xml:space="preserve"> determines </w:t>
      </w:r>
      <w:r>
        <w:t xml:space="preserve">on behalf of the Minister </w:t>
      </w:r>
      <w:r w:rsidRPr="002906CE">
        <w:t xml:space="preserve">based on estimates of rehabilitation liabilities </w:t>
      </w:r>
      <w:r>
        <w:t>arising from works specified in the licensee’s work plan. The amount of the bond is calculated to address the rehabilitation liability in full, with an assumption that rehabilitation will be undertaken by a party other than the licensee, and the Minister may increase a bond if they are of the opinion that it is ‘insufficient’ (the Act, s 80(4)). The bond calculation factors in the additional expense expected to arise from third-party rehabilitation (stemming from the rehabilitator not holding the experience and knowledge of the mine site that the operator would have had to assist with rehabilitation planning and execution).</w:t>
      </w:r>
    </w:p>
  </w:footnote>
  <w:footnote w:id="33">
    <w:p w14:paraId="3DFAB943" w14:textId="31135AC7"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w:t>
      </w:r>
      <w:r w:rsidR="00CB70C2" w:rsidRPr="00CB70C2">
        <w:rPr>
          <w:rFonts w:asciiTheme="majorHAnsi" w:hAnsiTheme="majorHAnsi" w:cstheme="majorBidi"/>
        </w:rPr>
        <w:t xml:space="preserve">Hazelwood Mine Fire Inquiry Report </w:t>
      </w:r>
      <w:r w:rsidR="00CB70C2">
        <w:rPr>
          <w:rFonts w:asciiTheme="majorHAnsi" w:hAnsiTheme="majorHAnsi" w:cstheme="majorBidi"/>
        </w:rPr>
        <w:t>(‘</w:t>
      </w:r>
      <w:r w:rsidR="44AE50F4" w:rsidRPr="44AE50F4">
        <w:rPr>
          <w:rFonts w:asciiTheme="majorHAnsi" w:hAnsiTheme="majorHAnsi" w:cstheme="majorBidi"/>
        </w:rPr>
        <w:t>HMFI Report</w:t>
      </w:r>
      <w:r w:rsidR="00CB70C2">
        <w:rPr>
          <w:rFonts w:asciiTheme="majorHAnsi" w:hAnsiTheme="majorHAnsi" w:cstheme="majorBidi"/>
        </w:rPr>
        <w:t>’)</w:t>
      </w:r>
      <w:r w:rsidR="44AE50F4" w:rsidRPr="44AE50F4">
        <w:rPr>
          <w:rFonts w:asciiTheme="majorHAnsi" w:hAnsiTheme="majorHAnsi" w:cstheme="majorBidi"/>
        </w:rPr>
        <w:t xml:space="preserve">, </w:t>
      </w:r>
      <w:r w:rsidR="00A2602F">
        <w:rPr>
          <w:rFonts w:asciiTheme="majorHAnsi" w:hAnsiTheme="majorHAnsi" w:cstheme="majorBidi"/>
        </w:rPr>
        <w:t>v</w:t>
      </w:r>
      <w:r w:rsidR="44AE50F4" w:rsidRPr="44AE50F4">
        <w:rPr>
          <w:rFonts w:asciiTheme="majorHAnsi" w:hAnsiTheme="majorHAnsi" w:cstheme="majorBidi"/>
        </w:rPr>
        <w:t xml:space="preserve">ol </w:t>
      </w:r>
      <w:r w:rsidR="00A2602F">
        <w:rPr>
          <w:rFonts w:asciiTheme="majorHAnsi" w:hAnsiTheme="majorHAnsi" w:cstheme="majorBidi"/>
        </w:rPr>
        <w:t>4</w:t>
      </w:r>
      <w:r w:rsidR="44AE50F4" w:rsidRPr="44AE50F4">
        <w:rPr>
          <w:rFonts w:asciiTheme="majorHAnsi" w:hAnsiTheme="majorHAnsi" w:cstheme="majorBidi"/>
        </w:rPr>
        <w:t xml:space="preserve">, 142. </w:t>
      </w:r>
    </w:p>
  </w:footnote>
  <w:footnote w:id="34">
    <w:p w14:paraId="56A20925" w14:textId="43AD5354"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HMFI Report, </w:t>
      </w:r>
      <w:r w:rsidR="00A2602F">
        <w:rPr>
          <w:rFonts w:asciiTheme="majorHAnsi" w:hAnsiTheme="majorHAnsi" w:cstheme="majorBidi"/>
        </w:rPr>
        <w:t>v</w:t>
      </w:r>
      <w:r w:rsidR="44AE50F4" w:rsidRPr="44AE50F4">
        <w:rPr>
          <w:rFonts w:asciiTheme="majorHAnsi" w:hAnsiTheme="majorHAnsi" w:cstheme="majorBidi"/>
        </w:rPr>
        <w:t xml:space="preserve">ol </w:t>
      </w:r>
      <w:r w:rsidR="00A2602F">
        <w:rPr>
          <w:rFonts w:asciiTheme="majorHAnsi" w:hAnsiTheme="majorHAnsi" w:cstheme="majorBidi"/>
        </w:rPr>
        <w:t>4</w:t>
      </w:r>
      <w:r w:rsidR="44AE50F4" w:rsidRPr="44AE50F4">
        <w:rPr>
          <w:rFonts w:asciiTheme="majorHAnsi" w:hAnsiTheme="majorHAnsi" w:cstheme="majorBidi"/>
        </w:rPr>
        <w:t>, 143.</w:t>
      </w:r>
    </w:p>
  </w:footnote>
  <w:footnote w:id="35">
    <w:p w14:paraId="2145A710" w14:textId="42241AE9"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HMFI Report, </w:t>
      </w:r>
      <w:r w:rsidR="00A2602F">
        <w:rPr>
          <w:rFonts w:asciiTheme="majorHAnsi" w:hAnsiTheme="majorHAnsi" w:cstheme="majorHAnsi"/>
        </w:rPr>
        <w:t>vol 4</w:t>
      </w:r>
      <w:r w:rsidRPr="00735E63">
        <w:rPr>
          <w:rFonts w:asciiTheme="majorHAnsi" w:hAnsiTheme="majorHAnsi" w:cstheme="majorHAnsi"/>
        </w:rPr>
        <w:t xml:space="preserve">, 177. </w:t>
      </w:r>
    </w:p>
  </w:footnote>
  <w:footnote w:id="36">
    <w:p w14:paraId="0826C365" w14:textId="31055971" w:rsidR="00314925" w:rsidRPr="00735E63" w:rsidRDefault="00314925" w:rsidP="00FD5DCA">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It is expected that the cost of rehabilitation would be higher if rehabilitation is undertaken by a third party without the mine operators’ infrastructure or personnel. Estimates of the cost of rehabilitation developed by AECOM on the assumption that the rehabilitation would be undertaken by a third party are significantly higher than other estimates. HMFI</w:t>
      </w:r>
      <w:r w:rsidR="00404362">
        <w:rPr>
          <w:rFonts w:asciiTheme="majorHAnsi" w:hAnsiTheme="majorHAnsi" w:cstheme="majorBidi"/>
        </w:rPr>
        <w:t xml:space="preserve"> Report</w:t>
      </w:r>
      <w:r w:rsidR="44AE50F4" w:rsidRPr="44AE50F4">
        <w:rPr>
          <w:rFonts w:asciiTheme="majorHAnsi" w:hAnsiTheme="majorHAnsi" w:cstheme="majorBidi"/>
        </w:rPr>
        <w:t xml:space="preserve">, </w:t>
      </w:r>
      <w:r w:rsidR="00A2602F">
        <w:rPr>
          <w:rFonts w:asciiTheme="majorHAnsi" w:hAnsiTheme="majorHAnsi" w:cstheme="majorBidi"/>
        </w:rPr>
        <w:t>vol 4</w:t>
      </w:r>
      <w:r w:rsidR="44AE50F4" w:rsidRPr="44AE50F4">
        <w:rPr>
          <w:rFonts w:asciiTheme="majorHAnsi" w:hAnsiTheme="majorHAnsi" w:cstheme="majorBidi"/>
        </w:rPr>
        <w:t xml:space="preserve">, 105. </w:t>
      </w:r>
    </w:p>
  </w:footnote>
  <w:footnote w:id="37">
    <w:p w14:paraId="0BBCCAC8" w14:textId="455CEFB5" w:rsidR="00FD5DCA" w:rsidRDefault="00FD5DCA" w:rsidP="00FD5DCA">
      <w:pPr>
        <w:pStyle w:val="FootnoteText"/>
        <w:spacing w:before="0" w:after="0"/>
      </w:pPr>
      <w:r>
        <w:rPr>
          <w:rStyle w:val="FootnoteReference"/>
        </w:rPr>
        <w:footnoteRef/>
      </w:r>
      <w:r>
        <w:t xml:space="preserve"> See Appendix E for definitions of active and passive controls.</w:t>
      </w:r>
    </w:p>
  </w:footnote>
  <w:footnote w:id="38">
    <w:p w14:paraId="419D2684" w14:textId="53B1BD48" w:rsidR="008C29AE" w:rsidRDefault="008C29AE" w:rsidP="00D17D4E">
      <w:pPr>
        <w:pStyle w:val="FootnoteText"/>
        <w:spacing w:before="0" w:after="0"/>
      </w:pPr>
      <w:r>
        <w:rPr>
          <w:rStyle w:val="FootnoteReference"/>
        </w:rPr>
        <w:footnoteRef/>
      </w:r>
      <w:r>
        <w:t xml:space="preserve"> </w:t>
      </w:r>
      <w:r w:rsidR="001967EC">
        <w:t xml:space="preserve">For guidance, a Register of land has the same meaning </w:t>
      </w:r>
      <w:r w:rsidR="001967EC" w:rsidRPr="00F50F34">
        <w:t xml:space="preserve">as </w:t>
      </w:r>
      <w:r w:rsidR="004A1DBC">
        <w:t>‘</w:t>
      </w:r>
      <w:r w:rsidR="001967EC" w:rsidRPr="004A1DBC">
        <w:t>Register</w:t>
      </w:r>
      <w:r w:rsidR="004A1DBC">
        <w:t>’</w:t>
      </w:r>
      <w:r w:rsidR="001967EC" w:rsidRPr="00F50F34">
        <w:rPr>
          <w:b/>
          <w:bCs/>
          <w:i/>
          <w:iCs/>
        </w:rPr>
        <w:t xml:space="preserve"> </w:t>
      </w:r>
      <w:r w:rsidR="001967EC" w:rsidRPr="00F50F34">
        <w:t xml:space="preserve">in the </w:t>
      </w:r>
      <w:r w:rsidR="001967EC" w:rsidRPr="001967EC">
        <w:rPr>
          <w:i/>
          <w:iCs/>
        </w:rPr>
        <w:t>Transfer of Land Act 1958</w:t>
      </w:r>
      <w:r w:rsidR="001967EC">
        <w:t xml:space="preserve"> </w:t>
      </w:r>
      <w:r w:rsidR="002501B1">
        <w:t xml:space="preserve">(Vic) </w:t>
      </w:r>
      <w:r w:rsidR="001967EC">
        <w:t>outlined in</w:t>
      </w:r>
      <w:r w:rsidR="001704F8">
        <w:t xml:space="preserve"> </w:t>
      </w:r>
      <w:r w:rsidR="004A1DBC">
        <w:t xml:space="preserve">s </w:t>
      </w:r>
      <w:r w:rsidR="004A1DBC" w:rsidRPr="001704F8">
        <w:t>84AZS</w:t>
      </w:r>
      <w:r w:rsidR="004A1DBC">
        <w:t xml:space="preserve"> of </w:t>
      </w:r>
      <w:r w:rsidR="001704F8">
        <w:t>The Act</w:t>
      </w:r>
      <w:r w:rsidR="00D17D4E">
        <w:t>.</w:t>
      </w:r>
    </w:p>
  </w:footnote>
  <w:footnote w:id="39">
    <w:p w14:paraId="52229E1B"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84AZZ(1).</w:t>
      </w:r>
    </w:p>
  </w:footnote>
  <w:footnote w:id="40">
    <w:p w14:paraId="1518564A"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82(1)(c).</w:t>
      </w:r>
    </w:p>
  </w:footnote>
  <w:footnote w:id="41">
    <w:p w14:paraId="61B31E9C"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84AZZB(1).</w:t>
      </w:r>
    </w:p>
  </w:footnote>
  <w:footnote w:id="42">
    <w:p w14:paraId="2FAA3CAF"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84AZZB(3).</w:t>
      </w:r>
    </w:p>
  </w:footnote>
  <w:footnote w:id="43">
    <w:p w14:paraId="30E6E2A3"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84AL(1)(kf). </w:t>
      </w:r>
    </w:p>
  </w:footnote>
  <w:footnote w:id="44">
    <w:p w14:paraId="2491519F" w14:textId="77777777" w:rsidR="00314925" w:rsidRPr="00735E63" w:rsidRDefault="00314925" w:rsidP="00E743DD">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84AZZL(3)(a).</w:t>
      </w:r>
    </w:p>
  </w:footnote>
  <w:footnote w:id="45">
    <w:p w14:paraId="75F50265" w14:textId="77777777" w:rsidR="00314925" w:rsidRPr="00735E63" w:rsidRDefault="00314925" w:rsidP="00E743DD">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84AZZD(1).</w:t>
      </w:r>
    </w:p>
  </w:footnote>
  <w:footnote w:id="46">
    <w:p w14:paraId="5369E163" w14:textId="35450C22" w:rsidR="00314925" w:rsidRPr="00735E63" w:rsidRDefault="00314925" w:rsidP="00E743DD">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84AZZD(</w:t>
      </w:r>
      <w:r w:rsidR="00936656">
        <w:rPr>
          <w:rFonts w:asciiTheme="majorHAnsi" w:hAnsiTheme="majorHAnsi" w:cstheme="majorHAnsi"/>
        </w:rPr>
        <w:t>2</w:t>
      </w:r>
      <w:r w:rsidRPr="00735E63">
        <w:rPr>
          <w:rFonts w:asciiTheme="majorHAnsi" w:hAnsiTheme="majorHAnsi" w:cstheme="majorHAnsi"/>
        </w:rPr>
        <w:t>).</w:t>
      </w:r>
    </w:p>
  </w:footnote>
  <w:footnote w:id="47">
    <w:p w14:paraId="05A94B4B" w14:textId="52C98795" w:rsidR="004B079D" w:rsidRDefault="004B079D" w:rsidP="00E743DD">
      <w:pPr>
        <w:pStyle w:val="FootnoteText"/>
        <w:spacing w:before="0" w:after="0"/>
      </w:pPr>
      <w:r>
        <w:rPr>
          <w:rStyle w:val="FootnoteReference"/>
        </w:rPr>
        <w:footnoteRef/>
      </w:r>
      <w:r>
        <w:t xml:space="preserve"> </w:t>
      </w:r>
      <w:r w:rsidR="00144032">
        <w:t>The Act, s 33(2).</w:t>
      </w:r>
    </w:p>
  </w:footnote>
  <w:footnote w:id="48">
    <w:p w14:paraId="5E043D67" w14:textId="2A74E3F2" w:rsidR="00C60C9B" w:rsidRDefault="00C60C9B" w:rsidP="00E743DD">
      <w:pPr>
        <w:pStyle w:val="FootnoteText"/>
        <w:spacing w:before="0" w:after="0"/>
      </w:pPr>
      <w:r>
        <w:rPr>
          <w:rStyle w:val="FootnoteReference"/>
        </w:rPr>
        <w:footnoteRef/>
      </w:r>
      <w:r>
        <w:t xml:space="preserve"> The Act, s 33</w:t>
      </w:r>
      <w:r w:rsidR="006D09A8">
        <w:t>(3B).</w:t>
      </w:r>
    </w:p>
  </w:footnote>
  <w:footnote w:id="49">
    <w:p w14:paraId="74013F75" w14:textId="11A5AD1A" w:rsidR="00AB111D" w:rsidRDefault="00AB111D" w:rsidP="00E743DD">
      <w:pPr>
        <w:pStyle w:val="FootnoteText"/>
        <w:spacing w:before="0" w:after="0"/>
      </w:pPr>
      <w:r>
        <w:rPr>
          <w:rStyle w:val="FootnoteReference"/>
        </w:rPr>
        <w:footnoteRef/>
      </w:r>
      <w:r>
        <w:t xml:space="preserve"> The Act, s 33(3C).</w:t>
      </w:r>
    </w:p>
  </w:footnote>
  <w:footnote w:id="50">
    <w:p w14:paraId="1FF8872E" w14:textId="77777777" w:rsidR="00314925" w:rsidRPr="00735E63" w:rsidRDefault="00314925" w:rsidP="00E743DD">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83A. </w:t>
      </w:r>
    </w:p>
  </w:footnote>
  <w:footnote w:id="51">
    <w:p w14:paraId="1C66BEFD"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84AZZM.</w:t>
      </w:r>
    </w:p>
  </w:footnote>
  <w:footnote w:id="52">
    <w:p w14:paraId="2CB9AA22"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84AZZH.</w:t>
      </w:r>
    </w:p>
  </w:footnote>
  <w:footnote w:id="53">
    <w:p w14:paraId="69C092FF"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84AZZI.</w:t>
      </w:r>
    </w:p>
  </w:footnote>
  <w:footnote w:id="54">
    <w:p w14:paraId="1BD426C4"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84.</w:t>
      </w:r>
    </w:p>
  </w:footnote>
  <w:footnote w:id="55">
    <w:p w14:paraId="34DFF6C9" w14:textId="1C9A33A5" w:rsidR="00314925" w:rsidRPr="00735E63" w:rsidRDefault="00314925">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w:t>
      </w:r>
      <w:r w:rsidR="14BEA0B7" w:rsidRPr="000C3CE9">
        <w:rPr>
          <w:i/>
          <w:iCs/>
        </w:rPr>
        <w:t xml:space="preserve">Mineral </w:t>
      </w:r>
      <w:r w:rsidR="14BEA0B7" w:rsidRPr="009E348A">
        <w:rPr>
          <w:i/>
          <w:iCs/>
        </w:rPr>
        <w:t>Resources (Sustainable Development) (Mineral Industries) Regulations 2019</w:t>
      </w:r>
      <w:r w:rsidR="44AE50F4" w:rsidRPr="44AE50F4">
        <w:rPr>
          <w:rFonts w:asciiTheme="majorHAnsi" w:hAnsiTheme="majorHAnsi" w:cstheme="majorBidi"/>
        </w:rPr>
        <w:t xml:space="preserve">, r 48(1) </w:t>
      </w:r>
      <w:r w:rsidR="44AE50F4" w:rsidRPr="000C3CE9">
        <w:rPr>
          <w:rFonts w:asciiTheme="majorHAnsi" w:hAnsiTheme="majorHAnsi" w:cstheme="majorBidi"/>
        </w:rPr>
        <w:t>(</w:t>
      </w:r>
      <w:r w:rsidR="000C3CE9" w:rsidRPr="000C3CE9">
        <w:rPr>
          <w:rFonts w:asciiTheme="majorHAnsi" w:hAnsiTheme="majorHAnsi" w:cstheme="majorBidi"/>
        </w:rPr>
        <w:t>‘</w:t>
      </w:r>
      <w:r w:rsidR="44AE50F4" w:rsidRPr="000C3CE9">
        <w:rPr>
          <w:rFonts w:asciiTheme="majorHAnsi" w:hAnsiTheme="majorHAnsi" w:cstheme="majorBidi"/>
        </w:rPr>
        <w:t>2019 Regulations</w:t>
      </w:r>
      <w:r w:rsidR="000C3CE9" w:rsidRPr="000C3CE9">
        <w:rPr>
          <w:rFonts w:asciiTheme="majorHAnsi" w:hAnsiTheme="majorHAnsi" w:cstheme="majorBidi"/>
        </w:rPr>
        <w:t>’</w:t>
      </w:r>
      <w:r w:rsidR="44AE50F4" w:rsidRPr="000C3CE9">
        <w:rPr>
          <w:rFonts w:asciiTheme="majorHAnsi" w:hAnsiTheme="majorHAnsi" w:cstheme="majorBidi"/>
        </w:rPr>
        <w:t>).</w:t>
      </w:r>
    </w:p>
  </w:footnote>
  <w:footnote w:id="56">
    <w:p w14:paraId="0F0B3EBC" w14:textId="759BB127"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w:t>
      </w:r>
      <w:r w:rsidR="44AE50F4" w:rsidRPr="007E3982">
        <w:rPr>
          <w:rFonts w:asciiTheme="majorHAnsi" w:hAnsiTheme="majorHAnsi" w:cstheme="majorBidi"/>
        </w:rPr>
        <w:t>2019 Regulations, r</w:t>
      </w:r>
      <w:r w:rsidR="44AE50F4" w:rsidRPr="44AE50F4">
        <w:rPr>
          <w:rFonts w:asciiTheme="majorHAnsi" w:hAnsiTheme="majorHAnsi" w:cstheme="majorBidi"/>
        </w:rPr>
        <w:t xml:space="preserve"> 43(4).</w:t>
      </w:r>
    </w:p>
  </w:footnote>
  <w:footnote w:id="57">
    <w:p w14:paraId="3D72713D" w14:textId="2972CBDE"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w:t>
      </w:r>
      <w:r w:rsidR="44AE50F4" w:rsidRPr="006A2320">
        <w:rPr>
          <w:rFonts w:asciiTheme="majorHAnsi" w:hAnsiTheme="majorHAnsi" w:cstheme="majorBidi"/>
        </w:rPr>
        <w:t>2019 Regulations,</w:t>
      </w:r>
      <w:r w:rsidR="44AE50F4" w:rsidRPr="44AE50F4">
        <w:rPr>
          <w:rFonts w:asciiTheme="majorHAnsi" w:hAnsiTheme="majorHAnsi" w:cstheme="majorBidi"/>
        </w:rPr>
        <w:t xml:space="preserve"> r 43(2).</w:t>
      </w:r>
    </w:p>
  </w:footnote>
  <w:footnote w:id="58">
    <w:p w14:paraId="6A6EFAD0" w14:textId="5AC5714A"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w:t>
      </w:r>
      <w:r w:rsidR="44AE50F4" w:rsidRPr="006A2320">
        <w:rPr>
          <w:rFonts w:asciiTheme="majorHAnsi" w:hAnsiTheme="majorHAnsi" w:cstheme="majorBidi"/>
        </w:rPr>
        <w:t>2019 Regulations, r</w:t>
      </w:r>
      <w:r w:rsidR="44AE50F4" w:rsidRPr="44AE50F4">
        <w:rPr>
          <w:rFonts w:asciiTheme="majorHAnsi" w:hAnsiTheme="majorHAnsi" w:cstheme="majorBidi"/>
        </w:rPr>
        <w:t xml:space="preserve"> 48(1).</w:t>
      </w:r>
    </w:p>
  </w:footnote>
  <w:footnote w:id="59">
    <w:p w14:paraId="3E98EC9B"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sch 9, cl 3(2). </w:t>
      </w:r>
    </w:p>
  </w:footnote>
  <w:footnote w:id="60">
    <w:p w14:paraId="0BB9D77E"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sch 9, cl 3(4).</w:t>
      </w:r>
    </w:p>
  </w:footnote>
  <w:footnote w:id="61">
    <w:p w14:paraId="3D59E8CD" w14:textId="50299D5D" w:rsidR="00314925" w:rsidRDefault="00314925" w:rsidP="00707D02">
      <w:pPr>
        <w:pStyle w:val="FootnoteText"/>
        <w:spacing w:before="0" w:after="0"/>
      </w:pPr>
      <w:r>
        <w:rPr>
          <w:rStyle w:val="FootnoteReference"/>
        </w:rPr>
        <w:footnoteRef/>
      </w:r>
      <w:r>
        <w:t xml:space="preserve"> By the Minister for Resources under s7C of the Act.</w:t>
      </w:r>
    </w:p>
  </w:footnote>
  <w:footnote w:id="62">
    <w:p w14:paraId="02E94754"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w:t>
      </w:r>
      <w:bookmarkStart w:id="66" w:name="_Hlk102743572"/>
      <w:r w:rsidRPr="00735E63">
        <w:rPr>
          <w:rFonts w:asciiTheme="majorHAnsi" w:hAnsiTheme="majorHAnsi" w:cstheme="majorHAnsi"/>
        </w:rPr>
        <w:t>Hazelwood Mine Fire Inquiry Report</w:t>
      </w:r>
      <w:bookmarkEnd w:id="66"/>
      <w:r w:rsidRPr="00735E63">
        <w:rPr>
          <w:rFonts w:asciiTheme="majorHAnsi" w:hAnsiTheme="majorHAnsi" w:cstheme="majorHAnsi"/>
        </w:rPr>
        <w:t>, Vol. 4, 32 (‘HMFI Report’).</w:t>
      </w:r>
    </w:p>
  </w:footnote>
  <w:footnote w:id="63">
    <w:p w14:paraId="13FC8DE0" w14:textId="667287D0" w:rsidR="00FB2491" w:rsidRDefault="00FB2491" w:rsidP="00806FD4">
      <w:pPr>
        <w:pStyle w:val="FootnoteText"/>
        <w:spacing w:before="0" w:after="0"/>
      </w:pPr>
      <w:r>
        <w:rPr>
          <w:rStyle w:val="FootnoteReference"/>
        </w:rPr>
        <w:footnoteRef/>
      </w:r>
      <w:r>
        <w:t xml:space="preserve"> </w:t>
      </w:r>
      <w:r w:rsidR="00806FD4">
        <w:t xml:space="preserve">Australian </w:t>
      </w:r>
      <w:r w:rsidR="00806FD4" w:rsidRPr="00806FD4">
        <w:t xml:space="preserve">Financial Review, </w:t>
      </w:r>
      <w:r w:rsidR="00806FD4" w:rsidRPr="00806FD4">
        <w:rPr>
          <w:i/>
          <w:iCs/>
        </w:rPr>
        <w:t>Alinta concedes coal plant may shut 15 years early,</w:t>
      </w:r>
      <w:r w:rsidR="00806FD4" w:rsidRPr="00806FD4">
        <w:t xml:space="preserve"> October 13, 2021, &lt;https://www.afr.com/policy/energy-and-climate/alinta-concedes-coal-plant-may-shut-15-years-early-20211012-p58z8x&gt;</w:t>
      </w:r>
    </w:p>
  </w:footnote>
  <w:footnote w:id="64">
    <w:p w14:paraId="1BC9F311" w14:textId="77AC1A7C"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Victorian Mining Warden, Parliament of Victoria, </w:t>
      </w:r>
      <w:r w:rsidR="44AE50F4" w:rsidRPr="44AE50F4">
        <w:rPr>
          <w:rFonts w:asciiTheme="majorHAnsi" w:hAnsiTheme="majorHAnsi" w:cstheme="majorBidi"/>
          <w:i/>
          <w:iCs/>
        </w:rPr>
        <w:t>Yallourn Mine Batter Failure Inquiry</w:t>
      </w:r>
      <w:r w:rsidR="44AE50F4" w:rsidRPr="44AE50F4">
        <w:rPr>
          <w:rFonts w:asciiTheme="majorHAnsi" w:hAnsiTheme="majorHAnsi" w:cstheme="majorBidi"/>
        </w:rPr>
        <w:t xml:space="preserve"> (2008),vi. </w:t>
      </w:r>
    </w:p>
  </w:footnote>
  <w:footnote w:id="65">
    <w:p w14:paraId="2D7E99FD" w14:textId="2FE98AAD"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Victorian Government, </w:t>
      </w:r>
      <w:r w:rsidR="44AE50F4" w:rsidRPr="44AE50F4">
        <w:rPr>
          <w:rFonts w:asciiTheme="majorHAnsi" w:hAnsiTheme="majorHAnsi" w:cstheme="majorBidi"/>
          <w:i/>
          <w:iCs/>
        </w:rPr>
        <w:t>Latrobe Valley Regional Rehabilitation Strategy: Regional Geotechnical Study Synopsis Report</w:t>
      </w:r>
      <w:r w:rsidR="44AE50F4" w:rsidRPr="44AE50F4">
        <w:rPr>
          <w:rFonts w:asciiTheme="majorHAnsi" w:hAnsiTheme="majorHAnsi" w:cstheme="majorBidi"/>
        </w:rPr>
        <w:t xml:space="preserve"> (2019), p 5. </w:t>
      </w:r>
    </w:p>
  </w:footnote>
  <w:footnote w:id="66">
    <w:p w14:paraId="6CE63BF9"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w:t>
      </w:r>
      <w:r w:rsidRPr="00735E63">
        <w:rPr>
          <w:rFonts w:asciiTheme="majorHAnsi" w:hAnsiTheme="majorHAnsi" w:cstheme="majorHAnsi"/>
          <w:i/>
        </w:rPr>
        <w:t>Hazelwood Power Partnership v Latrobe City Council</w:t>
      </w:r>
      <w:r w:rsidRPr="00735E63">
        <w:rPr>
          <w:rFonts w:asciiTheme="majorHAnsi" w:hAnsiTheme="majorHAnsi" w:cstheme="majorHAnsi"/>
        </w:rPr>
        <w:t xml:space="preserve"> [2016] VSCA 129.</w:t>
      </w:r>
    </w:p>
  </w:footnote>
  <w:footnote w:id="67">
    <w:p w14:paraId="5797C115" w14:textId="07270006"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Victorian Mining Warden, Parliament of Victoria,</w:t>
      </w:r>
      <w:r w:rsidR="003006CE">
        <w:rPr>
          <w:rFonts w:asciiTheme="majorHAnsi" w:hAnsiTheme="majorHAnsi" w:cstheme="majorBidi"/>
        </w:rPr>
        <w:t xml:space="preserve"> </w:t>
      </w:r>
      <w:r w:rsidR="44AE50F4" w:rsidRPr="44AE50F4">
        <w:rPr>
          <w:rFonts w:asciiTheme="majorHAnsi" w:hAnsiTheme="majorHAnsi" w:cstheme="majorBidi"/>
          <w:i/>
          <w:iCs/>
        </w:rPr>
        <w:t>Yallourn Mine Batter Failure Inquiry</w:t>
      </w:r>
      <w:r w:rsidR="44AE50F4" w:rsidRPr="44AE50F4">
        <w:rPr>
          <w:rFonts w:asciiTheme="majorHAnsi" w:hAnsiTheme="majorHAnsi" w:cstheme="majorBidi"/>
        </w:rPr>
        <w:t xml:space="preserve"> (2008), i. </w:t>
      </w:r>
    </w:p>
  </w:footnote>
  <w:footnote w:id="68">
    <w:p w14:paraId="73D725C2"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Ibid. </w:t>
      </w:r>
    </w:p>
  </w:footnote>
  <w:footnote w:id="69">
    <w:p w14:paraId="1FD0693B" w14:textId="34EF4427"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See Victorian Government, </w:t>
      </w:r>
      <w:r w:rsidR="44AE50F4" w:rsidRPr="44AE50F4">
        <w:rPr>
          <w:rFonts w:asciiTheme="majorHAnsi" w:hAnsiTheme="majorHAnsi" w:cstheme="majorBidi"/>
          <w:i/>
          <w:iCs/>
        </w:rPr>
        <w:t>Latrobe Valley Regional Rehabilitation Strategy: Regional Geotechnical Study Synopsis Report</w:t>
      </w:r>
      <w:r w:rsidR="44AE50F4" w:rsidRPr="44AE50F4">
        <w:rPr>
          <w:rFonts w:asciiTheme="majorHAnsi" w:hAnsiTheme="majorHAnsi" w:cstheme="majorBidi"/>
        </w:rPr>
        <w:t xml:space="preserve"> (2019</w:t>
      </w:r>
      <w:r w:rsidR="006C6D7E" w:rsidRPr="44AE50F4">
        <w:rPr>
          <w:rFonts w:asciiTheme="majorHAnsi" w:hAnsiTheme="majorHAnsi" w:cstheme="majorBidi"/>
        </w:rPr>
        <w:t>),</w:t>
      </w:r>
      <w:r w:rsidR="44AE50F4" w:rsidRPr="44AE50F4">
        <w:rPr>
          <w:rFonts w:asciiTheme="majorHAnsi" w:hAnsiTheme="majorHAnsi" w:cstheme="majorBidi"/>
        </w:rPr>
        <w:t xml:space="preserve"> 8. </w:t>
      </w:r>
    </w:p>
  </w:footnote>
  <w:footnote w:id="70">
    <w:p w14:paraId="1961C9B0"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Ibid. </w:t>
      </w:r>
    </w:p>
  </w:footnote>
  <w:footnote w:id="71">
    <w:p w14:paraId="578322D4"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HMFI Report, Vol 4, 31. </w:t>
      </w:r>
    </w:p>
  </w:footnote>
  <w:footnote w:id="72">
    <w:p w14:paraId="5CDBFA34"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Victorian Government, </w:t>
      </w:r>
      <w:r w:rsidRPr="00735E63">
        <w:rPr>
          <w:rFonts w:asciiTheme="majorHAnsi" w:hAnsiTheme="majorHAnsi" w:cstheme="majorHAnsi"/>
          <w:i/>
        </w:rPr>
        <w:t>Latrobe Valley Regional Rehabilitation Strategy: Regional Geotechnical Study Synopsis Report</w:t>
      </w:r>
      <w:r w:rsidRPr="00735E63">
        <w:rPr>
          <w:rFonts w:asciiTheme="majorHAnsi" w:hAnsiTheme="majorHAnsi" w:cstheme="majorHAnsi"/>
        </w:rPr>
        <w:t xml:space="preserve"> (2019), 9. </w:t>
      </w:r>
    </w:p>
  </w:footnote>
  <w:footnote w:id="73">
    <w:p w14:paraId="7E1A78E6"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Ibid, 10. </w:t>
      </w:r>
    </w:p>
  </w:footnote>
  <w:footnote w:id="74">
    <w:p w14:paraId="589D11DB"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Ibid. </w:t>
      </w:r>
    </w:p>
  </w:footnote>
  <w:footnote w:id="75">
    <w:p w14:paraId="1CC2D39B"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HMFI Report, vol 2, 59. </w:t>
      </w:r>
    </w:p>
  </w:footnote>
  <w:footnote w:id="76">
    <w:p w14:paraId="793C9B00"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HMFI Report, vol 2, 60. </w:t>
      </w:r>
    </w:p>
  </w:footnote>
  <w:footnote w:id="77">
    <w:p w14:paraId="251349F6"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Ibid. </w:t>
      </w:r>
    </w:p>
  </w:footnote>
  <w:footnote w:id="78">
    <w:p w14:paraId="700918B0" w14:textId="5D4407DC"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w:t>
      </w:r>
      <w:r w:rsidR="44AE50F4" w:rsidRPr="009E348A">
        <w:rPr>
          <w:rFonts w:asciiTheme="majorHAnsi" w:hAnsiTheme="majorHAnsi" w:cstheme="majorBidi"/>
          <w:i/>
          <w:iCs/>
        </w:rPr>
        <w:t>Stretton Royal Commission</w:t>
      </w:r>
      <w:r w:rsidR="44AE50F4" w:rsidRPr="44AE50F4">
        <w:rPr>
          <w:rFonts w:asciiTheme="majorHAnsi" w:hAnsiTheme="majorHAnsi" w:cstheme="majorBidi"/>
        </w:rPr>
        <w:t xml:space="preserve">, Royal Commission on Yallourn Bush Fires, </w:t>
      </w:r>
      <w:r w:rsidR="44AE50F4" w:rsidRPr="44AE50F4">
        <w:rPr>
          <w:rFonts w:asciiTheme="majorHAnsi" w:hAnsiTheme="majorHAnsi" w:cstheme="majorBidi"/>
          <w:i/>
          <w:iCs/>
        </w:rPr>
        <w:t xml:space="preserve">Report </w:t>
      </w:r>
      <w:r w:rsidR="44AE50F4" w:rsidRPr="44AE50F4">
        <w:rPr>
          <w:rFonts w:asciiTheme="majorHAnsi" w:hAnsiTheme="majorHAnsi" w:cstheme="majorBidi"/>
        </w:rPr>
        <w:t>(1944) 5.</w:t>
      </w:r>
    </w:p>
  </w:footnote>
  <w:footnote w:id="79">
    <w:p w14:paraId="28050C3A"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‘A timeline of Hazelwood power station’ (30 March 2017) SBS News available at &lt;</w:t>
      </w:r>
      <w:hyperlink r:id="rId4" w:history="1">
        <w:r w:rsidRPr="00735E63">
          <w:rPr>
            <w:rStyle w:val="Hyperlink"/>
            <w:rFonts w:asciiTheme="majorHAnsi" w:hAnsiTheme="majorHAnsi" w:cstheme="majorHAnsi"/>
          </w:rPr>
          <w:t>https://www.sbs.com.au/news/a-timeline-of-hazelwood-power-station</w:t>
        </w:r>
      </w:hyperlink>
      <w:r w:rsidRPr="00735E63">
        <w:rPr>
          <w:rFonts w:asciiTheme="majorHAnsi" w:hAnsiTheme="majorHAnsi" w:cstheme="majorHAnsi"/>
        </w:rPr>
        <w:t>&gt;.</w:t>
      </w:r>
    </w:p>
  </w:footnote>
  <w:footnote w:id="80">
    <w:p w14:paraId="64B2E350" w14:textId="7A9DB731"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Gerry Carman, ‘Firefights battle Morwell coal mine inferno’ (5 November 1977), </w:t>
      </w:r>
      <w:r w:rsidR="44AE50F4" w:rsidRPr="44AE50F4">
        <w:rPr>
          <w:rFonts w:asciiTheme="majorHAnsi" w:hAnsiTheme="majorHAnsi" w:cstheme="majorBidi"/>
          <w:i/>
          <w:iCs/>
        </w:rPr>
        <w:t>The Age</w:t>
      </w:r>
      <w:r w:rsidR="44AE50F4" w:rsidRPr="44AE50F4">
        <w:rPr>
          <w:rFonts w:asciiTheme="majorHAnsi" w:hAnsiTheme="majorHAnsi" w:cstheme="majorBidi"/>
        </w:rPr>
        <w:t xml:space="preserve"> available at &lt;</w:t>
      </w:r>
      <w:hyperlink r:id="rId5" w:history="1">
        <w:r w:rsidR="44AE50F4" w:rsidRPr="44AE50F4">
          <w:rPr>
            <w:rStyle w:val="Hyperlink"/>
            <w:rFonts w:asciiTheme="majorHAnsi" w:hAnsiTheme="majorHAnsi" w:cstheme="majorBidi"/>
          </w:rPr>
          <w:t>https://www.theage.com.au/national/victoria/from-the-archives-1977-400-battle-giant-morwell-coal-mine-fire-20191031-p5367g.html</w:t>
        </w:r>
      </w:hyperlink>
      <w:r w:rsidR="44AE50F4" w:rsidRPr="44AE50F4">
        <w:rPr>
          <w:rFonts w:asciiTheme="majorHAnsi" w:hAnsiTheme="majorHAnsi" w:cstheme="majorBidi"/>
        </w:rPr>
        <w:t>&gt;.</w:t>
      </w:r>
    </w:p>
  </w:footnote>
  <w:footnote w:id="81">
    <w:p w14:paraId="3DC75086" w14:textId="584ED110"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HMFI Report, Executive summary, p 13. </w:t>
      </w:r>
    </w:p>
  </w:footnote>
  <w:footnote w:id="82">
    <w:p w14:paraId="22690411"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Ibid, 14. </w:t>
      </w:r>
    </w:p>
  </w:footnote>
  <w:footnote w:id="83">
    <w:p w14:paraId="31CDBC6B"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Ibid, 23.</w:t>
      </w:r>
    </w:p>
  </w:footnote>
  <w:footnote w:id="84">
    <w:p w14:paraId="3CC23036"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Ibid, 24. </w:t>
      </w:r>
    </w:p>
  </w:footnote>
  <w:footnote w:id="85">
    <w:p w14:paraId="00C04B35" w14:textId="3033DE08"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HMFI Report, Executive summary, p 24. </w:t>
      </w:r>
    </w:p>
  </w:footnote>
  <w:footnote w:id="86">
    <w:p w14:paraId="6C11DD95" w14:textId="278EF192"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Ibid, pp 24-5.</w:t>
      </w:r>
    </w:p>
  </w:footnote>
  <w:footnote w:id="87">
    <w:p w14:paraId="1FC7F57D" w14:textId="7AC6F36D"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Victorian Mining Warden, </w:t>
      </w:r>
      <w:r w:rsidRPr="00735E63">
        <w:rPr>
          <w:rFonts w:asciiTheme="majorHAnsi" w:hAnsiTheme="majorHAnsi" w:cstheme="majorHAnsi"/>
          <w:i/>
        </w:rPr>
        <w:t>Yallourn Mine Batter Failure Inquiry</w:t>
      </w:r>
      <w:r w:rsidRPr="00735E63">
        <w:rPr>
          <w:rFonts w:asciiTheme="majorHAnsi" w:hAnsiTheme="majorHAnsi" w:cstheme="majorHAnsi"/>
        </w:rPr>
        <w:t xml:space="preserve"> (2008), i. </w:t>
      </w:r>
    </w:p>
  </w:footnote>
  <w:footnote w:id="88">
    <w:p w14:paraId="316E05BB" w14:textId="67E92B6E"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Victorian Mining Warden, </w:t>
      </w:r>
      <w:r w:rsidRPr="00735E63">
        <w:rPr>
          <w:rFonts w:asciiTheme="majorHAnsi" w:hAnsiTheme="majorHAnsi" w:cstheme="majorHAnsi"/>
          <w:i/>
        </w:rPr>
        <w:t>Yallourn Mine Batter Failure Inquiry</w:t>
      </w:r>
      <w:r w:rsidRPr="00735E63">
        <w:rPr>
          <w:rFonts w:asciiTheme="majorHAnsi" w:hAnsiTheme="majorHAnsi" w:cstheme="majorHAnsi"/>
        </w:rPr>
        <w:t xml:space="preserve"> (2008), vii.</w:t>
      </w:r>
    </w:p>
  </w:footnote>
  <w:footnote w:id="89">
    <w:p w14:paraId="3DC18696" w14:textId="2E8F4F59" w:rsidR="003010B0" w:rsidRDefault="003010B0" w:rsidP="008C0570">
      <w:pPr>
        <w:pStyle w:val="FootnoteText"/>
        <w:spacing w:before="0" w:after="0"/>
      </w:pPr>
      <w:r>
        <w:rPr>
          <w:rStyle w:val="FootnoteReference"/>
        </w:rPr>
        <w:footnoteRef/>
      </w:r>
      <w:r w:rsidR="44AE50F4">
        <w:t xml:space="preserve"> </w:t>
      </w:r>
      <w:r w:rsidR="44AE50F4" w:rsidRPr="008C0570">
        <w:rPr>
          <w:i/>
          <w:iCs/>
        </w:rPr>
        <w:t>Hazelwood Power Partnership v Latrobe City Council</w:t>
      </w:r>
      <w:r w:rsidR="44AE50F4">
        <w:t xml:space="preserve"> [2015] VSC 638</w:t>
      </w:r>
      <w:r w:rsidR="00C3543E">
        <w:t>.</w:t>
      </w:r>
    </w:p>
  </w:footnote>
  <w:footnote w:id="90">
    <w:p w14:paraId="445502B5" w14:textId="4AFF955F" w:rsidR="003010B0" w:rsidRDefault="003010B0" w:rsidP="008C0570">
      <w:pPr>
        <w:pStyle w:val="FootnoteText"/>
        <w:spacing w:before="0" w:after="0"/>
      </w:pPr>
      <w:r>
        <w:rPr>
          <w:rStyle w:val="FootnoteReference"/>
        </w:rPr>
        <w:footnoteRef/>
      </w:r>
      <w:r>
        <w:t xml:space="preserve"> </w:t>
      </w:r>
      <w:r w:rsidRPr="00145C55">
        <w:t xml:space="preserve">Seddon, K, </w:t>
      </w:r>
      <w:r w:rsidRPr="004C25BB">
        <w:rPr>
          <w:i/>
          <w:iCs/>
        </w:rPr>
        <w:t>Review of Failure of Morwell River Diversion Yallourn</w:t>
      </w:r>
      <w:r w:rsidRPr="00145C55">
        <w:t xml:space="preserve">, ATC Williams Report Ref.112179.01R01 to Department of Primary Industries, </w:t>
      </w:r>
      <w:r w:rsidR="00125FEA">
        <w:t>(</w:t>
      </w:r>
      <w:r w:rsidR="00201C35" w:rsidRPr="00145C55">
        <w:t>2013</w:t>
      </w:r>
      <w:r w:rsidR="001649CD">
        <w:t>)</w:t>
      </w:r>
      <w:r w:rsidR="00C3543E">
        <w:t>.</w:t>
      </w:r>
    </w:p>
  </w:footnote>
  <w:footnote w:id="91">
    <w:p w14:paraId="0C55A7E8" w14:textId="69EFA4D8" w:rsidR="003010B0" w:rsidRDefault="003010B0" w:rsidP="008C0570">
      <w:pPr>
        <w:pStyle w:val="FootnoteText"/>
        <w:spacing w:before="0" w:after="0"/>
      </w:pPr>
      <w:r>
        <w:rPr>
          <w:rStyle w:val="FootnoteReference"/>
        </w:rPr>
        <w:footnoteRef/>
      </w:r>
      <w:r>
        <w:t xml:space="preserve"> EnergyAustralia</w:t>
      </w:r>
      <w:r w:rsidR="00C123E4">
        <w:t>,</w:t>
      </w:r>
      <w:r w:rsidRPr="00C123E4">
        <w:rPr>
          <w:i/>
          <w:iCs/>
        </w:rPr>
        <w:t xml:space="preserve"> ‘EnergyAustralia statement on the Yallourn mine’</w:t>
      </w:r>
      <w:r w:rsidR="00726411">
        <w:t xml:space="preserve"> </w:t>
      </w:r>
      <w:r w:rsidR="00AB00EB">
        <w:t>(</w:t>
      </w:r>
      <w:r>
        <w:t>30 July 2021</w:t>
      </w:r>
      <w:r w:rsidR="00AB00EB">
        <w:t>)</w:t>
      </w:r>
      <w:r>
        <w:t>, &lt;</w:t>
      </w:r>
      <w:r w:rsidR="00DB286F">
        <w:t xml:space="preserve"> </w:t>
      </w:r>
      <w:r w:rsidRPr="00D81722">
        <w:t>https://www.energyaustralia.com.au/about-us/media/news/energyaustralia-statement-yallourn-mine-30-july-2021</w:t>
      </w:r>
      <w:r>
        <w:t>&gt;</w:t>
      </w:r>
    </w:p>
  </w:footnote>
  <w:footnote w:id="92">
    <w:p w14:paraId="4D173411" w14:textId="5E92B99A" w:rsidR="003010B0" w:rsidRDefault="003010B0" w:rsidP="008C0570">
      <w:pPr>
        <w:pStyle w:val="FootnoteText"/>
        <w:spacing w:before="0" w:after="0"/>
      </w:pPr>
      <w:r>
        <w:rPr>
          <w:rStyle w:val="FootnoteReference"/>
        </w:rPr>
        <w:footnoteRef/>
      </w:r>
      <w:r>
        <w:t xml:space="preserve"> Premier of Victoria, ‘</w:t>
      </w:r>
      <w:r w:rsidRPr="005A088E">
        <w:rPr>
          <w:i/>
          <w:iCs/>
        </w:rPr>
        <w:t>Repairing The Yallourn Mine To Ensure Our Energy Security’</w:t>
      </w:r>
      <w:r>
        <w:t xml:space="preserve"> </w:t>
      </w:r>
      <w:r w:rsidR="005E1DF5">
        <w:t>(</w:t>
      </w:r>
      <w:r>
        <w:t>30 July 2021</w:t>
      </w:r>
      <w:r w:rsidR="005E1DF5">
        <w:t>)</w:t>
      </w:r>
      <w:r w:rsidR="00726411">
        <w:t>,</w:t>
      </w:r>
      <w:r>
        <w:t xml:space="preserve"> &lt;</w:t>
      </w:r>
      <w:r w:rsidRPr="009D7EE0">
        <w:t xml:space="preserve"> https://www.premier.vic.gov.au/repairing-yallourn-mine-ensure-our-energy-security</w:t>
      </w:r>
      <w:r>
        <w:t>&gt;</w:t>
      </w:r>
    </w:p>
  </w:footnote>
  <w:footnote w:id="93">
    <w:p w14:paraId="0FD1CCB9" w14:textId="5E433176"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HMFI Report, Vol 4, p 82 and p106.</w:t>
      </w:r>
    </w:p>
  </w:footnote>
  <w:footnote w:id="94">
    <w:p w14:paraId="11801C84" w14:textId="093DB28B"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Latrobe Valley Regional Rehabilitation Strategy, p 32. </w:t>
      </w:r>
    </w:p>
  </w:footnote>
  <w:footnote w:id="95">
    <w:p w14:paraId="4137BAFE" w14:textId="40C909FC"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HMFI Report, Vol 4, p 129. </w:t>
      </w:r>
    </w:p>
  </w:footnote>
  <w:footnote w:id="96">
    <w:p w14:paraId="22FACC9D" w14:textId="5A1650CD"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H</w:t>
      </w:r>
      <w:r w:rsidR="00380BBB">
        <w:rPr>
          <w:rFonts w:asciiTheme="majorHAnsi" w:hAnsiTheme="majorHAnsi" w:cstheme="majorBidi"/>
        </w:rPr>
        <w:t>MF</w:t>
      </w:r>
      <w:r w:rsidR="44AE50F4" w:rsidRPr="44AE50F4">
        <w:rPr>
          <w:rFonts w:asciiTheme="majorHAnsi" w:hAnsiTheme="majorHAnsi" w:cstheme="majorBidi"/>
        </w:rPr>
        <w:t>I Report, Vol 4, p 142.</w:t>
      </w:r>
    </w:p>
  </w:footnote>
  <w:footnote w:id="97">
    <w:p w14:paraId="3BEEEBE2" w14:textId="39E68337"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HMFI Report, Vol 4, p 177.</w:t>
      </w:r>
    </w:p>
  </w:footnote>
  <w:footnote w:id="98">
    <w:p w14:paraId="13FC0F93" w14:textId="169F3C3B"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HMFI Report, Vol 4, p 180.</w:t>
      </w:r>
    </w:p>
  </w:footnote>
  <w:footnote w:id="99">
    <w:p w14:paraId="4645B671" w14:textId="29F7441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Ibid.</w:t>
      </w:r>
    </w:p>
  </w:footnote>
  <w:footnote w:id="100">
    <w:p w14:paraId="29A57A02" w14:textId="3D0460F8"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HMFI Report, Vol 4, p 181.</w:t>
      </w:r>
    </w:p>
  </w:footnote>
  <w:footnote w:id="101">
    <w:p w14:paraId="679FB728" w14:textId="6AFD8E35"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Victorian Government, </w:t>
      </w:r>
      <w:r w:rsidR="44AE50F4" w:rsidRPr="44AE50F4">
        <w:rPr>
          <w:rFonts w:asciiTheme="majorHAnsi" w:hAnsiTheme="majorHAnsi" w:cstheme="majorBidi"/>
          <w:i/>
          <w:iCs/>
        </w:rPr>
        <w:t>Latrobe Valley Regional Rehabilitation Strategy</w:t>
      </w:r>
      <w:r w:rsidR="44AE50F4" w:rsidRPr="44AE50F4">
        <w:rPr>
          <w:rFonts w:asciiTheme="majorHAnsi" w:hAnsiTheme="majorHAnsi" w:cstheme="majorBidi"/>
        </w:rPr>
        <w:t xml:space="preserve"> (June 2020), p 5. See The Act, s 84AZM.</w:t>
      </w:r>
    </w:p>
  </w:footnote>
  <w:footnote w:id="102">
    <w:p w14:paraId="75426008" w14:textId="4678940E"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Victorian Government, </w:t>
      </w:r>
      <w:r w:rsidR="44AE50F4" w:rsidRPr="44AE50F4">
        <w:rPr>
          <w:rFonts w:asciiTheme="majorHAnsi" w:hAnsiTheme="majorHAnsi" w:cstheme="majorBidi"/>
          <w:i/>
          <w:iCs/>
        </w:rPr>
        <w:t>Latrobe Valley Regional Rehabilitation Strategy</w:t>
      </w:r>
      <w:r w:rsidR="44AE50F4" w:rsidRPr="44AE50F4">
        <w:rPr>
          <w:rFonts w:asciiTheme="majorHAnsi" w:hAnsiTheme="majorHAnsi" w:cstheme="majorBidi"/>
        </w:rPr>
        <w:t xml:space="preserve"> (June 2020), p 5.</w:t>
      </w:r>
    </w:p>
  </w:footnote>
  <w:footnote w:id="103">
    <w:p w14:paraId="2E0F7E5D" w14:textId="79094CEC" w:rsidR="00314925" w:rsidRPr="00735E63" w:rsidRDefault="00314925" w:rsidP="00583059">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Victorian Government, </w:t>
      </w:r>
      <w:r w:rsidR="44AE50F4" w:rsidRPr="44AE50F4">
        <w:rPr>
          <w:rFonts w:asciiTheme="majorHAnsi" w:hAnsiTheme="majorHAnsi" w:cstheme="majorBidi"/>
          <w:i/>
          <w:iCs/>
        </w:rPr>
        <w:t>Latrobe Valley Regional Rehabilitation Strategy: Program Summary</w:t>
      </w:r>
      <w:r w:rsidR="44AE50F4" w:rsidRPr="44AE50F4">
        <w:rPr>
          <w:rFonts w:asciiTheme="majorHAnsi" w:hAnsiTheme="majorHAnsi" w:cstheme="majorBidi"/>
        </w:rPr>
        <w:t xml:space="preserve"> (February 2018), p 3. </w:t>
      </w:r>
    </w:p>
  </w:footnote>
  <w:footnote w:id="104">
    <w:p w14:paraId="43A665BC" w14:textId="7D73FC14" w:rsidR="00D573F8" w:rsidRDefault="00D573F8" w:rsidP="00583059">
      <w:pPr>
        <w:pStyle w:val="FootnoteText"/>
        <w:spacing w:before="0" w:after="0"/>
      </w:pPr>
      <w:r>
        <w:rPr>
          <w:rStyle w:val="FootnoteReference"/>
        </w:rPr>
        <w:footnoteRef/>
      </w:r>
      <w:r>
        <w:t xml:space="preserve"> See Appendix E for definitions of</w:t>
      </w:r>
      <w:r w:rsidR="00583059">
        <w:t xml:space="preserve"> active </w:t>
      </w:r>
      <w:r w:rsidR="00F70977">
        <w:t>and</w:t>
      </w:r>
      <w:r w:rsidR="00583059">
        <w:t xml:space="preserve"> passive controls</w:t>
      </w:r>
      <w:r w:rsidR="00F70977">
        <w:t>.</w:t>
      </w:r>
    </w:p>
  </w:footnote>
  <w:footnote w:id="105">
    <w:p w14:paraId="236F8F54" w14:textId="42F41EF3" w:rsidR="00314925" w:rsidRPr="00735E63" w:rsidRDefault="00314925" w:rsidP="00583059">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Victorian Government, </w:t>
      </w:r>
      <w:r w:rsidR="44AE50F4" w:rsidRPr="44AE50F4">
        <w:rPr>
          <w:rFonts w:asciiTheme="majorHAnsi" w:hAnsiTheme="majorHAnsi" w:cstheme="majorBidi"/>
          <w:i/>
          <w:iCs/>
        </w:rPr>
        <w:t>Latrobe Valley Regional Rehabilitation Strategy</w:t>
      </w:r>
      <w:r w:rsidR="44AE50F4" w:rsidRPr="44AE50F4">
        <w:rPr>
          <w:rFonts w:asciiTheme="majorHAnsi" w:hAnsiTheme="majorHAnsi" w:cstheme="majorBidi"/>
        </w:rPr>
        <w:t xml:space="preserve"> (June 2020), p 10.</w:t>
      </w:r>
    </w:p>
  </w:footnote>
  <w:footnote w:id="106">
    <w:p w14:paraId="09DA3F51" w14:textId="7B52570E"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Victorian Government, </w:t>
      </w:r>
      <w:r w:rsidR="44AE50F4" w:rsidRPr="44AE50F4">
        <w:rPr>
          <w:rFonts w:asciiTheme="majorHAnsi" w:hAnsiTheme="majorHAnsi" w:cstheme="majorBidi"/>
          <w:i/>
          <w:iCs/>
        </w:rPr>
        <w:t>Latrobe Valley Regional Rehabilitation Strategy</w:t>
      </w:r>
      <w:r w:rsidR="44AE50F4" w:rsidRPr="44AE50F4">
        <w:rPr>
          <w:rFonts w:asciiTheme="majorHAnsi" w:hAnsiTheme="majorHAnsi" w:cstheme="majorBidi"/>
        </w:rPr>
        <w:t xml:space="preserve"> (June 2020), 11-12.</w:t>
      </w:r>
    </w:p>
  </w:footnote>
  <w:footnote w:id="107">
    <w:p w14:paraId="484493BF" w14:textId="2526B100" w:rsidR="00EB2B41" w:rsidRPr="003C2F56" w:rsidRDefault="00EB2B41" w:rsidP="00EB2B41">
      <w:pPr>
        <w:pStyle w:val="FootnoteText"/>
        <w:spacing w:before="0" w:after="0"/>
        <w:rPr>
          <w:rFonts w:asciiTheme="majorHAnsi" w:hAnsiTheme="majorHAnsi" w:cstheme="majorHAnsi"/>
        </w:rPr>
      </w:pPr>
      <w:r w:rsidRPr="003C2F56">
        <w:rPr>
          <w:rStyle w:val="FootnoteReference"/>
          <w:rFonts w:asciiTheme="majorHAnsi" w:hAnsiTheme="majorHAnsi" w:cstheme="majorHAnsi"/>
        </w:rPr>
        <w:footnoteRef/>
      </w:r>
      <w:r w:rsidRPr="003C2F56">
        <w:rPr>
          <w:rFonts w:asciiTheme="majorHAnsi" w:hAnsiTheme="majorHAnsi" w:cstheme="majorHAnsi"/>
        </w:rPr>
        <w:t xml:space="preserve"> Latrobe Valley Regional Rehabilitation Strategy – Regional Water Study Synopsis Report</w:t>
      </w:r>
      <w:r w:rsidR="0098244E" w:rsidRPr="003C2F56">
        <w:rPr>
          <w:rFonts w:asciiTheme="majorHAnsi" w:hAnsiTheme="majorHAnsi" w:cstheme="majorHAnsi"/>
        </w:rPr>
        <w:t xml:space="preserve"> (October 2019)</w:t>
      </w:r>
      <w:r w:rsidR="00C85422">
        <w:rPr>
          <w:rFonts w:asciiTheme="majorHAnsi" w:hAnsiTheme="majorHAnsi" w:cstheme="majorHAnsi"/>
        </w:rPr>
        <w:t>, 3</w:t>
      </w:r>
    </w:p>
  </w:footnote>
  <w:footnote w:id="108">
    <w:p w14:paraId="2C0FD7CA" w14:textId="4D1A4EE8" w:rsidR="005F794F" w:rsidRPr="00735E63" w:rsidRDefault="005F794F" w:rsidP="005F794F">
      <w:pPr>
        <w:pStyle w:val="FootnoteText"/>
        <w:spacing w:before="0" w:after="0"/>
        <w:rPr>
          <w:rFonts w:asciiTheme="majorHAnsi" w:hAnsiTheme="majorHAnsi" w:cstheme="majorBidi"/>
        </w:rPr>
      </w:pPr>
      <w:r w:rsidRPr="003C2F56">
        <w:rPr>
          <w:rStyle w:val="FootnoteReference"/>
          <w:rFonts w:asciiTheme="majorHAnsi" w:hAnsiTheme="majorHAnsi" w:cstheme="majorBidi"/>
        </w:rPr>
        <w:footnoteRef/>
      </w:r>
      <w:r w:rsidRPr="003C2F56">
        <w:rPr>
          <w:rFonts w:asciiTheme="majorHAnsi" w:hAnsiTheme="majorHAnsi" w:cstheme="majorBidi"/>
        </w:rPr>
        <w:t xml:space="preserve"> </w:t>
      </w:r>
      <w:r w:rsidR="001E3EBD">
        <w:rPr>
          <w:rFonts w:asciiTheme="majorHAnsi" w:hAnsiTheme="majorHAnsi" w:cstheme="majorBidi"/>
        </w:rPr>
        <w:t>HMFI</w:t>
      </w:r>
      <w:r w:rsidR="00FF259E">
        <w:rPr>
          <w:rFonts w:asciiTheme="majorHAnsi" w:hAnsiTheme="majorHAnsi" w:cstheme="majorBidi"/>
        </w:rPr>
        <w:t xml:space="preserve"> </w:t>
      </w:r>
      <w:r w:rsidR="008B1BF4">
        <w:rPr>
          <w:rFonts w:asciiTheme="majorHAnsi" w:hAnsiTheme="majorHAnsi" w:cstheme="majorBidi"/>
        </w:rPr>
        <w:t xml:space="preserve">vol 4, </w:t>
      </w:r>
      <w:r w:rsidR="00FF259E">
        <w:rPr>
          <w:rFonts w:asciiTheme="majorHAnsi" w:hAnsiTheme="majorHAnsi" w:cstheme="majorBidi"/>
        </w:rPr>
        <w:t>34</w:t>
      </w:r>
      <w:r w:rsidRPr="003C2F56">
        <w:rPr>
          <w:rFonts w:asciiTheme="majorHAnsi" w:hAnsiTheme="majorHAnsi" w:cstheme="majorBidi"/>
        </w:rPr>
        <w:t>.</w:t>
      </w:r>
    </w:p>
  </w:footnote>
  <w:footnote w:id="109">
    <w:p w14:paraId="6C0DD93C" w14:textId="5C09D819" w:rsidR="00085379" w:rsidRPr="00735E63" w:rsidRDefault="00085379" w:rsidP="00085379">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Pr="44AE50F4">
        <w:rPr>
          <w:rFonts w:asciiTheme="majorHAnsi" w:hAnsiTheme="majorHAnsi" w:cstheme="majorBidi"/>
        </w:rPr>
        <w:t xml:space="preserve"> </w:t>
      </w:r>
      <w:r>
        <w:rPr>
          <w:rFonts w:asciiTheme="majorHAnsi" w:hAnsiTheme="majorHAnsi" w:cstheme="majorBidi"/>
        </w:rPr>
        <w:t xml:space="preserve">LVRRS, </w:t>
      </w:r>
      <w:r w:rsidRPr="44AE50F4">
        <w:rPr>
          <w:rFonts w:asciiTheme="majorHAnsi" w:hAnsiTheme="majorHAnsi" w:cstheme="majorBidi"/>
        </w:rPr>
        <w:t>11.</w:t>
      </w:r>
    </w:p>
  </w:footnote>
  <w:footnote w:id="110">
    <w:p w14:paraId="0A10167B" w14:textId="5084B90A" w:rsidR="003E54F6" w:rsidRDefault="003E54F6" w:rsidP="00CF59CC">
      <w:pPr>
        <w:pStyle w:val="FootnoteText"/>
        <w:spacing w:before="0" w:after="0"/>
      </w:pPr>
      <w:r>
        <w:rPr>
          <w:rStyle w:val="FootnoteReference"/>
        </w:rPr>
        <w:footnoteRef/>
      </w:r>
      <w:r>
        <w:t xml:space="preserve"> </w:t>
      </w:r>
      <w:r w:rsidR="00485A4D" w:rsidRPr="00485A4D">
        <w:t>The State of Victoria Department of Environment, Land, Water and Planning</w:t>
      </w:r>
      <w:r w:rsidR="00485A4D">
        <w:t xml:space="preserve">, </w:t>
      </w:r>
      <w:r w:rsidR="00170124" w:rsidRPr="00CF59CC">
        <w:rPr>
          <w:i/>
          <w:iCs/>
        </w:rPr>
        <w:t>Central and Gippsland Region Sustainable Water Strategy</w:t>
      </w:r>
      <w:r w:rsidR="00A677AC" w:rsidRPr="00CF59CC">
        <w:rPr>
          <w:i/>
          <w:iCs/>
        </w:rPr>
        <w:t>: Discussion Draft</w:t>
      </w:r>
      <w:r w:rsidR="001B2EF7">
        <w:t xml:space="preserve"> </w:t>
      </w:r>
      <w:r w:rsidR="00541034">
        <w:t xml:space="preserve">(CGRSWS) </w:t>
      </w:r>
      <w:r w:rsidR="001B2EF7">
        <w:t>(</w:t>
      </w:r>
      <w:r w:rsidR="00CF59CC">
        <w:t>November 2021</w:t>
      </w:r>
      <w:r w:rsidR="001B2EF7">
        <w:t xml:space="preserve">), </w:t>
      </w:r>
      <w:r w:rsidR="005C2BAF">
        <w:t>15.</w:t>
      </w:r>
    </w:p>
  </w:footnote>
  <w:footnote w:id="111">
    <w:p w14:paraId="6A41CCBF" w14:textId="4B50248A" w:rsidR="00BD0D64" w:rsidRDefault="00BD0D64" w:rsidP="000C60B2">
      <w:pPr>
        <w:pStyle w:val="FootnoteText"/>
        <w:spacing w:before="0" w:after="0"/>
      </w:pPr>
      <w:r>
        <w:rPr>
          <w:rStyle w:val="FootnoteReference"/>
        </w:rPr>
        <w:footnoteRef/>
      </w:r>
      <w:r>
        <w:t xml:space="preserve"> </w:t>
      </w:r>
      <w:r w:rsidR="00CB373A">
        <w:t xml:space="preserve">Bureau of Meteorology &amp; Commonwealth Scientific and Industrial Research Organisation, </w:t>
      </w:r>
      <w:r w:rsidR="00CB373A" w:rsidRPr="000C60B2">
        <w:rPr>
          <w:i/>
          <w:iCs/>
        </w:rPr>
        <w:t>State of the Climate 2020</w:t>
      </w:r>
      <w:r w:rsidR="00CB373A">
        <w:t xml:space="preserve"> (Canberra, Australian Government: 2020), 2.</w:t>
      </w:r>
    </w:p>
  </w:footnote>
  <w:footnote w:id="112">
    <w:p w14:paraId="6EB2C9B7" w14:textId="77777777" w:rsidR="00AE5C77" w:rsidRDefault="00AE5C77" w:rsidP="00AE5C77">
      <w:pPr>
        <w:pStyle w:val="FootnoteText"/>
        <w:spacing w:before="0" w:after="0"/>
      </w:pPr>
      <w:r>
        <w:rPr>
          <w:rStyle w:val="FootnoteReference"/>
        </w:rPr>
        <w:footnoteRef/>
      </w:r>
      <w:r>
        <w:t xml:space="preserve"> </w:t>
      </w:r>
      <w:r w:rsidRPr="002E4CF2">
        <w:t xml:space="preserve">Rauniyar, S. P., and Power, S. B. (2020). The Impact of Anthropogenic Forcing and Natural Processes on Past, Present, and Future Rainfall over Victoria, Australia. </w:t>
      </w:r>
      <w:r w:rsidRPr="000C60B2">
        <w:rPr>
          <w:i/>
          <w:iCs/>
        </w:rPr>
        <w:t>Journal of Climate</w:t>
      </w:r>
      <w:r w:rsidRPr="002E4CF2">
        <w:t xml:space="preserve"> 33, 18, 8087-8106, &lt; https://doi.org/10.1175/JCLI-D-19-0759.1&gt;.</w:t>
      </w:r>
    </w:p>
  </w:footnote>
  <w:footnote w:id="113">
    <w:p w14:paraId="6F6BE395" w14:textId="3248C1AC" w:rsidR="00AD6A56" w:rsidRDefault="00AD6A56" w:rsidP="00AD6A56">
      <w:pPr>
        <w:pStyle w:val="FootnoteText"/>
        <w:spacing w:before="0" w:after="0"/>
      </w:pPr>
      <w:r>
        <w:rPr>
          <w:rStyle w:val="FootnoteReference"/>
        </w:rPr>
        <w:footnoteRef/>
      </w:r>
      <w:r>
        <w:t xml:space="preserve"> </w:t>
      </w:r>
      <w:r w:rsidRPr="00AD6A56">
        <w:t xml:space="preserve">CGRSWS, </w:t>
      </w:r>
      <w:r>
        <w:t>47</w:t>
      </w:r>
      <w:r w:rsidRPr="00AD6A56">
        <w:t>.</w:t>
      </w:r>
    </w:p>
  </w:footnote>
  <w:footnote w:id="114">
    <w:p w14:paraId="767E2725" w14:textId="77777777" w:rsidR="00955121" w:rsidRDefault="00955121" w:rsidP="00955121">
      <w:pPr>
        <w:pStyle w:val="FootnoteText"/>
        <w:spacing w:before="0" w:after="0"/>
      </w:pPr>
      <w:r>
        <w:rPr>
          <w:rStyle w:val="FootnoteReference"/>
        </w:rPr>
        <w:footnoteRef/>
      </w:r>
      <w:r>
        <w:t xml:space="preserve"> Essential Services Commission, </w:t>
      </w:r>
      <w:r w:rsidRPr="001807F0">
        <w:rPr>
          <w:i/>
          <w:iCs/>
        </w:rPr>
        <w:t>Water Pricing Framework and Approach: Implementing PREMO from 2018</w:t>
      </w:r>
      <w:r>
        <w:t xml:space="preserve"> (October 2016).</w:t>
      </w:r>
    </w:p>
  </w:footnote>
  <w:footnote w:id="115">
    <w:p w14:paraId="714E7C89" w14:textId="4DC1E77C"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Victorian Government Department of Environment, Land, Water and Planning, ‘Emissions reduction targets’ (30 August 2019) &lt; </w:t>
      </w:r>
      <w:r w:rsidR="003D5E90" w:rsidRPr="00B070E7">
        <w:t>https://www.climatechange.vic.gov.au/reducing-emissions/emissions-targets</w:t>
      </w:r>
      <w:r w:rsidRPr="00735E63">
        <w:rPr>
          <w:rFonts w:asciiTheme="majorHAnsi" w:hAnsiTheme="majorHAnsi" w:cstheme="majorHAnsi"/>
        </w:rPr>
        <w:t xml:space="preserve">&gt;. </w:t>
      </w:r>
    </w:p>
  </w:footnote>
  <w:footnote w:id="116">
    <w:p w14:paraId="512939B6" w14:textId="7A1EBF52" w:rsidR="00314925" w:rsidRPr="00735E63" w:rsidRDefault="00314925">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Victorian Government Department of Environment, Land, Water and Planning, ‘Victoria’s renewable energy targets’ (9 April 2020) &lt; https://www.energy.vic.gov.au/renewable-energy/victorias-renewable-energy-targets&gt;.</w:t>
      </w:r>
    </w:p>
  </w:footnote>
  <w:footnote w:id="117">
    <w:p w14:paraId="2BEF4005" w14:textId="69E79AAA" w:rsidR="00BD34CD" w:rsidRDefault="00BD34CD" w:rsidP="00626A34">
      <w:pPr>
        <w:pStyle w:val="FootnoteText"/>
        <w:spacing w:before="0" w:after="0"/>
      </w:pPr>
      <w:r>
        <w:rPr>
          <w:rStyle w:val="FootnoteReference"/>
        </w:rPr>
        <w:footnoteRef/>
      </w:r>
      <w:r>
        <w:t xml:space="preserve"> </w:t>
      </w:r>
      <w:r w:rsidR="00B73B7A">
        <w:t xml:space="preserve">Geoscience </w:t>
      </w:r>
      <w:r w:rsidR="00726625" w:rsidRPr="00726625">
        <w:t xml:space="preserve">Australia, </w:t>
      </w:r>
      <w:r w:rsidR="00726625" w:rsidRPr="00726625">
        <w:rPr>
          <w:i/>
          <w:iCs/>
        </w:rPr>
        <w:t>Australia's Energy Commodity Resources</w:t>
      </w:r>
      <w:r w:rsidR="00726625" w:rsidRPr="00726625">
        <w:t xml:space="preserve"> (2021) &lt;https://www.ga.gov.au/digital-publication/aecr2021/coal&gt;</w:t>
      </w:r>
    </w:p>
  </w:footnote>
  <w:footnote w:id="118">
    <w:p w14:paraId="23FBFEFB" w14:textId="41A5D2C3" w:rsidR="008A46B0" w:rsidRDefault="008A46B0" w:rsidP="00626A34">
      <w:pPr>
        <w:pStyle w:val="FootnoteText"/>
        <w:spacing w:before="0" w:after="0"/>
      </w:pPr>
      <w:r>
        <w:rPr>
          <w:rStyle w:val="FootnoteReference"/>
        </w:rPr>
        <w:footnoteRef/>
      </w:r>
      <w:r>
        <w:t xml:space="preserve"> </w:t>
      </w:r>
      <w:r w:rsidR="00777609">
        <w:t xml:space="preserve">Senior, </w:t>
      </w:r>
      <w:r w:rsidR="00777609" w:rsidRPr="00777609">
        <w:t xml:space="preserve">A., Britt, A.F., Summerfield, D., Hughes, A., Hitchman, A., Cross, A., Champion, D., Huston, D., Bastrakov, E.N., Sexton, M., Moloney, J., Pheeney, J., Teh, M., Schofield, A. 2021. </w:t>
      </w:r>
      <w:r w:rsidR="00777609" w:rsidRPr="00777609">
        <w:rPr>
          <w:i/>
          <w:iCs/>
        </w:rPr>
        <w:t>Australia's Identified Mineral Resources 2020</w:t>
      </w:r>
      <w:r w:rsidR="00777609" w:rsidRPr="00777609">
        <w:t>. Geoscience Australia, Canberra. http://dx.doi.org/10.11636/1327-1466.2020</w:t>
      </w:r>
    </w:p>
  </w:footnote>
  <w:footnote w:id="119">
    <w:p w14:paraId="0040C210" w14:textId="1625F031" w:rsidR="00440307" w:rsidRDefault="00440307" w:rsidP="00626A34">
      <w:pPr>
        <w:pStyle w:val="FootnoteText"/>
        <w:spacing w:before="0" w:after="0"/>
      </w:pPr>
      <w:r>
        <w:rPr>
          <w:rStyle w:val="FootnoteReference"/>
        </w:rPr>
        <w:footnoteRef/>
      </w:r>
      <w:r>
        <w:t xml:space="preserve"> </w:t>
      </w:r>
      <w:r w:rsidR="007C2D33">
        <w:t xml:space="preserve">International </w:t>
      </w:r>
      <w:r w:rsidR="007C2D33" w:rsidRPr="007C2D33">
        <w:t xml:space="preserve">Energy Association, </w:t>
      </w:r>
      <w:r w:rsidR="007C2D33" w:rsidRPr="007C2D33">
        <w:rPr>
          <w:i/>
          <w:iCs/>
        </w:rPr>
        <w:t>World Energy Outlook 2021</w:t>
      </w:r>
      <w:r w:rsidR="007C2D33" w:rsidRPr="007C2D33">
        <w:t xml:space="preserve"> (Flagship report, December 2021), ‘Executive Summary, Key themes of WEO-2021’ &lt;https://www.iea.org/reports/world-energy-outlook-2021&gt;</w:t>
      </w:r>
    </w:p>
  </w:footnote>
  <w:footnote w:id="120">
    <w:p w14:paraId="0BD3FEFA" w14:textId="7B45C371" w:rsidR="00440307" w:rsidRDefault="00440307" w:rsidP="00626A34">
      <w:pPr>
        <w:pStyle w:val="FootnoteText"/>
        <w:spacing w:before="0" w:after="0"/>
      </w:pPr>
      <w:r>
        <w:rPr>
          <w:rStyle w:val="FootnoteReference"/>
        </w:rPr>
        <w:footnoteRef/>
      </w:r>
      <w:r>
        <w:t xml:space="preserve"> </w:t>
      </w:r>
      <w:r w:rsidR="00502F6C">
        <w:t xml:space="preserve">International </w:t>
      </w:r>
      <w:r w:rsidR="00502F6C" w:rsidRPr="00502F6C">
        <w:t xml:space="preserve">Energy Association, </w:t>
      </w:r>
      <w:r w:rsidR="00502F6C" w:rsidRPr="00502F6C">
        <w:rPr>
          <w:i/>
          <w:iCs/>
        </w:rPr>
        <w:t>World Energy Outlook 2020</w:t>
      </w:r>
      <w:r w:rsidR="00502F6C" w:rsidRPr="00502F6C">
        <w:t xml:space="preserve"> (Flagship report, October 2020), ‘Global coal demand by scenario, 2010-2040’ graph &lt;https://www.iea.org/data-and-statistics/charts/global-coal-demand-by-scenario-2010-2040&gt;</w:t>
      </w:r>
    </w:p>
  </w:footnote>
  <w:footnote w:id="121">
    <w:p w14:paraId="5D8BFB49" w14:textId="0AE810B4" w:rsidR="00FA3F0C" w:rsidRPr="00CD14BC" w:rsidRDefault="00FA3F0C" w:rsidP="00626A34">
      <w:pPr>
        <w:pStyle w:val="FootnoteText"/>
        <w:spacing w:before="0" w:after="0"/>
      </w:pPr>
      <w:r>
        <w:rPr>
          <w:rStyle w:val="FootnoteReference"/>
        </w:rPr>
        <w:footnoteRef/>
      </w:r>
      <w:r>
        <w:t xml:space="preserve"> </w:t>
      </w:r>
      <w:r w:rsidR="00647EA2" w:rsidRPr="00647EA2">
        <w:t xml:space="preserve">BloombergNEF, </w:t>
      </w:r>
      <w:r w:rsidR="00647EA2" w:rsidRPr="00B070E7">
        <w:rPr>
          <w:i/>
          <w:iCs/>
        </w:rPr>
        <w:t>New Energy Outlook (NEO)</w:t>
      </w:r>
      <w:r w:rsidR="00647EA2" w:rsidRPr="00647EA2">
        <w:t>, 2020. Historic LCOE benchmark dataset</w:t>
      </w:r>
      <w:r w:rsidR="002C0DE4">
        <w:t xml:space="preserve">; </w:t>
      </w:r>
      <w:r w:rsidR="001E0F35">
        <w:t>G Samuel,</w:t>
      </w:r>
      <w:r w:rsidR="001E0F35" w:rsidRPr="00B070E7">
        <w:rPr>
          <w:i/>
          <w:iCs/>
        </w:rPr>
        <w:t xml:space="preserve"> Independent Review of the EPBC Act – Final report</w:t>
      </w:r>
      <w:r w:rsidR="001E0F35">
        <w:t xml:space="preserve"> (Canberra, Department of Agriculture, Water and the </w:t>
      </w:r>
      <w:r w:rsidR="001E0F35" w:rsidRPr="003A7893">
        <w:t>Environment, 2020), 1</w:t>
      </w:r>
      <w:r w:rsidR="001E0F35" w:rsidRPr="00CD14BC">
        <w:t>.</w:t>
      </w:r>
      <w:r w:rsidR="00647EA2" w:rsidRPr="00CD14BC">
        <w:t xml:space="preserve">  </w:t>
      </w:r>
      <w:r w:rsidR="00502F6C" w:rsidRPr="00CD14BC">
        <w:t xml:space="preserve">International </w:t>
      </w:r>
      <w:r w:rsidR="007976CB" w:rsidRPr="00CD14BC">
        <w:t xml:space="preserve">Energy </w:t>
      </w:r>
      <w:r w:rsidR="007976CB" w:rsidRPr="003A7893">
        <w:t xml:space="preserve">Association, </w:t>
      </w:r>
      <w:r w:rsidR="007976CB" w:rsidRPr="003A7893">
        <w:rPr>
          <w:i/>
        </w:rPr>
        <w:t>Coal 2021</w:t>
      </w:r>
      <w:r w:rsidR="007976CB" w:rsidRPr="003A7893">
        <w:t xml:space="preserve"> (December 2021), ‘Executive Summary, Key themes of WEO-2021’ &lt;https://www.iea.org/reports/world-energy-outlook-2021&gt;</w:t>
      </w:r>
    </w:p>
  </w:footnote>
  <w:footnote w:id="122">
    <w:p w14:paraId="68E88F79" w14:textId="1858FEA3" w:rsidR="00277963" w:rsidRDefault="00277963">
      <w:pPr>
        <w:pStyle w:val="FootnoteText"/>
        <w:spacing w:before="0" w:after="0"/>
      </w:pPr>
      <w:r>
        <w:rPr>
          <w:rStyle w:val="FootnoteReference"/>
        </w:rPr>
        <w:footnoteRef/>
      </w:r>
      <w:r>
        <w:t xml:space="preserve"> </w:t>
      </w:r>
      <w:r w:rsidR="007D07CA">
        <w:t xml:space="preserve">British Petroleum </w:t>
      </w:r>
      <w:r w:rsidR="007D07CA" w:rsidRPr="007D07CA">
        <w:t xml:space="preserve">Group, </w:t>
      </w:r>
      <w:r w:rsidR="007D07CA" w:rsidRPr="007D07CA">
        <w:rPr>
          <w:i/>
          <w:iCs/>
        </w:rPr>
        <w:t>Statistical Review of World Energy</w:t>
      </w:r>
      <w:r w:rsidR="007D07CA" w:rsidRPr="007D07CA">
        <w:t xml:space="preserve"> (70</w:t>
      </w:r>
      <w:r w:rsidR="007D07CA" w:rsidRPr="007D07CA">
        <w:rPr>
          <w:vertAlign w:val="superscript"/>
        </w:rPr>
        <w:t>th</w:t>
      </w:r>
      <w:r w:rsidR="007D07CA" w:rsidRPr="007D07CA">
        <w:t xml:space="preserve"> edition, July 2021), ‘Coal consumption’ &lt;https://www.bp.com/en/global/corporate/energy-economics/statistical-review-of-world-energy/coal.html.html#coal-consumption&gt;</w:t>
      </w:r>
    </w:p>
  </w:footnote>
  <w:footnote w:id="123">
    <w:p w14:paraId="41D5CD89" w14:textId="0558480A" w:rsidR="00314925" w:rsidRPr="00735E63" w:rsidRDefault="00314925">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Williams</w:t>
      </w:r>
      <w:r w:rsidR="00AB1188">
        <w:rPr>
          <w:rFonts w:asciiTheme="majorHAnsi" w:hAnsiTheme="majorHAnsi" w:cstheme="majorHAnsi"/>
        </w:rPr>
        <w:t xml:space="preserve"> Perry</w:t>
      </w:r>
      <w:r w:rsidRPr="00735E63">
        <w:rPr>
          <w:rFonts w:asciiTheme="majorHAnsi" w:hAnsiTheme="majorHAnsi" w:cstheme="majorHAnsi"/>
        </w:rPr>
        <w:t xml:space="preserve">, ‘Energy Aust eyes smelter rescue to keep coal firing’ (27 July 2020) </w:t>
      </w:r>
      <w:r w:rsidRPr="00735E63">
        <w:rPr>
          <w:rFonts w:asciiTheme="majorHAnsi" w:hAnsiTheme="majorHAnsi" w:cstheme="majorHAnsi"/>
          <w:i/>
          <w:iCs/>
        </w:rPr>
        <w:t>The Australian</w:t>
      </w:r>
      <w:r w:rsidRPr="00735E63">
        <w:rPr>
          <w:rFonts w:asciiTheme="majorHAnsi" w:hAnsiTheme="majorHAnsi" w:cstheme="majorHAnsi"/>
        </w:rPr>
        <w:t>.</w:t>
      </w:r>
    </w:p>
  </w:footnote>
  <w:footnote w:id="124">
    <w:p w14:paraId="44D9FD6B" w14:textId="72A9E17F" w:rsidR="00F046D3" w:rsidRDefault="00F046D3" w:rsidP="00CD14BC">
      <w:pPr>
        <w:pStyle w:val="FootnoteText"/>
        <w:spacing w:before="0" w:after="0"/>
      </w:pPr>
      <w:r>
        <w:rPr>
          <w:rStyle w:val="FootnoteReference"/>
        </w:rPr>
        <w:footnoteRef/>
      </w:r>
      <w:r>
        <w:t xml:space="preserve"> </w:t>
      </w:r>
      <w:r w:rsidR="00A71598">
        <w:t>AGL Energy, ‘</w:t>
      </w:r>
      <w:r w:rsidR="000422B0" w:rsidRPr="000422B0">
        <w:t>Confirmation of intention to demerge, announcement of dividend actions and affirmation of earnings guidance</w:t>
      </w:r>
      <w:r w:rsidR="000422B0">
        <w:t>’ (</w:t>
      </w:r>
      <w:r w:rsidR="00E00820">
        <w:t>30 June 2021</w:t>
      </w:r>
      <w:r w:rsidR="00834488">
        <w:t>, Media Release</w:t>
      </w:r>
      <w:r w:rsidR="00E00820">
        <w:t>) &lt;</w:t>
      </w:r>
      <w:r w:rsidR="008A0C5E" w:rsidRPr="008A0C5E">
        <w:t>https://www.agl.com.au/about-agl/media-centre/asx-and-media-releases/2021/june/confirmation-of-intention-to-demerge-announcement-of-dividend-and-affirmation-of-earnings-guidance</w:t>
      </w:r>
      <w:r w:rsidR="00E00820">
        <w:t>&gt;</w:t>
      </w:r>
    </w:p>
  </w:footnote>
  <w:footnote w:id="125">
    <w:p w14:paraId="46D430E6" w14:textId="05E1E807" w:rsidR="008A0C5E" w:rsidRDefault="008A0C5E" w:rsidP="00CD14BC">
      <w:pPr>
        <w:pStyle w:val="FootnoteText"/>
        <w:spacing w:before="0" w:after="0"/>
      </w:pPr>
      <w:r>
        <w:rPr>
          <w:rStyle w:val="FootnoteReference"/>
        </w:rPr>
        <w:footnoteRef/>
      </w:r>
      <w:r>
        <w:t xml:space="preserve"> </w:t>
      </w:r>
      <w:r w:rsidR="00834488">
        <w:t xml:space="preserve">AGL Energy, </w:t>
      </w:r>
      <w:r w:rsidR="00AA78EE">
        <w:t>‘</w:t>
      </w:r>
      <w:r w:rsidR="00AA78EE" w:rsidRPr="00AA78EE">
        <w:t>AGL Energy Demerger – Investor Presentation</w:t>
      </w:r>
      <w:r w:rsidR="009F4444">
        <w:t>’ (6 May 2022</w:t>
      </w:r>
      <w:r w:rsidR="00C153C2">
        <w:t>, ASX &amp; Media Release</w:t>
      </w:r>
      <w:r w:rsidR="009A601A">
        <w:t>) &lt;</w:t>
      </w:r>
      <w:r w:rsidR="009A601A" w:rsidRPr="009A601A">
        <w:t>https://www.agl.com.au/content/dam/digital/agl/documents/about-agl/media-centre/2022/220506-agl-energy-demerger-investor-presentation.pdf</w:t>
      </w:r>
      <w:r w:rsidR="009A601A">
        <w:t>&gt;</w:t>
      </w:r>
    </w:p>
  </w:footnote>
  <w:footnote w:id="126">
    <w:p w14:paraId="423AE34D" w14:textId="77777777" w:rsidR="00314925" w:rsidRPr="00735E63" w:rsidRDefault="00314925">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ENGIE, ‘Hazelwood power station in Australia to close at the end of March 2017’ (3 November 2016, Media Release) &lt; https://www.engie.com/en/journalists/press-releases/hazelwood-power-station-australia&gt;.</w:t>
      </w:r>
    </w:p>
  </w:footnote>
  <w:footnote w:id="127">
    <w:p w14:paraId="682ED557" w14:textId="6CF7821F"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Department of the Environment and Energy, </w:t>
      </w:r>
      <w:r w:rsidRPr="00735E63">
        <w:rPr>
          <w:rFonts w:asciiTheme="majorHAnsi" w:hAnsiTheme="majorHAnsi" w:cstheme="majorHAnsi"/>
          <w:i/>
        </w:rPr>
        <w:t>Australian Energy Update 20</w:t>
      </w:r>
      <w:r>
        <w:rPr>
          <w:rFonts w:asciiTheme="majorHAnsi" w:hAnsiTheme="majorHAnsi" w:cstheme="majorHAnsi"/>
          <w:i/>
        </w:rPr>
        <w:t>20</w:t>
      </w:r>
      <w:r w:rsidRPr="00735E63">
        <w:rPr>
          <w:rFonts w:asciiTheme="majorHAnsi" w:hAnsiTheme="majorHAnsi" w:cstheme="majorHAnsi"/>
        </w:rPr>
        <w:t>, Table O.</w:t>
      </w:r>
    </w:p>
  </w:footnote>
  <w:footnote w:id="128">
    <w:p w14:paraId="67BB58AC"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Ibid.</w:t>
      </w:r>
    </w:p>
  </w:footnote>
  <w:footnote w:id="129">
    <w:p w14:paraId="1945B82C"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Victorian Department of Human Services, </w:t>
      </w:r>
      <w:r w:rsidRPr="00735E63">
        <w:rPr>
          <w:rFonts w:asciiTheme="majorHAnsi" w:hAnsiTheme="majorHAnsi" w:cstheme="majorHAnsi"/>
          <w:i/>
        </w:rPr>
        <w:t>January 2009 Heatwave in Victoria: an Assessment of Health Impacts</w:t>
      </w:r>
      <w:r w:rsidRPr="00735E63">
        <w:rPr>
          <w:rFonts w:asciiTheme="majorHAnsi" w:hAnsiTheme="majorHAnsi" w:cstheme="majorHAnsi"/>
        </w:rPr>
        <w:t xml:space="preserve"> (2009).</w:t>
      </w:r>
    </w:p>
  </w:footnote>
  <w:footnote w:id="130">
    <w:p w14:paraId="22B722DD"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Emergency Management Victoria, ‘State Emergency Response Plan: Electricity and Gas Supply Disruption Sub-Plan’ (2016).</w:t>
      </w:r>
    </w:p>
  </w:footnote>
  <w:footnote w:id="131">
    <w:p w14:paraId="66C13892"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Ibid. </w:t>
      </w:r>
    </w:p>
  </w:footnote>
  <w:footnote w:id="132">
    <w:p w14:paraId="1DA43366"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Ibid.</w:t>
      </w:r>
    </w:p>
  </w:footnote>
  <w:footnote w:id="133">
    <w:p w14:paraId="42B0A41B" w14:textId="2BE3C2B2" w:rsidR="00A81FE0" w:rsidRDefault="00A81FE0" w:rsidP="00BB2E0A">
      <w:pPr>
        <w:pStyle w:val="FootnoteText"/>
        <w:spacing w:before="0" w:after="0"/>
      </w:pPr>
      <w:r>
        <w:rPr>
          <w:rStyle w:val="FootnoteReference"/>
        </w:rPr>
        <w:footnoteRef/>
      </w:r>
      <w:r>
        <w:t xml:space="preserve"> </w:t>
      </w:r>
      <w:r w:rsidR="008A10A2" w:rsidRPr="008A10A2">
        <w:t xml:space="preserve">Australian Energy Market Operator, </w:t>
      </w:r>
      <w:r w:rsidR="008A10A2" w:rsidRPr="008A10A2">
        <w:rPr>
          <w:i/>
          <w:iCs/>
        </w:rPr>
        <w:t xml:space="preserve">2021 Electricity Statement of Opportunities </w:t>
      </w:r>
      <w:r w:rsidR="008A10A2" w:rsidRPr="008A10A2">
        <w:t>(August 2021), 4, &lt;https://www.aemo.com.au/-/media/files/electricity/nem/planning_and_forecasting/nem_esoo/2021/2021-nem-esoo.pdf?la=en&gt;</w:t>
      </w:r>
    </w:p>
  </w:footnote>
  <w:footnote w:id="134">
    <w:p w14:paraId="3B2E3FA7" w14:textId="4931449A" w:rsidR="005E5422" w:rsidRDefault="005E5422" w:rsidP="00BB2E0A">
      <w:pPr>
        <w:pStyle w:val="FootnoteText"/>
        <w:spacing w:before="0" w:after="0"/>
      </w:pPr>
      <w:r>
        <w:rPr>
          <w:rStyle w:val="FootnoteReference"/>
        </w:rPr>
        <w:footnoteRef/>
      </w:r>
      <w:r>
        <w:t xml:space="preserve"> </w:t>
      </w:r>
      <w:r w:rsidR="00040FEC">
        <w:t xml:space="preserve">Australian </w:t>
      </w:r>
      <w:r w:rsidR="00040FEC" w:rsidRPr="00040FEC">
        <w:t xml:space="preserve">Energy Market Operator, </w:t>
      </w:r>
      <w:r w:rsidR="00040FEC" w:rsidRPr="00040FEC">
        <w:rPr>
          <w:i/>
          <w:iCs/>
        </w:rPr>
        <w:t xml:space="preserve">Victorian Annual Planning Report </w:t>
      </w:r>
      <w:r w:rsidR="00040FEC" w:rsidRPr="00040FEC">
        <w:t>(October 2021), 5, &lt;https://aemo.com.au/-/media/files/electricity/nem/planning_and_forecasting/vapr/2021/2021-victorian-annual-planning-report.pdf?la=en&gt;</w:t>
      </w:r>
    </w:p>
  </w:footnote>
  <w:footnote w:id="135">
    <w:p w14:paraId="22D14FF5" w14:textId="1E88C633" w:rsidR="00B35445" w:rsidRDefault="00B35445" w:rsidP="00BB2E0A">
      <w:pPr>
        <w:pStyle w:val="FootnoteText"/>
        <w:spacing w:before="0" w:after="0"/>
      </w:pPr>
      <w:r>
        <w:rPr>
          <w:rStyle w:val="FootnoteReference"/>
        </w:rPr>
        <w:footnoteRef/>
      </w:r>
      <w:r>
        <w:t xml:space="preserve"> </w:t>
      </w:r>
      <w:r w:rsidR="00BB2E0A">
        <w:t xml:space="preserve">Australian </w:t>
      </w:r>
      <w:r w:rsidR="00BB2E0A" w:rsidRPr="00BB2E0A">
        <w:t xml:space="preserve">Energy Market Operator, Draft </w:t>
      </w:r>
      <w:r w:rsidR="00BB2E0A" w:rsidRPr="00BB2E0A">
        <w:rPr>
          <w:i/>
          <w:iCs/>
        </w:rPr>
        <w:t>2022 Integrated System Plan</w:t>
      </w:r>
      <w:r w:rsidR="00BB2E0A" w:rsidRPr="00BB2E0A">
        <w:t xml:space="preserve"> (December 2021), 44, &lt;https://aemo.com.au/consultations/current-and-closed-consultations/2022-draft-isp-consultation&gt;</w:t>
      </w:r>
    </w:p>
  </w:footnote>
  <w:footnote w:id="136">
    <w:p w14:paraId="5BBE2AF8" w14:textId="7B7B0A05"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w:t>
      </w:r>
      <w:r w:rsidR="006E70CC" w:rsidRPr="006E70CC">
        <w:rPr>
          <w:rFonts w:asciiTheme="majorHAnsi" w:hAnsiTheme="majorHAnsi" w:cstheme="majorBidi"/>
        </w:rPr>
        <w:t>Earth Resources Regulatio</w:t>
      </w:r>
      <w:r w:rsidR="006E70CC">
        <w:rPr>
          <w:rFonts w:asciiTheme="majorHAnsi" w:hAnsiTheme="majorHAnsi" w:cstheme="majorBidi"/>
        </w:rPr>
        <w:t xml:space="preserve">n, </w:t>
      </w:r>
      <w:hyperlink r:id="rId6" w:history="1">
        <w:r w:rsidR="44AE50F4" w:rsidRPr="006E70CC">
          <w:rPr>
            <w:rFonts w:asciiTheme="majorHAnsi" w:hAnsiTheme="majorHAnsi" w:cstheme="majorBidi"/>
            <w:i/>
            <w:iCs/>
          </w:rPr>
          <w:t>Preparation of Rehabilitation Plans</w:t>
        </w:r>
        <w:r w:rsidR="006E70CC" w:rsidRPr="006E70CC">
          <w:rPr>
            <w:rFonts w:asciiTheme="majorHAnsi" w:hAnsiTheme="majorHAnsi" w:cstheme="majorBidi"/>
            <w:i/>
            <w:iCs/>
          </w:rPr>
          <w:t>:</w:t>
        </w:r>
        <w:r w:rsidR="44AE50F4" w:rsidRPr="006E70CC">
          <w:rPr>
            <w:rFonts w:asciiTheme="majorHAnsi" w:hAnsiTheme="majorHAnsi" w:cstheme="majorBidi"/>
            <w:i/>
            <w:iCs/>
          </w:rPr>
          <w:t xml:space="preserve"> </w:t>
        </w:r>
        <w:r w:rsidR="00E82663" w:rsidRPr="006E70CC">
          <w:rPr>
            <w:rFonts w:asciiTheme="majorHAnsi" w:hAnsiTheme="majorHAnsi" w:cstheme="majorBidi"/>
            <w:i/>
            <w:iCs/>
          </w:rPr>
          <w:t>Guideline for Mining and Prospecting Projects</w:t>
        </w:r>
        <w:r w:rsidR="44AE50F4" w:rsidRPr="44AE50F4">
          <w:rPr>
            <w:rFonts w:asciiTheme="majorHAnsi" w:hAnsiTheme="majorHAnsi" w:cstheme="majorBidi"/>
          </w:rPr>
          <w:t xml:space="preserve"> </w:t>
        </w:r>
        <w:r w:rsidR="006E70CC">
          <w:rPr>
            <w:rFonts w:asciiTheme="majorHAnsi" w:hAnsiTheme="majorHAnsi" w:cstheme="majorBidi"/>
          </w:rPr>
          <w:t>(</w:t>
        </w:r>
        <w:r w:rsidR="44AE50F4" w:rsidRPr="44AE50F4">
          <w:rPr>
            <w:rFonts w:asciiTheme="majorHAnsi" w:hAnsiTheme="majorHAnsi" w:cstheme="majorBidi"/>
          </w:rPr>
          <w:t>February 2020</w:t>
        </w:r>
        <w:r w:rsidR="006E70CC">
          <w:rPr>
            <w:rFonts w:asciiTheme="majorHAnsi" w:hAnsiTheme="majorHAnsi" w:cstheme="majorBidi"/>
          </w:rPr>
          <w:t>).</w:t>
        </w:r>
        <w:r w:rsidR="44AE50F4" w:rsidRPr="44AE50F4">
          <w:rPr>
            <w:rFonts w:asciiTheme="majorHAnsi" w:hAnsiTheme="majorHAnsi" w:cstheme="majorBidi"/>
          </w:rPr>
          <w:t xml:space="preserve"> </w:t>
        </w:r>
      </w:hyperlink>
    </w:p>
  </w:footnote>
  <w:footnote w:id="137">
    <w:p w14:paraId="7274C7C9" w14:textId="5B468BB0"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The Act, s 84AZU(2).</w:t>
      </w:r>
    </w:p>
  </w:footnote>
  <w:footnote w:id="138">
    <w:p w14:paraId="37E299A4" w14:textId="7FED0054"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HMFI Report, </w:t>
      </w:r>
      <w:r w:rsidR="00A2602F">
        <w:rPr>
          <w:rFonts w:asciiTheme="majorHAnsi" w:hAnsiTheme="majorHAnsi" w:cstheme="majorBidi"/>
        </w:rPr>
        <w:t>vol 4</w:t>
      </w:r>
      <w:r w:rsidR="44AE50F4" w:rsidRPr="44AE50F4">
        <w:rPr>
          <w:rFonts w:asciiTheme="majorHAnsi" w:hAnsiTheme="majorHAnsi" w:cstheme="majorBidi"/>
        </w:rPr>
        <w:t>, 180.</w:t>
      </w:r>
    </w:p>
  </w:footnote>
  <w:footnote w:id="139">
    <w:p w14:paraId="3A1E8EF5" w14:textId="5AAB16EB"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w:t>
      </w:r>
      <w:r w:rsidR="00032BC4">
        <w:rPr>
          <w:i/>
        </w:rPr>
        <w:t xml:space="preserve">Mineral Resources (Sustainable Development) Act </w:t>
      </w:r>
      <w:r w:rsidR="00974B1B" w:rsidRPr="00974B1B">
        <w:rPr>
          <w:rFonts w:asciiTheme="majorHAnsi" w:hAnsiTheme="majorHAnsi" w:cstheme="majorBidi"/>
          <w:i/>
          <w:iCs/>
        </w:rPr>
        <w:t>1990</w:t>
      </w:r>
      <w:r w:rsidR="00974B1B" w:rsidRPr="00974B1B">
        <w:rPr>
          <w:rFonts w:asciiTheme="majorHAnsi" w:hAnsiTheme="majorHAnsi" w:cstheme="majorBidi"/>
        </w:rPr>
        <w:t xml:space="preserve"> (‘the Act’), Part 1.1.</w:t>
      </w:r>
    </w:p>
  </w:footnote>
  <w:footnote w:id="140">
    <w:p w14:paraId="5E329BDA" w14:textId="1A0E37DE"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w:t>
      </w:r>
      <w:r w:rsidR="44AE50F4" w:rsidRPr="44AE50F4">
        <w:rPr>
          <w:rFonts w:asciiTheme="majorHAnsi" w:hAnsiTheme="majorHAnsi" w:cstheme="majorBidi"/>
          <w:i/>
          <w:iCs/>
        </w:rPr>
        <w:t>Mineral Resources (Sustainable Development) Amendment Bill 2019 – Second Reading Speech</w:t>
      </w:r>
      <w:r w:rsidR="44AE50F4" w:rsidRPr="44AE50F4">
        <w:rPr>
          <w:rFonts w:asciiTheme="majorHAnsi" w:hAnsiTheme="majorHAnsi" w:cstheme="majorBidi"/>
        </w:rPr>
        <w:t xml:space="preserve"> (5 June 2019) (Tim Pallas, Treasurer) Hansard, 1944. </w:t>
      </w:r>
    </w:p>
  </w:footnote>
  <w:footnote w:id="141">
    <w:p w14:paraId="0297FE06" w14:textId="691BA304"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Ibid. </w:t>
      </w:r>
    </w:p>
  </w:footnote>
  <w:footnote w:id="142">
    <w:p w14:paraId="415F1DED" w14:textId="6762E379"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State of Victoria, Minister for Resources, </w:t>
      </w:r>
      <w:r w:rsidR="44AE50F4" w:rsidRPr="44AE50F4">
        <w:rPr>
          <w:rFonts w:asciiTheme="majorHAnsi" w:hAnsiTheme="majorHAnsi" w:cstheme="majorBidi"/>
          <w:i/>
          <w:iCs/>
        </w:rPr>
        <w:t>State of Discovery: Mineral Resources Strategy 2018-2023</w:t>
      </w:r>
      <w:r w:rsidR="44AE50F4" w:rsidRPr="44AE50F4">
        <w:rPr>
          <w:rFonts w:asciiTheme="majorHAnsi" w:hAnsiTheme="majorHAnsi" w:cstheme="majorBidi"/>
        </w:rPr>
        <w:t>, 1.</w:t>
      </w:r>
    </w:p>
  </w:footnote>
  <w:footnote w:id="143">
    <w:p w14:paraId="1AD1F9E0" w14:textId="0A6119D0"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Victorian Government, </w:t>
      </w:r>
      <w:r w:rsidR="44AE50F4" w:rsidRPr="44AE50F4">
        <w:rPr>
          <w:rFonts w:asciiTheme="majorHAnsi" w:hAnsiTheme="majorHAnsi" w:cstheme="majorBidi"/>
          <w:i/>
          <w:iCs/>
        </w:rPr>
        <w:t>Latrobe Valley Regional Rehabilitation Strategy</w:t>
      </w:r>
      <w:r w:rsidR="44AE50F4" w:rsidRPr="44AE50F4">
        <w:rPr>
          <w:rFonts w:asciiTheme="majorHAnsi" w:hAnsiTheme="majorHAnsi" w:cstheme="majorBidi"/>
        </w:rPr>
        <w:t xml:space="preserve"> (June 2020), 15-20.</w:t>
      </w:r>
    </w:p>
  </w:footnote>
  <w:footnote w:id="144">
    <w:p w14:paraId="77902377" w14:textId="5B8F3816"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Victorian Government, </w:t>
      </w:r>
      <w:r w:rsidR="44AE50F4" w:rsidRPr="44AE50F4">
        <w:rPr>
          <w:rFonts w:asciiTheme="majorHAnsi" w:hAnsiTheme="majorHAnsi" w:cstheme="majorBidi"/>
          <w:i/>
          <w:iCs/>
        </w:rPr>
        <w:t>Latrobe Valley Regional Rehabilitation Strategy</w:t>
      </w:r>
      <w:r w:rsidR="44AE50F4" w:rsidRPr="44AE50F4">
        <w:rPr>
          <w:rFonts w:asciiTheme="majorHAnsi" w:hAnsiTheme="majorHAnsi" w:cstheme="majorBidi"/>
        </w:rPr>
        <w:t xml:space="preserve"> (June 2020), 21-22.</w:t>
      </w:r>
    </w:p>
  </w:footnote>
  <w:footnote w:id="145">
    <w:p w14:paraId="36C25E96" w14:textId="70E0E5E5"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2A.</w:t>
      </w:r>
    </w:p>
  </w:footnote>
  <w:footnote w:id="146">
    <w:p w14:paraId="1F500E3A" w14:textId="7EE64F72"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79.</w:t>
      </w:r>
    </w:p>
  </w:footnote>
  <w:footnote w:id="147">
    <w:p w14:paraId="216824C0" w14:textId="72A0964B"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Regulations, r 43. </w:t>
      </w:r>
    </w:p>
  </w:footnote>
  <w:footnote w:id="148">
    <w:p w14:paraId="4D80C9CC" w14:textId="423292E6"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7</w:t>
      </w:r>
      <w:r w:rsidR="008B3B4E">
        <w:rPr>
          <w:rFonts w:asciiTheme="majorHAnsi" w:hAnsiTheme="majorHAnsi" w:cstheme="majorHAnsi"/>
        </w:rPr>
        <w:t>9</w:t>
      </w:r>
      <w:r w:rsidRPr="00735E63">
        <w:rPr>
          <w:rFonts w:asciiTheme="majorHAnsi" w:hAnsiTheme="majorHAnsi" w:cstheme="majorHAnsi"/>
        </w:rPr>
        <w:t>(a)(iv).</w:t>
      </w:r>
    </w:p>
  </w:footnote>
  <w:footnote w:id="149">
    <w:p w14:paraId="088556BD" w14:textId="411BF7AC"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26(7).</w:t>
      </w:r>
    </w:p>
  </w:footnote>
  <w:footnote w:id="150">
    <w:p w14:paraId="57116E87" w14:textId="75260DC9"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Regulations, r 43(2)(a).</w:t>
      </w:r>
    </w:p>
  </w:footnote>
  <w:footnote w:id="151">
    <w:p w14:paraId="3D632D27" w14:textId="5CFA211F"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40(3).</w:t>
      </w:r>
    </w:p>
  </w:footnote>
  <w:footnote w:id="152">
    <w:p w14:paraId="071ADCBF" w14:textId="5E9E2E92"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Regulations, r 42. </w:t>
      </w:r>
    </w:p>
  </w:footnote>
  <w:footnote w:id="153">
    <w:p w14:paraId="17D6A50B" w14:textId="4DF53CD9"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Regulations, r 40.</w:t>
      </w:r>
    </w:p>
  </w:footnote>
  <w:footnote w:id="154">
    <w:p w14:paraId="148E1F62" w14:textId="6E894E2E"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Regulations, r 44. </w:t>
      </w:r>
    </w:p>
  </w:footnote>
  <w:footnote w:id="155">
    <w:p w14:paraId="78DB0D35"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2019 Regulations, r 43(4).</w:t>
      </w:r>
    </w:p>
  </w:footnote>
  <w:footnote w:id="156">
    <w:p w14:paraId="00D4AF95"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2019 Regulations, r 43(2).</w:t>
      </w:r>
    </w:p>
  </w:footnote>
  <w:footnote w:id="157">
    <w:p w14:paraId="1FCFBB9F"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41(1).</w:t>
      </w:r>
    </w:p>
  </w:footnote>
  <w:footnote w:id="158">
    <w:p w14:paraId="7F5D8418"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41AA.</w:t>
      </w:r>
    </w:p>
  </w:footnote>
  <w:footnote w:id="159">
    <w:p w14:paraId="41A19BE8"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sch 9, cl 3(2). </w:t>
      </w:r>
    </w:p>
  </w:footnote>
  <w:footnote w:id="160">
    <w:p w14:paraId="6FE6F19D"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sch 9, cl 3(4).</w:t>
      </w:r>
    </w:p>
  </w:footnote>
  <w:footnote w:id="161">
    <w:p w14:paraId="5E4011BC" w14:textId="72AB5819"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41AE.</w:t>
      </w:r>
    </w:p>
  </w:footnote>
  <w:footnote w:id="162">
    <w:p w14:paraId="50894056" w14:textId="7E0A98C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Regulations, r 46 in relation to r 40(c) and the Act, s 40(3)(g).</w:t>
      </w:r>
    </w:p>
  </w:footnote>
  <w:footnote w:id="163">
    <w:p w14:paraId="3D82433E" w14:textId="293A491D" w:rsidR="00314925" w:rsidRPr="00735E63" w:rsidRDefault="00314925" w:rsidP="00B03213">
      <w:pPr>
        <w:pStyle w:val="FootnoteText"/>
        <w:spacing w:before="0" w:after="0"/>
        <w:rPr>
          <w:rFonts w:asciiTheme="majorHAnsi" w:hAnsiTheme="majorHAnsi" w:cstheme="majorHAnsi"/>
        </w:rPr>
      </w:pPr>
    </w:p>
  </w:footnote>
  <w:footnote w:id="164">
    <w:p w14:paraId="5E77B306" w14:textId="5C341768"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44(</w:t>
      </w:r>
      <w:r w:rsidR="009E0DE5">
        <w:rPr>
          <w:rFonts w:asciiTheme="majorHAnsi" w:hAnsiTheme="majorHAnsi" w:cstheme="majorHAnsi"/>
        </w:rPr>
        <w:t>1)</w:t>
      </w:r>
      <w:r w:rsidR="003547D7">
        <w:rPr>
          <w:rFonts w:asciiTheme="majorHAnsi" w:hAnsiTheme="majorHAnsi" w:cstheme="majorHAnsi"/>
        </w:rPr>
        <w:t xml:space="preserve">, s </w:t>
      </w:r>
      <w:r w:rsidRPr="00735E63">
        <w:rPr>
          <w:rFonts w:asciiTheme="majorHAnsi" w:hAnsiTheme="majorHAnsi" w:cstheme="majorHAnsi"/>
        </w:rPr>
        <w:t>44(2).</w:t>
      </w:r>
    </w:p>
  </w:footnote>
  <w:footnote w:id="165">
    <w:p w14:paraId="74E5D2AD" w14:textId="4349667C"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79(b)(ii); 82(2).</w:t>
      </w:r>
    </w:p>
  </w:footnote>
  <w:footnote w:id="166">
    <w:p w14:paraId="2A38A80D" w14:textId="19CD93F3"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84AZV.</w:t>
      </w:r>
    </w:p>
  </w:footnote>
  <w:footnote w:id="167">
    <w:p w14:paraId="196D22A9" w14:textId="6255818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general obligation to provide information to the Department Head is set out in section 116 of the Act. Regulations 53-57 prescribe the information and the periods in which it must be provided.</w:t>
      </w:r>
    </w:p>
  </w:footnote>
  <w:footnote w:id="168">
    <w:p w14:paraId="59DDCFC9" w14:textId="0AEE060E"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Regulations, r 55(1)(a)(v).</w:t>
      </w:r>
    </w:p>
  </w:footnote>
  <w:footnote w:id="169">
    <w:p w14:paraId="2437B77C" w14:textId="0578EB78"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Regulations, r56(4)(a)(i).</w:t>
      </w:r>
    </w:p>
  </w:footnote>
  <w:footnote w:id="170">
    <w:p w14:paraId="6F6F8729" w14:textId="443290C4"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Regulations, r 56(4)(a)(ii).</w:t>
      </w:r>
    </w:p>
  </w:footnote>
  <w:footnote w:id="171">
    <w:p w14:paraId="19685C44" w14:textId="706AA98A"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Regulations, r 56(4)(a)(iii).</w:t>
      </w:r>
    </w:p>
  </w:footnote>
  <w:footnote w:id="172">
    <w:p w14:paraId="26EFEC19" w14:textId="2119A411"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Regulations, r 56(4)(a)(iv).</w:t>
      </w:r>
    </w:p>
  </w:footnote>
  <w:footnote w:id="173">
    <w:p w14:paraId="00F7B80C" w14:textId="57322DAA"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Regulations r 53(4)(b) and r 57.</w:t>
      </w:r>
    </w:p>
  </w:footnote>
  <w:footnote w:id="174">
    <w:p w14:paraId="6794F639" w14:textId="7DA75909"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41AB and Regulations, r 64.</w:t>
      </w:r>
    </w:p>
  </w:footnote>
  <w:footnote w:id="175">
    <w:p w14:paraId="1F7E1041" w14:textId="0E053B6F"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84AZW. </w:t>
      </w:r>
    </w:p>
  </w:footnote>
  <w:footnote w:id="176">
    <w:p w14:paraId="25B848A3" w14:textId="055C9E7B"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84AZX.</w:t>
      </w:r>
    </w:p>
  </w:footnote>
  <w:footnote w:id="177">
    <w:p w14:paraId="13975979" w14:textId="580A1C3D"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37.</w:t>
      </w:r>
    </w:p>
  </w:footnote>
  <w:footnote w:id="178">
    <w:p w14:paraId="5642BC4F" w14:textId="45F0C94E"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82(3). </w:t>
      </w:r>
    </w:p>
  </w:footnote>
  <w:footnote w:id="179">
    <w:p w14:paraId="15AD908C"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84AZY.</w:t>
      </w:r>
    </w:p>
  </w:footnote>
  <w:footnote w:id="180">
    <w:p w14:paraId="3E8EF711"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84AZZ(1).</w:t>
      </w:r>
    </w:p>
  </w:footnote>
  <w:footnote w:id="181">
    <w:p w14:paraId="4FB56C1F" w14:textId="25549DB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See the Act, Part 4</w:t>
      </w:r>
      <w:r w:rsidR="009C221B">
        <w:rPr>
          <w:rFonts w:asciiTheme="majorHAnsi" w:hAnsiTheme="majorHAnsi" w:cstheme="majorHAnsi"/>
        </w:rPr>
        <w:t>A</w:t>
      </w:r>
      <w:r w:rsidRPr="00735E63">
        <w:rPr>
          <w:rFonts w:asciiTheme="majorHAnsi" w:hAnsiTheme="majorHAnsi" w:cstheme="majorHAnsi"/>
        </w:rPr>
        <w:t>.</w:t>
      </w:r>
    </w:p>
  </w:footnote>
  <w:footnote w:id="182">
    <w:p w14:paraId="5E24E6AC" w14:textId="178D359F"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84AZZA(1).</w:t>
      </w:r>
    </w:p>
  </w:footnote>
  <w:footnote w:id="183">
    <w:p w14:paraId="5DDD700E"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84AZZB(1).</w:t>
      </w:r>
    </w:p>
  </w:footnote>
  <w:footnote w:id="184">
    <w:p w14:paraId="471CA513" w14:textId="0C16AF90"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81A. </w:t>
      </w:r>
    </w:p>
  </w:footnote>
  <w:footnote w:id="185">
    <w:p w14:paraId="1320BD87"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84AZZB(3).</w:t>
      </w:r>
    </w:p>
  </w:footnote>
  <w:footnote w:id="186">
    <w:p w14:paraId="6A13A1DB"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84AL(1)(kf). </w:t>
      </w:r>
    </w:p>
  </w:footnote>
  <w:footnote w:id="187">
    <w:p w14:paraId="0E354925" w14:textId="02A8A08C"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84AZZL(3)(a).</w:t>
      </w:r>
    </w:p>
  </w:footnote>
  <w:footnote w:id="188">
    <w:p w14:paraId="486A93A5" w14:textId="4FB08CCB"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84AZZL(3)(b).</w:t>
      </w:r>
    </w:p>
  </w:footnote>
  <w:footnote w:id="189">
    <w:p w14:paraId="2D43CA36"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84AZZD(1).</w:t>
      </w:r>
    </w:p>
  </w:footnote>
  <w:footnote w:id="190">
    <w:p w14:paraId="1CB1552F" w14:textId="3C13A2EB"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84AZZD(</w:t>
      </w:r>
      <w:r w:rsidR="00516AED">
        <w:rPr>
          <w:rFonts w:asciiTheme="majorHAnsi" w:hAnsiTheme="majorHAnsi" w:cstheme="majorHAnsi"/>
        </w:rPr>
        <w:t>2</w:t>
      </w:r>
      <w:r w:rsidRPr="00735E63">
        <w:rPr>
          <w:rFonts w:asciiTheme="majorHAnsi" w:hAnsiTheme="majorHAnsi" w:cstheme="majorHAnsi"/>
        </w:rPr>
        <w:t>).</w:t>
      </w:r>
    </w:p>
  </w:footnote>
  <w:footnote w:id="191">
    <w:p w14:paraId="5A1D9E33"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83A. </w:t>
      </w:r>
    </w:p>
  </w:footnote>
  <w:footnote w:id="192">
    <w:p w14:paraId="3D4AF839"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The Act, s 84AZZM.</w:t>
      </w:r>
    </w:p>
  </w:footnote>
  <w:footnote w:id="193">
    <w:p w14:paraId="6204C5AC" w14:textId="4D4EB1CA" w:rsidR="00314925" w:rsidRDefault="00314925" w:rsidP="00B03213">
      <w:pPr>
        <w:pStyle w:val="FootnoteText"/>
        <w:spacing w:before="0" w:after="0"/>
      </w:pPr>
      <w:r>
        <w:rPr>
          <w:rStyle w:val="FootnoteReference"/>
        </w:rPr>
        <w:footnoteRef/>
      </w:r>
      <w:r w:rsidR="44AE50F4">
        <w:t xml:space="preserve"> Earth Resources Regulation,</w:t>
      </w:r>
      <w:r w:rsidR="44AE50F4" w:rsidRPr="00A61BBE">
        <w:rPr>
          <w:i/>
          <w:iCs/>
        </w:rPr>
        <w:t xml:space="preserve"> Preparation of Rehabilitation Plans: Guideline for Mining &amp; Prospecting Projects</w:t>
      </w:r>
      <w:r w:rsidR="44AE50F4">
        <w:t xml:space="preserve"> (February 2020).</w:t>
      </w:r>
    </w:p>
  </w:footnote>
  <w:footnote w:id="194">
    <w:p w14:paraId="5E1BA1C8" w14:textId="449E2CEC" w:rsidR="00055D73" w:rsidRDefault="00055D73" w:rsidP="00055D73">
      <w:pPr>
        <w:pStyle w:val="FootnoteText"/>
        <w:spacing w:before="0" w:after="0"/>
      </w:pPr>
      <w:r>
        <w:rPr>
          <w:rStyle w:val="FootnoteReference"/>
        </w:rPr>
        <w:footnoteRef/>
      </w:r>
      <w:r>
        <w:t xml:space="preserve"> See Appendix E for definitions </w:t>
      </w:r>
      <w:r w:rsidR="003D4038">
        <w:t xml:space="preserve">for </w:t>
      </w:r>
      <w:r>
        <w:t>active and passive controls.</w:t>
      </w:r>
    </w:p>
  </w:footnote>
  <w:footnote w:id="195">
    <w:p w14:paraId="7CF697CD" w14:textId="680C76E8"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SLA, s 10</w:t>
      </w:r>
    </w:p>
  </w:footnote>
  <w:footnote w:id="196">
    <w:p w14:paraId="2A20D5FA" w14:textId="6E47CC6E" w:rsidR="00314925" w:rsidRDefault="00314925" w:rsidP="00B03213">
      <w:pPr>
        <w:pStyle w:val="FootnoteText"/>
        <w:spacing w:before="0" w:after="0"/>
      </w:pPr>
      <w:r>
        <w:rPr>
          <w:rStyle w:val="FootnoteReference"/>
        </w:rPr>
        <w:footnoteRef/>
      </w:r>
      <w:r w:rsidR="44AE50F4">
        <w:t xml:space="preserve"> Reportable events are prescribed in the </w:t>
      </w:r>
      <w:r w:rsidR="44AE50F4" w:rsidRPr="00E763C3">
        <w:rPr>
          <w:i/>
          <w:iCs/>
        </w:rPr>
        <w:t>2019 Regulations</w:t>
      </w:r>
      <w:r w:rsidR="44AE50F4">
        <w:t xml:space="preserve"> in r 51(2).</w:t>
      </w:r>
    </w:p>
  </w:footnote>
  <w:footnote w:id="197">
    <w:p w14:paraId="0477E421" w14:textId="3D2C7417" w:rsidR="00314925" w:rsidRDefault="00314925">
      <w:pPr>
        <w:pStyle w:val="FootnoteText"/>
      </w:pPr>
      <w:r>
        <w:rPr>
          <w:rStyle w:val="FootnoteReference"/>
        </w:rPr>
        <w:footnoteRef/>
      </w:r>
      <w:r>
        <w:t xml:space="preserve"> Department of Environment, Land, Water and Planning, November 2020, </w:t>
      </w:r>
      <w:r w:rsidRPr="00FB7A0E">
        <w:rPr>
          <w:i/>
          <w:iCs/>
        </w:rPr>
        <w:t>Guidelines for Assessing the Impact of Climate Change on Water Availability in Victoria</w:t>
      </w:r>
      <w:r>
        <w:t>, available at</w:t>
      </w:r>
      <w:r w:rsidR="00DC1654">
        <w:t xml:space="preserve"> </w:t>
      </w:r>
      <w:r w:rsidRPr="00F16502">
        <w:t>https://www.water.vic.gov.au/__data/assets/pdf_file/0023/502934/GuidelinesClimateChangeWaterAvailVic_2020_FINAL.pdf</w:t>
      </w:r>
    </w:p>
  </w:footnote>
  <w:footnote w:id="198">
    <w:p w14:paraId="3BE5BB60"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Department of Jobs, Precincts and Regions, </w:t>
      </w:r>
      <w:r w:rsidRPr="00735E63">
        <w:rPr>
          <w:rFonts w:asciiTheme="majorHAnsi" w:hAnsiTheme="majorHAnsi" w:cstheme="majorHAnsi"/>
          <w:i/>
          <w:iCs/>
        </w:rPr>
        <w:t>Regulatory Impact Statement – Proposed Mineral Resources (Sustainable Development) (Mineral Industries) Regulations 2019</w:t>
      </w:r>
      <w:r w:rsidRPr="00735E63">
        <w:rPr>
          <w:rFonts w:asciiTheme="majorHAnsi" w:hAnsiTheme="majorHAnsi" w:cstheme="majorHAnsi"/>
        </w:rPr>
        <w:t>, 51.</w:t>
      </w:r>
    </w:p>
  </w:footnote>
  <w:footnote w:id="199">
    <w:p w14:paraId="3624C9F0" w14:textId="585DF2DA"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Department of Natural </w:t>
      </w:r>
      <w:r w:rsidR="000C5046">
        <w:rPr>
          <w:rFonts w:asciiTheme="majorHAnsi" w:hAnsiTheme="majorHAnsi" w:cstheme="majorHAnsi"/>
        </w:rPr>
        <w:t>R</w:t>
      </w:r>
      <w:r w:rsidRPr="00735E63">
        <w:rPr>
          <w:rFonts w:asciiTheme="majorHAnsi" w:hAnsiTheme="majorHAnsi" w:cstheme="majorHAnsi"/>
        </w:rPr>
        <w:t xml:space="preserve">esources and Environment, National Competition Policy, </w:t>
      </w:r>
      <w:r w:rsidRPr="00735E63">
        <w:rPr>
          <w:rFonts w:asciiTheme="majorHAnsi" w:hAnsiTheme="majorHAnsi" w:cstheme="majorHAnsi"/>
          <w:i/>
        </w:rPr>
        <w:t>Review of the Mineral Resources Development Act 1990</w:t>
      </w:r>
      <w:r w:rsidRPr="00735E63">
        <w:rPr>
          <w:rFonts w:asciiTheme="majorHAnsi" w:hAnsiTheme="majorHAnsi" w:cstheme="majorHAnsi"/>
        </w:rPr>
        <w:t xml:space="preserve">: </w:t>
      </w:r>
      <w:hyperlink r:id="rId7" w:history="1">
        <w:r w:rsidRPr="00735E63">
          <w:rPr>
            <w:rStyle w:val="Hyperlink"/>
            <w:rFonts w:asciiTheme="majorHAnsi" w:hAnsiTheme="majorHAnsi" w:cstheme="majorHAnsi"/>
          </w:rPr>
          <w:t>http://ncp.ncc.gov.au</w:t>
        </w:r>
      </w:hyperlink>
      <w:r w:rsidRPr="00735E63">
        <w:rPr>
          <w:rFonts w:asciiTheme="majorHAnsi" w:hAnsiTheme="majorHAnsi" w:cstheme="majorHAnsi"/>
        </w:rPr>
        <w:t xml:space="preserve"> </w:t>
      </w:r>
    </w:p>
  </w:footnote>
  <w:footnote w:id="200">
    <w:p w14:paraId="29ED79C5" w14:textId="7E9A8451" w:rsidR="008D7E5F" w:rsidRDefault="008D7E5F">
      <w:pPr>
        <w:pStyle w:val="FootnoteText"/>
      </w:pPr>
      <w:r>
        <w:rPr>
          <w:rStyle w:val="FootnoteReference"/>
        </w:rPr>
        <w:footnoteRef/>
      </w:r>
      <w:r>
        <w:t xml:space="preserve"> </w:t>
      </w:r>
      <w:r w:rsidR="00756B3D">
        <w:t xml:space="preserve">Earth Resources Regulation, </w:t>
      </w:r>
      <w:r w:rsidR="00756B3D" w:rsidRPr="00CD14BC">
        <w:rPr>
          <w:i/>
          <w:iCs/>
        </w:rPr>
        <w:t>Interim Compliance Strategy 2021-2022</w:t>
      </w:r>
      <w:r w:rsidR="00CC18D7">
        <w:t xml:space="preserve"> (1 March 2021).</w:t>
      </w:r>
    </w:p>
  </w:footnote>
  <w:footnote w:id="201">
    <w:p w14:paraId="04B492B5" w14:textId="77777777"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Attorney-General’s Department, Attorney-General's Guidelines to the Infringements Act 2006: Policy and Legislation, Version 1.0, 12 October 2018</w:t>
      </w:r>
    </w:p>
  </w:footnote>
  <w:footnote w:id="202">
    <w:p w14:paraId="073D7189" w14:textId="39699596"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Queensland Treasury Corporation, </w:t>
      </w:r>
      <w:r w:rsidRPr="00735E63">
        <w:rPr>
          <w:rFonts w:asciiTheme="majorHAnsi" w:hAnsiTheme="majorHAnsi" w:cstheme="majorHAnsi"/>
          <w:i/>
          <w:iCs/>
        </w:rPr>
        <w:t>Review of Queensland’s Financial Assurance Framework</w:t>
      </w:r>
      <w:r w:rsidRPr="00735E63">
        <w:rPr>
          <w:rFonts w:asciiTheme="majorHAnsi" w:hAnsiTheme="majorHAnsi" w:cstheme="majorHAnsi"/>
        </w:rPr>
        <w:t xml:space="preserve"> (April 2017) available at &lt; </w:t>
      </w:r>
      <w:hyperlink r:id="rId8" w:history="1">
        <w:r w:rsidRPr="00735E63">
          <w:rPr>
            <w:rStyle w:val="Hyperlink"/>
            <w:rFonts w:asciiTheme="majorHAnsi" w:hAnsiTheme="majorHAnsi" w:cstheme="majorHAnsi"/>
          </w:rPr>
          <w:t>https://s3.treasury.qld.gov.au/files/review-of-queenslands-financial-assurance-framework.pdf</w:t>
        </w:r>
      </w:hyperlink>
      <w:r w:rsidRPr="00735E63">
        <w:rPr>
          <w:rFonts w:asciiTheme="majorHAnsi" w:hAnsiTheme="majorHAnsi" w:cstheme="majorHAnsi"/>
        </w:rPr>
        <w:t xml:space="preserve">&gt;; Queensland Department of Premier and Cabinet, Queensland Treasury and Department of Natural Resources and Mines, </w:t>
      </w:r>
      <w:r w:rsidRPr="00735E63">
        <w:rPr>
          <w:rFonts w:asciiTheme="majorHAnsi" w:hAnsiTheme="majorHAnsi" w:cstheme="majorHAnsi"/>
          <w:i/>
          <w:iCs/>
        </w:rPr>
        <w:t>Better Mine Rehabilitation for Queensland: Discussion Paper</w:t>
      </w:r>
      <w:r w:rsidRPr="00735E63">
        <w:rPr>
          <w:rFonts w:asciiTheme="majorHAnsi" w:hAnsiTheme="majorHAnsi" w:cstheme="majorHAnsi"/>
        </w:rPr>
        <w:t xml:space="preserve"> (2017) available at &lt; https://s3.treasury.qld.gov.au/files/better-mine-rehabilitation-in-qld-discussion-paper1.pdf&gt;.</w:t>
      </w:r>
    </w:p>
  </w:footnote>
  <w:footnote w:id="203">
    <w:p w14:paraId="535F8665" w14:textId="05F780B2"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Queensland Department of Environment and Science, ‘Mining rehabilitation reforms’ (19 November 2019) accessed 30 July 2020, available at &lt; https://environment.des.qld.gov.au/management/policy-regulation/mining-rehab-reforms&gt;.</w:t>
      </w:r>
    </w:p>
  </w:footnote>
  <w:footnote w:id="204">
    <w:p w14:paraId="43B3BE71" w14:textId="7C4F52DE"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Queensland of Environment and Science, ‘Guideline – Progressive rehabilitation and closure plans (PRC plans)’ (1 November 2019) available at &lt; </w:t>
      </w:r>
      <w:hyperlink r:id="rId9" w:history="1">
        <w:r w:rsidRPr="00735E63">
          <w:rPr>
            <w:rStyle w:val="Hyperlink"/>
            <w:rFonts w:asciiTheme="majorHAnsi" w:hAnsiTheme="majorHAnsi" w:cstheme="majorHAnsi"/>
          </w:rPr>
          <w:t>https://environment.des.qld.gov.au/__data/assets/pdf_file/0026/95444/rs-gl-prc-plan.pdf</w:t>
        </w:r>
      </w:hyperlink>
      <w:r w:rsidRPr="00735E63">
        <w:rPr>
          <w:rFonts w:asciiTheme="majorHAnsi" w:hAnsiTheme="majorHAnsi" w:cstheme="majorHAnsi"/>
        </w:rPr>
        <w:t>&gt; p 4.</w:t>
      </w:r>
    </w:p>
  </w:footnote>
  <w:footnote w:id="205">
    <w:p w14:paraId="269D3265" w14:textId="7AD899B9"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Queensland of Environment and Science, </w:t>
      </w:r>
      <w:r w:rsidR="44AE50F4" w:rsidRPr="009843D4">
        <w:rPr>
          <w:rFonts w:asciiTheme="majorHAnsi" w:hAnsiTheme="majorHAnsi" w:cstheme="majorBidi"/>
          <w:i/>
          <w:iCs/>
        </w:rPr>
        <w:t>‘Guideline – Progressive rehabilitation and closure plans (PRC plans)’</w:t>
      </w:r>
      <w:r w:rsidR="44AE50F4" w:rsidRPr="44AE50F4">
        <w:rPr>
          <w:rFonts w:asciiTheme="majorHAnsi" w:hAnsiTheme="majorHAnsi" w:cstheme="majorBidi"/>
        </w:rPr>
        <w:t xml:space="preserve"> (1 November 2019) available at &lt; </w:t>
      </w:r>
      <w:hyperlink r:id="rId10" w:history="1">
        <w:r w:rsidR="44AE50F4" w:rsidRPr="44AE50F4">
          <w:rPr>
            <w:rStyle w:val="Hyperlink"/>
            <w:rFonts w:asciiTheme="majorHAnsi" w:hAnsiTheme="majorHAnsi" w:cstheme="majorBidi"/>
          </w:rPr>
          <w:t>https://environment.des.qld.gov.au/__data/assets/pdf_file/0026/95444/rs-gl-prc-plan.pdf</w:t>
        </w:r>
      </w:hyperlink>
      <w:r w:rsidR="44AE50F4" w:rsidRPr="44AE50F4">
        <w:rPr>
          <w:rFonts w:asciiTheme="majorHAnsi" w:hAnsiTheme="majorHAnsi" w:cstheme="majorBidi"/>
        </w:rPr>
        <w:t>&gt; p 17.</w:t>
      </w:r>
    </w:p>
  </w:footnote>
  <w:footnote w:id="206">
    <w:p w14:paraId="1C8C6BF3" w14:textId="6639654C"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Queensland of Environment and Science, ‘Guideline – Progressive rehabilitation and closure plans (PRC plans)’ (1 November 2019) available at &lt; </w:t>
      </w:r>
      <w:hyperlink r:id="rId11" w:history="1">
        <w:r w:rsidRPr="00735E63">
          <w:rPr>
            <w:rStyle w:val="Hyperlink"/>
            <w:rFonts w:asciiTheme="majorHAnsi" w:hAnsiTheme="majorHAnsi" w:cstheme="majorHAnsi"/>
          </w:rPr>
          <w:t>https://environment.des.qld.gov.au/__data/assets/pdf_file/0026/95444/rs-gl-prc-plan.pdf</w:t>
        </w:r>
      </w:hyperlink>
      <w:r w:rsidRPr="00735E63">
        <w:rPr>
          <w:rFonts w:asciiTheme="majorHAnsi" w:hAnsiTheme="majorHAnsi" w:cstheme="majorHAnsi"/>
        </w:rPr>
        <w:t xml:space="preserve">&gt; p 14. </w:t>
      </w:r>
    </w:p>
  </w:footnote>
  <w:footnote w:id="207">
    <w:p w14:paraId="49C7931D" w14:textId="3C1E1ADD"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Queensland of Environment and Science, ‘Guideline – Progressive rehabilitation and closure plans (PRC plans)’ (1 November 2019) available at &lt; </w:t>
      </w:r>
      <w:hyperlink r:id="rId12" w:history="1">
        <w:r w:rsidRPr="00735E63">
          <w:rPr>
            <w:rStyle w:val="Hyperlink"/>
            <w:rFonts w:asciiTheme="majorHAnsi" w:hAnsiTheme="majorHAnsi" w:cstheme="majorHAnsi"/>
          </w:rPr>
          <w:t>https://environment.des.qld.gov.au/__data/assets/pdf_file/0026/95444/rs-gl-prc-plan.pdf</w:t>
        </w:r>
      </w:hyperlink>
      <w:r w:rsidRPr="00735E63">
        <w:rPr>
          <w:rFonts w:asciiTheme="majorHAnsi" w:hAnsiTheme="majorHAnsi" w:cstheme="majorHAnsi"/>
        </w:rPr>
        <w:t>&gt; p 4.</w:t>
      </w:r>
    </w:p>
  </w:footnote>
  <w:footnote w:id="208">
    <w:p w14:paraId="5E10F447" w14:textId="3C3B74DE"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Queensland of Environment and Science, </w:t>
      </w:r>
      <w:r w:rsidR="44AE50F4" w:rsidRPr="00591BB5">
        <w:rPr>
          <w:rFonts w:asciiTheme="majorHAnsi" w:hAnsiTheme="majorHAnsi" w:cstheme="majorBidi"/>
          <w:i/>
          <w:iCs/>
        </w:rPr>
        <w:t xml:space="preserve">‘Guideline – Progressive rehabilitation and closure plans (PRC plans)’ </w:t>
      </w:r>
      <w:r w:rsidR="44AE50F4" w:rsidRPr="44AE50F4">
        <w:rPr>
          <w:rFonts w:asciiTheme="majorHAnsi" w:hAnsiTheme="majorHAnsi" w:cstheme="majorBidi"/>
        </w:rPr>
        <w:t xml:space="preserve">(1 November 2019) available at &lt; </w:t>
      </w:r>
      <w:hyperlink r:id="rId13" w:history="1">
        <w:r w:rsidR="44AE50F4" w:rsidRPr="44AE50F4">
          <w:rPr>
            <w:rStyle w:val="Hyperlink"/>
            <w:rFonts w:asciiTheme="majorHAnsi" w:hAnsiTheme="majorHAnsi" w:cstheme="majorBidi"/>
          </w:rPr>
          <w:t>https://environment.des.qld.gov.au/__data/assets/pdf_file/0026/95444/rs-gl-prc-plan.pdf</w:t>
        </w:r>
      </w:hyperlink>
      <w:r w:rsidR="44AE50F4" w:rsidRPr="44AE50F4">
        <w:rPr>
          <w:rFonts w:asciiTheme="majorHAnsi" w:hAnsiTheme="majorHAnsi" w:cstheme="majorBidi"/>
        </w:rPr>
        <w:t>&gt; p 15.</w:t>
      </w:r>
    </w:p>
  </w:footnote>
  <w:footnote w:id="209">
    <w:p w14:paraId="47D88A43" w14:textId="69D30E29"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Queensland of Environment and Science, </w:t>
      </w:r>
      <w:r w:rsidR="44AE50F4" w:rsidRPr="00570861">
        <w:rPr>
          <w:rFonts w:asciiTheme="majorHAnsi" w:hAnsiTheme="majorHAnsi" w:cstheme="majorBidi"/>
          <w:i/>
          <w:iCs/>
        </w:rPr>
        <w:t>‘Guideline – Progressive rehabilitation and closure plans (PRC plans)’</w:t>
      </w:r>
      <w:r w:rsidR="44AE50F4" w:rsidRPr="44AE50F4">
        <w:rPr>
          <w:rFonts w:asciiTheme="majorHAnsi" w:hAnsiTheme="majorHAnsi" w:cstheme="majorBidi"/>
        </w:rPr>
        <w:t xml:space="preserve"> (1 November 2019) available at &lt; </w:t>
      </w:r>
      <w:hyperlink r:id="rId14" w:history="1">
        <w:r w:rsidR="44AE50F4" w:rsidRPr="44AE50F4">
          <w:rPr>
            <w:rStyle w:val="Hyperlink"/>
            <w:rFonts w:asciiTheme="majorHAnsi" w:hAnsiTheme="majorHAnsi" w:cstheme="majorBidi"/>
          </w:rPr>
          <w:t>https://environment.des.qld.gov.au/__data/assets/pdf_file/0026/95444/rs-gl-prc-plan.pdf</w:t>
        </w:r>
      </w:hyperlink>
      <w:r w:rsidR="44AE50F4" w:rsidRPr="44AE50F4">
        <w:rPr>
          <w:rFonts w:asciiTheme="majorHAnsi" w:hAnsiTheme="majorHAnsi" w:cstheme="majorBidi"/>
        </w:rPr>
        <w:t>&gt; p 11.</w:t>
      </w:r>
    </w:p>
  </w:footnote>
  <w:footnote w:id="210">
    <w:p w14:paraId="6D81A511" w14:textId="4607DF7E"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Queensland of Environment and Science, </w:t>
      </w:r>
      <w:r w:rsidR="44AE50F4" w:rsidRPr="00570861">
        <w:rPr>
          <w:rFonts w:asciiTheme="majorHAnsi" w:hAnsiTheme="majorHAnsi" w:cstheme="majorBidi"/>
          <w:i/>
          <w:iCs/>
        </w:rPr>
        <w:t>‘Guideline – Progressive rehabilitation and closure plans (PRC plans)</w:t>
      </w:r>
      <w:r w:rsidR="44AE50F4" w:rsidRPr="44AE50F4">
        <w:rPr>
          <w:rFonts w:asciiTheme="majorHAnsi" w:hAnsiTheme="majorHAnsi" w:cstheme="majorBidi"/>
        </w:rPr>
        <w:t xml:space="preserve">’ (1 November 2019) available at &lt; </w:t>
      </w:r>
      <w:hyperlink r:id="rId15" w:history="1">
        <w:r w:rsidR="44AE50F4" w:rsidRPr="44AE50F4">
          <w:rPr>
            <w:rStyle w:val="Hyperlink"/>
            <w:rFonts w:asciiTheme="majorHAnsi" w:hAnsiTheme="majorHAnsi" w:cstheme="majorBidi"/>
          </w:rPr>
          <w:t>https://environment.des.qld.gov.au/__data/assets/pdf_file/0026/95444/rs-gl-prc-plan.pdf</w:t>
        </w:r>
      </w:hyperlink>
      <w:r w:rsidR="44AE50F4" w:rsidRPr="44AE50F4">
        <w:rPr>
          <w:rFonts w:asciiTheme="majorHAnsi" w:hAnsiTheme="majorHAnsi" w:cstheme="majorBidi"/>
        </w:rPr>
        <w:t xml:space="preserve">&gt; p 12. </w:t>
      </w:r>
    </w:p>
  </w:footnote>
  <w:footnote w:id="211">
    <w:p w14:paraId="6651760A" w14:textId="1117E1F5"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Queensland of Environment and Science,</w:t>
      </w:r>
      <w:r w:rsidR="44AE50F4" w:rsidRPr="00570861">
        <w:rPr>
          <w:rFonts w:asciiTheme="majorHAnsi" w:hAnsiTheme="majorHAnsi" w:cstheme="majorBidi"/>
          <w:i/>
          <w:iCs/>
        </w:rPr>
        <w:t xml:space="preserve"> ‘Guideline – Progressive rehabilitation and closure plans (PRC plans)’ </w:t>
      </w:r>
      <w:r w:rsidR="44AE50F4" w:rsidRPr="44AE50F4">
        <w:rPr>
          <w:rFonts w:asciiTheme="majorHAnsi" w:hAnsiTheme="majorHAnsi" w:cstheme="majorBidi"/>
        </w:rPr>
        <w:t xml:space="preserve">(1 November 2019) available at &lt; </w:t>
      </w:r>
      <w:hyperlink r:id="rId16" w:history="1">
        <w:r w:rsidR="44AE50F4" w:rsidRPr="44AE50F4">
          <w:rPr>
            <w:rStyle w:val="Hyperlink"/>
            <w:rFonts w:asciiTheme="majorHAnsi" w:hAnsiTheme="majorHAnsi" w:cstheme="majorBidi"/>
          </w:rPr>
          <w:t>https://environment.des.qld.gov.au/__data/assets/pdf_file/0026/95444/rs-gl-prc-plan.pdf</w:t>
        </w:r>
      </w:hyperlink>
      <w:r w:rsidR="44AE50F4" w:rsidRPr="44AE50F4">
        <w:rPr>
          <w:rFonts w:asciiTheme="majorHAnsi" w:hAnsiTheme="majorHAnsi" w:cstheme="majorBidi"/>
        </w:rPr>
        <w:t>&gt; p 18.</w:t>
      </w:r>
    </w:p>
  </w:footnote>
  <w:footnote w:id="212">
    <w:p w14:paraId="3AD70C10" w14:textId="6A79461D"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w:t>
      </w:r>
      <w:r w:rsidR="44AE50F4" w:rsidRPr="00570861">
        <w:rPr>
          <w:rFonts w:asciiTheme="majorHAnsi" w:hAnsiTheme="majorHAnsi" w:cstheme="majorBidi"/>
          <w:i/>
          <w:iCs/>
        </w:rPr>
        <w:t>Environmental Protection Regulation,</w:t>
      </w:r>
      <w:r w:rsidR="44AE50F4" w:rsidRPr="44AE50F4">
        <w:rPr>
          <w:rFonts w:asciiTheme="majorHAnsi" w:hAnsiTheme="majorHAnsi" w:cstheme="majorBidi"/>
        </w:rPr>
        <w:t xml:space="preserve"> </w:t>
      </w:r>
      <w:r w:rsidR="00B92016">
        <w:rPr>
          <w:rFonts w:asciiTheme="majorHAnsi" w:hAnsiTheme="majorHAnsi" w:cstheme="majorBidi"/>
        </w:rPr>
        <w:t>r</w:t>
      </w:r>
      <w:r w:rsidR="44AE50F4" w:rsidRPr="44AE50F4">
        <w:rPr>
          <w:rFonts w:asciiTheme="majorHAnsi" w:hAnsiTheme="majorHAnsi" w:cstheme="majorBidi"/>
        </w:rPr>
        <w:t xml:space="preserve"> 41B(1). </w:t>
      </w:r>
    </w:p>
  </w:footnote>
  <w:footnote w:id="213">
    <w:p w14:paraId="7B85D407" w14:textId="157644F1"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w:t>
      </w:r>
      <w:r w:rsidR="44AE50F4" w:rsidRPr="44AE50F4">
        <w:rPr>
          <w:rFonts w:asciiTheme="majorHAnsi" w:hAnsiTheme="majorHAnsi" w:cstheme="majorBidi"/>
          <w:i/>
          <w:iCs/>
        </w:rPr>
        <w:t xml:space="preserve">Environmental Protection Act 1994 </w:t>
      </w:r>
      <w:r w:rsidR="44AE50F4" w:rsidRPr="00570861">
        <w:rPr>
          <w:rFonts w:asciiTheme="majorHAnsi" w:hAnsiTheme="majorHAnsi" w:cstheme="majorBidi"/>
        </w:rPr>
        <w:t>(Vic)</w:t>
      </w:r>
      <w:r w:rsidR="44AE50F4" w:rsidRPr="44AE50F4">
        <w:rPr>
          <w:rFonts w:asciiTheme="majorHAnsi" w:hAnsiTheme="majorHAnsi" w:cstheme="majorBidi"/>
        </w:rPr>
        <w:t>, s 285.</w:t>
      </w:r>
    </w:p>
  </w:footnote>
  <w:footnote w:id="214">
    <w:p w14:paraId="40010DF9" w14:textId="1E813FF8"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Queensland of Environment and Science, ‘</w:t>
      </w:r>
      <w:r w:rsidR="44AE50F4" w:rsidRPr="00570861">
        <w:rPr>
          <w:rFonts w:asciiTheme="majorHAnsi" w:hAnsiTheme="majorHAnsi" w:cstheme="majorBidi"/>
          <w:i/>
          <w:iCs/>
        </w:rPr>
        <w:t xml:space="preserve">Guideline – Progressive rehabilitation and closure plans (PRC plans)’ </w:t>
      </w:r>
      <w:r w:rsidR="44AE50F4" w:rsidRPr="44AE50F4">
        <w:rPr>
          <w:rFonts w:asciiTheme="majorHAnsi" w:hAnsiTheme="majorHAnsi" w:cstheme="majorBidi"/>
        </w:rPr>
        <w:t xml:space="preserve">(1 November 2019) available at &lt; </w:t>
      </w:r>
      <w:hyperlink r:id="rId17" w:history="1">
        <w:r w:rsidR="44AE50F4" w:rsidRPr="44AE50F4">
          <w:rPr>
            <w:rStyle w:val="Hyperlink"/>
            <w:rFonts w:asciiTheme="majorHAnsi" w:hAnsiTheme="majorHAnsi" w:cstheme="majorBidi"/>
          </w:rPr>
          <w:t>https://environment.des.qld.gov.au/__data/assets/pdf_file/0026/95444/rs-gl-prc-plan.pdf</w:t>
        </w:r>
      </w:hyperlink>
      <w:r w:rsidR="44AE50F4" w:rsidRPr="44AE50F4">
        <w:rPr>
          <w:rFonts w:asciiTheme="majorHAnsi" w:hAnsiTheme="majorHAnsi" w:cstheme="majorBidi"/>
        </w:rPr>
        <w:t xml:space="preserve">&gt; p 42. </w:t>
      </w:r>
    </w:p>
  </w:footnote>
  <w:footnote w:id="215">
    <w:p w14:paraId="0480B59A" w14:textId="3E32ABC5"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Queensland Government –</w:t>
      </w:r>
      <w:r w:rsidR="44AE50F4" w:rsidRPr="00570861">
        <w:rPr>
          <w:rFonts w:asciiTheme="majorHAnsi" w:hAnsiTheme="majorHAnsi" w:cstheme="majorBidi"/>
          <w:i/>
          <w:iCs/>
        </w:rPr>
        <w:t xml:space="preserve"> Business Queensland, ‘Progressive certification for an environmental authority’</w:t>
      </w:r>
      <w:r w:rsidR="44AE50F4" w:rsidRPr="44AE50F4">
        <w:rPr>
          <w:rFonts w:asciiTheme="majorHAnsi" w:hAnsiTheme="majorHAnsi" w:cstheme="majorBidi"/>
        </w:rPr>
        <w:t xml:space="preserve"> (27 August 2020) available at &lt;https://www.business.qld.gov.au/running-business/environment/licences-permits/rehabilitation/certification&gt;.</w:t>
      </w:r>
    </w:p>
  </w:footnote>
  <w:footnote w:id="216">
    <w:p w14:paraId="6E2379AA" w14:textId="51DC7863"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Queensland Government – </w:t>
      </w:r>
      <w:r w:rsidR="44AE50F4" w:rsidRPr="00B654CE">
        <w:rPr>
          <w:rFonts w:asciiTheme="majorHAnsi" w:hAnsiTheme="majorHAnsi" w:cstheme="majorBidi"/>
          <w:i/>
          <w:iCs/>
        </w:rPr>
        <w:t xml:space="preserve">Business Queensland, ‘Residual risk payments for an environmental authority’ </w:t>
      </w:r>
      <w:r w:rsidR="44AE50F4" w:rsidRPr="44AE50F4">
        <w:rPr>
          <w:rFonts w:asciiTheme="majorHAnsi" w:hAnsiTheme="majorHAnsi" w:cstheme="majorBidi"/>
        </w:rPr>
        <w:t>(27 August 2020) available at &lt; https://www.business.qld.gov.au/running-business/environment/licences-permits/rehabilitation/residual&gt;.</w:t>
      </w:r>
    </w:p>
  </w:footnote>
  <w:footnote w:id="217">
    <w:p w14:paraId="406C2919" w14:textId="0DBD4F74"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Department of Mines, Industry Regulation and Safety – WA, </w:t>
      </w:r>
      <w:r w:rsidRPr="00735E63">
        <w:rPr>
          <w:rFonts w:asciiTheme="majorHAnsi" w:hAnsiTheme="majorHAnsi" w:cstheme="majorHAnsi"/>
          <w:i/>
          <w:iCs/>
        </w:rPr>
        <w:t>Environmental Objectives Policy for Mining</w:t>
      </w:r>
      <w:r w:rsidRPr="00735E63">
        <w:rPr>
          <w:rFonts w:asciiTheme="majorHAnsi" w:hAnsiTheme="majorHAnsi" w:cstheme="majorHAnsi"/>
        </w:rPr>
        <w:t xml:space="preserve"> (effective 3 March 2020).</w:t>
      </w:r>
    </w:p>
  </w:footnote>
  <w:footnote w:id="218">
    <w:p w14:paraId="6B7F052F" w14:textId="1E99AEE6" w:rsidR="00314925" w:rsidRPr="00735E63" w:rsidRDefault="00314925" w:rsidP="44AE50F4">
      <w:pPr>
        <w:pStyle w:val="FootnoteText"/>
        <w:spacing w:before="0" w:after="0"/>
        <w:rPr>
          <w:rFonts w:asciiTheme="majorHAnsi" w:hAnsiTheme="majorHAnsi" w:cstheme="majorBidi"/>
        </w:rPr>
      </w:pPr>
      <w:r w:rsidRPr="44AE50F4">
        <w:rPr>
          <w:rStyle w:val="FootnoteReference"/>
          <w:rFonts w:asciiTheme="majorHAnsi" w:hAnsiTheme="majorHAnsi" w:cstheme="majorBidi"/>
        </w:rPr>
        <w:footnoteRef/>
      </w:r>
      <w:r w:rsidR="44AE50F4" w:rsidRPr="44AE50F4">
        <w:rPr>
          <w:rFonts w:asciiTheme="majorHAnsi" w:hAnsiTheme="majorHAnsi" w:cstheme="majorBidi"/>
        </w:rPr>
        <w:t xml:space="preserve"> Department of Mines, Industry Regulation and Safety – WA, ‘</w:t>
      </w:r>
      <w:r w:rsidR="44AE50F4" w:rsidRPr="00B654CE">
        <w:rPr>
          <w:rFonts w:asciiTheme="majorHAnsi" w:hAnsiTheme="majorHAnsi" w:cstheme="majorBidi"/>
          <w:i/>
          <w:iCs/>
        </w:rPr>
        <w:t>About the MRF</w:t>
      </w:r>
      <w:r w:rsidR="44AE50F4" w:rsidRPr="44AE50F4">
        <w:rPr>
          <w:rFonts w:asciiTheme="majorHAnsi" w:hAnsiTheme="majorHAnsi" w:cstheme="majorBidi"/>
        </w:rPr>
        <w:t>’ available at &lt;https://www.dmp.wa.gov.au/Environment/What-is-the-MRF-19522.aspx&gt;.</w:t>
      </w:r>
    </w:p>
  </w:footnote>
  <w:footnote w:id="219">
    <w:p w14:paraId="2279CECC" w14:textId="0F1D4BDB"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See Anglo-American, </w:t>
      </w:r>
      <w:r w:rsidRPr="00735E63">
        <w:rPr>
          <w:rFonts w:asciiTheme="majorHAnsi" w:hAnsiTheme="majorHAnsi" w:cstheme="majorHAnsi"/>
          <w:i/>
          <w:iCs/>
        </w:rPr>
        <w:t>Mine Closure Toolbox – Examples Version 3.0</w:t>
      </w:r>
      <w:r w:rsidRPr="00735E63">
        <w:rPr>
          <w:rFonts w:asciiTheme="majorHAnsi" w:hAnsiTheme="majorHAnsi" w:cstheme="majorHAnsi"/>
        </w:rPr>
        <w:t xml:space="preserve"> (2019) available at &lt;https://www.angloamerican.com/~/media/Files/A/Anglo-American-Group/PLC/sustainability/mine-closure-toolbox-examples-version-3-2019.pdf&gt;.</w:t>
      </w:r>
    </w:p>
  </w:footnote>
  <w:footnote w:id="220">
    <w:p w14:paraId="1B892491" w14:textId="7E8F4C02"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Ibid 68.</w:t>
      </w:r>
    </w:p>
  </w:footnote>
  <w:footnote w:id="221">
    <w:p w14:paraId="08AFBFFE" w14:textId="1A9E7FAF"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Ibid 71. </w:t>
      </w:r>
    </w:p>
  </w:footnote>
  <w:footnote w:id="222">
    <w:p w14:paraId="7F0F8180" w14:textId="37E6BD66"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See ICMM, </w:t>
      </w:r>
      <w:r w:rsidRPr="00735E63">
        <w:rPr>
          <w:rFonts w:asciiTheme="majorHAnsi" w:hAnsiTheme="majorHAnsi" w:cstheme="majorHAnsi"/>
          <w:i/>
          <w:iCs/>
        </w:rPr>
        <w:t>Integrated Mine Closure: Good practice guide</w:t>
      </w:r>
      <w:r w:rsidRPr="00735E63">
        <w:rPr>
          <w:rFonts w:asciiTheme="majorHAnsi" w:hAnsiTheme="majorHAnsi" w:cstheme="majorHAnsi"/>
        </w:rPr>
        <w:t xml:space="preserve"> (2019) available at &lt;https://www.icmm.com/website/publications/pdfs/closure/190107_good_practice_guide_web.pdf&gt;.</w:t>
      </w:r>
    </w:p>
  </w:footnote>
  <w:footnote w:id="223">
    <w:p w14:paraId="40EA7D4D" w14:textId="40D8859A" w:rsidR="00314925" w:rsidRPr="00735E63" w:rsidRDefault="00314925" w:rsidP="00B03213">
      <w:pPr>
        <w:pStyle w:val="FootnoteText"/>
        <w:spacing w:before="0" w:after="0"/>
        <w:rPr>
          <w:rFonts w:asciiTheme="majorHAnsi" w:hAnsiTheme="majorHAnsi" w:cstheme="majorHAnsi"/>
        </w:rPr>
      </w:pPr>
      <w:r w:rsidRPr="00735E63">
        <w:rPr>
          <w:rStyle w:val="FootnoteReference"/>
          <w:rFonts w:asciiTheme="majorHAnsi" w:hAnsiTheme="majorHAnsi" w:cstheme="majorHAnsi"/>
        </w:rPr>
        <w:footnoteRef/>
      </w:r>
      <w:r w:rsidRPr="00735E63">
        <w:rPr>
          <w:rFonts w:asciiTheme="majorHAnsi" w:hAnsiTheme="majorHAnsi" w:cstheme="majorHAnsi"/>
        </w:rPr>
        <w:t xml:space="preserve"> Ibid 37.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CFDCE" w14:textId="7AEAD337" w:rsidR="00314925" w:rsidRDefault="00314925">
    <w:pPr>
      <w:pStyle w:val="Header"/>
    </w:pPr>
    <w:r>
      <w:rPr>
        <w:noProof/>
        <w:lang w:val="en-GB" w:eastAsia="en-GB"/>
      </w:rPr>
      <mc:AlternateContent>
        <mc:Choice Requires="wps">
          <w:drawing>
            <wp:anchor distT="0" distB="0" distL="114300" distR="114300" simplePos="0" relativeHeight="251658245" behindDoc="1" locked="0" layoutInCell="1" allowOverlap="1" wp14:anchorId="0EC3B7C8" wp14:editId="304BAEB0">
              <wp:simplePos x="0" y="0"/>
              <wp:positionH relativeFrom="column">
                <wp:posOffset>1543685</wp:posOffset>
              </wp:positionH>
              <wp:positionV relativeFrom="paragraph">
                <wp:posOffset>3886200</wp:posOffset>
              </wp:positionV>
              <wp:extent cx="2575560" cy="976630"/>
              <wp:effectExtent l="0" t="504825" r="33655" b="49530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7663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79B4DB4" w14:textId="77777777" w:rsidR="00314925" w:rsidRDefault="00314925" w:rsidP="003B3F45">
                          <w:pPr>
                            <w:jc w:val="center"/>
                            <w:rPr>
                              <w:sz w:val="24"/>
                              <w:szCs w:val="24"/>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EC3B7C8" id="_x0000_t202" coordsize="21600,21600" o:spt="202" path="m,l,21600r21600,l21600,xe">
              <v:stroke joinstyle="miter"/>
              <v:path gradientshapeok="t" o:connecttype="rect"/>
            </v:shapetype>
            <v:shape id="Text Box 27" o:spid="_x0000_s1030" type="#_x0000_t202" style="position:absolute;margin-left:121.55pt;margin-top:306pt;width:202.8pt;height:76.9pt;rotation:-30;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" filled="f" stroked="f">
              <v:stroke joinstyle="round"/>
              <o:lock v:ext="edit" shapetype="t"/>
              <v:textbox style="mso-fit-shape-to-text:t">
                <w:txbxContent>
                  <w:p w14:paraId="379B4DB4" w14:textId="77777777" w:rsidR="00314925" w:rsidRDefault="00314925" w:rsidP="003B3F45">
                    <w:pPr>
                      <w:jc w:val="center"/>
                      <w:rPr>
                        <w:sz w:val="24"/>
                        <w:szCs w:val="24"/>
                      </w:rPr>
                    </w:pPr>
                    <w:r>
                      <w:rPr>
                        <w:rFonts w:ascii="EYInterstate" w:hAnsi="EYInterstate"/>
                        <w:color w:val="FFD200"/>
                        <w:sz w:val="88"/>
                        <w:szCs w:val="88"/>
                      </w:rPr>
                      <w:t>draft</w:t>
                    </w:r>
                  </w:p>
                </w:txbxContent>
              </v:textbox>
            </v:shape>
          </w:pict>
        </mc:Fallback>
      </mc:AlternateContent>
    </w:r>
    <w:r>
      <w:rPr>
        <w:noProof/>
        <w:lang w:val="en-GB" w:eastAsia="en-GB"/>
      </w:rPr>
      <mc:AlternateContent>
        <mc:Choice Requires="wps">
          <w:drawing>
            <wp:anchor distT="0" distB="0" distL="114300" distR="114300" simplePos="0" relativeHeight="251658247" behindDoc="1" locked="0" layoutInCell="1" allowOverlap="1" wp14:anchorId="1AC3FBEF" wp14:editId="0B65E950">
              <wp:simplePos x="0" y="0"/>
              <wp:positionH relativeFrom="column">
                <wp:posOffset>1543685</wp:posOffset>
              </wp:positionH>
              <wp:positionV relativeFrom="paragraph">
                <wp:posOffset>3886200</wp:posOffset>
              </wp:positionV>
              <wp:extent cx="2575560" cy="976630"/>
              <wp:effectExtent l="0" t="504825" r="33655" b="49530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7663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720FDD0" w14:textId="77777777" w:rsidR="00314925" w:rsidRDefault="00314925" w:rsidP="003B3F45">
                          <w:pPr>
                            <w:jc w:val="center"/>
                            <w:rPr>
                              <w:sz w:val="24"/>
                              <w:szCs w:val="24"/>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AC3FBEF" id="Text Box 31" o:spid="_x0000_s1031" type="#_x0000_t202" style="position:absolute;margin-left:121.55pt;margin-top:306pt;width:202.8pt;height:76.9pt;rotation:-30;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" filled="f" stroked="f">
              <v:stroke joinstyle="round"/>
              <o:lock v:ext="edit" shapetype="t"/>
              <v:textbox style="mso-fit-shape-to-text:t">
                <w:txbxContent>
                  <w:p w14:paraId="0720FDD0" w14:textId="77777777" w:rsidR="00314925" w:rsidRDefault="00314925" w:rsidP="003B3F45">
                    <w:pPr>
                      <w:jc w:val="center"/>
                      <w:rPr>
                        <w:sz w:val="24"/>
                        <w:szCs w:val="24"/>
                      </w:rPr>
                    </w:pPr>
                    <w:r>
                      <w:rPr>
                        <w:rFonts w:ascii="EYInterstate" w:hAnsi="EYInterstate"/>
                        <w:color w:val="FFD200"/>
                        <w:sz w:val="88"/>
                        <w:szCs w:val="88"/>
                      </w:rPr>
                      <w:t>draft</w:t>
                    </w:r>
                  </w:p>
                </w:txbxContent>
              </v:textbox>
            </v:shape>
          </w:pict>
        </mc:Fallback>
      </mc:AlternateContent>
    </w:r>
    <w:r>
      <w:rPr>
        <w:noProof/>
        <w:lang w:val="en-GB" w:eastAsia="en-GB"/>
      </w:rPr>
      <mc:AlternateContent>
        <mc:Choice Requires="wps">
          <w:drawing>
            <wp:anchor distT="0" distB="0" distL="114300" distR="114300" simplePos="0" relativeHeight="251658248" behindDoc="1" locked="0" layoutInCell="1" allowOverlap="1" wp14:anchorId="79C1E3A1" wp14:editId="2E10694D">
              <wp:simplePos x="0" y="0"/>
              <wp:positionH relativeFrom="column">
                <wp:posOffset>1543685</wp:posOffset>
              </wp:positionH>
              <wp:positionV relativeFrom="paragraph">
                <wp:posOffset>3886200</wp:posOffset>
              </wp:positionV>
              <wp:extent cx="2575560" cy="976630"/>
              <wp:effectExtent l="0" t="504825" r="33655" b="495300"/>
              <wp:wrapNone/>
              <wp:docPr id="1577419746" name="Text Box 1577419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7663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2117068" w14:textId="77777777" w:rsidR="00314925" w:rsidRDefault="00314925" w:rsidP="003B3F45">
                          <w:pPr>
                            <w:jc w:val="center"/>
                            <w:rPr>
                              <w:sz w:val="24"/>
                              <w:szCs w:val="24"/>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C1E3A1" id="Text Box 1577419746" o:spid="_x0000_s1032" type="#_x0000_t202" style="position:absolute;margin-left:121.55pt;margin-top:306pt;width:202.8pt;height:76.9pt;rotation:-30;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" filled="f" stroked="f">
              <v:stroke joinstyle="round"/>
              <o:lock v:ext="edit" shapetype="t"/>
              <v:textbox style="mso-fit-shape-to-text:t">
                <w:txbxContent>
                  <w:p w14:paraId="62117068" w14:textId="77777777" w:rsidR="00314925" w:rsidRDefault="00314925" w:rsidP="003B3F45">
                    <w:pPr>
                      <w:jc w:val="center"/>
                      <w:rPr>
                        <w:sz w:val="24"/>
                        <w:szCs w:val="24"/>
                      </w:rPr>
                    </w:pPr>
                    <w:r>
                      <w:rPr>
                        <w:rFonts w:ascii="EYInterstate" w:hAnsi="EYInterstate"/>
                        <w:color w:val="FFD200"/>
                        <w:sz w:val="88"/>
                        <w:szCs w:val="88"/>
                      </w:rPr>
                      <w:t>draft</w:t>
                    </w:r>
                  </w:p>
                </w:txbxContent>
              </v:textbox>
            </v:shape>
          </w:pict>
        </mc:Fallback>
      </mc:AlternateContent>
    </w:r>
    <w:r>
      <w:rPr>
        <w:noProof/>
        <w:lang w:val="en-GB" w:eastAsia="en-GB"/>
      </w:rPr>
      <mc:AlternateContent>
        <mc:Choice Requires="wps">
          <w:drawing>
            <wp:anchor distT="0" distB="0" distL="114300" distR="114300" simplePos="0" relativeHeight="251658249" behindDoc="1" locked="0" layoutInCell="1" allowOverlap="1" wp14:anchorId="5314669C" wp14:editId="5FBC2D9A">
              <wp:simplePos x="0" y="0"/>
              <wp:positionH relativeFrom="column">
                <wp:posOffset>1543685</wp:posOffset>
              </wp:positionH>
              <wp:positionV relativeFrom="paragraph">
                <wp:posOffset>3886200</wp:posOffset>
              </wp:positionV>
              <wp:extent cx="2575560" cy="976630"/>
              <wp:effectExtent l="0" t="504825" r="33655" b="495300"/>
              <wp:wrapNone/>
              <wp:docPr id="1577419750" name="Text Box 1577419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7663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4CD22B3" w14:textId="77777777" w:rsidR="00314925" w:rsidRDefault="00314925" w:rsidP="003B3F45">
                          <w:pPr>
                            <w:jc w:val="center"/>
                            <w:rPr>
                              <w:sz w:val="24"/>
                              <w:szCs w:val="24"/>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14669C" id="Text Box 1577419750" o:spid="_x0000_s1033" type="#_x0000_t202" style="position:absolute;margin-left:121.55pt;margin-top:306pt;width:202.8pt;height:76.9pt;rotation:-30;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" filled="f" stroked="f">
              <v:stroke joinstyle="round"/>
              <o:lock v:ext="edit" shapetype="t"/>
              <v:textbox style="mso-fit-shape-to-text:t">
                <w:txbxContent>
                  <w:p w14:paraId="64CD22B3" w14:textId="77777777" w:rsidR="00314925" w:rsidRDefault="00314925" w:rsidP="003B3F45">
                    <w:pPr>
                      <w:jc w:val="center"/>
                      <w:rPr>
                        <w:sz w:val="24"/>
                        <w:szCs w:val="24"/>
                      </w:rPr>
                    </w:pPr>
                    <w:r>
                      <w:rPr>
                        <w:rFonts w:ascii="EYInterstate" w:hAnsi="EYInterstate"/>
                        <w:color w:val="FFD200"/>
                        <w:sz w:val="88"/>
                        <w:szCs w:val="88"/>
                      </w:rPr>
                      <w:t>draft</w:t>
                    </w:r>
                  </w:p>
                </w:txbxContent>
              </v:textbox>
            </v:shape>
          </w:pict>
        </mc:Fallback>
      </mc:AlternateContent>
    </w:r>
    <w:r>
      <w:rPr>
        <w:noProof/>
        <w:lang w:val="en-GB" w:eastAsia="en-GB"/>
      </w:rPr>
      <mc:AlternateContent>
        <mc:Choice Requires="wps">
          <w:drawing>
            <wp:anchor distT="0" distB="0" distL="114300" distR="114300" simplePos="0" relativeHeight="251658250" behindDoc="1" locked="0" layoutInCell="1" allowOverlap="1" wp14:anchorId="3D46D54A" wp14:editId="7B76DDD0">
              <wp:simplePos x="0" y="0"/>
              <wp:positionH relativeFrom="column">
                <wp:posOffset>1543685</wp:posOffset>
              </wp:positionH>
              <wp:positionV relativeFrom="paragraph">
                <wp:posOffset>3886200</wp:posOffset>
              </wp:positionV>
              <wp:extent cx="2575560" cy="976630"/>
              <wp:effectExtent l="0" t="504825" r="33655" b="495300"/>
              <wp:wrapNone/>
              <wp:docPr id="1577419753" name="Text Box 1577419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7663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7607084" w14:textId="77777777" w:rsidR="00314925" w:rsidRDefault="00314925" w:rsidP="003B3F45">
                          <w:pPr>
                            <w:jc w:val="center"/>
                            <w:rPr>
                              <w:sz w:val="24"/>
                              <w:szCs w:val="24"/>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D46D54A" id="Text Box 1577419753" o:spid="_x0000_s1034" type="#_x0000_t202" style="position:absolute;margin-left:121.55pt;margin-top:306pt;width:202.8pt;height:76.9pt;rotation:-30;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" filled="f" stroked="f">
              <v:stroke joinstyle="round"/>
              <o:lock v:ext="edit" shapetype="t"/>
              <v:textbox style="mso-fit-shape-to-text:t">
                <w:txbxContent>
                  <w:p w14:paraId="07607084" w14:textId="77777777" w:rsidR="00314925" w:rsidRDefault="00314925" w:rsidP="003B3F45">
                    <w:pPr>
                      <w:jc w:val="center"/>
                      <w:rPr>
                        <w:sz w:val="24"/>
                        <w:szCs w:val="24"/>
                      </w:rPr>
                    </w:pPr>
                    <w:r>
                      <w:rPr>
                        <w:rFonts w:ascii="EYInterstate" w:hAnsi="EYInterstate"/>
                        <w:color w:val="FFD200"/>
                        <w:sz w:val="88"/>
                        <w:szCs w:val="88"/>
                      </w:rPr>
                      <w:t>draft</w:t>
                    </w:r>
                  </w:p>
                </w:txbxContent>
              </v:textbox>
            </v:shape>
          </w:pict>
        </mc:Fallback>
      </mc:AlternateContent>
    </w:r>
    <w:r>
      <w:rPr>
        <w:noProof/>
        <w:lang w:val="en-GB" w:eastAsia="en-GB"/>
      </w:rPr>
      <mc:AlternateContent>
        <mc:Choice Requires="wps">
          <w:drawing>
            <wp:anchor distT="0" distB="0" distL="114300" distR="114300" simplePos="0" relativeHeight="251658251" behindDoc="1" locked="0" layoutInCell="1" allowOverlap="1" wp14:anchorId="518CA9BF" wp14:editId="04863248">
              <wp:simplePos x="0" y="0"/>
              <wp:positionH relativeFrom="column">
                <wp:posOffset>1543685</wp:posOffset>
              </wp:positionH>
              <wp:positionV relativeFrom="paragraph">
                <wp:posOffset>3886200</wp:posOffset>
              </wp:positionV>
              <wp:extent cx="2575560" cy="976630"/>
              <wp:effectExtent l="0" t="504825" r="33655" b="495300"/>
              <wp:wrapNone/>
              <wp:docPr id="1577419756" name="Text Box 1577419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7663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875F1F7" w14:textId="77777777" w:rsidR="00314925" w:rsidRDefault="00314925" w:rsidP="003B3F45">
                          <w:pPr>
                            <w:jc w:val="center"/>
                            <w:rPr>
                              <w:sz w:val="24"/>
                              <w:szCs w:val="24"/>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18CA9BF" id="Text Box 1577419756" o:spid="_x0000_s1035" type="#_x0000_t202" style="position:absolute;margin-left:121.55pt;margin-top:306pt;width:202.8pt;height:76.9pt;rotation:-30;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" filled="f" stroked="f">
              <v:stroke joinstyle="round"/>
              <o:lock v:ext="edit" shapetype="t"/>
              <v:textbox style="mso-fit-shape-to-text:t">
                <w:txbxContent>
                  <w:p w14:paraId="2875F1F7" w14:textId="77777777" w:rsidR="00314925" w:rsidRDefault="00314925" w:rsidP="003B3F45">
                    <w:pPr>
                      <w:jc w:val="center"/>
                      <w:rPr>
                        <w:sz w:val="24"/>
                        <w:szCs w:val="24"/>
                      </w:rPr>
                    </w:pPr>
                    <w:r>
                      <w:rPr>
                        <w:rFonts w:ascii="EYInterstate" w:hAnsi="EYInterstate"/>
                        <w:color w:val="FFD200"/>
                        <w:sz w:val="88"/>
                        <w:szCs w:val="88"/>
                      </w:rPr>
                      <w:t>draft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F2E12" w14:textId="6254720F" w:rsidR="00314925" w:rsidRDefault="000B3BF6">
    <w:pPr>
      <w:pStyle w:val="Header"/>
    </w:pPr>
    <w:r>
      <w:rPr>
        <w:noProof/>
        <w:lang w:val="en-GB" w:eastAsia="en-GB"/>
      </w:rPr>
      <mc:AlternateContent>
        <mc:Choice Requires="wps">
          <w:drawing>
            <wp:anchor distT="0" distB="0" distL="114300" distR="114300" simplePos="0" relativeHeight="251664396" behindDoc="0" locked="0" layoutInCell="0" allowOverlap="1" wp14:anchorId="5CA89F29" wp14:editId="25509985">
              <wp:simplePos x="0" y="0"/>
              <wp:positionH relativeFrom="page">
                <wp:align>center</wp:align>
              </wp:positionH>
              <wp:positionV relativeFrom="page">
                <wp:align>top</wp:align>
              </wp:positionV>
              <wp:extent cx="7772400" cy="463550"/>
              <wp:effectExtent l="0" t="0" r="0" b="12700"/>
              <wp:wrapNone/>
              <wp:docPr id="20" name="MSIPCMf88f4693ad64ea09127502bc" descr="{&quot;HashCode&quot;:-1288817837,&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EC2779" w14:textId="22EDB87A" w:rsidR="000B3BF6" w:rsidRPr="000B3BF6" w:rsidRDefault="000B3BF6" w:rsidP="000B3BF6">
                          <w:pPr>
                            <w:spacing w:before="0" w:after="0"/>
                            <w:jc w:val="center"/>
                            <w:rPr>
                              <w:rFonts w:ascii="Calibri" w:hAnsi="Calibri" w:cs="Calibri"/>
                              <w:color w:val="000000"/>
                              <w:sz w:val="24"/>
                            </w:rPr>
                          </w:pPr>
                          <w:r w:rsidRPr="000B3BF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CA89F29" id="_x0000_t202" coordsize="21600,21600" o:spt="202" path="m,l,21600r21600,l21600,xe">
              <v:stroke joinstyle="miter"/>
              <v:path gradientshapeok="t" o:connecttype="rect"/>
            </v:shapetype>
            <v:shape id="MSIPCMf88f4693ad64ea09127502bc" o:spid="_x0000_s1036" type="#_x0000_t202" alt="{&quot;HashCode&quot;:-1288817837,&quot;Height&quot;:9999999.0,&quot;Width&quot;:9999999.0,&quot;Placement&quot;:&quot;Header&quot;,&quot;Index&quot;:&quot;Primary&quot;,&quot;Section&quot;:1,&quot;Top&quot;:0.0,&quot;Left&quot;:0.0}" style="position:absolute;margin-left:0;margin-top:0;width:612pt;height:36.5pt;z-index:25166439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" o:allowincell="f" filled="f" stroked="f" strokeweight=".5pt">
              <v:fill o:detectmouseclick="t"/>
              <v:textbox inset=",0,,0">
                <w:txbxContent>
                  <w:p w14:paraId="44EC2779" w14:textId="22EDB87A" w:rsidR="000B3BF6" w:rsidRPr="000B3BF6" w:rsidRDefault="000B3BF6" w:rsidP="000B3BF6">
                    <w:pPr>
                      <w:spacing w:before="0" w:after="0"/>
                      <w:jc w:val="center"/>
                      <w:rPr>
                        <w:rFonts w:ascii="Calibri" w:hAnsi="Calibri" w:cs="Calibri"/>
                        <w:color w:val="000000"/>
                        <w:sz w:val="24"/>
                      </w:rPr>
                    </w:pPr>
                    <w:r w:rsidRPr="000B3BF6">
                      <w:rPr>
                        <w:rFonts w:ascii="Calibri" w:hAnsi="Calibri" w:cs="Calibri"/>
                        <w:color w:val="000000"/>
                        <w:sz w:val="24"/>
                      </w:rPr>
                      <w:t>OFFICIAL</w:t>
                    </w:r>
                  </w:p>
                </w:txbxContent>
              </v:textbox>
              <w10:wrap anchorx="page" anchory="page"/>
            </v:shape>
          </w:pict>
        </mc:Fallback>
      </mc:AlternateContent>
    </w:r>
    <w:r w:rsidR="00314925">
      <w:rPr>
        <w:noProof/>
        <w:lang w:val="en-GB" w:eastAsia="en-GB"/>
      </w:rPr>
      <mc:AlternateContent>
        <mc:Choice Requires="wps">
          <w:drawing>
            <wp:anchor distT="0" distB="0" distL="114300" distR="114300" simplePos="0" relativeHeight="251658244" behindDoc="1" locked="0" layoutInCell="1" allowOverlap="1" wp14:anchorId="03049CF2" wp14:editId="7D19F3D4">
              <wp:simplePos x="0" y="0"/>
              <wp:positionH relativeFrom="column">
                <wp:posOffset>1543685</wp:posOffset>
              </wp:positionH>
              <wp:positionV relativeFrom="paragraph">
                <wp:posOffset>3886200</wp:posOffset>
              </wp:positionV>
              <wp:extent cx="2575560" cy="976630"/>
              <wp:effectExtent l="0" t="504825" r="33655" b="49530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7663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59BCAF9" w14:textId="77777777" w:rsidR="00314925" w:rsidRDefault="00314925" w:rsidP="003B3F45">
                          <w:pPr>
                            <w:jc w:val="center"/>
                            <w:rPr>
                              <w:sz w:val="24"/>
                              <w:szCs w:val="24"/>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3049CF2" id="_x0000_t202" coordsize="21600,21600" o:spt="202" path="m,l,21600r21600,l21600,xe">
              <v:stroke joinstyle="miter"/>
              <v:path gradientshapeok="t" o:connecttype="rect"/>
            </v:shapetype>
            <v:shape id="Text Box 23" o:spid="_x0000_s1036" type="#_x0000_t202" style="position:absolute;margin-left:121.55pt;margin-top:306pt;width:202.8pt;height:76.9pt;rotation:-30;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" filled="f" stroked="f">
              <v:stroke joinstyle="round"/>
              <o:lock v:ext="edit" shapetype="t"/>
              <v:textbox style="mso-fit-shape-to-text:t">
                <w:txbxContent>
                  <w:p w14:paraId="559BCAF9" w14:textId="77777777" w:rsidR="00314925" w:rsidRDefault="00314925" w:rsidP="003B3F45">
                    <w:pPr>
                      <w:jc w:val="center"/>
                      <w:rPr>
                        <w:sz w:val="24"/>
                        <w:szCs w:val="24"/>
                      </w:rPr>
                    </w:pPr>
                    <w:r>
                      <w:rPr>
                        <w:rFonts w:ascii="EYInterstate" w:hAnsi="EYInterstate"/>
                        <w:color w:val="FFD200"/>
                        <w:sz w:val="88"/>
                        <w:szCs w:val="88"/>
                      </w:rPr>
                      <w:t>draft</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19BB5" w14:textId="451439CB" w:rsidR="00314925" w:rsidRDefault="000B3BF6" w:rsidP="00644924">
    <w:r>
      <w:rPr>
        <w:noProof/>
        <w:lang w:val="en-GB" w:eastAsia="en-GB"/>
      </w:rPr>
      <mc:AlternateContent>
        <mc:Choice Requires="wps">
          <w:drawing>
            <wp:anchor distT="0" distB="0" distL="114300" distR="114300" simplePos="0" relativeHeight="251665420" behindDoc="0" locked="0" layoutInCell="0" allowOverlap="1" wp14:anchorId="33F9FCD6" wp14:editId="3FB7F01A">
              <wp:simplePos x="0" y="0"/>
              <wp:positionH relativeFrom="page">
                <wp:align>center</wp:align>
              </wp:positionH>
              <wp:positionV relativeFrom="page">
                <wp:align>top</wp:align>
              </wp:positionV>
              <wp:extent cx="7772400" cy="463550"/>
              <wp:effectExtent l="0" t="0" r="0" b="12700"/>
              <wp:wrapNone/>
              <wp:docPr id="21" name="MSIPCMfd094e80adbe6834c20499af" descr="{&quot;HashCode&quot;:-1288817837,&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67B69E" w14:textId="6EC93786" w:rsidR="000B3BF6" w:rsidRPr="000B3BF6" w:rsidRDefault="000B3BF6" w:rsidP="000B3BF6">
                          <w:pPr>
                            <w:spacing w:before="0" w:after="0"/>
                            <w:jc w:val="center"/>
                            <w:rPr>
                              <w:rFonts w:ascii="Calibri" w:hAnsi="Calibri" w:cs="Calibri"/>
                              <w:color w:val="000000"/>
                              <w:sz w:val="24"/>
                            </w:rPr>
                          </w:pPr>
                          <w:r w:rsidRPr="000B3BF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3F9FCD6" id="_x0000_t202" coordsize="21600,21600" o:spt="202" path="m,l,21600r21600,l21600,xe">
              <v:stroke joinstyle="miter"/>
              <v:path gradientshapeok="t" o:connecttype="rect"/>
            </v:shapetype>
            <v:shape id="MSIPCMfd094e80adbe6834c20499af" o:spid="_x0000_s1039" type="#_x0000_t202" alt="{&quot;HashCode&quot;:-1288817837,&quot;Height&quot;:9999999.0,&quot;Width&quot;:9999999.0,&quot;Placement&quot;:&quot;Header&quot;,&quot;Index&quot;:&quot;FirstPage&quot;,&quot;Section&quot;:1,&quot;Top&quot;:0.0,&quot;Left&quot;:0.0}" style="position:absolute;margin-left:0;margin-top:0;width:612pt;height:36.5pt;z-index:25166542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Hybvxq4CAABbBQAADgAAAAAAAAAA&#10;AAAAAAAuAgAAZHJzL2Uyb0RvYy54bWxQSwECLQAUAAYACAAAACEAvh8Kt9oAAAAFAQAADwAAAAAA&#10;AAAAAAAAAAAIBQAAZHJzL2Rvd25yZXYueG1sUEsFBgAAAAAEAAQA8wAAAA8GAAAAAA==&#10;" o:allowincell="f" filled="f" stroked="f" strokeweight=".5pt">
              <v:fill o:detectmouseclick="t"/>
              <v:textbox inset=",0,,0">
                <w:txbxContent>
                  <w:p w14:paraId="1A67B69E" w14:textId="6EC93786" w:rsidR="000B3BF6" w:rsidRPr="000B3BF6" w:rsidRDefault="000B3BF6" w:rsidP="000B3BF6">
                    <w:pPr>
                      <w:spacing w:before="0" w:after="0"/>
                      <w:jc w:val="center"/>
                      <w:rPr>
                        <w:rFonts w:ascii="Calibri" w:hAnsi="Calibri" w:cs="Calibri"/>
                        <w:color w:val="000000"/>
                        <w:sz w:val="24"/>
                      </w:rPr>
                    </w:pPr>
                    <w:r w:rsidRPr="000B3BF6">
                      <w:rPr>
                        <w:rFonts w:ascii="Calibri" w:hAnsi="Calibri" w:cs="Calibri"/>
                        <w:color w:val="000000"/>
                        <w:sz w:val="24"/>
                      </w:rPr>
                      <w:t>OFFICIAL</w:t>
                    </w:r>
                  </w:p>
                </w:txbxContent>
              </v:textbox>
              <w10:wrap anchorx="page" anchory="page"/>
            </v:shape>
          </w:pict>
        </mc:Fallback>
      </mc:AlternateContent>
    </w:r>
    <w:r w:rsidR="00314925">
      <w:rPr>
        <w:noProof/>
        <w:lang w:val="en-GB" w:eastAsia="en-GB"/>
      </w:rPr>
      <w:drawing>
        <wp:anchor distT="0" distB="0" distL="114300" distR="114300" simplePos="0" relativeHeight="251658240" behindDoc="1" locked="0" layoutInCell="1" allowOverlap="1" wp14:anchorId="4A385B70" wp14:editId="6F18A60F">
          <wp:simplePos x="0" y="0"/>
          <wp:positionH relativeFrom="page">
            <wp:align>left</wp:align>
          </wp:positionH>
          <wp:positionV relativeFrom="page">
            <wp:align>top</wp:align>
          </wp:positionV>
          <wp:extent cx="7559400" cy="106848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B479D" w14:textId="519C9439" w:rsidR="00314925" w:rsidRPr="00644924" w:rsidRDefault="000B3BF6" w:rsidP="00644924">
    <w:r>
      <w:rPr>
        <w:noProof/>
        <w:lang w:val="en-GB" w:eastAsia="en-GB"/>
      </w:rPr>
      <mc:AlternateContent>
        <mc:Choice Requires="wps">
          <w:drawing>
            <wp:anchor distT="0" distB="0" distL="114300" distR="114300" simplePos="0" relativeHeight="251666444" behindDoc="0" locked="0" layoutInCell="0" allowOverlap="1" wp14:anchorId="7EEF26BF" wp14:editId="0E3909CA">
              <wp:simplePos x="0" y="190500"/>
              <wp:positionH relativeFrom="page">
                <wp:align>center</wp:align>
              </wp:positionH>
              <wp:positionV relativeFrom="page">
                <wp:align>top</wp:align>
              </wp:positionV>
              <wp:extent cx="7772400" cy="463550"/>
              <wp:effectExtent l="0" t="0" r="0" b="12700"/>
              <wp:wrapNone/>
              <wp:docPr id="22" name="MSIPCM8bec4285a8b92261e5c015c0" descr="{&quot;HashCode&quot;:-1288817837,&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C8A135" w14:textId="1B4143B6" w:rsidR="000B3BF6" w:rsidRPr="000B3BF6" w:rsidRDefault="000B3BF6" w:rsidP="000B3BF6">
                          <w:pPr>
                            <w:spacing w:before="0" w:after="0"/>
                            <w:jc w:val="center"/>
                            <w:rPr>
                              <w:rFonts w:ascii="Calibri" w:hAnsi="Calibri" w:cs="Calibri"/>
                              <w:color w:val="000000"/>
                              <w:sz w:val="24"/>
                            </w:rPr>
                          </w:pPr>
                          <w:r w:rsidRPr="000B3BF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EEF26BF" id="_x0000_t202" coordsize="21600,21600" o:spt="202" path="m,l,21600r21600,l21600,xe">
              <v:stroke joinstyle="miter"/>
              <v:path gradientshapeok="t" o:connecttype="rect"/>
            </v:shapetype>
            <v:shape id="MSIPCM8bec4285a8b92261e5c015c0" o:spid="_x0000_s1041" type="#_x0000_t202" alt="{&quot;HashCode&quot;:-1288817837,&quot;Height&quot;:9999999.0,&quot;Width&quot;:9999999.0,&quot;Placement&quot;:&quot;Header&quot;,&quot;Index&quot;:&quot;Primary&quot;,&quot;Section&quot;:2,&quot;Top&quot;:0.0,&quot;Left&quot;:0.0}" style="position:absolute;margin-left:0;margin-top:0;width:612pt;height:36.5pt;z-index:25166644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" o:allowincell="f" filled="f" stroked="f" strokeweight=".5pt">
              <v:fill o:detectmouseclick="t"/>
              <v:textbox inset=",0,,0">
                <w:txbxContent>
                  <w:p w14:paraId="54C8A135" w14:textId="1B4143B6" w:rsidR="000B3BF6" w:rsidRPr="000B3BF6" w:rsidRDefault="000B3BF6" w:rsidP="000B3BF6">
                    <w:pPr>
                      <w:spacing w:before="0" w:after="0"/>
                      <w:jc w:val="center"/>
                      <w:rPr>
                        <w:rFonts w:ascii="Calibri" w:hAnsi="Calibri" w:cs="Calibri"/>
                        <w:color w:val="000000"/>
                        <w:sz w:val="24"/>
                      </w:rPr>
                    </w:pPr>
                    <w:r w:rsidRPr="000B3BF6">
                      <w:rPr>
                        <w:rFonts w:ascii="Calibri" w:hAnsi="Calibri" w:cs="Calibri"/>
                        <w:color w:val="000000"/>
                        <w:sz w:val="24"/>
                      </w:rPr>
                      <w:t>OFFICIAL</w:t>
                    </w:r>
                  </w:p>
                </w:txbxContent>
              </v:textbox>
              <w10:wrap anchorx="page" anchory="page"/>
            </v:shape>
          </w:pict>
        </mc:Fallback>
      </mc:AlternateContent>
    </w:r>
    <w:r w:rsidR="00314925">
      <w:rPr>
        <w:noProof/>
        <w:lang w:val="en-GB" w:eastAsia="en-GB"/>
      </w:rPr>
      <w:drawing>
        <wp:anchor distT="0" distB="0" distL="114300" distR="114300" simplePos="0" relativeHeight="251658241" behindDoc="1" locked="0" layoutInCell="1" allowOverlap="1" wp14:anchorId="1FA78D81" wp14:editId="79EC51AC">
          <wp:simplePos x="0" y="0"/>
          <wp:positionH relativeFrom="page">
            <wp:align>left</wp:align>
          </wp:positionH>
          <wp:positionV relativeFrom="page">
            <wp:align>top</wp:align>
          </wp:positionV>
          <wp:extent cx="7559400" cy="10684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r w:rsidR="00314925">
      <w:rPr>
        <w:noProof/>
        <w:lang w:val="en-GB" w:eastAsia="en-GB"/>
      </w:rPr>
      <mc:AlternateContent>
        <mc:Choice Requires="wps">
          <w:drawing>
            <wp:anchor distT="0" distB="0" distL="114300" distR="114300" simplePos="0" relativeHeight="251658246" behindDoc="1" locked="0" layoutInCell="1" allowOverlap="1" wp14:anchorId="4DE21578" wp14:editId="2C411CEB">
              <wp:simplePos x="0" y="0"/>
              <wp:positionH relativeFrom="column">
                <wp:posOffset>1543685</wp:posOffset>
              </wp:positionH>
              <wp:positionV relativeFrom="paragraph">
                <wp:posOffset>3886200</wp:posOffset>
              </wp:positionV>
              <wp:extent cx="2575560" cy="976630"/>
              <wp:effectExtent l="0" t="504825" r="33655" b="49530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7663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6E1097D" w14:textId="77777777" w:rsidR="00314925" w:rsidRDefault="00314925" w:rsidP="003B3F45">
                          <w:pPr>
                            <w:jc w:val="center"/>
                            <w:rPr>
                              <w:sz w:val="24"/>
                              <w:szCs w:val="24"/>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DE21578" id="_x0000_t202" coordsize="21600,21600" o:spt="202" path="m,l,21600r21600,l21600,xe">
              <v:stroke joinstyle="miter"/>
              <v:path gradientshapeok="t" o:connecttype="rect"/>
            </v:shapetype>
            <v:shape id="Text Box 28" o:spid="_x0000_s1039" type="#_x0000_t202" style="position:absolute;margin-left:121.55pt;margin-top:306pt;width:202.8pt;height:76.9pt;rotation:-30;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" filled="f" stroked="f">
              <v:stroke joinstyle="round"/>
              <o:lock v:ext="edit" shapetype="t"/>
              <v:textbox style="mso-fit-shape-to-text:t">
                <w:txbxContent>
                  <w:p w14:paraId="66E1097D" w14:textId="77777777" w:rsidR="00314925" w:rsidRDefault="00314925" w:rsidP="003B3F45">
                    <w:pPr>
                      <w:jc w:val="center"/>
                      <w:rPr>
                        <w:sz w:val="24"/>
                        <w:szCs w:val="24"/>
                      </w:rPr>
                    </w:pPr>
                    <w:r>
                      <w:rPr>
                        <w:rFonts w:ascii="EYInterstate" w:hAnsi="EYInterstate"/>
                        <w:color w:val="FFD200"/>
                        <w:sz w:val="88"/>
                        <w:szCs w:val="88"/>
                      </w:rPr>
                      <w:t>draft</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17B59" w14:textId="71EF8512" w:rsidR="00314925" w:rsidRPr="00A044CC" w:rsidRDefault="00314925" w:rsidP="00A044CC">
    <w:pPr>
      <w:tabs>
        <w:tab w:val="left" w:pos="5490"/>
        <w:tab w:val="right" w:pos="9026"/>
      </w:tabs>
      <w:rPr>
        <w:sz w:val="28"/>
        <w:szCs w:val="28"/>
      </w:rPr>
    </w:pPr>
    <w:r>
      <w:rPr>
        <w:noProof/>
        <w:lang w:val="en-GB" w:eastAsia="en-GB"/>
      </w:rPr>
      <w:drawing>
        <wp:anchor distT="0" distB="0" distL="114300" distR="114300" simplePos="0" relativeHeight="251658242" behindDoc="1" locked="0" layoutInCell="1" allowOverlap="1" wp14:anchorId="6F270C88" wp14:editId="4818C21B">
          <wp:simplePos x="0" y="0"/>
          <wp:positionH relativeFrom="page">
            <wp:align>left</wp:align>
          </wp:positionH>
          <wp:positionV relativeFrom="page">
            <wp:align>top</wp:align>
          </wp:positionV>
          <wp:extent cx="7559400" cy="106848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391FE" w14:textId="2BBF9D62" w:rsidR="00314925" w:rsidRPr="00644924" w:rsidRDefault="00314925" w:rsidP="00644924">
    <w:r>
      <w:rPr>
        <w:noProof/>
        <w:lang w:val="en-GB" w:eastAsia="en-GB"/>
      </w:rPr>
      <w:drawing>
        <wp:anchor distT="0" distB="0" distL="114300" distR="114300" simplePos="0" relativeHeight="251658252" behindDoc="1" locked="0" layoutInCell="1" allowOverlap="1" wp14:anchorId="271BD9D5" wp14:editId="728076C6">
          <wp:simplePos x="0" y="0"/>
          <wp:positionH relativeFrom="page">
            <wp:posOffset>0</wp:posOffset>
          </wp:positionH>
          <wp:positionV relativeFrom="page">
            <wp:posOffset>66675</wp:posOffset>
          </wp:positionV>
          <wp:extent cx="7559400" cy="106848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CD552" w14:textId="5F32A4E2" w:rsidR="00314925" w:rsidRPr="00644924" w:rsidRDefault="00314925" w:rsidP="00644924">
    <w:r>
      <w:rPr>
        <w:noProof/>
        <w:lang w:val="en-GB" w:eastAsia="en-GB"/>
      </w:rPr>
      <w:drawing>
        <wp:anchor distT="0" distB="0" distL="114300" distR="114300" simplePos="0" relativeHeight="251658243" behindDoc="1" locked="0" layoutInCell="1" allowOverlap="1" wp14:anchorId="4F77529D" wp14:editId="41484E75">
          <wp:simplePos x="0" y="0"/>
          <wp:positionH relativeFrom="page">
            <wp:posOffset>0</wp:posOffset>
          </wp:positionH>
          <wp:positionV relativeFrom="page">
            <wp:posOffset>66675</wp:posOffset>
          </wp:positionV>
          <wp:extent cx="7559400" cy="10684800"/>
          <wp:effectExtent l="0" t="0" r="0" b="0"/>
          <wp:wrapNone/>
          <wp:docPr id="1577419744" name="Picture 157741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HTCCigie9OWQo9" int2:id="Ka4aTYTG">
      <int2:state int2:value="Rejected" int2:type="LegacyProofing"/>
    </int2:textHash>
    <int2:textHash int2:hashCode="xgDzA50uAYUN6A" int2:id="rf4Jlx8O">
      <int2:state int2:value="Rejected" int2:type="AugLoop_Text_Critique"/>
    </int2:textHash>
    <int2:bookmark int2:bookmarkName="_Int_qOp8bfui" int2:invalidationBookmarkName="" int2:hashCode="gDTEPRW7fvQuLM" int2:id="rPkvH7Bd">
      <int2:state int2:value="Rejected" int2:type="LegacyProofing"/>
    </int2:bookmark>
    <int2:bookmark int2:bookmarkName="_Int_jJm4MJ7F" int2:invalidationBookmarkName="" int2:hashCode="SjHo6C7Hb3klTS" int2:id="wyYpGCIO">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57C8F892"/>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hybridMultilevel"/>
    <w:tmpl w:val="8F4CF29E"/>
    <w:lvl w:ilvl="0" w:tplc="FFFFFFFF">
      <w:start w:val="1"/>
      <w:numFmt w:val="bullet"/>
      <w:pStyle w:val="ListBullet"/>
      <w:lvlText w:val=""/>
      <w:lvlJc w:val="left"/>
      <w:pPr>
        <w:tabs>
          <w:tab w:val="num" w:pos="360"/>
        </w:tabs>
        <w:ind w:left="360" w:hanging="360"/>
      </w:pPr>
      <w:rPr>
        <w:rFonts w:ascii="Symbol" w:hAnsi="Symbol" w:hint="default"/>
      </w:rPr>
    </w:lvl>
    <w:lvl w:ilvl="1" w:tplc="EC287902">
      <w:numFmt w:val="decimal"/>
      <w:lvlText w:val=""/>
      <w:lvlJc w:val="left"/>
    </w:lvl>
    <w:lvl w:ilvl="2" w:tplc="B1604D1A">
      <w:numFmt w:val="decimal"/>
      <w:lvlText w:val=""/>
      <w:lvlJc w:val="left"/>
    </w:lvl>
    <w:lvl w:ilvl="3" w:tplc="69D0BAF2">
      <w:numFmt w:val="decimal"/>
      <w:lvlText w:val=""/>
      <w:lvlJc w:val="left"/>
    </w:lvl>
    <w:lvl w:ilvl="4" w:tplc="6610FE68">
      <w:numFmt w:val="decimal"/>
      <w:lvlText w:val=""/>
      <w:lvlJc w:val="left"/>
    </w:lvl>
    <w:lvl w:ilvl="5" w:tplc="A2E00808">
      <w:numFmt w:val="decimal"/>
      <w:lvlText w:val=""/>
      <w:lvlJc w:val="left"/>
    </w:lvl>
    <w:lvl w:ilvl="6" w:tplc="68B69F70">
      <w:numFmt w:val="decimal"/>
      <w:lvlText w:val=""/>
      <w:lvlJc w:val="left"/>
    </w:lvl>
    <w:lvl w:ilvl="7" w:tplc="FC8C3562">
      <w:numFmt w:val="decimal"/>
      <w:lvlText w:val=""/>
      <w:lvlJc w:val="left"/>
    </w:lvl>
    <w:lvl w:ilvl="8" w:tplc="3F1C63FE">
      <w:numFmt w:val="decimal"/>
      <w:lvlText w:val=""/>
      <w:lvlJc w:val="left"/>
    </w:lvl>
  </w:abstractNum>
  <w:abstractNum w:abstractNumId="2" w15:restartNumberingAfterBreak="0">
    <w:nsid w:val="01E02938"/>
    <w:multiLevelType w:val="hybridMultilevel"/>
    <w:tmpl w:val="0E3C8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EC7CA0"/>
    <w:multiLevelType w:val="hybridMultilevel"/>
    <w:tmpl w:val="CB56495C"/>
    <w:lvl w:ilvl="0" w:tplc="DC1838FC">
      <w:start w:val="1"/>
      <w:numFmt w:val="decimal"/>
      <w:pStyle w:val="Numberedlist"/>
      <w:lvlText w:val="%1."/>
      <w:lvlJc w:val="left"/>
      <w:pPr>
        <w:ind w:left="717" w:hanging="360"/>
      </w:pPr>
      <w:rPr>
        <w:rFonts w:hint="default"/>
      </w:rPr>
    </w:lvl>
    <w:lvl w:ilvl="1" w:tplc="0C090019">
      <w:start w:val="1"/>
      <w:numFmt w:val="lowerLetter"/>
      <w:lvlText w:val="%2."/>
      <w:lvlJc w:val="left"/>
      <w:pPr>
        <w:ind w:left="1437" w:hanging="360"/>
      </w:pPr>
    </w:lvl>
    <w:lvl w:ilvl="2" w:tplc="0C09001B">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 w15:restartNumberingAfterBreak="0">
    <w:nsid w:val="0239657B"/>
    <w:multiLevelType w:val="hybridMultilevel"/>
    <w:tmpl w:val="1C660014"/>
    <w:lvl w:ilvl="0" w:tplc="BA90B78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29835A4"/>
    <w:multiLevelType w:val="multilevel"/>
    <w:tmpl w:val="2E108B7C"/>
    <w:lvl w:ilvl="0">
      <w:start w:val="3"/>
      <w:numFmt w:val="decimal"/>
      <w:lvlText w:val="%1"/>
      <w:lvlJc w:val="left"/>
      <w:pPr>
        <w:ind w:left="405" w:hanging="405"/>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 w15:restartNumberingAfterBreak="0">
    <w:nsid w:val="059674AE"/>
    <w:multiLevelType w:val="hybridMultilevel"/>
    <w:tmpl w:val="13529FEA"/>
    <w:lvl w:ilvl="0" w:tplc="4E64B19E">
      <w:start w:val="1"/>
      <w:numFmt w:val="bullet"/>
      <w:lvlText w:val=""/>
      <w:lvlJc w:val="left"/>
      <w:pPr>
        <w:ind w:left="720" w:hanging="360"/>
      </w:pPr>
      <w:rPr>
        <w:rFonts w:ascii="Symbol" w:hAnsi="Symbol" w:hint="default"/>
      </w:rPr>
    </w:lvl>
    <w:lvl w:ilvl="1" w:tplc="AC2CC764">
      <w:start w:val="1"/>
      <w:numFmt w:val="bullet"/>
      <w:lvlText w:val="o"/>
      <w:lvlJc w:val="left"/>
      <w:pPr>
        <w:ind w:left="1440" w:hanging="360"/>
      </w:pPr>
      <w:rPr>
        <w:rFonts w:ascii="Courier New" w:hAnsi="Courier New" w:hint="default"/>
      </w:rPr>
    </w:lvl>
    <w:lvl w:ilvl="2" w:tplc="D6A889FA">
      <w:start w:val="1"/>
      <w:numFmt w:val="bullet"/>
      <w:lvlText w:val=""/>
      <w:lvlJc w:val="left"/>
      <w:pPr>
        <w:ind w:left="2160" w:hanging="360"/>
      </w:pPr>
      <w:rPr>
        <w:rFonts w:ascii="Wingdings" w:hAnsi="Wingdings" w:hint="default"/>
      </w:rPr>
    </w:lvl>
    <w:lvl w:ilvl="3" w:tplc="D4A2E38E">
      <w:start w:val="1"/>
      <w:numFmt w:val="bullet"/>
      <w:lvlText w:val=""/>
      <w:lvlJc w:val="left"/>
      <w:pPr>
        <w:ind w:left="2880" w:hanging="360"/>
      </w:pPr>
      <w:rPr>
        <w:rFonts w:ascii="Symbol" w:hAnsi="Symbol" w:hint="default"/>
      </w:rPr>
    </w:lvl>
    <w:lvl w:ilvl="4" w:tplc="76A2969E">
      <w:start w:val="1"/>
      <w:numFmt w:val="bullet"/>
      <w:lvlText w:val="o"/>
      <w:lvlJc w:val="left"/>
      <w:pPr>
        <w:ind w:left="3600" w:hanging="360"/>
      </w:pPr>
      <w:rPr>
        <w:rFonts w:ascii="Courier New" w:hAnsi="Courier New" w:hint="default"/>
      </w:rPr>
    </w:lvl>
    <w:lvl w:ilvl="5" w:tplc="9E2A4CC4">
      <w:start w:val="1"/>
      <w:numFmt w:val="bullet"/>
      <w:lvlText w:val=""/>
      <w:lvlJc w:val="left"/>
      <w:pPr>
        <w:ind w:left="4320" w:hanging="360"/>
      </w:pPr>
      <w:rPr>
        <w:rFonts w:ascii="Wingdings" w:hAnsi="Wingdings" w:hint="default"/>
      </w:rPr>
    </w:lvl>
    <w:lvl w:ilvl="6" w:tplc="85EC0E46">
      <w:start w:val="1"/>
      <w:numFmt w:val="bullet"/>
      <w:lvlText w:val=""/>
      <w:lvlJc w:val="left"/>
      <w:pPr>
        <w:ind w:left="5040" w:hanging="360"/>
      </w:pPr>
      <w:rPr>
        <w:rFonts w:ascii="Symbol" w:hAnsi="Symbol" w:hint="default"/>
      </w:rPr>
    </w:lvl>
    <w:lvl w:ilvl="7" w:tplc="E092E3B6">
      <w:start w:val="1"/>
      <w:numFmt w:val="bullet"/>
      <w:lvlText w:val="o"/>
      <w:lvlJc w:val="left"/>
      <w:pPr>
        <w:ind w:left="5760" w:hanging="360"/>
      </w:pPr>
      <w:rPr>
        <w:rFonts w:ascii="Courier New" w:hAnsi="Courier New" w:hint="default"/>
      </w:rPr>
    </w:lvl>
    <w:lvl w:ilvl="8" w:tplc="8002528A">
      <w:start w:val="1"/>
      <w:numFmt w:val="bullet"/>
      <w:lvlText w:val=""/>
      <w:lvlJc w:val="left"/>
      <w:pPr>
        <w:ind w:left="6480" w:hanging="360"/>
      </w:pPr>
      <w:rPr>
        <w:rFonts w:ascii="Wingdings" w:hAnsi="Wingdings" w:hint="default"/>
      </w:rPr>
    </w:lvl>
  </w:abstractNum>
  <w:abstractNum w:abstractNumId="7" w15:restartNumberingAfterBreak="0">
    <w:nsid w:val="05C514A8"/>
    <w:multiLevelType w:val="multilevel"/>
    <w:tmpl w:val="97E2349E"/>
    <w:lvl w:ilvl="0">
      <w:start w:val="1"/>
      <w:numFmt w:val="decimal"/>
      <w:lvlRestart w:val="0"/>
      <w:pStyle w:val="EYHeading1"/>
      <w:lvlText w:val="%1."/>
      <w:lvlJc w:val="left"/>
      <w:pPr>
        <w:ind w:left="851" w:hanging="851"/>
      </w:pPr>
      <w:rPr>
        <w:rFonts w:ascii="Arial" w:hAnsi="Arial" w:cs="Arial" w:hint="default"/>
        <w:b w:val="0"/>
        <w:bCs w:val="0"/>
        <w:i w:val="0"/>
        <w:color w:val="201547"/>
        <w:sz w:val="44"/>
        <w:szCs w:val="44"/>
      </w:rPr>
    </w:lvl>
    <w:lvl w:ilvl="1">
      <w:start w:val="1"/>
      <w:numFmt w:val="decimal"/>
      <w:pStyle w:val="EYHeading2"/>
      <w:lvlText w:val="%1.%2"/>
      <w:lvlJc w:val="left"/>
      <w:pPr>
        <w:tabs>
          <w:tab w:val="num" w:pos="0"/>
        </w:tabs>
        <w:ind w:left="851" w:hanging="851"/>
      </w:pPr>
      <w:rPr>
        <w:rFonts w:ascii="Arial" w:hAnsi="Arial" w:cs="Arial" w:hint="default"/>
        <w:b/>
        <w:i w:val="0"/>
        <w:color w:val="201547"/>
        <w:sz w:val="28"/>
      </w:rPr>
    </w:lvl>
    <w:lvl w:ilvl="2">
      <w:start w:val="1"/>
      <w:numFmt w:val="decimal"/>
      <w:pStyle w:val="EYHeading3"/>
      <w:lvlText w:val="%1.%2.%3"/>
      <w:lvlJc w:val="left"/>
      <w:pPr>
        <w:tabs>
          <w:tab w:val="num" w:pos="2836"/>
        </w:tabs>
        <w:ind w:left="3687" w:hanging="851"/>
      </w:pPr>
      <w:rPr>
        <w:rFonts w:ascii="Arial" w:hAnsi="Arial" w:cs="Arial" w:hint="default"/>
        <w:b/>
        <w:i w:val="0"/>
        <w:color w:val="000000"/>
        <w:sz w:val="26"/>
      </w:rPr>
    </w:lvl>
    <w:lvl w:ilvl="3">
      <w:start w:val="1"/>
      <w:numFmt w:val="decimal"/>
      <w:pStyle w:val="EYHeading4"/>
      <w:lvlText w:val="%1.%2.%3.%4"/>
      <w:lvlJc w:val="left"/>
      <w:pPr>
        <w:tabs>
          <w:tab w:val="num" w:pos="0"/>
        </w:tabs>
        <w:ind w:left="851" w:hanging="851"/>
      </w:pPr>
      <w:rPr>
        <w:rFonts w:ascii="Arial" w:hAnsi="Arial" w:cs="Arial" w:hint="default"/>
        <w:b/>
        <w:i w:val="0"/>
        <w:color w:val="000000"/>
        <w:sz w:val="22"/>
      </w:rPr>
    </w:lvl>
    <w:lvl w:ilvl="4">
      <w:start w:val="1"/>
      <w:numFmt w:val="none"/>
      <w:lvlText w:val=""/>
      <w:lvlJc w:val="left"/>
      <w:pPr>
        <w:tabs>
          <w:tab w:val="num" w:pos="0"/>
        </w:tabs>
        <w:ind w:left="851" w:hanging="851"/>
      </w:pPr>
      <w:rPr>
        <w:rFonts w:hint="default"/>
      </w:rPr>
    </w:lvl>
    <w:lvl w:ilvl="5">
      <w:start w:val="1"/>
      <w:numFmt w:val="none"/>
      <w:lvlText w:val=""/>
      <w:lvlJc w:val="left"/>
      <w:pPr>
        <w:tabs>
          <w:tab w:val="num" w:pos="0"/>
        </w:tabs>
        <w:ind w:left="851" w:hanging="851"/>
      </w:pPr>
      <w:rPr>
        <w:rFonts w:hint="default"/>
      </w:rPr>
    </w:lvl>
    <w:lvl w:ilvl="6">
      <w:start w:val="1"/>
      <w:numFmt w:val="none"/>
      <w:lvlText w:val=""/>
      <w:lvlJc w:val="left"/>
      <w:pPr>
        <w:tabs>
          <w:tab w:val="num" w:pos="0"/>
        </w:tabs>
        <w:ind w:left="851" w:hanging="851"/>
      </w:pPr>
      <w:rPr>
        <w:rFonts w:hint="default"/>
      </w:rPr>
    </w:lvl>
    <w:lvl w:ilvl="7">
      <w:start w:val="1"/>
      <w:numFmt w:val="none"/>
      <w:lvlText w:val=""/>
      <w:lvlJc w:val="left"/>
      <w:pPr>
        <w:tabs>
          <w:tab w:val="num" w:pos="0"/>
        </w:tabs>
        <w:ind w:left="851" w:hanging="851"/>
      </w:pPr>
      <w:rPr>
        <w:rFonts w:hint="default"/>
      </w:rPr>
    </w:lvl>
    <w:lvl w:ilvl="8">
      <w:start w:val="1"/>
      <w:numFmt w:val="none"/>
      <w:lvlText w:val=""/>
      <w:lvlJc w:val="left"/>
      <w:pPr>
        <w:tabs>
          <w:tab w:val="num" w:pos="0"/>
        </w:tabs>
        <w:ind w:left="851" w:hanging="851"/>
      </w:pPr>
      <w:rPr>
        <w:rFonts w:hint="default"/>
      </w:rPr>
    </w:lvl>
  </w:abstractNum>
  <w:abstractNum w:abstractNumId="8" w15:restartNumberingAfterBreak="0">
    <w:nsid w:val="06190E90"/>
    <w:multiLevelType w:val="hybridMultilevel"/>
    <w:tmpl w:val="93B0609C"/>
    <w:lvl w:ilvl="0" w:tplc="A91E7D58">
      <w:start w:val="1"/>
      <w:numFmt w:val="bullet"/>
      <w:lvlText w:val="•"/>
      <w:lvlJc w:val="left"/>
      <w:pPr>
        <w:tabs>
          <w:tab w:val="num" w:pos="720"/>
        </w:tabs>
        <w:ind w:left="720" w:hanging="360"/>
      </w:pPr>
      <w:rPr>
        <w:rFonts w:ascii="Arial" w:hAnsi="Arial" w:hint="default"/>
      </w:rPr>
    </w:lvl>
    <w:lvl w:ilvl="1" w:tplc="0D888FE4" w:tentative="1">
      <w:start w:val="1"/>
      <w:numFmt w:val="bullet"/>
      <w:lvlText w:val="•"/>
      <w:lvlJc w:val="left"/>
      <w:pPr>
        <w:tabs>
          <w:tab w:val="num" w:pos="1440"/>
        </w:tabs>
        <w:ind w:left="1440" w:hanging="360"/>
      </w:pPr>
      <w:rPr>
        <w:rFonts w:ascii="Arial" w:hAnsi="Arial" w:hint="default"/>
      </w:rPr>
    </w:lvl>
    <w:lvl w:ilvl="2" w:tplc="BBD45590" w:tentative="1">
      <w:start w:val="1"/>
      <w:numFmt w:val="bullet"/>
      <w:lvlText w:val="•"/>
      <w:lvlJc w:val="left"/>
      <w:pPr>
        <w:tabs>
          <w:tab w:val="num" w:pos="2160"/>
        </w:tabs>
        <w:ind w:left="2160" w:hanging="360"/>
      </w:pPr>
      <w:rPr>
        <w:rFonts w:ascii="Arial" w:hAnsi="Arial" w:hint="default"/>
      </w:rPr>
    </w:lvl>
    <w:lvl w:ilvl="3" w:tplc="CCB6EE88" w:tentative="1">
      <w:start w:val="1"/>
      <w:numFmt w:val="bullet"/>
      <w:lvlText w:val="•"/>
      <w:lvlJc w:val="left"/>
      <w:pPr>
        <w:tabs>
          <w:tab w:val="num" w:pos="2880"/>
        </w:tabs>
        <w:ind w:left="2880" w:hanging="360"/>
      </w:pPr>
      <w:rPr>
        <w:rFonts w:ascii="Arial" w:hAnsi="Arial" w:hint="default"/>
      </w:rPr>
    </w:lvl>
    <w:lvl w:ilvl="4" w:tplc="7EFAB71E" w:tentative="1">
      <w:start w:val="1"/>
      <w:numFmt w:val="bullet"/>
      <w:lvlText w:val="•"/>
      <w:lvlJc w:val="left"/>
      <w:pPr>
        <w:tabs>
          <w:tab w:val="num" w:pos="3600"/>
        </w:tabs>
        <w:ind w:left="3600" w:hanging="360"/>
      </w:pPr>
      <w:rPr>
        <w:rFonts w:ascii="Arial" w:hAnsi="Arial" w:hint="default"/>
      </w:rPr>
    </w:lvl>
    <w:lvl w:ilvl="5" w:tplc="A1000814" w:tentative="1">
      <w:start w:val="1"/>
      <w:numFmt w:val="bullet"/>
      <w:lvlText w:val="•"/>
      <w:lvlJc w:val="left"/>
      <w:pPr>
        <w:tabs>
          <w:tab w:val="num" w:pos="4320"/>
        </w:tabs>
        <w:ind w:left="4320" w:hanging="360"/>
      </w:pPr>
      <w:rPr>
        <w:rFonts w:ascii="Arial" w:hAnsi="Arial" w:hint="default"/>
      </w:rPr>
    </w:lvl>
    <w:lvl w:ilvl="6" w:tplc="5934853A" w:tentative="1">
      <w:start w:val="1"/>
      <w:numFmt w:val="bullet"/>
      <w:lvlText w:val="•"/>
      <w:lvlJc w:val="left"/>
      <w:pPr>
        <w:tabs>
          <w:tab w:val="num" w:pos="5040"/>
        </w:tabs>
        <w:ind w:left="5040" w:hanging="360"/>
      </w:pPr>
      <w:rPr>
        <w:rFonts w:ascii="Arial" w:hAnsi="Arial" w:hint="default"/>
      </w:rPr>
    </w:lvl>
    <w:lvl w:ilvl="7" w:tplc="73CA74A8" w:tentative="1">
      <w:start w:val="1"/>
      <w:numFmt w:val="bullet"/>
      <w:lvlText w:val="•"/>
      <w:lvlJc w:val="left"/>
      <w:pPr>
        <w:tabs>
          <w:tab w:val="num" w:pos="5760"/>
        </w:tabs>
        <w:ind w:left="5760" w:hanging="360"/>
      </w:pPr>
      <w:rPr>
        <w:rFonts w:ascii="Arial" w:hAnsi="Arial" w:hint="default"/>
      </w:rPr>
    </w:lvl>
    <w:lvl w:ilvl="8" w:tplc="C3A6598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65224B6"/>
    <w:multiLevelType w:val="hybridMultilevel"/>
    <w:tmpl w:val="0096EEA0"/>
    <w:lvl w:ilvl="0" w:tplc="32D21F24">
      <w:start w:val="1"/>
      <w:numFmt w:val="bullet"/>
      <w:lvlText w:val=""/>
      <w:lvlJc w:val="left"/>
      <w:pPr>
        <w:tabs>
          <w:tab w:val="num" w:pos="360"/>
        </w:tabs>
        <w:ind w:left="360" w:hanging="360"/>
      </w:pPr>
      <w:rPr>
        <w:rFonts w:ascii="Symbol" w:hAnsi="Symbol" w:hint="default"/>
      </w:rPr>
    </w:lvl>
    <w:lvl w:ilvl="1" w:tplc="2FF65910">
      <w:numFmt w:val="bullet"/>
      <w:lvlText w:val="o"/>
      <w:lvlJc w:val="left"/>
      <w:pPr>
        <w:tabs>
          <w:tab w:val="num" w:pos="1080"/>
        </w:tabs>
        <w:ind w:left="1080" w:hanging="360"/>
      </w:pPr>
      <w:rPr>
        <w:rFonts w:ascii="Courier New" w:hAnsi="Courier New" w:hint="default"/>
      </w:rPr>
    </w:lvl>
    <w:lvl w:ilvl="2" w:tplc="347A9F96" w:tentative="1">
      <w:start w:val="1"/>
      <w:numFmt w:val="bullet"/>
      <w:lvlText w:val=""/>
      <w:lvlJc w:val="left"/>
      <w:pPr>
        <w:tabs>
          <w:tab w:val="num" w:pos="1800"/>
        </w:tabs>
        <w:ind w:left="1800" w:hanging="360"/>
      </w:pPr>
      <w:rPr>
        <w:rFonts w:ascii="Symbol" w:hAnsi="Symbol" w:hint="default"/>
      </w:rPr>
    </w:lvl>
    <w:lvl w:ilvl="3" w:tplc="A9A00E70" w:tentative="1">
      <w:start w:val="1"/>
      <w:numFmt w:val="bullet"/>
      <w:lvlText w:val=""/>
      <w:lvlJc w:val="left"/>
      <w:pPr>
        <w:tabs>
          <w:tab w:val="num" w:pos="2520"/>
        </w:tabs>
        <w:ind w:left="2520" w:hanging="360"/>
      </w:pPr>
      <w:rPr>
        <w:rFonts w:ascii="Symbol" w:hAnsi="Symbol" w:hint="default"/>
      </w:rPr>
    </w:lvl>
    <w:lvl w:ilvl="4" w:tplc="3D4273CC" w:tentative="1">
      <w:start w:val="1"/>
      <w:numFmt w:val="bullet"/>
      <w:lvlText w:val=""/>
      <w:lvlJc w:val="left"/>
      <w:pPr>
        <w:tabs>
          <w:tab w:val="num" w:pos="3240"/>
        </w:tabs>
        <w:ind w:left="3240" w:hanging="360"/>
      </w:pPr>
      <w:rPr>
        <w:rFonts w:ascii="Symbol" w:hAnsi="Symbol" w:hint="default"/>
      </w:rPr>
    </w:lvl>
    <w:lvl w:ilvl="5" w:tplc="EE085F5A" w:tentative="1">
      <w:start w:val="1"/>
      <w:numFmt w:val="bullet"/>
      <w:lvlText w:val=""/>
      <w:lvlJc w:val="left"/>
      <w:pPr>
        <w:tabs>
          <w:tab w:val="num" w:pos="3960"/>
        </w:tabs>
        <w:ind w:left="3960" w:hanging="360"/>
      </w:pPr>
      <w:rPr>
        <w:rFonts w:ascii="Symbol" w:hAnsi="Symbol" w:hint="default"/>
      </w:rPr>
    </w:lvl>
    <w:lvl w:ilvl="6" w:tplc="57FA69EA" w:tentative="1">
      <w:start w:val="1"/>
      <w:numFmt w:val="bullet"/>
      <w:lvlText w:val=""/>
      <w:lvlJc w:val="left"/>
      <w:pPr>
        <w:tabs>
          <w:tab w:val="num" w:pos="4680"/>
        </w:tabs>
        <w:ind w:left="4680" w:hanging="360"/>
      </w:pPr>
      <w:rPr>
        <w:rFonts w:ascii="Symbol" w:hAnsi="Symbol" w:hint="default"/>
      </w:rPr>
    </w:lvl>
    <w:lvl w:ilvl="7" w:tplc="D518BB7A" w:tentative="1">
      <w:start w:val="1"/>
      <w:numFmt w:val="bullet"/>
      <w:lvlText w:val=""/>
      <w:lvlJc w:val="left"/>
      <w:pPr>
        <w:tabs>
          <w:tab w:val="num" w:pos="5400"/>
        </w:tabs>
        <w:ind w:left="5400" w:hanging="360"/>
      </w:pPr>
      <w:rPr>
        <w:rFonts w:ascii="Symbol" w:hAnsi="Symbol" w:hint="default"/>
      </w:rPr>
    </w:lvl>
    <w:lvl w:ilvl="8" w:tplc="BDACF562" w:tentative="1">
      <w:start w:val="1"/>
      <w:numFmt w:val="bullet"/>
      <w:lvlText w:val=""/>
      <w:lvlJc w:val="left"/>
      <w:pPr>
        <w:tabs>
          <w:tab w:val="num" w:pos="6120"/>
        </w:tabs>
        <w:ind w:left="6120" w:hanging="360"/>
      </w:pPr>
      <w:rPr>
        <w:rFonts w:ascii="Symbol" w:hAnsi="Symbol" w:hint="default"/>
      </w:rPr>
    </w:lvl>
  </w:abstractNum>
  <w:abstractNum w:abstractNumId="10" w15:restartNumberingAfterBreak="0">
    <w:nsid w:val="067E4F0B"/>
    <w:multiLevelType w:val="hybridMultilevel"/>
    <w:tmpl w:val="3A72808C"/>
    <w:lvl w:ilvl="0" w:tplc="FFFFFFFF">
      <w:start w:val="1"/>
      <w:numFmt w:val="bullet"/>
      <w:lvlText w:val=""/>
      <w:lvlJc w:val="left"/>
      <w:pPr>
        <w:tabs>
          <w:tab w:val="num" w:pos="360"/>
        </w:tabs>
        <w:ind w:left="360" w:hanging="360"/>
      </w:pPr>
      <w:rPr>
        <w:rFonts w:ascii="Symbol" w:hAnsi="Symbol" w:hint="default"/>
      </w:rPr>
    </w:lvl>
    <w:lvl w:ilvl="1" w:tplc="0C090001">
      <w:start w:val="1"/>
      <w:numFmt w:val="bullet"/>
      <w:lvlText w:val=""/>
      <w:lvlJc w:val="left"/>
      <w:rPr>
        <w:rFonts w:ascii="Symbol" w:hAnsi="Symbol" w:hint="default"/>
      </w:rPr>
    </w:lvl>
    <w:lvl w:ilvl="2" w:tplc="FFFFFFFF">
      <w:start w:val="1"/>
      <w:numFmt w:val="bullet"/>
      <w:lvlText w:val=""/>
      <w:lvlJc w:val="left"/>
    </w:lvl>
    <w:lvl w:ilvl="3" w:tplc="69D0BAF2">
      <w:numFmt w:val="decimal"/>
      <w:lvlText w:val=""/>
      <w:lvlJc w:val="left"/>
    </w:lvl>
    <w:lvl w:ilvl="4" w:tplc="6610FE68">
      <w:numFmt w:val="decimal"/>
      <w:lvlText w:val=""/>
      <w:lvlJc w:val="left"/>
    </w:lvl>
    <w:lvl w:ilvl="5" w:tplc="A2E00808">
      <w:numFmt w:val="decimal"/>
      <w:lvlText w:val=""/>
      <w:lvlJc w:val="left"/>
    </w:lvl>
    <w:lvl w:ilvl="6" w:tplc="68B69F70">
      <w:numFmt w:val="decimal"/>
      <w:lvlText w:val=""/>
      <w:lvlJc w:val="left"/>
    </w:lvl>
    <w:lvl w:ilvl="7" w:tplc="FC8C3562">
      <w:numFmt w:val="decimal"/>
      <w:lvlText w:val=""/>
      <w:lvlJc w:val="left"/>
    </w:lvl>
    <w:lvl w:ilvl="8" w:tplc="3F1C63FE">
      <w:numFmt w:val="decimal"/>
      <w:lvlText w:val=""/>
      <w:lvlJc w:val="left"/>
    </w:lvl>
  </w:abstractNum>
  <w:abstractNum w:abstractNumId="11" w15:restartNumberingAfterBreak="0">
    <w:nsid w:val="084C0DD5"/>
    <w:multiLevelType w:val="hybridMultilevel"/>
    <w:tmpl w:val="C3447AA2"/>
    <w:lvl w:ilvl="0" w:tplc="1FD81FF6">
      <w:start w:val="1"/>
      <w:numFmt w:val="bullet"/>
      <w:lvlText w:val=""/>
      <w:lvlJc w:val="left"/>
      <w:pPr>
        <w:tabs>
          <w:tab w:val="num" w:pos="360"/>
        </w:tabs>
        <w:ind w:left="360" w:hanging="360"/>
      </w:pPr>
      <w:rPr>
        <w:rFonts w:ascii="Symbol" w:hAnsi="Symbol" w:hint="default"/>
      </w:rPr>
    </w:lvl>
    <w:lvl w:ilvl="1" w:tplc="75723392" w:tentative="1">
      <w:start w:val="1"/>
      <w:numFmt w:val="bullet"/>
      <w:lvlText w:val=""/>
      <w:lvlJc w:val="left"/>
      <w:pPr>
        <w:tabs>
          <w:tab w:val="num" w:pos="1080"/>
        </w:tabs>
        <w:ind w:left="1080" w:hanging="360"/>
      </w:pPr>
      <w:rPr>
        <w:rFonts w:ascii="Symbol" w:hAnsi="Symbol" w:hint="default"/>
      </w:rPr>
    </w:lvl>
    <w:lvl w:ilvl="2" w:tplc="DF3240FA" w:tentative="1">
      <w:start w:val="1"/>
      <w:numFmt w:val="bullet"/>
      <w:lvlText w:val=""/>
      <w:lvlJc w:val="left"/>
      <w:pPr>
        <w:tabs>
          <w:tab w:val="num" w:pos="1800"/>
        </w:tabs>
        <w:ind w:left="1800" w:hanging="360"/>
      </w:pPr>
      <w:rPr>
        <w:rFonts w:ascii="Symbol" w:hAnsi="Symbol" w:hint="default"/>
      </w:rPr>
    </w:lvl>
    <w:lvl w:ilvl="3" w:tplc="3BB4D5D6" w:tentative="1">
      <w:start w:val="1"/>
      <w:numFmt w:val="bullet"/>
      <w:lvlText w:val=""/>
      <w:lvlJc w:val="left"/>
      <w:pPr>
        <w:tabs>
          <w:tab w:val="num" w:pos="2520"/>
        </w:tabs>
        <w:ind w:left="2520" w:hanging="360"/>
      </w:pPr>
      <w:rPr>
        <w:rFonts w:ascii="Symbol" w:hAnsi="Symbol" w:hint="default"/>
      </w:rPr>
    </w:lvl>
    <w:lvl w:ilvl="4" w:tplc="F044F158" w:tentative="1">
      <w:start w:val="1"/>
      <w:numFmt w:val="bullet"/>
      <w:lvlText w:val=""/>
      <w:lvlJc w:val="left"/>
      <w:pPr>
        <w:tabs>
          <w:tab w:val="num" w:pos="3240"/>
        </w:tabs>
        <w:ind w:left="3240" w:hanging="360"/>
      </w:pPr>
      <w:rPr>
        <w:rFonts w:ascii="Symbol" w:hAnsi="Symbol" w:hint="default"/>
      </w:rPr>
    </w:lvl>
    <w:lvl w:ilvl="5" w:tplc="7B68B360" w:tentative="1">
      <w:start w:val="1"/>
      <w:numFmt w:val="bullet"/>
      <w:lvlText w:val=""/>
      <w:lvlJc w:val="left"/>
      <w:pPr>
        <w:tabs>
          <w:tab w:val="num" w:pos="3960"/>
        </w:tabs>
        <w:ind w:left="3960" w:hanging="360"/>
      </w:pPr>
      <w:rPr>
        <w:rFonts w:ascii="Symbol" w:hAnsi="Symbol" w:hint="default"/>
      </w:rPr>
    </w:lvl>
    <w:lvl w:ilvl="6" w:tplc="FFB69522" w:tentative="1">
      <w:start w:val="1"/>
      <w:numFmt w:val="bullet"/>
      <w:lvlText w:val=""/>
      <w:lvlJc w:val="left"/>
      <w:pPr>
        <w:tabs>
          <w:tab w:val="num" w:pos="4680"/>
        </w:tabs>
        <w:ind w:left="4680" w:hanging="360"/>
      </w:pPr>
      <w:rPr>
        <w:rFonts w:ascii="Symbol" w:hAnsi="Symbol" w:hint="default"/>
      </w:rPr>
    </w:lvl>
    <w:lvl w:ilvl="7" w:tplc="BB4CD254" w:tentative="1">
      <w:start w:val="1"/>
      <w:numFmt w:val="bullet"/>
      <w:lvlText w:val=""/>
      <w:lvlJc w:val="left"/>
      <w:pPr>
        <w:tabs>
          <w:tab w:val="num" w:pos="5400"/>
        </w:tabs>
        <w:ind w:left="5400" w:hanging="360"/>
      </w:pPr>
      <w:rPr>
        <w:rFonts w:ascii="Symbol" w:hAnsi="Symbol" w:hint="default"/>
      </w:rPr>
    </w:lvl>
    <w:lvl w:ilvl="8" w:tplc="62E41ED8" w:tentative="1">
      <w:start w:val="1"/>
      <w:numFmt w:val="bullet"/>
      <w:lvlText w:val=""/>
      <w:lvlJc w:val="left"/>
      <w:pPr>
        <w:tabs>
          <w:tab w:val="num" w:pos="6120"/>
        </w:tabs>
        <w:ind w:left="6120" w:hanging="360"/>
      </w:pPr>
      <w:rPr>
        <w:rFonts w:ascii="Symbol" w:hAnsi="Symbol" w:hint="default"/>
      </w:rPr>
    </w:lvl>
  </w:abstractNum>
  <w:abstractNum w:abstractNumId="12" w15:restartNumberingAfterBreak="0">
    <w:nsid w:val="08C2203E"/>
    <w:multiLevelType w:val="hybridMultilevel"/>
    <w:tmpl w:val="3AE846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8C76D6F"/>
    <w:multiLevelType w:val="hybridMultilevel"/>
    <w:tmpl w:val="9C063766"/>
    <w:lvl w:ilvl="0" w:tplc="DCD459BE">
      <w:start w:val="1"/>
      <w:numFmt w:val="upperLetter"/>
      <w:lvlText w:val="%1."/>
      <w:lvlJc w:val="left"/>
      <w:pPr>
        <w:ind w:left="360" w:hanging="360"/>
      </w:pPr>
    </w:lvl>
    <w:lvl w:ilvl="1" w:tplc="49188462">
      <w:start w:val="1"/>
      <w:numFmt w:val="decimal"/>
      <w:lvlText w:val="%2."/>
      <w:lvlJc w:val="left"/>
      <w:pPr>
        <w:ind w:left="720" w:hanging="360"/>
      </w:pPr>
    </w:lvl>
    <w:lvl w:ilvl="2" w:tplc="21563064">
      <w:start w:val="1"/>
      <w:numFmt w:val="lowerLetter"/>
      <w:lvlText w:val="%3."/>
      <w:lvlJc w:val="left"/>
      <w:pPr>
        <w:ind w:left="2345" w:hanging="360"/>
      </w:pPr>
    </w:lvl>
    <w:lvl w:ilvl="3" w:tplc="D27090DC">
      <w:start w:val="1"/>
      <w:numFmt w:val="decimal"/>
      <w:lvlText w:val="(%4)"/>
      <w:lvlJc w:val="left"/>
      <w:pPr>
        <w:ind w:left="1440" w:hanging="360"/>
      </w:pPr>
    </w:lvl>
    <w:lvl w:ilvl="4" w:tplc="B7945C64">
      <w:start w:val="1"/>
      <w:numFmt w:val="lowerLetter"/>
      <w:lvlText w:val="(%5)"/>
      <w:lvlJc w:val="left"/>
      <w:pPr>
        <w:ind w:left="1800" w:hanging="360"/>
      </w:pPr>
    </w:lvl>
    <w:lvl w:ilvl="5" w:tplc="F53CA58A">
      <w:start w:val="1"/>
      <w:numFmt w:val="lowerRoman"/>
      <w:lvlText w:val="(%6)"/>
      <w:lvlJc w:val="left"/>
      <w:pPr>
        <w:ind w:left="2160" w:hanging="360"/>
      </w:pPr>
    </w:lvl>
    <w:lvl w:ilvl="6" w:tplc="2566192C">
      <w:start w:val="1"/>
      <w:numFmt w:val="decimal"/>
      <w:lvlText w:val="%7."/>
      <w:lvlJc w:val="left"/>
      <w:pPr>
        <w:ind w:left="2520" w:hanging="360"/>
      </w:pPr>
    </w:lvl>
    <w:lvl w:ilvl="7" w:tplc="F66E75E2">
      <w:start w:val="1"/>
      <w:numFmt w:val="lowerLetter"/>
      <w:lvlText w:val="%8."/>
      <w:lvlJc w:val="left"/>
      <w:pPr>
        <w:ind w:left="2880" w:hanging="360"/>
      </w:pPr>
    </w:lvl>
    <w:lvl w:ilvl="8" w:tplc="BC2A2A86">
      <w:start w:val="1"/>
      <w:numFmt w:val="lowerRoman"/>
      <w:lvlText w:val="%9."/>
      <w:lvlJc w:val="left"/>
      <w:pPr>
        <w:ind w:left="3240" w:hanging="360"/>
      </w:pPr>
    </w:lvl>
  </w:abstractNum>
  <w:abstractNum w:abstractNumId="14" w15:restartNumberingAfterBreak="0">
    <w:nsid w:val="09634329"/>
    <w:multiLevelType w:val="hybridMultilevel"/>
    <w:tmpl w:val="8968D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97D339D"/>
    <w:multiLevelType w:val="hybridMultilevel"/>
    <w:tmpl w:val="7B92FDF2"/>
    <w:lvl w:ilvl="0" w:tplc="C7603FB2">
      <w:start w:val="1"/>
      <w:numFmt w:val="bullet"/>
      <w:lvlText w:val="·"/>
      <w:lvlJc w:val="left"/>
      <w:pPr>
        <w:ind w:left="720" w:hanging="360"/>
      </w:pPr>
      <w:rPr>
        <w:rFonts w:ascii="Symbol" w:hAnsi="Symbol" w:hint="default"/>
      </w:rPr>
    </w:lvl>
    <w:lvl w:ilvl="1" w:tplc="1F10123E">
      <w:start w:val="1"/>
      <w:numFmt w:val="bullet"/>
      <w:lvlText w:val="o"/>
      <w:lvlJc w:val="left"/>
      <w:pPr>
        <w:ind w:left="1440" w:hanging="360"/>
      </w:pPr>
      <w:rPr>
        <w:rFonts w:ascii="Courier New" w:hAnsi="Courier New" w:hint="default"/>
      </w:rPr>
    </w:lvl>
    <w:lvl w:ilvl="2" w:tplc="1A7C60F6">
      <w:start w:val="1"/>
      <w:numFmt w:val="bullet"/>
      <w:lvlText w:val=""/>
      <w:lvlJc w:val="left"/>
      <w:pPr>
        <w:ind w:left="2160" w:hanging="360"/>
      </w:pPr>
      <w:rPr>
        <w:rFonts w:ascii="Wingdings" w:hAnsi="Wingdings" w:hint="default"/>
      </w:rPr>
    </w:lvl>
    <w:lvl w:ilvl="3" w:tplc="263C15B6">
      <w:start w:val="1"/>
      <w:numFmt w:val="bullet"/>
      <w:lvlText w:val=""/>
      <w:lvlJc w:val="left"/>
      <w:pPr>
        <w:ind w:left="2880" w:hanging="360"/>
      </w:pPr>
      <w:rPr>
        <w:rFonts w:ascii="Symbol" w:hAnsi="Symbol" w:hint="default"/>
      </w:rPr>
    </w:lvl>
    <w:lvl w:ilvl="4" w:tplc="6BD09E4E">
      <w:start w:val="1"/>
      <w:numFmt w:val="bullet"/>
      <w:lvlText w:val="o"/>
      <w:lvlJc w:val="left"/>
      <w:pPr>
        <w:ind w:left="3600" w:hanging="360"/>
      </w:pPr>
      <w:rPr>
        <w:rFonts w:ascii="Courier New" w:hAnsi="Courier New" w:hint="default"/>
      </w:rPr>
    </w:lvl>
    <w:lvl w:ilvl="5" w:tplc="A23C6658">
      <w:start w:val="1"/>
      <w:numFmt w:val="bullet"/>
      <w:lvlText w:val=""/>
      <w:lvlJc w:val="left"/>
      <w:pPr>
        <w:ind w:left="4320" w:hanging="360"/>
      </w:pPr>
      <w:rPr>
        <w:rFonts w:ascii="Wingdings" w:hAnsi="Wingdings" w:hint="default"/>
      </w:rPr>
    </w:lvl>
    <w:lvl w:ilvl="6" w:tplc="A372F9BC">
      <w:start w:val="1"/>
      <w:numFmt w:val="bullet"/>
      <w:lvlText w:val=""/>
      <w:lvlJc w:val="left"/>
      <w:pPr>
        <w:ind w:left="5040" w:hanging="360"/>
      </w:pPr>
      <w:rPr>
        <w:rFonts w:ascii="Symbol" w:hAnsi="Symbol" w:hint="default"/>
      </w:rPr>
    </w:lvl>
    <w:lvl w:ilvl="7" w:tplc="2D58F7E8">
      <w:start w:val="1"/>
      <w:numFmt w:val="bullet"/>
      <w:lvlText w:val="o"/>
      <w:lvlJc w:val="left"/>
      <w:pPr>
        <w:ind w:left="5760" w:hanging="360"/>
      </w:pPr>
      <w:rPr>
        <w:rFonts w:ascii="Courier New" w:hAnsi="Courier New" w:hint="default"/>
      </w:rPr>
    </w:lvl>
    <w:lvl w:ilvl="8" w:tplc="04C43FDC">
      <w:start w:val="1"/>
      <w:numFmt w:val="bullet"/>
      <w:lvlText w:val=""/>
      <w:lvlJc w:val="left"/>
      <w:pPr>
        <w:ind w:left="6480" w:hanging="360"/>
      </w:pPr>
      <w:rPr>
        <w:rFonts w:ascii="Wingdings" w:hAnsi="Wingdings" w:hint="default"/>
      </w:rPr>
    </w:lvl>
  </w:abstractNum>
  <w:abstractNum w:abstractNumId="16" w15:restartNumberingAfterBreak="0">
    <w:nsid w:val="09886136"/>
    <w:multiLevelType w:val="multilevel"/>
    <w:tmpl w:val="C38A327C"/>
    <w:lvl w:ilvl="0">
      <w:start w:val="1"/>
      <w:numFmt w:val="decimal"/>
      <w:pStyle w:val="Heading1"/>
      <w:lvlText w:val="%1."/>
      <w:lvlJc w:val="left"/>
      <w:pPr>
        <w:ind w:left="360" w:hanging="360"/>
      </w:pPr>
    </w:lvl>
    <w:lvl w:ilvl="1">
      <w:start w:val="1"/>
      <w:numFmt w:val="decimal"/>
      <w:pStyle w:val="Heading2"/>
      <w:lvlText w:val="%1.%2."/>
      <w:lvlJc w:val="left"/>
      <w:pPr>
        <w:ind w:left="715" w:hanging="432"/>
      </w:pPr>
    </w:lvl>
    <w:lvl w:ilvl="2">
      <w:start w:val="1"/>
      <w:numFmt w:val="decimal"/>
      <w:pStyle w:val="Heading3"/>
      <w:lvlText w:val="%1.%2.%3."/>
      <w:lvlJc w:val="left"/>
      <w:pPr>
        <w:ind w:left="1224" w:hanging="50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9E00614"/>
    <w:multiLevelType w:val="hybridMultilevel"/>
    <w:tmpl w:val="95D4583C"/>
    <w:lvl w:ilvl="0" w:tplc="89C27490">
      <w:start w:val="1"/>
      <w:numFmt w:val="bullet"/>
      <w:lvlText w:val=""/>
      <w:lvlJc w:val="left"/>
      <w:pPr>
        <w:ind w:left="720" w:hanging="360"/>
      </w:pPr>
      <w:rPr>
        <w:rFonts w:ascii="Symbol" w:hAnsi="Symbol" w:hint="default"/>
      </w:rPr>
    </w:lvl>
    <w:lvl w:ilvl="1" w:tplc="233AC2F4">
      <w:start w:val="1"/>
      <w:numFmt w:val="bullet"/>
      <w:lvlText w:val="o"/>
      <w:lvlJc w:val="left"/>
      <w:pPr>
        <w:ind w:left="1440" w:hanging="360"/>
      </w:pPr>
      <w:rPr>
        <w:rFonts w:ascii="Courier New" w:hAnsi="Courier New" w:hint="default"/>
      </w:rPr>
    </w:lvl>
    <w:lvl w:ilvl="2" w:tplc="A502D370">
      <w:start w:val="1"/>
      <w:numFmt w:val="bullet"/>
      <w:lvlText w:val=""/>
      <w:lvlJc w:val="left"/>
      <w:pPr>
        <w:ind w:left="2160" w:hanging="360"/>
      </w:pPr>
      <w:rPr>
        <w:rFonts w:ascii="Wingdings" w:hAnsi="Wingdings" w:hint="default"/>
      </w:rPr>
    </w:lvl>
    <w:lvl w:ilvl="3" w:tplc="F56CE9F4">
      <w:start w:val="1"/>
      <w:numFmt w:val="bullet"/>
      <w:lvlText w:val=""/>
      <w:lvlJc w:val="left"/>
      <w:pPr>
        <w:ind w:left="2880" w:hanging="360"/>
      </w:pPr>
      <w:rPr>
        <w:rFonts w:ascii="Symbol" w:hAnsi="Symbol" w:hint="default"/>
      </w:rPr>
    </w:lvl>
    <w:lvl w:ilvl="4" w:tplc="D1E82852">
      <w:start w:val="1"/>
      <w:numFmt w:val="bullet"/>
      <w:lvlText w:val="o"/>
      <w:lvlJc w:val="left"/>
      <w:pPr>
        <w:ind w:left="3600" w:hanging="360"/>
      </w:pPr>
      <w:rPr>
        <w:rFonts w:ascii="Courier New" w:hAnsi="Courier New" w:hint="default"/>
      </w:rPr>
    </w:lvl>
    <w:lvl w:ilvl="5" w:tplc="46268E9C">
      <w:start w:val="1"/>
      <w:numFmt w:val="bullet"/>
      <w:lvlText w:val=""/>
      <w:lvlJc w:val="left"/>
      <w:pPr>
        <w:ind w:left="4320" w:hanging="360"/>
      </w:pPr>
      <w:rPr>
        <w:rFonts w:ascii="Wingdings" w:hAnsi="Wingdings" w:hint="default"/>
      </w:rPr>
    </w:lvl>
    <w:lvl w:ilvl="6" w:tplc="A044F92A">
      <w:start w:val="1"/>
      <w:numFmt w:val="bullet"/>
      <w:lvlText w:val=""/>
      <w:lvlJc w:val="left"/>
      <w:pPr>
        <w:ind w:left="5040" w:hanging="360"/>
      </w:pPr>
      <w:rPr>
        <w:rFonts w:ascii="Symbol" w:hAnsi="Symbol" w:hint="default"/>
      </w:rPr>
    </w:lvl>
    <w:lvl w:ilvl="7" w:tplc="451A8A4A">
      <w:start w:val="1"/>
      <w:numFmt w:val="bullet"/>
      <w:lvlText w:val="o"/>
      <w:lvlJc w:val="left"/>
      <w:pPr>
        <w:ind w:left="5760" w:hanging="360"/>
      </w:pPr>
      <w:rPr>
        <w:rFonts w:ascii="Courier New" w:hAnsi="Courier New" w:hint="default"/>
      </w:rPr>
    </w:lvl>
    <w:lvl w:ilvl="8" w:tplc="D4763E4C">
      <w:start w:val="1"/>
      <w:numFmt w:val="bullet"/>
      <w:lvlText w:val=""/>
      <w:lvlJc w:val="left"/>
      <w:pPr>
        <w:ind w:left="6480" w:hanging="360"/>
      </w:pPr>
      <w:rPr>
        <w:rFonts w:ascii="Wingdings" w:hAnsi="Wingdings" w:hint="default"/>
      </w:rPr>
    </w:lvl>
  </w:abstractNum>
  <w:abstractNum w:abstractNumId="18" w15:restartNumberingAfterBreak="0">
    <w:nsid w:val="0C856F4E"/>
    <w:multiLevelType w:val="hybridMultilevel"/>
    <w:tmpl w:val="B66025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DDB3EE7"/>
    <w:multiLevelType w:val="hybridMultilevel"/>
    <w:tmpl w:val="9C063766"/>
    <w:lvl w:ilvl="0" w:tplc="62140EFC">
      <w:start w:val="1"/>
      <w:numFmt w:val="upperLetter"/>
      <w:lvlText w:val="%1."/>
      <w:lvlJc w:val="left"/>
      <w:pPr>
        <w:ind w:left="360" w:hanging="360"/>
      </w:pPr>
    </w:lvl>
    <w:lvl w:ilvl="1" w:tplc="42148B4E">
      <w:start w:val="1"/>
      <w:numFmt w:val="decimal"/>
      <w:lvlText w:val="%2."/>
      <w:lvlJc w:val="left"/>
      <w:pPr>
        <w:ind w:left="720" w:hanging="360"/>
      </w:pPr>
    </w:lvl>
    <w:lvl w:ilvl="2" w:tplc="CE866C6A">
      <w:start w:val="1"/>
      <w:numFmt w:val="lowerLetter"/>
      <w:lvlText w:val="%3."/>
      <w:lvlJc w:val="left"/>
      <w:pPr>
        <w:ind w:left="2345" w:hanging="360"/>
      </w:pPr>
    </w:lvl>
    <w:lvl w:ilvl="3" w:tplc="C1CE6EFC">
      <w:start w:val="1"/>
      <w:numFmt w:val="decimal"/>
      <w:lvlText w:val="(%4)"/>
      <w:lvlJc w:val="left"/>
      <w:pPr>
        <w:ind w:left="1440" w:hanging="360"/>
      </w:pPr>
    </w:lvl>
    <w:lvl w:ilvl="4" w:tplc="1FD45916">
      <w:start w:val="1"/>
      <w:numFmt w:val="lowerLetter"/>
      <w:lvlText w:val="(%5)"/>
      <w:lvlJc w:val="left"/>
      <w:pPr>
        <w:ind w:left="1800" w:hanging="360"/>
      </w:pPr>
    </w:lvl>
    <w:lvl w:ilvl="5" w:tplc="30B29C84">
      <w:start w:val="1"/>
      <w:numFmt w:val="lowerRoman"/>
      <w:lvlText w:val="(%6)"/>
      <w:lvlJc w:val="left"/>
      <w:pPr>
        <w:ind w:left="2160" w:hanging="360"/>
      </w:pPr>
    </w:lvl>
    <w:lvl w:ilvl="6" w:tplc="DB0860BE">
      <w:start w:val="1"/>
      <w:numFmt w:val="decimal"/>
      <w:lvlText w:val="%7."/>
      <w:lvlJc w:val="left"/>
      <w:pPr>
        <w:ind w:left="2520" w:hanging="360"/>
      </w:pPr>
    </w:lvl>
    <w:lvl w:ilvl="7" w:tplc="D1A423E4">
      <w:start w:val="1"/>
      <w:numFmt w:val="lowerLetter"/>
      <w:lvlText w:val="%8."/>
      <w:lvlJc w:val="left"/>
      <w:pPr>
        <w:ind w:left="2880" w:hanging="360"/>
      </w:pPr>
    </w:lvl>
    <w:lvl w:ilvl="8" w:tplc="40BCF930">
      <w:start w:val="1"/>
      <w:numFmt w:val="lowerRoman"/>
      <w:lvlText w:val="%9."/>
      <w:lvlJc w:val="left"/>
      <w:pPr>
        <w:ind w:left="3240" w:hanging="360"/>
      </w:pPr>
    </w:lvl>
  </w:abstractNum>
  <w:abstractNum w:abstractNumId="20" w15:restartNumberingAfterBreak="0">
    <w:nsid w:val="11C13A01"/>
    <w:multiLevelType w:val="hybridMultilevel"/>
    <w:tmpl w:val="54B41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23F2115"/>
    <w:multiLevelType w:val="hybridMultilevel"/>
    <w:tmpl w:val="A5402A32"/>
    <w:lvl w:ilvl="0" w:tplc="44E45E2C">
      <w:start w:val="1"/>
      <w:numFmt w:val="bullet"/>
      <w:lvlText w:val=""/>
      <w:lvlJc w:val="left"/>
      <w:pPr>
        <w:ind w:left="720" w:hanging="360"/>
      </w:pPr>
      <w:rPr>
        <w:rFonts w:ascii="Symbol" w:hAnsi="Symbol" w:hint="default"/>
      </w:rPr>
    </w:lvl>
    <w:lvl w:ilvl="1" w:tplc="3AECBDDC">
      <w:start w:val="1"/>
      <w:numFmt w:val="bullet"/>
      <w:lvlText w:val="o"/>
      <w:lvlJc w:val="left"/>
      <w:pPr>
        <w:ind w:left="1440" w:hanging="360"/>
      </w:pPr>
      <w:rPr>
        <w:rFonts w:ascii="Courier New" w:hAnsi="Courier New" w:hint="default"/>
      </w:rPr>
    </w:lvl>
    <w:lvl w:ilvl="2" w:tplc="519AEA6C">
      <w:start w:val="1"/>
      <w:numFmt w:val="bullet"/>
      <w:lvlText w:val=""/>
      <w:lvlJc w:val="left"/>
      <w:pPr>
        <w:ind w:left="2160" w:hanging="360"/>
      </w:pPr>
      <w:rPr>
        <w:rFonts w:ascii="Wingdings" w:hAnsi="Wingdings" w:hint="default"/>
      </w:rPr>
    </w:lvl>
    <w:lvl w:ilvl="3" w:tplc="D7C4F84A">
      <w:start w:val="1"/>
      <w:numFmt w:val="bullet"/>
      <w:lvlText w:val=""/>
      <w:lvlJc w:val="left"/>
      <w:pPr>
        <w:ind w:left="2880" w:hanging="360"/>
      </w:pPr>
      <w:rPr>
        <w:rFonts w:ascii="Symbol" w:hAnsi="Symbol" w:hint="default"/>
      </w:rPr>
    </w:lvl>
    <w:lvl w:ilvl="4" w:tplc="F0A22B98">
      <w:start w:val="1"/>
      <w:numFmt w:val="bullet"/>
      <w:lvlText w:val="o"/>
      <w:lvlJc w:val="left"/>
      <w:pPr>
        <w:ind w:left="3600" w:hanging="360"/>
      </w:pPr>
      <w:rPr>
        <w:rFonts w:ascii="Courier New" w:hAnsi="Courier New" w:hint="default"/>
      </w:rPr>
    </w:lvl>
    <w:lvl w:ilvl="5" w:tplc="CA304BBE">
      <w:start w:val="1"/>
      <w:numFmt w:val="bullet"/>
      <w:lvlText w:val=""/>
      <w:lvlJc w:val="left"/>
      <w:pPr>
        <w:ind w:left="4320" w:hanging="360"/>
      </w:pPr>
      <w:rPr>
        <w:rFonts w:ascii="Wingdings" w:hAnsi="Wingdings" w:hint="default"/>
      </w:rPr>
    </w:lvl>
    <w:lvl w:ilvl="6" w:tplc="0A28E39E">
      <w:start w:val="1"/>
      <w:numFmt w:val="bullet"/>
      <w:lvlText w:val=""/>
      <w:lvlJc w:val="left"/>
      <w:pPr>
        <w:ind w:left="5040" w:hanging="360"/>
      </w:pPr>
      <w:rPr>
        <w:rFonts w:ascii="Symbol" w:hAnsi="Symbol" w:hint="default"/>
      </w:rPr>
    </w:lvl>
    <w:lvl w:ilvl="7" w:tplc="B68480D4">
      <w:start w:val="1"/>
      <w:numFmt w:val="bullet"/>
      <w:lvlText w:val="o"/>
      <w:lvlJc w:val="left"/>
      <w:pPr>
        <w:ind w:left="5760" w:hanging="360"/>
      </w:pPr>
      <w:rPr>
        <w:rFonts w:ascii="Courier New" w:hAnsi="Courier New" w:hint="default"/>
      </w:rPr>
    </w:lvl>
    <w:lvl w:ilvl="8" w:tplc="CD74693C">
      <w:start w:val="1"/>
      <w:numFmt w:val="bullet"/>
      <w:lvlText w:val=""/>
      <w:lvlJc w:val="left"/>
      <w:pPr>
        <w:ind w:left="6480" w:hanging="360"/>
      </w:pPr>
      <w:rPr>
        <w:rFonts w:ascii="Wingdings" w:hAnsi="Wingdings" w:hint="default"/>
      </w:rPr>
    </w:lvl>
  </w:abstractNum>
  <w:abstractNum w:abstractNumId="22" w15:restartNumberingAfterBreak="0">
    <w:nsid w:val="13C75F42"/>
    <w:multiLevelType w:val="hybridMultilevel"/>
    <w:tmpl w:val="5758656E"/>
    <w:lvl w:ilvl="0" w:tplc="BAD4ED36">
      <w:start w:val="1"/>
      <w:numFmt w:val="bullet"/>
      <w:lvlText w:val="•"/>
      <w:lvlJc w:val="left"/>
      <w:pPr>
        <w:tabs>
          <w:tab w:val="num" w:pos="720"/>
        </w:tabs>
        <w:ind w:left="720" w:hanging="360"/>
      </w:pPr>
      <w:rPr>
        <w:rFonts w:ascii="Arial" w:hAnsi="Arial" w:hint="default"/>
      </w:rPr>
    </w:lvl>
    <w:lvl w:ilvl="1" w:tplc="B306A228" w:tentative="1">
      <w:start w:val="1"/>
      <w:numFmt w:val="bullet"/>
      <w:lvlText w:val="•"/>
      <w:lvlJc w:val="left"/>
      <w:pPr>
        <w:tabs>
          <w:tab w:val="num" w:pos="1440"/>
        </w:tabs>
        <w:ind w:left="1440" w:hanging="360"/>
      </w:pPr>
      <w:rPr>
        <w:rFonts w:ascii="Arial" w:hAnsi="Arial" w:hint="default"/>
      </w:rPr>
    </w:lvl>
    <w:lvl w:ilvl="2" w:tplc="621AE15C" w:tentative="1">
      <w:start w:val="1"/>
      <w:numFmt w:val="bullet"/>
      <w:lvlText w:val="•"/>
      <w:lvlJc w:val="left"/>
      <w:pPr>
        <w:tabs>
          <w:tab w:val="num" w:pos="2160"/>
        </w:tabs>
        <w:ind w:left="2160" w:hanging="360"/>
      </w:pPr>
      <w:rPr>
        <w:rFonts w:ascii="Arial" w:hAnsi="Arial" w:hint="default"/>
      </w:rPr>
    </w:lvl>
    <w:lvl w:ilvl="3" w:tplc="4056A746" w:tentative="1">
      <w:start w:val="1"/>
      <w:numFmt w:val="bullet"/>
      <w:lvlText w:val="•"/>
      <w:lvlJc w:val="left"/>
      <w:pPr>
        <w:tabs>
          <w:tab w:val="num" w:pos="2880"/>
        </w:tabs>
        <w:ind w:left="2880" w:hanging="360"/>
      </w:pPr>
      <w:rPr>
        <w:rFonts w:ascii="Arial" w:hAnsi="Arial" w:hint="default"/>
      </w:rPr>
    </w:lvl>
    <w:lvl w:ilvl="4" w:tplc="BDCA7DFC" w:tentative="1">
      <w:start w:val="1"/>
      <w:numFmt w:val="bullet"/>
      <w:lvlText w:val="•"/>
      <w:lvlJc w:val="left"/>
      <w:pPr>
        <w:tabs>
          <w:tab w:val="num" w:pos="3600"/>
        </w:tabs>
        <w:ind w:left="3600" w:hanging="360"/>
      </w:pPr>
      <w:rPr>
        <w:rFonts w:ascii="Arial" w:hAnsi="Arial" w:hint="default"/>
      </w:rPr>
    </w:lvl>
    <w:lvl w:ilvl="5" w:tplc="958ED58E" w:tentative="1">
      <w:start w:val="1"/>
      <w:numFmt w:val="bullet"/>
      <w:lvlText w:val="•"/>
      <w:lvlJc w:val="left"/>
      <w:pPr>
        <w:tabs>
          <w:tab w:val="num" w:pos="4320"/>
        </w:tabs>
        <w:ind w:left="4320" w:hanging="360"/>
      </w:pPr>
      <w:rPr>
        <w:rFonts w:ascii="Arial" w:hAnsi="Arial" w:hint="default"/>
      </w:rPr>
    </w:lvl>
    <w:lvl w:ilvl="6" w:tplc="5EA68E6C" w:tentative="1">
      <w:start w:val="1"/>
      <w:numFmt w:val="bullet"/>
      <w:lvlText w:val="•"/>
      <w:lvlJc w:val="left"/>
      <w:pPr>
        <w:tabs>
          <w:tab w:val="num" w:pos="5040"/>
        </w:tabs>
        <w:ind w:left="5040" w:hanging="360"/>
      </w:pPr>
      <w:rPr>
        <w:rFonts w:ascii="Arial" w:hAnsi="Arial" w:hint="default"/>
      </w:rPr>
    </w:lvl>
    <w:lvl w:ilvl="7" w:tplc="604CE0B8" w:tentative="1">
      <w:start w:val="1"/>
      <w:numFmt w:val="bullet"/>
      <w:lvlText w:val="•"/>
      <w:lvlJc w:val="left"/>
      <w:pPr>
        <w:tabs>
          <w:tab w:val="num" w:pos="5760"/>
        </w:tabs>
        <w:ind w:left="5760" w:hanging="360"/>
      </w:pPr>
      <w:rPr>
        <w:rFonts w:ascii="Arial" w:hAnsi="Arial" w:hint="default"/>
      </w:rPr>
    </w:lvl>
    <w:lvl w:ilvl="8" w:tplc="930CC7A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143F70B3"/>
    <w:multiLevelType w:val="hybridMultilevel"/>
    <w:tmpl w:val="9A1839CA"/>
    <w:lvl w:ilvl="0" w:tplc="88AA5696">
      <w:start w:val="1"/>
      <w:numFmt w:val="bullet"/>
      <w:lvlText w:val=""/>
      <w:lvlJc w:val="left"/>
      <w:pPr>
        <w:ind w:left="720" w:hanging="360"/>
      </w:pPr>
      <w:rPr>
        <w:rFonts w:ascii="Symbol" w:hAnsi="Symbol" w:hint="default"/>
      </w:rPr>
    </w:lvl>
    <w:lvl w:ilvl="1" w:tplc="3CA882C6">
      <w:start w:val="1"/>
      <w:numFmt w:val="bullet"/>
      <w:lvlText w:val="o"/>
      <w:lvlJc w:val="left"/>
      <w:pPr>
        <w:ind w:left="1440" w:hanging="360"/>
      </w:pPr>
      <w:rPr>
        <w:rFonts w:ascii="Courier New" w:hAnsi="Courier New" w:hint="default"/>
      </w:rPr>
    </w:lvl>
    <w:lvl w:ilvl="2" w:tplc="8C1EBDEA">
      <w:start w:val="1"/>
      <w:numFmt w:val="bullet"/>
      <w:lvlText w:val=""/>
      <w:lvlJc w:val="left"/>
      <w:pPr>
        <w:ind w:left="2160" w:hanging="360"/>
      </w:pPr>
      <w:rPr>
        <w:rFonts w:ascii="Wingdings" w:hAnsi="Wingdings" w:hint="default"/>
      </w:rPr>
    </w:lvl>
    <w:lvl w:ilvl="3" w:tplc="5968808C">
      <w:start w:val="1"/>
      <w:numFmt w:val="bullet"/>
      <w:lvlText w:val=""/>
      <w:lvlJc w:val="left"/>
      <w:pPr>
        <w:ind w:left="2880" w:hanging="360"/>
      </w:pPr>
      <w:rPr>
        <w:rFonts w:ascii="Symbol" w:hAnsi="Symbol" w:hint="default"/>
      </w:rPr>
    </w:lvl>
    <w:lvl w:ilvl="4" w:tplc="F3C46630">
      <w:start w:val="1"/>
      <w:numFmt w:val="bullet"/>
      <w:lvlText w:val="o"/>
      <w:lvlJc w:val="left"/>
      <w:pPr>
        <w:ind w:left="3600" w:hanging="360"/>
      </w:pPr>
      <w:rPr>
        <w:rFonts w:ascii="Courier New" w:hAnsi="Courier New" w:hint="default"/>
      </w:rPr>
    </w:lvl>
    <w:lvl w:ilvl="5" w:tplc="A768F574">
      <w:start w:val="1"/>
      <w:numFmt w:val="bullet"/>
      <w:lvlText w:val=""/>
      <w:lvlJc w:val="left"/>
      <w:pPr>
        <w:ind w:left="4320" w:hanging="360"/>
      </w:pPr>
      <w:rPr>
        <w:rFonts w:ascii="Wingdings" w:hAnsi="Wingdings" w:hint="default"/>
      </w:rPr>
    </w:lvl>
    <w:lvl w:ilvl="6" w:tplc="0B5ADD94">
      <w:start w:val="1"/>
      <w:numFmt w:val="bullet"/>
      <w:lvlText w:val=""/>
      <w:lvlJc w:val="left"/>
      <w:pPr>
        <w:ind w:left="5040" w:hanging="360"/>
      </w:pPr>
      <w:rPr>
        <w:rFonts w:ascii="Symbol" w:hAnsi="Symbol" w:hint="default"/>
      </w:rPr>
    </w:lvl>
    <w:lvl w:ilvl="7" w:tplc="0C0A5E00">
      <w:start w:val="1"/>
      <w:numFmt w:val="bullet"/>
      <w:lvlText w:val="o"/>
      <w:lvlJc w:val="left"/>
      <w:pPr>
        <w:ind w:left="5760" w:hanging="360"/>
      </w:pPr>
      <w:rPr>
        <w:rFonts w:ascii="Courier New" w:hAnsi="Courier New" w:hint="default"/>
      </w:rPr>
    </w:lvl>
    <w:lvl w:ilvl="8" w:tplc="7E74B848">
      <w:start w:val="1"/>
      <w:numFmt w:val="bullet"/>
      <w:lvlText w:val=""/>
      <w:lvlJc w:val="left"/>
      <w:pPr>
        <w:ind w:left="6480" w:hanging="360"/>
      </w:pPr>
      <w:rPr>
        <w:rFonts w:ascii="Wingdings" w:hAnsi="Wingdings" w:hint="default"/>
      </w:rPr>
    </w:lvl>
  </w:abstractNum>
  <w:abstractNum w:abstractNumId="24" w15:restartNumberingAfterBreak="0">
    <w:nsid w:val="149B379B"/>
    <w:multiLevelType w:val="hybridMultilevel"/>
    <w:tmpl w:val="F0987E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150E65C0"/>
    <w:multiLevelType w:val="hybridMultilevel"/>
    <w:tmpl w:val="9C063766"/>
    <w:lvl w:ilvl="0" w:tplc="FADEAC38">
      <w:start w:val="1"/>
      <w:numFmt w:val="upperLetter"/>
      <w:lvlText w:val="%1."/>
      <w:lvlJc w:val="left"/>
      <w:pPr>
        <w:ind w:left="360" w:hanging="360"/>
      </w:pPr>
    </w:lvl>
    <w:lvl w:ilvl="1" w:tplc="557038AC">
      <w:start w:val="1"/>
      <w:numFmt w:val="decimal"/>
      <w:lvlText w:val="%2."/>
      <w:lvlJc w:val="left"/>
      <w:pPr>
        <w:ind w:left="720" w:hanging="360"/>
      </w:pPr>
    </w:lvl>
    <w:lvl w:ilvl="2" w:tplc="7446411C">
      <w:start w:val="1"/>
      <w:numFmt w:val="lowerLetter"/>
      <w:lvlText w:val="%3."/>
      <w:lvlJc w:val="left"/>
      <w:pPr>
        <w:ind w:left="1080" w:hanging="360"/>
      </w:pPr>
    </w:lvl>
    <w:lvl w:ilvl="3" w:tplc="468A98BA">
      <w:start w:val="1"/>
      <w:numFmt w:val="decimal"/>
      <w:lvlText w:val="(%4)"/>
      <w:lvlJc w:val="left"/>
      <w:pPr>
        <w:ind w:left="1440" w:hanging="360"/>
      </w:pPr>
    </w:lvl>
    <w:lvl w:ilvl="4" w:tplc="9F283118">
      <w:start w:val="1"/>
      <w:numFmt w:val="lowerLetter"/>
      <w:lvlText w:val="(%5)"/>
      <w:lvlJc w:val="left"/>
      <w:pPr>
        <w:ind w:left="1800" w:hanging="360"/>
      </w:pPr>
    </w:lvl>
    <w:lvl w:ilvl="5" w:tplc="E3DAD88C">
      <w:start w:val="1"/>
      <w:numFmt w:val="lowerRoman"/>
      <w:lvlText w:val="(%6)"/>
      <w:lvlJc w:val="left"/>
      <w:pPr>
        <w:ind w:left="2160" w:hanging="360"/>
      </w:pPr>
    </w:lvl>
    <w:lvl w:ilvl="6" w:tplc="1FF0C66C">
      <w:start w:val="1"/>
      <w:numFmt w:val="decimal"/>
      <w:lvlText w:val="%7."/>
      <w:lvlJc w:val="left"/>
      <w:pPr>
        <w:ind w:left="2520" w:hanging="360"/>
      </w:pPr>
    </w:lvl>
    <w:lvl w:ilvl="7" w:tplc="C5DAE0A2">
      <w:start w:val="1"/>
      <w:numFmt w:val="lowerLetter"/>
      <w:lvlText w:val="%8."/>
      <w:lvlJc w:val="left"/>
      <w:pPr>
        <w:ind w:left="2880" w:hanging="360"/>
      </w:pPr>
    </w:lvl>
    <w:lvl w:ilvl="8" w:tplc="58F4FF4C">
      <w:start w:val="1"/>
      <w:numFmt w:val="lowerRoman"/>
      <w:lvlText w:val="%9."/>
      <w:lvlJc w:val="left"/>
      <w:pPr>
        <w:ind w:left="3240" w:hanging="360"/>
      </w:pPr>
    </w:lvl>
  </w:abstractNum>
  <w:abstractNum w:abstractNumId="26" w15:restartNumberingAfterBreak="0">
    <w:nsid w:val="162F3059"/>
    <w:multiLevelType w:val="hybridMultilevel"/>
    <w:tmpl w:val="1368EF0E"/>
    <w:lvl w:ilvl="0" w:tplc="84CE616C">
      <w:start w:val="1"/>
      <w:numFmt w:val="bullet"/>
      <w:lvlText w:val=""/>
      <w:lvlJc w:val="left"/>
      <w:pPr>
        <w:tabs>
          <w:tab w:val="num" w:pos="720"/>
        </w:tabs>
        <w:ind w:left="720" w:hanging="360"/>
      </w:pPr>
      <w:rPr>
        <w:rFonts w:ascii="Symbol" w:hAnsi="Symbol" w:hint="default"/>
      </w:rPr>
    </w:lvl>
    <w:lvl w:ilvl="1" w:tplc="E620001C" w:tentative="1">
      <w:start w:val="1"/>
      <w:numFmt w:val="bullet"/>
      <w:lvlText w:val=""/>
      <w:lvlJc w:val="left"/>
      <w:pPr>
        <w:tabs>
          <w:tab w:val="num" w:pos="1440"/>
        </w:tabs>
        <w:ind w:left="1440" w:hanging="360"/>
      </w:pPr>
      <w:rPr>
        <w:rFonts w:ascii="Symbol" w:hAnsi="Symbol" w:hint="default"/>
      </w:rPr>
    </w:lvl>
    <w:lvl w:ilvl="2" w:tplc="7B54A158" w:tentative="1">
      <w:start w:val="1"/>
      <w:numFmt w:val="bullet"/>
      <w:lvlText w:val=""/>
      <w:lvlJc w:val="left"/>
      <w:pPr>
        <w:tabs>
          <w:tab w:val="num" w:pos="2160"/>
        </w:tabs>
        <w:ind w:left="2160" w:hanging="360"/>
      </w:pPr>
      <w:rPr>
        <w:rFonts w:ascii="Symbol" w:hAnsi="Symbol" w:hint="default"/>
      </w:rPr>
    </w:lvl>
    <w:lvl w:ilvl="3" w:tplc="47B08346" w:tentative="1">
      <w:start w:val="1"/>
      <w:numFmt w:val="bullet"/>
      <w:lvlText w:val=""/>
      <w:lvlJc w:val="left"/>
      <w:pPr>
        <w:tabs>
          <w:tab w:val="num" w:pos="2880"/>
        </w:tabs>
        <w:ind w:left="2880" w:hanging="360"/>
      </w:pPr>
      <w:rPr>
        <w:rFonts w:ascii="Symbol" w:hAnsi="Symbol" w:hint="default"/>
      </w:rPr>
    </w:lvl>
    <w:lvl w:ilvl="4" w:tplc="972ACBC8" w:tentative="1">
      <w:start w:val="1"/>
      <w:numFmt w:val="bullet"/>
      <w:lvlText w:val=""/>
      <w:lvlJc w:val="left"/>
      <w:pPr>
        <w:tabs>
          <w:tab w:val="num" w:pos="3600"/>
        </w:tabs>
        <w:ind w:left="3600" w:hanging="360"/>
      </w:pPr>
      <w:rPr>
        <w:rFonts w:ascii="Symbol" w:hAnsi="Symbol" w:hint="default"/>
      </w:rPr>
    </w:lvl>
    <w:lvl w:ilvl="5" w:tplc="2C88C7B6" w:tentative="1">
      <w:start w:val="1"/>
      <w:numFmt w:val="bullet"/>
      <w:lvlText w:val=""/>
      <w:lvlJc w:val="left"/>
      <w:pPr>
        <w:tabs>
          <w:tab w:val="num" w:pos="4320"/>
        </w:tabs>
        <w:ind w:left="4320" w:hanging="360"/>
      </w:pPr>
      <w:rPr>
        <w:rFonts w:ascii="Symbol" w:hAnsi="Symbol" w:hint="default"/>
      </w:rPr>
    </w:lvl>
    <w:lvl w:ilvl="6" w:tplc="05D4F0D6" w:tentative="1">
      <w:start w:val="1"/>
      <w:numFmt w:val="bullet"/>
      <w:lvlText w:val=""/>
      <w:lvlJc w:val="left"/>
      <w:pPr>
        <w:tabs>
          <w:tab w:val="num" w:pos="5040"/>
        </w:tabs>
        <w:ind w:left="5040" w:hanging="360"/>
      </w:pPr>
      <w:rPr>
        <w:rFonts w:ascii="Symbol" w:hAnsi="Symbol" w:hint="default"/>
      </w:rPr>
    </w:lvl>
    <w:lvl w:ilvl="7" w:tplc="D0DAE8C8" w:tentative="1">
      <w:start w:val="1"/>
      <w:numFmt w:val="bullet"/>
      <w:lvlText w:val=""/>
      <w:lvlJc w:val="left"/>
      <w:pPr>
        <w:tabs>
          <w:tab w:val="num" w:pos="5760"/>
        </w:tabs>
        <w:ind w:left="5760" w:hanging="360"/>
      </w:pPr>
      <w:rPr>
        <w:rFonts w:ascii="Symbol" w:hAnsi="Symbol" w:hint="default"/>
      </w:rPr>
    </w:lvl>
    <w:lvl w:ilvl="8" w:tplc="C37CEFF8"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1C1F10B3"/>
    <w:multiLevelType w:val="hybridMultilevel"/>
    <w:tmpl w:val="A4B2A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DDD5221"/>
    <w:multiLevelType w:val="hybridMultilevel"/>
    <w:tmpl w:val="EFE6EE96"/>
    <w:lvl w:ilvl="0" w:tplc="AD2C0F14">
      <w:start w:val="1"/>
      <w:numFmt w:val="bullet"/>
      <w:lvlText w:val=""/>
      <w:lvlJc w:val="left"/>
      <w:pPr>
        <w:ind w:left="720" w:hanging="360"/>
      </w:pPr>
      <w:rPr>
        <w:rFonts w:ascii="Symbol" w:hAnsi="Symbol" w:hint="default"/>
      </w:rPr>
    </w:lvl>
    <w:lvl w:ilvl="1" w:tplc="F7423DC0">
      <w:start w:val="1"/>
      <w:numFmt w:val="bullet"/>
      <w:lvlText w:val="o"/>
      <w:lvlJc w:val="left"/>
      <w:pPr>
        <w:ind w:left="1440" w:hanging="360"/>
      </w:pPr>
      <w:rPr>
        <w:rFonts w:ascii="Courier New" w:hAnsi="Courier New" w:hint="default"/>
      </w:rPr>
    </w:lvl>
    <w:lvl w:ilvl="2" w:tplc="740EBBC4">
      <w:start w:val="1"/>
      <w:numFmt w:val="bullet"/>
      <w:lvlText w:val=""/>
      <w:lvlJc w:val="left"/>
      <w:pPr>
        <w:ind w:left="2160" w:hanging="360"/>
      </w:pPr>
      <w:rPr>
        <w:rFonts w:ascii="Wingdings" w:hAnsi="Wingdings" w:hint="default"/>
      </w:rPr>
    </w:lvl>
    <w:lvl w:ilvl="3" w:tplc="EB128EF2">
      <w:start w:val="1"/>
      <w:numFmt w:val="bullet"/>
      <w:lvlText w:val=""/>
      <w:lvlJc w:val="left"/>
      <w:pPr>
        <w:ind w:left="2880" w:hanging="360"/>
      </w:pPr>
      <w:rPr>
        <w:rFonts w:ascii="Symbol" w:hAnsi="Symbol" w:hint="default"/>
      </w:rPr>
    </w:lvl>
    <w:lvl w:ilvl="4" w:tplc="845890AA">
      <w:start w:val="1"/>
      <w:numFmt w:val="bullet"/>
      <w:lvlText w:val="o"/>
      <w:lvlJc w:val="left"/>
      <w:pPr>
        <w:ind w:left="3600" w:hanging="360"/>
      </w:pPr>
      <w:rPr>
        <w:rFonts w:ascii="Courier New" w:hAnsi="Courier New" w:hint="default"/>
      </w:rPr>
    </w:lvl>
    <w:lvl w:ilvl="5" w:tplc="64B26D8E">
      <w:start w:val="1"/>
      <w:numFmt w:val="bullet"/>
      <w:lvlText w:val=""/>
      <w:lvlJc w:val="left"/>
      <w:pPr>
        <w:ind w:left="4320" w:hanging="360"/>
      </w:pPr>
      <w:rPr>
        <w:rFonts w:ascii="Wingdings" w:hAnsi="Wingdings" w:hint="default"/>
      </w:rPr>
    </w:lvl>
    <w:lvl w:ilvl="6" w:tplc="4D10B07C">
      <w:start w:val="1"/>
      <w:numFmt w:val="bullet"/>
      <w:lvlText w:val=""/>
      <w:lvlJc w:val="left"/>
      <w:pPr>
        <w:ind w:left="5040" w:hanging="360"/>
      </w:pPr>
      <w:rPr>
        <w:rFonts w:ascii="Symbol" w:hAnsi="Symbol" w:hint="default"/>
      </w:rPr>
    </w:lvl>
    <w:lvl w:ilvl="7" w:tplc="33386E1A">
      <w:start w:val="1"/>
      <w:numFmt w:val="bullet"/>
      <w:lvlText w:val="o"/>
      <w:lvlJc w:val="left"/>
      <w:pPr>
        <w:ind w:left="5760" w:hanging="360"/>
      </w:pPr>
      <w:rPr>
        <w:rFonts w:ascii="Courier New" w:hAnsi="Courier New" w:hint="default"/>
      </w:rPr>
    </w:lvl>
    <w:lvl w:ilvl="8" w:tplc="7688AF0C">
      <w:start w:val="1"/>
      <w:numFmt w:val="bullet"/>
      <w:lvlText w:val=""/>
      <w:lvlJc w:val="left"/>
      <w:pPr>
        <w:ind w:left="6480" w:hanging="360"/>
      </w:pPr>
      <w:rPr>
        <w:rFonts w:ascii="Wingdings" w:hAnsi="Wingdings" w:hint="default"/>
      </w:rPr>
    </w:lvl>
  </w:abstractNum>
  <w:abstractNum w:abstractNumId="29" w15:restartNumberingAfterBreak="0">
    <w:nsid w:val="1E1959D2"/>
    <w:multiLevelType w:val="hybridMultilevel"/>
    <w:tmpl w:val="B0D8D0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EB653FB"/>
    <w:multiLevelType w:val="hybridMultilevel"/>
    <w:tmpl w:val="010A373A"/>
    <w:lvl w:ilvl="0" w:tplc="FBEE7214">
      <w:start w:val="1"/>
      <w:numFmt w:val="bullet"/>
      <w:lvlText w:val="•"/>
      <w:lvlJc w:val="left"/>
      <w:pPr>
        <w:tabs>
          <w:tab w:val="num" w:pos="720"/>
        </w:tabs>
        <w:ind w:left="720" w:hanging="360"/>
      </w:pPr>
      <w:rPr>
        <w:rFonts w:ascii="Arial" w:hAnsi="Arial" w:hint="default"/>
      </w:rPr>
    </w:lvl>
    <w:lvl w:ilvl="1" w:tplc="05C8484E">
      <w:start w:val="1"/>
      <w:numFmt w:val="bullet"/>
      <w:lvlText w:val="•"/>
      <w:lvlJc w:val="left"/>
      <w:pPr>
        <w:tabs>
          <w:tab w:val="num" w:pos="1440"/>
        </w:tabs>
        <w:ind w:left="1440" w:hanging="360"/>
      </w:pPr>
      <w:rPr>
        <w:rFonts w:ascii="Arial" w:hAnsi="Arial" w:hint="default"/>
      </w:rPr>
    </w:lvl>
    <w:lvl w:ilvl="2" w:tplc="40F0812E" w:tentative="1">
      <w:start w:val="1"/>
      <w:numFmt w:val="bullet"/>
      <w:lvlText w:val="•"/>
      <w:lvlJc w:val="left"/>
      <w:pPr>
        <w:tabs>
          <w:tab w:val="num" w:pos="2160"/>
        </w:tabs>
        <w:ind w:left="2160" w:hanging="360"/>
      </w:pPr>
      <w:rPr>
        <w:rFonts w:ascii="Arial" w:hAnsi="Arial" w:hint="default"/>
      </w:rPr>
    </w:lvl>
    <w:lvl w:ilvl="3" w:tplc="3E825520" w:tentative="1">
      <w:start w:val="1"/>
      <w:numFmt w:val="bullet"/>
      <w:lvlText w:val="•"/>
      <w:lvlJc w:val="left"/>
      <w:pPr>
        <w:tabs>
          <w:tab w:val="num" w:pos="2880"/>
        </w:tabs>
        <w:ind w:left="2880" w:hanging="360"/>
      </w:pPr>
      <w:rPr>
        <w:rFonts w:ascii="Arial" w:hAnsi="Arial" w:hint="default"/>
      </w:rPr>
    </w:lvl>
    <w:lvl w:ilvl="4" w:tplc="1F0450BA" w:tentative="1">
      <w:start w:val="1"/>
      <w:numFmt w:val="bullet"/>
      <w:lvlText w:val="•"/>
      <w:lvlJc w:val="left"/>
      <w:pPr>
        <w:tabs>
          <w:tab w:val="num" w:pos="3600"/>
        </w:tabs>
        <w:ind w:left="3600" w:hanging="360"/>
      </w:pPr>
      <w:rPr>
        <w:rFonts w:ascii="Arial" w:hAnsi="Arial" w:hint="default"/>
      </w:rPr>
    </w:lvl>
    <w:lvl w:ilvl="5" w:tplc="659A443A" w:tentative="1">
      <w:start w:val="1"/>
      <w:numFmt w:val="bullet"/>
      <w:lvlText w:val="•"/>
      <w:lvlJc w:val="left"/>
      <w:pPr>
        <w:tabs>
          <w:tab w:val="num" w:pos="4320"/>
        </w:tabs>
        <w:ind w:left="4320" w:hanging="360"/>
      </w:pPr>
      <w:rPr>
        <w:rFonts w:ascii="Arial" w:hAnsi="Arial" w:hint="default"/>
      </w:rPr>
    </w:lvl>
    <w:lvl w:ilvl="6" w:tplc="E990DEBE" w:tentative="1">
      <w:start w:val="1"/>
      <w:numFmt w:val="bullet"/>
      <w:lvlText w:val="•"/>
      <w:lvlJc w:val="left"/>
      <w:pPr>
        <w:tabs>
          <w:tab w:val="num" w:pos="5040"/>
        </w:tabs>
        <w:ind w:left="5040" w:hanging="360"/>
      </w:pPr>
      <w:rPr>
        <w:rFonts w:ascii="Arial" w:hAnsi="Arial" w:hint="default"/>
      </w:rPr>
    </w:lvl>
    <w:lvl w:ilvl="7" w:tplc="A93CE882" w:tentative="1">
      <w:start w:val="1"/>
      <w:numFmt w:val="bullet"/>
      <w:lvlText w:val="•"/>
      <w:lvlJc w:val="left"/>
      <w:pPr>
        <w:tabs>
          <w:tab w:val="num" w:pos="5760"/>
        </w:tabs>
        <w:ind w:left="5760" w:hanging="360"/>
      </w:pPr>
      <w:rPr>
        <w:rFonts w:ascii="Arial" w:hAnsi="Arial" w:hint="default"/>
      </w:rPr>
    </w:lvl>
    <w:lvl w:ilvl="8" w:tplc="468E23F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1EFF55EA"/>
    <w:multiLevelType w:val="hybridMultilevel"/>
    <w:tmpl w:val="5B72788C"/>
    <w:lvl w:ilvl="0" w:tplc="058630D6">
      <w:start w:val="1"/>
      <w:numFmt w:val="bullet"/>
      <w:lvlText w:val=""/>
      <w:lvlJc w:val="left"/>
      <w:pPr>
        <w:ind w:left="720" w:hanging="360"/>
      </w:pPr>
      <w:rPr>
        <w:rFonts w:ascii="Symbol" w:hAnsi="Symbol" w:hint="default"/>
      </w:rPr>
    </w:lvl>
    <w:lvl w:ilvl="1" w:tplc="E5C0A1AA">
      <w:start w:val="1"/>
      <w:numFmt w:val="bullet"/>
      <w:lvlText w:val="o"/>
      <w:lvlJc w:val="left"/>
      <w:pPr>
        <w:ind w:left="1440" w:hanging="360"/>
      </w:pPr>
      <w:rPr>
        <w:rFonts w:ascii="Courier New" w:hAnsi="Courier New" w:hint="default"/>
      </w:rPr>
    </w:lvl>
    <w:lvl w:ilvl="2" w:tplc="8CDC69A2">
      <w:start w:val="1"/>
      <w:numFmt w:val="bullet"/>
      <w:lvlText w:val=""/>
      <w:lvlJc w:val="left"/>
      <w:pPr>
        <w:ind w:left="2160" w:hanging="360"/>
      </w:pPr>
      <w:rPr>
        <w:rFonts w:ascii="Wingdings" w:hAnsi="Wingdings" w:hint="default"/>
      </w:rPr>
    </w:lvl>
    <w:lvl w:ilvl="3" w:tplc="C310AD64">
      <w:start w:val="1"/>
      <w:numFmt w:val="bullet"/>
      <w:lvlText w:val=""/>
      <w:lvlJc w:val="left"/>
      <w:pPr>
        <w:ind w:left="2880" w:hanging="360"/>
      </w:pPr>
      <w:rPr>
        <w:rFonts w:ascii="Symbol" w:hAnsi="Symbol" w:hint="default"/>
      </w:rPr>
    </w:lvl>
    <w:lvl w:ilvl="4" w:tplc="6D909986">
      <w:start w:val="1"/>
      <w:numFmt w:val="bullet"/>
      <w:lvlText w:val="o"/>
      <w:lvlJc w:val="left"/>
      <w:pPr>
        <w:ind w:left="3600" w:hanging="360"/>
      </w:pPr>
      <w:rPr>
        <w:rFonts w:ascii="Courier New" w:hAnsi="Courier New" w:hint="default"/>
      </w:rPr>
    </w:lvl>
    <w:lvl w:ilvl="5" w:tplc="13109D0C">
      <w:start w:val="1"/>
      <w:numFmt w:val="bullet"/>
      <w:lvlText w:val=""/>
      <w:lvlJc w:val="left"/>
      <w:pPr>
        <w:ind w:left="4320" w:hanging="360"/>
      </w:pPr>
      <w:rPr>
        <w:rFonts w:ascii="Wingdings" w:hAnsi="Wingdings" w:hint="default"/>
      </w:rPr>
    </w:lvl>
    <w:lvl w:ilvl="6" w:tplc="4C083194">
      <w:start w:val="1"/>
      <w:numFmt w:val="bullet"/>
      <w:lvlText w:val=""/>
      <w:lvlJc w:val="left"/>
      <w:pPr>
        <w:ind w:left="5040" w:hanging="360"/>
      </w:pPr>
      <w:rPr>
        <w:rFonts w:ascii="Symbol" w:hAnsi="Symbol" w:hint="default"/>
      </w:rPr>
    </w:lvl>
    <w:lvl w:ilvl="7" w:tplc="44BA1574">
      <w:start w:val="1"/>
      <w:numFmt w:val="bullet"/>
      <w:lvlText w:val="o"/>
      <w:lvlJc w:val="left"/>
      <w:pPr>
        <w:ind w:left="5760" w:hanging="360"/>
      </w:pPr>
      <w:rPr>
        <w:rFonts w:ascii="Courier New" w:hAnsi="Courier New" w:hint="default"/>
      </w:rPr>
    </w:lvl>
    <w:lvl w:ilvl="8" w:tplc="46E64402">
      <w:start w:val="1"/>
      <w:numFmt w:val="bullet"/>
      <w:lvlText w:val=""/>
      <w:lvlJc w:val="left"/>
      <w:pPr>
        <w:ind w:left="6480" w:hanging="360"/>
      </w:pPr>
      <w:rPr>
        <w:rFonts w:ascii="Wingdings" w:hAnsi="Wingdings" w:hint="default"/>
      </w:rPr>
    </w:lvl>
  </w:abstractNum>
  <w:abstractNum w:abstractNumId="32" w15:restartNumberingAfterBreak="0">
    <w:nsid w:val="1F775E12"/>
    <w:multiLevelType w:val="hybridMultilevel"/>
    <w:tmpl w:val="5D82C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0B97FB4"/>
    <w:multiLevelType w:val="hybridMultilevel"/>
    <w:tmpl w:val="FEB4C8D2"/>
    <w:lvl w:ilvl="0" w:tplc="9ABA5CD0">
      <w:start w:val="1"/>
      <w:numFmt w:val="decimal"/>
      <w:lvlText w:val="%1."/>
      <w:lvlJc w:val="left"/>
      <w:pPr>
        <w:tabs>
          <w:tab w:val="num" w:pos="720"/>
        </w:tabs>
        <w:ind w:left="720" w:hanging="360"/>
      </w:pPr>
    </w:lvl>
    <w:lvl w:ilvl="1" w:tplc="ED9C2C38" w:tentative="1">
      <w:start w:val="1"/>
      <w:numFmt w:val="decimal"/>
      <w:lvlText w:val="%2."/>
      <w:lvlJc w:val="left"/>
      <w:pPr>
        <w:tabs>
          <w:tab w:val="num" w:pos="1440"/>
        </w:tabs>
        <w:ind w:left="1440" w:hanging="360"/>
      </w:pPr>
    </w:lvl>
    <w:lvl w:ilvl="2" w:tplc="E0BE5702" w:tentative="1">
      <w:start w:val="1"/>
      <w:numFmt w:val="decimal"/>
      <w:lvlText w:val="%3."/>
      <w:lvlJc w:val="left"/>
      <w:pPr>
        <w:tabs>
          <w:tab w:val="num" w:pos="2160"/>
        </w:tabs>
        <w:ind w:left="2160" w:hanging="360"/>
      </w:pPr>
    </w:lvl>
    <w:lvl w:ilvl="3" w:tplc="800CB404" w:tentative="1">
      <w:start w:val="1"/>
      <w:numFmt w:val="decimal"/>
      <w:lvlText w:val="%4."/>
      <w:lvlJc w:val="left"/>
      <w:pPr>
        <w:tabs>
          <w:tab w:val="num" w:pos="2880"/>
        </w:tabs>
        <w:ind w:left="2880" w:hanging="360"/>
      </w:pPr>
    </w:lvl>
    <w:lvl w:ilvl="4" w:tplc="9620CEE6" w:tentative="1">
      <w:start w:val="1"/>
      <w:numFmt w:val="decimal"/>
      <w:lvlText w:val="%5."/>
      <w:lvlJc w:val="left"/>
      <w:pPr>
        <w:tabs>
          <w:tab w:val="num" w:pos="3600"/>
        </w:tabs>
        <w:ind w:left="3600" w:hanging="360"/>
      </w:pPr>
    </w:lvl>
    <w:lvl w:ilvl="5" w:tplc="05FC0984" w:tentative="1">
      <w:start w:val="1"/>
      <w:numFmt w:val="decimal"/>
      <w:lvlText w:val="%6."/>
      <w:lvlJc w:val="left"/>
      <w:pPr>
        <w:tabs>
          <w:tab w:val="num" w:pos="4320"/>
        </w:tabs>
        <w:ind w:left="4320" w:hanging="360"/>
      </w:pPr>
    </w:lvl>
    <w:lvl w:ilvl="6" w:tplc="74844B8C" w:tentative="1">
      <w:start w:val="1"/>
      <w:numFmt w:val="decimal"/>
      <w:lvlText w:val="%7."/>
      <w:lvlJc w:val="left"/>
      <w:pPr>
        <w:tabs>
          <w:tab w:val="num" w:pos="5040"/>
        </w:tabs>
        <w:ind w:left="5040" w:hanging="360"/>
      </w:pPr>
    </w:lvl>
    <w:lvl w:ilvl="7" w:tplc="A8F40538" w:tentative="1">
      <w:start w:val="1"/>
      <w:numFmt w:val="decimal"/>
      <w:lvlText w:val="%8."/>
      <w:lvlJc w:val="left"/>
      <w:pPr>
        <w:tabs>
          <w:tab w:val="num" w:pos="5760"/>
        </w:tabs>
        <w:ind w:left="5760" w:hanging="360"/>
      </w:pPr>
    </w:lvl>
    <w:lvl w:ilvl="8" w:tplc="AEAEF13A" w:tentative="1">
      <w:start w:val="1"/>
      <w:numFmt w:val="decimal"/>
      <w:lvlText w:val="%9."/>
      <w:lvlJc w:val="left"/>
      <w:pPr>
        <w:tabs>
          <w:tab w:val="num" w:pos="6480"/>
        </w:tabs>
        <w:ind w:left="6480" w:hanging="360"/>
      </w:pPr>
    </w:lvl>
  </w:abstractNum>
  <w:abstractNum w:abstractNumId="34" w15:restartNumberingAfterBreak="0">
    <w:nsid w:val="21057083"/>
    <w:multiLevelType w:val="hybridMultilevel"/>
    <w:tmpl w:val="8B689AFE"/>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35" w15:restartNumberingAfterBreak="0">
    <w:nsid w:val="2251382E"/>
    <w:multiLevelType w:val="hybridMultilevel"/>
    <w:tmpl w:val="FA6A40EC"/>
    <w:lvl w:ilvl="0" w:tplc="0FAEEA06">
      <w:start w:val="1"/>
      <w:numFmt w:val="bullet"/>
      <w:lvlText w:val="·"/>
      <w:lvlJc w:val="left"/>
      <w:pPr>
        <w:ind w:left="720" w:hanging="360"/>
      </w:pPr>
      <w:rPr>
        <w:rFonts w:ascii="Symbol" w:hAnsi="Symbol" w:hint="default"/>
      </w:rPr>
    </w:lvl>
    <w:lvl w:ilvl="1" w:tplc="8E500FAA">
      <w:start w:val="1"/>
      <w:numFmt w:val="bullet"/>
      <w:lvlText w:val="o"/>
      <w:lvlJc w:val="left"/>
      <w:pPr>
        <w:ind w:left="1440" w:hanging="360"/>
      </w:pPr>
      <w:rPr>
        <w:rFonts w:ascii="Courier New" w:hAnsi="Courier New" w:hint="default"/>
      </w:rPr>
    </w:lvl>
    <w:lvl w:ilvl="2" w:tplc="6FE886C0">
      <w:start w:val="1"/>
      <w:numFmt w:val="bullet"/>
      <w:lvlText w:val=""/>
      <w:lvlJc w:val="left"/>
      <w:pPr>
        <w:ind w:left="2160" w:hanging="360"/>
      </w:pPr>
      <w:rPr>
        <w:rFonts w:ascii="Wingdings" w:hAnsi="Wingdings" w:hint="default"/>
      </w:rPr>
    </w:lvl>
    <w:lvl w:ilvl="3" w:tplc="17AC63C4">
      <w:start w:val="1"/>
      <w:numFmt w:val="bullet"/>
      <w:lvlText w:val=""/>
      <w:lvlJc w:val="left"/>
      <w:pPr>
        <w:ind w:left="2880" w:hanging="360"/>
      </w:pPr>
      <w:rPr>
        <w:rFonts w:ascii="Symbol" w:hAnsi="Symbol" w:hint="default"/>
      </w:rPr>
    </w:lvl>
    <w:lvl w:ilvl="4" w:tplc="BDFC0F78">
      <w:start w:val="1"/>
      <w:numFmt w:val="bullet"/>
      <w:lvlText w:val="o"/>
      <w:lvlJc w:val="left"/>
      <w:pPr>
        <w:ind w:left="3600" w:hanging="360"/>
      </w:pPr>
      <w:rPr>
        <w:rFonts w:ascii="Courier New" w:hAnsi="Courier New" w:hint="default"/>
      </w:rPr>
    </w:lvl>
    <w:lvl w:ilvl="5" w:tplc="EC7842CE">
      <w:start w:val="1"/>
      <w:numFmt w:val="bullet"/>
      <w:lvlText w:val=""/>
      <w:lvlJc w:val="left"/>
      <w:pPr>
        <w:ind w:left="4320" w:hanging="360"/>
      </w:pPr>
      <w:rPr>
        <w:rFonts w:ascii="Wingdings" w:hAnsi="Wingdings" w:hint="default"/>
      </w:rPr>
    </w:lvl>
    <w:lvl w:ilvl="6" w:tplc="63A65766">
      <w:start w:val="1"/>
      <w:numFmt w:val="bullet"/>
      <w:lvlText w:val=""/>
      <w:lvlJc w:val="left"/>
      <w:pPr>
        <w:ind w:left="5040" w:hanging="360"/>
      </w:pPr>
      <w:rPr>
        <w:rFonts w:ascii="Symbol" w:hAnsi="Symbol" w:hint="default"/>
      </w:rPr>
    </w:lvl>
    <w:lvl w:ilvl="7" w:tplc="523E89E0">
      <w:start w:val="1"/>
      <w:numFmt w:val="bullet"/>
      <w:lvlText w:val="o"/>
      <w:lvlJc w:val="left"/>
      <w:pPr>
        <w:ind w:left="5760" w:hanging="360"/>
      </w:pPr>
      <w:rPr>
        <w:rFonts w:ascii="Courier New" w:hAnsi="Courier New" w:hint="default"/>
      </w:rPr>
    </w:lvl>
    <w:lvl w:ilvl="8" w:tplc="C78282B6">
      <w:start w:val="1"/>
      <w:numFmt w:val="bullet"/>
      <w:lvlText w:val=""/>
      <w:lvlJc w:val="left"/>
      <w:pPr>
        <w:ind w:left="6480" w:hanging="360"/>
      </w:pPr>
      <w:rPr>
        <w:rFonts w:ascii="Wingdings" w:hAnsi="Wingdings" w:hint="default"/>
      </w:rPr>
    </w:lvl>
  </w:abstractNum>
  <w:abstractNum w:abstractNumId="36" w15:restartNumberingAfterBreak="0">
    <w:nsid w:val="26153B27"/>
    <w:multiLevelType w:val="hybridMultilevel"/>
    <w:tmpl w:val="F4086048"/>
    <w:lvl w:ilvl="0" w:tplc="0E5EAA7E">
      <w:start w:val="1"/>
      <w:numFmt w:val="bullet"/>
      <w:lvlText w:val="·"/>
      <w:lvlJc w:val="left"/>
      <w:pPr>
        <w:ind w:left="720" w:hanging="360"/>
      </w:pPr>
      <w:rPr>
        <w:rFonts w:ascii="Symbol" w:hAnsi="Symbol" w:hint="default"/>
      </w:rPr>
    </w:lvl>
    <w:lvl w:ilvl="1" w:tplc="464C42CA">
      <w:start w:val="1"/>
      <w:numFmt w:val="bullet"/>
      <w:lvlText w:val="o"/>
      <w:lvlJc w:val="left"/>
      <w:pPr>
        <w:ind w:left="1440" w:hanging="360"/>
      </w:pPr>
      <w:rPr>
        <w:rFonts w:ascii="Courier New" w:hAnsi="Courier New" w:hint="default"/>
      </w:rPr>
    </w:lvl>
    <w:lvl w:ilvl="2" w:tplc="BC1E814A">
      <w:start w:val="1"/>
      <w:numFmt w:val="bullet"/>
      <w:lvlText w:val=""/>
      <w:lvlJc w:val="left"/>
      <w:pPr>
        <w:ind w:left="2160" w:hanging="360"/>
      </w:pPr>
      <w:rPr>
        <w:rFonts w:ascii="Wingdings" w:hAnsi="Wingdings" w:hint="default"/>
      </w:rPr>
    </w:lvl>
    <w:lvl w:ilvl="3" w:tplc="63C4E222">
      <w:start w:val="1"/>
      <w:numFmt w:val="bullet"/>
      <w:lvlText w:val=""/>
      <w:lvlJc w:val="left"/>
      <w:pPr>
        <w:ind w:left="2880" w:hanging="360"/>
      </w:pPr>
      <w:rPr>
        <w:rFonts w:ascii="Symbol" w:hAnsi="Symbol" w:hint="default"/>
      </w:rPr>
    </w:lvl>
    <w:lvl w:ilvl="4" w:tplc="EC749FB8">
      <w:start w:val="1"/>
      <w:numFmt w:val="bullet"/>
      <w:lvlText w:val="o"/>
      <w:lvlJc w:val="left"/>
      <w:pPr>
        <w:ind w:left="3600" w:hanging="360"/>
      </w:pPr>
      <w:rPr>
        <w:rFonts w:ascii="Courier New" w:hAnsi="Courier New" w:hint="default"/>
      </w:rPr>
    </w:lvl>
    <w:lvl w:ilvl="5" w:tplc="C55AA23A">
      <w:start w:val="1"/>
      <w:numFmt w:val="bullet"/>
      <w:lvlText w:val=""/>
      <w:lvlJc w:val="left"/>
      <w:pPr>
        <w:ind w:left="4320" w:hanging="360"/>
      </w:pPr>
      <w:rPr>
        <w:rFonts w:ascii="Wingdings" w:hAnsi="Wingdings" w:hint="default"/>
      </w:rPr>
    </w:lvl>
    <w:lvl w:ilvl="6" w:tplc="177AFB3E">
      <w:start w:val="1"/>
      <w:numFmt w:val="bullet"/>
      <w:lvlText w:val=""/>
      <w:lvlJc w:val="left"/>
      <w:pPr>
        <w:ind w:left="5040" w:hanging="360"/>
      </w:pPr>
      <w:rPr>
        <w:rFonts w:ascii="Symbol" w:hAnsi="Symbol" w:hint="default"/>
      </w:rPr>
    </w:lvl>
    <w:lvl w:ilvl="7" w:tplc="3850A46C">
      <w:start w:val="1"/>
      <w:numFmt w:val="bullet"/>
      <w:lvlText w:val="o"/>
      <w:lvlJc w:val="left"/>
      <w:pPr>
        <w:ind w:left="5760" w:hanging="360"/>
      </w:pPr>
      <w:rPr>
        <w:rFonts w:ascii="Courier New" w:hAnsi="Courier New" w:hint="default"/>
      </w:rPr>
    </w:lvl>
    <w:lvl w:ilvl="8" w:tplc="353EDE30">
      <w:start w:val="1"/>
      <w:numFmt w:val="bullet"/>
      <w:lvlText w:val=""/>
      <w:lvlJc w:val="left"/>
      <w:pPr>
        <w:ind w:left="6480" w:hanging="360"/>
      </w:pPr>
      <w:rPr>
        <w:rFonts w:ascii="Wingdings" w:hAnsi="Wingdings" w:hint="default"/>
      </w:rPr>
    </w:lvl>
  </w:abstractNum>
  <w:abstractNum w:abstractNumId="37" w15:restartNumberingAfterBreak="0">
    <w:nsid w:val="2719308D"/>
    <w:multiLevelType w:val="hybridMultilevel"/>
    <w:tmpl w:val="BD3632F8"/>
    <w:lvl w:ilvl="0" w:tplc="C82A739C">
      <w:start w:val="1"/>
      <w:numFmt w:val="decimal"/>
      <w:lvlText w:val="%1."/>
      <w:lvlJc w:val="left"/>
      <w:pPr>
        <w:tabs>
          <w:tab w:val="num" w:pos="720"/>
        </w:tabs>
        <w:ind w:left="720" w:hanging="360"/>
      </w:pPr>
    </w:lvl>
    <w:lvl w:ilvl="1" w:tplc="B1FA5898" w:tentative="1">
      <w:start w:val="1"/>
      <w:numFmt w:val="decimal"/>
      <w:lvlText w:val="%2."/>
      <w:lvlJc w:val="left"/>
      <w:pPr>
        <w:tabs>
          <w:tab w:val="num" w:pos="1440"/>
        </w:tabs>
        <w:ind w:left="1440" w:hanging="360"/>
      </w:pPr>
    </w:lvl>
    <w:lvl w:ilvl="2" w:tplc="51CED22E" w:tentative="1">
      <w:start w:val="1"/>
      <w:numFmt w:val="decimal"/>
      <w:lvlText w:val="%3."/>
      <w:lvlJc w:val="left"/>
      <w:pPr>
        <w:tabs>
          <w:tab w:val="num" w:pos="2160"/>
        </w:tabs>
        <w:ind w:left="2160" w:hanging="360"/>
      </w:pPr>
    </w:lvl>
    <w:lvl w:ilvl="3" w:tplc="E92617FC" w:tentative="1">
      <w:start w:val="1"/>
      <w:numFmt w:val="decimal"/>
      <w:lvlText w:val="%4."/>
      <w:lvlJc w:val="left"/>
      <w:pPr>
        <w:tabs>
          <w:tab w:val="num" w:pos="2880"/>
        </w:tabs>
        <w:ind w:left="2880" w:hanging="360"/>
      </w:pPr>
    </w:lvl>
    <w:lvl w:ilvl="4" w:tplc="95D2FDB2" w:tentative="1">
      <w:start w:val="1"/>
      <w:numFmt w:val="decimal"/>
      <w:lvlText w:val="%5."/>
      <w:lvlJc w:val="left"/>
      <w:pPr>
        <w:tabs>
          <w:tab w:val="num" w:pos="3600"/>
        </w:tabs>
        <w:ind w:left="3600" w:hanging="360"/>
      </w:pPr>
    </w:lvl>
    <w:lvl w:ilvl="5" w:tplc="5740985C" w:tentative="1">
      <w:start w:val="1"/>
      <w:numFmt w:val="decimal"/>
      <w:lvlText w:val="%6."/>
      <w:lvlJc w:val="left"/>
      <w:pPr>
        <w:tabs>
          <w:tab w:val="num" w:pos="4320"/>
        </w:tabs>
        <w:ind w:left="4320" w:hanging="360"/>
      </w:pPr>
    </w:lvl>
    <w:lvl w:ilvl="6" w:tplc="79B6A1C0" w:tentative="1">
      <w:start w:val="1"/>
      <w:numFmt w:val="decimal"/>
      <w:lvlText w:val="%7."/>
      <w:lvlJc w:val="left"/>
      <w:pPr>
        <w:tabs>
          <w:tab w:val="num" w:pos="5040"/>
        </w:tabs>
        <w:ind w:left="5040" w:hanging="360"/>
      </w:pPr>
    </w:lvl>
    <w:lvl w:ilvl="7" w:tplc="D9CCEDB0" w:tentative="1">
      <w:start w:val="1"/>
      <w:numFmt w:val="decimal"/>
      <w:lvlText w:val="%8."/>
      <w:lvlJc w:val="left"/>
      <w:pPr>
        <w:tabs>
          <w:tab w:val="num" w:pos="5760"/>
        </w:tabs>
        <w:ind w:left="5760" w:hanging="360"/>
      </w:pPr>
    </w:lvl>
    <w:lvl w:ilvl="8" w:tplc="FFB44AFE" w:tentative="1">
      <w:start w:val="1"/>
      <w:numFmt w:val="decimal"/>
      <w:lvlText w:val="%9."/>
      <w:lvlJc w:val="left"/>
      <w:pPr>
        <w:tabs>
          <w:tab w:val="num" w:pos="6480"/>
        </w:tabs>
        <w:ind w:left="6480" w:hanging="360"/>
      </w:pPr>
    </w:lvl>
  </w:abstractNum>
  <w:abstractNum w:abstractNumId="38" w15:restartNumberingAfterBreak="0">
    <w:nsid w:val="287011B9"/>
    <w:multiLevelType w:val="hybridMultilevel"/>
    <w:tmpl w:val="2AE87F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29CC30C5"/>
    <w:multiLevelType w:val="hybridMultilevel"/>
    <w:tmpl w:val="634E153A"/>
    <w:lvl w:ilvl="0" w:tplc="C0F88048">
      <w:start w:val="1"/>
      <w:numFmt w:val="bullet"/>
      <w:lvlText w:val=""/>
      <w:lvlJc w:val="left"/>
      <w:pPr>
        <w:ind w:left="720" w:hanging="360"/>
      </w:pPr>
      <w:rPr>
        <w:rFonts w:ascii="Symbol" w:hAnsi="Symbol" w:hint="default"/>
      </w:rPr>
    </w:lvl>
    <w:lvl w:ilvl="1" w:tplc="E71482D2">
      <w:start w:val="1"/>
      <w:numFmt w:val="bullet"/>
      <w:lvlText w:val="o"/>
      <w:lvlJc w:val="left"/>
      <w:pPr>
        <w:ind w:left="1440" w:hanging="360"/>
      </w:pPr>
      <w:rPr>
        <w:rFonts w:ascii="Courier New" w:hAnsi="Courier New" w:hint="default"/>
      </w:rPr>
    </w:lvl>
    <w:lvl w:ilvl="2" w:tplc="445A7DEC">
      <w:start w:val="1"/>
      <w:numFmt w:val="bullet"/>
      <w:lvlText w:val=""/>
      <w:lvlJc w:val="left"/>
      <w:pPr>
        <w:ind w:left="2160" w:hanging="360"/>
      </w:pPr>
      <w:rPr>
        <w:rFonts w:ascii="Wingdings" w:hAnsi="Wingdings" w:hint="default"/>
      </w:rPr>
    </w:lvl>
    <w:lvl w:ilvl="3" w:tplc="2ED61DD4">
      <w:start w:val="1"/>
      <w:numFmt w:val="bullet"/>
      <w:lvlText w:val=""/>
      <w:lvlJc w:val="left"/>
      <w:pPr>
        <w:ind w:left="2880" w:hanging="360"/>
      </w:pPr>
      <w:rPr>
        <w:rFonts w:ascii="Symbol" w:hAnsi="Symbol" w:hint="default"/>
      </w:rPr>
    </w:lvl>
    <w:lvl w:ilvl="4" w:tplc="AC42EB3A">
      <w:start w:val="1"/>
      <w:numFmt w:val="bullet"/>
      <w:lvlText w:val="o"/>
      <w:lvlJc w:val="left"/>
      <w:pPr>
        <w:ind w:left="3600" w:hanging="360"/>
      </w:pPr>
      <w:rPr>
        <w:rFonts w:ascii="Courier New" w:hAnsi="Courier New" w:hint="default"/>
      </w:rPr>
    </w:lvl>
    <w:lvl w:ilvl="5" w:tplc="A8A09074">
      <w:start w:val="1"/>
      <w:numFmt w:val="bullet"/>
      <w:lvlText w:val=""/>
      <w:lvlJc w:val="left"/>
      <w:pPr>
        <w:ind w:left="4320" w:hanging="360"/>
      </w:pPr>
      <w:rPr>
        <w:rFonts w:ascii="Wingdings" w:hAnsi="Wingdings" w:hint="default"/>
      </w:rPr>
    </w:lvl>
    <w:lvl w:ilvl="6" w:tplc="3F5894E2">
      <w:start w:val="1"/>
      <w:numFmt w:val="bullet"/>
      <w:lvlText w:val=""/>
      <w:lvlJc w:val="left"/>
      <w:pPr>
        <w:ind w:left="5040" w:hanging="360"/>
      </w:pPr>
      <w:rPr>
        <w:rFonts w:ascii="Symbol" w:hAnsi="Symbol" w:hint="default"/>
      </w:rPr>
    </w:lvl>
    <w:lvl w:ilvl="7" w:tplc="446A0F5A">
      <w:start w:val="1"/>
      <w:numFmt w:val="bullet"/>
      <w:lvlText w:val="o"/>
      <w:lvlJc w:val="left"/>
      <w:pPr>
        <w:ind w:left="5760" w:hanging="360"/>
      </w:pPr>
      <w:rPr>
        <w:rFonts w:ascii="Courier New" w:hAnsi="Courier New" w:hint="default"/>
      </w:rPr>
    </w:lvl>
    <w:lvl w:ilvl="8" w:tplc="5D70FC32">
      <w:start w:val="1"/>
      <w:numFmt w:val="bullet"/>
      <w:lvlText w:val=""/>
      <w:lvlJc w:val="left"/>
      <w:pPr>
        <w:ind w:left="6480" w:hanging="360"/>
      </w:pPr>
      <w:rPr>
        <w:rFonts w:ascii="Wingdings" w:hAnsi="Wingdings" w:hint="default"/>
      </w:rPr>
    </w:lvl>
  </w:abstractNum>
  <w:abstractNum w:abstractNumId="40" w15:restartNumberingAfterBreak="0">
    <w:nsid w:val="2A9E1C29"/>
    <w:multiLevelType w:val="hybridMultilevel"/>
    <w:tmpl w:val="F112D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CE92996"/>
    <w:multiLevelType w:val="hybridMultilevel"/>
    <w:tmpl w:val="9C063766"/>
    <w:lvl w:ilvl="0" w:tplc="FCAAAAE6">
      <w:start w:val="1"/>
      <w:numFmt w:val="upperLetter"/>
      <w:lvlText w:val="%1."/>
      <w:lvlJc w:val="left"/>
      <w:pPr>
        <w:ind w:left="360" w:hanging="360"/>
      </w:pPr>
    </w:lvl>
    <w:lvl w:ilvl="1" w:tplc="AF78198E">
      <w:start w:val="1"/>
      <w:numFmt w:val="decimal"/>
      <w:lvlText w:val="%2."/>
      <w:lvlJc w:val="left"/>
      <w:pPr>
        <w:ind w:left="720" w:hanging="360"/>
      </w:pPr>
    </w:lvl>
    <w:lvl w:ilvl="2" w:tplc="CE12162A">
      <w:start w:val="1"/>
      <w:numFmt w:val="lowerLetter"/>
      <w:lvlText w:val="%3."/>
      <w:lvlJc w:val="left"/>
      <w:pPr>
        <w:ind w:left="1080" w:hanging="360"/>
      </w:pPr>
    </w:lvl>
    <w:lvl w:ilvl="3" w:tplc="874C1688">
      <w:start w:val="1"/>
      <w:numFmt w:val="decimal"/>
      <w:lvlText w:val="(%4)"/>
      <w:lvlJc w:val="left"/>
      <w:pPr>
        <w:ind w:left="1440" w:hanging="360"/>
      </w:pPr>
    </w:lvl>
    <w:lvl w:ilvl="4" w:tplc="DDB4CBF4">
      <w:start w:val="1"/>
      <w:numFmt w:val="lowerLetter"/>
      <w:lvlText w:val="(%5)"/>
      <w:lvlJc w:val="left"/>
      <w:pPr>
        <w:ind w:left="1800" w:hanging="360"/>
      </w:pPr>
    </w:lvl>
    <w:lvl w:ilvl="5" w:tplc="D74275FC">
      <w:start w:val="1"/>
      <w:numFmt w:val="lowerRoman"/>
      <w:lvlText w:val="(%6)"/>
      <w:lvlJc w:val="left"/>
      <w:pPr>
        <w:ind w:left="2160" w:hanging="360"/>
      </w:pPr>
    </w:lvl>
    <w:lvl w:ilvl="6" w:tplc="D060AE86">
      <w:start w:val="1"/>
      <w:numFmt w:val="decimal"/>
      <w:lvlText w:val="%7."/>
      <w:lvlJc w:val="left"/>
      <w:pPr>
        <w:ind w:left="2520" w:hanging="360"/>
      </w:pPr>
    </w:lvl>
    <w:lvl w:ilvl="7" w:tplc="BB3C837A">
      <w:start w:val="1"/>
      <w:numFmt w:val="lowerLetter"/>
      <w:lvlText w:val="%8."/>
      <w:lvlJc w:val="left"/>
      <w:pPr>
        <w:ind w:left="2880" w:hanging="360"/>
      </w:pPr>
    </w:lvl>
    <w:lvl w:ilvl="8" w:tplc="5248E63A">
      <w:start w:val="1"/>
      <w:numFmt w:val="lowerRoman"/>
      <w:lvlText w:val="%9."/>
      <w:lvlJc w:val="left"/>
      <w:pPr>
        <w:ind w:left="3240" w:hanging="360"/>
      </w:pPr>
    </w:lvl>
  </w:abstractNum>
  <w:abstractNum w:abstractNumId="42" w15:restartNumberingAfterBreak="0">
    <w:nsid w:val="3051556C"/>
    <w:multiLevelType w:val="hybridMultilevel"/>
    <w:tmpl w:val="8B746764"/>
    <w:lvl w:ilvl="0" w:tplc="FC283CFC">
      <w:start w:val="1"/>
      <w:numFmt w:val="bullet"/>
      <w:lvlText w:val=""/>
      <w:lvlJc w:val="left"/>
      <w:pPr>
        <w:tabs>
          <w:tab w:val="num" w:pos="360"/>
        </w:tabs>
        <w:ind w:left="360" w:hanging="360"/>
      </w:pPr>
      <w:rPr>
        <w:rFonts w:ascii="Symbol" w:hAnsi="Symbol" w:hint="default"/>
      </w:rPr>
    </w:lvl>
    <w:lvl w:ilvl="1" w:tplc="E234755C" w:tentative="1">
      <w:start w:val="1"/>
      <w:numFmt w:val="bullet"/>
      <w:lvlText w:val=""/>
      <w:lvlJc w:val="left"/>
      <w:pPr>
        <w:tabs>
          <w:tab w:val="num" w:pos="1080"/>
        </w:tabs>
        <w:ind w:left="1080" w:hanging="360"/>
      </w:pPr>
      <w:rPr>
        <w:rFonts w:ascii="Symbol" w:hAnsi="Symbol" w:hint="default"/>
      </w:rPr>
    </w:lvl>
    <w:lvl w:ilvl="2" w:tplc="D2606DC6" w:tentative="1">
      <w:start w:val="1"/>
      <w:numFmt w:val="bullet"/>
      <w:lvlText w:val=""/>
      <w:lvlJc w:val="left"/>
      <w:pPr>
        <w:tabs>
          <w:tab w:val="num" w:pos="1800"/>
        </w:tabs>
        <w:ind w:left="1800" w:hanging="360"/>
      </w:pPr>
      <w:rPr>
        <w:rFonts w:ascii="Symbol" w:hAnsi="Symbol" w:hint="default"/>
      </w:rPr>
    </w:lvl>
    <w:lvl w:ilvl="3" w:tplc="B39C0BA6" w:tentative="1">
      <w:start w:val="1"/>
      <w:numFmt w:val="bullet"/>
      <w:lvlText w:val=""/>
      <w:lvlJc w:val="left"/>
      <w:pPr>
        <w:tabs>
          <w:tab w:val="num" w:pos="2520"/>
        </w:tabs>
        <w:ind w:left="2520" w:hanging="360"/>
      </w:pPr>
      <w:rPr>
        <w:rFonts w:ascii="Symbol" w:hAnsi="Symbol" w:hint="default"/>
      </w:rPr>
    </w:lvl>
    <w:lvl w:ilvl="4" w:tplc="4DA401F2" w:tentative="1">
      <w:start w:val="1"/>
      <w:numFmt w:val="bullet"/>
      <w:lvlText w:val=""/>
      <w:lvlJc w:val="left"/>
      <w:pPr>
        <w:tabs>
          <w:tab w:val="num" w:pos="3240"/>
        </w:tabs>
        <w:ind w:left="3240" w:hanging="360"/>
      </w:pPr>
      <w:rPr>
        <w:rFonts w:ascii="Symbol" w:hAnsi="Symbol" w:hint="default"/>
      </w:rPr>
    </w:lvl>
    <w:lvl w:ilvl="5" w:tplc="FB7A11BA" w:tentative="1">
      <w:start w:val="1"/>
      <w:numFmt w:val="bullet"/>
      <w:lvlText w:val=""/>
      <w:lvlJc w:val="left"/>
      <w:pPr>
        <w:tabs>
          <w:tab w:val="num" w:pos="3960"/>
        </w:tabs>
        <w:ind w:left="3960" w:hanging="360"/>
      </w:pPr>
      <w:rPr>
        <w:rFonts w:ascii="Symbol" w:hAnsi="Symbol" w:hint="default"/>
      </w:rPr>
    </w:lvl>
    <w:lvl w:ilvl="6" w:tplc="86A88058" w:tentative="1">
      <w:start w:val="1"/>
      <w:numFmt w:val="bullet"/>
      <w:lvlText w:val=""/>
      <w:lvlJc w:val="left"/>
      <w:pPr>
        <w:tabs>
          <w:tab w:val="num" w:pos="4680"/>
        </w:tabs>
        <w:ind w:left="4680" w:hanging="360"/>
      </w:pPr>
      <w:rPr>
        <w:rFonts w:ascii="Symbol" w:hAnsi="Symbol" w:hint="default"/>
      </w:rPr>
    </w:lvl>
    <w:lvl w:ilvl="7" w:tplc="1F987238" w:tentative="1">
      <w:start w:val="1"/>
      <w:numFmt w:val="bullet"/>
      <w:lvlText w:val=""/>
      <w:lvlJc w:val="left"/>
      <w:pPr>
        <w:tabs>
          <w:tab w:val="num" w:pos="5400"/>
        </w:tabs>
        <w:ind w:left="5400" w:hanging="360"/>
      </w:pPr>
      <w:rPr>
        <w:rFonts w:ascii="Symbol" w:hAnsi="Symbol" w:hint="default"/>
      </w:rPr>
    </w:lvl>
    <w:lvl w:ilvl="8" w:tplc="50262626" w:tentative="1">
      <w:start w:val="1"/>
      <w:numFmt w:val="bullet"/>
      <w:lvlText w:val=""/>
      <w:lvlJc w:val="left"/>
      <w:pPr>
        <w:tabs>
          <w:tab w:val="num" w:pos="6120"/>
        </w:tabs>
        <w:ind w:left="6120" w:hanging="360"/>
      </w:pPr>
      <w:rPr>
        <w:rFonts w:ascii="Symbol" w:hAnsi="Symbol" w:hint="default"/>
      </w:rPr>
    </w:lvl>
  </w:abstractNum>
  <w:abstractNum w:abstractNumId="43" w15:restartNumberingAfterBreak="0">
    <w:nsid w:val="307F26EC"/>
    <w:multiLevelType w:val="hybridMultilevel"/>
    <w:tmpl w:val="B22E32F8"/>
    <w:lvl w:ilvl="0" w:tplc="B9D0ED8E">
      <w:start w:val="1"/>
      <w:numFmt w:val="bullet"/>
      <w:lvlText w:val="·"/>
      <w:lvlJc w:val="left"/>
      <w:pPr>
        <w:ind w:left="720" w:hanging="360"/>
      </w:pPr>
      <w:rPr>
        <w:rFonts w:ascii="Symbol" w:hAnsi="Symbol" w:hint="default"/>
      </w:rPr>
    </w:lvl>
    <w:lvl w:ilvl="1" w:tplc="E0D85846">
      <w:start w:val="1"/>
      <w:numFmt w:val="bullet"/>
      <w:lvlText w:val="o"/>
      <w:lvlJc w:val="left"/>
      <w:pPr>
        <w:ind w:left="1440" w:hanging="360"/>
      </w:pPr>
      <w:rPr>
        <w:rFonts w:ascii="Courier New" w:hAnsi="Courier New" w:hint="default"/>
      </w:rPr>
    </w:lvl>
    <w:lvl w:ilvl="2" w:tplc="095452E4">
      <w:start w:val="1"/>
      <w:numFmt w:val="bullet"/>
      <w:lvlText w:val=""/>
      <w:lvlJc w:val="left"/>
      <w:pPr>
        <w:ind w:left="2160" w:hanging="360"/>
      </w:pPr>
      <w:rPr>
        <w:rFonts w:ascii="Wingdings" w:hAnsi="Wingdings" w:hint="default"/>
      </w:rPr>
    </w:lvl>
    <w:lvl w:ilvl="3" w:tplc="6BBA483C">
      <w:start w:val="1"/>
      <w:numFmt w:val="bullet"/>
      <w:lvlText w:val=""/>
      <w:lvlJc w:val="left"/>
      <w:pPr>
        <w:ind w:left="2880" w:hanging="360"/>
      </w:pPr>
      <w:rPr>
        <w:rFonts w:ascii="Symbol" w:hAnsi="Symbol" w:hint="default"/>
      </w:rPr>
    </w:lvl>
    <w:lvl w:ilvl="4" w:tplc="AE962A3E">
      <w:start w:val="1"/>
      <w:numFmt w:val="bullet"/>
      <w:lvlText w:val="o"/>
      <w:lvlJc w:val="left"/>
      <w:pPr>
        <w:ind w:left="3600" w:hanging="360"/>
      </w:pPr>
      <w:rPr>
        <w:rFonts w:ascii="Courier New" w:hAnsi="Courier New" w:hint="default"/>
      </w:rPr>
    </w:lvl>
    <w:lvl w:ilvl="5" w:tplc="F4FE474E">
      <w:start w:val="1"/>
      <w:numFmt w:val="bullet"/>
      <w:lvlText w:val=""/>
      <w:lvlJc w:val="left"/>
      <w:pPr>
        <w:ind w:left="4320" w:hanging="360"/>
      </w:pPr>
      <w:rPr>
        <w:rFonts w:ascii="Wingdings" w:hAnsi="Wingdings" w:hint="default"/>
      </w:rPr>
    </w:lvl>
    <w:lvl w:ilvl="6" w:tplc="C6F417AA">
      <w:start w:val="1"/>
      <w:numFmt w:val="bullet"/>
      <w:lvlText w:val=""/>
      <w:lvlJc w:val="left"/>
      <w:pPr>
        <w:ind w:left="5040" w:hanging="360"/>
      </w:pPr>
      <w:rPr>
        <w:rFonts w:ascii="Symbol" w:hAnsi="Symbol" w:hint="default"/>
      </w:rPr>
    </w:lvl>
    <w:lvl w:ilvl="7" w:tplc="574C7ECA">
      <w:start w:val="1"/>
      <w:numFmt w:val="bullet"/>
      <w:lvlText w:val="o"/>
      <w:lvlJc w:val="left"/>
      <w:pPr>
        <w:ind w:left="5760" w:hanging="360"/>
      </w:pPr>
      <w:rPr>
        <w:rFonts w:ascii="Courier New" w:hAnsi="Courier New" w:hint="default"/>
      </w:rPr>
    </w:lvl>
    <w:lvl w:ilvl="8" w:tplc="6C4E79A8">
      <w:start w:val="1"/>
      <w:numFmt w:val="bullet"/>
      <w:lvlText w:val=""/>
      <w:lvlJc w:val="left"/>
      <w:pPr>
        <w:ind w:left="6480" w:hanging="360"/>
      </w:pPr>
      <w:rPr>
        <w:rFonts w:ascii="Wingdings" w:hAnsi="Wingdings" w:hint="default"/>
      </w:rPr>
    </w:lvl>
  </w:abstractNum>
  <w:abstractNum w:abstractNumId="44" w15:restartNumberingAfterBreak="0">
    <w:nsid w:val="3503662B"/>
    <w:multiLevelType w:val="hybridMultilevel"/>
    <w:tmpl w:val="B32C4B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353A2764"/>
    <w:multiLevelType w:val="hybridMultilevel"/>
    <w:tmpl w:val="C7743CEC"/>
    <w:lvl w:ilvl="0" w:tplc="74D0B10E">
      <w:start w:val="1"/>
      <w:numFmt w:val="bullet"/>
      <w:lvlText w:val=""/>
      <w:lvlJc w:val="left"/>
      <w:pPr>
        <w:tabs>
          <w:tab w:val="num" w:pos="360"/>
        </w:tabs>
        <w:ind w:left="360" w:hanging="360"/>
      </w:pPr>
      <w:rPr>
        <w:rFonts w:ascii="Symbol" w:hAnsi="Symbol" w:hint="default"/>
      </w:rPr>
    </w:lvl>
    <w:lvl w:ilvl="1" w:tplc="161C91C8" w:tentative="1">
      <w:start w:val="1"/>
      <w:numFmt w:val="bullet"/>
      <w:lvlText w:val=""/>
      <w:lvlJc w:val="left"/>
      <w:pPr>
        <w:tabs>
          <w:tab w:val="num" w:pos="1080"/>
        </w:tabs>
        <w:ind w:left="1080" w:hanging="360"/>
      </w:pPr>
      <w:rPr>
        <w:rFonts w:ascii="Symbol" w:hAnsi="Symbol" w:hint="default"/>
      </w:rPr>
    </w:lvl>
    <w:lvl w:ilvl="2" w:tplc="1562C9B8" w:tentative="1">
      <w:start w:val="1"/>
      <w:numFmt w:val="bullet"/>
      <w:lvlText w:val=""/>
      <w:lvlJc w:val="left"/>
      <w:pPr>
        <w:tabs>
          <w:tab w:val="num" w:pos="1800"/>
        </w:tabs>
        <w:ind w:left="1800" w:hanging="360"/>
      </w:pPr>
      <w:rPr>
        <w:rFonts w:ascii="Symbol" w:hAnsi="Symbol" w:hint="default"/>
      </w:rPr>
    </w:lvl>
    <w:lvl w:ilvl="3" w:tplc="140C8598" w:tentative="1">
      <w:start w:val="1"/>
      <w:numFmt w:val="bullet"/>
      <w:lvlText w:val=""/>
      <w:lvlJc w:val="left"/>
      <w:pPr>
        <w:tabs>
          <w:tab w:val="num" w:pos="2520"/>
        </w:tabs>
        <w:ind w:left="2520" w:hanging="360"/>
      </w:pPr>
      <w:rPr>
        <w:rFonts w:ascii="Symbol" w:hAnsi="Symbol" w:hint="default"/>
      </w:rPr>
    </w:lvl>
    <w:lvl w:ilvl="4" w:tplc="B4DAC4E2" w:tentative="1">
      <w:start w:val="1"/>
      <w:numFmt w:val="bullet"/>
      <w:lvlText w:val=""/>
      <w:lvlJc w:val="left"/>
      <w:pPr>
        <w:tabs>
          <w:tab w:val="num" w:pos="3240"/>
        </w:tabs>
        <w:ind w:left="3240" w:hanging="360"/>
      </w:pPr>
      <w:rPr>
        <w:rFonts w:ascii="Symbol" w:hAnsi="Symbol" w:hint="default"/>
      </w:rPr>
    </w:lvl>
    <w:lvl w:ilvl="5" w:tplc="973A33C2" w:tentative="1">
      <w:start w:val="1"/>
      <w:numFmt w:val="bullet"/>
      <w:lvlText w:val=""/>
      <w:lvlJc w:val="left"/>
      <w:pPr>
        <w:tabs>
          <w:tab w:val="num" w:pos="3960"/>
        </w:tabs>
        <w:ind w:left="3960" w:hanging="360"/>
      </w:pPr>
      <w:rPr>
        <w:rFonts w:ascii="Symbol" w:hAnsi="Symbol" w:hint="default"/>
      </w:rPr>
    </w:lvl>
    <w:lvl w:ilvl="6" w:tplc="FEC0D5F6" w:tentative="1">
      <w:start w:val="1"/>
      <w:numFmt w:val="bullet"/>
      <w:lvlText w:val=""/>
      <w:lvlJc w:val="left"/>
      <w:pPr>
        <w:tabs>
          <w:tab w:val="num" w:pos="4680"/>
        </w:tabs>
        <w:ind w:left="4680" w:hanging="360"/>
      </w:pPr>
      <w:rPr>
        <w:rFonts w:ascii="Symbol" w:hAnsi="Symbol" w:hint="default"/>
      </w:rPr>
    </w:lvl>
    <w:lvl w:ilvl="7" w:tplc="E5569954" w:tentative="1">
      <w:start w:val="1"/>
      <w:numFmt w:val="bullet"/>
      <w:lvlText w:val=""/>
      <w:lvlJc w:val="left"/>
      <w:pPr>
        <w:tabs>
          <w:tab w:val="num" w:pos="5400"/>
        </w:tabs>
        <w:ind w:left="5400" w:hanging="360"/>
      </w:pPr>
      <w:rPr>
        <w:rFonts w:ascii="Symbol" w:hAnsi="Symbol" w:hint="default"/>
      </w:rPr>
    </w:lvl>
    <w:lvl w:ilvl="8" w:tplc="A546069C" w:tentative="1">
      <w:start w:val="1"/>
      <w:numFmt w:val="bullet"/>
      <w:lvlText w:val=""/>
      <w:lvlJc w:val="left"/>
      <w:pPr>
        <w:tabs>
          <w:tab w:val="num" w:pos="6120"/>
        </w:tabs>
        <w:ind w:left="6120" w:hanging="360"/>
      </w:pPr>
      <w:rPr>
        <w:rFonts w:ascii="Symbol" w:hAnsi="Symbol" w:hint="default"/>
      </w:rPr>
    </w:lvl>
  </w:abstractNum>
  <w:abstractNum w:abstractNumId="46" w15:restartNumberingAfterBreak="0">
    <w:nsid w:val="365C23EF"/>
    <w:multiLevelType w:val="hybridMultilevel"/>
    <w:tmpl w:val="7A28EAF8"/>
    <w:lvl w:ilvl="0" w:tplc="E8C2E71A">
      <w:start w:val="1"/>
      <w:numFmt w:val="bullet"/>
      <w:lvlText w:val="·"/>
      <w:lvlJc w:val="left"/>
      <w:pPr>
        <w:ind w:left="720" w:hanging="360"/>
      </w:pPr>
      <w:rPr>
        <w:rFonts w:ascii="Symbol" w:hAnsi="Symbol" w:hint="default"/>
      </w:rPr>
    </w:lvl>
    <w:lvl w:ilvl="1" w:tplc="665678AC">
      <w:start w:val="1"/>
      <w:numFmt w:val="bullet"/>
      <w:lvlText w:val="o"/>
      <w:lvlJc w:val="left"/>
      <w:pPr>
        <w:ind w:left="1440" w:hanging="360"/>
      </w:pPr>
      <w:rPr>
        <w:rFonts w:ascii="Courier New" w:hAnsi="Courier New" w:hint="default"/>
      </w:rPr>
    </w:lvl>
    <w:lvl w:ilvl="2" w:tplc="D62C012A">
      <w:start w:val="1"/>
      <w:numFmt w:val="bullet"/>
      <w:lvlText w:val=""/>
      <w:lvlJc w:val="left"/>
      <w:pPr>
        <w:ind w:left="2160" w:hanging="360"/>
      </w:pPr>
      <w:rPr>
        <w:rFonts w:ascii="Wingdings" w:hAnsi="Wingdings" w:hint="default"/>
      </w:rPr>
    </w:lvl>
    <w:lvl w:ilvl="3" w:tplc="215C5026">
      <w:start w:val="1"/>
      <w:numFmt w:val="bullet"/>
      <w:lvlText w:val=""/>
      <w:lvlJc w:val="left"/>
      <w:pPr>
        <w:ind w:left="2880" w:hanging="360"/>
      </w:pPr>
      <w:rPr>
        <w:rFonts w:ascii="Symbol" w:hAnsi="Symbol" w:hint="default"/>
      </w:rPr>
    </w:lvl>
    <w:lvl w:ilvl="4" w:tplc="38CA21AE">
      <w:start w:val="1"/>
      <w:numFmt w:val="bullet"/>
      <w:lvlText w:val="o"/>
      <w:lvlJc w:val="left"/>
      <w:pPr>
        <w:ind w:left="3600" w:hanging="360"/>
      </w:pPr>
      <w:rPr>
        <w:rFonts w:ascii="Courier New" w:hAnsi="Courier New" w:hint="default"/>
      </w:rPr>
    </w:lvl>
    <w:lvl w:ilvl="5" w:tplc="81C6303A">
      <w:start w:val="1"/>
      <w:numFmt w:val="bullet"/>
      <w:lvlText w:val=""/>
      <w:lvlJc w:val="left"/>
      <w:pPr>
        <w:ind w:left="4320" w:hanging="360"/>
      </w:pPr>
      <w:rPr>
        <w:rFonts w:ascii="Wingdings" w:hAnsi="Wingdings" w:hint="default"/>
      </w:rPr>
    </w:lvl>
    <w:lvl w:ilvl="6" w:tplc="A9EAE514">
      <w:start w:val="1"/>
      <w:numFmt w:val="bullet"/>
      <w:lvlText w:val=""/>
      <w:lvlJc w:val="left"/>
      <w:pPr>
        <w:ind w:left="5040" w:hanging="360"/>
      </w:pPr>
      <w:rPr>
        <w:rFonts w:ascii="Symbol" w:hAnsi="Symbol" w:hint="default"/>
      </w:rPr>
    </w:lvl>
    <w:lvl w:ilvl="7" w:tplc="E800DD22">
      <w:start w:val="1"/>
      <w:numFmt w:val="bullet"/>
      <w:lvlText w:val="o"/>
      <w:lvlJc w:val="left"/>
      <w:pPr>
        <w:ind w:left="5760" w:hanging="360"/>
      </w:pPr>
      <w:rPr>
        <w:rFonts w:ascii="Courier New" w:hAnsi="Courier New" w:hint="default"/>
      </w:rPr>
    </w:lvl>
    <w:lvl w:ilvl="8" w:tplc="F0769000">
      <w:start w:val="1"/>
      <w:numFmt w:val="bullet"/>
      <w:lvlText w:val=""/>
      <w:lvlJc w:val="left"/>
      <w:pPr>
        <w:ind w:left="6480" w:hanging="360"/>
      </w:pPr>
      <w:rPr>
        <w:rFonts w:ascii="Wingdings" w:hAnsi="Wingdings" w:hint="default"/>
      </w:rPr>
    </w:lvl>
  </w:abstractNum>
  <w:abstractNum w:abstractNumId="47" w15:restartNumberingAfterBreak="0">
    <w:nsid w:val="376E22DA"/>
    <w:multiLevelType w:val="hybridMultilevel"/>
    <w:tmpl w:val="9C063766"/>
    <w:lvl w:ilvl="0" w:tplc="BE1E1F72">
      <w:start w:val="1"/>
      <w:numFmt w:val="upperLetter"/>
      <w:lvlText w:val="%1."/>
      <w:lvlJc w:val="left"/>
      <w:pPr>
        <w:ind w:left="360" w:hanging="360"/>
      </w:pPr>
    </w:lvl>
    <w:lvl w:ilvl="1" w:tplc="D8CA7F1E">
      <w:start w:val="1"/>
      <w:numFmt w:val="decimal"/>
      <w:lvlText w:val="%2."/>
      <w:lvlJc w:val="left"/>
      <w:pPr>
        <w:ind w:left="720" w:hanging="360"/>
      </w:pPr>
    </w:lvl>
    <w:lvl w:ilvl="2" w:tplc="29423E0E">
      <w:start w:val="1"/>
      <w:numFmt w:val="lowerLetter"/>
      <w:lvlText w:val="%3."/>
      <w:lvlJc w:val="left"/>
      <w:pPr>
        <w:ind w:left="2345" w:hanging="360"/>
      </w:pPr>
    </w:lvl>
    <w:lvl w:ilvl="3" w:tplc="F17A8668">
      <w:start w:val="1"/>
      <w:numFmt w:val="decimal"/>
      <w:lvlText w:val="(%4)"/>
      <w:lvlJc w:val="left"/>
      <w:pPr>
        <w:ind w:left="1440" w:hanging="360"/>
      </w:pPr>
    </w:lvl>
    <w:lvl w:ilvl="4" w:tplc="C7EAD472">
      <w:start w:val="1"/>
      <w:numFmt w:val="lowerLetter"/>
      <w:lvlText w:val="(%5)"/>
      <w:lvlJc w:val="left"/>
      <w:pPr>
        <w:ind w:left="1800" w:hanging="360"/>
      </w:pPr>
    </w:lvl>
    <w:lvl w:ilvl="5" w:tplc="B9544910">
      <w:start w:val="1"/>
      <w:numFmt w:val="lowerRoman"/>
      <w:lvlText w:val="(%6)"/>
      <w:lvlJc w:val="left"/>
      <w:pPr>
        <w:ind w:left="2160" w:hanging="360"/>
      </w:pPr>
    </w:lvl>
    <w:lvl w:ilvl="6" w:tplc="3DB0EE16">
      <w:start w:val="1"/>
      <w:numFmt w:val="decimal"/>
      <w:lvlText w:val="%7."/>
      <w:lvlJc w:val="left"/>
      <w:pPr>
        <w:ind w:left="2520" w:hanging="360"/>
      </w:pPr>
    </w:lvl>
    <w:lvl w:ilvl="7" w:tplc="7B8E933C">
      <w:start w:val="1"/>
      <w:numFmt w:val="lowerLetter"/>
      <w:lvlText w:val="%8."/>
      <w:lvlJc w:val="left"/>
      <w:pPr>
        <w:ind w:left="2880" w:hanging="360"/>
      </w:pPr>
    </w:lvl>
    <w:lvl w:ilvl="8" w:tplc="D322503A">
      <w:start w:val="1"/>
      <w:numFmt w:val="lowerRoman"/>
      <w:lvlText w:val="%9."/>
      <w:lvlJc w:val="left"/>
      <w:pPr>
        <w:ind w:left="3240" w:hanging="360"/>
      </w:pPr>
    </w:lvl>
  </w:abstractNum>
  <w:abstractNum w:abstractNumId="48" w15:restartNumberingAfterBreak="0">
    <w:nsid w:val="37F91107"/>
    <w:multiLevelType w:val="hybridMultilevel"/>
    <w:tmpl w:val="C994DFC8"/>
    <w:lvl w:ilvl="0" w:tplc="8EACE10E">
      <w:start w:val="1"/>
      <w:numFmt w:val="bullet"/>
      <w:lvlText w:val=""/>
      <w:lvlJc w:val="left"/>
      <w:pPr>
        <w:tabs>
          <w:tab w:val="num" w:pos="360"/>
        </w:tabs>
        <w:ind w:left="360" w:hanging="360"/>
      </w:pPr>
      <w:rPr>
        <w:rFonts w:ascii="Symbol" w:hAnsi="Symbol" w:hint="default"/>
      </w:rPr>
    </w:lvl>
    <w:lvl w:ilvl="1" w:tplc="85D270E6">
      <w:numFmt w:val="bullet"/>
      <w:lvlText w:val="o"/>
      <w:lvlJc w:val="left"/>
      <w:pPr>
        <w:tabs>
          <w:tab w:val="num" w:pos="1080"/>
        </w:tabs>
        <w:ind w:left="1080" w:hanging="360"/>
      </w:pPr>
      <w:rPr>
        <w:rFonts w:ascii="Courier New" w:hAnsi="Courier New" w:hint="default"/>
      </w:rPr>
    </w:lvl>
    <w:lvl w:ilvl="2" w:tplc="B6F0C770" w:tentative="1">
      <w:start w:val="1"/>
      <w:numFmt w:val="bullet"/>
      <w:lvlText w:val=""/>
      <w:lvlJc w:val="left"/>
      <w:pPr>
        <w:tabs>
          <w:tab w:val="num" w:pos="1800"/>
        </w:tabs>
        <w:ind w:left="1800" w:hanging="360"/>
      </w:pPr>
      <w:rPr>
        <w:rFonts w:ascii="Symbol" w:hAnsi="Symbol" w:hint="default"/>
      </w:rPr>
    </w:lvl>
    <w:lvl w:ilvl="3" w:tplc="D19CF80E" w:tentative="1">
      <w:start w:val="1"/>
      <w:numFmt w:val="bullet"/>
      <w:lvlText w:val=""/>
      <w:lvlJc w:val="left"/>
      <w:pPr>
        <w:tabs>
          <w:tab w:val="num" w:pos="2520"/>
        </w:tabs>
        <w:ind w:left="2520" w:hanging="360"/>
      </w:pPr>
      <w:rPr>
        <w:rFonts w:ascii="Symbol" w:hAnsi="Symbol" w:hint="default"/>
      </w:rPr>
    </w:lvl>
    <w:lvl w:ilvl="4" w:tplc="FC468FAE" w:tentative="1">
      <w:start w:val="1"/>
      <w:numFmt w:val="bullet"/>
      <w:lvlText w:val=""/>
      <w:lvlJc w:val="left"/>
      <w:pPr>
        <w:tabs>
          <w:tab w:val="num" w:pos="3240"/>
        </w:tabs>
        <w:ind w:left="3240" w:hanging="360"/>
      </w:pPr>
      <w:rPr>
        <w:rFonts w:ascii="Symbol" w:hAnsi="Symbol" w:hint="default"/>
      </w:rPr>
    </w:lvl>
    <w:lvl w:ilvl="5" w:tplc="7722ED7A" w:tentative="1">
      <w:start w:val="1"/>
      <w:numFmt w:val="bullet"/>
      <w:lvlText w:val=""/>
      <w:lvlJc w:val="left"/>
      <w:pPr>
        <w:tabs>
          <w:tab w:val="num" w:pos="3960"/>
        </w:tabs>
        <w:ind w:left="3960" w:hanging="360"/>
      </w:pPr>
      <w:rPr>
        <w:rFonts w:ascii="Symbol" w:hAnsi="Symbol" w:hint="default"/>
      </w:rPr>
    </w:lvl>
    <w:lvl w:ilvl="6" w:tplc="24E2591C" w:tentative="1">
      <w:start w:val="1"/>
      <w:numFmt w:val="bullet"/>
      <w:lvlText w:val=""/>
      <w:lvlJc w:val="left"/>
      <w:pPr>
        <w:tabs>
          <w:tab w:val="num" w:pos="4680"/>
        </w:tabs>
        <w:ind w:left="4680" w:hanging="360"/>
      </w:pPr>
      <w:rPr>
        <w:rFonts w:ascii="Symbol" w:hAnsi="Symbol" w:hint="default"/>
      </w:rPr>
    </w:lvl>
    <w:lvl w:ilvl="7" w:tplc="16B45D16" w:tentative="1">
      <w:start w:val="1"/>
      <w:numFmt w:val="bullet"/>
      <w:lvlText w:val=""/>
      <w:lvlJc w:val="left"/>
      <w:pPr>
        <w:tabs>
          <w:tab w:val="num" w:pos="5400"/>
        </w:tabs>
        <w:ind w:left="5400" w:hanging="360"/>
      </w:pPr>
      <w:rPr>
        <w:rFonts w:ascii="Symbol" w:hAnsi="Symbol" w:hint="default"/>
      </w:rPr>
    </w:lvl>
    <w:lvl w:ilvl="8" w:tplc="6D860FE2" w:tentative="1">
      <w:start w:val="1"/>
      <w:numFmt w:val="bullet"/>
      <w:lvlText w:val=""/>
      <w:lvlJc w:val="left"/>
      <w:pPr>
        <w:tabs>
          <w:tab w:val="num" w:pos="6120"/>
        </w:tabs>
        <w:ind w:left="6120" w:hanging="360"/>
      </w:pPr>
      <w:rPr>
        <w:rFonts w:ascii="Symbol" w:hAnsi="Symbol" w:hint="default"/>
      </w:rPr>
    </w:lvl>
  </w:abstractNum>
  <w:abstractNum w:abstractNumId="49" w15:restartNumberingAfterBreak="0">
    <w:nsid w:val="3D800858"/>
    <w:multiLevelType w:val="hybridMultilevel"/>
    <w:tmpl w:val="99106B62"/>
    <w:lvl w:ilvl="0" w:tplc="F0965F4C">
      <w:start w:val="1"/>
      <w:numFmt w:val="bullet"/>
      <w:lvlText w:val=""/>
      <w:lvlJc w:val="left"/>
      <w:pPr>
        <w:tabs>
          <w:tab w:val="num" w:pos="360"/>
        </w:tabs>
        <w:ind w:left="360" w:hanging="360"/>
      </w:pPr>
      <w:rPr>
        <w:rFonts w:ascii="Symbol" w:hAnsi="Symbol" w:hint="default"/>
      </w:rPr>
    </w:lvl>
    <w:lvl w:ilvl="1" w:tplc="8408BAC2">
      <w:numFmt w:val="bullet"/>
      <w:lvlText w:val="o"/>
      <w:lvlJc w:val="left"/>
      <w:pPr>
        <w:tabs>
          <w:tab w:val="num" w:pos="1080"/>
        </w:tabs>
        <w:ind w:left="1080" w:hanging="360"/>
      </w:pPr>
      <w:rPr>
        <w:rFonts w:ascii="Courier New" w:hAnsi="Courier New" w:hint="default"/>
      </w:rPr>
    </w:lvl>
    <w:lvl w:ilvl="2" w:tplc="37D8EB50" w:tentative="1">
      <w:start w:val="1"/>
      <w:numFmt w:val="bullet"/>
      <w:lvlText w:val=""/>
      <w:lvlJc w:val="left"/>
      <w:pPr>
        <w:tabs>
          <w:tab w:val="num" w:pos="1800"/>
        </w:tabs>
        <w:ind w:left="1800" w:hanging="360"/>
      </w:pPr>
      <w:rPr>
        <w:rFonts w:ascii="Symbol" w:hAnsi="Symbol" w:hint="default"/>
      </w:rPr>
    </w:lvl>
    <w:lvl w:ilvl="3" w:tplc="FB06AC64" w:tentative="1">
      <w:start w:val="1"/>
      <w:numFmt w:val="bullet"/>
      <w:lvlText w:val=""/>
      <w:lvlJc w:val="left"/>
      <w:pPr>
        <w:tabs>
          <w:tab w:val="num" w:pos="2520"/>
        </w:tabs>
        <w:ind w:left="2520" w:hanging="360"/>
      </w:pPr>
      <w:rPr>
        <w:rFonts w:ascii="Symbol" w:hAnsi="Symbol" w:hint="default"/>
      </w:rPr>
    </w:lvl>
    <w:lvl w:ilvl="4" w:tplc="2AAA274C" w:tentative="1">
      <w:start w:val="1"/>
      <w:numFmt w:val="bullet"/>
      <w:lvlText w:val=""/>
      <w:lvlJc w:val="left"/>
      <w:pPr>
        <w:tabs>
          <w:tab w:val="num" w:pos="3240"/>
        </w:tabs>
        <w:ind w:left="3240" w:hanging="360"/>
      </w:pPr>
      <w:rPr>
        <w:rFonts w:ascii="Symbol" w:hAnsi="Symbol" w:hint="default"/>
      </w:rPr>
    </w:lvl>
    <w:lvl w:ilvl="5" w:tplc="1BA4E36C" w:tentative="1">
      <w:start w:val="1"/>
      <w:numFmt w:val="bullet"/>
      <w:lvlText w:val=""/>
      <w:lvlJc w:val="left"/>
      <w:pPr>
        <w:tabs>
          <w:tab w:val="num" w:pos="3960"/>
        </w:tabs>
        <w:ind w:left="3960" w:hanging="360"/>
      </w:pPr>
      <w:rPr>
        <w:rFonts w:ascii="Symbol" w:hAnsi="Symbol" w:hint="default"/>
      </w:rPr>
    </w:lvl>
    <w:lvl w:ilvl="6" w:tplc="2B7825E2" w:tentative="1">
      <w:start w:val="1"/>
      <w:numFmt w:val="bullet"/>
      <w:lvlText w:val=""/>
      <w:lvlJc w:val="left"/>
      <w:pPr>
        <w:tabs>
          <w:tab w:val="num" w:pos="4680"/>
        </w:tabs>
        <w:ind w:left="4680" w:hanging="360"/>
      </w:pPr>
      <w:rPr>
        <w:rFonts w:ascii="Symbol" w:hAnsi="Symbol" w:hint="default"/>
      </w:rPr>
    </w:lvl>
    <w:lvl w:ilvl="7" w:tplc="D8D60AEA" w:tentative="1">
      <w:start w:val="1"/>
      <w:numFmt w:val="bullet"/>
      <w:lvlText w:val=""/>
      <w:lvlJc w:val="left"/>
      <w:pPr>
        <w:tabs>
          <w:tab w:val="num" w:pos="5400"/>
        </w:tabs>
        <w:ind w:left="5400" w:hanging="360"/>
      </w:pPr>
      <w:rPr>
        <w:rFonts w:ascii="Symbol" w:hAnsi="Symbol" w:hint="default"/>
      </w:rPr>
    </w:lvl>
    <w:lvl w:ilvl="8" w:tplc="FDC2960A" w:tentative="1">
      <w:start w:val="1"/>
      <w:numFmt w:val="bullet"/>
      <w:lvlText w:val=""/>
      <w:lvlJc w:val="left"/>
      <w:pPr>
        <w:tabs>
          <w:tab w:val="num" w:pos="6120"/>
        </w:tabs>
        <w:ind w:left="6120" w:hanging="360"/>
      </w:pPr>
      <w:rPr>
        <w:rFonts w:ascii="Symbol" w:hAnsi="Symbol" w:hint="default"/>
      </w:rPr>
    </w:lvl>
  </w:abstractNum>
  <w:abstractNum w:abstractNumId="50" w15:restartNumberingAfterBreak="0">
    <w:nsid w:val="3FB00582"/>
    <w:multiLevelType w:val="hybridMultilevel"/>
    <w:tmpl w:val="09CAFAD6"/>
    <w:lvl w:ilvl="0" w:tplc="4F76DCF8">
      <w:start w:val="1"/>
      <w:numFmt w:val="bullet"/>
      <w:lvlText w:val=""/>
      <w:lvlJc w:val="left"/>
      <w:pPr>
        <w:tabs>
          <w:tab w:val="num" w:pos="720"/>
        </w:tabs>
        <w:ind w:left="720" w:hanging="360"/>
      </w:pPr>
      <w:rPr>
        <w:rFonts w:ascii="Symbol" w:hAnsi="Symbol" w:hint="default"/>
        <w:sz w:val="20"/>
      </w:rPr>
    </w:lvl>
    <w:lvl w:ilvl="1" w:tplc="A240025C" w:tentative="1">
      <w:start w:val="1"/>
      <w:numFmt w:val="bullet"/>
      <w:lvlText w:val=""/>
      <w:lvlJc w:val="left"/>
      <w:pPr>
        <w:tabs>
          <w:tab w:val="num" w:pos="1440"/>
        </w:tabs>
        <w:ind w:left="1440" w:hanging="360"/>
      </w:pPr>
      <w:rPr>
        <w:rFonts w:ascii="Symbol" w:hAnsi="Symbol" w:hint="default"/>
        <w:sz w:val="20"/>
      </w:rPr>
    </w:lvl>
    <w:lvl w:ilvl="2" w:tplc="FAF04DAE" w:tentative="1">
      <w:start w:val="1"/>
      <w:numFmt w:val="bullet"/>
      <w:lvlText w:val=""/>
      <w:lvlJc w:val="left"/>
      <w:pPr>
        <w:tabs>
          <w:tab w:val="num" w:pos="2160"/>
        </w:tabs>
        <w:ind w:left="2160" w:hanging="360"/>
      </w:pPr>
      <w:rPr>
        <w:rFonts w:ascii="Symbol" w:hAnsi="Symbol" w:hint="default"/>
        <w:sz w:val="20"/>
      </w:rPr>
    </w:lvl>
    <w:lvl w:ilvl="3" w:tplc="79366BDA" w:tentative="1">
      <w:start w:val="1"/>
      <w:numFmt w:val="bullet"/>
      <w:lvlText w:val=""/>
      <w:lvlJc w:val="left"/>
      <w:pPr>
        <w:tabs>
          <w:tab w:val="num" w:pos="2880"/>
        </w:tabs>
        <w:ind w:left="2880" w:hanging="360"/>
      </w:pPr>
      <w:rPr>
        <w:rFonts w:ascii="Symbol" w:hAnsi="Symbol" w:hint="default"/>
        <w:sz w:val="20"/>
      </w:rPr>
    </w:lvl>
    <w:lvl w:ilvl="4" w:tplc="1618151E" w:tentative="1">
      <w:start w:val="1"/>
      <w:numFmt w:val="bullet"/>
      <w:lvlText w:val=""/>
      <w:lvlJc w:val="left"/>
      <w:pPr>
        <w:tabs>
          <w:tab w:val="num" w:pos="3600"/>
        </w:tabs>
        <w:ind w:left="3600" w:hanging="360"/>
      </w:pPr>
      <w:rPr>
        <w:rFonts w:ascii="Symbol" w:hAnsi="Symbol" w:hint="default"/>
        <w:sz w:val="20"/>
      </w:rPr>
    </w:lvl>
    <w:lvl w:ilvl="5" w:tplc="97A8965E" w:tentative="1">
      <w:start w:val="1"/>
      <w:numFmt w:val="bullet"/>
      <w:lvlText w:val=""/>
      <w:lvlJc w:val="left"/>
      <w:pPr>
        <w:tabs>
          <w:tab w:val="num" w:pos="4320"/>
        </w:tabs>
        <w:ind w:left="4320" w:hanging="360"/>
      </w:pPr>
      <w:rPr>
        <w:rFonts w:ascii="Symbol" w:hAnsi="Symbol" w:hint="default"/>
        <w:sz w:val="20"/>
      </w:rPr>
    </w:lvl>
    <w:lvl w:ilvl="6" w:tplc="0C7A1C2A" w:tentative="1">
      <w:start w:val="1"/>
      <w:numFmt w:val="bullet"/>
      <w:lvlText w:val=""/>
      <w:lvlJc w:val="left"/>
      <w:pPr>
        <w:tabs>
          <w:tab w:val="num" w:pos="5040"/>
        </w:tabs>
        <w:ind w:left="5040" w:hanging="360"/>
      </w:pPr>
      <w:rPr>
        <w:rFonts w:ascii="Symbol" w:hAnsi="Symbol" w:hint="default"/>
        <w:sz w:val="20"/>
      </w:rPr>
    </w:lvl>
    <w:lvl w:ilvl="7" w:tplc="B6B002DA" w:tentative="1">
      <w:start w:val="1"/>
      <w:numFmt w:val="bullet"/>
      <w:lvlText w:val=""/>
      <w:lvlJc w:val="left"/>
      <w:pPr>
        <w:tabs>
          <w:tab w:val="num" w:pos="5760"/>
        </w:tabs>
        <w:ind w:left="5760" w:hanging="360"/>
      </w:pPr>
      <w:rPr>
        <w:rFonts w:ascii="Symbol" w:hAnsi="Symbol" w:hint="default"/>
        <w:sz w:val="20"/>
      </w:rPr>
    </w:lvl>
    <w:lvl w:ilvl="8" w:tplc="E81E7D0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00123AA"/>
    <w:multiLevelType w:val="hybridMultilevel"/>
    <w:tmpl w:val="E36C5EDA"/>
    <w:lvl w:ilvl="0" w:tplc="514A17A4">
      <w:start w:val="1"/>
      <w:numFmt w:val="bullet"/>
      <w:pStyle w:val="ListBullet2"/>
      <w:lvlText w:val=""/>
      <w:lvlJc w:val="left"/>
      <w:pPr>
        <w:ind w:left="1241" w:hanging="360"/>
      </w:pPr>
      <w:rPr>
        <w:rFonts w:ascii="Symbol" w:hAnsi="Symbol" w:hint="default"/>
        <w:sz w:val="19"/>
      </w:rPr>
    </w:lvl>
    <w:lvl w:ilvl="1" w:tplc="0C090003" w:tentative="1">
      <w:start w:val="1"/>
      <w:numFmt w:val="bullet"/>
      <w:lvlText w:val="o"/>
      <w:lvlJc w:val="left"/>
      <w:pPr>
        <w:ind w:left="1961" w:hanging="360"/>
      </w:pPr>
      <w:rPr>
        <w:rFonts w:ascii="Courier New" w:hAnsi="Courier New" w:cs="Courier New" w:hint="default"/>
      </w:rPr>
    </w:lvl>
    <w:lvl w:ilvl="2" w:tplc="0C090005" w:tentative="1">
      <w:start w:val="1"/>
      <w:numFmt w:val="bullet"/>
      <w:lvlText w:val=""/>
      <w:lvlJc w:val="left"/>
      <w:pPr>
        <w:ind w:left="2681" w:hanging="360"/>
      </w:pPr>
      <w:rPr>
        <w:rFonts w:ascii="Wingdings" w:hAnsi="Wingdings" w:hint="default"/>
      </w:rPr>
    </w:lvl>
    <w:lvl w:ilvl="3" w:tplc="0C090001" w:tentative="1">
      <w:start w:val="1"/>
      <w:numFmt w:val="bullet"/>
      <w:lvlText w:val=""/>
      <w:lvlJc w:val="left"/>
      <w:pPr>
        <w:ind w:left="3401" w:hanging="360"/>
      </w:pPr>
      <w:rPr>
        <w:rFonts w:ascii="Symbol" w:hAnsi="Symbol" w:hint="default"/>
      </w:rPr>
    </w:lvl>
    <w:lvl w:ilvl="4" w:tplc="0C090003" w:tentative="1">
      <w:start w:val="1"/>
      <w:numFmt w:val="bullet"/>
      <w:lvlText w:val="o"/>
      <w:lvlJc w:val="left"/>
      <w:pPr>
        <w:ind w:left="4121" w:hanging="360"/>
      </w:pPr>
      <w:rPr>
        <w:rFonts w:ascii="Courier New" w:hAnsi="Courier New" w:cs="Courier New" w:hint="default"/>
      </w:rPr>
    </w:lvl>
    <w:lvl w:ilvl="5" w:tplc="0C090005" w:tentative="1">
      <w:start w:val="1"/>
      <w:numFmt w:val="bullet"/>
      <w:lvlText w:val=""/>
      <w:lvlJc w:val="left"/>
      <w:pPr>
        <w:ind w:left="4841" w:hanging="360"/>
      </w:pPr>
      <w:rPr>
        <w:rFonts w:ascii="Wingdings" w:hAnsi="Wingdings" w:hint="default"/>
      </w:rPr>
    </w:lvl>
    <w:lvl w:ilvl="6" w:tplc="0C090001" w:tentative="1">
      <w:start w:val="1"/>
      <w:numFmt w:val="bullet"/>
      <w:lvlText w:val=""/>
      <w:lvlJc w:val="left"/>
      <w:pPr>
        <w:ind w:left="5561" w:hanging="360"/>
      </w:pPr>
      <w:rPr>
        <w:rFonts w:ascii="Symbol" w:hAnsi="Symbol" w:hint="default"/>
      </w:rPr>
    </w:lvl>
    <w:lvl w:ilvl="7" w:tplc="0C090003" w:tentative="1">
      <w:start w:val="1"/>
      <w:numFmt w:val="bullet"/>
      <w:lvlText w:val="o"/>
      <w:lvlJc w:val="left"/>
      <w:pPr>
        <w:ind w:left="6281" w:hanging="360"/>
      </w:pPr>
      <w:rPr>
        <w:rFonts w:ascii="Courier New" w:hAnsi="Courier New" w:cs="Courier New" w:hint="default"/>
      </w:rPr>
    </w:lvl>
    <w:lvl w:ilvl="8" w:tplc="0C090005" w:tentative="1">
      <w:start w:val="1"/>
      <w:numFmt w:val="bullet"/>
      <w:lvlText w:val=""/>
      <w:lvlJc w:val="left"/>
      <w:pPr>
        <w:ind w:left="7001" w:hanging="360"/>
      </w:pPr>
      <w:rPr>
        <w:rFonts w:ascii="Wingdings" w:hAnsi="Wingdings" w:hint="default"/>
      </w:rPr>
    </w:lvl>
  </w:abstractNum>
  <w:abstractNum w:abstractNumId="52" w15:restartNumberingAfterBreak="0">
    <w:nsid w:val="40901BC6"/>
    <w:multiLevelType w:val="hybridMultilevel"/>
    <w:tmpl w:val="80AAA248"/>
    <w:lvl w:ilvl="0" w:tplc="50FC278A">
      <w:start w:val="1"/>
      <w:numFmt w:val="bullet"/>
      <w:lvlText w:val=""/>
      <w:lvlJc w:val="left"/>
      <w:pPr>
        <w:tabs>
          <w:tab w:val="num" w:pos="360"/>
        </w:tabs>
        <w:ind w:left="360" w:hanging="360"/>
      </w:pPr>
      <w:rPr>
        <w:rFonts w:ascii="Symbol" w:hAnsi="Symbol" w:hint="default"/>
      </w:rPr>
    </w:lvl>
    <w:lvl w:ilvl="1" w:tplc="34CCBE38" w:tentative="1">
      <w:start w:val="1"/>
      <w:numFmt w:val="bullet"/>
      <w:lvlText w:val=""/>
      <w:lvlJc w:val="left"/>
      <w:pPr>
        <w:tabs>
          <w:tab w:val="num" w:pos="1080"/>
        </w:tabs>
        <w:ind w:left="1080" w:hanging="360"/>
      </w:pPr>
      <w:rPr>
        <w:rFonts w:ascii="Symbol" w:hAnsi="Symbol" w:hint="default"/>
      </w:rPr>
    </w:lvl>
    <w:lvl w:ilvl="2" w:tplc="E35AA1BC" w:tentative="1">
      <w:start w:val="1"/>
      <w:numFmt w:val="bullet"/>
      <w:lvlText w:val=""/>
      <w:lvlJc w:val="left"/>
      <w:pPr>
        <w:tabs>
          <w:tab w:val="num" w:pos="1800"/>
        </w:tabs>
        <w:ind w:left="1800" w:hanging="360"/>
      </w:pPr>
      <w:rPr>
        <w:rFonts w:ascii="Symbol" w:hAnsi="Symbol" w:hint="default"/>
      </w:rPr>
    </w:lvl>
    <w:lvl w:ilvl="3" w:tplc="51C45D40" w:tentative="1">
      <w:start w:val="1"/>
      <w:numFmt w:val="bullet"/>
      <w:lvlText w:val=""/>
      <w:lvlJc w:val="left"/>
      <w:pPr>
        <w:tabs>
          <w:tab w:val="num" w:pos="2520"/>
        </w:tabs>
        <w:ind w:left="2520" w:hanging="360"/>
      </w:pPr>
      <w:rPr>
        <w:rFonts w:ascii="Symbol" w:hAnsi="Symbol" w:hint="default"/>
      </w:rPr>
    </w:lvl>
    <w:lvl w:ilvl="4" w:tplc="F40E5854" w:tentative="1">
      <w:start w:val="1"/>
      <w:numFmt w:val="bullet"/>
      <w:lvlText w:val=""/>
      <w:lvlJc w:val="left"/>
      <w:pPr>
        <w:tabs>
          <w:tab w:val="num" w:pos="3240"/>
        </w:tabs>
        <w:ind w:left="3240" w:hanging="360"/>
      </w:pPr>
      <w:rPr>
        <w:rFonts w:ascii="Symbol" w:hAnsi="Symbol" w:hint="default"/>
      </w:rPr>
    </w:lvl>
    <w:lvl w:ilvl="5" w:tplc="1150AEF6" w:tentative="1">
      <w:start w:val="1"/>
      <w:numFmt w:val="bullet"/>
      <w:lvlText w:val=""/>
      <w:lvlJc w:val="left"/>
      <w:pPr>
        <w:tabs>
          <w:tab w:val="num" w:pos="3960"/>
        </w:tabs>
        <w:ind w:left="3960" w:hanging="360"/>
      </w:pPr>
      <w:rPr>
        <w:rFonts w:ascii="Symbol" w:hAnsi="Symbol" w:hint="default"/>
      </w:rPr>
    </w:lvl>
    <w:lvl w:ilvl="6" w:tplc="82902FBC" w:tentative="1">
      <w:start w:val="1"/>
      <w:numFmt w:val="bullet"/>
      <w:lvlText w:val=""/>
      <w:lvlJc w:val="left"/>
      <w:pPr>
        <w:tabs>
          <w:tab w:val="num" w:pos="4680"/>
        </w:tabs>
        <w:ind w:left="4680" w:hanging="360"/>
      </w:pPr>
      <w:rPr>
        <w:rFonts w:ascii="Symbol" w:hAnsi="Symbol" w:hint="default"/>
      </w:rPr>
    </w:lvl>
    <w:lvl w:ilvl="7" w:tplc="B3E2632C" w:tentative="1">
      <w:start w:val="1"/>
      <w:numFmt w:val="bullet"/>
      <w:lvlText w:val=""/>
      <w:lvlJc w:val="left"/>
      <w:pPr>
        <w:tabs>
          <w:tab w:val="num" w:pos="5400"/>
        </w:tabs>
        <w:ind w:left="5400" w:hanging="360"/>
      </w:pPr>
      <w:rPr>
        <w:rFonts w:ascii="Symbol" w:hAnsi="Symbol" w:hint="default"/>
      </w:rPr>
    </w:lvl>
    <w:lvl w:ilvl="8" w:tplc="108627FA" w:tentative="1">
      <w:start w:val="1"/>
      <w:numFmt w:val="bullet"/>
      <w:lvlText w:val=""/>
      <w:lvlJc w:val="left"/>
      <w:pPr>
        <w:tabs>
          <w:tab w:val="num" w:pos="6120"/>
        </w:tabs>
        <w:ind w:left="6120" w:hanging="360"/>
      </w:pPr>
      <w:rPr>
        <w:rFonts w:ascii="Symbol" w:hAnsi="Symbol" w:hint="default"/>
      </w:rPr>
    </w:lvl>
  </w:abstractNum>
  <w:abstractNum w:abstractNumId="53" w15:restartNumberingAfterBreak="0">
    <w:nsid w:val="43B42182"/>
    <w:multiLevelType w:val="hybridMultilevel"/>
    <w:tmpl w:val="4E2C3E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447E4E06"/>
    <w:multiLevelType w:val="hybridMultilevel"/>
    <w:tmpl w:val="909639F8"/>
    <w:styleLink w:val="EYBulletList"/>
    <w:lvl w:ilvl="0" w:tplc="844A738A">
      <w:start w:val="1"/>
      <w:numFmt w:val="bullet"/>
      <w:pStyle w:val="EYBulletedText1"/>
      <w:lvlText w:val="►"/>
      <w:lvlJc w:val="left"/>
      <w:pPr>
        <w:ind w:left="425" w:hanging="425"/>
      </w:pPr>
      <w:rPr>
        <w:rFonts w:ascii="Arial" w:hAnsi="Arial" w:hint="default"/>
        <w:color w:val="auto"/>
        <w:sz w:val="16"/>
        <w:szCs w:val="20"/>
      </w:rPr>
    </w:lvl>
    <w:lvl w:ilvl="1" w:tplc="D9B48334">
      <w:start w:val="1"/>
      <w:numFmt w:val="bullet"/>
      <w:pStyle w:val="EYBulletedText2"/>
      <w:lvlText w:val="►"/>
      <w:lvlJc w:val="left"/>
      <w:pPr>
        <w:ind w:left="850" w:hanging="425"/>
      </w:pPr>
      <w:rPr>
        <w:rFonts w:ascii="Arial" w:hAnsi="Arial" w:hint="default"/>
        <w:sz w:val="16"/>
      </w:rPr>
    </w:lvl>
    <w:lvl w:ilvl="2" w:tplc="F1889246">
      <w:start w:val="1"/>
      <w:numFmt w:val="bullet"/>
      <w:pStyle w:val="EYBulletedText3"/>
      <w:lvlText w:val="►"/>
      <w:lvlJc w:val="left"/>
      <w:pPr>
        <w:ind w:left="1275" w:hanging="425"/>
      </w:pPr>
      <w:rPr>
        <w:rFonts w:ascii="Arial" w:hAnsi="Arial" w:hint="default"/>
        <w:sz w:val="16"/>
      </w:rPr>
    </w:lvl>
    <w:lvl w:ilvl="3" w:tplc="F7ECE3AA">
      <w:start w:val="1"/>
      <w:numFmt w:val="bullet"/>
      <w:lvlText w:val="►"/>
      <w:lvlJc w:val="left"/>
      <w:pPr>
        <w:ind w:left="1700" w:hanging="425"/>
      </w:pPr>
      <w:rPr>
        <w:rFonts w:ascii="Arial" w:hAnsi="Arial" w:hint="default"/>
        <w:sz w:val="16"/>
      </w:rPr>
    </w:lvl>
    <w:lvl w:ilvl="4" w:tplc="8110C582">
      <w:start w:val="1"/>
      <w:numFmt w:val="bullet"/>
      <w:lvlText w:val="►"/>
      <w:lvlJc w:val="left"/>
      <w:pPr>
        <w:ind w:left="2125" w:hanging="425"/>
      </w:pPr>
      <w:rPr>
        <w:rFonts w:ascii="Arial" w:hAnsi="Arial" w:hint="default"/>
        <w:sz w:val="16"/>
      </w:rPr>
    </w:lvl>
    <w:lvl w:ilvl="5" w:tplc="92BCC44E">
      <w:start w:val="1"/>
      <w:numFmt w:val="bullet"/>
      <w:lvlText w:val="►"/>
      <w:lvlJc w:val="left"/>
      <w:pPr>
        <w:ind w:left="2550" w:hanging="425"/>
      </w:pPr>
      <w:rPr>
        <w:rFonts w:ascii="Arial" w:hAnsi="Arial" w:hint="default"/>
        <w:sz w:val="16"/>
      </w:rPr>
    </w:lvl>
    <w:lvl w:ilvl="6" w:tplc="7F6E307A">
      <w:start w:val="1"/>
      <w:numFmt w:val="bullet"/>
      <w:lvlText w:val="►"/>
      <w:lvlJc w:val="left"/>
      <w:pPr>
        <w:ind w:left="2975" w:hanging="425"/>
      </w:pPr>
      <w:rPr>
        <w:rFonts w:ascii="Arial" w:hAnsi="Arial" w:hint="default"/>
        <w:sz w:val="16"/>
      </w:rPr>
    </w:lvl>
    <w:lvl w:ilvl="7" w:tplc="3A5E8726">
      <w:start w:val="1"/>
      <w:numFmt w:val="bullet"/>
      <w:lvlText w:val="►"/>
      <w:lvlJc w:val="left"/>
      <w:pPr>
        <w:ind w:left="3400" w:hanging="425"/>
      </w:pPr>
      <w:rPr>
        <w:rFonts w:ascii="Arial" w:hAnsi="Arial" w:hint="default"/>
        <w:sz w:val="16"/>
      </w:rPr>
    </w:lvl>
    <w:lvl w:ilvl="8" w:tplc="5FA23FBE">
      <w:start w:val="1"/>
      <w:numFmt w:val="bullet"/>
      <w:lvlText w:val="►"/>
      <w:lvlJc w:val="left"/>
      <w:pPr>
        <w:ind w:left="3825" w:hanging="425"/>
      </w:pPr>
      <w:rPr>
        <w:rFonts w:ascii="Arial" w:hAnsi="Arial" w:hint="default"/>
        <w:sz w:val="16"/>
      </w:rPr>
    </w:lvl>
  </w:abstractNum>
  <w:abstractNum w:abstractNumId="55" w15:restartNumberingAfterBreak="0">
    <w:nsid w:val="46434BF9"/>
    <w:multiLevelType w:val="hybridMultilevel"/>
    <w:tmpl w:val="A9EEA82C"/>
    <w:lvl w:ilvl="0" w:tplc="39EEA71E">
      <w:start w:val="1"/>
      <w:numFmt w:val="bullet"/>
      <w:lvlText w:val="•"/>
      <w:lvlJc w:val="left"/>
      <w:pPr>
        <w:tabs>
          <w:tab w:val="num" w:pos="720"/>
        </w:tabs>
        <w:ind w:left="720" w:hanging="360"/>
      </w:pPr>
      <w:rPr>
        <w:rFonts w:ascii="Arial" w:hAnsi="Arial" w:hint="default"/>
      </w:rPr>
    </w:lvl>
    <w:lvl w:ilvl="1" w:tplc="D2E63838" w:tentative="1">
      <w:start w:val="1"/>
      <w:numFmt w:val="bullet"/>
      <w:lvlText w:val="•"/>
      <w:lvlJc w:val="left"/>
      <w:pPr>
        <w:tabs>
          <w:tab w:val="num" w:pos="1440"/>
        </w:tabs>
        <w:ind w:left="1440" w:hanging="360"/>
      </w:pPr>
      <w:rPr>
        <w:rFonts w:ascii="Arial" w:hAnsi="Arial" w:hint="default"/>
      </w:rPr>
    </w:lvl>
    <w:lvl w:ilvl="2" w:tplc="4E4C2CCC" w:tentative="1">
      <w:start w:val="1"/>
      <w:numFmt w:val="bullet"/>
      <w:lvlText w:val="•"/>
      <w:lvlJc w:val="left"/>
      <w:pPr>
        <w:tabs>
          <w:tab w:val="num" w:pos="2160"/>
        </w:tabs>
        <w:ind w:left="2160" w:hanging="360"/>
      </w:pPr>
      <w:rPr>
        <w:rFonts w:ascii="Arial" w:hAnsi="Arial" w:hint="default"/>
      </w:rPr>
    </w:lvl>
    <w:lvl w:ilvl="3" w:tplc="FACE565A" w:tentative="1">
      <w:start w:val="1"/>
      <w:numFmt w:val="bullet"/>
      <w:lvlText w:val="•"/>
      <w:lvlJc w:val="left"/>
      <w:pPr>
        <w:tabs>
          <w:tab w:val="num" w:pos="2880"/>
        </w:tabs>
        <w:ind w:left="2880" w:hanging="360"/>
      </w:pPr>
      <w:rPr>
        <w:rFonts w:ascii="Arial" w:hAnsi="Arial" w:hint="default"/>
      </w:rPr>
    </w:lvl>
    <w:lvl w:ilvl="4" w:tplc="1EECA292" w:tentative="1">
      <w:start w:val="1"/>
      <w:numFmt w:val="bullet"/>
      <w:lvlText w:val="•"/>
      <w:lvlJc w:val="left"/>
      <w:pPr>
        <w:tabs>
          <w:tab w:val="num" w:pos="3600"/>
        </w:tabs>
        <w:ind w:left="3600" w:hanging="360"/>
      </w:pPr>
      <w:rPr>
        <w:rFonts w:ascii="Arial" w:hAnsi="Arial" w:hint="default"/>
      </w:rPr>
    </w:lvl>
    <w:lvl w:ilvl="5" w:tplc="37BA4ED6" w:tentative="1">
      <w:start w:val="1"/>
      <w:numFmt w:val="bullet"/>
      <w:lvlText w:val="•"/>
      <w:lvlJc w:val="left"/>
      <w:pPr>
        <w:tabs>
          <w:tab w:val="num" w:pos="4320"/>
        </w:tabs>
        <w:ind w:left="4320" w:hanging="360"/>
      </w:pPr>
      <w:rPr>
        <w:rFonts w:ascii="Arial" w:hAnsi="Arial" w:hint="default"/>
      </w:rPr>
    </w:lvl>
    <w:lvl w:ilvl="6" w:tplc="F1F87B2A" w:tentative="1">
      <w:start w:val="1"/>
      <w:numFmt w:val="bullet"/>
      <w:lvlText w:val="•"/>
      <w:lvlJc w:val="left"/>
      <w:pPr>
        <w:tabs>
          <w:tab w:val="num" w:pos="5040"/>
        </w:tabs>
        <w:ind w:left="5040" w:hanging="360"/>
      </w:pPr>
      <w:rPr>
        <w:rFonts w:ascii="Arial" w:hAnsi="Arial" w:hint="default"/>
      </w:rPr>
    </w:lvl>
    <w:lvl w:ilvl="7" w:tplc="7586107E" w:tentative="1">
      <w:start w:val="1"/>
      <w:numFmt w:val="bullet"/>
      <w:lvlText w:val="•"/>
      <w:lvlJc w:val="left"/>
      <w:pPr>
        <w:tabs>
          <w:tab w:val="num" w:pos="5760"/>
        </w:tabs>
        <w:ind w:left="5760" w:hanging="360"/>
      </w:pPr>
      <w:rPr>
        <w:rFonts w:ascii="Arial" w:hAnsi="Arial" w:hint="default"/>
      </w:rPr>
    </w:lvl>
    <w:lvl w:ilvl="8" w:tplc="013EE090"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481C1A17"/>
    <w:multiLevelType w:val="multilevel"/>
    <w:tmpl w:val="1ADE32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866350E"/>
    <w:multiLevelType w:val="hybridMultilevel"/>
    <w:tmpl w:val="7D128F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EE3107B"/>
    <w:multiLevelType w:val="hybridMultilevel"/>
    <w:tmpl w:val="D4FA0280"/>
    <w:lvl w:ilvl="0" w:tplc="814A8344">
      <w:start w:val="1"/>
      <w:numFmt w:val="decimal"/>
      <w:lvlText w:val="%1."/>
      <w:lvlJc w:val="left"/>
      <w:pPr>
        <w:tabs>
          <w:tab w:val="num" w:pos="720"/>
        </w:tabs>
        <w:ind w:left="720" w:hanging="720"/>
      </w:pPr>
    </w:lvl>
    <w:lvl w:ilvl="1" w:tplc="267241B8">
      <w:start w:val="1"/>
      <w:numFmt w:val="decimal"/>
      <w:lvlText w:val="%2."/>
      <w:lvlJc w:val="left"/>
      <w:pPr>
        <w:tabs>
          <w:tab w:val="num" w:pos="1440"/>
        </w:tabs>
        <w:ind w:left="1440" w:hanging="720"/>
      </w:pPr>
    </w:lvl>
    <w:lvl w:ilvl="2" w:tplc="C27203AA">
      <w:start w:val="1"/>
      <w:numFmt w:val="decimal"/>
      <w:lvlText w:val="%3."/>
      <w:lvlJc w:val="left"/>
      <w:pPr>
        <w:tabs>
          <w:tab w:val="num" w:pos="2160"/>
        </w:tabs>
        <w:ind w:left="2160" w:hanging="720"/>
      </w:pPr>
    </w:lvl>
    <w:lvl w:ilvl="3" w:tplc="DE449664">
      <w:start w:val="1"/>
      <w:numFmt w:val="decimal"/>
      <w:lvlText w:val="%4."/>
      <w:lvlJc w:val="left"/>
      <w:pPr>
        <w:tabs>
          <w:tab w:val="num" w:pos="2880"/>
        </w:tabs>
        <w:ind w:left="2880" w:hanging="720"/>
      </w:pPr>
    </w:lvl>
    <w:lvl w:ilvl="4" w:tplc="01D0C7BE">
      <w:start w:val="1"/>
      <w:numFmt w:val="decimal"/>
      <w:lvlText w:val="%5."/>
      <w:lvlJc w:val="left"/>
      <w:pPr>
        <w:tabs>
          <w:tab w:val="num" w:pos="3600"/>
        </w:tabs>
        <w:ind w:left="3600" w:hanging="720"/>
      </w:pPr>
    </w:lvl>
    <w:lvl w:ilvl="5" w:tplc="7DB8656C">
      <w:start w:val="1"/>
      <w:numFmt w:val="decimal"/>
      <w:lvlText w:val="%6."/>
      <w:lvlJc w:val="left"/>
      <w:pPr>
        <w:tabs>
          <w:tab w:val="num" w:pos="4320"/>
        </w:tabs>
        <w:ind w:left="4320" w:hanging="720"/>
      </w:pPr>
    </w:lvl>
    <w:lvl w:ilvl="6" w:tplc="432E8698">
      <w:start w:val="1"/>
      <w:numFmt w:val="decimal"/>
      <w:lvlText w:val="%7."/>
      <w:lvlJc w:val="left"/>
      <w:pPr>
        <w:tabs>
          <w:tab w:val="num" w:pos="5040"/>
        </w:tabs>
        <w:ind w:left="5040" w:hanging="720"/>
      </w:pPr>
    </w:lvl>
    <w:lvl w:ilvl="7" w:tplc="E93E77E2">
      <w:start w:val="1"/>
      <w:numFmt w:val="decimal"/>
      <w:lvlText w:val="%8."/>
      <w:lvlJc w:val="left"/>
      <w:pPr>
        <w:tabs>
          <w:tab w:val="num" w:pos="5760"/>
        </w:tabs>
        <w:ind w:left="5760" w:hanging="720"/>
      </w:pPr>
    </w:lvl>
    <w:lvl w:ilvl="8" w:tplc="A74EFB08">
      <w:start w:val="1"/>
      <w:numFmt w:val="decimal"/>
      <w:lvlText w:val="%9."/>
      <w:lvlJc w:val="left"/>
      <w:pPr>
        <w:tabs>
          <w:tab w:val="num" w:pos="6480"/>
        </w:tabs>
        <w:ind w:left="6480" w:hanging="720"/>
      </w:pPr>
    </w:lvl>
  </w:abstractNum>
  <w:abstractNum w:abstractNumId="59" w15:restartNumberingAfterBreak="0">
    <w:nsid w:val="4FDE38C3"/>
    <w:multiLevelType w:val="hybridMultilevel"/>
    <w:tmpl w:val="AE52051C"/>
    <w:lvl w:ilvl="0" w:tplc="41608972">
      <w:start w:val="1"/>
      <w:numFmt w:val="decimal"/>
      <w:lvlText w:val="%1)"/>
      <w:lvlJc w:val="left"/>
      <w:pPr>
        <w:tabs>
          <w:tab w:val="num" w:pos="720"/>
        </w:tabs>
        <w:ind w:left="720" w:hanging="360"/>
      </w:pPr>
    </w:lvl>
    <w:lvl w:ilvl="1" w:tplc="4A4824F2" w:tentative="1">
      <w:start w:val="1"/>
      <w:numFmt w:val="decimal"/>
      <w:lvlText w:val="%2)"/>
      <w:lvlJc w:val="left"/>
      <w:pPr>
        <w:tabs>
          <w:tab w:val="num" w:pos="1440"/>
        </w:tabs>
        <w:ind w:left="1440" w:hanging="360"/>
      </w:pPr>
    </w:lvl>
    <w:lvl w:ilvl="2" w:tplc="A91E5600" w:tentative="1">
      <w:start w:val="1"/>
      <w:numFmt w:val="decimal"/>
      <w:lvlText w:val="%3)"/>
      <w:lvlJc w:val="left"/>
      <w:pPr>
        <w:tabs>
          <w:tab w:val="num" w:pos="2160"/>
        </w:tabs>
        <w:ind w:left="2160" w:hanging="360"/>
      </w:pPr>
    </w:lvl>
    <w:lvl w:ilvl="3" w:tplc="B058B516" w:tentative="1">
      <w:start w:val="1"/>
      <w:numFmt w:val="decimal"/>
      <w:lvlText w:val="%4)"/>
      <w:lvlJc w:val="left"/>
      <w:pPr>
        <w:tabs>
          <w:tab w:val="num" w:pos="2880"/>
        </w:tabs>
        <w:ind w:left="2880" w:hanging="360"/>
      </w:pPr>
    </w:lvl>
    <w:lvl w:ilvl="4" w:tplc="9598974A" w:tentative="1">
      <w:start w:val="1"/>
      <w:numFmt w:val="decimal"/>
      <w:lvlText w:val="%5)"/>
      <w:lvlJc w:val="left"/>
      <w:pPr>
        <w:tabs>
          <w:tab w:val="num" w:pos="3600"/>
        </w:tabs>
        <w:ind w:left="3600" w:hanging="360"/>
      </w:pPr>
    </w:lvl>
    <w:lvl w:ilvl="5" w:tplc="6B923BA4" w:tentative="1">
      <w:start w:val="1"/>
      <w:numFmt w:val="decimal"/>
      <w:lvlText w:val="%6)"/>
      <w:lvlJc w:val="left"/>
      <w:pPr>
        <w:tabs>
          <w:tab w:val="num" w:pos="4320"/>
        </w:tabs>
        <w:ind w:left="4320" w:hanging="360"/>
      </w:pPr>
    </w:lvl>
    <w:lvl w:ilvl="6" w:tplc="6F72DC00" w:tentative="1">
      <w:start w:val="1"/>
      <w:numFmt w:val="decimal"/>
      <w:lvlText w:val="%7)"/>
      <w:lvlJc w:val="left"/>
      <w:pPr>
        <w:tabs>
          <w:tab w:val="num" w:pos="5040"/>
        </w:tabs>
        <w:ind w:left="5040" w:hanging="360"/>
      </w:pPr>
    </w:lvl>
    <w:lvl w:ilvl="7" w:tplc="6F021CC2" w:tentative="1">
      <w:start w:val="1"/>
      <w:numFmt w:val="decimal"/>
      <w:lvlText w:val="%8)"/>
      <w:lvlJc w:val="left"/>
      <w:pPr>
        <w:tabs>
          <w:tab w:val="num" w:pos="5760"/>
        </w:tabs>
        <w:ind w:left="5760" w:hanging="360"/>
      </w:pPr>
    </w:lvl>
    <w:lvl w:ilvl="8" w:tplc="C6A0A112" w:tentative="1">
      <w:start w:val="1"/>
      <w:numFmt w:val="decimal"/>
      <w:lvlText w:val="%9)"/>
      <w:lvlJc w:val="left"/>
      <w:pPr>
        <w:tabs>
          <w:tab w:val="num" w:pos="6480"/>
        </w:tabs>
        <w:ind w:left="6480" w:hanging="360"/>
      </w:pPr>
    </w:lvl>
  </w:abstractNum>
  <w:abstractNum w:abstractNumId="60" w15:restartNumberingAfterBreak="0">
    <w:nsid w:val="514A4743"/>
    <w:multiLevelType w:val="hybridMultilevel"/>
    <w:tmpl w:val="307EAFB0"/>
    <w:lvl w:ilvl="0" w:tplc="9370BFB6">
      <w:start w:val="1"/>
      <w:numFmt w:val="bullet"/>
      <w:lvlText w:val="·"/>
      <w:lvlJc w:val="left"/>
      <w:pPr>
        <w:ind w:left="720" w:hanging="360"/>
      </w:pPr>
      <w:rPr>
        <w:rFonts w:ascii="Symbol" w:hAnsi="Symbol" w:hint="default"/>
      </w:rPr>
    </w:lvl>
    <w:lvl w:ilvl="1" w:tplc="2CAE9508">
      <w:start w:val="1"/>
      <w:numFmt w:val="bullet"/>
      <w:lvlText w:val="o"/>
      <w:lvlJc w:val="left"/>
      <w:pPr>
        <w:ind w:left="1440" w:hanging="360"/>
      </w:pPr>
      <w:rPr>
        <w:rFonts w:ascii="&quot;Courier New&quot;" w:hAnsi="&quot;Courier New&quot;" w:hint="default"/>
      </w:rPr>
    </w:lvl>
    <w:lvl w:ilvl="2" w:tplc="DC8A5C3C">
      <w:start w:val="1"/>
      <w:numFmt w:val="bullet"/>
      <w:lvlText w:val=""/>
      <w:lvlJc w:val="left"/>
      <w:pPr>
        <w:ind w:left="2160" w:hanging="360"/>
      </w:pPr>
      <w:rPr>
        <w:rFonts w:ascii="Wingdings" w:hAnsi="Wingdings" w:hint="default"/>
      </w:rPr>
    </w:lvl>
    <w:lvl w:ilvl="3" w:tplc="038C676C">
      <w:start w:val="1"/>
      <w:numFmt w:val="bullet"/>
      <w:lvlText w:val=""/>
      <w:lvlJc w:val="left"/>
      <w:pPr>
        <w:ind w:left="2880" w:hanging="360"/>
      </w:pPr>
      <w:rPr>
        <w:rFonts w:ascii="Symbol" w:hAnsi="Symbol" w:hint="default"/>
      </w:rPr>
    </w:lvl>
    <w:lvl w:ilvl="4" w:tplc="1062C61C">
      <w:start w:val="1"/>
      <w:numFmt w:val="bullet"/>
      <w:lvlText w:val="o"/>
      <w:lvlJc w:val="left"/>
      <w:pPr>
        <w:ind w:left="3600" w:hanging="360"/>
      </w:pPr>
      <w:rPr>
        <w:rFonts w:ascii="Courier New" w:hAnsi="Courier New" w:hint="default"/>
      </w:rPr>
    </w:lvl>
    <w:lvl w:ilvl="5" w:tplc="BFACDE4A">
      <w:start w:val="1"/>
      <w:numFmt w:val="bullet"/>
      <w:lvlText w:val=""/>
      <w:lvlJc w:val="left"/>
      <w:pPr>
        <w:ind w:left="4320" w:hanging="360"/>
      </w:pPr>
      <w:rPr>
        <w:rFonts w:ascii="Wingdings" w:hAnsi="Wingdings" w:hint="default"/>
      </w:rPr>
    </w:lvl>
    <w:lvl w:ilvl="6" w:tplc="3E8841AA">
      <w:start w:val="1"/>
      <w:numFmt w:val="bullet"/>
      <w:lvlText w:val=""/>
      <w:lvlJc w:val="left"/>
      <w:pPr>
        <w:ind w:left="5040" w:hanging="360"/>
      </w:pPr>
      <w:rPr>
        <w:rFonts w:ascii="Symbol" w:hAnsi="Symbol" w:hint="default"/>
      </w:rPr>
    </w:lvl>
    <w:lvl w:ilvl="7" w:tplc="8A36AF1C">
      <w:start w:val="1"/>
      <w:numFmt w:val="bullet"/>
      <w:lvlText w:val="o"/>
      <w:lvlJc w:val="left"/>
      <w:pPr>
        <w:ind w:left="5760" w:hanging="360"/>
      </w:pPr>
      <w:rPr>
        <w:rFonts w:ascii="Courier New" w:hAnsi="Courier New" w:hint="default"/>
      </w:rPr>
    </w:lvl>
    <w:lvl w:ilvl="8" w:tplc="4D66DB10">
      <w:start w:val="1"/>
      <w:numFmt w:val="bullet"/>
      <w:lvlText w:val=""/>
      <w:lvlJc w:val="left"/>
      <w:pPr>
        <w:ind w:left="6480" w:hanging="360"/>
      </w:pPr>
      <w:rPr>
        <w:rFonts w:ascii="Wingdings" w:hAnsi="Wingdings" w:hint="default"/>
      </w:rPr>
    </w:lvl>
  </w:abstractNum>
  <w:abstractNum w:abstractNumId="61" w15:restartNumberingAfterBreak="0">
    <w:nsid w:val="524970D1"/>
    <w:multiLevelType w:val="hybridMultilevel"/>
    <w:tmpl w:val="8CAE89C4"/>
    <w:lvl w:ilvl="0" w:tplc="BD2E3A04">
      <w:start w:val="1"/>
      <w:numFmt w:val="bullet"/>
      <w:lvlText w:val="·"/>
      <w:lvlJc w:val="left"/>
      <w:pPr>
        <w:ind w:left="720" w:hanging="360"/>
      </w:pPr>
      <w:rPr>
        <w:rFonts w:ascii="Symbol" w:hAnsi="Symbol" w:hint="default"/>
      </w:rPr>
    </w:lvl>
    <w:lvl w:ilvl="1" w:tplc="FEDCDEFE">
      <w:start w:val="1"/>
      <w:numFmt w:val="bullet"/>
      <w:lvlText w:val="o"/>
      <w:lvlJc w:val="left"/>
      <w:pPr>
        <w:ind w:left="1440" w:hanging="360"/>
      </w:pPr>
      <w:rPr>
        <w:rFonts w:ascii="Courier New" w:hAnsi="Courier New" w:hint="default"/>
      </w:rPr>
    </w:lvl>
    <w:lvl w:ilvl="2" w:tplc="55B67D1A">
      <w:start w:val="1"/>
      <w:numFmt w:val="bullet"/>
      <w:lvlText w:val=""/>
      <w:lvlJc w:val="left"/>
      <w:pPr>
        <w:ind w:left="2160" w:hanging="360"/>
      </w:pPr>
      <w:rPr>
        <w:rFonts w:ascii="Wingdings" w:hAnsi="Wingdings" w:hint="default"/>
      </w:rPr>
    </w:lvl>
    <w:lvl w:ilvl="3" w:tplc="E85A4DB4">
      <w:start w:val="1"/>
      <w:numFmt w:val="bullet"/>
      <w:lvlText w:val=""/>
      <w:lvlJc w:val="left"/>
      <w:pPr>
        <w:ind w:left="2880" w:hanging="360"/>
      </w:pPr>
      <w:rPr>
        <w:rFonts w:ascii="Symbol" w:hAnsi="Symbol" w:hint="default"/>
      </w:rPr>
    </w:lvl>
    <w:lvl w:ilvl="4" w:tplc="8AE2A0A4">
      <w:start w:val="1"/>
      <w:numFmt w:val="bullet"/>
      <w:lvlText w:val="o"/>
      <w:lvlJc w:val="left"/>
      <w:pPr>
        <w:ind w:left="3600" w:hanging="360"/>
      </w:pPr>
      <w:rPr>
        <w:rFonts w:ascii="Courier New" w:hAnsi="Courier New" w:hint="default"/>
      </w:rPr>
    </w:lvl>
    <w:lvl w:ilvl="5" w:tplc="25C8D396">
      <w:start w:val="1"/>
      <w:numFmt w:val="bullet"/>
      <w:lvlText w:val=""/>
      <w:lvlJc w:val="left"/>
      <w:pPr>
        <w:ind w:left="4320" w:hanging="360"/>
      </w:pPr>
      <w:rPr>
        <w:rFonts w:ascii="Wingdings" w:hAnsi="Wingdings" w:hint="default"/>
      </w:rPr>
    </w:lvl>
    <w:lvl w:ilvl="6" w:tplc="99F25B22">
      <w:start w:val="1"/>
      <w:numFmt w:val="bullet"/>
      <w:lvlText w:val=""/>
      <w:lvlJc w:val="left"/>
      <w:pPr>
        <w:ind w:left="5040" w:hanging="360"/>
      </w:pPr>
      <w:rPr>
        <w:rFonts w:ascii="Symbol" w:hAnsi="Symbol" w:hint="default"/>
      </w:rPr>
    </w:lvl>
    <w:lvl w:ilvl="7" w:tplc="BF0EF8C0">
      <w:start w:val="1"/>
      <w:numFmt w:val="bullet"/>
      <w:lvlText w:val="o"/>
      <w:lvlJc w:val="left"/>
      <w:pPr>
        <w:ind w:left="5760" w:hanging="360"/>
      </w:pPr>
      <w:rPr>
        <w:rFonts w:ascii="Courier New" w:hAnsi="Courier New" w:hint="default"/>
      </w:rPr>
    </w:lvl>
    <w:lvl w:ilvl="8" w:tplc="6D4C8230">
      <w:start w:val="1"/>
      <w:numFmt w:val="bullet"/>
      <w:lvlText w:val=""/>
      <w:lvlJc w:val="left"/>
      <w:pPr>
        <w:ind w:left="6480" w:hanging="360"/>
      </w:pPr>
      <w:rPr>
        <w:rFonts w:ascii="Wingdings" w:hAnsi="Wingdings" w:hint="default"/>
      </w:rPr>
    </w:lvl>
  </w:abstractNum>
  <w:abstractNum w:abstractNumId="62" w15:restartNumberingAfterBreak="0">
    <w:nsid w:val="52913CFA"/>
    <w:multiLevelType w:val="hybridMultilevel"/>
    <w:tmpl w:val="27E01344"/>
    <w:lvl w:ilvl="0" w:tplc="7416F2C0">
      <w:start w:val="1"/>
      <w:numFmt w:val="bullet"/>
      <w:lvlText w:val=""/>
      <w:lvlJc w:val="left"/>
      <w:pPr>
        <w:ind w:left="720" w:hanging="360"/>
      </w:pPr>
      <w:rPr>
        <w:rFonts w:ascii="Symbol" w:hAnsi="Symbol" w:hint="default"/>
      </w:rPr>
    </w:lvl>
    <w:lvl w:ilvl="1" w:tplc="50344ADC">
      <w:start w:val="1"/>
      <w:numFmt w:val="bullet"/>
      <w:lvlText w:val="o"/>
      <w:lvlJc w:val="left"/>
      <w:pPr>
        <w:ind w:left="1440" w:hanging="360"/>
      </w:pPr>
      <w:rPr>
        <w:rFonts w:ascii="Courier New" w:hAnsi="Courier New" w:hint="default"/>
      </w:rPr>
    </w:lvl>
    <w:lvl w:ilvl="2" w:tplc="59DA835E">
      <w:start w:val="1"/>
      <w:numFmt w:val="bullet"/>
      <w:lvlText w:val=""/>
      <w:lvlJc w:val="left"/>
      <w:pPr>
        <w:ind w:left="2160" w:hanging="360"/>
      </w:pPr>
      <w:rPr>
        <w:rFonts w:ascii="Wingdings" w:hAnsi="Wingdings" w:hint="default"/>
      </w:rPr>
    </w:lvl>
    <w:lvl w:ilvl="3" w:tplc="4AB0A576">
      <w:start w:val="1"/>
      <w:numFmt w:val="bullet"/>
      <w:lvlText w:val=""/>
      <w:lvlJc w:val="left"/>
      <w:pPr>
        <w:ind w:left="2880" w:hanging="360"/>
      </w:pPr>
      <w:rPr>
        <w:rFonts w:ascii="Symbol" w:hAnsi="Symbol" w:hint="default"/>
      </w:rPr>
    </w:lvl>
    <w:lvl w:ilvl="4" w:tplc="38C8A986">
      <w:start w:val="1"/>
      <w:numFmt w:val="bullet"/>
      <w:lvlText w:val="o"/>
      <w:lvlJc w:val="left"/>
      <w:pPr>
        <w:ind w:left="3600" w:hanging="360"/>
      </w:pPr>
      <w:rPr>
        <w:rFonts w:ascii="Courier New" w:hAnsi="Courier New" w:hint="default"/>
      </w:rPr>
    </w:lvl>
    <w:lvl w:ilvl="5" w:tplc="01A21A94">
      <w:start w:val="1"/>
      <w:numFmt w:val="bullet"/>
      <w:lvlText w:val=""/>
      <w:lvlJc w:val="left"/>
      <w:pPr>
        <w:ind w:left="4320" w:hanging="360"/>
      </w:pPr>
      <w:rPr>
        <w:rFonts w:ascii="Wingdings" w:hAnsi="Wingdings" w:hint="default"/>
      </w:rPr>
    </w:lvl>
    <w:lvl w:ilvl="6" w:tplc="EB6E6CB2">
      <w:start w:val="1"/>
      <w:numFmt w:val="bullet"/>
      <w:lvlText w:val=""/>
      <w:lvlJc w:val="left"/>
      <w:pPr>
        <w:ind w:left="5040" w:hanging="360"/>
      </w:pPr>
      <w:rPr>
        <w:rFonts w:ascii="Symbol" w:hAnsi="Symbol" w:hint="default"/>
      </w:rPr>
    </w:lvl>
    <w:lvl w:ilvl="7" w:tplc="698239B2">
      <w:start w:val="1"/>
      <w:numFmt w:val="bullet"/>
      <w:lvlText w:val="o"/>
      <w:lvlJc w:val="left"/>
      <w:pPr>
        <w:ind w:left="5760" w:hanging="360"/>
      </w:pPr>
      <w:rPr>
        <w:rFonts w:ascii="Courier New" w:hAnsi="Courier New" w:hint="default"/>
      </w:rPr>
    </w:lvl>
    <w:lvl w:ilvl="8" w:tplc="E6CCDE6A">
      <w:start w:val="1"/>
      <w:numFmt w:val="bullet"/>
      <w:lvlText w:val=""/>
      <w:lvlJc w:val="left"/>
      <w:pPr>
        <w:ind w:left="6480" w:hanging="360"/>
      </w:pPr>
      <w:rPr>
        <w:rFonts w:ascii="Wingdings" w:hAnsi="Wingdings" w:hint="default"/>
      </w:rPr>
    </w:lvl>
  </w:abstractNum>
  <w:abstractNum w:abstractNumId="63" w15:restartNumberingAfterBreak="0">
    <w:nsid w:val="52D56D3A"/>
    <w:multiLevelType w:val="hybridMultilevel"/>
    <w:tmpl w:val="1EF85330"/>
    <w:lvl w:ilvl="0" w:tplc="DD50F00A">
      <w:start w:val="1"/>
      <w:numFmt w:val="bullet"/>
      <w:lvlText w:val=""/>
      <w:lvlJc w:val="left"/>
      <w:pPr>
        <w:ind w:left="720" w:hanging="360"/>
      </w:pPr>
      <w:rPr>
        <w:rFonts w:ascii="Symbol" w:hAnsi="Symbol" w:hint="default"/>
      </w:rPr>
    </w:lvl>
    <w:lvl w:ilvl="1" w:tplc="52B2F598">
      <w:start w:val="1"/>
      <w:numFmt w:val="bullet"/>
      <w:lvlText w:val="o"/>
      <w:lvlJc w:val="left"/>
      <w:pPr>
        <w:ind w:left="1440" w:hanging="360"/>
      </w:pPr>
      <w:rPr>
        <w:rFonts w:ascii="Courier New" w:hAnsi="Courier New" w:hint="default"/>
      </w:rPr>
    </w:lvl>
    <w:lvl w:ilvl="2" w:tplc="85F69134">
      <w:start w:val="1"/>
      <w:numFmt w:val="bullet"/>
      <w:lvlText w:val=""/>
      <w:lvlJc w:val="left"/>
      <w:pPr>
        <w:ind w:left="2160" w:hanging="360"/>
      </w:pPr>
      <w:rPr>
        <w:rFonts w:ascii="Wingdings" w:hAnsi="Wingdings" w:hint="default"/>
      </w:rPr>
    </w:lvl>
    <w:lvl w:ilvl="3" w:tplc="0DF27874">
      <w:start w:val="1"/>
      <w:numFmt w:val="bullet"/>
      <w:lvlText w:val=""/>
      <w:lvlJc w:val="left"/>
      <w:pPr>
        <w:ind w:left="2880" w:hanging="360"/>
      </w:pPr>
      <w:rPr>
        <w:rFonts w:ascii="Symbol" w:hAnsi="Symbol" w:hint="default"/>
      </w:rPr>
    </w:lvl>
    <w:lvl w:ilvl="4" w:tplc="56B48870">
      <w:start w:val="1"/>
      <w:numFmt w:val="bullet"/>
      <w:lvlText w:val="o"/>
      <w:lvlJc w:val="left"/>
      <w:pPr>
        <w:ind w:left="3600" w:hanging="360"/>
      </w:pPr>
      <w:rPr>
        <w:rFonts w:ascii="Courier New" w:hAnsi="Courier New" w:hint="default"/>
      </w:rPr>
    </w:lvl>
    <w:lvl w:ilvl="5" w:tplc="A4ACF176">
      <w:start w:val="1"/>
      <w:numFmt w:val="bullet"/>
      <w:lvlText w:val=""/>
      <w:lvlJc w:val="left"/>
      <w:pPr>
        <w:ind w:left="4320" w:hanging="360"/>
      </w:pPr>
      <w:rPr>
        <w:rFonts w:ascii="Wingdings" w:hAnsi="Wingdings" w:hint="default"/>
      </w:rPr>
    </w:lvl>
    <w:lvl w:ilvl="6" w:tplc="E12CFFA2">
      <w:start w:val="1"/>
      <w:numFmt w:val="bullet"/>
      <w:lvlText w:val=""/>
      <w:lvlJc w:val="left"/>
      <w:pPr>
        <w:ind w:left="5040" w:hanging="360"/>
      </w:pPr>
      <w:rPr>
        <w:rFonts w:ascii="Symbol" w:hAnsi="Symbol" w:hint="default"/>
      </w:rPr>
    </w:lvl>
    <w:lvl w:ilvl="7" w:tplc="96C2168C">
      <w:start w:val="1"/>
      <w:numFmt w:val="bullet"/>
      <w:lvlText w:val="o"/>
      <w:lvlJc w:val="left"/>
      <w:pPr>
        <w:ind w:left="5760" w:hanging="360"/>
      </w:pPr>
      <w:rPr>
        <w:rFonts w:ascii="Courier New" w:hAnsi="Courier New" w:hint="default"/>
      </w:rPr>
    </w:lvl>
    <w:lvl w:ilvl="8" w:tplc="5D40D274">
      <w:start w:val="1"/>
      <w:numFmt w:val="bullet"/>
      <w:lvlText w:val=""/>
      <w:lvlJc w:val="left"/>
      <w:pPr>
        <w:ind w:left="6480" w:hanging="360"/>
      </w:pPr>
      <w:rPr>
        <w:rFonts w:ascii="Wingdings" w:hAnsi="Wingdings" w:hint="default"/>
      </w:rPr>
    </w:lvl>
  </w:abstractNum>
  <w:abstractNum w:abstractNumId="64" w15:restartNumberingAfterBreak="0">
    <w:nsid w:val="54BA1E5A"/>
    <w:multiLevelType w:val="hybridMultilevel"/>
    <w:tmpl w:val="83C238FA"/>
    <w:styleLink w:val="ZZBullets"/>
    <w:lvl w:ilvl="0" w:tplc="B280586A">
      <w:start w:val="1"/>
      <w:numFmt w:val="bullet"/>
      <w:pStyle w:val="DHHSbullet1"/>
      <w:lvlText w:val="•"/>
      <w:lvlJc w:val="left"/>
      <w:pPr>
        <w:ind w:left="284" w:hanging="284"/>
      </w:pPr>
      <w:rPr>
        <w:rFonts w:ascii="Calibri" w:hAnsi="Calibri" w:cs="Times New Roman" w:hint="default"/>
      </w:rPr>
    </w:lvl>
    <w:lvl w:ilvl="1" w:tplc="42C4AE6E">
      <w:start w:val="1"/>
      <w:numFmt w:val="bullet"/>
      <w:lvlRestart w:val="0"/>
      <w:pStyle w:val="DHHSbullet1lastline"/>
      <w:lvlText w:val="•"/>
      <w:lvlJc w:val="left"/>
      <w:pPr>
        <w:ind w:left="284" w:hanging="284"/>
      </w:pPr>
      <w:rPr>
        <w:rFonts w:ascii="Calibri" w:hAnsi="Calibri" w:cs="Times New Roman" w:hint="default"/>
      </w:rPr>
    </w:lvl>
    <w:lvl w:ilvl="2" w:tplc="49B2AED0">
      <w:start w:val="1"/>
      <w:numFmt w:val="bullet"/>
      <w:lvlRestart w:val="0"/>
      <w:pStyle w:val="DHHSbullet2"/>
      <w:lvlText w:val="–"/>
      <w:lvlJc w:val="left"/>
      <w:pPr>
        <w:ind w:left="567" w:hanging="283"/>
      </w:pPr>
      <w:rPr>
        <w:rFonts w:ascii="Arial" w:hAnsi="Arial" w:cs="Times New Roman" w:hint="default"/>
      </w:rPr>
    </w:lvl>
    <w:lvl w:ilvl="3" w:tplc="F7A2C7FC">
      <w:start w:val="1"/>
      <w:numFmt w:val="bullet"/>
      <w:lvlRestart w:val="0"/>
      <w:pStyle w:val="DHHSbullet2lastline"/>
      <w:lvlText w:val="–"/>
      <w:lvlJc w:val="left"/>
      <w:pPr>
        <w:ind w:left="567" w:hanging="283"/>
      </w:pPr>
      <w:rPr>
        <w:rFonts w:ascii="Arial" w:hAnsi="Arial" w:cs="Times New Roman" w:hint="default"/>
      </w:rPr>
    </w:lvl>
    <w:lvl w:ilvl="4" w:tplc="91142130">
      <w:start w:val="1"/>
      <w:numFmt w:val="bullet"/>
      <w:lvlRestart w:val="0"/>
      <w:pStyle w:val="DHHSbulletindent"/>
      <w:lvlText w:val="•"/>
      <w:lvlJc w:val="left"/>
      <w:pPr>
        <w:ind w:left="680" w:hanging="283"/>
      </w:pPr>
      <w:rPr>
        <w:rFonts w:ascii="Calibri" w:hAnsi="Calibri" w:cs="Times New Roman" w:hint="default"/>
      </w:rPr>
    </w:lvl>
    <w:lvl w:ilvl="5" w:tplc="7A9876B4">
      <w:start w:val="1"/>
      <w:numFmt w:val="bullet"/>
      <w:lvlRestart w:val="0"/>
      <w:pStyle w:val="DHHSbulletindentlastline"/>
      <w:lvlText w:val="•"/>
      <w:lvlJc w:val="left"/>
      <w:pPr>
        <w:ind w:left="680" w:hanging="283"/>
      </w:pPr>
      <w:rPr>
        <w:rFonts w:ascii="Calibri" w:hAnsi="Calibri" w:cs="Times New Roman" w:hint="default"/>
      </w:rPr>
    </w:lvl>
    <w:lvl w:ilvl="6" w:tplc="333E4C60">
      <w:start w:val="1"/>
      <w:numFmt w:val="bullet"/>
      <w:lvlRestart w:val="0"/>
      <w:pStyle w:val="DHHStablebullet"/>
      <w:lvlText w:val="•"/>
      <w:lvlJc w:val="left"/>
      <w:pPr>
        <w:ind w:left="227" w:hanging="227"/>
      </w:pPr>
      <w:rPr>
        <w:rFonts w:ascii="Calibri" w:hAnsi="Calibri" w:cs="Times New Roman" w:hint="default"/>
      </w:rPr>
    </w:lvl>
    <w:lvl w:ilvl="7" w:tplc="860E2F72">
      <w:start w:val="1"/>
      <w:numFmt w:val="none"/>
      <w:lvlRestart w:val="0"/>
      <w:lvlText w:val=""/>
      <w:lvlJc w:val="left"/>
      <w:pPr>
        <w:ind w:left="0" w:firstLine="0"/>
      </w:pPr>
    </w:lvl>
    <w:lvl w:ilvl="8" w:tplc="9FF04B72">
      <w:start w:val="1"/>
      <w:numFmt w:val="none"/>
      <w:lvlRestart w:val="0"/>
      <w:lvlText w:val=""/>
      <w:lvlJc w:val="left"/>
      <w:pPr>
        <w:ind w:left="0" w:firstLine="0"/>
      </w:pPr>
    </w:lvl>
  </w:abstractNum>
  <w:abstractNum w:abstractNumId="65" w15:restartNumberingAfterBreak="0">
    <w:nsid w:val="54DE065F"/>
    <w:multiLevelType w:val="hybridMultilevel"/>
    <w:tmpl w:val="3864D03E"/>
    <w:lvl w:ilvl="0" w:tplc="83BC2200">
      <w:start w:val="1"/>
      <w:numFmt w:val="bullet"/>
      <w:lvlText w:val="·"/>
      <w:lvlJc w:val="left"/>
      <w:pPr>
        <w:ind w:left="720" w:hanging="360"/>
      </w:pPr>
      <w:rPr>
        <w:rFonts w:ascii="Symbol" w:hAnsi="Symbol" w:hint="default"/>
      </w:rPr>
    </w:lvl>
    <w:lvl w:ilvl="1" w:tplc="B72E07D0">
      <w:start w:val="1"/>
      <w:numFmt w:val="bullet"/>
      <w:lvlText w:val="o"/>
      <w:lvlJc w:val="left"/>
      <w:pPr>
        <w:ind w:left="1440" w:hanging="360"/>
      </w:pPr>
      <w:rPr>
        <w:rFonts w:ascii="Courier New" w:hAnsi="Courier New" w:hint="default"/>
      </w:rPr>
    </w:lvl>
    <w:lvl w:ilvl="2" w:tplc="38FA3882">
      <w:start w:val="1"/>
      <w:numFmt w:val="bullet"/>
      <w:lvlText w:val=""/>
      <w:lvlJc w:val="left"/>
      <w:pPr>
        <w:ind w:left="2160" w:hanging="360"/>
      </w:pPr>
      <w:rPr>
        <w:rFonts w:ascii="Wingdings" w:hAnsi="Wingdings" w:hint="default"/>
      </w:rPr>
    </w:lvl>
    <w:lvl w:ilvl="3" w:tplc="5A447C26">
      <w:start w:val="1"/>
      <w:numFmt w:val="bullet"/>
      <w:lvlText w:val=""/>
      <w:lvlJc w:val="left"/>
      <w:pPr>
        <w:ind w:left="2880" w:hanging="360"/>
      </w:pPr>
      <w:rPr>
        <w:rFonts w:ascii="Symbol" w:hAnsi="Symbol" w:hint="default"/>
      </w:rPr>
    </w:lvl>
    <w:lvl w:ilvl="4" w:tplc="3C2278EE">
      <w:start w:val="1"/>
      <w:numFmt w:val="bullet"/>
      <w:lvlText w:val="o"/>
      <w:lvlJc w:val="left"/>
      <w:pPr>
        <w:ind w:left="3600" w:hanging="360"/>
      </w:pPr>
      <w:rPr>
        <w:rFonts w:ascii="Courier New" w:hAnsi="Courier New" w:hint="default"/>
      </w:rPr>
    </w:lvl>
    <w:lvl w:ilvl="5" w:tplc="DB32C458">
      <w:start w:val="1"/>
      <w:numFmt w:val="bullet"/>
      <w:lvlText w:val=""/>
      <w:lvlJc w:val="left"/>
      <w:pPr>
        <w:ind w:left="4320" w:hanging="360"/>
      </w:pPr>
      <w:rPr>
        <w:rFonts w:ascii="Wingdings" w:hAnsi="Wingdings" w:hint="default"/>
      </w:rPr>
    </w:lvl>
    <w:lvl w:ilvl="6" w:tplc="04F47932">
      <w:start w:val="1"/>
      <w:numFmt w:val="bullet"/>
      <w:lvlText w:val=""/>
      <w:lvlJc w:val="left"/>
      <w:pPr>
        <w:ind w:left="5040" w:hanging="360"/>
      </w:pPr>
      <w:rPr>
        <w:rFonts w:ascii="Symbol" w:hAnsi="Symbol" w:hint="default"/>
      </w:rPr>
    </w:lvl>
    <w:lvl w:ilvl="7" w:tplc="EBB298FA">
      <w:start w:val="1"/>
      <w:numFmt w:val="bullet"/>
      <w:lvlText w:val="o"/>
      <w:lvlJc w:val="left"/>
      <w:pPr>
        <w:ind w:left="5760" w:hanging="360"/>
      </w:pPr>
      <w:rPr>
        <w:rFonts w:ascii="Courier New" w:hAnsi="Courier New" w:hint="default"/>
      </w:rPr>
    </w:lvl>
    <w:lvl w:ilvl="8" w:tplc="4CB07E3A">
      <w:start w:val="1"/>
      <w:numFmt w:val="bullet"/>
      <w:lvlText w:val=""/>
      <w:lvlJc w:val="left"/>
      <w:pPr>
        <w:ind w:left="6480" w:hanging="360"/>
      </w:pPr>
      <w:rPr>
        <w:rFonts w:ascii="Wingdings" w:hAnsi="Wingdings" w:hint="default"/>
      </w:rPr>
    </w:lvl>
  </w:abstractNum>
  <w:abstractNum w:abstractNumId="66" w15:restartNumberingAfterBreak="0">
    <w:nsid w:val="55C4178C"/>
    <w:multiLevelType w:val="hybridMultilevel"/>
    <w:tmpl w:val="9C063766"/>
    <w:lvl w:ilvl="0" w:tplc="B4C228D0">
      <w:start w:val="1"/>
      <w:numFmt w:val="upperLetter"/>
      <w:lvlText w:val="%1."/>
      <w:lvlJc w:val="left"/>
      <w:pPr>
        <w:ind w:left="360" w:hanging="360"/>
      </w:pPr>
    </w:lvl>
    <w:lvl w:ilvl="1" w:tplc="33501494">
      <w:start w:val="1"/>
      <w:numFmt w:val="decimal"/>
      <w:lvlText w:val="%2."/>
      <w:lvlJc w:val="left"/>
      <w:pPr>
        <w:ind w:left="720" w:hanging="360"/>
      </w:pPr>
    </w:lvl>
    <w:lvl w:ilvl="2" w:tplc="BABE8D68">
      <w:start w:val="1"/>
      <w:numFmt w:val="lowerLetter"/>
      <w:lvlText w:val="%3."/>
      <w:lvlJc w:val="left"/>
      <w:pPr>
        <w:ind w:left="2345" w:hanging="360"/>
      </w:pPr>
    </w:lvl>
    <w:lvl w:ilvl="3" w:tplc="6616F46C">
      <w:start w:val="1"/>
      <w:numFmt w:val="decimal"/>
      <w:lvlText w:val="(%4)"/>
      <w:lvlJc w:val="left"/>
      <w:pPr>
        <w:ind w:left="1440" w:hanging="360"/>
      </w:pPr>
    </w:lvl>
    <w:lvl w:ilvl="4" w:tplc="87B22A40">
      <w:start w:val="1"/>
      <w:numFmt w:val="lowerLetter"/>
      <w:lvlText w:val="(%5)"/>
      <w:lvlJc w:val="left"/>
      <w:pPr>
        <w:ind w:left="1800" w:hanging="360"/>
      </w:pPr>
    </w:lvl>
    <w:lvl w:ilvl="5" w:tplc="52C81A88">
      <w:start w:val="1"/>
      <w:numFmt w:val="lowerRoman"/>
      <w:lvlText w:val="(%6)"/>
      <w:lvlJc w:val="left"/>
      <w:pPr>
        <w:ind w:left="2160" w:hanging="360"/>
      </w:pPr>
    </w:lvl>
    <w:lvl w:ilvl="6" w:tplc="292826EA">
      <w:start w:val="1"/>
      <w:numFmt w:val="decimal"/>
      <w:lvlText w:val="%7."/>
      <w:lvlJc w:val="left"/>
      <w:pPr>
        <w:ind w:left="2520" w:hanging="360"/>
      </w:pPr>
    </w:lvl>
    <w:lvl w:ilvl="7" w:tplc="496E7020">
      <w:start w:val="1"/>
      <w:numFmt w:val="lowerLetter"/>
      <w:lvlText w:val="%8."/>
      <w:lvlJc w:val="left"/>
      <w:pPr>
        <w:ind w:left="2880" w:hanging="360"/>
      </w:pPr>
    </w:lvl>
    <w:lvl w:ilvl="8" w:tplc="D548CC22">
      <w:start w:val="1"/>
      <w:numFmt w:val="lowerRoman"/>
      <w:lvlText w:val="%9."/>
      <w:lvlJc w:val="left"/>
      <w:pPr>
        <w:ind w:left="3240" w:hanging="360"/>
      </w:pPr>
    </w:lvl>
  </w:abstractNum>
  <w:abstractNum w:abstractNumId="67" w15:restartNumberingAfterBreak="0">
    <w:nsid w:val="55DB68FC"/>
    <w:multiLevelType w:val="hybridMultilevel"/>
    <w:tmpl w:val="1B40CD0E"/>
    <w:lvl w:ilvl="0" w:tplc="2550E09E">
      <w:start w:val="1"/>
      <w:numFmt w:val="bullet"/>
      <w:lvlText w:val=""/>
      <w:lvlJc w:val="left"/>
      <w:pPr>
        <w:ind w:left="360" w:hanging="360"/>
      </w:pPr>
      <w:rPr>
        <w:rFonts w:ascii="Symbol" w:hAnsi="Symbol" w:hint="default"/>
        <w:color w:val="626464"/>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68" w15:restartNumberingAfterBreak="0">
    <w:nsid w:val="58615B18"/>
    <w:multiLevelType w:val="hybridMultilevel"/>
    <w:tmpl w:val="F4CA709C"/>
    <w:lvl w:ilvl="0" w:tplc="7F8215A6">
      <w:start w:val="1"/>
      <w:numFmt w:val="bullet"/>
      <w:lvlText w:val=""/>
      <w:lvlJc w:val="left"/>
      <w:pPr>
        <w:tabs>
          <w:tab w:val="num" w:pos="360"/>
        </w:tabs>
        <w:ind w:left="360" w:hanging="360"/>
      </w:pPr>
      <w:rPr>
        <w:rFonts w:ascii="Symbol" w:hAnsi="Symbol" w:hint="default"/>
      </w:rPr>
    </w:lvl>
    <w:lvl w:ilvl="1" w:tplc="EE48F92A">
      <w:numFmt w:val="bullet"/>
      <w:lvlText w:val="o"/>
      <w:lvlJc w:val="left"/>
      <w:pPr>
        <w:tabs>
          <w:tab w:val="num" w:pos="1080"/>
        </w:tabs>
        <w:ind w:left="1080" w:hanging="360"/>
      </w:pPr>
      <w:rPr>
        <w:rFonts w:ascii="Courier New" w:hAnsi="Courier New" w:hint="default"/>
      </w:rPr>
    </w:lvl>
    <w:lvl w:ilvl="2" w:tplc="7EAC0734" w:tentative="1">
      <w:start w:val="1"/>
      <w:numFmt w:val="bullet"/>
      <w:lvlText w:val=""/>
      <w:lvlJc w:val="left"/>
      <w:pPr>
        <w:tabs>
          <w:tab w:val="num" w:pos="1800"/>
        </w:tabs>
        <w:ind w:left="1800" w:hanging="360"/>
      </w:pPr>
      <w:rPr>
        <w:rFonts w:ascii="Symbol" w:hAnsi="Symbol" w:hint="default"/>
      </w:rPr>
    </w:lvl>
    <w:lvl w:ilvl="3" w:tplc="D1484480" w:tentative="1">
      <w:start w:val="1"/>
      <w:numFmt w:val="bullet"/>
      <w:lvlText w:val=""/>
      <w:lvlJc w:val="left"/>
      <w:pPr>
        <w:tabs>
          <w:tab w:val="num" w:pos="2520"/>
        </w:tabs>
        <w:ind w:left="2520" w:hanging="360"/>
      </w:pPr>
      <w:rPr>
        <w:rFonts w:ascii="Symbol" w:hAnsi="Symbol" w:hint="default"/>
      </w:rPr>
    </w:lvl>
    <w:lvl w:ilvl="4" w:tplc="5F640856" w:tentative="1">
      <w:start w:val="1"/>
      <w:numFmt w:val="bullet"/>
      <w:lvlText w:val=""/>
      <w:lvlJc w:val="left"/>
      <w:pPr>
        <w:tabs>
          <w:tab w:val="num" w:pos="3240"/>
        </w:tabs>
        <w:ind w:left="3240" w:hanging="360"/>
      </w:pPr>
      <w:rPr>
        <w:rFonts w:ascii="Symbol" w:hAnsi="Symbol" w:hint="default"/>
      </w:rPr>
    </w:lvl>
    <w:lvl w:ilvl="5" w:tplc="1E701A30" w:tentative="1">
      <w:start w:val="1"/>
      <w:numFmt w:val="bullet"/>
      <w:lvlText w:val=""/>
      <w:lvlJc w:val="left"/>
      <w:pPr>
        <w:tabs>
          <w:tab w:val="num" w:pos="3960"/>
        </w:tabs>
        <w:ind w:left="3960" w:hanging="360"/>
      </w:pPr>
      <w:rPr>
        <w:rFonts w:ascii="Symbol" w:hAnsi="Symbol" w:hint="default"/>
      </w:rPr>
    </w:lvl>
    <w:lvl w:ilvl="6" w:tplc="FA868B76" w:tentative="1">
      <w:start w:val="1"/>
      <w:numFmt w:val="bullet"/>
      <w:lvlText w:val=""/>
      <w:lvlJc w:val="left"/>
      <w:pPr>
        <w:tabs>
          <w:tab w:val="num" w:pos="4680"/>
        </w:tabs>
        <w:ind w:left="4680" w:hanging="360"/>
      </w:pPr>
      <w:rPr>
        <w:rFonts w:ascii="Symbol" w:hAnsi="Symbol" w:hint="default"/>
      </w:rPr>
    </w:lvl>
    <w:lvl w:ilvl="7" w:tplc="CB343BE6" w:tentative="1">
      <w:start w:val="1"/>
      <w:numFmt w:val="bullet"/>
      <w:lvlText w:val=""/>
      <w:lvlJc w:val="left"/>
      <w:pPr>
        <w:tabs>
          <w:tab w:val="num" w:pos="5400"/>
        </w:tabs>
        <w:ind w:left="5400" w:hanging="360"/>
      </w:pPr>
      <w:rPr>
        <w:rFonts w:ascii="Symbol" w:hAnsi="Symbol" w:hint="default"/>
      </w:rPr>
    </w:lvl>
    <w:lvl w:ilvl="8" w:tplc="44CE1968" w:tentative="1">
      <w:start w:val="1"/>
      <w:numFmt w:val="bullet"/>
      <w:lvlText w:val=""/>
      <w:lvlJc w:val="left"/>
      <w:pPr>
        <w:tabs>
          <w:tab w:val="num" w:pos="6120"/>
        </w:tabs>
        <w:ind w:left="6120" w:hanging="360"/>
      </w:pPr>
      <w:rPr>
        <w:rFonts w:ascii="Symbol" w:hAnsi="Symbol" w:hint="default"/>
      </w:rPr>
    </w:lvl>
  </w:abstractNum>
  <w:abstractNum w:abstractNumId="69" w15:restartNumberingAfterBreak="0">
    <w:nsid w:val="58D6421B"/>
    <w:multiLevelType w:val="hybridMultilevel"/>
    <w:tmpl w:val="AB34892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0" w15:restartNumberingAfterBreak="0">
    <w:nsid w:val="5A1B7972"/>
    <w:multiLevelType w:val="hybridMultilevel"/>
    <w:tmpl w:val="D652B892"/>
    <w:lvl w:ilvl="0" w:tplc="46FA3472">
      <w:start w:val="1"/>
      <w:numFmt w:val="bullet"/>
      <w:lvlText w:val="·"/>
      <w:lvlJc w:val="left"/>
      <w:pPr>
        <w:ind w:left="720" w:hanging="360"/>
      </w:pPr>
      <w:rPr>
        <w:rFonts w:ascii="Symbol" w:hAnsi="Symbol" w:hint="default"/>
      </w:rPr>
    </w:lvl>
    <w:lvl w:ilvl="1" w:tplc="898653C6">
      <w:start w:val="1"/>
      <w:numFmt w:val="bullet"/>
      <w:lvlText w:val="o"/>
      <w:lvlJc w:val="left"/>
      <w:pPr>
        <w:ind w:left="1440" w:hanging="360"/>
      </w:pPr>
      <w:rPr>
        <w:rFonts w:ascii="Courier New" w:hAnsi="Courier New" w:hint="default"/>
      </w:rPr>
    </w:lvl>
    <w:lvl w:ilvl="2" w:tplc="60949E7A">
      <w:start w:val="1"/>
      <w:numFmt w:val="bullet"/>
      <w:lvlText w:val=""/>
      <w:lvlJc w:val="left"/>
      <w:pPr>
        <w:ind w:left="2160" w:hanging="360"/>
      </w:pPr>
      <w:rPr>
        <w:rFonts w:ascii="Wingdings" w:hAnsi="Wingdings" w:hint="default"/>
      </w:rPr>
    </w:lvl>
    <w:lvl w:ilvl="3" w:tplc="3696654A">
      <w:start w:val="1"/>
      <w:numFmt w:val="bullet"/>
      <w:lvlText w:val=""/>
      <w:lvlJc w:val="left"/>
      <w:pPr>
        <w:ind w:left="2880" w:hanging="360"/>
      </w:pPr>
      <w:rPr>
        <w:rFonts w:ascii="Symbol" w:hAnsi="Symbol" w:hint="default"/>
      </w:rPr>
    </w:lvl>
    <w:lvl w:ilvl="4" w:tplc="28E8CF8A">
      <w:start w:val="1"/>
      <w:numFmt w:val="bullet"/>
      <w:lvlText w:val="o"/>
      <w:lvlJc w:val="left"/>
      <w:pPr>
        <w:ind w:left="3600" w:hanging="360"/>
      </w:pPr>
      <w:rPr>
        <w:rFonts w:ascii="Courier New" w:hAnsi="Courier New" w:hint="default"/>
      </w:rPr>
    </w:lvl>
    <w:lvl w:ilvl="5" w:tplc="9E2A22A4">
      <w:start w:val="1"/>
      <w:numFmt w:val="bullet"/>
      <w:lvlText w:val=""/>
      <w:lvlJc w:val="left"/>
      <w:pPr>
        <w:ind w:left="4320" w:hanging="360"/>
      </w:pPr>
      <w:rPr>
        <w:rFonts w:ascii="Wingdings" w:hAnsi="Wingdings" w:hint="default"/>
      </w:rPr>
    </w:lvl>
    <w:lvl w:ilvl="6" w:tplc="65F868F8">
      <w:start w:val="1"/>
      <w:numFmt w:val="bullet"/>
      <w:lvlText w:val=""/>
      <w:lvlJc w:val="left"/>
      <w:pPr>
        <w:ind w:left="5040" w:hanging="360"/>
      </w:pPr>
      <w:rPr>
        <w:rFonts w:ascii="Symbol" w:hAnsi="Symbol" w:hint="default"/>
      </w:rPr>
    </w:lvl>
    <w:lvl w:ilvl="7" w:tplc="53C63EBE">
      <w:start w:val="1"/>
      <w:numFmt w:val="bullet"/>
      <w:lvlText w:val="o"/>
      <w:lvlJc w:val="left"/>
      <w:pPr>
        <w:ind w:left="5760" w:hanging="360"/>
      </w:pPr>
      <w:rPr>
        <w:rFonts w:ascii="Courier New" w:hAnsi="Courier New" w:hint="default"/>
      </w:rPr>
    </w:lvl>
    <w:lvl w:ilvl="8" w:tplc="5F860C66">
      <w:start w:val="1"/>
      <w:numFmt w:val="bullet"/>
      <w:lvlText w:val=""/>
      <w:lvlJc w:val="left"/>
      <w:pPr>
        <w:ind w:left="6480" w:hanging="360"/>
      </w:pPr>
      <w:rPr>
        <w:rFonts w:ascii="Wingdings" w:hAnsi="Wingdings" w:hint="default"/>
      </w:rPr>
    </w:lvl>
  </w:abstractNum>
  <w:abstractNum w:abstractNumId="71" w15:restartNumberingAfterBreak="0">
    <w:nsid w:val="5A6C1CBB"/>
    <w:multiLevelType w:val="multilevel"/>
    <w:tmpl w:val="D21AEA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BEC44E1"/>
    <w:multiLevelType w:val="hybridMultilevel"/>
    <w:tmpl w:val="63066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E8C5B23"/>
    <w:multiLevelType w:val="hybridMultilevel"/>
    <w:tmpl w:val="0E541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EF52CB0"/>
    <w:multiLevelType w:val="multilevel"/>
    <w:tmpl w:val="52A87CB0"/>
    <w:lvl w:ilvl="0">
      <w:start w:val="2"/>
      <w:numFmt w:val="decimal"/>
      <w:lvlText w:val="%1"/>
      <w:lvlJc w:val="left"/>
      <w:pPr>
        <w:ind w:left="405" w:hanging="405"/>
      </w:pPr>
      <w:rPr>
        <w:rFonts w:hint="default"/>
      </w:rPr>
    </w:lvl>
    <w:lvl w:ilvl="1">
      <w:start w:val="2"/>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75" w15:restartNumberingAfterBreak="0">
    <w:nsid w:val="63BE4E66"/>
    <w:multiLevelType w:val="hybridMultilevel"/>
    <w:tmpl w:val="51D60B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65832159"/>
    <w:multiLevelType w:val="hybridMultilevel"/>
    <w:tmpl w:val="0C24FD4A"/>
    <w:lvl w:ilvl="0" w:tplc="FFFFFFFF">
      <w:start w:val="1"/>
      <w:numFmt w:val="bullet"/>
      <w:lvlText w:val=""/>
      <w:lvlJc w:val="left"/>
      <w:pPr>
        <w:ind w:left="1082" w:hanging="360"/>
      </w:pPr>
      <w:rPr>
        <w:rFonts w:ascii="Symbol" w:hAnsi="Symbol" w:hint="default"/>
        <w:sz w:val="18"/>
        <w:szCs w:val="18"/>
      </w:rPr>
    </w:lvl>
    <w:lvl w:ilvl="1" w:tplc="0C090003">
      <w:start w:val="1"/>
      <w:numFmt w:val="bullet"/>
      <w:lvlText w:val="o"/>
      <w:lvlJc w:val="left"/>
      <w:pPr>
        <w:ind w:left="1802" w:hanging="360"/>
      </w:pPr>
      <w:rPr>
        <w:rFonts w:ascii="Courier New" w:hAnsi="Courier New" w:cs="Courier New" w:hint="default"/>
      </w:rPr>
    </w:lvl>
    <w:lvl w:ilvl="2" w:tplc="0C090005" w:tentative="1">
      <w:start w:val="1"/>
      <w:numFmt w:val="bullet"/>
      <w:lvlText w:val=""/>
      <w:lvlJc w:val="left"/>
      <w:pPr>
        <w:ind w:left="2522" w:hanging="360"/>
      </w:pPr>
      <w:rPr>
        <w:rFonts w:ascii="Wingdings" w:hAnsi="Wingdings" w:hint="default"/>
      </w:rPr>
    </w:lvl>
    <w:lvl w:ilvl="3" w:tplc="0C090001" w:tentative="1">
      <w:start w:val="1"/>
      <w:numFmt w:val="bullet"/>
      <w:lvlText w:val=""/>
      <w:lvlJc w:val="left"/>
      <w:pPr>
        <w:ind w:left="3242" w:hanging="360"/>
      </w:pPr>
      <w:rPr>
        <w:rFonts w:ascii="Symbol" w:hAnsi="Symbol" w:hint="default"/>
      </w:rPr>
    </w:lvl>
    <w:lvl w:ilvl="4" w:tplc="0C090003" w:tentative="1">
      <w:start w:val="1"/>
      <w:numFmt w:val="bullet"/>
      <w:lvlText w:val="o"/>
      <w:lvlJc w:val="left"/>
      <w:pPr>
        <w:ind w:left="3962" w:hanging="360"/>
      </w:pPr>
      <w:rPr>
        <w:rFonts w:ascii="Courier New" w:hAnsi="Courier New" w:cs="Courier New" w:hint="default"/>
      </w:rPr>
    </w:lvl>
    <w:lvl w:ilvl="5" w:tplc="0C090005" w:tentative="1">
      <w:start w:val="1"/>
      <w:numFmt w:val="bullet"/>
      <w:lvlText w:val=""/>
      <w:lvlJc w:val="left"/>
      <w:pPr>
        <w:ind w:left="4682" w:hanging="360"/>
      </w:pPr>
      <w:rPr>
        <w:rFonts w:ascii="Wingdings" w:hAnsi="Wingdings" w:hint="default"/>
      </w:rPr>
    </w:lvl>
    <w:lvl w:ilvl="6" w:tplc="0C090001" w:tentative="1">
      <w:start w:val="1"/>
      <w:numFmt w:val="bullet"/>
      <w:lvlText w:val=""/>
      <w:lvlJc w:val="left"/>
      <w:pPr>
        <w:ind w:left="5402" w:hanging="360"/>
      </w:pPr>
      <w:rPr>
        <w:rFonts w:ascii="Symbol" w:hAnsi="Symbol" w:hint="default"/>
      </w:rPr>
    </w:lvl>
    <w:lvl w:ilvl="7" w:tplc="0C090003" w:tentative="1">
      <w:start w:val="1"/>
      <w:numFmt w:val="bullet"/>
      <w:lvlText w:val="o"/>
      <w:lvlJc w:val="left"/>
      <w:pPr>
        <w:ind w:left="6122" w:hanging="360"/>
      </w:pPr>
      <w:rPr>
        <w:rFonts w:ascii="Courier New" w:hAnsi="Courier New" w:cs="Courier New" w:hint="default"/>
      </w:rPr>
    </w:lvl>
    <w:lvl w:ilvl="8" w:tplc="0C090005" w:tentative="1">
      <w:start w:val="1"/>
      <w:numFmt w:val="bullet"/>
      <w:lvlText w:val=""/>
      <w:lvlJc w:val="left"/>
      <w:pPr>
        <w:ind w:left="6842" w:hanging="360"/>
      </w:pPr>
      <w:rPr>
        <w:rFonts w:ascii="Wingdings" w:hAnsi="Wingdings" w:hint="default"/>
      </w:rPr>
    </w:lvl>
  </w:abstractNum>
  <w:abstractNum w:abstractNumId="77" w15:restartNumberingAfterBreak="0">
    <w:nsid w:val="659F54D7"/>
    <w:multiLevelType w:val="hybridMultilevel"/>
    <w:tmpl w:val="1CCC1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5BE68DC"/>
    <w:multiLevelType w:val="hybridMultilevel"/>
    <w:tmpl w:val="0C7C7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6837467"/>
    <w:multiLevelType w:val="hybridMultilevel"/>
    <w:tmpl w:val="DAE62F50"/>
    <w:lvl w:ilvl="0" w:tplc="7418329E">
      <w:start w:val="1"/>
      <w:numFmt w:val="bullet"/>
      <w:lvlText w:val=""/>
      <w:lvlJc w:val="left"/>
      <w:pPr>
        <w:tabs>
          <w:tab w:val="num" w:pos="360"/>
        </w:tabs>
        <w:ind w:left="360" w:hanging="360"/>
      </w:pPr>
      <w:rPr>
        <w:rFonts w:ascii="Symbol" w:hAnsi="Symbol" w:hint="default"/>
      </w:rPr>
    </w:lvl>
    <w:lvl w:ilvl="1" w:tplc="5E2409C0" w:tentative="1">
      <w:start w:val="1"/>
      <w:numFmt w:val="bullet"/>
      <w:lvlText w:val=""/>
      <w:lvlJc w:val="left"/>
      <w:pPr>
        <w:tabs>
          <w:tab w:val="num" w:pos="1080"/>
        </w:tabs>
        <w:ind w:left="1080" w:hanging="360"/>
      </w:pPr>
      <w:rPr>
        <w:rFonts w:ascii="Symbol" w:hAnsi="Symbol" w:hint="default"/>
      </w:rPr>
    </w:lvl>
    <w:lvl w:ilvl="2" w:tplc="8E12F030" w:tentative="1">
      <w:start w:val="1"/>
      <w:numFmt w:val="bullet"/>
      <w:lvlText w:val=""/>
      <w:lvlJc w:val="left"/>
      <w:pPr>
        <w:tabs>
          <w:tab w:val="num" w:pos="1800"/>
        </w:tabs>
        <w:ind w:left="1800" w:hanging="360"/>
      </w:pPr>
      <w:rPr>
        <w:rFonts w:ascii="Symbol" w:hAnsi="Symbol" w:hint="default"/>
      </w:rPr>
    </w:lvl>
    <w:lvl w:ilvl="3" w:tplc="23389C9A" w:tentative="1">
      <w:start w:val="1"/>
      <w:numFmt w:val="bullet"/>
      <w:lvlText w:val=""/>
      <w:lvlJc w:val="left"/>
      <w:pPr>
        <w:tabs>
          <w:tab w:val="num" w:pos="2520"/>
        </w:tabs>
        <w:ind w:left="2520" w:hanging="360"/>
      </w:pPr>
      <w:rPr>
        <w:rFonts w:ascii="Symbol" w:hAnsi="Symbol" w:hint="default"/>
      </w:rPr>
    </w:lvl>
    <w:lvl w:ilvl="4" w:tplc="4A9A49A4" w:tentative="1">
      <w:start w:val="1"/>
      <w:numFmt w:val="bullet"/>
      <w:lvlText w:val=""/>
      <w:lvlJc w:val="left"/>
      <w:pPr>
        <w:tabs>
          <w:tab w:val="num" w:pos="3240"/>
        </w:tabs>
        <w:ind w:left="3240" w:hanging="360"/>
      </w:pPr>
      <w:rPr>
        <w:rFonts w:ascii="Symbol" w:hAnsi="Symbol" w:hint="default"/>
      </w:rPr>
    </w:lvl>
    <w:lvl w:ilvl="5" w:tplc="91C8515E" w:tentative="1">
      <w:start w:val="1"/>
      <w:numFmt w:val="bullet"/>
      <w:lvlText w:val=""/>
      <w:lvlJc w:val="left"/>
      <w:pPr>
        <w:tabs>
          <w:tab w:val="num" w:pos="3960"/>
        </w:tabs>
        <w:ind w:left="3960" w:hanging="360"/>
      </w:pPr>
      <w:rPr>
        <w:rFonts w:ascii="Symbol" w:hAnsi="Symbol" w:hint="default"/>
      </w:rPr>
    </w:lvl>
    <w:lvl w:ilvl="6" w:tplc="E102CC96" w:tentative="1">
      <w:start w:val="1"/>
      <w:numFmt w:val="bullet"/>
      <w:lvlText w:val=""/>
      <w:lvlJc w:val="left"/>
      <w:pPr>
        <w:tabs>
          <w:tab w:val="num" w:pos="4680"/>
        </w:tabs>
        <w:ind w:left="4680" w:hanging="360"/>
      </w:pPr>
      <w:rPr>
        <w:rFonts w:ascii="Symbol" w:hAnsi="Symbol" w:hint="default"/>
      </w:rPr>
    </w:lvl>
    <w:lvl w:ilvl="7" w:tplc="5168551A" w:tentative="1">
      <w:start w:val="1"/>
      <w:numFmt w:val="bullet"/>
      <w:lvlText w:val=""/>
      <w:lvlJc w:val="left"/>
      <w:pPr>
        <w:tabs>
          <w:tab w:val="num" w:pos="5400"/>
        </w:tabs>
        <w:ind w:left="5400" w:hanging="360"/>
      </w:pPr>
      <w:rPr>
        <w:rFonts w:ascii="Symbol" w:hAnsi="Symbol" w:hint="default"/>
      </w:rPr>
    </w:lvl>
    <w:lvl w:ilvl="8" w:tplc="27541C78" w:tentative="1">
      <w:start w:val="1"/>
      <w:numFmt w:val="bullet"/>
      <w:lvlText w:val=""/>
      <w:lvlJc w:val="left"/>
      <w:pPr>
        <w:tabs>
          <w:tab w:val="num" w:pos="6120"/>
        </w:tabs>
        <w:ind w:left="6120" w:hanging="360"/>
      </w:pPr>
      <w:rPr>
        <w:rFonts w:ascii="Symbol" w:hAnsi="Symbol" w:hint="default"/>
      </w:rPr>
    </w:lvl>
  </w:abstractNum>
  <w:abstractNum w:abstractNumId="80" w15:restartNumberingAfterBreak="0">
    <w:nsid w:val="69E371DE"/>
    <w:multiLevelType w:val="multilevel"/>
    <w:tmpl w:val="3CF024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6B806C3C"/>
    <w:multiLevelType w:val="hybridMultilevel"/>
    <w:tmpl w:val="0304F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B81739F"/>
    <w:multiLevelType w:val="hybridMultilevel"/>
    <w:tmpl w:val="D1BC9386"/>
    <w:lvl w:ilvl="0" w:tplc="2A5C8C06">
      <w:start w:val="1"/>
      <w:numFmt w:val="bullet"/>
      <w:lvlText w:val="·"/>
      <w:lvlJc w:val="left"/>
      <w:pPr>
        <w:ind w:left="720" w:hanging="360"/>
      </w:pPr>
      <w:rPr>
        <w:rFonts w:ascii="Symbol" w:hAnsi="Symbol" w:hint="default"/>
      </w:rPr>
    </w:lvl>
    <w:lvl w:ilvl="1" w:tplc="5C06C3F0">
      <w:start w:val="1"/>
      <w:numFmt w:val="bullet"/>
      <w:lvlText w:val="o"/>
      <w:lvlJc w:val="left"/>
      <w:pPr>
        <w:ind w:left="1440" w:hanging="360"/>
      </w:pPr>
      <w:rPr>
        <w:rFonts w:ascii="Courier New" w:hAnsi="Courier New" w:hint="default"/>
      </w:rPr>
    </w:lvl>
    <w:lvl w:ilvl="2" w:tplc="8012D25A">
      <w:start w:val="1"/>
      <w:numFmt w:val="bullet"/>
      <w:lvlText w:val=""/>
      <w:lvlJc w:val="left"/>
      <w:pPr>
        <w:ind w:left="2160" w:hanging="360"/>
      </w:pPr>
      <w:rPr>
        <w:rFonts w:ascii="Wingdings" w:hAnsi="Wingdings" w:hint="default"/>
      </w:rPr>
    </w:lvl>
    <w:lvl w:ilvl="3" w:tplc="6B447A5E">
      <w:start w:val="1"/>
      <w:numFmt w:val="bullet"/>
      <w:lvlText w:val=""/>
      <w:lvlJc w:val="left"/>
      <w:pPr>
        <w:ind w:left="2880" w:hanging="360"/>
      </w:pPr>
      <w:rPr>
        <w:rFonts w:ascii="Symbol" w:hAnsi="Symbol" w:hint="default"/>
      </w:rPr>
    </w:lvl>
    <w:lvl w:ilvl="4" w:tplc="C332DAAE">
      <w:start w:val="1"/>
      <w:numFmt w:val="bullet"/>
      <w:lvlText w:val="o"/>
      <w:lvlJc w:val="left"/>
      <w:pPr>
        <w:ind w:left="3600" w:hanging="360"/>
      </w:pPr>
      <w:rPr>
        <w:rFonts w:ascii="Courier New" w:hAnsi="Courier New" w:hint="default"/>
      </w:rPr>
    </w:lvl>
    <w:lvl w:ilvl="5" w:tplc="C5AE5C88">
      <w:start w:val="1"/>
      <w:numFmt w:val="bullet"/>
      <w:lvlText w:val=""/>
      <w:lvlJc w:val="left"/>
      <w:pPr>
        <w:ind w:left="4320" w:hanging="360"/>
      </w:pPr>
      <w:rPr>
        <w:rFonts w:ascii="Wingdings" w:hAnsi="Wingdings" w:hint="default"/>
      </w:rPr>
    </w:lvl>
    <w:lvl w:ilvl="6" w:tplc="54CC90D0">
      <w:start w:val="1"/>
      <w:numFmt w:val="bullet"/>
      <w:lvlText w:val=""/>
      <w:lvlJc w:val="left"/>
      <w:pPr>
        <w:ind w:left="5040" w:hanging="360"/>
      </w:pPr>
      <w:rPr>
        <w:rFonts w:ascii="Symbol" w:hAnsi="Symbol" w:hint="default"/>
      </w:rPr>
    </w:lvl>
    <w:lvl w:ilvl="7" w:tplc="E862873A">
      <w:start w:val="1"/>
      <w:numFmt w:val="bullet"/>
      <w:lvlText w:val="o"/>
      <w:lvlJc w:val="left"/>
      <w:pPr>
        <w:ind w:left="5760" w:hanging="360"/>
      </w:pPr>
      <w:rPr>
        <w:rFonts w:ascii="Courier New" w:hAnsi="Courier New" w:hint="default"/>
      </w:rPr>
    </w:lvl>
    <w:lvl w:ilvl="8" w:tplc="46C4524E">
      <w:start w:val="1"/>
      <w:numFmt w:val="bullet"/>
      <w:lvlText w:val=""/>
      <w:lvlJc w:val="left"/>
      <w:pPr>
        <w:ind w:left="6480" w:hanging="360"/>
      </w:pPr>
      <w:rPr>
        <w:rFonts w:ascii="Wingdings" w:hAnsi="Wingdings" w:hint="default"/>
      </w:rPr>
    </w:lvl>
  </w:abstractNum>
  <w:abstractNum w:abstractNumId="83" w15:restartNumberingAfterBreak="0">
    <w:nsid w:val="6C7929AF"/>
    <w:multiLevelType w:val="hybridMultilevel"/>
    <w:tmpl w:val="A9665890"/>
    <w:lvl w:ilvl="0" w:tplc="DED8AF06">
      <w:start w:val="1"/>
      <w:numFmt w:val="bullet"/>
      <w:lvlText w:val="•"/>
      <w:lvlJc w:val="left"/>
      <w:pPr>
        <w:tabs>
          <w:tab w:val="num" w:pos="720"/>
        </w:tabs>
        <w:ind w:left="720" w:hanging="360"/>
      </w:pPr>
      <w:rPr>
        <w:rFonts w:ascii="Arial" w:hAnsi="Arial" w:hint="default"/>
      </w:rPr>
    </w:lvl>
    <w:lvl w:ilvl="1" w:tplc="0360E2A4">
      <w:start w:val="1"/>
      <w:numFmt w:val="bullet"/>
      <w:lvlText w:val="•"/>
      <w:lvlJc w:val="left"/>
      <w:pPr>
        <w:tabs>
          <w:tab w:val="num" w:pos="1440"/>
        </w:tabs>
        <w:ind w:left="1440" w:hanging="360"/>
      </w:pPr>
      <w:rPr>
        <w:rFonts w:ascii="Arial" w:hAnsi="Arial" w:hint="default"/>
      </w:rPr>
    </w:lvl>
    <w:lvl w:ilvl="2" w:tplc="4BFA03DC" w:tentative="1">
      <w:start w:val="1"/>
      <w:numFmt w:val="bullet"/>
      <w:lvlText w:val="•"/>
      <w:lvlJc w:val="left"/>
      <w:pPr>
        <w:tabs>
          <w:tab w:val="num" w:pos="2160"/>
        </w:tabs>
        <w:ind w:left="2160" w:hanging="360"/>
      </w:pPr>
      <w:rPr>
        <w:rFonts w:ascii="Arial" w:hAnsi="Arial" w:hint="default"/>
      </w:rPr>
    </w:lvl>
    <w:lvl w:ilvl="3" w:tplc="61EC1E8E" w:tentative="1">
      <w:start w:val="1"/>
      <w:numFmt w:val="bullet"/>
      <w:lvlText w:val="•"/>
      <w:lvlJc w:val="left"/>
      <w:pPr>
        <w:tabs>
          <w:tab w:val="num" w:pos="2880"/>
        </w:tabs>
        <w:ind w:left="2880" w:hanging="360"/>
      </w:pPr>
      <w:rPr>
        <w:rFonts w:ascii="Arial" w:hAnsi="Arial" w:hint="default"/>
      </w:rPr>
    </w:lvl>
    <w:lvl w:ilvl="4" w:tplc="8C90E638" w:tentative="1">
      <w:start w:val="1"/>
      <w:numFmt w:val="bullet"/>
      <w:lvlText w:val="•"/>
      <w:lvlJc w:val="left"/>
      <w:pPr>
        <w:tabs>
          <w:tab w:val="num" w:pos="3600"/>
        </w:tabs>
        <w:ind w:left="3600" w:hanging="360"/>
      </w:pPr>
      <w:rPr>
        <w:rFonts w:ascii="Arial" w:hAnsi="Arial" w:hint="default"/>
      </w:rPr>
    </w:lvl>
    <w:lvl w:ilvl="5" w:tplc="89DEA6BC" w:tentative="1">
      <w:start w:val="1"/>
      <w:numFmt w:val="bullet"/>
      <w:lvlText w:val="•"/>
      <w:lvlJc w:val="left"/>
      <w:pPr>
        <w:tabs>
          <w:tab w:val="num" w:pos="4320"/>
        </w:tabs>
        <w:ind w:left="4320" w:hanging="360"/>
      </w:pPr>
      <w:rPr>
        <w:rFonts w:ascii="Arial" w:hAnsi="Arial" w:hint="default"/>
      </w:rPr>
    </w:lvl>
    <w:lvl w:ilvl="6" w:tplc="1AA23436" w:tentative="1">
      <w:start w:val="1"/>
      <w:numFmt w:val="bullet"/>
      <w:lvlText w:val="•"/>
      <w:lvlJc w:val="left"/>
      <w:pPr>
        <w:tabs>
          <w:tab w:val="num" w:pos="5040"/>
        </w:tabs>
        <w:ind w:left="5040" w:hanging="360"/>
      </w:pPr>
      <w:rPr>
        <w:rFonts w:ascii="Arial" w:hAnsi="Arial" w:hint="default"/>
      </w:rPr>
    </w:lvl>
    <w:lvl w:ilvl="7" w:tplc="4C3AAEBE" w:tentative="1">
      <w:start w:val="1"/>
      <w:numFmt w:val="bullet"/>
      <w:lvlText w:val="•"/>
      <w:lvlJc w:val="left"/>
      <w:pPr>
        <w:tabs>
          <w:tab w:val="num" w:pos="5760"/>
        </w:tabs>
        <w:ind w:left="5760" w:hanging="360"/>
      </w:pPr>
      <w:rPr>
        <w:rFonts w:ascii="Arial" w:hAnsi="Arial" w:hint="default"/>
      </w:rPr>
    </w:lvl>
    <w:lvl w:ilvl="8" w:tplc="54CA23EC"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6C816FF3"/>
    <w:multiLevelType w:val="hybridMultilevel"/>
    <w:tmpl w:val="39F02E38"/>
    <w:lvl w:ilvl="0" w:tplc="8752D238">
      <w:start w:val="1"/>
      <w:numFmt w:val="bullet"/>
      <w:lvlText w:val=""/>
      <w:lvlJc w:val="left"/>
      <w:pPr>
        <w:ind w:left="720" w:hanging="360"/>
      </w:pPr>
      <w:rPr>
        <w:rFonts w:ascii="Symbol" w:hAnsi="Symbol" w:hint="default"/>
      </w:rPr>
    </w:lvl>
    <w:lvl w:ilvl="1" w:tplc="6A1878A4">
      <w:start w:val="1"/>
      <w:numFmt w:val="bullet"/>
      <w:lvlText w:val="o"/>
      <w:lvlJc w:val="left"/>
      <w:pPr>
        <w:ind w:left="1440" w:hanging="360"/>
      </w:pPr>
      <w:rPr>
        <w:rFonts w:ascii="Courier New" w:hAnsi="Courier New" w:hint="default"/>
      </w:rPr>
    </w:lvl>
    <w:lvl w:ilvl="2" w:tplc="ADA2C97C">
      <w:start w:val="1"/>
      <w:numFmt w:val="bullet"/>
      <w:lvlText w:val=""/>
      <w:lvlJc w:val="left"/>
      <w:pPr>
        <w:ind w:left="2160" w:hanging="360"/>
      </w:pPr>
      <w:rPr>
        <w:rFonts w:ascii="Wingdings" w:hAnsi="Wingdings" w:hint="default"/>
      </w:rPr>
    </w:lvl>
    <w:lvl w:ilvl="3" w:tplc="442CBA66">
      <w:start w:val="1"/>
      <w:numFmt w:val="bullet"/>
      <w:lvlText w:val=""/>
      <w:lvlJc w:val="left"/>
      <w:pPr>
        <w:ind w:left="2880" w:hanging="360"/>
      </w:pPr>
      <w:rPr>
        <w:rFonts w:ascii="Symbol" w:hAnsi="Symbol" w:hint="default"/>
      </w:rPr>
    </w:lvl>
    <w:lvl w:ilvl="4" w:tplc="5B2867FC">
      <w:start w:val="1"/>
      <w:numFmt w:val="bullet"/>
      <w:lvlText w:val="o"/>
      <w:lvlJc w:val="left"/>
      <w:pPr>
        <w:ind w:left="3600" w:hanging="360"/>
      </w:pPr>
      <w:rPr>
        <w:rFonts w:ascii="Courier New" w:hAnsi="Courier New" w:hint="default"/>
      </w:rPr>
    </w:lvl>
    <w:lvl w:ilvl="5" w:tplc="C7CA3F6A">
      <w:start w:val="1"/>
      <w:numFmt w:val="bullet"/>
      <w:lvlText w:val=""/>
      <w:lvlJc w:val="left"/>
      <w:pPr>
        <w:ind w:left="4320" w:hanging="360"/>
      </w:pPr>
      <w:rPr>
        <w:rFonts w:ascii="Wingdings" w:hAnsi="Wingdings" w:hint="default"/>
      </w:rPr>
    </w:lvl>
    <w:lvl w:ilvl="6" w:tplc="3FA61826">
      <w:start w:val="1"/>
      <w:numFmt w:val="bullet"/>
      <w:lvlText w:val=""/>
      <w:lvlJc w:val="left"/>
      <w:pPr>
        <w:ind w:left="5040" w:hanging="360"/>
      </w:pPr>
      <w:rPr>
        <w:rFonts w:ascii="Symbol" w:hAnsi="Symbol" w:hint="default"/>
      </w:rPr>
    </w:lvl>
    <w:lvl w:ilvl="7" w:tplc="E1587764">
      <w:start w:val="1"/>
      <w:numFmt w:val="bullet"/>
      <w:lvlText w:val="o"/>
      <w:lvlJc w:val="left"/>
      <w:pPr>
        <w:ind w:left="5760" w:hanging="360"/>
      </w:pPr>
      <w:rPr>
        <w:rFonts w:ascii="Courier New" w:hAnsi="Courier New" w:hint="default"/>
      </w:rPr>
    </w:lvl>
    <w:lvl w:ilvl="8" w:tplc="C5F860BC">
      <w:start w:val="1"/>
      <w:numFmt w:val="bullet"/>
      <w:lvlText w:val=""/>
      <w:lvlJc w:val="left"/>
      <w:pPr>
        <w:ind w:left="6480" w:hanging="360"/>
      </w:pPr>
      <w:rPr>
        <w:rFonts w:ascii="Wingdings" w:hAnsi="Wingdings" w:hint="default"/>
      </w:rPr>
    </w:lvl>
  </w:abstractNum>
  <w:abstractNum w:abstractNumId="85" w15:restartNumberingAfterBreak="0">
    <w:nsid w:val="6D2900DE"/>
    <w:multiLevelType w:val="hybridMultilevel"/>
    <w:tmpl w:val="C5CA8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D6A3DB6"/>
    <w:multiLevelType w:val="hybridMultilevel"/>
    <w:tmpl w:val="FFFFFFFF"/>
    <w:lvl w:ilvl="0" w:tplc="7AB860AC">
      <w:start w:val="1"/>
      <w:numFmt w:val="bullet"/>
      <w:lvlText w:val="·"/>
      <w:lvlJc w:val="left"/>
      <w:pPr>
        <w:ind w:left="720" w:hanging="360"/>
      </w:pPr>
      <w:rPr>
        <w:rFonts w:ascii="Symbol" w:hAnsi="Symbol" w:hint="default"/>
      </w:rPr>
    </w:lvl>
    <w:lvl w:ilvl="1" w:tplc="0C962B44">
      <w:start w:val="1"/>
      <w:numFmt w:val="bullet"/>
      <w:lvlText w:val="o"/>
      <w:lvlJc w:val="left"/>
      <w:pPr>
        <w:ind w:left="1440" w:hanging="360"/>
      </w:pPr>
      <w:rPr>
        <w:rFonts w:ascii="Courier New" w:hAnsi="Courier New" w:hint="default"/>
      </w:rPr>
    </w:lvl>
    <w:lvl w:ilvl="2" w:tplc="4B6E372C">
      <w:start w:val="1"/>
      <w:numFmt w:val="bullet"/>
      <w:lvlText w:val=""/>
      <w:lvlJc w:val="left"/>
      <w:pPr>
        <w:ind w:left="2160" w:hanging="360"/>
      </w:pPr>
      <w:rPr>
        <w:rFonts w:ascii="Wingdings" w:hAnsi="Wingdings" w:hint="default"/>
      </w:rPr>
    </w:lvl>
    <w:lvl w:ilvl="3" w:tplc="2654B244">
      <w:start w:val="1"/>
      <w:numFmt w:val="bullet"/>
      <w:lvlText w:val=""/>
      <w:lvlJc w:val="left"/>
      <w:pPr>
        <w:ind w:left="2880" w:hanging="360"/>
      </w:pPr>
      <w:rPr>
        <w:rFonts w:ascii="Symbol" w:hAnsi="Symbol" w:hint="default"/>
      </w:rPr>
    </w:lvl>
    <w:lvl w:ilvl="4" w:tplc="7694AA3C">
      <w:start w:val="1"/>
      <w:numFmt w:val="bullet"/>
      <w:lvlText w:val="o"/>
      <w:lvlJc w:val="left"/>
      <w:pPr>
        <w:ind w:left="3600" w:hanging="360"/>
      </w:pPr>
      <w:rPr>
        <w:rFonts w:ascii="Courier New" w:hAnsi="Courier New" w:hint="default"/>
      </w:rPr>
    </w:lvl>
    <w:lvl w:ilvl="5" w:tplc="66FAFDDC">
      <w:start w:val="1"/>
      <w:numFmt w:val="bullet"/>
      <w:lvlText w:val=""/>
      <w:lvlJc w:val="left"/>
      <w:pPr>
        <w:ind w:left="4320" w:hanging="360"/>
      </w:pPr>
      <w:rPr>
        <w:rFonts w:ascii="Wingdings" w:hAnsi="Wingdings" w:hint="default"/>
      </w:rPr>
    </w:lvl>
    <w:lvl w:ilvl="6" w:tplc="8DFEB7A8">
      <w:start w:val="1"/>
      <w:numFmt w:val="bullet"/>
      <w:lvlText w:val=""/>
      <w:lvlJc w:val="left"/>
      <w:pPr>
        <w:ind w:left="5040" w:hanging="360"/>
      </w:pPr>
      <w:rPr>
        <w:rFonts w:ascii="Symbol" w:hAnsi="Symbol" w:hint="default"/>
      </w:rPr>
    </w:lvl>
    <w:lvl w:ilvl="7" w:tplc="359E3D66">
      <w:start w:val="1"/>
      <w:numFmt w:val="bullet"/>
      <w:lvlText w:val="o"/>
      <w:lvlJc w:val="left"/>
      <w:pPr>
        <w:ind w:left="5760" w:hanging="360"/>
      </w:pPr>
      <w:rPr>
        <w:rFonts w:ascii="Courier New" w:hAnsi="Courier New" w:hint="default"/>
      </w:rPr>
    </w:lvl>
    <w:lvl w:ilvl="8" w:tplc="E0523474">
      <w:start w:val="1"/>
      <w:numFmt w:val="bullet"/>
      <w:lvlText w:val=""/>
      <w:lvlJc w:val="left"/>
      <w:pPr>
        <w:ind w:left="6480" w:hanging="360"/>
      </w:pPr>
      <w:rPr>
        <w:rFonts w:ascii="Wingdings" w:hAnsi="Wingdings" w:hint="default"/>
      </w:rPr>
    </w:lvl>
  </w:abstractNum>
  <w:abstractNum w:abstractNumId="87" w15:restartNumberingAfterBreak="0">
    <w:nsid w:val="6FFA284B"/>
    <w:multiLevelType w:val="hybridMultilevel"/>
    <w:tmpl w:val="0884EB1E"/>
    <w:lvl w:ilvl="0" w:tplc="72D25E30">
      <w:start w:val="1"/>
      <w:numFmt w:val="bullet"/>
      <w:lvlText w:val=""/>
      <w:lvlJc w:val="left"/>
      <w:pPr>
        <w:tabs>
          <w:tab w:val="num" w:pos="360"/>
        </w:tabs>
        <w:ind w:left="360" w:hanging="360"/>
      </w:pPr>
      <w:rPr>
        <w:rFonts w:ascii="Symbol" w:hAnsi="Symbol" w:hint="default"/>
      </w:rPr>
    </w:lvl>
    <w:lvl w:ilvl="1" w:tplc="BE78821A">
      <w:numFmt w:val="bullet"/>
      <w:lvlText w:val="o"/>
      <w:lvlJc w:val="left"/>
      <w:pPr>
        <w:tabs>
          <w:tab w:val="num" w:pos="1080"/>
        </w:tabs>
        <w:ind w:left="1080" w:hanging="360"/>
      </w:pPr>
      <w:rPr>
        <w:rFonts w:ascii="Courier New" w:hAnsi="Courier New" w:hint="default"/>
      </w:rPr>
    </w:lvl>
    <w:lvl w:ilvl="2" w:tplc="AE2C765E" w:tentative="1">
      <w:start w:val="1"/>
      <w:numFmt w:val="bullet"/>
      <w:lvlText w:val=""/>
      <w:lvlJc w:val="left"/>
      <w:pPr>
        <w:tabs>
          <w:tab w:val="num" w:pos="1800"/>
        </w:tabs>
        <w:ind w:left="1800" w:hanging="360"/>
      </w:pPr>
      <w:rPr>
        <w:rFonts w:ascii="Symbol" w:hAnsi="Symbol" w:hint="default"/>
      </w:rPr>
    </w:lvl>
    <w:lvl w:ilvl="3" w:tplc="8850CC0E" w:tentative="1">
      <w:start w:val="1"/>
      <w:numFmt w:val="bullet"/>
      <w:lvlText w:val=""/>
      <w:lvlJc w:val="left"/>
      <w:pPr>
        <w:tabs>
          <w:tab w:val="num" w:pos="2520"/>
        </w:tabs>
        <w:ind w:left="2520" w:hanging="360"/>
      </w:pPr>
      <w:rPr>
        <w:rFonts w:ascii="Symbol" w:hAnsi="Symbol" w:hint="default"/>
      </w:rPr>
    </w:lvl>
    <w:lvl w:ilvl="4" w:tplc="C3BED9E6" w:tentative="1">
      <w:start w:val="1"/>
      <w:numFmt w:val="bullet"/>
      <w:lvlText w:val=""/>
      <w:lvlJc w:val="left"/>
      <w:pPr>
        <w:tabs>
          <w:tab w:val="num" w:pos="3240"/>
        </w:tabs>
        <w:ind w:left="3240" w:hanging="360"/>
      </w:pPr>
      <w:rPr>
        <w:rFonts w:ascii="Symbol" w:hAnsi="Symbol" w:hint="default"/>
      </w:rPr>
    </w:lvl>
    <w:lvl w:ilvl="5" w:tplc="CB40098C" w:tentative="1">
      <w:start w:val="1"/>
      <w:numFmt w:val="bullet"/>
      <w:lvlText w:val=""/>
      <w:lvlJc w:val="left"/>
      <w:pPr>
        <w:tabs>
          <w:tab w:val="num" w:pos="3960"/>
        </w:tabs>
        <w:ind w:left="3960" w:hanging="360"/>
      </w:pPr>
      <w:rPr>
        <w:rFonts w:ascii="Symbol" w:hAnsi="Symbol" w:hint="default"/>
      </w:rPr>
    </w:lvl>
    <w:lvl w:ilvl="6" w:tplc="C0A61836" w:tentative="1">
      <w:start w:val="1"/>
      <w:numFmt w:val="bullet"/>
      <w:lvlText w:val=""/>
      <w:lvlJc w:val="left"/>
      <w:pPr>
        <w:tabs>
          <w:tab w:val="num" w:pos="4680"/>
        </w:tabs>
        <w:ind w:left="4680" w:hanging="360"/>
      </w:pPr>
      <w:rPr>
        <w:rFonts w:ascii="Symbol" w:hAnsi="Symbol" w:hint="default"/>
      </w:rPr>
    </w:lvl>
    <w:lvl w:ilvl="7" w:tplc="184EE26A" w:tentative="1">
      <w:start w:val="1"/>
      <w:numFmt w:val="bullet"/>
      <w:lvlText w:val=""/>
      <w:lvlJc w:val="left"/>
      <w:pPr>
        <w:tabs>
          <w:tab w:val="num" w:pos="5400"/>
        </w:tabs>
        <w:ind w:left="5400" w:hanging="360"/>
      </w:pPr>
      <w:rPr>
        <w:rFonts w:ascii="Symbol" w:hAnsi="Symbol" w:hint="default"/>
      </w:rPr>
    </w:lvl>
    <w:lvl w:ilvl="8" w:tplc="978C555E" w:tentative="1">
      <w:start w:val="1"/>
      <w:numFmt w:val="bullet"/>
      <w:lvlText w:val=""/>
      <w:lvlJc w:val="left"/>
      <w:pPr>
        <w:tabs>
          <w:tab w:val="num" w:pos="6120"/>
        </w:tabs>
        <w:ind w:left="6120" w:hanging="360"/>
      </w:pPr>
      <w:rPr>
        <w:rFonts w:ascii="Symbol" w:hAnsi="Symbol" w:hint="default"/>
      </w:rPr>
    </w:lvl>
  </w:abstractNum>
  <w:abstractNum w:abstractNumId="88" w15:restartNumberingAfterBreak="0">
    <w:nsid w:val="6FFE3556"/>
    <w:multiLevelType w:val="hybridMultilevel"/>
    <w:tmpl w:val="BB3C6A5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26E35A2"/>
    <w:multiLevelType w:val="hybridMultilevel"/>
    <w:tmpl w:val="9C063766"/>
    <w:lvl w:ilvl="0" w:tplc="E2046710">
      <w:start w:val="1"/>
      <w:numFmt w:val="upperLetter"/>
      <w:lvlText w:val="%1."/>
      <w:lvlJc w:val="left"/>
      <w:pPr>
        <w:ind w:left="360" w:hanging="360"/>
      </w:pPr>
    </w:lvl>
    <w:lvl w:ilvl="1" w:tplc="3FAE76D4">
      <w:start w:val="1"/>
      <w:numFmt w:val="decimal"/>
      <w:lvlText w:val="%2."/>
      <w:lvlJc w:val="left"/>
      <w:pPr>
        <w:ind w:left="720" w:hanging="360"/>
      </w:pPr>
    </w:lvl>
    <w:lvl w:ilvl="2" w:tplc="2DDA89F4">
      <w:start w:val="1"/>
      <w:numFmt w:val="lowerLetter"/>
      <w:lvlText w:val="%3."/>
      <w:lvlJc w:val="left"/>
      <w:pPr>
        <w:ind w:left="1080" w:hanging="360"/>
      </w:pPr>
    </w:lvl>
    <w:lvl w:ilvl="3" w:tplc="BF94060A">
      <w:start w:val="1"/>
      <w:numFmt w:val="decimal"/>
      <w:lvlText w:val="(%4)"/>
      <w:lvlJc w:val="left"/>
      <w:pPr>
        <w:ind w:left="1440" w:hanging="360"/>
      </w:pPr>
    </w:lvl>
    <w:lvl w:ilvl="4" w:tplc="2D989D86">
      <w:start w:val="1"/>
      <w:numFmt w:val="lowerLetter"/>
      <w:lvlText w:val="(%5)"/>
      <w:lvlJc w:val="left"/>
      <w:pPr>
        <w:ind w:left="1800" w:hanging="360"/>
      </w:pPr>
    </w:lvl>
    <w:lvl w:ilvl="5" w:tplc="9CC264F2">
      <w:start w:val="1"/>
      <w:numFmt w:val="lowerRoman"/>
      <w:lvlText w:val="(%6)"/>
      <w:lvlJc w:val="left"/>
      <w:pPr>
        <w:ind w:left="2160" w:hanging="360"/>
      </w:pPr>
    </w:lvl>
    <w:lvl w:ilvl="6" w:tplc="EF985F88">
      <w:start w:val="1"/>
      <w:numFmt w:val="decimal"/>
      <w:lvlText w:val="%7."/>
      <w:lvlJc w:val="left"/>
      <w:pPr>
        <w:ind w:left="2520" w:hanging="360"/>
      </w:pPr>
    </w:lvl>
    <w:lvl w:ilvl="7" w:tplc="4F502F70">
      <w:start w:val="1"/>
      <w:numFmt w:val="lowerLetter"/>
      <w:lvlText w:val="%8."/>
      <w:lvlJc w:val="left"/>
      <w:pPr>
        <w:ind w:left="2880" w:hanging="360"/>
      </w:pPr>
    </w:lvl>
    <w:lvl w:ilvl="8" w:tplc="22104386">
      <w:start w:val="1"/>
      <w:numFmt w:val="lowerRoman"/>
      <w:lvlText w:val="%9."/>
      <w:lvlJc w:val="left"/>
      <w:pPr>
        <w:ind w:left="3240" w:hanging="360"/>
      </w:pPr>
    </w:lvl>
  </w:abstractNum>
  <w:abstractNum w:abstractNumId="90" w15:restartNumberingAfterBreak="0">
    <w:nsid w:val="728D629E"/>
    <w:multiLevelType w:val="multilevel"/>
    <w:tmpl w:val="4AF4BF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3473FD2"/>
    <w:multiLevelType w:val="hybridMultilevel"/>
    <w:tmpl w:val="58900C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75092A37"/>
    <w:multiLevelType w:val="hybridMultilevel"/>
    <w:tmpl w:val="58E0E5FE"/>
    <w:lvl w:ilvl="0" w:tplc="D44AC358">
      <w:start w:val="1"/>
      <w:numFmt w:val="bullet"/>
      <w:lvlText w:val=""/>
      <w:lvlJc w:val="left"/>
      <w:pPr>
        <w:ind w:left="720" w:hanging="360"/>
      </w:pPr>
      <w:rPr>
        <w:rFonts w:ascii="Symbol" w:hAnsi="Symbol" w:hint="default"/>
      </w:rPr>
    </w:lvl>
    <w:lvl w:ilvl="1" w:tplc="8BF269B6">
      <w:start w:val="1"/>
      <w:numFmt w:val="bullet"/>
      <w:lvlText w:val="o"/>
      <w:lvlJc w:val="left"/>
      <w:pPr>
        <w:ind w:left="1440" w:hanging="360"/>
      </w:pPr>
      <w:rPr>
        <w:rFonts w:ascii="Courier New" w:hAnsi="Courier New" w:hint="default"/>
      </w:rPr>
    </w:lvl>
    <w:lvl w:ilvl="2" w:tplc="DEE4664A">
      <w:start w:val="1"/>
      <w:numFmt w:val="bullet"/>
      <w:lvlText w:val=""/>
      <w:lvlJc w:val="left"/>
      <w:pPr>
        <w:ind w:left="2160" w:hanging="360"/>
      </w:pPr>
      <w:rPr>
        <w:rFonts w:ascii="Wingdings" w:hAnsi="Wingdings" w:hint="default"/>
      </w:rPr>
    </w:lvl>
    <w:lvl w:ilvl="3" w:tplc="87E86D3C">
      <w:start w:val="1"/>
      <w:numFmt w:val="bullet"/>
      <w:lvlText w:val=""/>
      <w:lvlJc w:val="left"/>
      <w:pPr>
        <w:ind w:left="2880" w:hanging="360"/>
      </w:pPr>
      <w:rPr>
        <w:rFonts w:ascii="Symbol" w:hAnsi="Symbol" w:hint="default"/>
      </w:rPr>
    </w:lvl>
    <w:lvl w:ilvl="4" w:tplc="F75C2426">
      <w:start w:val="1"/>
      <w:numFmt w:val="bullet"/>
      <w:lvlText w:val="o"/>
      <w:lvlJc w:val="left"/>
      <w:pPr>
        <w:ind w:left="3600" w:hanging="360"/>
      </w:pPr>
      <w:rPr>
        <w:rFonts w:ascii="Courier New" w:hAnsi="Courier New" w:hint="default"/>
      </w:rPr>
    </w:lvl>
    <w:lvl w:ilvl="5" w:tplc="44F4ABB8">
      <w:start w:val="1"/>
      <w:numFmt w:val="bullet"/>
      <w:lvlText w:val=""/>
      <w:lvlJc w:val="left"/>
      <w:pPr>
        <w:ind w:left="4320" w:hanging="360"/>
      </w:pPr>
      <w:rPr>
        <w:rFonts w:ascii="Wingdings" w:hAnsi="Wingdings" w:hint="default"/>
      </w:rPr>
    </w:lvl>
    <w:lvl w:ilvl="6" w:tplc="578E3C2A">
      <w:start w:val="1"/>
      <w:numFmt w:val="bullet"/>
      <w:lvlText w:val=""/>
      <w:lvlJc w:val="left"/>
      <w:pPr>
        <w:ind w:left="5040" w:hanging="360"/>
      </w:pPr>
      <w:rPr>
        <w:rFonts w:ascii="Symbol" w:hAnsi="Symbol" w:hint="default"/>
      </w:rPr>
    </w:lvl>
    <w:lvl w:ilvl="7" w:tplc="99BC6C62">
      <w:start w:val="1"/>
      <w:numFmt w:val="bullet"/>
      <w:lvlText w:val="o"/>
      <w:lvlJc w:val="left"/>
      <w:pPr>
        <w:ind w:left="5760" w:hanging="360"/>
      </w:pPr>
      <w:rPr>
        <w:rFonts w:ascii="Courier New" w:hAnsi="Courier New" w:hint="default"/>
      </w:rPr>
    </w:lvl>
    <w:lvl w:ilvl="8" w:tplc="7A00BD9E">
      <w:start w:val="1"/>
      <w:numFmt w:val="bullet"/>
      <w:lvlText w:val=""/>
      <w:lvlJc w:val="left"/>
      <w:pPr>
        <w:ind w:left="6480" w:hanging="360"/>
      </w:pPr>
      <w:rPr>
        <w:rFonts w:ascii="Wingdings" w:hAnsi="Wingdings" w:hint="default"/>
      </w:rPr>
    </w:lvl>
  </w:abstractNum>
  <w:abstractNum w:abstractNumId="93" w15:restartNumberingAfterBreak="0">
    <w:nsid w:val="754E0C3C"/>
    <w:multiLevelType w:val="hybridMultilevel"/>
    <w:tmpl w:val="21A293BA"/>
    <w:lvl w:ilvl="0" w:tplc="E892BF30">
      <w:start w:val="1"/>
      <w:numFmt w:val="bullet"/>
      <w:lvlText w:val="·"/>
      <w:lvlJc w:val="left"/>
      <w:pPr>
        <w:ind w:left="720" w:hanging="360"/>
      </w:pPr>
      <w:rPr>
        <w:rFonts w:ascii="Symbol" w:hAnsi="Symbol" w:hint="default"/>
      </w:rPr>
    </w:lvl>
    <w:lvl w:ilvl="1" w:tplc="15CA3BD4">
      <w:start w:val="1"/>
      <w:numFmt w:val="bullet"/>
      <w:lvlText w:val="o"/>
      <w:lvlJc w:val="left"/>
      <w:pPr>
        <w:ind w:left="1440" w:hanging="360"/>
      </w:pPr>
      <w:rPr>
        <w:rFonts w:ascii="Courier New" w:hAnsi="Courier New" w:hint="default"/>
      </w:rPr>
    </w:lvl>
    <w:lvl w:ilvl="2" w:tplc="C0180A5E">
      <w:start w:val="1"/>
      <w:numFmt w:val="bullet"/>
      <w:lvlText w:val=""/>
      <w:lvlJc w:val="left"/>
      <w:pPr>
        <w:ind w:left="2160" w:hanging="360"/>
      </w:pPr>
      <w:rPr>
        <w:rFonts w:ascii="Wingdings" w:hAnsi="Wingdings" w:hint="default"/>
      </w:rPr>
    </w:lvl>
    <w:lvl w:ilvl="3" w:tplc="3B5C8A64">
      <w:start w:val="1"/>
      <w:numFmt w:val="bullet"/>
      <w:lvlText w:val=""/>
      <w:lvlJc w:val="left"/>
      <w:pPr>
        <w:ind w:left="2880" w:hanging="360"/>
      </w:pPr>
      <w:rPr>
        <w:rFonts w:ascii="Symbol" w:hAnsi="Symbol" w:hint="default"/>
      </w:rPr>
    </w:lvl>
    <w:lvl w:ilvl="4" w:tplc="9A66E72E">
      <w:start w:val="1"/>
      <w:numFmt w:val="bullet"/>
      <w:lvlText w:val="o"/>
      <w:lvlJc w:val="left"/>
      <w:pPr>
        <w:ind w:left="3600" w:hanging="360"/>
      </w:pPr>
      <w:rPr>
        <w:rFonts w:ascii="Courier New" w:hAnsi="Courier New" w:hint="default"/>
      </w:rPr>
    </w:lvl>
    <w:lvl w:ilvl="5" w:tplc="6164AE10">
      <w:start w:val="1"/>
      <w:numFmt w:val="bullet"/>
      <w:lvlText w:val=""/>
      <w:lvlJc w:val="left"/>
      <w:pPr>
        <w:ind w:left="4320" w:hanging="360"/>
      </w:pPr>
      <w:rPr>
        <w:rFonts w:ascii="Wingdings" w:hAnsi="Wingdings" w:hint="default"/>
      </w:rPr>
    </w:lvl>
    <w:lvl w:ilvl="6" w:tplc="254E9EF8">
      <w:start w:val="1"/>
      <w:numFmt w:val="bullet"/>
      <w:lvlText w:val=""/>
      <w:lvlJc w:val="left"/>
      <w:pPr>
        <w:ind w:left="5040" w:hanging="360"/>
      </w:pPr>
      <w:rPr>
        <w:rFonts w:ascii="Symbol" w:hAnsi="Symbol" w:hint="default"/>
      </w:rPr>
    </w:lvl>
    <w:lvl w:ilvl="7" w:tplc="07C42DB4">
      <w:start w:val="1"/>
      <w:numFmt w:val="bullet"/>
      <w:lvlText w:val="o"/>
      <w:lvlJc w:val="left"/>
      <w:pPr>
        <w:ind w:left="5760" w:hanging="360"/>
      </w:pPr>
      <w:rPr>
        <w:rFonts w:ascii="Courier New" w:hAnsi="Courier New" w:hint="default"/>
      </w:rPr>
    </w:lvl>
    <w:lvl w:ilvl="8" w:tplc="CE2021B6">
      <w:start w:val="1"/>
      <w:numFmt w:val="bullet"/>
      <w:lvlText w:val=""/>
      <w:lvlJc w:val="left"/>
      <w:pPr>
        <w:ind w:left="6480" w:hanging="360"/>
      </w:pPr>
      <w:rPr>
        <w:rFonts w:ascii="Wingdings" w:hAnsi="Wingdings" w:hint="default"/>
      </w:rPr>
    </w:lvl>
  </w:abstractNum>
  <w:abstractNum w:abstractNumId="94" w15:restartNumberingAfterBreak="0">
    <w:nsid w:val="75DB21EE"/>
    <w:multiLevelType w:val="hybridMultilevel"/>
    <w:tmpl w:val="A0068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9F57F40"/>
    <w:multiLevelType w:val="hybridMultilevel"/>
    <w:tmpl w:val="0EE4ABBE"/>
    <w:lvl w:ilvl="0" w:tplc="0D46B67A">
      <w:start w:val="1"/>
      <w:numFmt w:val="bullet"/>
      <w:lvlText w:val="·"/>
      <w:lvlJc w:val="left"/>
      <w:pPr>
        <w:ind w:left="720" w:hanging="360"/>
      </w:pPr>
      <w:rPr>
        <w:rFonts w:ascii="Symbol" w:hAnsi="Symbol" w:hint="default"/>
      </w:rPr>
    </w:lvl>
    <w:lvl w:ilvl="1" w:tplc="DDF2506A">
      <w:start w:val="1"/>
      <w:numFmt w:val="bullet"/>
      <w:lvlText w:val="o"/>
      <w:lvlJc w:val="left"/>
      <w:pPr>
        <w:ind w:left="1440" w:hanging="360"/>
      </w:pPr>
      <w:rPr>
        <w:rFonts w:ascii="Courier New" w:hAnsi="Courier New" w:hint="default"/>
      </w:rPr>
    </w:lvl>
    <w:lvl w:ilvl="2" w:tplc="46164924">
      <w:start w:val="1"/>
      <w:numFmt w:val="bullet"/>
      <w:lvlText w:val=""/>
      <w:lvlJc w:val="left"/>
      <w:pPr>
        <w:ind w:left="2160" w:hanging="360"/>
      </w:pPr>
      <w:rPr>
        <w:rFonts w:ascii="Wingdings" w:hAnsi="Wingdings" w:hint="default"/>
      </w:rPr>
    </w:lvl>
    <w:lvl w:ilvl="3" w:tplc="6778FBC8">
      <w:start w:val="1"/>
      <w:numFmt w:val="bullet"/>
      <w:lvlText w:val=""/>
      <w:lvlJc w:val="left"/>
      <w:pPr>
        <w:ind w:left="2880" w:hanging="360"/>
      </w:pPr>
      <w:rPr>
        <w:rFonts w:ascii="Symbol" w:hAnsi="Symbol" w:hint="default"/>
      </w:rPr>
    </w:lvl>
    <w:lvl w:ilvl="4" w:tplc="ABBCFF90">
      <w:start w:val="1"/>
      <w:numFmt w:val="bullet"/>
      <w:lvlText w:val="o"/>
      <w:lvlJc w:val="left"/>
      <w:pPr>
        <w:ind w:left="3600" w:hanging="360"/>
      </w:pPr>
      <w:rPr>
        <w:rFonts w:ascii="Courier New" w:hAnsi="Courier New" w:hint="default"/>
      </w:rPr>
    </w:lvl>
    <w:lvl w:ilvl="5" w:tplc="E95C0298">
      <w:start w:val="1"/>
      <w:numFmt w:val="bullet"/>
      <w:lvlText w:val=""/>
      <w:lvlJc w:val="left"/>
      <w:pPr>
        <w:ind w:left="4320" w:hanging="360"/>
      </w:pPr>
      <w:rPr>
        <w:rFonts w:ascii="Wingdings" w:hAnsi="Wingdings" w:hint="default"/>
      </w:rPr>
    </w:lvl>
    <w:lvl w:ilvl="6" w:tplc="ED849844">
      <w:start w:val="1"/>
      <w:numFmt w:val="bullet"/>
      <w:lvlText w:val=""/>
      <w:lvlJc w:val="left"/>
      <w:pPr>
        <w:ind w:left="5040" w:hanging="360"/>
      </w:pPr>
      <w:rPr>
        <w:rFonts w:ascii="Symbol" w:hAnsi="Symbol" w:hint="default"/>
      </w:rPr>
    </w:lvl>
    <w:lvl w:ilvl="7" w:tplc="E9B8FCB6">
      <w:start w:val="1"/>
      <w:numFmt w:val="bullet"/>
      <w:lvlText w:val="o"/>
      <w:lvlJc w:val="left"/>
      <w:pPr>
        <w:ind w:left="5760" w:hanging="360"/>
      </w:pPr>
      <w:rPr>
        <w:rFonts w:ascii="Courier New" w:hAnsi="Courier New" w:hint="default"/>
      </w:rPr>
    </w:lvl>
    <w:lvl w:ilvl="8" w:tplc="94C4B84C">
      <w:start w:val="1"/>
      <w:numFmt w:val="bullet"/>
      <w:lvlText w:val=""/>
      <w:lvlJc w:val="left"/>
      <w:pPr>
        <w:ind w:left="6480" w:hanging="360"/>
      </w:pPr>
      <w:rPr>
        <w:rFonts w:ascii="Wingdings" w:hAnsi="Wingdings" w:hint="default"/>
      </w:rPr>
    </w:lvl>
  </w:abstractNum>
  <w:abstractNum w:abstractNumId="96" w15:restartNumberingAfterBreak="0">
    <w:nsid w:val="7BAC4864"/>
    <w:multiLevelType w:val="multilevel"/>
    <w:tmpl w:val="9C063766"/>
    <w:lvl w:ilvl="0">
      <w:start w:val="1"/>
      <w:numFmt w:val="upperLetter"/>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2345"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15:restartNumberingAfterBreak="0">
    <w:nsid w:val="7C447FBB"/>
    <w:multiLevelType w:val="multilevel"/>
    <w:tmpl w:val="9C063766"/>
    <w:lvl w:ilvl="0">
      <w:start w:val="1"/>
      <w:numFmt w:val="upperLetter"/>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7E3E747B"/>
    <w:multiLevelType w:val="multilevel"/>
    <w:tmpl w:val="A1BAC6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95"/>
  </w:num>
  <w:num w:numId="3">
    <w:abstractNumId w:val="82"/>
  </w:num>
  <w:num w:numId="4">
    <w:abstractNumId w:val="93"/>
  </w:num>
  <w:num w:numId="5">
    <w:abstractNumId w:val="71"/>
  </w:num>
  <w:num w:numId="6">
    <w:abstractNumId w:val="31"/>
  </w:num>
  <w:num w:numId="7">
    <w:abstractNumId w:val="56"/>
  </w:num>
  <w:num w:numId="8">
    <w:abstractNumId w:val="61"/>
  </w:num>
  <w:num w:numId="9">
    <w:abstractNumId w:val="80"/>
  </w:num>
  <w:num w:numId="10">
    <w:abstractNumId w:val="65"/>
  </w:num>
  <w:num w:numId="11">
    <w:abstractNumId w:val="90"/>
  </w:num>
  <w:num w:numId="12">
    <w:abstractNumId w:val="70"/>
  </w:num>
  <w:num w:numId="13">
    <w:abstractNumId w:val="15"/>
  </w:num>
  <w:num w:numId="14">
    <w:abstractNumId w:val="35"/>
  </w:num>
  <w:num w:numId="15">
    <w:abstractNumId w:val="17"/>
  </w:num>
  <w:num w:numId="16">
    <w:abstractNumId w:val="28"/>
  </w:num>
  <w:num w:numId="17">
    <w:abstractNumId w:val="92"/>
  </w:num>
  <w:num w:numId="18">
    <w:abstractNumId w:val="98"/>
  </w:num>
  <w:num w:numId="19">
    <w:abstractNumId w:val="46"/>
  </w:num>
  <w:num w:numId="20">
    <w:abstractNumId w:val="84"/>
  </w:num>
  <w:num w:numId="21">
    <w:abstractNumId w:val="43"/>
  </w:num>
  <w:num w:numId="22">
    <w:abstractNumId w:val="60"/>
  </w:num>
  <w:num w:numId="23">
    <w:abstractNumId w:val="63"/>
  </w:num>
  <w:num w:numId="24">
    <w:abstractNumId w:val="21"/>
  </w:num>
  <w:num w:numId="25">
    <w:abstractNumId w:val="62"/>
  </w:num>
  <w:num w:numId="26">
    <w:abstractNumId w:val="23"/>
  </w:num>
  <w:num w:numId="27">
    <w:abstractNumId w:val="36"/>
  </w:num>
  <w:num w:numId="28">
    <w:abstractNumId w:val="39"/>
  </w:num>
  <w:num w:numId="29">
    <w:abstractNumId w:val="67"/>
  </w:num>
  <w:num w:numId="30">
    <w:abstractNumId w:val="51"/>
  </w:num>
  <w:num w:numId="31">
    <w:abstractNumId w:val="76"/>
  </w:num>
  <w:num w:numId="32">
    <w:abstractNumId w:val="1"/>
  </w:num>
  <w:num w:numId="33">
    <w:abstractNumId w:val="3"/>
  </w:num>
  <w:num w:numId="34">
    <w:abstractNumId w:val="3"/>
    <w:lvlOverride w:ilvl="0">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1"/>
    </w:lvlOverride>
  </w:num>
  <w:num w:numId="37">
    <w:abstractNumId w:val="54"/>
  </w:num>
  <w:num w:numId="38">
    <w:abstractNumId w:val="91"/>
  </w:num>
  <w:num w:numId="39">
    <w:abstractNumId w:val="12"/>
  </w:num>
  <w:num w:numId="40">
    <w:abstractNumId w:val="75"/>
  </w:num>
  <w:num w:numId="41">
    <w:abstractNumId w:val="69"/>
  </w:num>
  <w:num w:numId="42">
    <w:abstractNumId w:val="38"/>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num>
  <w:num w:numId="45">
    <w:abstractNumId w:val="64"/>
  </w:num>
  <w:num w:numId="46">
    <w:abstractNumId w:val="58"/>
  </w:num>
  <w:num w:numId="4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4"/>
  </w:num>
  <w:num w:numId="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1"/>
  </w:num>
  <w:num w:numId="57">
    <w:abstractNumId w:val="42"/>
  </w:num>
  <w:num w:numId="58">
    <w:abstractNumId w:val="52"/>
  </w:num>
  <w:num w:numId="59">
    <w:abstractNumId w:val="11"/>
  </w:num>
  <w:num w:numId="60">
    <w:abstractNumId w:val="9"/>
  </w:num>
  <w:num w:numId="61">
    <w:abstractNumId w:val="49"/>
  </w:num>
  <w:num w:numId="62">
    <w:abstractNumId w:val="48"/>
  </w:num>
  <w:num w:numId="63">
    <w:abstractNumId w:val="26"/>
  </w:num>
  <w:num w:numId="64">
    <w:abstractNumId w:val="68"/>
  </w:num>
  <w:num w:numId="65">
    <w:abstractNumId w:val="45"/>
  </w:num>
  <w:num w:numId="66">
    <w:abstractNumId w:val="79"/>
  </w:num>
  <w:num w:numId="67">
    <w:abstractNumId w:val="87"/>
  </w:num>
  <w:num w:numId="68">
    <w:abstractNumId w:val="0"/>
  </w:num>
  <w:num w:numId="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
  </w:num>
  <w:num w:numId="71">
    <w:abstractNumId w:val="83"/>
  </w:num>
  <w:num w:numId="72">
    <w:abstractNumId w:val="4"/>
  </w:num>
  <w:num w:numId="73">
    <w:abstractNumId w:val="50"/>
  </w:num>
  <w:num w:numId="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6"/>
  </w:num>
  <w:num w:numId="76">
    <w:abstractNumId w:val="41"/>
  </w:num>
  <w:num w:numId="77">
    <w:abstractNumId w:val="13"/>
  </w:num>
  <w:num w:numId="78">
    <w:abstractNumId w:val="25"/>
  </w:num>
  <w:num w:numId="79">
    <w:abstractNumId w:val="19"/>
  </w:num>
  <w:num w:numId="80">
    <w:abstractNumId w:val="96"/>
  </w:num>
  <w:num w:numId="81">
    <w:abstractNumId w:val="97"/>
  </w:num>
  <w:num w:numId="82">
    <w:abstractNumId w:val="89"/>
  </w:num>
  <w:num w:numId="83">
    <w:abstractNumId w:val="47"/>
  </w:num>
  <w:num w:numId="84">
    <w:abstractNumId w:val="22"/>
  </w:num>
  <w:num w:numId="85">
    <w:abstractNumId w:val="51"/>
  </w:num>
  <w:num w:numId="86">
    <w:abstractNumId w:val="59"/>
  </w:num>
  <w:num w:numId="87">
    <w:abstractNumId w:val="37"/>
  </w:num>
  <w:num w:numId="88">
    <w:abstractNumId w:val="30"/>
  </w:num>
  <w:num w:numId="89">
    <w:abstractNumId w:val="33"/>
  </w:num>
  <w:num w:numId="90">
    <w:abstractNumId w:val="55"/>
  </w:num>
  <w:num w:numId="91">
    <w:abstractNumId w:val="8"/>
  </w:num>
  <w:num w:numId="92">
    <w:abstractNumId w:val="51"/>
  </w:num>
  <w:num w:numId="93">
    <w:abstractNumId w:val="57"/>
  </w:num>
  <w:num w:numId="94">
    <w:abstractNumId w:val="29"/>
  </w:num>
  <w:num w:numId="95">
    <w:abstractNumId w:val="88"/>
  </w:num>
  <w:num w:numId="96">
    <w:abstractNumId w:val="18"/>
  </w:num>
  <w:num w:numId="97">
    <w:abstractNumId w:val="1"/>
  </w:num>
  <w:num w:numId="98">
    <w:abstractNumId w:val="53"/>
  </w:num>
  <w:num w:numId="9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
    <w:lvlOverride w:ilvl="0">
      <w:startOverride w:val="1"/>
    </w:lvlOverride>
  </w:num>
  <w:num w:numId="103">
    <w:abstractNumId w:val="73"/>
  </w:num>
  <w:num w:numId="104">
    <w:abstractNumId w:val="2"/>
  </w:num>
  <w:num w:numId="105">
    <w:abstractNumId w:val="14"/>
  </w:num>
  <w:num w:numId="106">
    <w:abstractNumId w:val="20"/>
  </w:num>
  <w:num w:numId="107">
    <w:abstractNumId w:val="86"/>
  </w:num>
  <w:num w:numId="10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1"/>
  </w:num>
  <w:num w:numId="110">
    <w:abstractNumId w:val="1"/>
  </w:num>
  <w:num w:numId="111">
    <w:abstractNumId w:val="73"/>
  </w:num>
  <w:num w:numId="112">
    <w:abstractNumId w:val="91"/>
  </w:num>
  <w:num w:numId="113">
    <w:abstractNumId w:val="2"/>
  </w:num>
  <w:num w:numId="114">
    <w:abstractNumId w:val="1"/>
  </w:num>
  <w:num w:numId="115">
    <w:abstractNumId w:val="10"/>
  </w:num>
  <w:num w:numId="1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81"/>
  </w:num>
  <w:num w:numId="118">
    <w:abstractNumId w:val="72"/>
  </w:num>
  <w:num w:numId="119">
    <w:abstractNumId w:val="32"/>
  </w:num>
  <w:num w:numId="120">
    <w:abstractNumId w:val="27"/>
  </w:num>
  <w:num w:numId="121">
    <w:abstractNumId w:val="78"/>
  </w:num>
  <w:num w:numId="122">
    <w:abstractNumId w:val="24"/>
  </w:num>
  <w:num w:numId="123">
    <w:abstractNumId w:val="74"/>
  </w:num>
  <w:num w:numId="124">
    <w:abstractNumId w:val="5"/>
  </w:num>
  <w:num w:numId="125">
    <w:abstractNumId w:val="94"/>
  </w:num>
  <w:num w:numId="126">
    <w:abstractNumId w:val="44"/>
  </w:num>
  <w:num w:numId="1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77"/>
  </w:num>
  <w:num w:numId="130">
    <w:abstractNumId w:val="1"/>
  </w:num>
  <w:num w:numId="131">
    <w:abstractNumId w:val="1"/>
  </w:num>
  <w:num w:numId="132">
    <w:abstractNumId w:val="1"/>
  </w:num>
  <w:num w:numId="133">
    <w:abstractNumId w:val="1"/>
  </w:num>
  <w:num w:numId="1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
  </w:num>
  <w:num w:numId="140">
    <w:abstractNumId w:val="1"/>
  </w:num>
  <w:num w:numId="141">
    <w:abstractNumId w:val="85"/>
  </w:num>
  <w:num w:numId="142">
    <w:abstractNumId w:val="3"/>
  </w:num>
  <w:num w:numId="1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40"/>
  </w:num>
  <w:num w:numId="147">
    <w:abstractNumId w:val="1"/>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84D"/>
    <w:rsid w:val="00000102"/>
    <w:rsid w:val="000001A9"/>
    <w:rsid w:val="000003CD"/>
    <w:rsid w:val="000003D5"/>
    <w:rsid w:val="00000C73"/>
    <w:rsid w:val="00000D5E"/>
    <w:rsid w:val="00000F63"/>
    <w:rsid w:val="00000FFD"/>
    <w:rsid w:val="0000109E"/>
    <w:rsid w:val="0000127A"/>
    <w:rsid w:val="000012D5"/>
    <w:rsid w:val="000013CA"/>
    <w:rsid w:val="00001467"/>
    <w:rsid w:val="0000157B"/>
    <w:rsid w:val="000015EE"/>
    <w:rsid w:val="00001600"/>
    <w:rsid w:val="000017DD"/>
    <w:rsid w:val="00001BC5"/>
    <w:rsid w:val="000025A7"/>
    <w:rsid w:val="00002692"/>
    <w:rsid w:val="00002B99"/>
    <w:rsid w:val="00002EE8"/>
    <w:rsid w:val="000030E9"/>
    <w:rsid w:val="00003725"/>
    <w:rsid w:val="000038AA"/>
    <w:rsid w:val="0000396F"/>
    <w:rsid w:val="00003CF4"/>
    <w:rsid w:val="00003F68"/>
    <w:rsid w:val="00004294"/>
    <w:rsid w:val="00004429"/>
    <w:rsid w:val="000044CD"/>
    <w:rsid w:val="000045BD"/>
    <w:rsid w:val="00004673"/>
    <w:rsid w:val="00004845"/>
    <w:rsid w:val="000048F2"/>
    <w:rsid w:val="000049A9"/>
    <w:rsid w:val="00004A06"/>
    <w:rsid w:val="00004B67"/>
    <w:rsid w:val="00004DFA"/>
    <w:rsid w:val="00005215"/>
    <w:rsid w:val="000052FA"/>
    <w:rsid w:val="0000541D"/>
    <w:rsid w:val="00005511"/>
    <w:rsid w:val="00005952"/>
    <w:rsid w:val="00006407"/>
    <w:rsid w:val="0000644A"/>
    <w:rsid w:val="00006A76"/>
    <w:rsid w:val="00006B9D"/>
    <w:rsid w:val="00006BBD"/>
    <w:rsid w:val="00006CB6"/>
    <w:rsid w:val="00006D7E"/>
    <w:rsid w:val="00006DCA"/>
    <w:rsid w:val="00006E16"/>
    <w:rsid w:val="000073E6"/>
    <w:rsid w:val="00007554"/>
    <w:rsid w:val="0000762E"/>
    <w:rsid w:val="00007905"/>
    <w:rsid w:val="00007CE9"/>
    <w:rsid w:val="00007F16"/>
    <w:rsid w:val="000103B9"/>
    <w:rsid w:val="000104DA"/>
    <w:rsid w:val="0001080D"/>
    <w:rsid w:val="00010BEA"/>
    <w:rsid w:val="00010CFB"/>
    <w:rsid w:val="00010F88"/>
    <w:rsid w:val="000111A6"/>
    <w:rsid w:val="000112AD"/>
    <w:rsid w:val="00011348"/>
    <w:rsid w:val="0001167C"/>
    <w:rsid w:val="00011726"/>
    <w:rsid w:val="00011B49"/>
    <w:rsid w:val="00011B60"/>
    <w:rsid w:val="00011BF0"/>
    <w:rsid w:val="00011D31"/>
    <w:rsid w:val="00012265"/>
    <w:rsid w:val="000122CD"/>
    <w:rsid w:val="000128EE"/>
    <w:rsid w:val="000129EB"/>
    <w:rsid w:val="00012B1F"/>
    <w:rsid w:val="00012D72"/>
    <w:rsid w:val="00012F16"/>
    <w:rsid w:val="00012F39"/>
    <w:rsid w:val="00013115"/>
    <w:rsid w:val="0001326F"/>
    <w:rsid w:val="000134B6"/>
    <w:rsid w:val="000134B7"/>
    <w:rsid w:val="0001374C"/>
    <w:rsid w:val="000137DC"/>
    <w:rsid w:val="00013B55"/>
    <w:rsid w:val="00013C1A"/>
    <w:rsid w:val="00013DED"/>
    <w:rsid w:val="00013ECA"/>
    <w:rsid w:val="00013FF4"/>
    <w:rsid w:val="00014545"/>
    <w:rsid w:val="000147C9"/>
    <w:rsid w:val="00014834"/>
    <w:rsid w:val="00014902"/>
    <w:rsid w:val="00014AA6"/>
    <w:rsid w:val="00014B41"/>
    <w:rsid w:val="00014CAD"/>
    <w:rsid w:val="0001505F"/>
    <w:rsid w:val="00015192"/>
    <w:rsid w:val="00015B9F"/>
    <w:rsid w:val="00015BCF"/>
    <w:rsid w:val="00015FC3"/>
    <w:rsid w:val="00016167"/>
    <w:rsid w:val="00016500"/>
    <w:rsid w:val="000166CA"/>
    <w:rsid w:val="000166F7"/>
    <w:rsid w:val="0001680C"/>
    <w:rsid w:val="00016902"/>
    <w:rsid w:val="00016A03"/>
    <w:rsid w:val="00016CD2"/>
    <w:rsid w:val="00016D71"/>
    <w:rsid w:val="00016F85"/>
    <w:rsid w:val="00017481"/>
    <w:rsid w:val="00017492"/>
    <w:rsid w:val="00017938"/>
    <w:rsid w:val="00017CBA"/>
    <w:rsid w:val="00020054"/>
    <w:rsid w:val="000202EE"/>
    <w:rsid w:val="00020729"/>
    <w:rsid w:val="0002072D"/>
    <w:rsid w:val="00020BAC"/>
    <w:rsid w:val="00020DC0"/>
    <w:rsid w:val="00020FFC"/>
    <w:rsid w:val="0002132F"/>
    <w:rsid w:val="00021B5A"/>
    <w:rsid w:val="00021C2E"/>
    <w:rsid w:val="00021F2C"/>
    <w:rsid w:val="00022484"/>
    <w:rsid w:val="000229AE"/>
    <w:rsid w:val="00022BAF"/>
    <w:rsid w:val="00023065"/>
    <w:rsid w:val="00023368"/>
    <w:rsid w:val="000238C5"/>
    <w:rsid w:val="000238EE"/>
    <w:rsid w:val="00023EFB"/>
    <w:rsid w:val="00024115"/>
    <w:rsid w:val="00024540"/>
    <w:rsid w:val="000246DA"/>
    <w:rsid w:val="00024A01"/>
    <w:rsid w:val="00024B3C"/>
    <w:rsid w:val="00024C73"/>
    <w:rsid w:val="00024C99"/>
    <w:rsid w:val="00024CE1"/>
    <w:rsid w:val="00024DA6"/>
    <w:rsid w:val="00024F18"/>
    <w:rsid w:val="0002552D"/>
    <w:rsid w:val="000256C3"/>
    <w:rsid w:val="00025784"/>
    <w:rsid w:val="000258C5"/>
    <w:rsid w:val="00025D98"/>
    <w:rsid w:val="00025E57"/>
    <w:rsid w:val="00026201"/>
    <w:rsid w:val="0002634E"/>
    <w:rsid w:val="00026796"/>
    <w:rsid w:val="00026897"/>
    <w:rsid w:val="00026CFA"/>
    <w:rsid w:val="00026FF4"/>
    <w:rsid w:val="00026FF6"/>
    <w:rsid w:val="00027239"/>
    <w:rsid w:val="00027757"/>
    <w:rsid w:val="00027C47"/>
    <w:rsid w:val="00030165"/>
    <w:rsid w:val="00030330"/>
    <w:rsid w:val="000305BF"/>
    <w:rsid w:val="00030BCE"/>
    <w:rsid w:val="00030CDB"/>
    <w:rsid w:val="00030D3B"/>
    <w:rsid w:val="00030E8D"/>
    <w:rsid w:val="00030F71"/>
    <w:rsid w:val="000312AF"/>
    <w:rsid w:val="0003152C"/>
    <w:rsid w:val="000315BA"/>
    <w:rsid w:val="000315CB"/>
    <w:rsid w:val="00031A26"/>
    <w:rsid w:val="0003221C"/>
    <w:rsid w:val="0003234D"/>
    <w:rsid w:val="00032473"/>
    <w:rsid w:val="000324CC"/>
    <w:rsid w:val="00032591"/>
    <w:rsid w:val="00032832"/>
    <w:rsid w:val="00032A1F"/>
    <w:rsid w:val="00032BB2"/>
    <w:rsid w:val="00032BC4"/>
    <w:rsid w:val="00032F13"/>
    <w:rsid w:val="0003302D"/>
    <w:rsid w:val="00033431"/>
    <w:rsid w:val="0003375B"/>
    <w:rsid w:val="00033AFE"/>
    <w:rsid w:val="00033F43"/>
    <w:rsid w:val="00034053"/>
    <w:rsid w:val="0003414B"/>
    <w:rsid w:val="000345DC"/>
    <w:rsid w:val="00034CB6"/>
    <w:rsid w:val="00034E84"/>
    <w:rsid w:val="00035008"/>
    <w:rsid w:val="00035303"/>
    <w:rsid w:val="000359AB"/>
    <w:rsid w:val="00035B99"/>
    <w:rsid w:val="00035FFC"/>
    <w:rsid w:val="00036026"/>
    <w:rsid w:val="0003605E"/>
    <w:rsid w:val="00036513"/>
    <w:rsid w:val="0003654F"/>
    <w:rsid w:val="00036B59"/>
    <w:rsid w:val="00036F9D"/>
    <w:rsid w:val="0003700F"/>
    <w:rsid w:val="0003711F"/>
    <w:rsid w:val="00037159"/>
    <w:rsid w:val="00037283"/>
    <w:rsid w:val="00037398"/>
    <w:rsid w:val="000375B8"/>
    <w:rsid w:val="00037A1A"/>
    <w:rsid w:val="00037E5D"/>
    <w:rsid w:val="00040166"/>
    <w:rsid w:val="00040268"/>
    <w:rsid w:val="0004043E"/>
    <w:rsid w:val="000405A2"/>
    <w:rsid w:val="0004076A"/>
    <w:rsid w:val="000408BC"/>
    <w:rsid w:val="00040FEC"/>
    <w:rsid w:val="0004124C"/>
    <w:rsid w:val="0004125B"/>
    <w:rsid w:val="000414E7"/>
    <w:rsid w:val="000416DA"/>
    <w:rsid w:val="000417A8"/>
    <w:rsid w:val="00042092"/>
    <w:rsid w:val="000421A0"/>
    <w:rsid w:val="000422B0"/>
    <w:rsid w:val="000422BB"/>
    <w:rsid w:val="000422FA"/>
    <w:rsid w:val="0004238B"/>
    <w:rsid w:val="00042C3B"/>
    <w:rsid w:val="00042D44"/>
    <w:rsid w:val="00042D85"/>
    <w:rsid w:val="00042E3D"/>
    <w:rsid w:val="000430AA"/>
    <w:rsid w:val="0004322F"/>
    <w:rsid w:val="0004323B"/>
    <w:rsid w:val="00043256"/>
    <w:rsid w:val="0004329F"/>
    <w:rsid w:val="000435FD"/>
    <w:rsid w:val="0004394B"/>
    <w:rsid w:val="000439C9"/>
    <w:rsid w:val="00043ABE"/>
    <w:rsid w:val="00043DE0"/>
    <w:rsid w:val="00043ECB"/>
    <w:rsid w:val="0004454B"/>
    <w:rsid w:val="0004475C"/>
    <w:rsid w:val="00044D7A"/>
    <w:rsid w:val="00044DC5"/>
    <w:rsid w:val="00045058"/>
    <w:rsid w:val="0004520F"/>
    <w:rsid w:val="00045C0A"/>
    <w:rsid w:val="00045D02"/>
    <w:rsid w:val="00045FCE"/>
    <w:rsid w:val="00046110"/>
    <w:rsid w:val="0004655F"/>
    <w:rsid w:val="00046B32"/>
    <w:rsid w:val="00046B53"/>
    <w:rsid w:val="00046D1E"/>
    <w:rsid w:val="0004721C"/>
    <w:rsid w:val="000472EF"/>
    <w:rsid w:val="00047465"/>
    <w:rsid w:val="00047493"/>
    <w:rsid w:val="0004758A"/>
    <w:rsid w:val="0004792F"/>
    <w:rsid w:val="00047B02"/>
    <w:rsid w:val="00047C5D"/>
    <w:rsid w:val="0004CBB9"/>
    <w:rsid w:val="0005044D"/>
    <w:rsid w:val="0005087B"/>
    <w:rsid w:val="0005099E"/>
    <w:rsid w:val="00050BF0"/>
    <w:rsid w:val="00050C91"/>
    <w:rsid w:val="00050CBD"/>
    <w:rsid w:val="00051349"/>
    <w:rsid w:val="00051496"/>
    <w:rsid w:val="00051634"/>
    <w:rsid w:val="00051927"/>
    <w:rsid w:val="00051C89"/>
    <w:rsid w:val="00051E17"/>
    <w:rsid w:val="00052A23"/>
    <w:rsid w:val="00052AC9"/>
    <w:rsid w:val="00053114"/>
    <w:rsid w:val="0005314B"/>
    <w:rsid w:val="00053162"/>
    <w:rsid w:val="0005324D"/>
    <w:rsid w:val="000532F6"/>
    <w:rsid w:val="00053375"/>
    <w:rsid w:val="00053633"/>
    <w:rsid w:val="00053777"/>
    <w:rsid w:val="0005392E"/>
    <w:rsid w:val="00053BE0"/>
    <w:rsid w:val="00053C19"/>
    <w:rsid w:val="00053DC2"/>
    <w:rsid w:val="00054029"/>
    <w:rsid w:val="000542C6"/>
    <w:rsid w:val="000542F6"/>
    <w:rsid w:val="000544DC"/>
    <w:rsid w:val="00054631"/>
    <w:rsid w:val="0005470C"/>
    <w:rsid w:val="00054738"/>
    <w:rsid w:val="000547A1"/>
    <w:rsid w:val="000547F7"/>
    <w:rsid w:val="00054C0A"/>
    <w:rsid w:val="000551E7"/>
    <w:rsid w:val="000554D1"/>
    <w:rsid w:val="000557CB"/>
    <w:rsid w:val="00055810"/>
    <w:rsid w:val="00055890"/>
    <w:rsid w:val="00055B26"/>
    <w:rsid w:val="00055D73"/>
    <w:rsid w:val="00055FB6"/>
    <w:rsid w:val="0005693C"/>
    <w:rsid w:val="00056B83"/>
    <w:rsid w:val="00056F71"/>
    <w:rsid w:val="00057894"/>
    <w:rsid w:val="00057977"/>
    <w:rsid w:val="0006003B"/>
    <w:rsid w:val="00060302"/>
    <w:rsid w:val="00060387"/>
    <w:rsid w:val="0006057E"/>
    <w:rsid w:val="0006075E"/>
    <w:rsid w:val="000612F7"/>
    <w:rsid w:val="00061587"/>
    <w:rsid w:val="00061624"/>
    <w:rsid w:val="0006178C"/>
    <w:rsid w:val="00061AF9"/>
    <w:rsid w:val="00061E02"/>
    <w:rsid w:val="00061F3E"/>
    <w:rsid w:val="00061FAD"/>
    <w:rsid w:val="000620D5"/>
    <w:rsid w:val="00062476"/>
    <w:rsid w:val="000628A0"/>
    <w:rsid w:val="00062936"/>
    <w:rsid w:val="0006293B"/>
    <w:rsid w:val="00062C96"/>
    <w:rsid w:val="00062D20"/>
    <w:rsid w:val="00062E5D"/>
    <w:rsid w:val="00063496"/>
    <w:rsid w:val="0006352A"/>
    <w:rsid w:val="000637EC"/>
    <w:rsid w:val="00063807"/>
    <w:rsid w:val="00063FAE"/>
    <w:rsid w:val="000640C7"/>
    <w:rsid w:val="0006411A"/>
    <w:rsid w:val="00064296"/>
    <w:rsid w:val="00064582"/>
    <w:rsid w:val="0006461A"/>
    <w:rsid w:val="00064BCF"/>
    <w:rsid w:val="0006513B"/>
    <w:rsid w:val="000655BF"/>
    <w:rsid w:val="00065AB3"/>
    <w:rsid w:val="00065E4E"/>
    <w:rsid w:val="00065F31"/>
    <w:rsid w:val="00065FB2"/>
    <w:rsid w:val="00066350"/>
    <w:rsid w:val="0006637F"/>
    <w:rsid w:val="00066415"/>
    <w:rsid w:val="000664EC"/>
    <w:rsid w:val="00066700"/>
    <w:rsid w:val="00066935"/>
    <w:rsid w:val="000673E0"/>
    <w:rsid w:val="000676F0"/>
    <w:rsid w:val="00070445"/>
    <w:rsid w:val="00070516"/>
    <w:rsid w:val="00070AC8"/>
    <w:rsid w:val="00070CC5"/>
    <w:rsid w:val="00071812"/>
    <w:rsid w:val="00071826"/>
    <w:rsid w:val="00071892"/>
    <w:rsid w:val="000719BD"/>
    <w:rsid w:val="00071A25"/>
    <w:rsid w:val="00071BD7"/>
    <w:rsid w:val="00072016"/>
    <w:rsid w:val="0007223D"/>
    <w:rsid w:val="0007225D"/>
    <w:rsid w:val="000722BC"/>
    <w:rsid w:val="00072569"/>
    <w:rsid w:val="0007299A"/>
    <w:rsid w:val="00072D00"/>
    <w:rsid w:val="00072D15"/>
    <w:rsid w:val="00072D75"/>
    <w:rsid w:val="00072DA6"/>
    <w:rsid w:val="00072FA6"/>
    <w:rsid w:val="00073525"/>
    <w:rsid w:val="00073BEC"/>
    <w:rsid w:val="00073F04"/>
    <w:rsid w:val="00073F50"/>
    <w:rsid w:val="000740D6"/>
    <w:rsid w:val="000740E0"/>
    <w:rsid w:val="000743AB"/>
    <w:rsid w:val="00074621"/>
    <w:rsid w:val="00074BE1"/>
    <w:rsid w:val="00074E1B"/>
    <w:rsid w:val="00074E21"/>
    <w:rsid w:val="00074E91"/>
    <w:rsid w:val="00074F14"/>
    <w:rsid w:val="00075066"/>
    <w:rsid w:val="00075BE2"/>
    <w:rsid w:val="00075D0D"/>
    <w:rsid w:val="00076460"/>
    <w:rsid w:val="00076570"/>
    <w:rsid w:val="000767DB"/>
    <w:rsid w:val="00076EB5"/>
    <w:rsid w:val="00076FB8"/>
    <w:rsid w:val="0007750A"/>
    <w:rsid w:val="00077662"/>
    <w:rsid w:val="000777B0"/>
    <w:rsid w:val="00077A8C"/>
    <w:rsid w:val="00077D4E"/>
    <w:rsid w:val="00077DB1"/>
    <w:rsid w:val="00077EF9"/>
    <w:rsid w:val="0008008B"/>
    <w:rsid w:val="00080176"/>
    <w:rsid w:val="00080251"/>
    <w:rsid w:val="00080272"/>
    <w:rsid w:val="00080625"/>
    <w:rsid w:val="00080644"/>
    <w:rsid w:val="000809CD"/>
    <w:rsid w:val="00080AAE"/>
    <w:rsid w:val="00080DEE"/>
    <w:rsid w:val="00080E3E"/>
    <w:rsid w:val="00080F0C"/>
    <w:rsid w:val="00080F88"/>
    <w:rsid w:val="0008103B"/>
    <w:rsid w:val="000814B6"/>
    <w:rsid w:val="00081519"/>
    <w:rsid w:val="000817BE"/>
    <w:rsid w:val="00081DFA"/>
    <w:rsid w:val="00081EC5"/>
    <w:rsid w:val="00081FE6"/>
    <w:rsid w:val="0008209E"/>
    <w:rsid w:val="00082251"/>
    <w:rsid w:val="0008240D"/>
    <w:rsid w:val="00082D33"/>
    <w:rsid w:val="00083339"/>
    <w:rsid w:val="000833AA"/>
    <w:rsid w:val="000837CC"/>
    <w:rsid w:val="000837DD"/>
    <w:rsid w:val="00083F3A"/>
    <w:rsid w:val="00084462"/>
    <w:rsid w:val="000844C5"/>
    <w:rsid w:val="000846B2"/>
    <w:rsid w:val="0008490B"/>
    <w:rsid w:val="00084956"/>
    <w:rsid w:val="00084C72"/>
    <w:rsid w:val="000851D8"/>
    <w:rsid w:val="00085379"/>
    <w:rsid w:val="0008555B"/>
    <w:rsid w:val="00085666"/>
    <w:rsid w:val="00085700"/>
    <w:rsid w:val="00085938"/>
    <w:rsid w:val="00085C1A"/>
    <w:rsid w:val="000862A2"/>
    <w:rsid w:val="00086348"/>
    <w:rsid w:val="000864C2"/>
    <w:rsid w:val="00086707"/>
    <w:rsid w:val="00086772"/>
    <w:rsid w:val="00086B19"/>
    <w:rsid w:val="00086BDC"/>
    <w:rsid w:val="00086F4B"/>
    <w:rsid w:val="00087013"/>
    <w:rsid w:val="00087C02"/>
    <w:rsid w:val="00087DEE"/>
    <w:rsid w:val="00090021"/>
    <w:rsid w:val="0009004E"/>
    <w:rsid w:val="000904F2"/>
    <w:rsid w:val="00090500"/>
    <w:rsid w:val="00090A7B"/>
    <w:rsid w:val="00090AB7"/>
    <w:rsid w:val="00090C54"/>
    <w:rsid w:val="000911C1"/>
    <w:rsid w:val="00091312"/>
    <w:rsid w:val="0009168C"/>
    <w:rsid w:val="000917AE"/>
    <w:rsid w:val="000918CD"/>
    <w:rsid w:val="00091955"/>
    <w:rsid w:val="00091C97"/>
    <w:rsid w:val="00091D9C"/>
    <w:rsid w:val="0009214F"/>
    <w:rsid w:val="000921B9"/>
    <w:rsid w:val="00092277"/>
    <w:rsid w:val="000923ED"/>
    <w:rsid w:val="0009262D"/>
    <w:rsid w:val="00092D7D"/>
    <w:rsid w:val="00092DB3"/>
    <w:rsid w:val="000930E8"/>
    <w:rsid w:val="00093292"/>
    <w:rsid w:val="00093457"/>
    <w:rsid w:val="00093BD6"/>
    <w:rsid w:val="00093D1F"/>
    <w:rsid w:val="00093FA8"/>
    <w:rsid w:val="00093FB7"/>
    <w:rsid w:val="00094451"/>
    <w:rsid w:val="000944F4"/>
    <w:rsid w:val="0009469B"/>
    <w:rsid w:val="00094B02"/>
    <w:rsid w:val="00094C32"/>
    <w:rsid w:val="0009520E"/>
    <w:rsid w:val="00095245"/>
    <w:rsid w:val="000952C1"/>
    <w:rsid w:val="00095AE8"/>
    <w:rsid w:val="00095B49"/>
    <w:rsid w:val="0009639A"/>
    <w:rsid w:val="000968F4"/>
    <w:rsid w:val="00096983"/>
    <w:rsid w:val="00096A68"/>
    <w:rsid w:val="00096C38"/>
    <w:rsid w:val="00096C87"/>
    <w:rsid w:val="00096DC4"/>
    <w:rsid w:val="00097302"/>
    <w:rsid w:val="00097334"/>
    <w:rsid w:val="00097516"/>
    <w:rsid w:val="000976C5"/>
    <w:rsid w:val="00097755"/>
    <w:rsid w:val="000977B1"/>
    <w:rsid w:val="00097899"/>
    <w:rsid w:val="00097AD9"/>
    <w:rsid w:val="00097CB5"/>
    <w:rsid w:val="00097E6F"/>
    <w:rsid w:val="000A01F7"/>
    <w:rsid w:val="000A0405"/>
    <w:rsid w:val="000A0535"/>
    <w:rsid w:val="000A0631"/>
    <w:rsid w:val="000A0635"/>
    <w:rsid w:val="000A0C0D"/>
    <w:rsid w:val="000A0C21"/>
    <w:rsid w:val="000A13B8"/>
    <w:rsid w:val="000A18D4"/>
    <w:rsid w:val="000A18E4"/>
    <w:rsid w:val="000A192F"/>
    <w:rsid w:val="000A1BE7"/>
    <w:rsid w:val="000A1C42"/>
    <w:rsid w:val="000A1E39"/>
    <w:rsid w:val="000A2323"/>
    <w:rsid w:val="000A2546"/>
    <w:rsid w:val="000A2C46"/>
    <w:rsid w:val="000A2ECD"/>
    <w:rsid w:val="000A2FF1"/>
    <w:rsid w:val="000A30C5"/>
    <w:rsid w:val="000A311C"/>
    <w:rsid w:val="000A31DC"/>
    <w:rsid w:val="000A3301"/>
    <w:rsid w:val="000A3743"/>
    <w:rsid w:val="000A3907"/>
    <w:rsid w:val="000A3D0C"/>
    <w:rsid w:val="000A410D"/>
    <w:rsid w:val="000A4363"/>
    <w:rsid w:val="000A477D"/>
    <w:rsid w:val="000A51CD"/>
    <w:rsid w:val="000A5340"/>
    <w:rsid w:val="000A58AA"/>
    <w:rsid w:val="000A59D7"/>
    <w:rsid w:val="000A5A97"/>
    <w:rsid w:val="000A5AC4"/>
    <w:rsid w:val="000A5F3B"/>
    <w:rsid w:val="000A5F93"/>
    <w:rsid w:val="000A5FD6"/>
    <w:rsid w:val="000A6130"/>
    <w:rsid w:val="000A6BA0"/>
    <w:rsid w:val="000A6CAD"/>
    <w:rsid w:val="000A6E0D"/>
    <w:rsid w:val="000A6F23"/>
    <w:rsid w:val="000A719F"/>
    <w:rsid w:val="000A71F5"/>
    <w:rsid w:val="000A725A"/>
    <w:rsid w:val="000A743B"/>
    <w:rsid w:val="000A7447"/>
    <w:rsid w:val="000A782D"/>
    <w:rsid w:val="000A79D6"/>
    <w:rsid w:val="000B0002"/>
    <w:rsid w:val="000B0028"/>
    <w:rsid w:val="000B004E"/>
    <w:rsid w:val="000B046F"/>
    <w:rsid w:val="000B0783"/>
    <w:rsid w:val="000B09E6"/>
    <w:rsid w:val="000B0A03"/>
    <w:rsid w:val="000B0C39"/>
    <w:rsid w:val="000B0C9F"/>
    <w:rsid w:val="000B0F56"/>
    <w:rsid w:val="000B11B2"/>
    <w:rsid w:val="000B1D87"/>
    <w:rsid w:val="000B1DB7"/>
    <w:rsid w:val="000B1FBC"/>
    <w:rsid w:val="000B26B5"/>
    <w:rsid w:val="000B2821"/>
    <w:rsid w:val="000B2A39"/>
    <w:rsid w:val="000B2BD7"/>
    <w:rsid w:val="000B2DD1"/>
    <w:rsid w:val="000B3239"/>
    <w:rsid w:val="000B323E"/>
    <w:rsid w:val="000B326F"/>
    <w:rsid w:val="000B35C9"/>
    <w:rsid w:val="000B3A3A"/>
    <w:rsid w:val="000B3B6B"/>
    <w:rsid w:val="000B3BF6"/>
    <w:rsid w:val="000B3C85"/>
    <w:rsid w:val="000B3D22"/>
    <w:rsid w:val="000B3E3F"/>
    <w:rsid w:val="000B433B"/>
    <w:rsid w:val="000B4633"/>
    <w:rsid w:val="000B4BAC"/>
    <w:rsid w:val="000B4CF6"/>
    <w:rsid w:val="000B59D4"/>
    <w:rsid w:val="000B5CE2"/>
    <w:rsid w:val="000B5DF7"/>
    <w:rsid w:val="000B608E"/>
    <w:rsid w:val="000B60F4"/>
    <w:rsid w:val="000B6380"/>
    <w:rsid w:val="000B654B"/>
    <w:rsid w:val="000B6E0F"/>
    <w:rsid w:val="000B72D4"/>
    <w:rsid w:val="000B775E"/>
    <w:rsid w:val="000B7853"/>
    <w:rsid w:val="000C07FC"/>
    <w:rsid w:val="000C08DB"/>
    <w:rsid w:val="000C117A"/>
    <w:rsid w:val="000C1332"/>
    <w:rsid w:val="000C13C5"/>
    <w:rsid w:val="000C13DD"/>
    <w:rsid w:val="000C1449"/>
    <w:rsid w:val="000C153C"/>
    <w:rsid w:val="000C177B"/>
    <w:rsid w:val="000C17F1"/>
    <w:rsid w:val="000C183D"/>
    <w:rsid w:val="000C1CF3"/>
    <w:rsid w:val="000C1FD6"/>
    <w:rsid w:val="000C20F4"/>
    <w:rsid w:val="000C23BE"/>
    <w:rsid w:val="000C247B"/>
    <w:rsid w:val="000C2552"/>
    <w:rsid w:val="000C26CC"/>
    <w:rsid w:val="000C2A84"/>
    <w:rsid w:val="000C31C0"/>
    <w:rsid w:val="000C3240"/>
    <w:rsid w:val="000C33CA"/>
    <w:rsid w:val="000C36F0"/>
    <w:rsid w:val="000C3898"/>
    <w:rsid w:val="000C3ACF"/>
    <w:rsid w:val="000C3CE9"/>
    <w:rsid w:val="000C4306"/>
    <w:rsid w:val="000C44B3"/>
    <w:rsid w:val="000C48C1"/>
    <w:rsid w:val="000C491E"/>
    <w:rsid w:val="000C49BC"/>
    <w:rsid w:val="000C4C3C"/>
    <w:rsid w:val="000C4CB8"/>
    <w:rsid w:val="000C5046"/>
    <w:rsid w:val="000C517A"/>
    <w:rsid w:val="000C52EE"/>
    <w:rsid w:val="000C553C"/>
    <w:rsid w:val="000C58A1"/>
    <w:rsid w:val="000C5924"/>
    <w:rsid w:val="000C5997"/>
    <w:rsid w:val="000C5A28"/>
    <w:rsid w:val="000C5B50"/>
    <w:rsid w:val="000C5C64"/>
    <w:rsid w:val="000C5EB5"/>
    <w:rsid w:val="000C5EB8"/>
    <w:rsid w:val="000C5F93"/>
    <w:rsid w:val="000C6050"/>
    <w:rsid w:val="000C60B2"/>
    <w:rsid w:val="000C6183"/>
    <w:rsid w:val="000C631B"/>
    <w:rsid w:val="000C634D"/>
    <w:rsid w:val="000C6539"/>
    <w:rsid w:val="000C67C6"/>
    <w:rsid w:val="000C6B18"/>
    <w:rsid w:val="000C6E9C"/>
    <w:rsid w:val="000C6EEB"/>
    <w:rsid w:val="000C6F04"/>
    <w:rsid w:val="000C6F39"/>
    <w:rsid w:val="000C6F58"/>
    <w:rsid w:val="000C6F5E"/>
    <w:rsid w:val="000C6FE6"/>
    <w:rsid w:val="000C7643"/>
    <w:rsid w:val="000C7753"/>
    <w:rsid w:val="000C7ACA"/>
    <w:rsid w:val="000C7D3E"/>
    <w:rsid w:val="000C7DC0"/>
    <w:rsid w:val="000C7DD7"/>
    <w:rsid w:val="000C7F13"/>
    <w:rsid w:val="000C7F15"/>
    <w:rsid w:val="000D0709"/>
    <w:rsid w:val="000D07AE"/>
    <w:rsid w:val="000D14FE"/>
    <w:rsid w:val="000D178F"/>
    <w:rsid w:val="000D18FB"/>
    <w:rsid w:val="000D1B05"/>
    <w:rsid w:val="000D1E23"/>
    <w:rsid w:val="000D25D3"/>
    <w:rsid w:val="000D260C"/>
    <w:rsid w:val="000D27C2"/>
    <w:rsid w:val="000D27CC"/>
    <w:rsid w:val="000D2BE5"/>
    <w:rsid w:val="000D2CE5"/>
    <w:rsid w:val="000D2E01"/>
    <w:rsid w:val="000D3233"/>
    <w:rsid w:val="000D3457"/>
    <w:rsid w:val="000D35EE"/>
    <w:rsid w:val="000D3622"/>
    <w:rsid w:val="000D3A19"/>
    <w:rsid w:val="000D3A78"/>
    <w:rsid w:val="000D3B17"/>
    <w:rsid w:val="000D3B70"/>
    <w:rsid w:val="000D3EEA"/>
    <w:rsid w:val="000D4697"/>
    <w:rsid w:val="000D4A60"/>
    <w:rsid w:val="000D4C3F"/>
    <w:rsid w:val="000D51E9"/>
    <w:rsid w:val="000D54CD"/>
    <w:rsid w:val="000D59C2"/>
    <w:rsid w:val="000D5C65"/>
    <w:rsid w:val="000D5CEE"/>
    <w:rsid w:val="000D5E52"/>
    <w:rsid w:val="000D5FB1"/>
    <w:rsid w:val="000D6333"/>
    <w:rsid w:val="000D685D"/>
    <w:rsid w:val="000D6B80"/>
    <w:rsid w:val="000D6FCF"/>
    <w:rsid w:val="000D7014"/>
    <w:rsid w:val="000D7891"/>
    <w:rsid w:val="000D78DB"/>
    <w:rsid w:val="000D7C4D"/>
    <w:rsid w:val="000D7ED8"/>
    <w:rsid w:val="000E0319"/>
    <w:rsid w:val="000E0395"/>
    <w:rsid w:val="000E05C9"/>
    <w:rsid w:val="000E08EE"/>
    <w:rsid w:val="000E1011"/>
    <w:rsid w:val="000E1274"/>
    <w:rsid w:val="000E1733"/>
    <w:rsid w:val="000E203F"/>
    <w:rsid w:val="000E21D2"/>
    <w:rsid w:val="000E225B"/>
    <w:rsid w:val="000E2341"/>
    <w:rsid w:val="000E2820"/>
    <w:rsid w:val="000E2896"/>
    <w:rsid w:val="000E2A0A"/>
    <w:rsid w:val="000E2B23"/>
    <w:rsid w:val="000E2C19"/>
    <w:rsid w:val="000E3155"/>
    <w:rsid w:val="000E3226"/>
    <w:rsid w:val="000E35C3"/>
    <w:rsid w:val="000E367C"/>
    <w:rsid w:val="000E37C9"/>
    <w:rsid w:val="000E3C84"/>
    <w:rsid w:val="000E3E96"/>
    <w:rsid w:val="000E40DD"/>
    <w:rsid w:val="000E434B"/>
    <w:rsid w:val="000E4496"/>
    <w:rsid w:val="000E44D6"/>
    <w:rsid w:val="000E46C5"/>
    <w:rsid w:val="000E4C96"/>
    <w:rsid w:val="000E4D6A"/>
    <w:rsid w:val="000E4EA2"/>
    <w:rsid w:val="000E527F"/>
    <w:rsid w:val="000E5955"/>
    <w:rsid w:val="000E5C92"/>
    <w:rsid w:val="000E5CBA"/>
    <w:rsid w:val="000E5DDD"/>
    <w:rsid w:val="000E5E09"/>
    <w:rsid w:val="000E5ED3"/>
    <w:rsid w:val="000E61F4"/>
    <w:rsid w:val="000E67F3"/>
    <w:rsid w:val="000E6A7B"/>
    <w:rsid w:val="000E6C63"/>
    <w:rsid w:val="000E6FA2"/>
    <w:rsid w:val="000E7010"/>
    <w:rsid w:val="000E736F"/>
    <w:rsid w:val="000E73CD"/>
    <w:rsid w:val="000E75B0"/>
    <w:rsid w:val="000E75DD"/>
    <w:rsid w:val="000E7799"/>
    <w:rsid w:val="000E77C0"/>
    <w:rsid w:val="000E7823"/>
    <w:rsid w:val="000E784B"/>
    <w:rsid w:val="000E7A1B"/>
    <w:rsid w:val="000E7A49"/>
    <w:rsid w:val="000E7C57"/>
    <w:rsid w:val="000F0292"/>
    <w:rsid w:val="000F0296"/>
    <w:rsid w:val="000F0329"/>
    <w:rsid w:val="000F04EC"/>
    <w:rsid w:val="000F05BD"/>
    <w:rsid w:val="000F0811"/>
    <w:rsid w:val="000F0B7B"/>
    <w:rsid w:val="000F0EDA"/>
    <w:rsid w:val="000F0EF3"/>
    <w:rsid w:val="000F1206"/>
    <w:rsid w:val="000F1373"/>
    <w:rsid w:val="000F153E"/>
    <w:rsid w:val="000F165B"/>
    <w:rsid w:val="000F1731"/>
    <w:rsid w:val="000F22C6"/>
    <w:rsid w:val="000F273A"/>
    <w:rsid w:val="000F28DE"/>
    <w:rsid w:val="000F28F7"/>
    <w:rsid w:val="000F2DFB"/>
    <w:rsid w:val="000F2ED7"/>
    <w:rsid w:val="000F30E3"/>
    <w:rsid w:val="000F342F"/>
    <w:rsid w:val="000F37C3"/>
    <w:rsid w:val="000F3A8D"/>
    <w:rsid w:val="000F3AE2"/>
    <w:rsid w:val="000F3D1F"/>
    <w:rsid w:val="000F427A"/>
    <w:rsid w:val="000F442B"/>
    <w:rsid w:val="000F484A"/>
    <w:rsid w:val="000F4CAC"/>
    <w:rsid w:val="000F4DE1"/>
    <w:rsid w:val="000F4EFC"/>
    <w:rsid w:val="000F5115"/>
    <w:rsid w:val="000F5317"/>
    <w:rsid w:val="000F565A"/>
    <w:rsid w:val="000F5895"/>
    <w:rsid w:val="000F5CFD"/>
    <w:rsid w:val="000F60BE"/>
    <w:rsid w:val="000F629B"/>
    <w:rsid w:val="000F6565"/>
    <w:rsid w:val="000F66C6"/>
    <w:rsid w:val="000F6728"/>
    <w:rsid w:val="000F682C"/>
    <w:rsid w:val="000F6865"/>
    <w:rsid w:val="000F6871"/>
    <w:rsid w:val="000F6D6F"/>
    <w:rsid w:val="000F6E8E"/>
    <w:rsid w:val="000F74BD"/>
    <w:rsid w:val="000F74F6"/>
    <w:rsid w:val="000F754A"/>
    <w:rsid w:val="000F7643"/>
    <w:rsid w:val="000F7B61"/>
    <w:rsid w:val="000F7C38"/>
    <w:rsid w:val="000F7D09"/>
    <w:rsid w:val="000F7ED3"/>
    <w:rsid w:val="001002F9"/>
    <w:rsid w:val="0010037F"/>
    <w:rsid w:val="001004C4"/>
    <w:rsid w:val="001004CE"/>
    <w:rsid w:val="00100677"/>
    <w:rsid w:val="00100AAC"/>
    <w:rsid w:val="00100B25"/>
    <w:rsid w:val="00100E54"/>
    <w:rsid w:val="00100F14"/>
    <w:rsid w:val="0010129C"/>
    <w:rsid w:val="001014E4"/>
    <w:rsid w:val="00101775"/>
    <w:rsid w:val="0010179C"/>
    <w:rsid w:val="00101EC5"/>
    <w:rsid w:val="00102238"/>
    <w:rsid w:val="0010293C"/>
    <w:rsid w:val="00102F80"/>
    <w:rsid w:val="00103179"/>
    <w:rsid w:val="0010392A"/>
    <w:rsid w:val="00103C43"/>
    <w:rsid w:val="00103CBF"/>
    <w:rsid w:val="00104124"/>
    <w:rsid w:val="00104603"/>
    <w:rsid w:val="0010466E"/>
    <w:rsid w:val="0010470C"/>
    <w:rsid w:val="0010471A"/>
    <w:rsid w:val="001048E0"/>
    <w:rsid w:val="001049AB"/>
    <w:rsid w:val="00104C53"/>
    <w:rsid w:val="00104DBB"/>
    <w:rsid w:val="001055D2"/>
    <w:rsid w:val="00105CFB"/>
    <w:rsid w:val="001061D1"/>
    <w:rsid w:val="0010630D"/>
    <w:rsid w:val="00106675"/>
    <w:rsid w:val="001068A0"/>
    <w:rsid w:val="00106A13"/>
    <w:rsid w:val="00106B24"/>
    <w:rsid w:val="00106D73"/>
    <w:rsid w:val="00106E4C"/>
    <w:rsid w:val="001072D0"/>
    <w:rsid w:val="001076C8"/>
    <w:rsid w:val="001078B2"/>
    <w:rsid w:val="00107F3F"/>
    <w:rsid w:val="001104CE"/>
    <w:rsid w:val="00110617"/>
    <w:rsid w:val="001106B0"/>
    <w:rsid w:val="001109D0"/>
    <w:rsid w:val="00110C87"/>
    <w:rsid w:val="0011136A"/>
    <w:rsid w:val="001114DE"/>
    <w:rsid w:val="00111565"/>
    <w:rsid w:val="00111742"/>
    <w:rsid w:val="00112902"/>
    <w:rsid w:val="00112B1A"/>
    <w:rsid w:val="001130B1"/>
    <w:rsid w:val="00113129"/>
    <w:rsid w:val="00113177"/>
    <w:rsid w:val="001133B2"/>
    <w:rsid w:val="0011342E"/>
    <w:rsid w:val="00113519"/>
    <w:rsid w:val="0011366E"/>
    <w:rsid w:val="0011376D"/>
    <w:rsid w:val="00113929"/>
    <w:rsid w:val="00113CC3"/>
    <w:rsid w:val="00113CFC"/>
    <w:rsid w:val="00113FCD"/>
    <w:rsid w:val="001140AE"/>
    <w:rsid w:val="00114159"/>
    <w:rsid w:val="00114364"/>
    <w:rsid w:val="00114485"/>
    <w:rsid w:val="001144CB"/>
    <w:rsid w:val="00114C03"/>
    <w:rsid w:val="00115238"/>
    <w:rsid w:val="00115284"/>
    <w:rsid w:val="00115460"/>
    <w:rsid w:val="00115541"/>
    <w:rsid w:val="00115AE8"/>
    <w:rsid w:val="0011621D"/>
    <w:rsid w:val="00116325"/>
    <w:rsid w:val="00116396"/>
    <w:rsid w:val="001165C1"/>
    <w:rsid w:val="00116A3E"/>
    <w:rsid w:val="00116F99"/>
    <w:rsid w:val="001170FD"/>
    <w:rsid w:val="00117198"/>
    <w:rsid w:val="001171F2"/>
    <w:rsid w:val="001173E3"/>
    <w:rsid w:val="001176AF"/>
    <w:rsid w:val="00117904"/>
    <w:rsid w:val="00117A75"/>
    <w:rsid w:val="00117F25"/>
    <w:rsid w:val="00120640"/>
    <w:rsid w:val="001209A9"/>
    <w:rsid w:val="00120B57"/>
    <w:rsid w:val="001211D8"/>
    <w:rsid w:val="00121200"/>
    <w:rsid w:val="001212E2"/>
    <w:rsid w:val="0012159A"/>
    <w:rsid w:val="00122249"/>
    <w:rsid w:val="001223A7"/>
    <w:rsid w:val="001224BC"/>
    <w:rsid w:val="00122576"/>
    <w:rsid w:val="00122681"/>
    <w:rsid w:val="001226CF"/>
    <w:rsid w:val="00122E0C"/>
    <w:rsid w:val="00122E90"/>
    <w:rsid w:val="00123281"/>
    <w:rsid w:val="0012333A"/>
    <w:rsid w:val="0012383C"/>
    <w:rsid w:val="001239CC"/>
    <w:rsid w:val="00123E03"/>
    <w:rsid w:val="00123E16"/>
    <w:rsid w:val="00124141"/>
    <w:rsid w:val="00124172"/>
    <w:rsid w:val="00124514"/>
    <w:rsid w:val="001245B6"/>
    <w:rsid w:val="00124627"/>
    <w:rsid w:val="00124847"/>
    <w:rsid w:val="00124952"/>
    <w:rsid w:val="001249C7"/>
    <w:rsid w:val="00124BD9"/>
    <w:rsid w:val="0012502E"/>
    <w:rsid w:val="001253A4"/>
    <w:rsid w:val="0012583C"/>
    <w:rsid w:val="00125ED8"/>
    <w:rsid w:val="00125F58"/>
    <w:rsid w:val="00125FEA"/>
    <w:rsid w:val="00126612"/>
    <w:rsid w:val="001266CB"/>
    <w:rsid w:val="00126990"/>
    <w:rsid w:val="00126D70"/>
    <w:rsid w:val="00127136"/>
    <w:rsid w:val="0012742F"/>
    <w:rsid w:val="00127803"/>
    <w:rsid w:val="001279AA"/>
    <w:rsid w:val="00127C21"/>
    <w:rsid w:val="00127E32"/>
    <w:rsid w:val="0013006E"/>
    <w:rsid w:val="001301F5"/>
    <w:rsid w:val="001305C2"/>
    <w:rsid w:val="001306B5"/>
    <w:rsid w:val="00131160"/>
    <w:rsid w:val="001312F6"/>
    <w:rsid w:val="001315D8"/>
    <w:rsid w:val="001315DF"/>
    <w:rsid w:val="001317AD"/>
    <w:rsid w:val="00131859"/>
    <w:rsid w:val="00131865"/>
    <w:rsid w:val="00131AB4"/>
    <w:rsid w:val="0013236C"/>
    <w:rsid w:val="001326C4"/>
    <w:rsid w:val="00132749"/>
    <w:rsid w:val="0013334B"/>
    <w:rsid w:val="001333DB"/>
    <w:rsid w:val="001334FA"/>
    <w:rsid w:val="001336D9"/>
    <w:rsid w:val="001338A3"/>
    <w:rsid w:val="00133913"/>
    <w:rsid w:val="001339AE"/>
    <w:rsid w:val="00133DAF"/>
    <w:rsid w:val="00133F06"/>
    <w:rsid w:val="00133F58"/>
    <w:rsid w:val="001345A5"/>
    <w:rsid w:val="00134620"/>
    <w:rsid w:val="00134844"/>
    <w:rsid w:val="001348D9"/>
    <w:rsid w:val="00134F65"/>
    <w:rsid w:val="00135091"/>
    <w:rsid w:val="0013550A"/>
    <w:rsid w:val="00135597"/>
    <w:rsid w:val="001356DD"/>
    <w:rsid w:val="00135AA4"/>
    <w:rsid w:val="00135B6F"/>
    <w:rsid w:val="00135D79"/>
    <w:rsid w:val="0013664E"/>
    <w:rsid w:val="00136A0B"/>
    <w:rsid w:val="00136A1F"/>
    <w:rsid w:val="00136F2D"/>
    <w:rsid w:val="00137300"/>
    <w:rsid w:val="001373A1"/>
    <w:rsid w:val="001375E5"/>
    <w:rsid w:val="00137639"/>
    <w:rsid w:val="00137885"/>
    <w:rsid w:val="00137CF6"/>
    <w:rsid w:val="00137DD9"/>
    <w:rsid w:val="00137DEA"/>
    <w:rsid w:val="00137F5B"/>
    <w:rsid w:val="00140112"/>
    <w:rsid w:val="001401F2"/>
    <w:rsid w:val="001404A9"/>
    <w:rsid w:val="0014091F"/>
    <w:rsid w:val="00140BA0"/>
    <w:rsid w:val="001410F3"/>
    <w:rsid w:val="001411C0"/>
    <w:rsid w:val="0014132C"/>
    <w:rsid w:val="0014148B"/>
    <w:rsid w:val="00141511"/>
    <w:rsid w:val="0014154A"/>
    <w:rsid w:val="001417FE"/>
    <w:rsid w:val="00141D74"/>
    <w:rsid w:val="0014213E"/>
    <w:rsid w:val="001422A0"/>
    <w:rsid w:val="001423B0"/>
    <w:rsid w:val="001427A8"/>
    <w:rsid w:val="001429D6"/>
    <w:rsid w:val="00142AC9"/>
    <w:rsid w:val="00142B73"/>
    <w:rsid w:val="00142BD0"/>
    <w:rsid w:val="00142E6B"/>
    <w:rsid w:val="00142F68"/>
    <w:rsid w:val="00143363"/>
    <w:rsid w:val="0014363E"/>
    <w:rsid w:val="00143911"/>
    <w:rsid w:val="00143FAE"/>
    <w:rsid w:val="00144032"/>
    <w:rsid w:val="001440C5"/>
    <w:rsid w:val="001441F4"/>
    <w:rsid w:val="00144500"/>
    <w:rsid w:val="00144718"/>
    <w:rsid w:val="00144AC2"/>
    <w:rsid w:val="00144AF4"/>
    <w:rsid w:val="00144B2E"/>
    <w:rsid w:val="00144B38"/>
    <w:rsid w:val="00145A75"/>
    <w:rsid w:val="00145C34"/>
    <w:rsid w:val="00145F51"/>
    <w:rsid w:val="001460DD"/>
    <w:rsid w:val="001463ED"/>
    <w:rsid w:val="001468B1"/>
    <w:rsid w:val="00146A83"/>
    <w:rsid w:val="00146DEC"/>
    <w:rsid w:val="001470A3"/>
    <w:rsid w:val="0014720A"/>
    <w:rsid w:val="001473FE"/>
    <w:rsid w:val="0014760D"/>
    <w:rsid w:val="001477CB"/>
    <w:rsid w:val="001478B0"/>
    <w:rsid w:val="00147A07"/>
    <w:rsid w:val="00147AA0"/>
    <w:rsid w:val="00147C47"/>
    <w:rsid w:val="0015024B"/>
    <w:rsid w:val="0015027D"/>
    <w:rsid w:val="0015046E"/>
    <w:rsid w:val="00150867"/>
    <w:rsid w:val="00150A10"/>
    <w:rsid w:val="00150E58"/>
    <w:rsid w:val="001512E2"/>
    <w:rsid w:val="0015143B"/>
    <w:rsid w:val="001514F9"/>
    <w:rsid w:val="001517C0"/>
    <w:rsid w:val="00151933"/>
    <w:rsid w:val="00151DEA"/>
    <w:rsid w:val="00152004"/>
    <w:rsid w:val="001520B6"/>
    <w:rsid w:val="001520FC"/>
    <w:rsid w:val="0015219A"/>
    <w:rsid w:val="001523B7"/>
    <w:rsid w:val="001525C4"/>
    <w:rsid w:val="00152BB6"/>
    <w:rsid w:val="00152C42"/>
    <w:rsid w:val="00152EEA"/>
    <w:rsid w:val="00153061"/>
    <w:rsid w:val="001532D3"/>
    <w:rsid w:val="0015345F"/>
    <w:rsid w:val="00153B12"/>
    <w:rsid w:val="00154182"/>
    <w:rsid w:val="001544F8"/>
    <w:rsid w:val="0015475B"/>
    <w:rsid w:val="00154A79"/>
    <w:rsid w:val="00154BF2"/>
    <w:rsid w:val="00155062"/>
    <w:rsid w:val="00155110"/>
    <w:rsid w:val="0015568C"/>
    <w:rsid w:val="00155BD3"/>
    <w:rsid w:val="00155D85"/>
    <w:rsid w:val="0015600A"/>
    <w:rsid w:val="0015610D"/>
    <w:rsid w:val="00156134"/>
    <w:rsid w:val="0015637F"/>
    <w:rsid w:val="001565FE"/>
    <w:rsid w:val="00156CAD"/>
    <w:rsid w:val="0015790A"/>
    <w:rsid w:val="00157919"/>
    <w:rsid w:val="00157B59"/>
    <w:rsid w:val="00157DFD"/>
    <w:rsid w:val="00157FB3"/>
    <w:rsid w:val="0016004B"/>
    <w:rsid w:val="00160058"/>
    <w:rsid w:val="00160211"/>
    <w:rsid w:val="0016083E"/>
    <w:rsid w:val="00160AC4"/>
    <w:rsid w:val="00160AD3"/>
    <w:rsid w:val="00160E5B"/>
    <w:rsid w:val="0016135E"/>
    <w:rsid w:val="00161CF1"/>
    <w:rsid w:val="00161D98"/>
    <w:rsid w:val="00161F05"/>
    <w:rsid w:val="00161F1B"/>
    <w:rsid w:val="00162068"/>
    <w:rsid w:val="001622E7"/>
    <w:rsid w:val="00162799"/>
    <w:rsid w:val="00162897"/>
    <w:rsid w:val="00162A2A"/>
    <w:rsid w:val="00162A7E"/>
    <w:rsid w:val="00162A91"/>
    <w:rsid w:val="00162CEF"/>
    <w:rsid w:val="00162E2F"/>
    <w:rsid w:val="00163310"/>
    <w:rsid w:val="001633C9"/>
    <w:rsid w:val="0016343A"/>
    <w:rsid w:val="0016359E"/>
    <w:rsid w:val="00163CF2"/>
    <w:rsid w:val="00163DED"/>
    <w:rsid w:val="00163E45"/>
    <w:rsid w:val="00163F72"/>
    <w:rsid w:val="00163FDE"/>
    <w:rsid w:val="00164203"/>
    <w:rsid w:val="00164451"/>
    <w:rsid w:val="00164461"/>
    <w:rsid w:val="0016452C"/>
    <w:rsid w:val="001647A3"/>
    <w:rsid w:val="00164987"/>
    <w:rsid w:val="001649CD"/>
    <w:rsid w:val="00164FF3"/>
    <w:rsid w:val="001650C3"/>
    <w:rsid w:val="0016521B"/>
    <w:rsid w:val="001656AC"/>
    <w:rsid w:val="00165B59"/>
    <w:rsid w:val="00165F67"/>
    <w:rsid w:val="00165F88"/>
    <w:rsid w:val="0016619B"/>
    <w:rsid w:val="00166335"/>
    <w:rsid w:val="001664C1"/>
    <w:rsid w:val="00166585"/>
    <w:rsid w:val="001667FC"/>
    <w:rsid w:val="00166847"/>
    <w:rsid w:val="00166869"/>
    <w:rsid w:val="0016692E"/>
    <w:rsid w:val="00166B5B"/>
    <w:rsid w:val="0016745E"/>
    <w:rsid w:val="0016770D"/>
    <w:rsid w:val="00167801"/>
    <w:rsid w:val="00167C56"/>
    <w:rsid w:val="00167CD4"/>
    <w:rsid w:val="00167DB9"/>
    <w:rsid w:val="00167F48"/>
    <w:rsid w:val="001700DC"/>
    <w:rsid w:val="00170124"/>
    <w:rsid w:val="001704F8"/>
    <w:rsid w:val="001705E6"/>
    <w:rsid w:val="00170870"/>
    <w:rsid w:val="00170AFA"/>
    <w:rsid w:val="00170C74"/>
    <w:rsid w:val="00170D2E"/>
    <w:rsid w:val="00170EDD"/>
    <w:rsid w:val="001718E9"/>
    <w:rsid w:val="00171DE3"/>
    <w:rsid w:val="0017203A"/>
    <w:rsid w:val="00172189"/>
    <w:rsid w:val="00172258"/>
    <w:rsid w:val="001722EC"/>
    <w:rsid w:val="001725C2"/>
    <w:rsid w:val="00172809"/>
    <w:rsid w:val="00172B20"/>
    <w:rsid w:val="00172BB6"/>
    <w:rsid w:val="00172FE2"/>
    <w:rsid w:val="001731DF"/>
    <w:rsid w:val="00173331"/>
    <w:rsid w:val="00173374"/>
    <w:rsid w:val="0017361C"/>
    <w:rsid w:val="001736E8"/>
    <w:rsid w:val="00173B65"/>
    <w:rsid w:val="00173DDE"/>
    <w:rsid w:val="00174071"/>
    <w:rsid w:val="001740E7"/>
    <w:rsid w:val="00174378"/>
    <w:rsid w:val="001747DB"/>
    <w:rsid w:val="00174BC9"/>
    <w:rsid w:val="00175019"/>
    <w:rsid w:val="0017547C"/>
    <w:rsid w:val="00175886"/>
    <w:rsid w:val="00175A3A"/>
    <w:rsid w:val="00175DA7"/>
    <w:rsid w:val="00175DFA"/>
    <w:rsid w:val="00175F7F"/>
    <w:rsid w:val="001761DF"/>
    <w:rsid w:val="0017629B"/>
    <w:rsid w:val="00176392"/>
    <w:rsid w:val="00176631"/>
    <w:rsid w:val="00176973"/>
    <w:rsid w:val="00176A9A"/>
    <w:rsid w:val="00177062"/>
    <w:rsid w:val="00177064"/>
    <w:rsid w:val="001774B3"/>
    <w:rsid w:val="001774D2"/>
    <w:rsid w:val="001774F3"/>
    <w:rsid w:val="00177903"/>
    <w:rsid w:val="00177945"/>
    <w:rsid w:val="00177953"/>
    <w:rsid w:val="00177985"/>
    <w:rsid w:val="001779D3"/>
    <w:rsid w:val="00177C51"/>
    <w:rsid w:val="001802AC"/>
    <w:rsid w:val="001802B0"/>
    <w:rsid w:val="001802F8"/>
    <w:rsid w:val="001807F0"/>
    <w:rsid w:val="0018087B"/>
    <w:rsid w:val="00181199"/>
    <w:rsid w:val="001811B0"/>
    <w:rsid w:val="001816A9"/>
    <w:rsid w:val="0018170C"/>
    <w:rsid w:val="00181B4C"/>
    <w:rsid w:val="00181B72"/>
    <w:rsid w:val="00181D69"/>
    <w:rsid w:val="00182371"/>
    <w:rsid w:val="00182493"/>
    <w:rsid w:val="0018262C"/>
    <w:rsid w:val="001829A4"/>
    <w:rsid w:val="00182C54"/>
    <w:rsid w:val="00182CF6"/>
    <w:rsid w:val="00182DB4"/>
    <w:rsid w:val="00182E47"/>
    <w:rsid w:val="00183107"/>
    <w:rsid w:val="001834AE"/>
    <w:rsid w:val="00183605"/>
    <w:rsid w:val="00183D00"/>
    <w:rsid w:val="00183FCD"/>
    <w:rsid w:val="00183FEE"/>
    <w:rsid w:val="00184262"/>
    <w:rsid w:val="0018458C"/>
    <w:rsid w:val="0018463D"/>
    <w:rsid w:val="00184B7E"/>
    <w:rsid w:val="00184BD6"/>
    <w:rsid w:val="00185194"/>
    <w:rsid w:val="001853CB"/>
    <w:rsid w:val="001854AB"/>
    <w:rsid w:val="0018587B"/>
    <w:rsid w:val="001858C2"/>
    <w:rsid w:val="00185945"/>
    <w:rsid w:val="00185B45"/>
    <w:rsid w:val="00185DE7"/>
    <w:rsid w:val="00186053"/>
    <w:rsid w:val="0018618C"/>
    <w:rsid w:val="001863DD"/>
    <w:rsid w:val="00186505"/>
    <w:rsid w:val="00186783"/>
    <w:rsid w:val="00186787"/>
    <w:rsid w:val="00186851"/>
    <w:rsid w:val="00186A5B"/>
    <w:rsid w:val="00186B61"/>
    <w:rsid w:val="00186B6F"/>
    <w:rsid w:val="00186D31"/>
    <w:rsid w:val="00186E2B"/>
    <w:rsid w:val="0018701A"/>
    <w:rsid w:val="001874F1"/>
    <w:rsid w:val="00187949"/>
    <w:rsid w:val="00187A5A"/>
    <w:rsid w:val="00187C9C"/>
    <w:rsid w:val="00187CA5"/>
    <w:rsid w:val="00187CBA"/>
    <w:rsid w:val="00187D03"/>
    <w:rsid w:val="00187E48"/>
    <w:rsid w:val="001902B9"/>
    <w:rsid w:val="00190795"/>
    <w:rsid w:val="00190A16"/>
    <w:rsid w:val="00190A7D"/>
    <w:rsid w:val="00190DAE"/>
    <w:rsid w:val="001910FE"/>
    <w:rsid w:val="001913E9"/>
    <w:rsid w:val="0019146A"/>
    <w:rsid w:val="00191939"/>
    <w:rsid w:val="00191A3E"/>
    <w:rsid w:val="00191DCC"/>
    <w:rsid w:val="00191FD3"/>
    <w:rsid w:val="00192421"/>
    <w:rsid w:val="001925C5"/>
    <w:rsid w:val="0019260C"/>
    <w:rsid w:val="00192653"/>
    <w:rsid w:val="00192654"/>
    <w:rsid w:val="00192B93"/>
    <w:rsid w:val="001930CD"/>
    <w:rsid w:val="0019329E"/>
    <w:rsid w:val="001934BD"/>
    <w:rsid w:val="001936E4"/>
    <w:rsid w:val="0019380B"/>
    <w:rsid w:val="00193C26"/>
    <w:rsid w:val="00193D33"/>
    <w:rsid w:val="00193D47"/>
    <w:rsid w:val="00193E61"/>
    <w:rsid w:val="00193FAD"/>
    <w:rsid w:val="001945B1"/>
    <w:rsid w:val="001948C1"/>
    <w:rsid w:val="00194A9F"/>
    <w:rsid w:val="001950E0"/>
    <w:rsid w:val="0019589D"/>
    <w:rsid w:val="00195A80"/>
    <w:rsid w:val="00195B8E"/>
    <w:rsid w:val="00195F0E"/>
    <w:rsid w:val="00196008"/>
    <w:rsid w:val="0019600C"/>
    <w:rsid w:val="00196019"/>
    <w:rsid w:val="001964A3"/>
    <w:rsid w:val="001967BD"/>
    <w:rsid w:val="001967EC"/>
    <w:rsid w:val="00196BDF"/>
    <w:rsid w:val="00196D20"/>
    <w:rsid w:val="001970B7"/>
    <w:rsid w:val="00197252"/>
    <w:rsid w:val="00197416"/>
    <w:rsid w:val="0019749B"/>
    <w:rsid w:val="001975BC"/>
    <w:rsid w:val="0019786B"/>
    <w:rsid w:val="00197915"/>
    <w:rsid w:val="0019791C"/>
    <w:rsid w:val="00197B6E"/>
    <w:rsid w:val="00197C0F"/>
    <w:rsid w:val="00197FBC"/>
    <w:rsid w:val="001A00CC"/>
    <w:rsid w:val="001A03B7"/>
    <w:rsid w:val="001A08E6"/>
    <w:rsid w:val="001A1049"/>
    <w:rsid w:val="001A1230"/>
    <w:rsid w:val="001A1267"/>
    <w:rsid w:val="001A1550"/>
    <w:rsid w:val="001A1579"/>
    <w:rsid w:val="001A173F"/>
    <w:rsid w:val="001A1D71"/>
    <w:rsid w:val="001A1E2B"/>
    <w:rsid w:val="001A1F36"/>
    <w:rsid w:val="001A2110"/>
    <w:rsid w:val="001A2348"/>
    <w:rsid w:val="001A24AE"/>
    <w:rsid w:val="001A257D"/>
    <w:rsid w:val="001A2852"/>
    <w:rsid w:val="001A28A6"/>
    <w:rsid w:val="001A2B51"/>
    <w:rsid w:val="001A2D2E"/>
    <w:rsid w:val="001A2DEA"/>
    <w:rsid w:val="001A2E31"/>
    <w:rsid w:val="001A2EB1"/>
    <w:rsid w:val="001A2ECA"/>
    <w:rsid w:val="001A306B"/>
    <w:rsid w:val="001A30E0"/>
    <w:rsid w:val="001A3490"/>
    <w:rsid w:val="001A37D2"/>
    <w:rsid w:val="001A38E2"/>
    <w:rsid w:val="001A3A23"/>
    <w:rsid w:val="001A3F23"/>
    <w:rsid w:val="001A414A"/>
    <w:rsid w:val="001A45F0"/>
    <w:rsid w:val="001A4EA8"/>
    <w:rsid w:val="001A571B"/>
    <w:rsid w:val="001A5AD3"/>
    <w:rsid w:val="001A5BC5"/>
    <w:rsid w:val="001A5E6D"/>
    <w:rsid w:val="001A603E"/>
    <w:rsid w:val="001A6307"/>
    <w:rsid w:val="001A653B"/>
    <w:rsid w:val="001A6660"/>
    <w:rsid w:val="001A67E0"/>
    <w:rsid w:val="001A68F6"/>
    <w:rsid w:val="001A6C2E"/>
    <w:rsid w:val="001A6C93"/>
    <w:rsid w:val="001A6D40"/>
    <w:rsid w:val="001A6D5C"/>
    <w:rsid w:val="001A6F8D"/>
    <w:rsid w:val="001A6F91"/>
    <w:rsid w:val="001A6F99"/>
    <w:rsid w:val="001A70DF"/>
    <w:rsid w:val="001A76D2"/>
    <w:rsid w:val="001A782D"/>
    <w:rsid w:val="001A7B96"/>
    <w:rsid w:val="001A7E35"/>
    <w:rsid w:val="001A7F3E"/>
    <w:rsid w:val="001A7FF4"/>
    <w:rsid w:val="001B020C"/>
    <w:rsid w:val="001B024A"/>
    <w:rsid w:val="001B032C"/>
    <w:rsid w:val="001B04BC"/>
    <w:rsid w:val="001B0552"/>
    <w:rsid w:val="001B0776"/>
    <w:rsid w:val="001B0846"/>
    <w:rsid w:val="001B0E69"/>
    <w:rsid w:val="001B12ED"/>
    <w:rsid w:val="001B13B5"/>
    <w:rsid w:val="001B1DE1"/>
    <w:rsid w:val="001B290E"/>
    <w:rsid w:val="001B29BC"/>
    <w:rsid w:val="001B2A03"/>
    <w:rsid w:val="001B2EF7"/>
    <w:rsid w:val="001B2F25"/>
    <w:rsid w:val="001B2F29"/>
    <w:rsid w:val="001B31B3"/>
    <w:rsid w:val="001B31BF"/>
    <w:rsid w:val="001B3344"/>
    <w:rsid w:val="001B3A4D"/>
    <w:rsid w:val="001B3DE5"/>
    <w:rsid w:val="001B40DF"/>
    <w:rsid w:val="001B4481"/>
    <w:rsid w:val="001B4870"/>
    <w:rsid w:val="001B4AA9"/>
    <w:rsid w:val="001B4CAA"/>
    <w:rsid w:val="001B5095"/>
    <w:rsid w:val="001B5430"/>
    <w:rsid w:val="001B5492"/>
    <w:rsid w:val="001B56EE"/>
    <w:rsid w:val="001B5803"/>
    <w:rsid w:val="001B5B98"/>
    <w:rsid w:val="001B5DD2"/>
    <w:rsid w:val="001B5E80"/>
    <w:rsid w:val="001B5FCF"/>
    <w:rsid w:val="001B606C"/>
    <w:rsid w:val="001B63F9"/>
    <w:rsid w:val="001B6420"/>
    <w:rsid w:val="001B64E4"/>
    <w:rsid w:val="001B69E6"/>
    <w:rsid w:val="001B6DB6"/>
    <w:rsid w:val="001B7012"/>
    <w:rsid w:val="001B7163"/>
    <w:rsid w:val="001B72EA"/>
    <w:rsid w:val="001B7399"/>
    <w:rsid w:val="001B74C8"/>
    <w:rsid w:val="001B74FF"/>
    <w:rsid w:val="001B7716"/>
    <w:rsid w:val="001B77D9"/>
    <w:rsid w:val="001B7AFA"/>
    <w:rsid w:val="001B7C0B"/>
    <w:rsid w:val="001B7E48"/>
    <w:rsid w:val="001B7E96"/>
    <w:rsid w:val="001C02A5"/>
    <w:rsid w:val="001C034C"/>
    <w:rsid w:val="001C070F"/>
    <w:rsid w:val="001C0AD5"/>
    <w:rsid w:val="001C0BED"/>
    <w:rsid w:val="001C0C14"/>
    <w:rsid w:val="001C0D2B"/>
    <w:rsid w:val="001C0D92"/>
    <w:rsid w:val="001C12F5"/>
    <w:rsid w:val="001C13A7"/>
    <w:rsid w:val="001C169F"/>
    <w:rsid w:val="001C1860"/>
    <w:rsid w:val="001C1ABA"/>
    <w:rsid w:val="001C1BA7"/>
    <w:rsid w:val="001C1CB6"/>
    <w:rsid w:val="001C1F87"/>
    <w:rsid w:val="001C20E1"/>
    <w:rsid w:val="001C21AD"/>
    <w:rsid w:val="001C237C"/>
    <w:rsid w:val="001C24BF"/>
    <w:rsid w:val="001C291C"/>
    <w:rsid w:val="001C2A67"/>
    <w:rsid w:val="001C2B26"/>
    <w:rsid w:val="001C3025"/>
    <w:rsid w:val="001C3342"/>
    <w:rsid w:val="001C3415"/>
    <w:rsid w:val="001C3701"/>
    <w:rsid w:val="001C37D2"/>
    <w:rsid w:val="001C39B7"/>
    <w:rsid w:val="001C3DF1"/>
    <w:rsid w:val="001C4004"/>
    <w:rsid w:val="001C48CD"/>
    <w:rsid w:val="001C4C4E"/>
    <w:rsid w:val="001C4C8E"/>
    <w:rsid w:val="001C52F2"/>
    <w:rsid w:val="001C571B"/>
    <w:rsid w:val="001C599B"/>
    <w:rsid w:val="001C5A18"/>
    <w:rsid w:val="001C5C85"/>
    <w:rsid w:val="001C5CAE"/>
    <w:rsid w:val="001C6193"/>
    <w:rsid w:val="001C61A2"/>
    <w:rsid w:val="001C6532"/>
    <w:rsid w:val="001C663A"/>
    <w:rsid w:val="001C7108"/>
    <w:rsid w:val="001C7471"/>
    <w:rsid w:val="001C7611"/>
    <w:rsid w:val="001C77F8"/>
    <w:rsid w:val="001C7A9C"/>
    <w:rsid w:val="001C7D55"/>
    <w:rsid w:val="001C7DC4"/>
    <w:rsid w:val="001D04DE"/>
    <w:rsid w:val="001D089E"/>
    <w:rsid w:val="001D0ABE"/>
    <w:rsid w:val="001D0CEC"/>
    <w:rsid w:val="001D0EF0"/>
    <w:rsid w:val="001D0FED"/>
    <w:rsid w:val="001D168E"/>
    <w:rsid w:val="001D18DB"/>
    <w:rsid w:val="001D1A48"/>
    <w:rsid w:val="001D1AC3"/>
    <w:rsid w:val="001D1BB0"/>
    <w:rsid w:val="001D2183"/>
    <w:rsid w:val="001D2449"/>
    <w:rsid w:val="001D2792"/>
    <w:rsid w:val="001D2851"/>
    <w:rsid w:val="001D2B43"/>
    <w:rsid w:val="001D2D5B"/>
    <w:rsid w:val="001D2FF3"/>
    <w:rsid w:val="001D336D"/>
    <w:rsid w:val="001D34D9"/>
    <w:rsid w:val="001D3604"/>
    <w:rsid w:val="001D3742"/>
    <w:rsid w:val="001D39D5"/>
    <w:rsid w:val="001D3C4C"/>
    <w:rsid w:val="001D49AC"/>
    <w:rsid w:val="001D4A45"/>
    <w:rsid w:val="001D4D58"/>
    <w:rsid w:val="001D4DD4"/>
    <w:rsid w:val="001D4E89"/>
    <w:rsid w:val="001D50E0"/>
    <w:rsid w:val="001D5119"/>
    <w:rsid w:val="001D52E3"/>
    <w:rsid w:val="001D5333"/>
    <w:rsid w:val="001D5624"/>
    <w:rsid w:val="001D59BF"/>
    <w:rsid w:val="001D5B4F"/>
    <w:rsid w:val="001D5EA2"/>
    <w:rsid w:val="001D6039"/>
    <w:rsid w:val="001D6059"/>
    <w:rsid w:val="001D6226"/>
    <w:rsid w:val="001D62D6"/>
    <w:rsid w:val="001D65F9"/>
    <w:rsid w:val="001D66DF"/>
    <w:rsid w:val="001D68E0"/>
    <w:rsid w:val="001D6C2C"/>
    <w:rsid w:val="001D6E0D"/>
    <w:rsid w:val="001D719B"/>
    <w:rsid w:val="001D758F"/>
    <w:rsid w:val="001D7828"/>
    <w:rsid w:val="001D7A6F"/>
    <w:rsid w:val="001D7F29"/>
    <w:rsid w:val="001E02C2"/>
    <w:rsid w:val="001E045A"/>
    <w:rsid w:val="001E049E"/>
    <w:rsid w:val="001E059F"/>
    <w:rsid w:val="001E07AF"/>
    <w:rsid w:val="001E0961"/>
    <w:rsid w:val="001E09D1"/>
    <w:rsid w:val="001E0C24"/>
    <w:rsid w:val="001E0F35"/>
    <w:rsid w:val="001E13A3"/>
    <w:rsid w:val="001E14AD"/>
    <w:rsid w:val="001E1675"/>
    <w:rsid w:val="001E1A58"/>
    <w:rsid w:val="001E1D6B"/>
    <w:rsid w:val="001E1DAB"/>
    <w:rsid w:val="001E2080"/>
    <w:rsid w:val="001E21E8"/>
    <w:rsid w:val="001E237F"/>
    <w:rsid w:val="001E2A90"/>
    <w:rsid w:val="001E2ECA"/>
    <w:rsid w:val="001E31B4"/>
    <w:rsid w:val="001E31D5"/>
    <w:rsid w:val="001E34E4"/>
    <w:rsid w:val="001E3743"/>
    <w:rsid w:val="001E38FC"/>
    <w:rsid w:val="001E3B59"/>
    <w:rsid w:val="001E3CE8"/>
    <w:rsid w:val="001E3EBD"/>
    <w:rsid w:val="001E3F27"/>
    <w:rsid w:val="001E4147"/>
    <w:rsid w:val="001E41F5"/>
    <w:rsid w:val="001E4244"/>
    <w:rsid w:val="001E42AD"/>
    <w:rsid w:val="001E48CC"/>
    <w:rsid w:val="001E48F5"/>
    <w:rsid w:val="001E49CF"/>
    <w:rsid w:val="001E4B39"/>
    <w:rsid w:val="001E4D20"/>
    <w:rsid w:val="001E535A"/>
    <w:rsid w:val="001E53C2"/>
    <w:rsid w:val="001E54F3"/>
    <w:rsid w:val="001E5882"/>
    <w:rsid w:val="001E5D54"/>
    <w:rsid w:val="001E5E8E"/>
    <w:rsid w:val="001E612D"/>
    <w:rsid w:val="001E644B"/>
    <w:rsid w:val="001E6497"/>
    <w:rsid w:val="001E6BB4"/>
    <w:rsid w:val="001E6D10"/>
    <w:rsid w:val="001E708F"/>
    <w:rsid w:val="001E7890"/>
    <w:rsid w:val="001F05FD"/>
    <w:rsid w:val="001F0626"/>
    <w:rsid w:val="001F0653"/>
    <w:rsid w:val="001F0A49"/>
    <w:rsid w:val="001F0C1E"/>
    <w:rsid w:val="001F0C36"/>
    <w:rsid w:val="001F0FA4"/>
    <w:rsid w:val="001F1014"/>
    <w:rsid w:val="001F15B1"/>
    <w:rsid w:val="001F16B0"/>
    <w:rsid w:val="001F16BE"/>
    <w:rsid w:val="001F1C64"/>
    <w:rsid w:val="001F2278"/>
    <w:rsid w:val="001F2521"/>
    <w:rsid w:val="001F256B"/>
    <w:rsid w:val="001F2765"/>
    <w:rsid w:val="001F27D7"/>
    <w:rsid w:val="001F285C"/>
    <w:rsid w:val="001F2A00"/>
    <w:rsid w:val="001F2BB8"/>
    <w:rsid w:val="001F2DBC"/>
    <w:rsid w:val="001F2F30"/>
    <w:rsid w:val="001F33ED"/>
    <w:rsid w:val="001F34DA"/>
    <w:rsid w:val="001F37A3"/>
    <w:rsid w:val="001F3A14"/>
    <w:rsid w:val="001F3B2A"/>
    <w:rsid w:val="001F3B43"/>
    <w:rsid w:val="001F3D74"/>
    <w:rsid w:val="001F4004"/>
    <w:rsid w:val="001F4012"/>
    <w:rsid w:val="001F4363"/>
    <w:rsid w:val="001F4383"/>
    <w:rsid w:val="001F43CE"/>
    <w:rsid w:val="001F52B8"/>
    <w:rsid w:val="001F5308"/>
    <w:rsid w:val="001F5655"/>
    <w:rsid w:val="001F566D"/>
    <w:rsid w:val="001F58D8"/>
    <w:rsid w:val="001F5911"/>
    <w:rsid w:val="001F5992"/>
    <w:rsid w:val="001F5E28"/>
    <w:rsid w:val="001F5FF1"/>
    <w:rsid w:val="001F6058"/>
    <w:rsid w:val="001F6415"/>
    <w:rsid w:val="001F6A6E"/>
    <w:rsid w:val="001F6AF0"/>
    <w:rsid w:val="001F6EBF"/>
    <w:rsid w:val="001F71C5"/>
    <w:rsid w:val="001F73B2"/>
    <w:rsid w:val="001F7555"/>
    <w:rsid w:val="001F76F6"/>
    <w:rsid w:val="001F792F"/>
    <w:rsid w:val="001F7B26"/>
    <w:rsid w:val="001F7B32"/>
    <w:rsid w:val="001F7BAE"/>
    <w:rsid w:val="001F7BF6"/>
    <w:rsid w:val="001F7CF7"/>
    <w:rsid w:val="001F7E0C"/>
    <w:rsid w:val="001F7F1F"/>
    <w:rsid w:val="001F7FE5"/>
    <w:rsid w:val="00200077"/>
    <w:rsid w:val="0020062F"/>
    <w:rsid w:val="00200771"/>
    <w:rsid w:val="002008C9"/>
    <w:rsid w:val="00200902"/>
    <w:rsid w:val="00200A8A"/>
    <w:rsid w:val="0020117B"/>
    <w:rsid w:val="00201364"/>
    <w:rsid w:val="00201715"/>
    <w:rsid w:val="00201908"/>
    <w:rsid w:val="00201BD2"/>
    <w:rsid w:val="00201C35"/>
    <w:rsid w:val="00201C8C"/>
    <w:rsid w:val="002020EB"/>
    <w:rsid w:val="002021C2"/>
    <w:rsid w:val="002022BE"/>
    <w:rsid w:val="0020290D"/>
    <w:rsid w:val="002031C9"/>
    <w:rsid w:val="00203453"/>
    <w:rsid w:val="0020348A"/>
    <w:rsid w:val="00203499"/>
    <w:rsid w:val="00203630"/>
    <w:rsid w:val="00203F46"/>
    <w:rsid w:val="00203FBE"/>
    <w:rsid w:val="0020417A"/>
    <w:rsid w:val="002043A3"/>
    <w:rsid w:val="002043F7"/>
    <w:rsid w:val="0020445F"/>
    <w:rsid w:val="00204956"/>
    <w:rsid w:val="00205298"/>
    <w:rsid w:val="002052FB"/>
    <w:rsid w:val="0020540B"/>
    <w:rsid w:val="00205637"/>
    <w:rsid w:val="00205698"/>
    <w:rsid w:val="00205804"/>
    <w:rsid w:val="00205F10"/>
    <w:rsid w:val="002063C5"/>
    <w:rsid w:val="002065D2"/>
    <w:rsid w:val="002066C1"/>
    <w:rsid w:val="002066C6"/>
    <w:rsid w:val="002072BE"/>
    <w:rsid w:val="00207627"/>
    <w:rsid w:val="002076BB"/>
    <w:rsid w:val="00207842"/>
    <w:rsid w:val="00207ACD"/>
    <w:rsid w:val="00207CAE"/>
    <w:rsid w:val="00207DB9"/>
    <w:rsid w:val="00207E8E"/>
    <w:rsid w:val="00210034"/>
    <w:rsid w:val="00210447"/>
    <w:rsid w:val="0021049A"/>
    <w:rsid w:val="0021085F"/>
    <w:rsid w:val="002108C7"/>
    <w:rsid w:val="002109B2"/>
    <w:rsid w:val="002109BC"/>
    <w:rsid w:val="00210B67"/>
    <w:rsid w:val="00210C37"/>
    <w:rsid w:val="00210DA9"/>
    <w:rsid w:val="00211268"/>
    <w:rsid w:val="00211470"/>
    <w:rsid w:val="00211A34"/>
    <w:rsid w:val="0021206D"/>
    <w:rsid w:val="002120B0"/>
    <w:rsid w:val="0021226A"/>
    <w:rsid w:val="002124AB"/>
    <w:rsid w:val="002125AE"/>
    <w:rsid w:val="0021262D"/>
    <w:rsid w:val="002126A9"/>
    <w:rsid w:val="002126CF"/>
    <w:rsid w:val="0021289C"/>
    <w:rsid w:val="002128C7"/>
    <w:rsid w:val="00212921"/>
    <w:rsid w:val="00212B2B"/>
    <w:rsid w:val="00213064"/>
    <w:rsid w:val="0021314F"/>
    <w:rsid w:val="002131B8"/>
    <w:rsid w:val="0021332D"/>
    <w:rsid w:val="002134A1"/>
    <w:rsid w:val="002136A4"/>
    <w:rsid w:val="002137F3"/>
    <w:rsid w:val="0021388C"/>
    <w:rsid w:val="002138AC"/>
    <w:rsid w:val="00213CED"/>
    <w:rsid w:val="00214090"/>
    <w:rsid w:val="00214165"/>
    <w:rsid w:val="002144D4"/>
    <w:rsid w:val="002144D8"/>
    <w:rsid w:val="0021457A"/>
    <w:rsid w:val="0021481A"/>
    <w:rsid w:val="00214857"/>
    <w:rsid w:val="002149EB"/>
    <w:rsid w:val="00214A5C"/>
    <w:rsid w:val="00214AE0"/>
    <w:rsid w:val="00214C1B"/>
    <w:rsid w:val="002152D5"/>
    <w:rsid w:val="0021567D"/>
    <w:rsid w:val="0021572A"/>
    <w:rsid w:val="00215755"/>
    <w:rsid w:val="0021593C"/>
    <w:rsid w:val="00215AE1"/>
    <w:rsid w:val="00216536"/>
    <w:rsid w:val="00216630"/>
    <w:rsid w:val="00216986"/>
    <w:rsid w:val="00216C5A"/>
    <w:rsid w:val="00217235"/>
    <w:rsid w:val="002174C3"/>
    <w:rsid w:val="0021754A"/>
    <w:rsid w:val="002203EE"/>
    <w:rsid w:val="0022061D"/>
    <w:rsid w:val="0022077D"/>
    <w:rsid w:val="002208AE"/>
    <w:rsid w:val="00220B36"/>
    <w:rsid w:val="00220CD6"/>
    <w:rsid w:val="00220D7F"/>
    <w:rsid w:val="00220F80"/>
    <w:rsid w:val="002213F6"/>
    <w:rsid w:val="00221523"/>
    <w:rsid w:val="00221534"/>
    <w:rsid w:val="00221985"/>
    <w:rsid w:val="002219E1"/>
    <w:rsid w:val="002219ED"/>
    <w:rsid w:val="00221ACA"/>
    <w:rsid w:val="0022218F"/>
    <w:rsid w:val="00222528"/>
    <w:rsid w:val="0022276D"/>
    <w:rsid w:val="0022286D"/>
    <w:rsid w:val="002228E2"/>
    <w:rsid w:val="002229DA"/>
    <w:rsid w:val="00222BA0"/>
    <w:rsid w:val="00222BDA"/>
    <w:rsid w:val="00222D96"/>
    <w:rsid w:val="00223705"/>
    <w:rsid w:val="00223A7A"/>
    <w:rsid w:val="00223CFA"/>
    <w:rsid w:val="00223DBC"/>
    <w:rsid w:val="002241F6"/>
    <w:rsid w:val="00224311"/>
    <w:rsid w:val="00224485"/>
    <w:rsid w:val="00224792"/>
    <w:rsid w:val="00225521"/>
    <w:rsid w:val="002255B7"/>
    <w:rsid w:val="0022598B"/>
    <w:rsid w:val="00225A57"/>
    <w:rsid w:val="00225B38"/>
    <w:rsid w:val="00225BC6"/>
    <w:rsid w:val="00225FA1"/>
    <w:rsid w:val="0022616A"/>
    <w:rsid w:val="00226325"/>
    <w:rsid w:val="002268B7"/>
    <w:rsid w:val="00226C34"/>
    <w:rsid w:val="002273CE"/>
    <w:rsid w:val="0022745A"/>
    <w:rsid w:val="00227810"/>
    <w:rsid w:val="002278F0"/>
    <w:rsid w:val="00227A11"/>
    <w:rsid w:val="00227CCF"/>
    <w:rsid w:val="00227E60"/>
    <w:rsid w:val="00227F3C"/>
    <w:rsid w:val="0023016B"/>
    <w:rsid w:val="00230463"/>
    <w:rsid w:val="002305DB"/>
    <w:rsid w:val="0023080E"/>
    <w:rsid w:val="0023088B"/>
    <w:rsid w:val="00230A33"/>
    <w:rsid w:val="00230A9E"/>
    <w:rsid w:val="00230C5C"/>
    <w:rsid w:val="00230CD7"/>
    <w:rsid w:val="00230D6A"/>
    <w:rsid w:val="00230DC0"/>
    <w:rsid w:val="00230F1B"/>
    <w:rsid w:val="0023101A"/>
    <w:rsid w:val="0023131B"/>
    <w:rsid w:val="00231356"/>
    <w:rsid w:val="00231633"/>
    <w:rsid w:val="00232151"/>
    <w:rsid w:val="0023255B"/>
    <w:rsid w:val="00232B53"/>
    <w:rsid w:val="00232C78"/>
    <w:rsid w:val="00232E65"/>
    <w:rsid w:val="00233215"/>
    <w:rsid w:val="00233624"/>
    <w:rsid w:val="00233627"/>
    <w:rsid w:val="002336C1"/>
    <w:rsid w:val="0023374D"/>
    <w:rsid w:val="0023374E"/>
    <w:rsid w:val="002337F0"/>
    <w:rsid w:val="00233A0D"/>
    <w:rsid w:val="00233A7D"/>
    <w:rsid w:val="00233BC5"/>
    <w:rsid w:val="00233E0A"/>
    <w:rsid w:val="00233E3B"/>
    <w:rsid w:val="00233E51"/>
    <w:rsid w:val="00233F5B"/>
    <w:rsid w:val="002340BC"/>
    <w:rsid w:val="002343D3"/>
    <w:rsid w:val="0023441D"/>
    <w:rsid w:val="00234517"/>
    <w:rsid w:val="00234B3B"/>
    <w:rsid w:val="00234D9B"/>
    <w:rsid w:val="0023532A"/>
    <w:rsid w:val="0023541E"/>
    <w:rsid w:val="002354E1"/>
    <w:rsid w:val="0023559C"/>
    <w:rsid w:val="002357C8"/>
    <w:rsid w:val="0023596A"/>
    <w:rsid w:val="00235A10"/>
    <w:rsid w:val="00235CC1"/>
    <w:rsid w:val="00235D45"/>
    <w:rsid w:val="00235F30"/>
    <w:rsid w:val="00235FD6"/>
    <w:rsid w:val="00236087"/>
    <w:rsid w:val="0023615E"/>
    <w:rsid w:val="00236324"/>
    <w:rsid w:val="002363BC"/>
    <w:rsid w:val="00236427"/>
    <w:rsid w:val="0023651B"/>
    <w:rsid w:val="002367A3"/>
    <w:rsid w:val="00236888"/>
    <w:rsid w:val="00236F3C"/>
    <w:rsid w:val="0023763F"/>
    <w:rsid w:val="00237B44"/>
    <w:rsid w:val="00240045"/>
    <w:rsid w:val="00240587"/>
    <w:rsid w:val="00240644"/>
    <w:rsid w:val="00240797"/>
    <w:rsid w:val="00240879"/>
    <w:rsid w:val="00241009"/>
    <w:rsid w:val="002418A3"/>
    <w:rsid w:val="00241916"/>
    <w:rsid w:val="00241F1A"/>
    <w:rsid w:val="00242004"/>
    <w:rsid w:val="00242034"/>
    <w:rsid w:val="002421EB"/>
    <w:rsid w:val="002427FE"/>
    <w:rsid w:val="00242B61"/>
    <w:rsid w:val="00242BD0"/>
    <w:rsid w:val="00242E9E"/>
    <w:rsid w:val="00242F02"/>
    <w:rsid w:val="0024375B"/>
    <w:rsid w:val="00243E5A"/>
    <w:rsid w:val="002442C7"/>
    <w:rsid w:val="00244A57"/>
    <w:rsid w:val="00244C50"/>
    <w:rsid w:val="00244DD2"/>
    <w:rsid w:val="00245081"/>
    <w:rsid w:val="002451D6"/>
    <w:rsid w:val="0024528B"/>
    <w:rsid w:val="002452D2"/>
    <w:rsid w:val="0024535C"/>
    <w:rsid w:val="00245445"/>
    <w:rsid w:val="002454B2"/>
    <w:rsid w:val="002454D4"/>
    <w:rsid w:val="00245978"/>
    <w:rsid w:val="0024663F"/>
    <w:rsid w:val="002466B0"/>
    <w:rsid w:val="00246AC7"/>
    <w:rsid w:val="00246E13"/>
    <w:rsid w:val="002470BD"/>
    <w:rsid w:val="002471B5"/>
    <w:rsid w:val="0024720C"/>
    <w:rsid w:val="002475FA"/>
    <w:rsid w:val="00247A93"/>
    <w:rsid w:val="002501B1"/>
    <w:rsid w:val="00250C4C"/>
    <w:rsid w:val="00250F62"/>
    <w:rsid w:val="00251076"/>
    <w:rsid w:val="0025129A"/>
    <w:rsid w:val="0025176A"/>
    <w:rsid w:val="002521EF"/>
    <w:rsid w:val="00252932"/>
    <w:rsid w:val="00252A9D"/>
    <w:rsid w:val="00252AAC"/>
    <w:rsid w:val="0025315B"/>
    <w:rsid w:val="002531D0"/>
    <w:rsid w:val="00253577"/>
    <w:rsid w:val="0025371D"/>
    <w:rsid w:val="00253999"/>
    <w:rsid w:val="00253BE8"/>
    <w:rsid w:val="00253DC7"/>
    <w:rsid w:val="00253F69"/>
    <w:rsid w:val="00253FCD"/>
    <w:rsid w:val="00254199"/>
    <w:rsid w:val="002541E8"/>
    <w:rsid w:val="00254313"/>
    <w:rsid w:val="00254AF0"/>
    <w:rsid w:val="00254CA9"/>
    <w:rsid w:val="00254F19"/>
    <w:rsid w:val="002550CC"/>
    <w:rsid w:val="00255364"/>
    <w:rsid w:val="002555E2"/>
    <w:rsid w:val="002555E6"/>
    <w:rsid w:val="002559D0"/>
    <w:rsid w:val="00255AE8"/>
    <w:rsid w:val="00255BC2"/>
    <w:rsid w:val="00255E49"/>
    <w:rsid w:val="00255F62"/>
    <w:rsid w:val="002560F3"/>
    <w:rsid w:val="0025679A"/>
    <w:rsid w:val="002568F4"/>
    <w:rsid w:val="00256D32"/>
    <w:rsid w:val="00256D75"/>
    <w:rsid w:val="00256F15"/>
    <w:rsid w:val="00257144"/>
    <w:rsid w:val="002575EC"/>
    <w:rsid w:val="00257891"/>
    <w:rsid w:val="00257A6A"/>
    <w:rsid w:val="00260297"/>
    <w:rsid w:val="002603CF"/>
    <w:rsid w:val="00260F97"/>
    <w:rsid w:val="00261030"/>
    <w:rsid w:val="002610C6"/>
    <w:rsid w:val="002613F2"/>
    <w:rsid w:val="00261668"/>
    <w:rsid w:val="00261829"/>
    <w:rsid w:val="002619BC"/>
    <w:rsid w:val="0026203F"/>
    <w:rsid w:val="002626E0"/>
    <w:rsid w:val="0026282D"/>
    <w:rsid w:val="00262E68"/>
    <w:rsid w:val="0026329F"/>
    <w:rsid w:val="00263450"/>
    <w:rsid w:val="002634C7"/>
    <w:rsid w:val="002635A2"/>
    <w:rsid w:val="002644AB"/>
    <w:rsid w:val="00264CB1"/>
    <w:rsid w:val="002651AC"/>
    <w:rsid w:val="002653E6"/>
    <w:rsid w:val="00265619"/>
    <w:rsid w:val="00265ABE"/>
    <w:rsid w:val="00265B07"/>
    <w:rsid w:val="00265EEF"/>
    <w:rsid w:val="0026609D"/>
    <w:rsid w:val="002661BF"/>
    <w:rsid w:val="0026620B"/>
    <w:rsid w:val="00266258"/>
    <w:rsid w:val="0026637D"/>
    <w:rsid w:val="00266842"/>
    <w:rsid w:val="00266B18"/>
    <w:rsid w:val="00266CAF"/>
    <w:rsid w:val="00266CDE"/>
    <w:rsid w:val="00266EFF"/>
    <w:rsid w:val="00266FF1"/>
    <w:rsid w:val="00267288"/>
    <w:rsid w:val="002674DA"/>
    <w:rsid w:val="00267623"/>
    <w:rsid w:val="002678FB"/>
    <w:rsid w:val="00267A58"/>
    <w:rsid w:val="00267A6D"/>
    <w:rsid w:val="00267AFC"/>
    <w:rsid w:val="002700A7"/>
    <w:rsid w:val="00270544"/>
    <w:rsid w:val="00270667"/>
    <w:rsid w:val="002707BE"/>
    <w:rsid w:val="00270C07"/>
    <w:rsid w:val="00270CB2"/>
    <w:rsid w:val="00271314"/>
    <w:rsid w:val="002713D2"/>
    <w:rsid w:val="00271942"/>
    <w:rsid w:val="00271A99"/>
    <w:rsid w:val="00271AEF"/>
    <w:rsid w:val="00271B78"/>
    <w:rsid w:val="00271DF1"/>
    <w:rsid w:val="002720C5"/>
    <w:rsid w:val="0027222A"/>
    <w:rsid w:val="002725A4"/>
    <w:rsid w:val="0027262A"/>
    <w:rsid w:val="0027262B"/>
    <w:rsid w:val="002727B4"/>
    <w:rsid w:val="002729D7"/>
    <w:rsid w:val="00272ACB"/>
    <w:rsid w:val="00272D25"/>
    <w:rsid w:val="00272DDF"/>
    <w:rsid w:val="00272FCE"/>
    <w:rsid w:val="002730B5"/>
    <w:rsid w:val="00273149"/>
    <w:rsid w:val="0027334B"/>
    <w:rsid w:val="00273363"/>
    <w:rsid w:val="002736CD"/>
    <w:rsid w:val="00273C4C"/>
    <w:rsid w:val="002742B4"/>
    <w:rsid w:val="002742ED"/>
    <w:rsid w:val="002746EF"/>
    <w:rsid w:val="00274B5C"/>
    <w:rsid w:val="00274B7B"/>
    <w:rsid w:val="00274E19"/>
    <w:rsid w:val="00274E93"/>
    <w:rsid w:val="00274EC3"/>
    <w:rsid w:val="002750DC"/>
    <w:rsid w:val="00275A79"/>
    <w:rsid w:val="00275C41"/>
    <w:rsid w:val="00275C69"/>
    <w:rsid w:val="00275F93"/>
    <w:rsid w:val="00276086"/>
    <w:rsid w:val="002761C9"/>
    <w:rsid w:val="002762A9"/>
    <w:rsid w:val="0027640C"/>
    <w:rsid w:val="00276613"/>
    <w:rsid w:val="002766B7"/>
    <w:rsid w:val="002767BF"/>
    <w:rsid w:val="00276B14"/>
    <w:rsid w:val="00276B2D"/>
    <w:rsid w:val="00276B49"/>
    <w:rsid w:val="00276D76"/>
    <w:rsid w:val="00276ED0"/>
    <w:rsid w:val="00276FB8"/>
    <w:rsid w:val="00277266"/>
    <w:rsid w:val="00277576"/>
    <w:rsid w:val="00277612"/>
    <w:rsid w:val="00277963"/>
    <w:rsid w:val="00277A1E"/>
    <w:rsid w:val="00277AF4"/>
    <w:rsid w:val="00277D3B"/>
    <w:rsid w:val="00277EAF"/>
    <w:rsid w:val="00277ED1"/>
    <w:rsid w:val="00277F07"/>
    <w:rsid w:val="0028061D"/>
    <w:rsid w:val="002807BC"/>
    <w:rsid w:val="00280802"/>
    <w:rsid w:val="00280995"/>
    <w:rsid w:val="00280A20"/>
    <w:rsid w:val="00280B12"/>
    <w:rsid w:val="00280BA9"/>
    <w:rsid w:val="00281595"/>
    <w:rsid w:val="002816FA"/>
    <w:rsid w:val="00281BA4"/>
    <w:rsid w:val="00281DD5"/>
    <w:rsid w:val="00281ED7"/>
    <w:rsid w:val="00281F4C"/>
    <w:rsid w:val="0028274A"/>
    <w:rsid w:val="00282905"/>
    <w:rsid w:val="0028297D"/>
    <w:rsid w:val="002829CD"/>
    <w:rsid w:val="00282A77"/>
    <w:rsid w:val="00282FDF"/>
    <w:rsid w:val="00283024"/>
    <w:rsid w:val="00283068"/>
    <w:rsid w:val="0028318D"/>
    <w:rsid w:val="0028331C"/>
    <w:rsid w:val="0028359C"/>
    <w:rsid w:val="002835B3"/>
    <w:rsid w:val="00283762"/>
    <w:rsid w:val="0028395D"/>
    <w:rsid w:val="0028400E"/>
    <w:rsid w:val="0028455F"/>
    <w:rsid w:val="002848F0"/>
    <w:rsid w:val="002849A1"/>
    <w:rsid w:val="00284C45"/>
    <w:rsid w:val="00284F60"/>
    <w:rsid w:val="002856AA"/>
    <w:rsid w:val="00285729"/>
    <w:rsid w:val="002857FB"/>
    <w:rsid w:val="00285922"/>
    <w:rsid w:val="002859BA"/>
    <w:rsid w:val="00285C04"/>
    <w:rsid w:val="00285E31"/>
    <w:rsid w:val="00285FB0"/>
    <w:rsid w:val="00286309"/>
    <w:rsid w:val="002863AA"/>
    <w:rsid w:val="002863F7"/>
    <w:rsid w:val="00286482"/>
    <w:rsid w:val="0028679C"/>
    <w:rsid w:val="00286FFF"/>
    <w:rsid w:val="00287027"/>
    <w:rsid w:val="00287488"/>
    <w:rsid w:val="0028765D"/>
    <w:rsid w:val="002876B1"/>
    <w:rsid w:val="002876DB"/>
    <w:rsid w:val="00287D3A"/>
    <w:rsid w:val="00287E1D"/>
    <w:rsid w:val="002897AF"/>
    <w:rsid w:val="00290422"/>
    <w:rsid w:val="002906CE"/>
    <w:rsid w:val="0029094C"/>
    <w:rsid w:val="00290A0E"/>
    <w:rsid w:val="00290BC4"/>
    <w:rsid w:val="00290C01"/>
    <w:rsid w:val="00290E05"/>
    <w:rsid w:val="00290E35"/>
    <w:rsid w:val="00290E55"/>
    <w:rsid w:val="00290E9B"/>
    <w:rsid w:val="00290F34"/>
    <w:rsid w:val="00290FCD"/>
    <w:rsid w:val="00291204"/>
    <w:rsid w:val="002912C6"/>
    <w:rsid w:val="002916FD"/>
    <w:rsid w:val="002919B5"/>
    <w:rsid w:val="00291ECA"/>
    <w:rsid w:val="00291FAA"/>
    <w:rsid w:val="00292254"/>
    <w:rsid w:val="00292366"/>
    <w:rsid w:val="00292578"/>
    <w:rsid w:val="00292673"/>
    <w:rsid w:val="00292AB1"/>
    <w:rsid w:val="00292D0B"/>
    <w:rsid w:val="00292D5F"/>
    <w:rsid w:val="00292D96"/>
    <w:rsid w:val="00293007"/>
    <w:rsid w:val="0029348C"/>
    <w:rsid w:val="00293525"/>
    <w:rsid w:val="0029368D"/>
    <w:rsid w:val="002936D2"/>
    <w:rsid w:val="00293759"/>
    <w:rsid w:val="00293782"/>
    <w:rsid w:val="00293C70"/>
    <w:rsid w:val="00293DCA"/>
    <w:rsid w:val="00293F98"/>
    <w:rsid w:val="00294079"/>
    <w:rsid w:val="0029452D"/>
    <w:rsid w:val="0029487A"/>
    <w:rsid w:val="002949E6"/>
    <w:rsid w:val="00294AB5"/>
    <w:rsid w:val="00294C93"/>
    <w:rsid w:val="00294DCD"/>
    <w:rsid w:val="00295245"/>
    <w:rsid w:val="00295408"/>
    <w:rsid w:val="00295621"/>
    <w:rsid w:val="002956BD"/>
    <w:rsid w:val="00295D39"/>
    <w:rsid w:val="002962D3"/>
    <w:rsid w:val="00296421"/>
    <w:rsid w:val="002965E2"/>
    <w:rsid w:val="00296867"/>
    <w:rsid w:val="00296C9D"/>
    <w:rsid w:val="00296FD7"/>
    <w:rsid w:val="0029719D"/>
    <w:rsid w:val="002971B2"/>
    <w:rsid w:val="002971C0"/>
    <w:rsid w:val="002972F7"/>
    <w:rsid w:val="00297310"/>
    <w:rsid w:val="002974BC"/>
    <w:rsid w:val="00297FB3"/>
    <w:rsid w:val="002A032C"/>
    <w:rsid w:val="002A0352"/>
    <w:rsid w:val="002A082F"/>
    <w:rsid w:val="002A09B9"/>
    <w:rsid w:val="002A09F4"/>
    <w:rsid w:val="002A0A3E"/>
    <w:rsid w:val="002A0CD8"/>
    <w:rsid w:val="002A19CA"/>
    <w:rsid w:val="002A2139"/>
    <w:rsid w:val="002A22F9"/>
    <w:rsid w:val="002A28A8"/>
    <w:rsid w:val="002A2E9A"/>
    <w:rsid w:val="002A3169"/>
    <w:rsid w:val="002A318A"/>
    <w:rsid w:val="002A32BB"/>
    <w:rsid w:val="002A335E"/>
    <w:rsid w:val="002A33DD"/>
    <w:rsid w:val="002A3546"/>
    <w:rsid w:val="002A3803"/>
    <w:rsid w:val="002A3AB4"/>
    <w:rsid w:val="002A3B77"/>
    <w:rsid w:val="002A3C79"/>
    <w:rsid w:val="002A3D4B"/>
    <w:rsid w:val="002A3DF9"/>
    <w:rsid w:val="002A3F5F"/>
    <w:rsid w:val="002A44A7"/>
    <w:rsid w:val="002A497A"/>
    <w:rsid w:val="002A4C02"/>
    <w:rsid w:val="002A4DF4"/>
    <w:rsid w:val="002A5036"/>
    <w:rsid w:val="002A5276"/>
    <w:rsid w:val="002A5345"/>
    <w:rsid w:val="002A55F2"/>
    <w:rsid w:val="002A56CF"/>
    <w:rsid w:val="002A5A01"/>
    <w:rsid w:val="002A5C1D"/>
    <w:rsid w:val="002A5E07"/>
    <w:rsid w:val="002A5E0D"/>
    <w:rsid w:val="002A63C5"/>
    <w:rsid w:val="002A67F9"/>
    <w:rsid w:val="002A6C05"/>
    <w:rsid w:val="002A7030"/>
    <w:rsid w:val="002A7281"/>
    <w:rsid w:val="002A72B2"/>
    <w:rsid w:val="002A7797"/>
    <w:rsid w:val="002A77BB"/>
    <w:rsid w:val="002A77F5"/>
    <w:rsid w:val="002A7891"/>
    <w:rsid w:val="002A794B"/>
    <w:rsid w:val="002A7BCB"/>
    <w:rsid w:val="002B0327"/>
    <w:rsid w:val="002B07EF"/>
    <w:rsid w:val="002B0A79"/>
    <w:rsid w:val="002B11D3"/>
    <w:rsid w:val="002B1312"/>
    <w:rsid w:val="002B15E2"/>
    <w:rsid w:val="002B1731"/>
    <w:rsid w:val="002B1AAD"/>
    <w:rsid w:val="002B1BD5"/>
    <w:rsid w:val="002B1C2C"/>
    <w:rsid w:val="002B1CF1"/>
    <w:rsid w:val="002B1F08"/>
    <w:rsid w:val="002B1F31"/>
    <w:rsid w:val="002B26A9"/>
    <w:rsid w:val="002B2776"/>
    <w:rsid w:val="002B2C86"/>
    <w:rsid w:val="002B2E0D"/>
    <w:rsid w:val="002B30DF"/>
    <w:rsid w:val="002B319C"/>
    <w:rsid w:val="002B32E1"/>
    <w:rsid w:val="002B32E8"/>
    <w:rsid w:val="002B3375"/>
    <w:rsid w:val="002B338E"/>
    <w:rsid w:val="002B362D"/>
    <w:rsid w:val="002B3709"/>
    <w:rsid w:val="002B382E"/>
    <w:rsid w:val="002B38ED"/>
    <w:rsid w:val="002B3D86"/>
    <w:rsid w:val="002B412D"/>
    <w:rsid w:val="002B43CF"/>
    <w:rsid w:val="002B472F"/>
    <w:rsid w:val="002B4924"/>
    <w:rsid w:val="002B4D00"/>
    <w:rsid w:val="002B51E2"/>
    <w:rsid w:val="002B5841"/>
    <w:rsid w:val="002B5A57"/>
    <w:rsid w:val="002B5C41"/>
    <w:rsid w:val="002B5F57"/>
    <w:rsid w:val="002B6C3D"/>
    <w:rsid w:val="002B74F3"/>
    <w:rsid w:val="002B7526"/>
    <w:rsid w:val="002B7569"/>
    <w:rsid w:val="002B7735"/>
    <w:rsid w:val="002B7750"/>
    <w:rsid w:val="002C00A2"/>
    <w:rsid w:val="002C00C4"/>
    <w:rsid w:val="002C0109"/>
    <w:rsid w:val="002C037F"/>
    <w:rsid w:val="002C03D8"/>
    <w:rsid w:val="002C03F4"/>
    <w:rsid w:val="002C0680"/>
    <w:rsid w:val="002C0A3E"/>
    <w:rsid w:val="002C0ADD"/>
    <w:rsid w:val="002C0D44"/>
    <w:rsid w:val="002C0DE4"/>
    <w:rsid w:val="002C104B"/>
    <w:rsid w:val="002C15E2"/>
    <w:rsid w:val="002C15FC"/>
    <w:rsid w:val="002C1713"/>
    <w:rsid w:val="002C1971"/>
    <w:rsid w:val="002C1F40"/>
    <w:rsid w:val="002C25C8"/>
    <w:rsid w:val="002C2E01"/>
    <w:rsid w:val="002C2F1F"/>
    <w:rsid w:val="002C2F8C"/>
    <w:rsid w:val="002C34D5"/>
    <w:rsid w:val="002C37FD"/>
    <w:rsid w:val="002C3C1F"/>
    <w:rsid w:val="002C3C24"/>
    <w:rsid w:val="002C406D"/>
    <w:rsid w:val="002C481C"/>
    <w:rsid w:val="002C490A"/>
    <w:rsid w:val="002C4A0B"/>
    <w:rsid w:val="002C4D8C"/>
    <w:rsid w:val="002C4E22"/>
    <w:rsid w:val="002C4E3F"/>
    <w:rsid w:val="002C5788"/>
    <w:rsid w:val="002C58A1"/>
    <w:rsid w:val="002C5907"/>
    <w:rsid w:val="002C599A"/>
    <w:rsid w:val="002C5D78"/>
    <w:rsid w:val="002C5F4D"/>
    <w:rsid w:val="002C61B4"/>
    <w:rsid w:val="002C61E3"/>
    <w:rsid w:val="002C6510"/>
    <w:rsid w:val="002C65FC"/>
    <w:rsid w:val="002C69A4"/>
    <w:rsid w:val="002C6A9D"/>
    <w:rsid w:val="002C6B52"/>
    <w:rsid w:val="002C6D18"/>
    <w:rsid w:val="002C7104"/>
    <w:rsid w:val="002C724C"/>
    <w:rsid w:val="002C737A"/>
    <w:rsid w:val="002C76A4"/>
    <w:rsid w:val="002D0088"/>
    <w:rsid w:val="002D0543"/>
    <w:rsid w:val="002D06DC"/>
    <w:rsid w:val="002D0CC4"/>
    <w:rsid w:val="002D0E87"/>
    <w:rsid w:val="002D144A"/>
    <w:rsid w:val="002D1543"/>
    <w:rsid w:val="002D24BC"/>
    <w:rsid w:val="002D2881"/>
    <w:rsid w:val="002D2F01"/>
    <w:rsid w:val="002D347E"/>
    <w:rsid w:val="002D3ADB"/>
    <w:rsid w:val="002D3FD2"/>
    <w:rsid w:val="002D400F"/>
    <w:rsid w:val="002D41FC"/>
    <w:rsid w:val="002D444F"/>
    <w:rsid w:val="002D45BE"/>
    <w:rsid w:val="002D4AE2"/>
    <w:rsid w:val="002D50E0"/>
    <w:rsid w:val="002D5394"/>
    <w:rsid w:val="002D567E"/>
    <w:rsid w:val="002D56E0"/>
    <w:rsid w:val="002D5E1D"/>
    <w:rsid w:val="002D5E51"/>
    <w:rsid w:val="002D60BE"/>
    <w:rsid w:val="002D6268"/>
    <w:rsid w:val="002D642E"/>
    <w:rsid w:val="002D6773"/>
    <w:rsid w:val="002D68AF"/>
    <w:rsid w:val="002D68CB"/>
    <w:rsid w:val="002D68E0"/>
    <w:rsid w:val="002D6938"/>
    <w:rsid w:val="002D6983"/>
    <w:rsid w:val="002D69D2"/>
    <w:rsid w:val="002D6A83"/>
    <w:rsid w:val="002D6AF3"/>
    <w:rsid w:val="002D6B70"/>
    <w:rsid w:val="002D748E"/>
    <w:rsid w:val="002D7499"/>
    <w:rsid w:val="002D7773"/>
    <w:rsid w:val="002D79A4"/>
    <w:rsid w:val="002D7D02"/>
    <w:rsid w:val="002D7F1E"/>
    <w:rsid w:val="002D7F70"/>
    <w:rsid w:val="002E04F8"/>
    <w:rsid w:val="002E0795"/>
    <w:rsid w:val="002E0DCC"/>
    <w:rsid w:val="002E1321"/>
    <w:rsid w:val="002E13DA"/>
    <w:rsid w:val="002E16D9"/>
    <w:rsid w:val="002E17EF"/>
    <w:rsid w:val="002E1881"/>
    <w:rsid w:val="002E1904"/>
    <w:rsid w:val="002E192B"/>
    <w:rsid w:val="002E1B64"/>
    <w:rsid w:val="002E1D46"/>
    <w:rsid w:val="002E1D79"/>
    <w:rsid w:val="002E1DA8"/>
    <w:rsid w:val="002E2094"/>
    <w:rsid w:val="002E24A6"/>
    <w:rsid w:val="002E2E65"/>
    <w:rsid w:val="002E2E74"/>
    <w:rsid w:val="002E2F82"/>
    <w:rsid w:val="002E31AA"/>
    <w:rsid w:val="002E3319"/>
    <w:rsid w:val="002E3330"/>
    <w:rsid w:val="002E384A"/>
    <w:rsid w:val="002E3A9C"/>
    <w:rsid w:val="002E3BFC"/>
    <w:rsid w:val="002E3C2C"/>
    <w:rsid w:val="002E42BF"/>
    <w:rsid w:val="002E4509"/>
    <w:rsid w:val="002E4991"/>
    <w:rsid w:val="002E4ACE"/>
    <w:rsid w:val="002E4CF2"/>
    <w:rsid w:val="002E4D55"/>
    <w:rsid w:val="002E5115"/>
    <w:rsid w:val="002E5D14"/>
    <w:rsid w:val="002E5E2A"/>
    <w:rsid w:val="002E60C7"/>
    <w:rsid w:val="002E66A1"/>
    <w:rsid w:val="002E6959"/>
    <w:rsid w:val="002E6DFE"/>
    <w:rsid w:val="002E7068"/>
    <w:rsid w:val="002E7403"/>
    <w:rsid w:val="002E75B3"/>
    <w:rsid w:val="002E76C0"/>
    <w:rsid w:val="002E7849"/>
    <w:rsid w:val="002E7870"/>
    <w:rsid w:val="002F000E"/>
    <w:rsid w:val="002F005E"/>
    <w:rsid w:val="002F01D9"/>
    <w:rsid w:val="002F02B4"/>
    <w:rsid w:val="002F02B9"/>
    <w:rsid w:val="002F05D1"/>
    <w:rsid w:val="002F0825"/>
    <w:rsid w:val="002F0CEC"/>
    <w:rsid w:val="002F0E50"/>
    <w:rsid w:val="002F0F0B"/>
    <w:rsid w:val="002F1186"/>
    <w:rsid w:val="002F12BC"/>
    <w:rsid w:val="002F143C"/>
    <w:rsid w:val="002F196C"/>
    <w:rsid w:val="002F1A86"/>
    <w:rsid w:val="002F1F2E"/>
    <w:rsid w:val="002F2183"/>
    <w:rsid w:val="002F2322"/>
    <w:rsid w:val="002F2420"/>
    <w:rsid w:val="002F2654"/>
    <w:rsid w:val="002F265F"/>
    <w:rsid w:val="002F3098"/>
    <w:rsid w:val="002F31A9"/>
    <w:rsid w:val="002F3225"/>
    <w:rsid w:val="002F3376"/>
    <w:rsid w:val="002F33AE"/>
    <w:rsid w:val="002F3A25"/>
    <w:rsid w:val="002F3BAD"/>
    <w:rsid w:val="002F3CC7"/>
    <w:rsid w:val="002F40B1"/>
    <w:rsid w:val="002F417C"/>
    <w:rsid w:val="002F42E6"/>
    <w:rsid w:val="002F44DC"/>
    <w:rsid w:val="002F469E"/>
    <w:rsid w:val="002F49F6"/>
    <w:rsid w:val="002F4AB9"/>
    <w:rsid w:val="002F4ABB"/>
    <w:rsid w:val="002F4AE4"/>
    <w:rsid w:val="002F4B7B"/>
    <w:rsid w:val="002F4BEB"/>
    <w:rsid w:val="002F4DCA"/>
    <w:rsid w:val="002F51D2"/>
    <w:rsid w:val="002F5800"/>
    <w:rsid w:val="002F5BC3"/>
    <w:rsid w:val="002F5C2F"/>
    <w:rsid w:val="002F5C51"/>
    <w:rsid w:val="002F5E78"/>
    <w:rsid w:val="002F5FBA"/>
    <w:rsid w:val="002F5FFD"/>
    <w:rsid w:val="002F61B8"/>
    <w:rsid w:val="002F62A1"/>
    <w:rsid w:val="002F64A7"/>
    <w:rsid w:val="002F6693"/>
    <w:rsid w:val="002F6F20"/>
    <w:rsid w:val="002F748C"/>
    <w:rsid w:val="002F75D3"/>
    <w:rsid w:val="002F7755"/>
    <w:rsid w:val="002F7B38"/>
    <w:rsid w:val="002F7C21"/>
    <w:rsid w:val="002F7EA6"/>
    <w:rsid w:val="003001E7"/>
    <w:rsid w:val="0030025C"/>
    <w:rsid w:val="0030043E"/>
    <w:rsid w:val="003006CE"/>
    <w:rsid w:val="00300757"/>
    <w:rsid w:val="00300D80"/>
    <w:rsid w:val="00300F56"/>
    <w:rsid w:val="003010B0"/>
    <w:rsid w:val="00301527"/>
    <w:rsid w:val="00301748"/>
    <w:rsid w:val="00301978"/>
    <w:rsid w:val="00301D83"/>
    <w:rsid w:val="00302589"/>
    <w:rsid w:val="00302648"/>
    <w:rsid w:val="00302760"/>
    <w:rsid w:val="003031B8"/>
    <w:rsid w:val="003036D9"/>
    <w:rsid w:val="0030383E"/>
    <w:rsid w:val="003038BA"/>
    <w:rsid w:val="00303A29"/>
    <w:rsid w:val="00303A9A"/>
    <w:rsid w:val="00303AFF"/>
    <w:rsid w:val="00303B8B"/>
    <w:rsid w:val="00303E30"/>
    <w:rsid w:val="0030400C"/>
    <w:rsid w:val="00304115"/>
    <w:rsid w:val="00304250"/>
    <w:rsid w:val="00304486"/>
    <w:rsid w:val="003045CA"/>
    <w:rsid w:val="003049D3"/>
    <w:rsid w:val="00304EBB"/>
    <w:rsid w:val="00305280"/>
    <w:rsid w:val="003052CD"/>
    <w:rsid w:val="0030533A"/>
    <w:rsid w:val="0030550B"/>
    <w:rsid w:val="003057DC"/>
    <w:rsid w:val="00305A78"/>
    <w:rsid w:val="00305AFF"/>
    <w:rsid w:val="00305C79"/>
    <w:rsid w:val="00305E75"/>
    <w:rsid w:val="003060F2"/>
    <w:rsid w:val="003065AF"/>
    <w:rsid w:val="0030666F"/>
    <w:rsid w:val="0030670C"/>
    <w:rsid w:val="0030676D"/>
    <w:rsid w:val="003067CF"/>
    <w:rsid w:val="00306823"/>
    <w:rsid w:val="00306AE9"/>
    <w:rsid w:val="00306C1B"/>
    <w:rsid w:val="00306DB2"/>
    <w:rsid w:val="00306E41"/>
    <w:rsid w:val="00306ED5"/>
    <w:rsid w:val="00307071"/>
    <w:rsid w:val="003070EA"/>
    <w:rsid w:val="00307805"/>
    <w:rsid w:val="0030794C"/>
    <w:rsid w:val="00307AB0"/>
    <w:rsid w:val="00307B38"/>
    <w:rsid w:val="00307E73"/>
    <w:rsid w:val="003106F7"/>
    <w:rsid w:val="00311D03"/>
    <w:rsid w:val="00311E13"/>
    <w:rsid w:val="00311E72"/>
    <w:rsid w:val="003122DA"/>
    <w:rsid w:val="003128F7"/>
    <w:rsid w:val="00313364"/>
    <w:rsid w:val="0031340B"/>
    <w:rsid w:val="0031371C"/>
    <w:rsid w:val="0031375D"/>
    <w:rsid w:val="003138F3"/>
    <w:rsid w:val="00313AB2"/>
    <w:rsid w:val="00313B96"/>
    <w:rsid w:val="00313F1A"/>
    <w:rsid w:val="00314096"/>
    <w:rsid w:val="00314198"/>
    <w:rsid w:val="00314307"/>
    <w:rsid w:val="003144A1"/>
    <w:rsid w:val="00314768"/>
    <w:rsid w:val="0031478A"/>
    <w:rsid w:val="003147EB"/>
    <w:rsid w:val="00314925"/>
    <w:rsid w:val="00314D40"/>
    <w:rsid w:val="00314D94"/>
    <w:rsid w:val="00314F46"/>
    <w:rsid w:val="0031501F"/>
    <w:rsid w:val="0031543D"/>
    <w:rsid w:val="003154E2"/>
    <w:rsid w:val="00315964"/>
    <w:rsid w:val="00315AAE"/>
    <w:rsid w:val="00315D28"/>
    <w:rsid w:val="00316065"/>
    <w:rsid w:val="003161FC"/>
    <w:rsid w:val="0031636E"/>
    <w:rsid w:val="00316897"/>
    <w:rsid w:val="00316A43"/>
    <w:rsid w:val="00316ACB"/>
    <w:rsid w:val="00316D5B"/>
    <w:rsid w:val="00317358"/>
    <w:rsid w:val="0031748D"/>
    <w:rsid w:val="0031758C"/>
    <w:rsid w:val="00317652"/>
    <w:rsid w:val="00317992"/>
    <w:rsid w:val="00317F7C"/>
    <w:rsid w:val="003201BD"/>
    <w:rsid w:val="00320560"/>
    <w:rsid w:val="00320696"/>
    <w:rsid w:val="00320B0C"/>
    <w:rsid w:val="003214CE"/>
    <w:rsid w:val="00321689"/>
    <w:rsid w:val="0032177F"/>
    <w:rsid w:val="003219ED"/>
    <w:rsid w:val="00321A93"/>
    <w:rsid w:val="00321E2A"/>
    <w:rsid w:val="00321FE7"/>
    <w:rsid w:val="0032239A"/>
    <w:rsid w:val="00322637"/>
    <w:rsid w:val="00322791"/>
    <w:rsid w:val="00322843"/>
    <w:rsid w:val="0032285F"/>
    <w:rsid w:val="00322AE7"/>
    <w:rsid w:val="00322BB5"/>
    <w:rsid w:val="00322BEE"/>
    <w:rsid w:val="00322D4F"/>
    <w:rsid w:val="003230B5"/>
    <w:rsid w:val="0032347F"/>
    <w:rsid w:val="0032354E"/>
    <w:rsid w:val="00323564"/>
    <w:rsid w:val="003235B2"/>
    <w:rsid w:val="00323B54"/>
    <w:rsid w:val="00323B84"/>
    <w:rsid w:val="00323C51"/>
    <w:rsid w:val="00323FCB"/>
    <w:rsid w:val="003240ED"/>
    <w:rsid w:val="003241AA"/>
    <w:rsid w:val="00324362"/>
    <w:rsid w:val="003243B9"/>
    <w:rsid w:val="00324483"/>
    <w:rsid w:val="00324856"/>
    <w:rsid w:val="00324F0C"/>
    <w:rsid w:val="00324FF2"/>
    <w:rsid w:val="00325015"/>
    <w:rsid w:val="0032529A"/>
    <w:rsid w:val="003252A9"/>
    <w:rsid w:val="00325425"/>
    <w:rsid w:val="0032554C"/>
    <w:rsid w:val="003255DA"/>
    <w:rsid w:val="00325BEC"/>
    <w:rsid w:val="003262DB"/>
    <w:rsid w:val="00326914"/>
    <w:rsid w:val="00327260"/>
    <w:rsid w:val="003273DB"/>
    <w:rsid w:val="0032765D"/>
    <w:rsid w:val="0032775C"/>
    <w:rsid w:val="00327CB8"/>
    <w:rsid w:val="00327F87"/>
    <w:rsid w:val="00330263"/>
    <w:rsid w:val="00330298"/>
    <w:rsid w:val="003302C2"/>
    <w:rsid w:val="003304ED"/>
    <w:rsid w:val="0033053A"/>
    <w:rsid w:val="00330557"/>
    <w:rsid w:val="003309D2"/>
    <w:rsid w:val="00330AC7"/>
    <w:rsid w:val="00330C0B"/>
    <w:rsid w:val="00330CFF"/>
    <w:rsid w:val="00330DE6"/>
    <w:rsid w:val="0033115A"/>
    <w:rsid w:val="00331187"/>
    <w:rsid w:val="0033134D"/>
    <w:rsid w:val="00331B26"/>
    <w:rsid w:val="00331F96"/>
    <w:rsid w:val="00332217"/>
    <w:rsid w:val="00332424"/>
    <w:rsid w:val="003324DC"/>
    <w:rsid w:val="003328F8"/>
    <w:rsid w:val="003329B5"/>
    <w:rsid w:val="00332D16"/>
    <w:rsid w:val="00332E98"/>
    <w:rsid w:val="00332F95"/>
    <w:rsid w:val="00333467"/>
    <w:rsid w:val="003339C1"/>
    <w:rsid w:val="00333A12"/>
    <w:rsid w:val="00333AA7"/>
    <w:rsid w:val="00333B33"/>
    <w:rsid w:val="00333BA2"/>
    <w:rsid w:val="00333E84"/>
    <w:rsid w:val="00333E8B"/>
    <w:rsid w:val="00333ED6"/>
    <w:rsid w:val="00334019"/>
    <w:rsid w:val="003347A6"/>
    <w:rsid w:val="003347E9"/>
    <w:rsid w:val="00334BF7"/>
    <w:rsid w:val="00334CE3"/>
    <w:rsid w:val="003351A4"/>
    <w:rsid w:val="0033554D"/>
    <w:rsid w:val="0033565B"/>
    <w:rsid w:val="0033575E"/>
    <w:rsid w:val="00335895"/>
    <w:rsid w:val="00335ADD"/>
    <w:rsid w:val="00335BA0"/>
    <w:rsid w:val="00335BE0"/>
    <w:rsid w:val="00335CD4"/>
    <w:rsid w:val="0033616E"/>
    <w:rsid w:val="003363DE"/>
    <w:rsid w:val="00336527"/>
    <w:rsid w:val="00336672"/>
    <w:rsid w:val="003366BC"/>
    <w:rsid w:val="003366CE"/>
    <w:rsid w:val="00336ACE"/>
    <w:rsid w:val="00336C83"/>
    <w:rsid w:val="00337168"/>
    <w:rsid w:val="0033733A"/>
    <w:rsid w:val="00337778"/>
    <w:rsid w:val="003379A7"/>
    <w:rsid w:val="00337A5A"/>
    <w:rsid w:val="00337A84"/>
    <w:rsid w:val="00337CED"/>
    <w:rsid w:val="00337E83"/>
    <w:rsid w:val="00340006"/>
    <w:rsid w:val="00340178"/>
    <w:rsid w:val="0034018C"/>
    <w:rsid w:val="003401FF"/>
    <w:rsid w:val="003404CE"/>
    <w:rsid w:val="003406E1"/>
    <w:rsid w:val="00340A15"/>
    <w:rsid w:val="00340F36"/>
    <w:rsid w:val="00340FD2"/>
    <w:rsid w:val="00341186"/>
    <w:rsid w:val="00341454"/>
    <w:rsid w:val="00341DA4"/>
    <w:rsid w:val="003421E3"/>
    <w:rsid w:val="00342698"/>
    <w:rsid w:val="00342C6B"/>
    <w:rsid w:val="00342EEF"/>
    <w:rsid w:val="003432B7"/>
    <w:rsid w:val="003437CE"/>
    <w:rsid w:val="0034396E"/>
    <w:rsid w:val="003439EE"/>
    <w:rsid w:val="00343E3A"/>
    <w:rsid w:val="00344088"/>
    <w:rsid w:val="003440B2"/>
    <w:rsid w:val="003443A8"/>
    <w:rsid w:val="00344757"/>
    <w:rsid w:val="003448D5"/>
    <w:rsid w:val="00344A49"/>
    <w:rsid w:val="003452DA"/>
    <w:rsid w:val="003453E1"/>
    <w:rsid w:val="003453E4"/>
    <w:rsid w:val="00345557"/>
    <w:rsid w:val="003457A5"/>
    <w:rsid w:val="003457FD"/>
    <w:rsid w:val="00345823"/>
    <w:rsid w:val="00345BA8"/>
    <w:rsid w:val="00345D6F"/>
    <w:rsid w:val="00345F7C"/>
    <w:rsid w:val="00346026"/>
    <w:rsid w:val="0034624F"/>
    <w:rsid w:val="00346494"/>
    <w:rsid w:val="0034655A"/>
    <w:rsid w:val="0034671C"/>
    <w:rsid w:val="003467FA"/>
    <w:rsid w:val="00346AB6"/>
    <w:rsid w:val="00346CC6"/>
    <w:rsid w:val="00346EDA"/>
    <w:rsid w:val="003472C1"/>
    <w:rsid w:val="00347F04"/>
    <w:rsid w:val="00347F17"/>
    <w:rsid w:val="003504C0"/>
    <w:rsid w:val="003507CF"/>
    <w:rsid w:val="003509FD"/>
    <w:rsid w:val="00350AC0"/>
    <w:rsid w:val="00350F64"/>
    <w:rsid w:val="0035105F"/>
    <w:rsid w:val="0035135D"/>
    <w:rsid w:val="0035157E"/>
    <w:rsid w:val="00351828"/>
    <w:rsid w:val="003518CC"/>
    <w:rsid w:val="00351D0A"/>
    <w:rsid w:val="00351E13"/>
    <w:rsid w:val="00351FD7"/>
    <w:rsid w:val="0035201A"/>
    <w:rsid w:val="00352025"/>
    <w:rsid w:val="0035215F"/>
    <w:rsid w:val="0035216E"/>
    <w:rsid w:val="00352224"/>
    <w:rsid w:val="0035227E"/>
    <w:rsid w:val="003525A4"/>
    <w:rsid w:val="00352A36"/>
    <w:rsid w:val="00352ABB"/>
    <w:rsid w:val="00352CDA"/>
    <w:rsid w:val="00352D3C"/>
    <w:rsid w:val="00352D67"/>
    <w:rsid w:val="003532E4"/>
    <w:rsid w:val="00353983"/>
    <w:rsid w:val="00353D57"/>
    <w:rsid w:val="00353EEF"/>
    <w:rsid w:val="003541B8"/>
    <w:rsid w:val="00354322"/>
    <w:rsid w:val="0035438B"/>
    <w:rsid w:val="003547D7"/>
    <w:rsid w:val="00354844"/>
    <w:rsid w:val="0035494C"/>
    <w:rsid w:val="00354A1C"/>
    <w:rsid w:val="00354A1F"/>
    <w:rsid w:val="00354E08"/>
    <w:rsid w:val="00354E92"/>
    <w:rsid w:val="0035519B"/>
    <w:rsid w:val="003551CB"/>
    <w:rsid w:val="0035532D"/>
    <w:rsid w:val="003553DA"/>
    <w:rsid w:val="0035577D"/>
    <w:rsid w:val="003558E0"/>
    <w:rsid w:val="00355CB7"/>
    <w:rsid w:val="00355EE3"/>
    <w:rsid w:val="003562D7"/>
    <w:rsid w:val="0035640C"/>
    <w:rsid w:val="003568C8"/>
    <w:rsid w:val="00356B8E"/>
    <w:rsid w:val="00356D84"/>
    <w:rsid w:val="00356E94"/>
    <w:rsid w:val="00356FD4"/>
    <w:rsid w:val="003570DB"/>
    <w:rsid w:val="003571EE"/>
    <w:rsid w:val="00357311"/>
    <w:rsid w:val="003576C3"/>
    <w:rsid w:val="00357DF9"/>
    <w:rsid w:val="003603BD"/>
    <w:rsid w:val="003604A5"/>
    <w:rsid w:val="0036084D"/>
    <w:rsid w:val="00360865"/>
    <w:rsid w:val="003609C9"/>
    <w:rsid w:val="00360BF8"/>
    <w:rsid w:val="00360C79"/>
    <w:rsid w:val="00360DBF"/>
    <w:rsid w:val="00360FF4"/>
    <w:rsid w:val="003611AA"/>
    <w:rsid w:val="00361312"/>
    <w:rsid w:val="00361668"/>
    <w:rsid w:val="0036176D"/>
    <w:rsid w:val="0036192C"/>
    <w:rsid w:val="003619AC"/>
    <w:rsid w:val="00361C81"/>
    <w:rsid w:val="00361E33"/>
    <w:rsid w:val="00361F9C"/>
    <w:rsid w:val="00362206"/>
    <w:rsid w:val="003623AA"/>
    <w:rsid w:val="003628E3"/>
    <w:rsid w:val="003629F0"/>
    <w:rsid w:val="003629F9"/>
    <w:rsid w:val="00362A92"/>
    <w:rsid w:val="00362C82"/>
    <w:rsid w:val="00362E1F"/>
    <w:rsid w:val="003631B3"/>
    <w:rsid w:val="00363AA5"/>
    <w:rsid w:val="00363D5E"/>
    <w:rsid w:val="00363DAF"/>
    <w:rsid w:val="00363EED"/>
    <w:rsid w:val="003640B1"/>
    <w:rsid w:val="00364207"/>
    <w:rsid w:val="00364636"/>
    <w:rsid w:val="003646CA"/>
    <w:rsid w:val="00364887"/>
    <w:rsid w:val="003648C8"/>
    <w:rsid w:val="003656E4"/>
    <w:rsid w:val="00365716"/>
    <w:rsid w:val="003657B0"/>
    <w:rsid w:val="003659D0"/>
    <w:rsid w:val="00365C80"/>
    <w:rsid w:val="00365FC0"/>
    <w:rsid w:val="0036630B"/>
    <w:rsid w:val="00366356"/>
    <w:rsid w:val="00366DE3"/>
    <w:rsid w:val="00366F34"/>
    <w:rsid w:val="00367753"/>
    <w:rsid w:val="00367821"/>
    <w:rsid w:val="00367BB0"/>
    <w:rsid w:val="00367BFA"/>
    <w:rsid w:val="00367DAB"/>
    <w:rsid w:val="00370379"/>
    <w:rsid w:val="003704C8"/>
    <w:rsid w:val="00370B14"/>
    <w:rsid w:val="00370D3C"/>
    <w:rsid w:val="00370D7D"/>
    <w:rsid w:val="00370E42"/>
    <w:rsid w:val="0037108E"/>
    <w:rsid w:val="00371151"/>
    <w:rsid w:val="00371173"/>
    <w:rsid w:val="003711A7"/>
    <w:rsid w:val="00371258"/>
    <w:rsid w:val="0037133E"/>
    <w:rsid w:val="0037154C"/>
    <w:rsid w:val="0037169E"/>
    <w:rsid w:val="003718D3"/>
    <w:rsid w:val="003720CA"/>
    <w:rsid w:val="00372109"/>
    <w:rsid w:val="0037214B"/>
    <w:rsid w:val="00372159"/>
    <w:rsid w:val="0037219C"/>
    <w:rsid w:val="00372373"/>
    <w:rsid w:val="0037242C"/>
    <w:rsid w:val="003729CA"/>
    <w:rsid w:val="00372DDF"/>
    <w:rsid w:val="00372ECB"/>
    <w:rsid w:val="00372F23"/>
    <w:rsid w:val="0037301E"/>
    <w:rsid w:val="00373182"/>
    <w:rsid w:val="00373325"/>
    <w:rsid w:val="00373A50"/>
    <w:rsid w:val="00373A93"/>
    <w:rsid w:val="00373ECE"/>
    <w:rsid w:val="00374333"/>
    <w:rsid w:val="0037434E"/>
    <w:rsid w:val="00374D10"/>
    <w:rsid w:val="00375033"/>
    <w:rsid w:val="00375536"/>
    <w:rsid w:val="00375789"/>
    <w:rsid w:val="003758FA"/>
    <w:rsid w:val="00375B5A"/>
    <w:rsid w:val="00375BEA"/>
    <w:rsid w:val="00375C0E"/>
    <w:rsid w:val="00375F08"/>
    <w:rsid w:val="003775EC"/>
    <w:rsid w:val="0037771D"/>
    <w:rsid w:val="00377944"/>
    <w:rsid w:val="00380055"/>
    <w:rsid w:val="003803D1"/>
    <w:rsid w:val="00380807"/>
    <w:rsid w:val="00380848"/>
    <w:rsid w:val="00380942"/>
    <w:rsid w:val="003809C3"/>
    <w:rsid w:val="00380A46"/>
    <w:rsid w:val="00380BBB"/>
    <w:rsid w:val="00380C41"/>
    <w:rsid w:val="00380D49"/>
    <w:rsid w:val="00380EA8"/>
    <w:rsid w:val="00380F00"/>
    <w:rsid w:val="0038117C"/>
    <w:rsid w:val="0038126D"/>
    <w:rsid w:val="00381642"/>
    <w:rsid w:val="0038164E"/>
    <w:rsid w:val="0038171F"/>
    <w:rsid w:val="003818F5"/>
    <w:rsid w:val="00381C57"/>
    <w:rsid w:val="00381D5E"/>
    <w:rsid w:val="00381DCD"/>
    <w:rsid w:val="0038239D"/>
    <w:rsid w:val="0038246F"/>
    <w:rsid w:val="003827D3"/>
    <w:rsid w:val="00382898"/>
    <w:rsid w:val="0038297E"/>
    <w:rsid w:val="00382F1B"/>
    <w:rsid w:val="00383421"/>
    <w:rsid w:val="0038349F"/>
    <w:rsid w:val="003834EF"/>
    <w:rsid w:val="003836BB"/>
    <w:rsid w:val="00383811"/>
    <w:rsid w:val="003838BE"/>
    <w:rsid w:val="00383B52"/>
    <w:rsid w:val="00383BBF"/>
    <w:rsid w:val="00383CF7"/>
    <w:rsid w:val="00383DFF"/>
    <w:rsid w:val="00383EEC"/>
    <w:rsid w:val="003841B3"/>
    <w:rsid w:val="00384207"/>
    <w:rsid w:val="0038447D"/>
    <w:rsid w:val="003847CB"/>
    <w:rsid w:val="0038480D"/>
    <w:rsid w:val="00384B1E"/>
    <w:rsid w:val="00384C8A"/>
    <w:rsid w:val="00384CDD"/>
    <w:rsid w:val="00385508"/>
    <w:rsid w:val="00385563"/>
    <w:rsid w:val="0038558B"/>
    <w:rsid w:val="00385714"/>
    <w:rsid w:val="00385DF2"/>
    <w:rsid w:val="003868FB"/>
    <w:rsid w:val="00386E2C"/>
    <w:rsid w:val="00387073"/>
    <w:rsid w:val="00387196"/>
    <w:rsid w:val="003871CC"/>
    <w:rsid w:val="00387245"/>
    <w:rsid w:val="003876DE"/>
    <w:rsid w:val="003878E7"/>
    <w:rsid w:val="00387AF7"/>
    <w:rsid w:val="00387C44"/>
    <w:rsid w:val="00387E8A"/>
    <w:rsid w:val="00387F61"/>
    <w:rsid w:val="003900E8"/>
    <w:rsid w:val="00390114"/>
    <w:rsid w:val="00390203"/>
    <w:rsid w:val="0039068A"/>
    <w:rsid w:val="003906DB"/>
    <w:rsid w:val="003907A9"/>
    <w:rsid w:val="003907F8"/>
    <w:rsid w:val="003909A3"/>
    <w:rsid w:val="003909BA"/>
    <w:rsid w:val="00391595"/>
    <w:rsid w:val="00391A43"/>
    <w:rsid w:val="003920BB"/>
    <w:rsid w:val="0039224D"/>
    <w:rsid w:val="00392253"/>
    <w:rsid w:val="00392389"/>
    <w:rsid w:val="0039278C"/>
    <w:rsid w:val="00392A87"/>
    <w:rsid w:val="00392B0A"/>
    <w:rsid w:val="00392C21"/>
    <w:rsid w:val="00392E10"/>
    <w:rsid w:val="00392F4B"/>
    <w:rsid w:val="00393024"/>
    <w:rsid w:val="00393C3E"/>
    <w:rsid w:val="00394092"/>
    <w:rsid w:val="00394614"/>
    <w:rsid w:val="00394883"/>
    <w:rsid w:val="00394EC6"/>
    <w:rsid w:val="00394F38"/>
    <w:rsid w:val="00394FB7"/>
    <w:rsid w:val="003950BA"/>
    <w:rsid w:val="00395337"/>
    <w:rsid w:val="00395583"/>
    <w:rsid w:val="003955EC"/>
    <w:rsid w:val="00395C45"/>
    <w:rsid w:val="00395E86"/>
    <w:rsid w:val="00395F7B"/>
    <w:rsid w:val="003960A4"/>
    <w:rsid w:val="0039635A"/>
    <w:rsid w:val="0039669A"/>
    <w:rsid w:val="00396737"/>
    <w:rsid w:val="003968DB"/>
    <w:rsid w:val="00396AA0"/>
    <w:rsid w:val="00396AA9"/>
    <w:rsid w:val="00396DFE"/>
    <w:rsid w:val="00396E4D"/>
    <w:rsid w:val="00396EE7"/>
    <w:rsid w:val="00397716"/>
    <w:rsid w:val="0039788E"/>
    <w:rsid w:val="00397E2E"/>
    <w:rsid w:val="003A0826"/>
    <w:rsid w:val="003A0868"/>
    <w:rsid w:val="003A09B1"/>
    <w:rsid w:val="003A0AC0"/>
    <w:rsid w:val="003A119D"/>
    <w:rsid w:val="003A1810"/>
    <w:rsid w:val="003A18F8"/>
    <w:rsid w:val="003A195C"/>
    <w:rsid w:val="003A1A06"/>
    <w:rsid w:val="003A1D6E"/>
    <w:rsid w:val="003A1E44"/>
    <w:rsid w:val="003A1F04"/>
    <w:rsid w:val="003A202C"/>
    <w:rsid w:val="003A2031"/>
    <w:rsid w:val="003A2371"/>
    <w:rsid w:val="003A23F9"/>
    <w:rsid w:val="003A25D0"/>
    <w:rsid w:val="003A2889"/>
    <w:rsid w:val="003A2930"/>
    <w:rsid w:val="003A2FB9"/>
    <w:rsid w:val="003A304C"/>
    <w:rsid w:val="003A3115"/>
    <w:rsid w:val="003A31C6"/>
    <w:rsid w:val="003A3212"/>
    <w:rsid w:val="003A3227"/>
    <w:rsid w:val="003A3421"/>
    <w:rsid w:val="003A34D2"/>
    <w:rsid w:val="003A3800"/>
    <w:rsid w:val="003A38F5"/>
    <w:rsid w:val="003A3900"/>
    <w:rsid w:val="003A3F2B"/>
    <w:rsid w:val="003A443F"/>
    <w:rsid w:val="003A4462"/>
    <w:rsid w:val="003A477C"/>
    <w:rsid w:val="003A4879"/>
    <w:rsid w:val="003A4901"/>
    <w:rsid w:val="003A4939"/>
    <w:rsid w:val="003A4C69"/>
    <w:rsid w:val="003A579C"/>
    <w:rsid w:val="003A5E84"/>
    <w:rsid w:val="003A6202"/>
    <w:rsid w:val="003A6553"/>
    <w:rsid w:val="003A65FD"/>
    <w:rsid w:val="003A6AEC"/>
    <w:rsid w:val="003A6E25"/>
    <w:rsid w:val="003A6EA9"/>
    <w:rsid w:val="003A6F68"/>
    <w:rsid w:val="003A6FC8"/>
    <w:rsid w:val="003A71E3"/>
    <w:rsid w:val="003A75A0"/>
    <w:rsid w:val="003A7685"/>
    <w:rsid w:val="003A7893"/>
    <w:rsid w:val="003A7993"/>
    <w:rsid w:val="003A7EA6"/>
    <w:rsid w:val="003B01F6"/>
    <w:rsid w:val="003B04E3"/>
    <w:rsid w:val="003B0708"/>
    <w:rsid w:val="003B078E"/>
    <w:rsid w:val="003B14EE"/>
    <w:rsid w:val="003B1E93"/>
    <w:rsid w:val="003B1ED7"/>
    <w:rsid w:val="003B1F67"/>
    <w:rsid w:val="003B20E6"/>
    <w:rsid w:val="003B2161"/>
    <w:rsid w:val="003B2414"/>
    <w:rsid w:val="003B2724"/>
    <w:rsid w:val="003B2C9F"/>
    <w:rsid w:val="003B2CB0"/>
    <w:rsid w:val="003B2E1A"/>
    <w:rsid w:val="003B304E"/>
    <w:rsid w:val="003B31C0"/>
    <w:rsid w:val="003B32C5"/>
    <w:rsid w:val="003B33F6"/>
    <w:rsid w:val="003B34EE"/>
    <w:rsid w:val="003B37BD"/>
    <w:rsid w:val="003B3F45"/>
    <w:rsid w:val="003B41D9"/>
    <w:rsid w:val="003B442F"/>
    <w:rsid w:val="003B47BB"/>
    <w:rsid w:val="003B4BE3"/>
    <w:rsid w:val="003B4D6A"/>
    <w:rsid w:val="003B4E67"/>
    <w:rsid w:val="003B4F2D"/>
    <w:rsid w:val="003B5139"/>
    <w:rsid w:val="003B53E1"/>
    <w:rsid w:val="003B54C3"/>
    <w:rsid w:val="003B58A7"/>
    <w:rsid w:val="003B598A"/>
    <w:rsid w:val="003B5BAC"/>
    <w:rsid w:val="003B5C6B"/>
    <w:rsid w:val="003B60CF"/>
    <w:rsid w:val="003B60DA"/>
    <w:rsid w:val="003B61BF"/>
    <w:rsid w:val="003B626E"/>
    <w:rsid w:val="003B6461"/>
    <w:rsid w:val="003B650A"/>
    <w:rsid w:val="003B6676"/>
    <w:rsid w:val="003B670F"/>
    <w:rsid w:val="003B693C"/>
    <w:rsid w:val="003B69EF"/>
    <w:rsid w:val="003B6B2E"/>
    <w:rsid w:val="003B6EF5"/>
    <w:rsid w:val="003B7233"/>
    <w:rsid w:val="003B734A"/>
    <w:rsid w:val="003B7499"/>
    <w:rsid w:val="003B74EC"/>
    <w:rsid w:val="003B771E"/>
    <w:rsid w:val="003C0438"/>
    <w:rsid w:val="003C0483"/>
    <w:rsid w:val="003C0682"/>
    <w:rsid w:val="003C08FC"/>
    <w:rsid w:val="003C0902"/>
    <w:rsid w:val="003C0A16"/>
    <w:rsid w:val="003C0BE6"/>
    <w:rsid w:val="003C0D2F"/>
    <w:rsid w:val="003C0F90"/>
    <w:rsid w:val="003C1515"/>
    <w:rsid w:val="003C1653"/>
    <w:rsid w:val="003C17DB"/>
    <w:rsid w:val="003C1B98"/>
    <w:rsid w:val="003C1CD2"/>
    <w:rsid w:val="003C1CF9"/>
    <w:rsid w:val="003C2005"/>
    <w:rsid w:val="003C21B5"/>
    <w:rsid w:val="003C232A"/>
    <w:rsid w:val="003C2479"/>
    <w:rsid w:val="003C2540"/>
    <w:rsid w:val="003C260B"/>
    <w:rsid w:val="003C266E"/>
    <w:rsid w:val="003C2C28"/>
    <w:rsid w:val="003C2F56"/>
    <w:rsid w:val="003C3074"/>
    <w:rsid w:val="003C3193"/>
    <w:rsid w:val="003C3206"/>
    <w:rsid w:val="003C359E"/>
    <w:rsid w:val="003C3666"/>
    <w:rsid w:val="003C371F"/>
    <w:rsid w:val="003C3799"/>
    <w:rsid w:val="003C3804"/>
    <w:rsid w:val="003C393D"/>
    <w:rsid w:val="003C3CF3"/>
    <w:rsid w:val="003C3D5D"/>
    <w:rsid w:val="003C413D"/>
    <w:rsid w:val="003C4480"/>
    <w:rsid w:val="003C4591"/>
    <w:rsid w:val="003C46DE"/>
    <w:rsid w:val="003C46EF"/>
    <w:rsid w:val="003C48DE"/>
    <w:rsid w:val="003C490A"/>
    <w:rsid w:val="003C4959"/>
    <w:rsid w:val="003C4C00"/>
    <w:rsid w:val="003C4C73"/>
    <w:rsid w:val="003C4E02"/>
    <w:rsid w:val="003C4E5C"/>
    <w:rsid w:val="003C4FF9"/>
    <w:rsid w:val="003C514B"/>
    <w:rsid w:val="003C5351"/>
    <w:rsid w:val="003C5524"/>
    <w:rsid w:val="003C5667"/>
    <w:rsid w:val="003C568A"/>
    <w:rsid w:val="003C56DF"/>
    <w:rsid w:val="003C578D"/>
    <w:rsid w:val="003C5799"/>
    <w:rsid w:val="003C5966"/>
    <w:rsid w:val="003C59E4"/>
    <w:rsid w:val="003C5C2E"/>
    <w:rsid w:val="003C5C88"/>
    <w:rsid w:val="003C61DF"/>
    <w:rsid w:val="003C66FB"/>
    <w:rsid w:val="003C67B4"/>
    <w:rsid w:val="003C6BDB"/>
    <w:rsid w:val="003C6CCD"/>
    <w:rsid w:val="003C6D3F"/>
    <w:rsid w:val="003C6F87"/>
    <w:rsid w:val="003C73E8"/>
    <w:rsid w:val="003C78FE"/>
    <w:rsid w:val="003C7FB9"/>
    <w:rsid w:val="003D023F"/>
    <w:rsid w:val="003D0271"/>
    <w:rsid w:val="003D0EA5"/>
    <w:rsid w:val="003D0FB6"/>
    <w:rsid w:val="003D18B8"/>
    <w:rsid w:val="003D1B88"/>
    <w:rsid w:val="003D1B8D"/>
    <w:rsid w:val="003D209E"/>
    <w:rsid w:val="003D22EB"/>
    <w:rsid w:val="003D246D"/>
    <w:rsid w:val="003D2475"/>
    <w:rsid w:val="003D24E8"/>
    <w:rsid w:val="003D2515"/>
    <w:rsid w:val="003D284A"/>
    <w:rsid w:val="003D28CB"/>
    <w:rsid w:val="003D295A"/>
    <w:rsid w:val="003D2C23"/>
    <w:rsid w:val="003D2F6A"/>
    <w:rsid w:val="003D2FED"/>
    <w:rsid w:val="003D33C1"/>
    <w:rsid w:val="003D34B6"/>
    <w:rsid w:val="003D34EE"/>
    <w:rsid w:val="003D362F"/>
    <w:rsid w:val="003D36C4"/>
    <w:rsid w:val="003D374C"/>
    <w:rsid w:val="003D377C"/>
    <w:rsid w:val="003D3C71"/>
    <w:rsid w:val="003D3F1B"/>
    <w:rsid w:val="003D4038"/>
    <w:rsid w:val="003D4148"/>
    <w:rsid w:val="003D4247"/>
    <w:rsid w:val="003D44AD"/>
    <w:rsid w:val="003D4644"/>
    <w:rsid w:val="003D4A4B"/>
    <w:rsid w:val="003D4B1F"/>
    <w:rsid w:val="003D4B4A"/>
    <w:rsid w:val="003D523C"/>
    <w:rsid w:val="003D5376"/>
    <w:rsid w:val="003D542C"/>
    <w:rsid w:val="003D5666"/>
    <w:rsid w:val="003D5C77"/>
    <w:rsid w:val="003D5C7A"/>
    <w:rsid w:val="003D5CED"/>
    <w:rsid w:val="003D5E90"/>
    <w:rsid w:val="003D5FA1"/>
    <w:rsid w:val="003D627B"/>
    <w:rsid w:val="003D63B2"/>
    <w:rsid w:val="003D6514"/>
    <w:rsid w:val="003D65DB"/>
    <w:rsid w:val="003D6962"/>
    <w:rsid w:val="003D6E07"/>
    <w:rsid w:val="003D729D"/>
    <w:rsid w:val="003D7E6A"/>
    <w:rsid w:val="003E0097"/>
    <w:rsid w:val="003E0257"/>
    <w:rsid w:val="003E05D0"/>
    <w:rsid w:val="003E0B06"/>
    <w:rsid w:val="003E0ED1"/>
    <w:rsid w:val="003E105B"/>
    <w:rsid w:val="003E1088"/>
    <w:rsid w:val="003E1A04"/>
    <w:rsid w:val="003E1DA7"/>
    <w:rsid w:val="003E1E96"/>
    <w:rsid w:val="003E2295"/>
    <w:rsid w:val="003E2750"/>
    <w:rsid w:val="003E27E7"/>
    <w:rsid w:val="003E29D2"/>
    <w:rsid w:val="003E2AAD"/>
    <w:rsid w:val="003E3551"/>
    <w:rsid w:val="003E366F"/>
    <w:rsid w:val="003E3B87"/>
    <w:rsid w:val="003E3CDC"/>
    <w:rsid w:val="003E3E6B"/>
    <w:rsid w:val="003E3F5E"/>
    <w:rsid w:val="003E4D05"/>
    <w:rsid w:val="003E4DFD"/>
    <w:rsid w:val="003E5068"/>
    <w:rsid w:val="003E50E6"/>
    <w:rsid w:val="003E5237"/>
    <w:rsid w:val="003E54F6"/>
    <w:rsid w:val="003E5590"/>
    <w:rsid w:val="003E55B0"/>
    <w:rsid w:val="003E59BA"/>
    <w:rsid w:val="003E5B17"/>
    <w:rsid w:val="003E5C86"/>
    <w:rsid w:val="003E6387"/>
    <w:rsid w:val="003E6471"/>
    <w:rsid w:val="003E690A"/>
    <w:rsid w:val="003E6B20"/>
    <w:rsid w:val="003E6B80"/>
    <w:rsid w:val="003E6BE1"/>
    <w:rsid w:val="003E6CB3"/>
    <w:rsid w:val="003E6ED1"/>
    <w:rsid w:val="003E6F8D"/>
    <w:rsid w:val="003E7184"/>
    <w:rsid w:val="003E746F"/>
    <w:rsid w:val="003E7644"/>
    <w:rsid w:val="003E7B93"/>
    <w:rsid w:val="003E7EEB"/>
    <w:rsid w:val="003F00CB"/>
    <w:rsid w:val="003F0125"/>
    <w:rsid w:val="003F1219"/>
    <w:rsid w:val="003F1429"/>
    <w:rsid w:val="003F1724"/>
    <w:rsid w:val="003F1783"/>
    <w:rsid w:val="003F1784"/>
    <w:rsid w:val="003F17A7"/>
    <w:rsid w:val="003F181B"/>
    <w:rsid w:val="003F1A6A"/>
    <w:rsid w:val="003F1D5A"/>
    <w:rsid w:val="003F1E5A"/>
    <w:rsid w:val="003F20B7"/>
    <w:rsid w:val="003F2102"/>
    <w:rsid w:val="003F2222"/>
    <w:rsid w:val="003F234C"/>
    <w:rsid w:val="003F2505"/>
    <w:rsid w:val="003F2942"/>
    <w:rsid w:val="003F29BA"/>
    <w:rsid w:val="003F2D72"/>
    <w:rsid w:val="003F2E9B"/>
    <w:rsid w:val="003F36DE"/>
    <w:rsid w:val="003F4009"/>
    <w:rsid w:val="003F46C6"/>
    <w:rsid w:val="003F493D"/>
    <w:rsid w:val="003F4AB0"/>
    <w:rsid w:val="003F4B20"/>
    <w:rsid w:val="003F4BF6"/>
    <w:rsid w:val="003F4CDD"/>
    <w:rsid w:val="003F4E66"/>
    <w:rsid w:val="003F4FEB"/>
    <w:rsid w:val="003F51CB"/>
    <w:rsid w:val="003F5735"/>
    <w:rsid w:val="003F5DB4"/>
    <w:rsid w:val="003F5E65"/>
    <w:rsid w:val="003F5F4B"/>
    <w:rsid w:val="003F6455"/>
    <w:rsid w:val="003F6997"/>
    <w:rsid w:val="003F69F2"/>
    <w:rsid w:val="003F6CC9"/>
    <w:rsid w:val="003F6F21"/>
    <w:rsid w:val="003F70FF"/>
    <w:rsid w:val="003F7A2E"/>
    <w:rsid w:val="00400166"/>
    <w:rsid w:val="00400595"/>
    <w:rsid w:val="004007BB"/>
    <w:rsid w:val="00400856"/>
    <w:rsid w:val="004008FA"/>
    <w:rsid w:val="00400AA1"/>
    <w:rsid w:val="0040111D"/>
    <w:rsid w:val="0040168E"/>
    <w:rsid w:val="0040169E"/>
    <w:rsid w:val="0040170B"/>
    <w:rsid w:val="00401AA5"/>
    <w:rsid w:val="00401AF9"/>
    <w:rsid w:val="00401B35"/>
    <w:rsid w:val="00402CE0"/>
    <w:rsid w:val="00402F1E"/>
    <w:rsid w:val="00403385"/>
    <w:rsid w:val="004036E6"/>
    <w:rsid w:val="004039A8"/>
    <w:rsid w:val="00403B10"/>
    <w:rsid w:val="00404028"/>
    <w:rsid w:val="00404362"/>
    <w:rsid w:val="00404529"/>
    <w:rsid w:val="0040493D"/>
    <w:rsid w:val="004050E3"/>
    <w:rsid w:val="0040528C"/>
    <w:rsid w:val="004052F3"/>
    <w:rsid w:val="00405429"/>
    <w:rsid w:val="004055CE"/>
    <w:rsid w:val="0040593C"/>
    <w:rsid w:val="00405F9D"/>
    <w:rsid w:val="00405FAE"/>
    <w:rsid w:val="004069DB"/>
    <w:rsid w:val="00406B6F"/>
    <w:rsid w:val="00406CD1"/>
    <w:rsid w:val="00406D72"/>
    <w:rsid w:val="00407521"/>
    <w:rsid w:val="00407887"/>
    <w:rsid w:val="00407EBA"/>
    <w:rsid w:val="00410263"/>
    <w:rsid w:val="004102BA"/>
    <w:rsid w:val="004104FD"/>
    <w:rsid w:val="0041065B"/>
    <w:rsid w:val="00410725"/>
    <w:rsid w:val="00410772"/>
    <w:rsid w:val="0041079C"/>
    <w:rsid w:val="004107E5"/>
    <w:rsid w:val="004109B5"/>
    <w:rsid w:val="00410F97"/>
    <w:rsid w:val="004110D5"/>
    <w:rsid w:val="00411479"/>
    <w:rsid w:val="00411626"/>
    <w:rsid w:val="00412227"/>
    <w:rsid w:val="00412540"/>
    <w:rsid w:val="004127A3"/>
    <w:rsid w:val="004128B7"/>
    <w:rsid w:val="004129CF"/>
    <w:rsid w:val="004130CE"/>
    <w:rsid w:val="0041326B"/>
    <w:rsid w:val="00413634"/>
    <w:rsid w:val="004136CF"/>
    <w:rsid w:val="0041376D"/>
    <w:rsid w:val="004138F4"/>
    <w:rsid w:val="004139DD"/>
    <w:rsid w:val="00413BC9"/>
    <w:rsid w:val="00413CD7"/>
    <w:rsid w:val="00413D6D"/>
    <w:rsid w:val="00413DC4"/>
    <w:rsid w:val="00413ED0"/>
    <w:rsid w:val="0041402A"/>
    <w:rsid w:val="004141E7"/>
    <w:rsid w:val="00414556"/>
    <w:rsid w:val="004146F6"/>
    <w:rsid w:val="0041489C"/>
    <w:rsid w:val="00414A49"/>
    <w:rsid w:val="004153D8"/>
    <w:rsid w:val="00415547"/>
    <w:rsid w:val="0041558D"/>
    <w:rsid w:val="004155F3"/>
    <w:rsid w:val="0041563F"/>
    <w:rsid w:val="00415ABD"/>
    <w:rsid w:val="00415D47"/>
    <w:rsid w:val="00416100"/>
    <w:rsid w:val="00416401"/>
    <w:rsid w:val="00416C9E"/>
    <w:rsid w:val="00417117"/>
    <w:rsid w:val="00417157"/>
    <w:rsid w:val="004171D3"/>
    <w:rsid w:val="004173A8"/>
    <w:rsid w:val="004173C8"/>
    <w:rsid w:val="00417432"/>
    <w:rsid w:val="00417765"/>
    <w:rsid w:val="00417766"/>
    <w:rsid w:val="00417FEC"/>
    <w:rsid w:val="0042012B"/>
    <w:rsid w:val="004201A3"/>
    <w:rsid w:val="004202C0"/>
    <w:rsid w:val="0042082B"/>
    <w:rsid w:val="00420ABD"/>
    <w:rsid w:val="00420C6B"/>
    <w:rsid w:val="00420F0A"/>
    <w:rsid w:val="00420FDD"/>
    <w:rsid w:val="00421224"/>
    <w:rsid w:val="004212AC"/>
    <w:rsid w:val="004214B8"/>
    <w:rsid w:val="0042159B"/>
    <w:rsid w:val="004215A1"/>
    <w:rsid w:val="004219B4"/>
    <w:rsid w:val="004219E4"/>
    <w:rsid w:val="00421A94"/>
    <w:rsid w:val="00421B6D"/>
    <w:rsid w:val="00421C5E"/>
    <w:rsid w:val="00421C87"/>
    <w:rsid w:val="00421E8D"/>
    <w:rsid w:val="0042219C"/>
    <w:rsid w:val="004222CD"/>
    <w:rsid w:val="0042233D"/>
    <w:rsid w:val="00422401"/>
    <w:rsid w:val="00422646"/>
    <w:rsid w:val="004226C4"/>
    <w:rsid w:val="00422A20"/>
    <w:rsid w:val="00422CF9"/>
    <w:rsid w:val="00422F1C"/>
    <w:rsid w:val="0042322D"/>
    <w:rsid w:val="004232C5"/>
    <w:rsid w:val="0042342A"/>
    <w:rsid w:val="00423449"/>
    <w:rsid w:val="00423A97"/>
    <w:rsid w:val="00424244"/>
    <w:rsid w:val="004242F3"/>
    <w:rsid w:val="0042494F"/>
    <w:rsid w:val="00424A38"/>
    <w:rsid w:val="00424B0C"/>
    <w:rsid w:val="00424DB7"/>
    <w:rsid w:val="00424DC4"/>
    <w:rsid w:val="00424F1B"/>
    <w:rsid w:val="00425251"/>
    <w:rsid w:val="00425431"/>
    <w:rsid w:val="0042547A"/>
    <w:rsid w:val="0042554D"/>
    <w:rsid w:val="004255AE"/>
    <w:rsid w:val="00425914"/>
    <w:rsid w:val="00425CF9"/>
    <w:rsid w:val="00425E1B"/>
    <w:rsid w:val="00425E37"/>
    <w:rsid w:val="00425F4E"/>
    <w:rsid w:val="004260C4"/>
    <w:rsid w:val="00426279"/>
    <w:rsid w:val="004262FA"/>
    <w:rsid w:val="004263D2"/>
    <w:rsid w:val="0042669F"/>
    <w:rsid w:val="00426D88"/>
    <w:rsid w:val="00426E6D"/>
    <w:rsid w:val="004270AE"/>
    <w:rsid w:val="004272A6"/>
    <w:rsid w:val="0042731C"/>
    <w:rsid w:val="0042764A"/>
    <w:rsid w:val="00427654"/>
    <w:rsid w:val="004276EC"/>
    <w:rsid w:val="00427862"/>
    <w:rsid w:val="004279D9"/>
    <w:rsid w:val="00427C5F"/>
    <w:rsid w:val="00427E12"/>
    <w:rsid w:val="00427EDC"/>
    <w:rsid w:val="00430762"/>
    <w:rsid w:val="004307D8"/>
    <w:rsid w:val="004308EA"/>
    <w:rsid w:val="004309D1"/>
    <w:rsid w:val="00430AA4"/>
    <w:rsid w:val="00430BF8"/>
    <w:rsid w:val="00430E67"/>
    <w:rsid w:val="00430FC0"/>
    <w:rsid w:val="004310C2"/>
    <w:rsid w:val="0043127D"/>
    <w:rsid w:val="0043136A"/>
    <w:rsid w:val="004316DE"/>
    <w:rsid w:val="004316FA"/>
    <w:rsid w:val="00431769"/>
    <w:rsid w:val="004318CE"/>
    <w:rsid w:val="00431AB7"/>
    <w:rsid w:val="00431CE4"/>
    <w:rsid w:val="00431CED"/>
    <w:rsid w:val="004322BE"/>
    <w:rsid w:val="00432450"/>
    <w:rsid w:val="00432850"/>
    <w:rsid w:val="004328E4"/>
    <w:rsid w:val="00432B79"/>
    <w:rsid w:val="00432BD4"/>
    <w:rsid w:val="00432E1C"/>
    <w:rsid w:val="00432EDE"/>
    <w:rsid w:val="00433617"/>
    <w:rsid w:val="00433763"/>
    <w:rsid w:val="00433A4F"/>
    <w:rsid w:val="00433B31"/>
    <w:rsid w:val="00433EBA"/>
    <w:rsid w:val="00434103"/>
    <w:rsid w:val="004345A1"/>
    <w:rsid w:val="00434AB6"/>
    <w:rsid w:val="00434BEF"/>
    <w:rsid w:val="00434C7C"/>
    <w:rsid w:val="0043507E"/>
    <w:rsid w:val="00435C47"/>
    <w:rsid w:val="00435D79"/>
    <w:rsid w:val="00435E1A"/>
    <w:rsid w:val="00435FCF"/>
    <w:rsid w:val="004361F2"/>
    <w:rsid w:val="0043680A"/>
    <w:rsid w:val="00436975"/>
    <w:rsid w:val="00436A79"/>
    <w:rsid w:val="00436B80"/>
    <w:rsid w:val="00436C90"/>
    <w:rsid w:val="00436D5E"/>
    <w:rsid w:val="00436FAC"/>
    <w:rsid w:val="004371F6"/>
    <w:rsid w:val="0043782E"/>
    <w:rsid w:val="00437B8E"/>
    <w:rsid w:val="00437D17"/>
    <w:rsid w:val="00440003"/>
    <w:rsid w:val="00440307"/>
    <w:rsid w:val="0044038C"/>
    <w:rsid w:val="00440629"/>
    <w:rsid w:val="004407BA"/>
    <w:rsid w:val="0044082B"/>
    <w:rsid w:val="00440A92"/>
    <w:rsid w:val="00440DF0"/>
    <w:rsid w:val="00440FDA"/>
    <w:rsid w:val="004413B7"/>
    <w:rsid w:val="00441530"/>
    <w:rsid w:val="0044161A"/>
    <w:rsid w:val="0044173D"/>
    <w:rsid w:val="004417FE"/>
    <w:rsid w:val="00441882"/>
    <w:rsid w:val="00441E64"/>
    <w:rsid w:val="00441F28"/>
    <w:rsid w:val="00441FF3"/>
    <w:rsid w:val="00442372"/>
    <w:rsid w:val="0044260B"/>
    <w:rsid w:val="00442616"/>
    <w:rsid w:val="00442B45"/>
    <w:rsid w:val="00442BE8"/>
    <w:rsid w:val="0044374E"/>
    <w:rsid w:val="0044397D"/>
    <w:rsid w:val="00443A84"/>
    <w:rsid w:val="00443B6E"/>
    <w:rsid w:val="00443F0A"/>
    <w:rsid w:val="004444B1"/>
    <w:rsid w:val="0044474B"/>
    <w:rsid w:val="004448E0"/>
    <w:rsid w:val="00444ABD"/>
    <w:rsid w:val="0044505A"/>
    <w:rsid w:val="00445142"/>
    <w:rsid w:val="00445410"/>
    <w:rsid w:val="00445757"/>
    <w:rsid w:val="004458E7"/>
    <w:rsid w:val="004459A7"/>
    <w:rsid w:val="00445A3B"/>
    <w:rsid w:val="00445DFE"/>
    <w:rsid w:val="004464C4"/>
    <w:rsid w:val="004466B4"/>
    <w:rsid w:val="0044690B"/>
    <w:rsid w:val="00446AD1"/>
    <w:rsid w:val="00446E80"/>
    <w:rsid w:val="00446F2C"/>
    <w:rsid w:val="00446FD0"/>
    <w:rsid w:val="00446FDA"/>
    <w:rsid w:val="00447513"/>
    <w:rsid w:val="0044753E"/>
    <w:rsid w:val="0044770F"/>
    <w:rsid w:val="00447797"/>
    <w:rsid w:val="004477B6"/>
    <w:rsid w:val="00447BF5"/>
    <w:rsid w:val="00447CC7"/>
    <w:rsid w:val="004500C8"/>
    <w:rsid w:val="004500DE"/>
    <w:rsid w:val="004502AC"/>
    <w:rsid w:val="00450798"/>
    <w:rsid w:val="00450F40"/>
    <w:rsid w:val="00450F60"/>
    <w:rsid w:val="00450F74"/>
    <w:rsid w:val="0045124E"/>
    <w:rsid w:val="004514BE"/>
    <w:rsid w:val="00451565"/>
    <w:rsid w:val="004516EA"/>
    <w:rsid w:val="00451909"/>
    <w:rsid w:val="00451AF0"/>
    <w:rsid w:val="00451D6B"/>
    <w:rsid w:val="004524B7"/>
    <w:rsid w:val="0045291F"/>
    <w:rsid w:val="00452FBB"/>
    <w:rsid w:val="004531CD"/>
    <w:rsid w:val="004531F1"/>
    <w:rsid w:val="004535FB"/>
    <w:rsid w:val="00453620"/>
    <w:rsid w:val="004538C2"/>
    <w:rsid w:val="00453CDE"/>
    <w:rsid w:val="00453D0D"/>
    <w:rsid w:val="00453E0D"/>
    <w:rsid w:val="004543DD"/>
    <w:rsid w:val="0045447F"/>
    <w:rsid w:val="0045457D"/>
    <w:rsid w:val="00454678"/>
    <w:rsid w:val="00454695"/>
    <w:rsid w:val="0045475A"/>
    <w:rsid w:val="0045479C"/>
    <w:rsid w:val="00454FFB"/>
    <w:rsid w:val="004557C5"/>
    <w:rsid w:val="004559AA"/>
    <w:rsid w:val="00455DE1"/>
    <w:rsid w:val="00455F6A"/>
    <w:rsid w:val="00455F84"/>
    <w:rsid w:val="00456687"/>
    <w:rsid w:val="004566BA"/>
    <w:rsid w:val="0045682D"/>
    <w:rsid w:val="00456A7C"/>
    <w:rsid w:val="00456CAB"/>
    <w:rsid w:val="0045710E"/>
    <w:rsid w:val="004574CF"/>
    <w:rsid w:val="00457628"/>
    <w:rsid w:val="00457708"/>
    <w:rsid w:val="00457740"/>
    <w:rsid w:val="00457850"/>
    <w:rsid w:val="004578B2"/>
    <w:rsid w:val="00457B08"/>
    <w:rsid w:val="004602BE"/>
    <w:rsid w:val="004608E7"/>
    <w:rsid w:val="00460914"/>
    <w:rsid w:val="00460AFD"/>
    <w:rsid w:val="00460BD2"/>
    <w:rsid w:val="00460F31"/>
    <w:rsid w:val="00461007"/>
    <w:rsid w:val="0046105E"/>
    <w:rsid w:val="004612F7"/>
    <w:rsid w:val="0046160F"/>
    <w:rsid w:val="0046183F"/>
    <w:rsid w:val="004619B8"/>
    <w:rsid w:val="00461B34"/>
    <w:rsid w:val="00461EC1"/>
    <w:rsid w:val="0046208F"/>
    <w:rsid w:val="00462140"/>
    <w:rsid w:val="004621A0"/>
    <w:rsid w:val="004625BD"/>
    <w:rsid w:val="00462A79"/>
    <w:rsid w:val="00462B4F"/>
    <w:rsid w:val="00462F06"/>
    <w:rsid w:val="0046318B"/>
    <w:rsid w:val="0046324A"/>
    <w:rsid w:val="00463270"/>
    <w:rsid w:val="004632D7"/>
    <w:rsid w:val="0046346B"/>
    <w:rsid w:val="00463A2A"/>
    <w:rsid w:val="00463C1C"/>
    <w:rsid w:val="00463D0A"/>
    <w:rsid w:val="00463D7F"/>
    <w:rsid w:val="00463DE3"/>
    <w:rsid w:val="004645BB"/>
    <w:rsid w:val="00464626"/>
    <w:rsid w:val="0046489C"/>
    <w:rsid w:val="00464C01"/>
    <w:rsid w:val="00465150"/>
    <w:rsid w:val="00465325"/>
    <w:rsid w:val="00465836"/>
    <w:rsid w:val="00465A3C"/>
    <w:rsid w:val="00465AA8"/>
    <w:rsid w:val="00465B1E"/>
    <w:rsid w:val="00465DFB"/>
    <w:rsid w:val="00465FC4"/>
    <w:rsid w:val="00466024"/>
    <w:rsid w:val="00466294"/>
    <w:rsid w:val="00466421"/>
    <w:rsid w:val="004666AD"/>
    <w:rsid w:val="00466B4C"/>
    <w:rsid w:val="00466BB2"/>
    <w:rsid w:val="00466C51"/>
    <w:rsid w:val="00466CBC"/>
    <w:rsid w:val="00466D9E"/>
    <w:rsid w:val="0046715F"/>
    <w:rsid w:val="00467220"/>
    <w:rsid w:val="004672EC"/>
    <w:rsid w:val="0046737F"/>
    <w:rsid w:val="004673AA"/>
    <w:rsid w:val="00467470"/>
    <w:rsid w:val="00467535"/>
    <w:rsid w:val="00467647"/>
    <w:rsid w:val="004676E9"/>
    <w:rsid w:val="004678D5"/>
    <w:rsid w:val="00467BD3"/>
    <w:rsid w:val="00467CA1"/>
    <w:rsid w:val="0047003A"/>
    <w:rsid w:val="0047036E"/>
    <w:rsid w:val="00470824"/>
    <w:rsid w:val="0047088A"/>
    <w:rsid w:val="00470947"/>
    <w:rsid w:val="0047097A"/>
    <w:rsid w:val="00470FF9"/>
    <w:rsid w:val="00471042"/>
    <w:rsid w:val="004713A8"/>
    <w:rsid w:val="00471436"/>
    <w:rsid w:val="0047178B"/>
    <w:rsid w:val="00471CD6"/>
    <w:rsid w:val="00471F66"/>
    <w:rsid w:val="0047231C"/>
    <w:rsid w:val="004724D5"/>
    <w:rsid w:val="004726BE"/>
    <w:rsid w:val="004727D6"/>
    <w:rsid w:val="00472961"/>
    <w:rsid w:val="00472AA1"/>
    <w:rsid w:val="004731EA"/>
    <w:rsid w:val="00473392"/>
    <w:rsid w:val="00473412"/>
    <w:rsid w:val="00473961"/>
    <w:rsid w:val="00473A83"/>
    <w:rsid w:val="00473CF4"/>
    <w:rsid w:val="00474107"/>
    <w:rsid w:val="00474151"/>
    <w:rsid w:val="0047443A"/>
    <w:rsid w:val="004745EB"/>
    <w:rsid w:val="0047491E"/>
    <w:rsid w:val="00474A8E"/>
    <w:rsid w:val="00474B7E"/>
    <w:rsid w:val="00474CDA"/>
    <w:rsid w:val="00474E08"/>
    <w:rsid w:val="0047509D"/>
    <w:rsid w:val="004750EB"/>
    <w:rsid w:val="0047524D"/>
    <w:rsid w:val="004752DF"/>
    <w:rsid w:val="00475628"/>
    <w:rsid w:val="00475982"/>
    <w:rsid w:val="00475EEA"/>
    <w:rsid w:val="00475F0E"/>
    <w:rsid w:val="00475F68"/>
    <w:rsid w:val="004761A2"/>
    <w:rsid w:val="00476368"/>
    <w:rsid w:val="0047656B"/>
    <w:rsid w:val="004766AA"/>
    <w:rsid w:val="00476CB4"/>
    <w:rsid w:val="00476DDF"/>
    <w:rsid w:val="00476EEF"/>
    <w:rsid w:val="00477604"/>
    <w:rsid w:val="00477718"/>
    <w:rsid w:val="0047782D"/>
    <w:rsid w:val="00477E07"/>
    <w:rsid w:val="00477EB5"/>
    <w:rsid w:val="00480155"/>
    <w:rsid w:val="004801B7"/>
    <w:rsid w:val="004806DC"/>
    <w:rsid w:val="0048080A"/>
    <w:rsid w:val="00480AD6"/>
    <w:rsid w:val="00480AE1"/>
    <w:rsid w:val="00481108"/>
    <w:rsid w:val="0048129D"/>
    <w:rsid w:val="004815B3"/>
    <w:rsid w:val="00481E73"/>
    <w:rsid w:val="00481F75"/>
    <w:rsid w:val="00482388"/>
    <w:rsid w:val="0048254D"/>
    <w:rsid w:val="00482685"/>
    <w:rsid w:val="0048278F"/>
    <w:rsid w:val="004827E3"/>
    <w:rsid w:val="0048282E"/>
    <w:rsid w:val="00482905"/>
    <w:rsid w:val="00482B45"/>
    <w:rsid w:val="004832D8"/>
    <w:rsid w:val="0048357F"/>
    <w:rsid w:val="00483870"/>
    <w:rsid w:val="00483C19"/>
    <w:rsid w:val="00483D1D"/>
    <w:rsid w:val="00484069"/>
    <w:rsid w:val="004840A7"/>
    <w:rsid w:val="00484253"/>
    <w:rsid w:val="00484290"/>
    <w:rsid w:val="00484A25"/>
    <w:rsid w:val="00484B72"/>
    <w:rsid w:val="00484B7C"/>
    <w:rsid w:val="00484E26"/>
    <w:rsid w:val="004852CA"/>
    <w:rsid w:val="0048562E"/>
    <w:rsid w:val="004856F6"/>
    <w:rsid w:val="0048571B"/>
    <w:rsid w:val="0048595F"/>
    <w:rsid w:val="00485A4D"/>
    <w:rsid w:val="00485D30"/>
    <w:rsid w:val="00486096"/>
    <w:rsid w:val="00486311"/>
    <w:rsid w:val="0048643B"/>
    <w:rsid w:val="0048652D"/>
    <w:rsid w:val="004867B5"/>
    <w:rsid w:val="0048689C"/>
    <w:rsid w:val="00486BA5"/>
    <w:rsid w:val="00486EB4"/>
    <w:rsid w:val="0048719F"/>
    <w:rsid w:val="004872AA"/>
    <w:rsid w:val="004874D0"/>
    <w:rsid w:val="004875C8"/>
    <w:rsid w:val="00487CF0"/>
    <w:rsid w:val="00487DD6"/>
    <w:rsid w:val="0049078E"/>
    <w:rsid w:val="00490AF9"/>
    <w:rsid w:val="00490BF0"/>
    <w:rsid w:val="0049117F"/>
    <w:rsid w:val="00491986"/>
    <w:rsid w:val="004919BA"/>
    <w:rsid w:val="00491AA0"/>
    <w:rsid w:val="00491E16"/>
    <w:rsid w:val="00492040"/>
    <w:rsid w:val="00492217"/>
    <w:rsid w:val="004923F0"/>
    <w:rsid w:val="00492836"/>
    <w:rsid w:val="00492917"/>
    <w:rsid w:val="00492A92"/>
    <w:rsid w:val="00492D32"/>
    <w:rsid w:val="004930F4"/>
    <w:rsid w:val="004931B5"/>
    <w:rsid w:val="004933E0"/>
    <w:rsid w:val="00493679"/>
    <w:rsid w:val="00493787"/>
    <w:rsid w:val="0049384B"/>
    <w:rsid w:val="004941F6"/>
    <w:rsid w:val="0049448C"/>
    <w:rsid w:val="004946DF"/>
    <w:rsid w:val="00494929"/>
    <w:rsid w:val="00494A90"/>
    <w:rsid w:val="00494B0F"/>
    <w:rsid w:val="00494C08"/>
    <w:rsid w:val="00494C3D"/>
    <w:rsid w:val="00494E8A"/>
    <w:rsid w:val="00494EEB"/>
    <w:rsid w:val="00494FDD"/>
    <w:rsid w:val="004956FD"/>
    <w:rsid w:val="004958CF"/>
    <w:rsid w:val="004959F5"/>
    <w:rsid w:val="00495BE2"/>
    <w:rsid w:val="00495C7C"/>
    <w:rsid w:val="004960D8"/>
    <w:rsid w:val="004960F0"/>
    <w:rsid w:val="004961B2"/>
    <w:rsid w:val="0049633B"/>
    <w:rsid w:val="004965AD"/>
    <w:rsid w:val="00496726"/>
    <w:rsid w:val="00496902"/>
    <w:rsid w:val="00496D0F"/>
    <w:rsid w:val="00496DF1"/>
    <w:rsid w:val="00496E21"/>
    <w:rsid w:val="0049743C"/>
    <w:rsid w:val="00497659"/>
    <w:rsid w:val="00497894"/>
    <w:rsid w:val="004978F5"/>
    <w:rsid w:val="00497B34"/>
    <w:rsid w:val="00497B9F"/>
    <w:rsid w:val="00497D3E"/>
    <w:rsid w:val="004A00F0"/>
    <w:rsid w:val="004A01A4"/>
    <w:rsid w:val="004A0351"/>
    <w:rsid w:val="004A05AB"/>
    <w:rsid w:val="004A06D4"/>
    <w:rsid w:val="004A072C"/>
    <w:rsid w:val="004A0AB9"/>
    <w:rsid w:val="004A0CD7"/>
    <w:rsid w:val="004A0D65"/>
    <w:rsid w:val="004A0F3C"/>
    <w:rsid w:val="004A119E"/>
    <w:rsid w:val="004A11DC"/>
    <w:rsid w:val="004A142F"/>
    <w:rsid w:val="004A147F"/>
    <w:rsid w:val="004A1855"/>
    <w:rsid w:val="004A1876"/>
    <w:rsid w:val="004A18C6"/>
    <w:rsid w:val="004A1DBC"/>
    <w:rsid w:val="004A247E"/>
    <w:rsid w:val="004A250F"/>
    <w:rsid w:val="004A28A7"/>
    <w:rsid w:val="004A2957"/>
    <w:rsid w:val="004A2AD6"/>
    <w:rsid w:val="004A2C88"/>
    <w:rsid w:val="004A2CD2"/>
    <w:rsid w:val="004A30B1"/>
    <w:rsid w:val="004A3A23"/>
    <w:rsid w:val="004A3A43"/>
    <w:rsid w:val="004A3A8E"/>
    <w:rsid w:val="004A433B"/>
    <w:rsid w:val="004A45C5"/>
    <w:rsid w:val="004A4BEA"/>
    <w:rsid w:val="004A51FA"/>
    <w:rsid w:val="004A523A"/>
    <w:rsid w:val="004A53F9"/>
    <w:rsid w:val="004A5414"/>
    <w:rsid w:val="004A58A0"/>
    <w:rsid w:val="004A5D6A"/>
    <w:rsid w:val="004A5F8E"/>
    <w:rsid w:val="004A66B6"/>
    <w:rsid w:val="004A6F45"/>
    <w:rsid w:val="004A6F4D"/>
    <w:rsid w:val="004A712B"/>
    <w:rsid w:val="004A717C"/>
    <w:rsid w:val="004A730F"/>
    <w:rsid w:val="004A7672"/>
    <w:rsid w:val="004A7DF4"/>
    <w:rsid w:val="004A7E33"/>
    <w:rsid w:val="004A7E54"/>
    <w:rsid w:val="004B01C0"/>
    <w:rsid w:val="004B042E"/>
    <w:rsid w:val="004B079D"/>
    <w:rsid w:val="004B0B19"/>
    <w:rsid w:val="004B0D25"/>
    <w:rsid w:val="004B0D5D"/>
    <w:rsid w:val="004B0D95"/>
    <w:rsid w:val="004B11B6"/>
    <w:rsid w:val="004B12C1"/>
    <w:rsid w:val="004B13CB"/>
    <w:rsid w:val="004B1732"/>
    <w:rsid w:val="004B1A90"/>
    <w:rsid w:val="004B1DD0"/>
    <w:rsid w:val="004B2075"/>
    <w:rsid w:val="004B21D2"/>
    <w:rsid w:val="004B23A5"/>
    <w:rsid w:val="004B26F5"/>
    <w:rsid w:val="004B282D"/>
    <w:rsid w:val="004B28E7"/>
    <w:rsid w:val="004B29C5"/>
    <w:rsid w:val="004B2AD6"/>
    <w:rsid w:val="004B2E41"/>
    <w:rsid w:val="004B2E43"/>
    <w:rsid w:val="004B2EA6"/>
    <w:rsid w:val="004B2F37"/>
    <w:rsid w:val="004B2F5E"/>
    <w:rsid w:val="004B2FEC"/>
    <w:rsid w:val="004B35DE"/>
    <w:rsid w:val="004B37E9"/>
    <w:rsid w:val="004B3870"/>
    <w:rsid w:val="004B38D6"/>
    <w:rsid w:val="004B3C74"/>
    <w:rsid w:val="004B3D1E"/>
    <w:rsid w:val="004B3FC2"/>
    <w:rsid w:val="004B40E5"/>
    <w:rsid w:val="004B40FD"/>
    <w:rsid w:val="004B4B7E"/>
    <w:rsid w:val="004B4FB7"/>
    <w:rsid w:val="004B4FF8"/>
    <w:rsid w:val="004B5756"/>
    <w:rsid w:val="004B5804"/>
    <w:rsid w:val="004B587C"/>
    <w:rsid w:val="004B58D3"/>
    <w:rsid w:val="004B58E1"/>
    <w:rsid w:val="004B59A0"/>
    <w:rsid w:val="004B5D0F"/>
    <w:rsid w:val="004B60CE"/>
    <w:rsid w:val="004B656D"/>
    <w:rsid w:val="004B6A6A"/>
    <w:rsid w:val="004B6E06"/>
    <w:rsid w:val="004B6E7F"/>
    <w:rsid w:val="004B6F83"/>
    <w:rsid w:val="004B7548"/>
    <w:rsid w:val="004B7CA9"/>
    <w:rsid w:val="004C0242"/>
    <w:rsid w:val="004C03E0"/>
    <w:rsid w:val="004C066F"/>
    <w:rsid w:val="004C076A"/>
    <w:rsid w:val="004C07AA"/>
    <w:rsid w:val="004C0935"/>
    <w:rsid w:val="004C1152"/>
    <w:rsid w:val="004C125E"/>
    <w:rsid w:val="004C1459"/>
    <w:rsid w:val="004C1779"/>
    <w:rsid w:val="004C1D0B"/>
    <w:rsid w:val="004C1D88"/>
    <w:rsid w:val="004C1DEB"/>
    <w:rsid w:val="004C20B2"/>
    <w:rsid w:val="004C254F"/>
    <w:rsid w:val="004C2554"/>
    <w:rsid w:val="004C25BB"/>
    <w:rsid w:val="004C2658"/>
    <w:rsid w:val="004C2865"/>
    <w:rsid w:val="004C2920"/>
    <w:rsid w:val="004C3001"/>
    <w:rsid w:val="004C3072"/>
    <w:rsid w:val="004C34F7"/>
    <w:rsid w:val="004C3E89"/>
    <w:rsid w:val="004C4256"/>
    <w:rsid w:val="004C4380"/>
    <w:rsid w:val="004C4532"/>
    <w:rsid w:val="004C4B0D"/>
    <w:rsid w:val="004C4FAA"/>
    <w:rsid w:val="004C5204"/>
    <w:rsid w:val="004C586B"/>
    <w:rsid w:val="004C5942"/>
    <w:rsid w:val="004C5ECE"/>
    <w:rsid w:val="004C6136"/>
    <w:rsid w:val="004C619F"/>
    <w:rsid w:val="004C66E4"/>
    <w:rsid w:val="004C6845"/>
    <w:rsid w:val="004C6C35"/>
    <w:rsid w:val="004C704C"/>
    <w:rsid w:val="004C793D"/>
    <w:rsid w:val="004C79EE"/>
    <w:rsid w:val="004C7BCC"/>
    <w:rsid w:val="004C7DB8"/>
    <w:rsid w:val="004D01C3"/>
    <w:rsid w:val="004D02FE"/>
    <w:rsid w:val="004D0383"/>
    <w:rsid w:val="004D03EE"/>
    <w:rsid w:val="004D040E"/>
    <w:rsid w:val="004D09C3"/>
    <w:rsid w:val="004D0BE6"/>
    <w:rsid w:val="004D0BF5"/>
    <w:rsid w:val="004D0C04"/>
    <w:rsid w:val="004D0C3E"/>
    <w:rsid w:val="004D0CBF"/>
    <w:rsid w:val="004D11A7"/>
    <w:rsid w:val="004D141D"/>
    <w:rsid w:val="004D15BB"/>
    <w:rsid w:val="004D1749"/>
    <w:rsid w:val="004D1823"/>
    <w:rsid w:val="004D19EE"/>
    <w:rsid w:val="004D1BA2"/>
    <w:rsid w:val="004D1CCE"/>
    <w:rsid w:val="004D1D58"/>
    <w:rsid w:val="004D1E6E"/>
    <w:rsid w:val="004D2145"/>
    <w:rsid w:val="004D2999"/>
    <w:rsid w:val="004D299E"/>
    <w:rsid w:val="004D2ADD"/>
    <w:rsid w:val="004D2FA3"/>
    <w:rsid w:val="004D31C2"/>
    <w:rsid w:val="004D344F"/>
    <w:rsid w:val="004D3469"/>
    <w:rsid w:val="004D35E1"/>
    <w:rsid w:val="004D3864"/>
    <w:rsid w:val="004D3B5D"/>
    <w:rsid w:val="004D3E1C"/>
    <w:rsid w:val="004D3EEA"/>
    <w:rsid w:val="004D4339"/>
    <w:rsid w:val="004D4461"/>
    <w:rsid w:val="004D4494"/>
    <w:rsid w:val="004D4517"/>
    <w:rsid w:val="004D4677"/>
    <w:rsid w:val="004D4AB5"/>
    <w:rsid w:val="004D4B9C"/>
    <w:rsid w:val="004D4D0E"/>
    <w:rsid w:val="004D4F23"/>
    <w:rsid w:val="004D4F64"/>
    <w:rsid w:val="004D54FC"/>
    <w:rsid w:val="004D55B0"/>
    <w:rsid w:val="004D59E4"/>
    <w:rsid w:val="004D5BFB"/>
    <w:rsid w:val="004D64D4"/>
    <w:rsid w:val="004D653B"/>
    <w:rsid w:val="004D6ADD"/>
    <w:rsid w:val="004D7247"/>
    <w:rsid w:val="004D730B"/>
    <w:rsid w:val="004D7594"/>
    <w:rsid w:val="004D7E05"/>
    <w:rsid w:val="004D7F0F"/>
    <w:rsid w:val="004D7F50"/>
    <w:rsid w:val="004E0010"/>
    <w:rsid w:val="004E0211"/>
    <w:rsid w:val="004E055C"/>
    <w:rsid w:val="004E0860"/>
    <w:rsid w:val="004E10C5"/>
    <w:rsid w:val="004E153F"/>
    <w:rsid w:val="004E16A6"/>
    <w:rsid w:val="004E173E"/>
    <w:rsid w:val="004E19F2"/>
    <w:rsid w:val="004E2026"/>
    <w:rsid w:val="004E21C6"/>
    <w:rsid w:val="004E236C"/>
    <w:rsid w:val="004E2424"/>
    <w:rsid w:val="004E264F"/>
    <w:rsid w:val="004E2856"/>
    <w:rsid w:val="004E2872"/>
    <w:rsid w:val="004E29BB"/>
    <w:rsid w:val="004E31CB"/>
    <w:rsid w:val="004E31E2"/>
    <w:rsid w:val="004E35B4"/>
    <w:rsid w:val="004E4053"/>
    <w:rsid w:val="004E445A"/>
    <w:rsid w:val="004E4474"/>
    <w:rsid w:val="004E4609"/>
    <w:rsid w:val="004E4733"/>
    <w:rsid w:val="004E4B25"/>
    <w:rsid w:val="004E4D19"/>
    <w:rsid w:val="004E4F0C"/>
    <w:rsid w:val="004E4F55"/>
    <w:rsid w:val="004E50B4"/>
    <w:rsid w:val="004E5334"/>
    <w:rsid w:val="004E53B6"/>
    <w:rsid w:val="004E5531"/>
    <w:rsid w:val="004E56BD"/>
    <w:rsid w:val="004E58D0"/>
    <w:rsid w:val="004E5BD1"/>
    <w:rsid w:val="004E5C36"/>
    <w:rsid w:val="004E64D1"/>
    <w:rsid w:val="004E64E8"/>
    <w:rsid w:val="004E67C0"/>
    <w:rsid w:val="004E6806"/>
    <w:rsid w:val="004E6BC3"/>
    <w:rsid w:val="004E6DC8"/>
    <w:rsid w:val="004E7E71"/>
    <w:rsid w:val="004E7F9A"/>
    <w:rsid w:val="004EEDFD"/>
    <w:rsid w:val="004F00DD"/>
    <w:rsid w:val="004F023F"/>
    <w:rsid w:val="004F048D"/>
    <w:rsid w:val="004F06DA"/>
    <w:rsid w:val="004F07BB"/>
    <w:rsid w:val="004F080C"/>
    <w:rsid w:val="004F0987"/>
    <w:rsid w:val="004F125A"/>
    <w:rsid w:val="004F14A2"/>
    <w:rsid w:val="004F1D73"/>
    <w:rsid w:val="004F1E91"/>
    <w:rsid w:val="004F2130"/>
    <w:rsid w:val="004F218B"/>
    <w:rsid w:val="004F254D"/>
    <w:rsid w:val="004F25A0"/>
    <w:rsid w:val="004F25F9"/>
    <w:rsid w:val="004F27FA"/>
    <w:rsid w:val="004F2834"/>
    <w:rsid w:val="004F284E"/>
    <w:rsid w:val="004F2D4D"/>
    <w:rsid w:val="004F32B9"/>
    <w:rsid w:val="004F3325"/>
    <w:rsid w:val="004F343B"/>
    <w:rsid w:val="004F37C2"/>
    <w:rsid w:val="004F39CC"/>
    <w:rsid w:val="004F3D2C"/>
    <w:rsid w:val="004F3F43"/>
    <w:rsid w:val="004F4102"/>
    <w:rsid w:val="004F424E"/>
    <w:rsid w:val="004F4613"/>
    <w:rsid w:val="004F4831"/>
    <w:rsid w:val="004F49F6"/>
    <w:rsid w:val="004F4A5F"/>
    <w:rsid w:val="004F4CD3"/>
    <w:rsid w:val="004F53DC"/>
    <w:rsid w:val="004F54B3"/>
    <w:rsid w:val="004F56D0"/>
    <w:rsid w:val="004F5CAD"/>
    <w:rsid w:val="004F5CFD"/>
    <w:rsid w:val="004F5D26"/>
    <w:rsid w:val="004F605D"/>
    <w:rsid w:val="004F61E0"/>
    <w:rsid w:val="004F62A5"/>
    <w:rsid w:val="004F678F"/>
    <w:rsid w:val="004F683C"/>
    <w:rsid w:val="004F6A92"/>
    <w:rsid w:val="004F6AB2"/>
    <w:rsid w:val="004F7025"/>
    <w:rsid w:val="004F720A"/>
    <w:rsid w:val="004F72CC"/>
    <w:rsid w:val="004F7541"/>
    <w:rsid w:val="004F78B4"/>
    <w:rsid w:val="004F7907"/>
    <w:rsid w:val="004F7A5B"/>
    <w:rsid w:val="004F7FD8"/>
    <w:rsid w:val="005001F0"/>
    <w:rsid w:val="005005E9"/>
    <w:rsid w:val="005006A9"/>
    <w:rsid w:val="00500739"/>
    <w:rsid w:val="0050088A"/>
    <w:rsid w:val="00500942"/>
    <w:rsid w:val="00500A27"/>
    <w:rsid w:val="00500B6C"/>
    <w:rsid w:val="005012A8"/>
    <w:rsid w:val="005012B7"/>
    <w:rsid w:val="005016BC"/>
    <w:rsid w:val="0050180B"/>
    <w:rsid w:val="005023EC"/>
    <w:rsid w:val="00502557"/>
    <w:rsid w:val="0050271E"/>
    <w:rsid w:val="005027C1"/>
    <w:rsid w:val="00502875"/>
    <w:rsid w:val="00502A85"/>
    <w:rsid w:val="00502AFC"/>
    <w:rsid w:val="00502F6C"/>
    <w:rsid w:val="00502FA8"/>
    <w:rsid w:val="0050376E"/>
    <w:rsid w:val="0050382D"/>
    <w:rsid w:val="00503C00"/>
    <w:rsid w:val="00503D74"/>
    <w:rsid w:val="00503E88"/>
    <w:rsid w:val="00503EA2"/>
    <w:rsid w:val="00503FEA"/>
    <w:rsid w:val="005040E9"/>
    <w:rsid w:val="00504365"/>
    <w:rsid w:val="005043C9"/>
    <w:rsid w:val="005044B6"/>
    <w:rsid w:val="0050458B"/>
    <w:rsid w:val="005048B3"/>
    <w:rsid w:val="00504AB8"/>
    <w:rsid w:val="005051F0"/>
    <w:rsid w:val="005052AC"/>
    <w:rsid w:val="0050539E"/>
    <w:rsid w:val="00505655"/>
    <w:rsid w:val="00505699"/>
    <w:rsid w:val="00506208"/>
    <w:rsid w:val="00506231"/>
    <w:rsid w:val="00506562"/>
    <w:rsid w:val="0050691A"/>
    <w:rsid w:val="00506A93"/>
    <w:rsid w:val="00506B68"/>
    <w:rsid w:val="00506CDE"/>
    <w:rsid w:val="00507266"/>
    <w:rsid w:val="0050726F"/>
    <w:rsid w:val="00507535"/>
    <w:rsid w:val="00507A5C"/>
    <w:rsid w:val="005104E6"/>
    <w:rsid w:val="005106A2"/>
    <w:rsid w:val="005116FA"/>
    <w:rsid w:val="0051193D"/>
    <w:rsid w:val="00511CC5"/>
    <w:rsid w:val="005120ED"/>
    <w:rsid w:val="00512371"/>
    <w:rsid w:val="005130F3"/>
    <w:rsid w:val="005132D1"/>
    <w:rsid w:val="00513387"/>
    <w:rsid w:val="005133FC"/>
    <w:rsid w:val="00513536"/>
    <w:rsid w:val="005136A8"/>
    <w:rsid w:val="00513DFB"/>
    <w:rsid w:val="00514093"/>
    <w:rsid w:val="005140F5"/>
    <w:rsid w:val="005143CB"/>
    <w:rsid w:val="0051442D"/>
    <w:rsid w:val="005147EE"/>
    <w:rsid w:val="00514952"/>
    <w:rsid w:val="00514B0F"/>
    <w:rsid w:val="00514B5E"/>
    <w:rsid w:val="00514D97"/>
    <w:rsid w:val="00515025"/>
    <w:rsid w:val="00515345"/>
    <w:rsid w:val="005154ED"/>
    <w:rsid w:val="0051560C"/>
    <w:rsid w:val="00515746"/>
    <w:rsid w:val="00515813"/>
    <w:rsid w:val="00515D3F"/>
    <w:rsid w:val="00515D5A"/>
    <w:rsid w:val="005161A6"/>
    <w:rsid w:val="005163FE"/>
    <w:rsid w:val="0051672E"/>
    <w:rsid w:val="0051689C"/>
    <w:rsid w:val="0051690F"/>
    <w:rsid w:val="00516A5B"/>
    <w:rsid w:val="00516AED"/>
    <w:rsid w:val="00516B57"/>
    <w:rsid w:val="00516CBD"/>
    <w:rsid w:val="00516F79"/>
    <w:rsid w:val="00517250"/>
    <w:rsid w:val="00517534"/>
    <w:rsid w:val="005175DE"/>
    <w:rsid w:val="00517652"/>
    <w:rsid w:val="005177F3"/>
    <w:rsid w:val="005178DA"/>
    <w:rsid w:val="005209A3"/>
    <w:rsid w:val="005209AD"/>
    <w:rsid w:val="005209CA"/>
    <w:rsid w:val="00520C39"/>
    <w:rsid w:val="00520E36"/>
    <w:rsid w:val="00520EC5"/>
    <w:rsid w:val="00521D9B"/>
    <w:rsid w:val="00521E18"/>
    <w:rsid w:val="00522095"/>
    <w:rsid w:val="0052231D"/>
    <w:rsid w:val="00522820"/>
    <w:rsid w:val="00522974"/>
    <w:rsid w:val="00522A83"/>
    <w:rsid w:val="00522DBA"/>
    <w:rsid w:val="0052310A"/>
    <w:rsid w:val="00523269"/>
    <w:rsid w:val="005236D6"/>
    <w:rsid w:val="005237F9"/>
    <w:rsid w:val="0052380A"/>
    <w:rsid w:val="00523952"/>
    <w:rsid w:val="00523A33"/>
    <w:rsid w:val="00523A8D"/>
    <w:rsid w:val="00524329"/>
    <w:rsid w:val="005244AA"/>
    <w:rsid w:val="005246DF"/>
    <w:rsid w:val="00524823"/>
    <w:rsid w:val="00524877"/>
    <w:rsid w:val="00524A80"/>
    <w:rsid w:val="00524B0A"/>
    <w:rsid w:val="00524CA4"/>
    <w:rsid w:val="00524E90"/>
    <w:rsid w:val="005250D7"/>
    <w:rsid w:val="005251A4"/>
    <w:rsid w:val="00525213"/>
    <w:rsid w:val="00525353"/>
    <w:rsid w:val="005255A4"/>
    <w:rsid w:val="005257C6"/>
    <w:rsid w:val="00525EF0"/>
    <w:rsid w:val="005262AD"/>
    <w:rsid w:val="005263C9"/>
    <w:rsid w:val="0052675A"/>
    <w:rsid w:val="00527226"/>
    <w:rsid w:val="0052741F"/>
    <w:rsid w:val="00527447"/>
    <w:rsid w:val="005276EB"/>
    <w:rsid w:val="00527B3F"/>
    <w:rsid w:val="00527C26"/>
    <w:rsid w:val="00527EFF"/>
    <w:rsid w:val="00527FD3"/>
    <w:rsid w:val="00530234"/>
    <w:rsid w:val="00530274"/>
    <w:rsid w:val="005305DF"/>
    <w:rsid w:val="00530697"/>
    <w:rsid w:val="00530900"/>
    <w:rsid w:val="00530B3B"/>
    <w:rsid w:val="00530BBB"/>
    <w:rsid w:val="00530C5A"/>
    <w:rsid w:val="00530C74"/>
    <w:rsid w:val="0053114D"/>
    <w:rsid w:val="00531277"/>
    <w:rsid w:val="0053155A"/>
    <w:rsid w:val="00531600"/>
    <w:rsid w:val="00531752"/>
    <w:rsid w:val="00531BAB"/>
    <w:rsid w:val="005320BB"/>
    <w:rsid w:val="0053215E"/>
    <w:rsid w:val="00532478"/>
    <w:rsid w:val="00532505"/>
    <w:rsid w:val="00532778"/>
    <w:rsid w:val="00532E8E"/>
    <w:rsid w:val="005334E5"/>
    <w:rsid w:val="005336D8"/>
    <w:rsid w:val="0053374A"/>
    <w:rsid w:val="005339F3"/>
    <w:rsid w:val="00533CCC"/>
    <w:rsid w:val="00533F08"/>
    <w:rsid w:val="00534047"/>
    <w:rsid w:val="005340FE"/>
    <w:rsid w:val="0053424A"/>
    <w:rsid w:val="0053450F"/>
    <w:rsid w:val="005345C6"/>
    <w:rsid w:val="00534677"/>
    <w:rsid w:val="0053470E"/>
    <w:rsid w:val="0053474F"/>
    <w:rsid w:val="00534D33"/>
    <w:rsid w:val="00534E83"/>
    <w:rsid w:val="00535087"/>
    <w:rsid w:val="00535418"/>
    <w:rsid w:val="00535740"/>
    <w:rsid w:val="0053581E"/>
    <w:rsid w:val="005359AA"/>
    <w:rsid w:val="00535A34"/>
    <w:rsid w:val="00535F85"/>
    <w:rsid w:val="005361EE"/>
    <w:rsid w:val="005362FF"/>
    <w:rsid w:val="00536314"/>
    <w:rsid w:val="005363E2"/>
    <w:rsid w:val="00536785"/>
    <w:rsid w:val="00536B0B"/>
    <w:rsid w:val="00536B26"/>
    <w:rsid w:val="00536E15"/>
    <w:rsid w:val="00537184"/>
    <w:rsid w:val="0053728B"/>
    <w:rsid w:val="00537410"/>
    <w:rsid w:val="005378B4"/>
    <w:rsid w:val="00537CC6"/>
    <w:rsid w:val="00537E05"/>
    <w:rsid w:val="00537EC2"/>
    <w:rsid w:val="00537F3D"/>
    <w:rsid w:val="0054014E"/>
    <w:rsid w:val="005403FD"/>
    <w:rsid w:val="00540675"/>
    <w:rsid w:val="00540830"/>
    <w:rsid w:val="0054095F"/>
    <w:rsid w:val="00540B85"/>
    <w:rsid w:val="00540BE6"/>
    <w:rsid w:val="00540C09"/>
    <w:rsid w:val="00540C42"/>
    <w:rsid w:val="00540EA0"/>
    <w:rsid w:val="00541034"/>
    <w:rsid w:val="005410FF"/>
    <w:rsid w:val="0054111F"/>
    <w:rsid w:val="00541142"/>
    <w:rsid w:val="00541CC9"/>
    <w:rsid w:val="005423EF"/>
    <w:rsid w:val="0054262C"/>
    <w:rsid w:val="0054289A"/>
    <w:rsid w:val="005428A3"/>
    <w:rsid w:val="00542978"/>
    <w:rsid w:val="00542C60"/>
    <w:rsid w:val="00542FB7"/>
    <w:rsid w:val="0054341C"/>
    <w:rsid w:val="00543421"/>
    <w:rsid w:val="00543C34"/>
    <w:rsid w:val="005444AD"/>
    <w:rsid w:val="00544666"/>
    <w:rsid w:val="00544847"/>
    <w:rsid w:val="00544982"/>
    <w:rsid w:val="005449A3"/>
    <w:rsid w:val="00544A38"/>
    <w:rsid w:val="00544B59"/>
    <w:rsid w:val="00544BCC"/>
    <w:rsid w:val="00544BDB"/>
    <w:rsid w:val="00544CB9"/>
    <w:rsid w:val="00544E16"/>
    <w:rsid w:val="00544EBA"/>
    <w:rsid w:val="0054503C"/>
    <w:rsid w:val="00545112"/>
    <w:rsid w:val="005455B2"/>
    <w:rsid w:val="00545CD1"/>
    <w:rsid w:val="005460A0"/>
    <w:rsid w:val="0054627C"/>
    <w:rsid w:val="00546350"/>
    <w:rsid w:val="00546686"/>
    <w:rsid w:val="00546BDE"/>
    <w:rsid w:val="005471A6"/>
    <w:rsid w:val="0054725C"/>
    <w:rsid w:val="005476E9"/>
    <w:rsid w:val="005479B0"/>
    <w:rsid w:val="00547B0B"/>
    <w:rsid w:val="00550171"/>
    <w:rsid w:val="0055051F"/>
    <w:rsid w:val="0055053F"/>
    <w:rsid w:val="0055054A"/>
    <w:rsid w:val="0055071C"/>
    <w:rsid w:val="005508FB"/>
    <w:rsid w:val="005509C0"/>
    <w:rsid w:val="005519FB"/>
    <w:rsid w:val="00551AC7"/>
    <w:rsid w:val="00551B5C"/>
    <w:rsid w:val="00551CD2"/>
    <w:rsid w:val="00551DDA"/>
    <w:rsid w:val="00551E08"/>
    <w:rsid w:val="00551E50"/>
    <w:rsid w:val="00552024"/>
    <w:rsid w:val="005521C7"/>
    <w:rsid w:val="0055225D"/>
    <w:rsid w:val="00552481"/>
    <w:rsid w:val="00552A0B"/>
    <w:rsid w:val="00552BBE"/>
    <w:rsid w:val="00552FA0"/>
    <w:rsid w:val="00552FA5"/>
    <w:rsid w:val="00553137"/>
    <w:rsid w:val="0055313B"/>
    <w:rsid w:val="00553639"/>
    <w:rsid w:val="00553B9D"/>
    <w:rsid w:val="005545D0"/>
    <w:rsid w:val="005547EC"/>
    <w:rsid w:val="00554AD7"/>
    <w:rsid w:val="00555761"/>
    <w:rsid w:val="00555A56"/>
    <w:rsid w:val="00555B53"/>
    <w:rsid w:val="00555B87"/>
    <w:rsid w:val="00555B89"/>
    <w:rsid w:val="00555EB2"/>
    <w:rsid w:val="005560DD"/>
    <w:rsid w:val="00556416"/>
    <w:rsid w:val="005566F0"/>
    <w:rsid w:val="00556A14"/>
    <w:rsid w:val="00556A9B"/>
    <w:rsid w:val="00556C8D"/>
    <w:rsid w:val="005575CA"/>
    <w:rsid w:val="0055761C"/>
    <w:rsid w:val="0055796B"/>
    <w:rsid w:val="00557C43"/>
    <w:rsid w:val="00557E85"/>
    <w:rsid w:val="00560334"/>
    <w:rsid w:val="005605ED"/>
    <w:rsid w:val="0056060A"/>
    <w:rsid w:val="0056069E"/>
    <w:rsid w:val="00560A8E"/>
    <w:rsid w:val="00560BE4"/>
    <w:rsid w:val="00560CD9"/>
    <w:rsid w:val="00560DD5"/>
    <w:rsid w:val="00560F28"/>
    <w:rsid w:val="005611B4"/>
    <w:rsid w:val="00561228"/>
    <w:rsid w:val="00561260"/>
    <w:rsid w:val="0056166E"/>
    <w:rsid w:val="00561914"/>
    <w:rsid w:val="0056191E"/>
    <w:rsid w:val="00561CCB"/>
    <w:rsid w:val="00561F3B"/>
    <w:rsid w:val="00562657"/>
    <w:rsid w:val="00562AB1"/>
    <w:rsid w:val="00562F67"/>
    <w:rsid w:val="005630CF"/>
    <w:rsid w:val="0056314E"/>
    <w:rsid w:val="00563274"/>
    <w:rsid w:val="0056353E"/>
    <w:rsid w:val="00563ED2"/>
    <w:rsid w:val="0056467F"/>
    <w:rsid w:val="005649D4"/>
    <w:rsid w:val="00564B88"/>
    <w:rsid w:val="00564D67"/>
    <w:rsid w:val="00565682"/>
    <w:rsid w:val="005656A1"/>
    <w:rsid w:val="00565C48"/>
    <w:rsid w:val="00565E0E"/>
    <w:rsid w:val="00565FF4"/>
    <w:rsid w:val="0056620E"/>
    <w:rsid w:val="0056662C"/>
    <w:rsid w:val="005667F6"/>
    <w:rsid w:val="005669B4"/>
    <w:rsid w:val="00566C1C"/>
    <w:rsid w:val="00566CDA"/>
    <w:rsid w:val="00567205"/>
    <w:rsid w:val="005677F9"/>
    <w:rsid w:val="0056788B"/>
    <w:rsid w:val="0056789A"/>
    <w:rsid w:val="00567AE0"/>
    <w:rsid w:val="00567B79"/>
    <w:rsid w:val="00567CC6"/>
    <w:rsid w:val="00567DDE"/>
    <w:rsid w:val="00570122"/>
    <w:rsid w:val="005706E6"/>
    <w:rsid w:val="00570707"/>
    <w:rsid w:val="00570717"/>
    <w:rsid w:val="005707D5"/>
    <w:rsid w:val="00570861"/>
    <w:rsid w:val="005708AA"/>
    <w:rsid w:val="00571D16"/>
    <w:rsid w:val="00571DB4"/>
    <w:rsid w:val="00571E02"/>
    <w:rsid w:val="00572714"/>
    <w:rsid w:val="00572C81"/>
    <w:rsid w:val="00572DDC"/>
    <w:rsid w:val="00572EE0"/>
    <w:rsid w:val="0057304C"/>
    <w:rsid w:val="00573234"/>
    <w:rsid w:val="00573978"/>
    <w:rsid w:val="00573CDB"/>
    <w:rsid w:val="00573DDB"/>
    <w:rsid w:val="00573F65"/>
    <w:rsid w:val="00575155"/>
    <w:rsid w:val="00575565"/>
    <w:rsid w:val="00575573"/>
    <w:rsid w:val="00575718"/>
    <w:rsid w:val="0057594A"/>
    <w:rsid w:val="00575AAF"/>
    <w:rsid w:val="00575BAB"/>
    <w:rsid w:val="00575DC2"/>
    <w:rsid w:val="00575FEB"/>
    <w:rsid w:val="005763EE"/>
    <w:rsid w:val="00576415"/>
    <w:rsid w:val="00576678"/>
    <w:rsid w:val="00576847"/>
    <w:rsid w:val="00576A8E"/>
    <w:rsid w:val="00576B17"/>
    <w:rsid w:val="00576C55"/>
    <w:rsid w:val="00576EEC"/>
    <w:rsid w:val="005771C8"/>
    <w:rsid w:val="005771E2"/>
    <w:rsid w:val="005777FC"/>
    <w:rsid w:val="00577905"/>
    <w:rsid w:val="0057799C"/>
    <w:rsid w:val="00577FB0"/>
    <w:rsid w:val="00580054"/>
    <w:rsid w:val="005800F2"/>
    <w:rsid w:val="00580354"/>
    <w:rsid w:val="00580409"/>
    <w:rsid w:val="00580BFF"/>
    <w:rsid w:val="00580CA6"/>
    <w:rsid w:val="00581134"/>
    <w:rsid w:val="00581307"/>
    <w:rsid w:val="00581472"/>
    <w:rsid w:val="00581719"/>
    <w:rsid w:val="00581CEF"/>
    <w:rsid w:val="00581CF6"/>
    <w:rsid w:val="00581E31"/>
    <w:rsid w:val="00582071"/>
    <w:rsid w:val="00582090"/>
    <w:rsid w:val="00582472"/>
    <w:rsid w:val="00582704"/>
    <w:rsid w:val="00582802"/>
    <w:rsid w:val="00582986"/>
    <w:rsid w:val="00582C22"/>
    <w:rsid w:val="00582C2B"/>
    <w:rsid w:val="00583059"/>
    <w:rsid w:val="00583242"/>
    <w:rsid w:val="00583323"/>
    <w:rsid w:val="00583324"/>
    <w:rsid w:val="00583373"/>
    <w:rsid w:val="00583597"/>
    <w:rsid w:val="00583700"/>
    <w:rsid w:val="00583880"/>
    <w:rsid w:val="005838A3"/>
    <w:rsid w:val="00583A09"/>
    <w:rsid w:val="00583B1F"/>
    <w:rsid w:val="00583CBA"/>
    <w:rsid w:val="0058412C"/>
    <w:rsid w:val="005841C0"/>
    <w:rsid w:val="0058474B"/>
    <w:rsid w:val="00584909"/>
    <w:rsid w:val="00584A4F"/>
    <w:rsid w:val="00584B11"/>
    <w:rsid w:val="00584B8B"/>
    <w:rsid w:val="00584D7B"/>
    <w:rsid w:val="00584DBB"/>
    <w:rsid w:val="00584F4D"/>
    <w:rsid w:val="00584FDD"/>
    <w:rsid w:val="00585115"/>
    <w:rsid w:val="0058550B"/>
    <w:rsid w:val="005856A3"/>
    <w:rsid w:val="00585B48"/>
    <w:rsid w:val="00585C07"/>
    <w:rsid w:val="00585C8D"/>
    <w:rsid w:val="00585CBF"/>
    <w:rsid w:val="005862B7"/>
    <w:rsid w:val="005864E0"/>
    <w:rsid w:val="005869E2"/>
    <w:rsid w:val="00586A18"/>
    <w:rsid w:val="00586BB9"/>
    <w:rsid w:val="00586E68"/>
    <w:rsid w:val="00586E7A"/>
    <w:rsid w:val="005871F8"/>
    <w:rsid w:val="005878D8"/>
    <w:rsid w:val="0058799F"/>
    <w:rsid w:val="00587A70"/>
    <w:rsid w:val="00587D9B"/>
    <w:rsid w:val="00587E3B"/>
    <w:rsid w:val="00590217"/>
    <w:rsid w:val="005902E7"/>
    <w:rsid w:val="005902F3"/>
    <w:rsid w:val="0059081C"/>
    <w:rsid w:val="00590B58"/>
    <w:rsid w:val="00590CBD"/>
    <w:rsid w:val="00591065"/>
    <w:rsid w:val="005913B9"/>
    <w:rsid w:val="005913CB"/>
    <w:rsid w:val="00591429"/>
    <w:rsid w:val="00591895"/>
    <w:rsid w:val="005919FF"/>
    <w:rsid w:val="00591A97"/>
    <w:rsid w:val="00591BB5"/>
    <w:rsid w:val="005920DB"/>
    <w:rsid w:val="0059271B"/>
    <w:rsid w:val="0059290E"/>
    <w:rsid w:val="00592A6E"/>
    <w:rsid w:val="00592BBE"/>
    <w:rsid w:val="005936CB"/>
    <w:rsid w:val="00593A61"/>
    <w:rsid w:val="00593B34"/>
    <w:rsid w:val="00593C6E"/>
    <w:rsid w:val="00593E01"/>
    <w:rsid w:val="00593FE2"/>
    <w:rsid w:val="00594A41"/>
    <w:rsid w:val="00594A8D"/>
    <w:rsid w:val="00594AA3"/>
    <w:rsid w:val="00594B23"/>
    <w:rsid w:val="00594D34"/>
    <w:rsid w:val="00595272"/>
    <w:rsid w:val="00595497"/>
    <w:rsid w:val="0059585C"/>
    <w:rsid w:val="00595DD3"/>
    <w:rsid w:val="00595F38"/>
    <w:rsid w:val="00595FAE"/>
    <w:rsid w:val="00596051"/>
    <w:rsid w:val="005963DA"/>
    <w:rsid w:val="00596729"/>
    <w:rsid w:val="005968D7"/>
    <w:rsid w:val="00596B1B"/>
    <w:rsid w:val="00596BC5"/>
    <w:rsid w:val="00596CB1"/>
    <w:rsid w:val="00596DC8"/>
    <w:rsid w:val="00596E61"/>
    <w:rsid w:val="00596EE7"/>
    <w:rsid w:val="00596F91"/>
    <w:rsid w:val="00597561"/>
    <w:rsid w:val="005977AC"/>
    <w:rsid w:val="00597903"/>
    <w:rsid w:val="00597B96"/>
    <w:rsid w:val="00597CC1"/>
    <w:rsid w:val="00597F79"/>
    <w:rsid w:val="005A0320"/>
    <w:rsid w:val="005A03C6"/>
    <w:rsid w:val="005A05B0"/>
    <w:rsid w:val="005A088E"/>
    <w:rsid w:val="005A0BD9"/>
    <w:rsid w:val="005A1068"/>
    <w:rsid w:val="005A1234"/>
    <w:rsid w:val="005A1C86"/>
    <w:rsid w:val="005A218D"/>
    <w:rsid w:val="005A25F3"/>
    <w:rsid w:val="005A297E"/>
    <w:rsid w:val="005A2993"/>
    <w:rsid w:val="005A2A5C"/>
    <w:rsid w:val="005A2B93"/>
    <w:rsid w:val="005A2BB9"/>
    <w:rsid w:val="005A2D17"/>
    <w:rsid w:val="005A2F2E"/>
    <w:rsid w:val="005A3004"/>
    <w:rsid w:val="005A301B"/>
    <w:rsid w:val="005A3775"/>
    <w:rsid w:val="005A37D9"/>
    <w:rsid w:val="005A3A93"/>
    <w:rsid w:val="005A3BC8"/>
    <w:rsid w:val="005A3F3A"/>
    <w:rsid w:val="005A419E"/>
    <w:rsid w:val="005A4A84"/>
    <w:rsid w:val="005A4AA7"/>
    <w:rsid w:val="005A4BB1"/>
    <w:rsid w:val="005A4D97"/>
    <w:rsid w:val="005A4DD4"/>
    <w:rsid w:val="005A52A5"/>
    <w:rsid w:val="005A556A"/>
    <w:rsid w:val="005A5D21"/>
    <w:rsid w:val="005A5F1C"/>
    <w:rsid w:val="005A61F0"/>
    <w:rsid w:val="005A647F"/>
    <w:rsid w:val="005A649E"/>
    <w:rsid w:val="005A6BEE"/>
    <w:rsid w:val="005A6CBD"/>
    <w:rsid w:val="005A6FE3"/>
    <w:rsid w:val="005A704D"/>
    <w:rsid w:val="005A7436"/>
    <w:rsid w:val="005A77BC"/>
    <w:rsid w:val="005A7CB6"/>
    <w:rsid w:val="005A7D4D"/>
    <w:rsid w:val="005B008D"/>
    <w:rsid w:val="005B0469"/>
    <w:rsid w:val="005B0813"/>
    <w:rsid w:val="005B0865"/>
    <w:rsid w:val="005B0B58"/>
    <w:rsid w:val="005B0D19"/>
    <w:rsid w:val="005B0DE8"/>
    <w:rsid w:val="005B0FCE"/>
    <w:rsid w:val="005B10BE"/>
    <w:rsid w:val="005B11AD"/>
    <w:rsid w:val="005B16DB"/>
    <w:rsid w:val="005B171E"/>
    <w:rsid w:val="005B1814"/>
    <w:rsid w:val="005B1910"/>
    <w:rsid w:val="005B1C99"/>
    <w:rsid w:val="005B202B"/>
    <w:rsid w:val="005B22B3"/>
    <w:rsid w:val="005B2442"/>
    <w:rsid w:val="005B27E0"/>
    <w:rsid w:val="005B28D0"/>
    <w:rsid w:val="005B2AC6"/>
    <w:rsid w:val="005B2CB1"/>
    <w:rsid w:val="005B2E7E"/>
    <w:rsid w:val="005B2E99"/>
    <w:rsid w:val="005B3039"/>
    <w:rsid w:val="005B30AA"/>
    <w:rsid w:val="005B35F6"/>
    <w:rsid w:val="005B3919"/>
    <w:rsid w:val="005B3982"/>
    <w:rsid w:val="005B3A6E"/>
    <w:rsid w:val="005B3B96"/>
    <w:rsid w:val="005B3BAE"/>
    <w:rsid w:val="005B3CB9"/>
    <w:rsid w:val="005B3D99"/>
    <w:rsid w:val="005B3FA5"/>
    <w:rsid w:val="005B40F1"/>
    <w:rsid w:val="005B4590"/>
    <w:rsid w:val="005B4B4D"/>
    <w:rsid w:val="005B4D8C"/>
    <w:rsid w:val="005B4DB4"/>
    <w:rsid w:val="005B500D"/>
    <w:rsid w:val="005B5206"/>
    <w:rsid w:val="005B52C3"/>
    <w:rsid w:val="005B530B"/>
    <w:rsid w:val="005B533B"/>
    <w:rsid w:val="005B54CB"/>
    <w:rsid w:val="005B561A"/>
    <w:rsid w:val="005B5908"/>
    <w:rsid w:val="005B590A"/>
    <w:rsid w:val="005B5A69"/>
    <w:rsid w:val="005B5A91"/>
    <w:rsid w:val="005B5B51"/>
    <w:rsid w:val="005B5E20"/>
    <w:rsid w:val="005B5FAF"/>
    <w:rsid w:val="005B6047"/>
    <w:rsid w:val="005B611B"/>
    <w:rsid w:val="005B61C2"/>
    <w:rsid w:val="005B6261"/>
    <w:rsid w:val="005B64A3"/>
    <w:rsid w:val="005B653A"/>
    <w:rsid w:val="005B66A4"/>
    <w:rsid w:val="005B66C6"/>
    <w:rsid w:val="005B6827"/>
    <w:rsid w:val="005B68F5"/>
    <w:rsid w:val="005B6A50"/>
    <w:rsid w:val="005B7454"/>
    <w:rsid w:val="005B76E5"/>
    <w:rsid w:val="005B7741"/>
    <w:rsid w:val="005B7759"/>
    <w:rsid w:val="005B7867"/>
    <w:rsid w:val="005B7884"/>
    <w:rsid w:val="005B79A3"/>
    <w:rsid w:val="005B79F4"/>
    <w:rsid w:val="005B7BDC"/>
    <w:rsid w:val="005B7D37"/>
    <w:rsid w:val="005C0108"/>
    <w:rsid w:val="005C0375"/>
    <w:rsid w:val="005C052D"/>
    <w:rsid w:val="005C05E7"/>
    <w:rsid w:val="005C0677"/>
    <w:rsid w:val="005C093A"/>
    <w:rsid w:val="005C0952"/>
    <w:rsid w:val="005C0A8F"/>
    <w:rsid w:val="005C0BDE"/>
    <w:rsid w:val="005C1084"/>
    <w:rsid w:val="005C1BFF"/>
    <w:rsid w:val="005C1FBC"/>
    <w:rsid w:val="005C2266"/>
    <w:rsid w:val="005C2288"/>
    <w:rsid w:val="005C2381"/>
    <w:rsid w:val="005C28BE"/>
    <w:rsid w:val="005C2A0E"/>
    <w:rsid w:val="005C2BA4"/>
    <w:rsid w:val="005C2BAF"/>
    <w:rsid w:val="005C2E63"/>
    <w:rsid w:val="005C2E9F"/>
    <w:rsid w:val="005C3562"/>
    <w:rsid w:val="005C37B5"/>
    <w:rsid w:val="005C37E6"/>
    <w:rsid w:val="005C382E"/>
    <w:rsid w:val="005C389B"/>
    <w:rsid w:val="005C38E9"/>
    <w:rsid w:val="005C3A11"/>
    <w:rsid w:val="005C3A2B"/>
    <w:rsid w:val="005C3B08"/>
    <w:rsid w:val="005C3F9A"/>
    <w:rsid w:val="005C433C"/>
    <w:rsid w:val="005C4365"/>
    <w:rsid w:val="005C45B3"/>
    <w:rsid w:val="005C4746"/>
    <w:rsid w:val="005C4F8C"/>
    <w:rsid w:val="005C5290"/>
    <w:rsid w:val="005C52AB"/>
    <w:rsid w:val="005C537B"/>
    <w:rsid w:val="005C5443"/>
    <w:rsid w:val="005C5445"/>
    <w:rsid w:val="005C5F7C"/>
    <w:rsid w:val="005C6058"/>
    <w:rsid w:val="005C61FD"/>
    <w:rsid w:val="005C6486"/>
    <w:rsid w:val="005C6526"/>
    <w:rsid w:val="005C68FD"/>
    <w:rsid w:val="005C69CB"/>
    <w:rsid w:val="005C6AC4"/>
    <w:rsid w:val="005C6AE8"/>
    <w:rsid w:val="005C6BAA"/>
    <w:rsid w:val="005C6F23"/>
    <w:rsid w:val="005C7014"/>
    <w:rsid w:val="005C7300"/>
    <w:rsid w:val="005C7457"/>
    <w:rsid w:val="005C751C"/>
    <w:rsid w:val="005C76E6"/>
    <w:rsid w:val="005C79FC"/>
    <w:rsid w:val="005C7B13"/>
    <w:rsid w:val="005C7DB1"/>
    <w:rsid w:val="005C7E07"/>
    <w:rsid w:val="005D1298"/>
    <w:rsid w:val="005D155A"/>
    <w:rsid w:val="005D1678"/>
    <w:rsid w:val="005D1689"/>
    <w:rsid w:val="005D1799"/>
    <w:rsid w:val="005D21DD"/>
    <w:rsid w:val="005D22F1"/>
    <w:rsid w:val="005D22FD"/>
    <w:rsid w:val="005D2319"/>
    <w:rsid w:val="005D248D"/>
    <w:rsid w:val="005D27C1"/>
    <w:rsid w:val="005D287A"/>
    <w:rsid w:val="005D2A19"/>
    <w:rsid w:val="005D2AEE"/>
    <w:rsid w:val="005D2AFE"/>
    <w:rsid w:val="005D2D9A"/>
    <w:rsid w:val="005D30AE"/>
    <w:rsid w:val="005D316F"/>
    <w:rsid w:val="005D352F"/>
    <w:rsid w:val="005D39E5"/>
    <w:rsid w:val="005D4039"/>
    <w:rsid w:val="005D40B6"/>
    <w:rsid w:val="005D410B"/>
    <w:rsid w:val="005D4635"/>
    <w:rsid w:val="005D48AB"/>
    <w:rsid w:val="005D4A31"/>
    <w:rsid w:val="005D4B13"/>
    <w:rsid w:val="005D4DDB"/>
    <w:rsid w:val="005D4FBB"/>
    <w:rsid w:val="005D507D"/>
    <w:rsid w:val="005D50A5"/>
    <w:rsid w:val="005D51B9"/>
    <w:rsid w:val="005D558C"/>
    <w:rsid w:val="005D55A8"/>
    <w:rsid w:val="005D566D"/>
    <w:rsid w:val="005D5687"/>
    <w:rsid w:val="005D5846"/>
    <w:rsid w:val="005D596E"/>
    <w:rsid w:val="005D59BF"/>
    <w:rsid w:val="005D5AE3"/>
    <w:rsid w:val="005D5B5B"/>
    <w:rsid w:val="005D5ED8"/>
    <w:rsid w:val="005D60E4"/>
    <w:rsid w:val="005D61A8"/>
    <w:rsid w:val="005D6253"/>
    <w:rsid w:val="005D6261"/>
    <w:rsid w:val="005D6394"/>
    <w:rsid w:val="005D64FA"/>
    <w:rsid w:val="005D66B7"/>
    <w:rsid w:val="005D6F2A"/>
    <w:rsid w:val="005D71DA"/>
    <w:rsid w:val="005D7262"/>
    <w:rsid w:val="005D74FB"/>
    <w:rsid w:val="005D78AD"/>
    <w:rsid w:val="005D79ED"/>
    <w:rsid w:val="005D7D06"/>
    <w:rsid w:val="005E006F"/>
    <w:rsid w:val="005E01C1"/>
    <w:rsid w:val="005E08E5"/>
    <w:rsid w:val="005E0CA1"/>
    <w:rsid w:val="005E0EED"/>
    <w:rsid w:val="005E1010"/>
    <w:rsid w:val="005E10E4"/>
    <w:rsid w:val="005E1515"/>
    <w:rsid w:val="005E18BF"/>
    <w:rsid w:val="005E1BBF"/>
    <w:rsid w:val="005E1DF5"/>
    <w:rsid w:val="005E232C"/>
    <w:rsid w:val="005E274D"/>
    <w:rsid w:val="005E284D"/>
    <w:rsid w:val="005E288A"/>
    <w:rsid w:val="005E28EA"/>
    <w:rsid w:val="005E2D6D"/>
    <w:rsid w:val="005E3092"/>
    <w:rsid w:val="005E3426"/>
    <w:rsid w:val="005E3614"/>
    <w:rsid w:val="005E38C0"/>
    <w:rsid w:val="005E395F"/>
    <w:rsid w:val="005E3F9E"/>
    <w:rsid w:val="005E3FD0"/>
    <w:rsid w:val="005E4550"/>
    <w:rsid w:val="005E49AD"/>
    <w:rsid w:val="005E4AD6"/>
    <w:rsid w:val="005E4B1F"/>
    <w:rsid w:val="005E4C85"/>
    <w:rsid w:val="005E5143"/>
    <w:rsid w:val="005E51F7"/>
    <w:rsid w:val="005E5422"/>
    <w:rsid w:val="005E550C"/>
    <w:rsid w:val="005E568E"/>
    <w:rsid w:val="005E56B9"/>
    <w:rsid w:val="005E56D6"/>
    <w:rsid w:val="005E5815"/>
    <w:rsid w:val="005E5AA0"/>
    <w:rsid w:val="005E5CA5"/>
    <w:rsid w:val="005E6A13"/>
    <w:rsid w:val="005E6A36"/>
    <w:rsid w:val="005E6DC3"/>
    <w:rsid w:val="005E6DDD"/>
    <w:rsid w:val="005E73B9"/>
    <w:rsid w:val="005E762A"/>
    <w:rsid w:val="005E770D"/>
    <w:rsid w:val="005E7F3F"/>
    <w:rsid w:val="005E819B"/>
    <w:rsid w:val="005F0116"/>
    <w:rsid w:val="005F0520"/>
    <w:rsid w:val="005F05DD"/>
    <w:rsid w:val="005F081A"/>
    <w:rsid w:val="005F082F"/>
    <w:rsid w:val="005F0B85"/>
    <w:rsid w:val="005F0C03"/>
    <w:rsid w:val="005F0DB5"/>
    <w:rsid w:val="005F1104"/>
    <w:rsid w:val="005F157C"/>
    <w:rsid w:val="005F1663"/>
    <w:rsid w:val="005F16E6"/>
    <w:rsid w:val="005F1B6C"/>
    <w:rsid w:val="005F1BC5"/>
    <w:rsid w:val="005F1D4A"/>
    <w:rsid w:val="005F1DAC"/>
    <w:rsid w:val="005F1E45"/>
    <w:rsid w:val="005F23F9"/>
    <w:rsid w:val="005F24D6"/>
    <w:rsid w:val="005F24FF"/>
    <w:rsid w:val="005F2544"/>
    <w:rsid w:val="005F268F"/>
    <w:rsid w:val="005F2B2F"/>
    <w:rsid w:val="005F2F8D"/>
    <w:rsid w:val="005F30A3"/>
    <w:rsid w:val="005F31E3"/>
    <w:rsid w:val="005F3575"/>
    <w:rsid w:val="005F36B9"/>
    <w:rsid w:val="005F386B"/>
    <w:rsid w:val="005F3F12"/>
    <w:rsid w:val="005F401E"/>
    <w:rsid w:val="005F49D8"/>
    <w:rsid w:val="005F4CAC"/>
    <w:rsid w:val="005F50BD"/>
    <w:rsid w:val="005F530D"/>
    <w:rsid w:val="005F54D5"/>
    <w:rsid w:val="005F54EC"/>
    <w:rsid w:val="005F587C"/>
    <w:rsid w:val="005F5A73"/>
    <w:rsid w:val="005F5BEE"/>
    <w:rsid w:val="005F5D4C"/>
    <w:rsid w:val="005F5D8C"/>
    <w:rsid w:val="005F60AA"/>
    <w:rsid w:val="005F6161"/>
    <w:rsid w:val="005F61E0"/>
    <w:rsid w:val="005F6253"/>
    <w:rsid w:val="005F655D"/>
    <w:rsid w:val="005F658D"/>
    <w:rsid w:val="005F667E"/>
    <w:rsid w:val="005F69A4"/>
    <w:rsid w:val="005F69B8"/>
    <w:rsid w:val="005F6A09"/>
    <w:rsid w:val="005F6BBD"/>
    <w:rsid w:val="005F6CAE"/>
    <w:rsid w:val="005F6DA5"/>
    <w:rsid w:val="005F719C"/>
    <w:rsid w:val="005F7366"/>
    <w:rsid w:val="005F7566"/>
    <w:rsid w:val="005F7816"/>
    <w:rsid w:val="005F794F"/>
    <w:rsid w:val="005F7C4C"/>
    <w:rsid w:val="005F7DC2"/>
    <w:rsid w:val="0060028A"/>
    <w:rsid w:val="00600393"/>
    <w:rsid w:val="006003A9"/>
    <w:rsid w:val="006005B0"/>
    <w:rsid w:val="0060070A"/>
    <w:rsid w:val="00600BDC"/>
    <w:rsid w:val="00601632"/>
    <w:rsid w:val="0060164C"/>
    <w:rsid w:val="006018E3"/>
    <w:rsid w:val="00601A23"/>
    <w:rsid w:val="00601DC7"/>
    <w:rsid w:val="00602550"/>
    <w:rsid w:val="006027AC"/>
    <w:rsid w:val="006027FC"/>
    <w:rsid w:val="00602D89"/>
    <w:rsid w:val="00602DCC"/>
    <w:rsid w:val="006030BD"/>
    <w:rsid w:val="00603110"/>
    <w:rsid w:val="00603648"/>
    <w:rsid w:val="00603838"/>
    <w:rsid w:val="006038AE"/>
    <w:rsid w:val="006038C9"/>
    <w:rsid w:val="00603940"/>
    <w:rsid w:val="00603F8E"/>
    <w:rsid w:val="00603F91"/>
    <w:rsid w:val="006040D4"/>
    <w:rsid w:val="0060413B"/>
    <w:rsid w:val="006042A7"/>
    <w:rsid w:val="006043AB"/>
    <w:rsid w:val="0060445E"/>
    <w:rsid w:val="00604766"/>
    <w:rsid w:val="006047FC"/>
    <w:rsid w:val="00604A86"/>
    <w:rsid w:val="00604AE1"/>
    <w:rsid w:val="00604D41"/>
    <w:rsid w:val="00604D7C"/>
    <w:rsid w:val="00605327"/>
    <w:rsid w:val="006053E3"/>
    <w:rsid w:val="00605ACA"/>
    <w:rsid w:val="00605BFA"/>
    <w:rsid w:val="00605D5F"/>
    <w:rsid w:val="00606639"/>
    <w:rsid w:val="0060676B"/>
    <w:rsid w:val="006069FD"/>
    <w:rsid w:val="00606E3F"/>
    <w:rsid w:val="00606FDD"/>
    <w:rsid w:val="00606FFF"/>
    <w:rsid w:val="0060737B"/>
    <w:rsid w:val="006074E2"/>
    <w:rsid w:val="00607611"/>
    <w:rsid w:val="0060795E"/>
    <w:rsid w:val="00607AD3"/>
    <w:rsid w:val="00607BD2"/>
    <w:rsid w:val="00607D0D"/>
    <w:rsid w:val="00607D29"/>
    <w:rsid w:val="006100E9"/>
    <w:rsid w:val="006102B4"/>
    <w:rsid w:val="00610316"/>
    <w:rsid w:val="00610603"/>
    <w:rsid w:val="00610A97"/>
    <w:rsid w:val="00610F09"/>
    <w:rsid w:val="00610FF4"/>
    <w:rsid w:val="00611061"/>
    <w:rsid w:val="00611077"/>
    <w:rsid w:val="006113BC"/>
    <w:rsid w:val="00611400"/>
    <w:rsid w:val="00611675"/>
    <w:rsid w:val="00611B6A"/>
    <w:rsid w:val="00611CC6"/>
    <w:rsid w:val="00611EA1"/>
    <w:rsid w:val="00611FA3"/>
    <w:rsid w:val="00612421"/>
    <w:rsid w:val="00612846"/>
    <w:rsid w:val="00612892"/>
    <w:rsid w:val="0061297C"/>
    <w:rsid w:val="00612C7E"/>
    <w:rsid w:val="00612D7D"/>
    <w:rsid w:val="00612EF1"/>
    <w:rsid w:val="0061364F"/>
    <w:rsid w:val="006137AD"/>
    <w:rsid w:val="00613D7C"/>
    <w:rsid w:val="00613D9C"/>
    <w:rsid w:val="0061403B"/>
    <w:rsid w:val="00614060"/>
    <w:rsid w:val="0061417B"/>
    <w:rsid w:val="00614216"/>
    <w:rsid w:val="006142A2"/>
    <w:rsid w:val="0061443F"/>
    <w:rsid w:val="00614527"/>
    <w:rsid w:val="006145A7"/>
    <w:rsid w:val="00614966"/>
    <w:rsid w:val="0061496D"/>
    <w:rsid w:val="00614981"/>
    <w:rsid w:val="00614DF0"/>
    <w:rsid w:val="006150E5"/>
    <w:rsid w:val="00615B0F"/>
    <w:rsid w:val="00615BFE"/>
    <w:rsid w:val="006162D0"/>
    <w:rsid w:val="00616865"/>
    <w:rsid w:val="00616BA0"/>
    <w:rsid w:val="00616CBE"/>
    <w:rsid w:val="00616DE6"/>
    <w:rsid w:val="00616F03"/>
    <w:rsid w:val="00616F85"/>
    <w:rsid w:val="00616FCF"/>
    <w:rsid w:val="006179B2"/>
    <w:rsid w:val="00617CE9"/>
    <w:rsid w:val="00617DD1"/>
    <w:rsid w:val="0061C5AC"/>
    <w:rsid w:val="00620057"/>
    <w:rsid w:val="006202B7"/>
    <w:rsid w:val="0062046D"/>
    <w:rsid w:val="0062051C"/>
    <w:rsid w:val="006208D4"/>
    <w:rsid w:val="00620C87"/>
    <w:rsid w:val="00620E61"/>
    <w:rsid w:val="0062111B"/>
    <w:rsid w:val="00621178"/>
    <w:rsid w:val="00621256"/>
    <w:rsid w:val="006212D3"/>
    <w:rsid w:val="0062131B"/>
    <w:rsid w:val="00621410"/>
    <w:rsid w:val="00621638"/>
    <w:rsid w:val="006219BF"/>
    <w:rsid w:val="00621D31"/>
    <w:rsid w:val="00622179"/>
    <w:rsid w:val="006221B2"/>
    <w:rsid w:val="006222DA"/>
    <w:rsid w:val="00622638"/>
    <w:rsid w:val="0062279D"/>
    <w:rsid w:val="00622B57"/>
    <w:rsid w:val="00622B6D"/>
    <w:rsid w:val="00622C20"/>
    <w:rsid w:val="00622EEF"/>
    <w:rsid w:val="006233F6"/>
    <w:rsid w:val="00623754"/>
    <w:rsid w:val="006237F2"/>
    <w:rsid w:val="00623898"/>
    <w:rsid w:val="006238D6"/>
    <w:rsid w:val="00623F04"/>
    <w:rsid w:val="006241C0"/>
    <w:rsid w:val="00624279"/>
    <w:rsid w:val="00624303"/>
    <w:rsid w:val="00624623"/>
    <w:rsid w:val="006246B6"/>
    <w:rsid w:val="006247EE"/>
    <w:rsid w:val="0062481C"/>
    <w:rsid w:val="006248A8"/>
    <w:rsid w:val="00624AF3"/>
    <w:rsid w:val="00624B95"/>
    <w:rsid w:val="00624FDD"/>
    <w:rsid w:val="00624FE7"/>
    <w:rsid w:val="00625051"/>
    <w:rsid w:val="006250AB"/>
    <w:rsid w:val="00625114"/>
    <w:rsid w:val="0062512B"/>
    <w:rsid w:val="00625195"/>
    <w:rsid w:val="0062538D"/>
    <w:rsid w:val="00625426"/>
    <w:rsid w:val="00625466"/>
    <w:rsid w:val="006264F4"/>
    <w:rsid w:val="006267F7"/>
    <w:rsid w:val="0062690A"/>
    <w:rsid w:val="00626A34"/>
    <w:rsid w:val="00626B68"/>
    <w:rsid w:val="00626DA7"/>
    <w:rsid w:val="00626E9C"/>
    <w:rsid w:val="00626FD1"/>
    <w:rsid w:val="006278FC"/>
    <w:rsid w:val="006279E1"/>
    <w:rsid w:val="00627B0C"/>
    <w:rsid w:val="00627CD4"/>
    <w:rsid w:val="00630657"/>
    <w:rsid w:val="00630C41"/>
    <w:rsid w:val="00630C49"/>
    <w:rsid w:val="0063119E"/>
    <w:rsid w:val="006311A2"/>
    <w:rsid w:val="006311B7"/>
    <w:rsid w:val="00631234"/>
    <w:rsid w:val="00631542"/>
    <w:rsid w:val="006317ED"/>
    <w:rsid w:val="00631A34"/>
    <w:rsid w:val="00631A64"/>
    <w:rsid w:val="00631A6F"/>
    <w:rsid w:val="00631B2C"/>
    <w:rsid w:val="00631CBB"/>
    <w:rsid w:val="00632249"/>
    <w:rsid w:val="00632842"/>
    <w:rsid w:val="00632AB4"/>
    <w:rsid w:val="00632D84"/>
    <w:rsid w:val="00633219"/>
    <w:rsid w:val="00633590"/>
    <w:rsid w:val="00633A8D"/>
    <w:rsid w:val="00633FE4"/>
    <w:rsid w:val="0063436F"/>
    <w:rsid w:val="0063451B"/>
    <w:rsid w:val="00634627"/>
    <w:rsid w:val="00634A60"/>
    <w:rsid w:val="00634DD0"/>
    <w:rsid w:val="00634EB5"/>
    <w:rsid w:val="00634F10"/>
    <w:rsid w:val="00635810"/>
    <w:rsid w:val="0063596D"/>
    <w:rsid w:val="00635A82"/>
    <w:rsid w:val="00635ACF"/>
    <w:rsid w:val="00636046"/>
    <w:rsid w:val="0063608C"/>
    <w:rsid w:val="00636146"/>
    <w:rsid w:val="00636167"/>
    <w:rsid w:val="006362F2"/>
    <w:rsid w:val="0063645A"/>
    <w:rsid w:val="00636481"/>
    <w:rsid w:val="00636DBE"/>
    <w:rsid w:val="006372AB"/>
    <w:rsid w:val="0063741B"/>
    <w:rsid w:val="006374CB"/>
    <w:rsid w:val="00637770"/>
    <w:rsid w:val="00637E5B"/>
    <w:rsid w:val="00640237"/>
    <w:rsid w:val="0064050F"/>
    <w:rsid w:val="00640557"/>
    <w:rsid w:val="0064059C"/>
    <w:rsid w:val="00640618"/>
    <w:rsid w:val="006408A2"/>
    <w:rsid w:val="00640AAF"/>
    <w:rsid w:val="00640EBB"/>
    <w:rsid w:val="00640FA2"/>
    <w:rsid w:val="006416BD"/>
    <w:rsid w:val="00641926"/>
    <w:rsid w:val="00641EB2"/>
    <w:rsid w:val="00641FAA"/>
    <w:rsid w:val="00642134"/>
    <w:rsid w:val="00642287"/>
    <w:rsid w:val="006424AE"/>
    <w:rsid w:val="006424C1"/>
    <w:rsid w:val="00642962"/>
    <w:rsid w:val="00642A47"/>
    <w:rsid w:val="00642D8B"/>
    <w:rsid w:val="0064311E"/>
    <w:rsid w:val="006432F4"/>
    <w:rsid w:val="006433F0"/>
    <w:rsid w:val="00643500"/>
    <w:rsid w:val="006437D8"/>
    <w:rsid w:val="0064387A"/>
    <w:rsid w:val="006442D5"/>
    <w:rsid w:val="00644542"/>
    <w:rsid w:val="00644924"/>
    <w:rsid w:val="00644FE7"/>
    <w:rsid w:val="006451AB"/>
    <w:rsid w:val="006451C2"/>
    <w:rsid w:val="00645439"/>
    <w:rsid w:val="00645713"/>
    <w:rsid w:val="00645A13"/>
    <w:rsid w:val="00645B54"/>
    <w:rsid w:val="00645DA7"/>
    <w:rsid w:val="006462A7"/>
    <w:rsid w:val="0064636E"/>
    <w:rsid w:val="0064652B"/>
    <w:rsid w:val="0064653C"/>
    <w:rsid w:val="00646558"/>
    <w:rsid w:val="00646685"/>
    <w:rsid w:val="006467EA"/>
    <w:rsid w:val="00646AB5"/>
    <w:rsid w:val="00646BDB"/>
    <w:rsid w:val="00646D27"/>
    <w:rsid w:val="00646E13"/>
    <w:rsid w:val="00646E74"/>
    <w:rsid w:val="006475F0"/>
    <w:rsid w:val="006476E5"/>
    <w:rsid w:val="006477BE"/>
    <w:rsid w:val="00647ACF"/>
    <w:rsid w:val="00647C1E"/>
    <w:rsid w:val="00647EA2"/>
    <w:rsid w:val="00650192"/>
    <w:rsid w:val="00650807"/>
    <w:rsid w:val="006509E4"/>
    <w:rsid w:val="00650A61"/>
    <w:rsid w:val="00650E36"/>
    <w:rsid w:val="0065102C"/>
    <w:rsid w:val="006510C8"/>
    <w:rsid w:val="00651257"/>
    <w:rsid w:val="006517D4"/>
    <w:rsid w:val="00651857"/>
    <w:rsid w:val="00651C11"/>
    <w:rsid w:val="00651CED"/>
    <w:rsid w:val="00651D74"/>
    <w:rsid w:val="0065239E"/>
    <w:rsid w:val="006524C3"/>
    <w:rsid w:val="006524E2"/>
    <w:rsid w:val="00652520"/>
    <w:rsid w:val="0065255C"/>
    <w:rsid w:val="006525B3"/>
    <w:rsid w:val="006530BB"/>
    <w:rsid w:val="00653281"/>
    <w:rsid w:val="0065343D"/>
    <w:rsid w:val="00653B74"/>
    <w:rsid w:val="00653B93"/>
    <w:rsid w:val="00653DC9"/>
    <w:rsid w:val="00653E86"/>
    <w:rsid w:val="00654167"/>
    <w:rsid w:val="00654949"/>
    <w:rsid w:val="006549A6"/>
    <w:rsid w:val="006549C2"/>
    <w:rsid w:val="00654AD0"/>
    <w:rsid w:val="00654C69"/>
    <w:rsid w:val="00655031"/>
    <w:rsid w:val="00655200"/>
    <w:rsid w:val="0065541A"/>
    <w:rsid w:val="006554DE"/>
    <w:rsid w:val="00655840"/>
    <w:rsid w:val="006558FD"/>
    <w:rsid w:val="00655962"/>
    <w:rsid w:val="00655966"/>
    <w:rsid w:val="00655A33"/>
    <w:rsid w:val="00655EBD"/>
    <w:rsid w:val="00655EF1"/>
    <w:rsid w:val="0065635C"/>
    <w:rsid w:val="00656366"/>
    <w:rsid w:val="00656650"/>
    <w:rsid w:val="006570E0"/>
    <w:rsid w:val="00657322"/>
    <w:rsid w:val="0065792D"/>
    <w:rsid w:val="00657A2B"/>
    <w:rsid w:val="00657F8A"/>
    <w:rsid w:val="0066016D"/>
    <w:rsid w:val="006604B4"/>
    <w:rsid w:val="006605EF"/>
    <w:rsid w:val="006609C5"/>
    <w:rsid w:val="00660B5D"/>
    <w:rsid w:val="00660B7B"/>
    <w:rsid w:val="006611AD"/>
    <w:rsid w:val="0066123D"/>
    <w:rsid w:val="0066138D"/>
    <w:rsid w:val="006615C8"/>
    <w:rsid w:val="00661764"/>
    <w:rsid w:val="00661984"/>
    <w:rsid w:val="00661CC1"/>
    <w:rsid w:val="00661D71"/>
    <w:rsid w:val="006620C7"/>
    <w:rsid w:val="00662196"/>
    <w:rsid w:val="00662261"/>
    <w:rsid w:val="00662478"/>
    <w:rsid w:val="0066268C"/>
    <w:rsid w:val="00662AA9"/>
    <w:rsid w:val="00662B3F"/>
    <w:rsid w:val="00662DEA"/>
    <w:rsid w:val="00662E95"/>
    <w:rsid w:val="00662F91"/>
    <w:rsid w:val="00663798"/>
    <w:rsid w:val="00663B59"/>
    <w:rsid w:val="00663F62"/>
    <w:rsid w:val="0066441C"/>
    <w:rsid w:val="00664594"/>
    <w:rsid w:val="006647DE"/>
    <w:rsid w:val="006649DC"/>
    <w:rsid w:val="00664BF8"/>
    <w:rsid w:val="00664DA7"/>
    <w:rsid w:val="00664EBE"/>
    <w:rsid w:val="00665054"/>
    <w:rsid w:val="006651E2"/>
    <w:rsid w:val="00665266"/>
    <w:rsid w:val="0066541E"/>
    <w:rsid w:val="006655FB"/>
    <w:rsid w:val="006657E1"/>
    <w:rsid w:val="006658E0"/>
    <w:rsid w:val="00665AD6"/>
    <w:rsid w:val="00665CD1"/>
    <w:rsid w:val="00665E1C"/>
    <w:rsid w:val="00665EDC"/>
    <w:rsid w:val="006660E5"/>
    <w:rsid w:val="0066613E"/>
    <w:rsid w:val="006662DE"/>
    <w:rsid w:val="0066632B"/>
    <w:rsid w:val="006664B6"/>
    <w:rsid w:val="00666514"/>
    <w:rsid w:val="00666594"/>
    <w:rsid w:val="00666FB7"/>
    <w:rsid w:val="006673BA"/>
    <w:rsid w:val="00667458"/>
    <w:rsid w:val="00667552"/>
    <w:rsid w:val="00667A2F"/>
    <w:rsid w:val="00667B17"/>
    <w:rsid w:val="00667C7E"/>
    <w:rsid w:val="00667F28"/>
    <w:rsid w:val="0067029A"/>
    <w:rsid w:val="0067046B"/>
    <w:rsid w:val="00670A1A"/>
    <w:rsid w:val="00670CC2"/>
    <w:rsid w:val="00670E07"/>
    <w:rsid w:val="00671130"/>
    <w:rsid w:val="0067136C"/>
    <w:rsid w:val="00671838"/>
    <w:rsid w:val="00671900"/>
    <w:rsid w:val="00671C02"/>
    <w:rsid w:val="00671C2D"/>
    <w:rsid w:val="00671DE1"/>
    <w:rsid w:val="006721CD"/>
    <w:rsid w:val="00672519"/>
    <w:rsid w:val="0067254C"/>
    <w:rsid w:val="00672D42"/>
    <w:rsid w:val="00672EE1"/>
    <w:rsid w:val="00673340"/>
    <w:rsid w:val="00673495"/>
    <w:rsid w:val="00673A44"/>
    <w:rsid w:val="00673C8E"/>
    <w:rsid w:val="006741C0"/>
    <w:rsid w:val="00674268"/>
    <w:rsid w:val="006744D1"/>
    <w:rsid w:val="00674F8D"/>
    <w:rsid w:val="00675450"/>
    <w:rsid w:val="00675517"/>
    <w:rsid w:val="0067584B"/>
    <w:rsid w:val="006758EB"/>
    <w:rsid w:val="00675ADE"/>
    <w:rsid w:val="00675D5C"/>
    <w:rsid w:val="00675EF6"/>
    <w:rsid w:val="006763D2"/>
    <w:rsid w:val="0067705F"/>
    <w:rsid w:val="006773ED"/>
    <w:rsid w:val="00677564"/>
    <w:rsid w:val="00677AE9"/>
    <w:rsid w:val="00677BAE"/>
    <w:rsid w:val="00677E57"/>
    <w:rsid w:val="0067EA0E"/>
    <w:rsid w:val="006800C0"/>
    <w:rsid w:val="0068023F"/>
    <w:rsid w:val="006803F0"/>
    <w:rsid w:val="00680880"/>
    <w:rsid w:val="006808CE"/>
    <w:rsid w:val="00680B27"/>
    <w:rsid w:val="00680ECE"/>
    <w:rsid w:val="00680FE9"/>
    <w:rsid w:val="00681127"/>
    <w:rsid w:val="006811C2"/>
    <w:rsid w:val="00681214"/>
    <w:rsid w:val="00681215"/>
    <w:rsid w:val="00681751"/>
    <w:rsid w:val="006817FC"/>
    <w:rsid w:val="00681CE8"/>
    <w:rsid w:val="00681CF9"/>
    <w:rsid w:val="00681D67"/>
    <w:rsid w:val="00682000"/>
    <w:rsid w:val="0068224E"/>
    <w:rsid w:val="006823F9"/>
    <w:rsid w:val="006826D7"/>
    <w:rsid w:val="006829A5"/>
    <w:rsid w:val="00682BE8"/>
    <w:rsid w:val="00682BF1"/>
    <w:rsid w:val="00682D05"/>
    <w:rsid w:val="00682DC4"/>
    <w:rsid w:val="00682FD2"/>
    <w:rsid w:val="0068321D"/>
    <w:rsid w:val="006833BA"/>
    <w:rsid w:val="00683739"/>
    <w:rsid w:val="00683819"/>
    <w:rsid w:val="00683ED3"/>
    <w:rsid w:val="00683F9D"/>
    <w:rsid w:val="00684001"/>
    <w:rsid w:val="006841E3"/>
    <w:rsid w:val="00684462"/>
    <w:rsid w:val="0068491C"/>
    <w:rsid w:val="00684BF5"/>
    <w:rsid w:val="00684C18"/>
    <w:rsid w:val="00684CB9"/>
    <w:rsid w:val="00685E46"/>
    <w:rsid w:val="00685EB9"/>
    <w:rsid w:val="00685FC4"/>
    <w:rsid w:val="0068603C"/>
    <w:rsid w:val="006860CE"/>
    <w:rsid w:val="0068620B"/>
    <w:rsid w:val="006866F5"/>
    <w:rsid w:val="00686BE7"/>
    <w:rsid w:val="00686E2B"/>
    <w:rsid w:val="00686FDB"/>
    <w:rsid w:val="00687148"/>
    <w:rsid w:val="006871E9"/>
    <w:rsid w:val="006874F6"/>
    <w:rsid w:val="006877A0"/>
    <w:rsid w:val="006878B2"/>
    <w:rsid w:val="00687901"/>
    <w:rsid w:val="00687AF4"/>
    <w:rsid w:val="00687B98"/>
    <w:rsid w:val="00687D19"/>
    <w:rsid w:val="00687D94"/>
    <w:rsid w:val="00687FA8"/>
    <w:rsid w:val="00687FD7"/>
    <w:rsid w:val="00690007"/>
    <w:rsid w:val="00690186"/>
    <w:rsid w:val="00690213"/>
    <w:rsid w:val="006902F9"/>
    <w:rsid w:val="0069054C"/>
    <w:rsid w:val="0069059B"/>
    <w:rsid w:val="006905F9"/>
    <w:rsid w:val="0069090E"/>
    <w:rsid w:val="00690A07"/>
    <w:rsid w:val="00690D59"/>
    <w:rsid w:val="00690F4D"/>
    <w:rsid w:val="00691099"/>
    <w:rsid w:val="0069144F"/>
    <w:rsid w:val="00691881"/>
    <w:rsid w:val="00691B4A"/>
    <w:rsid w:val="00691DC3"/>
    <w:rsid w:val="006921D0"/>
    <w:rsid w:val="0069234F"/>
    <w:rsid w:val="00692668"/>
    <w:rsid w:val="0069273C"/>
    <w:rsid w:val="0069278B"/>
    <w:rsid w:val="00692A5A"/>
    <w:rsid w:val="00692B8C"/>
    <w:rsid w:val="00692CE7"/>
    <w:rsid w:val="0069301C"/>
    <w:rsid w:val="00693665"/>
    <w:rsid w:val="006936BF"/>
    <w:rsid w:val="006939A4"/>
    <w:rsid w:val="00693C01"/>
    <w:rsid w:val="00693C94"/>
    <w:rsid w:val="006941C5"/>
    <w:rsid w:val="0069466A"/>
    <w:rsid w:val="00694708"/>
    <w:rsid w:val="00694AEC"/>
    <w:rsid w:val="00694D31"/>
    <w:rsid w:val="0069501F"/>
    <w:rsid w:val="006951E6"/>
    <w:rsid w:val="0069530B"/>
    <w:rsid w:val="0069564F"/>
    <w:rsid w:val="0069583F"/>
    <w:rsid w:val="00695ACE"/>
    <w:rsid w:val="00695E76"/>
    <w:rsid w:val="00695E79"/>
    <w:rsid w:val="00695F84"/>
    <w:rsid w:val="00696044"/>
    <w:rsid w:val="006962F3"/>
    <w:rsid w:val="0069659F"/>
    <w:rsid w:val="00696640"/>
    <w:rsid w:val="00696A54"/>
    <w:rsid w:val="00696AAA"/>
    <w:rsid w:val="00696C54"/>
    <w:rsid w:val="00696F21"/>
    <w:rsid w:val="0069727A"/>
    <w:rsid w:val="0069797F"/>
    <w:rsid w:val="006979BE"/>
    <w:rsid w:val="00697A45"/>
    <w:rsid w:val="006A01ED"/>
    <w:rsid w:val="006A0242"/>
    <w:rsid w:val="006A0410"/>
    <w:rsid w:val="006A0729"/>
    <w:rsid w:val="006A0824"/>
    <w:rsid w:val="006A08BC"/>
    <w:rsid w:val="006A100B"/>
    <w:rsid w:val="006A105A"/>
    <w:rsid w:val="006A1346"/>
    <w:rsid w:val="006A1860"/>
    <w:rsid w:val="006A18AE"/>
    <w:rsid w:val="006A197E"/>
    <w:rsid w:val="006A1E01"/>
    <w:rsid w:val="006A1E73"/>
    <w:rsid w:val="006A1EF6"/>
    <w:rsid w:val="006A21B0"/>
    <w:rsid w:val="006A2320"/>
    <w:rsid w:val="006A24B7"/>
    <w:rsid w:val="006A277A"/>
    <w:rsid w:val="006A2790"/>
    <w:rsid w:val="006A2B64"/>
    <w:rsid w:val="006A2BE1"/>
    <w:rsid w:val="006A2F37"/>
    <w:rsid w:val="006A2FFA"/>
    <w:rsid w:val="006A3082"/>
    <w:rsid w:val="006A30C9"/>
    <w:rsid w:val="006A30DF"/>
    <w:rsid w:val="006A3255"/>
    <w:rsid w:val="006A3333"/>
    <w:rsid w:val="006A34E1"/>
    <w:rsid w:val="006A3DB6"/>
    <w:rsid w:val="006A3E43"/>
    <w:rsid w:val="006A431D"/>
    <w:rsid w:val="006A4558"/>
    <w:rsid w:val="006A4825"/>
    <w:rsid w:val="006A4A66"/>
    <w:rsid w:val="006A4C92"/>
    <w:rsid w:val="006A4D98"/>
    <w:rsid w:val="006A52C8"/>
    <w:rsid w:val="006A5571"/>
    <w:rsid w:val="006A5BC9"/>
    <w:rsid w:val="006A62BF"/>
    <w:rsid w:val="006A6607"/>
    <w:rsid w:val="006A6BE3"/>
    <w:rsid w:val="006A6CF1"/>
    <w:rsid w:val="006A6D0E"/>
    <w:rsid w:val="006A6D49"/>
    <w:rsid w:val="006A6E55"/>
    <w:rsid w:val="006A6E83"/>
    <w:rsid w:val="006A6EB6"/>
    <w:rsid w:val="006A71FD"/>
    <w:rsid w:val="006A734D"/>
    <w:rsid w:val="006A7974"/>
    <w:rsid w:val="006A7975"/>
    <w:rsid w:val="006A7C1B"/>
    <w:rsid w:val="006A7E34"/>
    <w:rsid w:val="006A7F07"/>
    <w:rsid w:val="006B0052"/>
    <w:rsid w:val="006B0325"/>
    <w:rsid w:val="006B0332"/>
    <w:rsid w:val="006B0354"/>
    <w:rsid w:val="006B074A"/>
    <w:rsid w:val="006B0806"/>
    <w:rsid w:val="006B086F"/>
    <w:rsid w:val="006B0A35"/>
    <w:rsid w:val="006B0C27"/>
    <w:rsid w:val="006B1261"/>
    <w:rsid w:val="006B181C"/>
    <w:rsid w:val="006B1B2F"/>
    <w:rsid w:val="006B1DA2"/>
    <w:rsid w:val="006B22A9"/>
    <w:rsid w:val="006B2783"/>
    <w:rsid w:val="006B27AA"/>
    <w:rsid w:val="006B27CE"/>
    <w:rsid w:val="006B2811"/>
    <w:rsid w:val="006B2A5C"/>
    <w:rsid w:val="006B2B74"/>
    <w:rsid w:val="006B2E2C"/>
    <w:rsid w:val="006B2EC4"/>
    <w:rsid w:val="006B2FDF"/>
    <w:rsid w:val="006B3072"/>
    <w:rsid w:val="006B33C5"/>
    <w:rsid w:val="006B3640"/>
    <w:rsid w:val="006B36D8"/>
    <w:rsid w:val="006B3731"/>
    <w:rsid w:val="006B3D02"/>
    <w:rsid w:val="006B3DC1"/>
    <w:rsid w:val="006B4182"/>
    <w:rsid w:val="006B4472"/>
    <w:rsid w:val="006B44E9"/>
    <w:rsid w:val="006B4730"/>
    <w:rsid w:val="006B4ACE"/>
    <w:rsid w:val="006B4FDE"/>
    <w:rsid w:val="006B5183"/>
    <w:rsid w:val="006B5B6E"/>
    <w:rsid w:val="006B5C03"/>
    <w:rsid w:val="006B5DCF"/>
    <w:rsid w:val="006B5FEB"/>
    <w:rsid w:val="006B60A2"/>
    <w:rsid w:val="006B60FB"/>
    <w:rsid w:val="006B6124"/>
    <w:rsid w:val="006B6809"/>
    <w:rsid w:val="006B698B"/>
    <w:rsid w:val="006B6ACC"/>
    <w:rsid w:val="006B70E2"/>
    <w:rsid w:val="006B719B"/>
    <w:rsid w:val="006B71AB"/>
    <w:rsid w:val="006B778A"/>
    <w:rsid w:val="006B79EC"/>
    <w:rsid w:val="006B7A1E"/>
    <w:rsid w:val="006B7E9A"/>
    <w:rsid w:val="006C0103"/>
    <w:rsid w:val="006C0405"/>
    <w:rsid w:val="006C0C73"/>
    <w:rsid w:val="006C0DED"/>
    <w:rsid w:val="006C0F74"/>
    <w:rsid w:val="006C10B8"/>
    <w:rsid w:val="006C1585"/>
    <w:rsid w:val="006C16FE"/>
    <w:rsid w:val="006C189E"/>
    <w:rsid w:val="006C1ADD"/>
    <w:rsid w:val="006C1B77"/>
    <w:rsid w:val="006C1D6E"/>
    <w:rsid w:val="006C1D7A"/>
    <w:rsid w:val="006C21F7"/>
    <w:rsid w:val="006C22B4"/>
    <w:rsid w:val="006C22E3"/>
    <w:rsid w:val="006C240D"/>
    <w:rsid w:val="006C26BC"/>
    <w:rsid w:val="006C2711"/>
    <w:rsid w:val="006C2AEB"/>
    <w:rsid w:val="006C2CCF"/>
    <w:rsid w:val="006C2E5C"/>
    <w:rsid w:val="006C2E84"/>
    <w:rsid w:val="006C2F12"/>
    <w:rsid w:val="006C3529"/>
    <w:rsid w:val="006C35D0"/>
    <w:rsid w:val="006C37D7"/>
    <w:rsid w:val="006C3B4C"/>
    <w:rsid w:val="006C3D20"/>
    <w:rsid w:val="006C40B6"/>
    <w:rsid w:val="006C4208"/>
    <w:rsid w:val="006C426C"/>
    <w:rsid w:val="006C430C"/>
    <w:rsid w:val="006C45D1"/>
    <w:rsid w:val="006C463D"/>
    <w:rsid w:val="006C4911"/>
    <w:rsid w:val="006C4A20"/>
    <w:rsid w:val="006C4A5D"/>
    <w:rsid w:val="006C4A9E"/>
    <w:rsid w:val="006C4D1C"/>
    <w:rsid w:val="006C4DB2"/>
    <w:rsid w:val="006C4DD0"/>
    <w:rsid w:val="006C534F"/>
    <w:rsid w:val="006C5452"/>
    <w:rsid w:val="006C5469"/>
    <w:rsid w:val="006C5645"/>
    <w:rsid w:val="006C5849"/>
    <w:rsid w:val="006C58E0"/>
    <w:rsid w:val="006C5AC8"/>
    <w:rsid w:val="006C5EB4"/>
    <w:rsid w:val="006C5F35"/>
    <w:rsid w:val="006C600E"/>
    <w:rsid w:val="006C61A9"/>
    <w:rsid w:val="006C65C7"/>
    <w:rsid w:val="006C671E"/>
    <w:rsid w:val="006C6CC5"/>
    <w:rsid w:val="006C6D38"/>
    <w:rsid w:val="006C6D7E"/>
    <w:rsid w:val="006C6FAD"/>
    <w:rsid w:val="006C6FEF"/>
    <w:rsid w:val="006C71D3"/>
    <w:rsid w:val="006C7462"/>
    <w:rsid w:val="006C76B1"/>
    <w:rsid w:val="006C7B4D"/>
    <w:rsid w:val="006C7BBB"/>
    <w:rsid w:val="006C7DEC"/>
    <w:rsid w:val="006C7EBC"/>
    <w:rsid w:val="006D0257"/>
    <w:rsid w:val="006D027C"/>
    <w:rsid w:val="006D047C"/>
    <w:rsid w:val="006D0614"/>
    <w:rsid w:val="006D09A8"/>
    <w:rsid w:val="006D0BA8"/>
    <w:rsid w:val="006D0C72"/>
    <w:rsid w:val="006D0CC7"/>
    <w:rsid w:val="006D0DCF"/>
    <w:rsid w:val="006D1199"/>
    <w:rsid w:val="006D148A"/>
    <w:rsid w:val="006D18B0"/>
    <w:rsid w:val="006D19D8"/>
    <w:rsid w:val="006D1C2F"/>
    <w:rsid w:val="006D2044"/>
    <w:rsid w:val="006D2085"/>
    <w:rsid w:val="006D21B6"/>
    <w:rsid w:val="006D2295"/>
    <w:rsid w:val="006D2BA5"/>
    <w:rsid w:val="006D2BB4"/>
    <w:rsid w:val="006D2DA4"/>
    <w:rsid w:val="006D2E87"/>
    <w:rsid w:val="006D35AC"/>
    <w:rsid w:val="006D38D7"/>
    <w:rsid w:val="006D39E8"/>
    <w:rsid w:val="006D3B5A"/>
    <w:rsid w:val="006D3BE6"/>
    <w:rsid w:val="006D3D45"/>
    <w:rsid w:val="006D40DB"/>
    <w:rsid w:val="006D439C"/>
    <w:rsid w:val="006D448E"/>
    <w:rsid w:val="006D46A4"/>
    <w:rsid w:val="006D4A0D"/>
    <w:rsid w:val="006D4DC3"/>
    <w:rsid w:val="006D5442"/>
    <w:rsid w:val="006D5468"/>
    <w:rsid w:val="006D548B"/>
    <w:rsid w:val="006D5ACF"/>
    <w:rsid w:val="006D5D95"/>
    <w:rsid w:val="006D5FA4"/>
    <w:rsid w:val="006D5FB9"/>
    <w:rsid w:val="006D6001"/>
    <w:rsid w:val="006D6624"/>
    <w:rsid w:val="006D6975"/>
    <w:rsid w:val="006D6CCD"/>
    <w:rsid w:val="006D6F21"/>
    <w:rsid w:val="006D6FD6"/>
    <w:rsid w:val="006D7013"/>
    <w:rsid w:val="006D717D"/>
    <w:rsid w:val="006D7236"/>
    <w:rsid w:val="006D74E1"/>
    <w:rsid w:val="006D75D4"/>
    <w:rsid w:val="006D7788"/>
    <w:rsid w:val="006D788D"/>
    <w:rsid w:val="006D7B2E"/>
    <w:rsid w:val="006D7D62"/>
    <w:rsid w:val="006D7D6B"/>
    <w:rsid w:val="006E046B"/>
    <w:rsid w:val="006E0884"/>
    <w:rsid w:val="006E08CD"/>
    <w:rsid w:val="006E0F46"/>
    <w:rsid w:val="006E1000"/>
    <w:rsid w:val="006E1338"/>
    <w:rsid w:val="006E140E"/>
    <w:rsid w:val="006E1B79"/>
    <w:rsid w:val="006E1EA0"/>
    <w:rsid w:val="006E233B"/>
    <w:rsid w:val="006E2845"/>
    <w:rsid w:val="006E2BE2"/>
    <w:rsid w:val="006E2E86"/>
    <w:rsid w:val="006E3173"/>
    <w:rsid w:val="006E3281"/>
    <w:rsid w:val="006E32EC"/>
    <w:rsid w:val="006E3422"/>
    <w:rsid w:val="006E3498"/>
    <w:rsid w:val="006E34CC"/>
    <w:rsid w:val="006E397D"/>
    <w:rsid w:val="006E3CDD"/>
    <w:rsid w:val="006E40A4"/>
    <w:rsid w:val="006E4254"/>
    <w:rsid w:val="006E441D"/>
    <w:rsid w:val="006E4952"/>
    <w:rsid w:val="006E4A71"/>
    <w:rsid w:val="006E4BD3"/>
    <w:rsid w:val="006E4C24"/>
    <w:rsid w:val="006E4DEA"/>
    <w:rsid w:val="006E4E62"/>
    <w:rsid w:val="006E5207"/>
    <w:rsid w:val="006E530E"/>
    <w:rsid w:val="006E536E"/>
    <w:rsid w:val="006E5564"/>
    <w:rsid w:val="006E583F"/>
    <w:rsid w:val="006E5979"/>
    <w:rsid w:val="006E5AB7"/>
    <w:rsid w:val="006E5B06"/>
    <w:rsid w:val="006E6063"/>
    <w:rsid w:val="006E6077"/>
    <w:rsid w:val="006E60ED"/>
    <w:rsid w:val="006E6181"/>
    <w:rsid w:val="006E62DC"/>
    <w:rsid w:val="006E6304"/>
    <w:rsid w:val="006E6415"/>
    <w:rsid w:val="006E654B"/>
    <w:rsid w:val="006E6578"/>
    <w:rsid w:val="006E6757"/>
    <w:rsid w:val="006E677C"/>
    <w:rsid w:val="006E6885"/>
    <w:rsid w:val="006E688A"/>
    <w:rsid w:val="006E68A3"/>
    <w:rsid w:val="006E699D"/>
    <w:rsid w:val="006E6E7C"/>
    <w:rsid w:val="006E6E96"/>
    <w:rsid w:val="006E6F0B"/>
    <w:rsid w:val="006E70CC"/>
    <w:rsid w:val="006E7362"/>
    <w:rsid w:val="006E7370"/>
    <w:rsid w:val="006E7746"/>
    <w:rsid w:val="006E7788"/>
    <w:rsid w:val="006E781D"/>
    <w:rsid w:val="006E7A8D"/>
    <w:rsid w:val="006E7C4B"/>
    <w:rsid w:val="006ED2D7"/>
    <w:rsid w:val="006F005E"/>
    <w:rsid w:val="006F01C6"/>
    <w:rsid w:val="006F01F2"/>
    <w:rsid w:val="006F0537"/>
    <w:rsid w:val="006F0725"/>
    <w:rsid w:val="006F089B"/>
    <w:rsid w:val="006F0E16"/>
    <w:rsid w:val="006F0E7B"/>
    <w:rsid w:val="006F0E7E"/>
    <w:rsid w:val="006F0ECE"/>
    <w:rsid w:val="006F1322"/>
    <w:rsid w:val="006F132C"/>
    <w:rsid w:val="006F167D"/>
    <w:rsid w:val="006F16B2"/>
    <w:rsid w:val="006F1AA2"/>
    <w:rsid w:val="006F1C3F"/>
    <w:rsid w:val="006F1C6A"/>
    <w:rsid w:val="006F1CBF"/>
    <w:rsid w:val="006F1EFC"/>
    <w:rsid w:val="006F2203"/>
    <w:rsid w:val="006F22E6"/>
    <w:rsid w:val="006F230E"/>
    <w:rsid w:val="006F25A2"/>
    <w:rsid w:val="006F25A5"/>
    <w:rsid w:val="006F27EA"/>
    <w:rsid w:val="006F2886"/>
    <w:rsid w:val="006F2905"/>
    <w:rsid w:val="006F2C01"/>
    <w:rsid w:val="006F2E3B"/>
    <w:rsid w:val="006F3149"/>
    <w:rsid w:val="006F3851"/>
    <w:rsid w:val="006F3B6C"/>
    <w:rsid w:val="006F3CAE"/>
    <w:rsid w:val="006F3DE5"/>
    <w:rsid w:val="006F3E2B"/>
    <w:rsid w:val="006F417D"/>
    <w:rsid w:val="006F4282"/>
    <w:rsid w:val="006F4361"/>
    <w:rsid w:val="006F476A"/>
    <w:rsid w:val="006F4BA0"/>
    <w:rsid w:val="006F504A"/>
    <w:rsid w:val="006F50F4"/>
    <w:rsid w:val="006F51CD"/>
    <w:rsid w:val="006F54D6"/>
    <w:rsid w:val="006F567D"/>
    <w:rsid w:val="006F5CE4"/>
    <w:rsid w:val="006F5DE2"/>
    <w:rsid w:val="006F60F5"/>
    <w:rsid w:val="006F6135"/>
    <w:rsid w:val="006F6222"/>
    <w:rsid w:val="006F627E"/>
    <w:rsid w:val="006F6325"/>
    <w:rsid w:val="006F655F"/>
    <w:rsid w:val="006F6675"/>
    <w:rsid w:val="006F6794"/>
    <w:rsid w:val="006F692B"/>
    <w:rsid w:val="006F6A3D"/>
    <w:rsid w:val="006F6A40"/>
    <w:rsid w:val="006F6B17"/>
    <w:rsid w:val="006F6BB7"/>
    <w:rsid w:val="006F6CFC"/>
    <w:rsid w:val="006F6DD0"/>
    <w:rsid w:val="006F6E52"/>
    <w:rsid w:val="006F700F"/>
    <w:rsid w:val="006F76E3"/>
    <w:rsid w:val="006F7877"/>
    <w:rsid w:val="006F7BAA"/>
    <w:rsid w:val="006F7ED0"/>
    <w:rsid w:val="006F7F1E"/>
    <w:rsid w:val="00700762"/>
    <w:rsid w:val="00700A33"/>
    <w:rsid w:val="00700B64"/>
    <w:rsid w:val="00700F79"/>
    <w:rsid w:val="00700F82"/>
    <w:rsid w:val="007010B4"/>
    <w:rsid w:val="00701303"/>
    <w:rsid w:val="0070138D"/>
    <w:rsid w:val="00701401"/>
    <w:rsid w:val="007015CC"/>
    <w:rsid w:val="00701756"/>
    <w:rsid w:val="007017D2"/>
    <w:rsid w:val="00701BFE"/>
    <w:rsid w:val="00701E94"/>
    <w:rsid w:val="0070206B"/>
    <w:rsid w:val="00702468"/>
    <w:rsid w:val="0070246A"/>
    <w:rsid w:val="007029E4"/>
    <w:rsid w:val="00702A85"/>
    <w:rsid w:val="00702B9B"/>
    <w:rsid w:val="00702D45"/>
    <w:rsid w:val="00702F57"/>
    <w:rsid w:val="00703210"/>
    <w:rsid w:val="00703684"/>
    <w:rsid w:val="00703761"/>
    <w:rsid w:val="007038CB"/>
    <w:rsid w:val="00703925"/>
    <w:rsid w:val="00703C4A"/>
    <w:rsid w:val="00703EF2"/>
    <w:rsid w:val="00704163"/>
    <w:rsid w:val="00704280"/>
    <w:rsid w:val="0070439A"/>
    <w:rsid w:val="00704673"/>
    <w:rsid w:val="007047C8"/>
    <w:rsid w:val="007048CF"/>
    <w:rsid w:val="00704A1F"/>
    <w:rsid w:val="00704AB7"/>
    <w:rsid w:val="00704AF9"/>
    <w:rsid w:val="0070502C"/>
    <w:rsid w:val="00705792"/>
    <w:rsid w:val="007057BB"/>
    <w:rsid w:val="0070593E"/>
    <w:rsid w:val="007059E6"/>
    <w:rsid w:val="00705F7D"/>
    <w:rsid w:val="0070609F"/>
    <w:rsid w:val="0070647F"/>
    <w:rsid w:val="007065E0"/>
    <w:rsid w:val="007066D0"/>
    <w:rsid w:val="00706AF1"/>
    <w:rsid w:val="00706B01"/>
    <w:rsid w:val="00706B75"/>
    <w:rsid w:val="00706C40"/>
    <w:rsid w:val="00707035"/>
    <w:rsid w:val="007071D1"/>
    <w:rsid w:val="0070748D"/>
    <w:rsid w:val="0070781D"/>
    <w:rsid w:val="00707CE9"/>
    <w:rsid w:val="00707D02"/>
    <w:rsid w:val="00707F05"/>
    <w:rsid w:val="00707F80"/>
    <w:rsid w:val="0071000B"/>
    <w:rsid w:val="00710092"/>
    <w:rsid w:val="007101D7"/>
    <w:rsid w:val="007101E3"/>
    <w:rsid w:val="00710763"/>
    <w:rsid w:val="0071080F"/>
    <w:rsid w:val="00711099"/>
    <w:rsid w:val="007112AF"/>
    <w:rsid w:val="007117A8"/>
    <w:rsid w:val="0071185D"/>
    <w:rsid w:val="007119D5"/>
    <w:rsid w:val="00712257"/>
    <w:rsid w:val="00712439"/>
    <w:rsid w:val="00712877"/>
    <w:rsid w:val="00712E90"/>
    <w:rsid w:val="00713399"/>
    <w:rsid w:val="007135E8"/>
    <w:rsid w:val="00713A3E"/>
    <w:rsid w:val="007141A9"/>
    <w:rsid w:val="0071432E"/>
    <w:rsid w:val="007147D9"/>
    <w:rsid w:val="007149F7"/>
    <w:rsid w:val="00714ABB"/>
    <w:rsid w:val="00714B79"/>
    <w:rsid w:val="00714BA4"/>
    <w:rsid w:val="00714BB3"/>
    <w:rsid w:val="00714CE7"/>
    <w:rsid w:val="00714F77"/>
    <w:rsid w:val="007152B0"/>
    <w:rsid w:val="007154C3"/>
    <w:rsid w:val="00715BDD"/>
    <w:rsid w:val="00715BE5"/>
    <w:rsid w:val="00715CBA"/>
    <w:rsid w:val="00715E81"/>
    <w:rsid w:val="0071627D"/>
    <w:rsid w:val="00716580"/>
    <w:rsid w:val="00716834"/>
    <w:rsid w:val="007169AD"/>
    <w:rsid w:val="00716D9E"/>
    <w:rsid w:val="007172A0"/>
    <w:rsid w:val="007174ED"/>
    <w:rsid w:val="00717634"/>
    <w:rsid w:val="0071781F"/>
    <w:rsid w:val="0071782E"/>
    <w:rsid w:val="007178AA"/>
    <w:rsid w:val="007178E5"/>
    <w:rsid w:val="007178FE"/>
    <w:rsid w:val="00717A9B"/>
    <w:rsid w:val="00717AB3"/>
    <w:rsid w:val="00717D1C"/>
    <w:rsid w:val="00717F56"/>
    <w:rsid w:val="00720471"/>
    <w:rsid w:val="0072063F"/>
    <w:rsid w:val="007206D3"/>
    <w:rsid w:val="007206D9"/>
    <w:rsid w:val="007207D2"/>
    <w:rsid w:val="00720821"/>
    <w:rsid w:val="00720D53"/>
    <w:rsid w:val="00721025"/>
    <w:rsid w:val="00721296"/>
    <w:rsid w:val="00721320"/>
    <w:rsid w:val="007214DC"/>
    <w:rsid w:val="0072157E"/>
    <w:rsid w:val="007215F2"/>
    <w:rsid w:val="00721945"/>
    <w:rsid w:val="007219F5"/>
    <w:rsid w:val="00721BF7"/>
    <w:rsid w:val="00721F70"/>
    <w:rsid w:val="007220F5"/>
    <w:rsid w:val="0072270B"/>
    <w:rsid w:val="0072296C"/>
    <w:rsid w:val="00722CA1"/>
    <w:rsid w:val="00722EB1"/>
    <w:rsid w:val="007231A4"/>
    <w:rsid w:val="00723298"/>
    <w:rsid w:val="007234F1"/>
    <w:rsid w:val="007235AF"/>
    <w:rsid w:val="007236B6"/>
    <w:rsid w:val="007237AE"/>
    <w:rsid w:val="00723C79"/>
    <w:rsid w:val="00724005"/>
    <w:rsid w:val="0072425B"/>
    <w:rsid w:val="00724531"/>
    <w:rsid w:val="00724602"/>
    <w:rsid w:val="007247B8"/>
    <w:rsid w:val="00724950"/>
    <w:rsid w:val="00724C85"/>
    <w:rsid w:val="00724CA7"/>
    <w:rsid w:val="00724D6D"/>
    <w:rsid w:val="00724E42"/>
    <w:rsid w:val="007252D8"/>
    <w:rsid w:val="007254F8"/>
    <w:rsid w:val="00725759"/>
    <w:rsid w:val="0072576F"/>
    <w:rsid w:val="00725D5D"/>
    <w:rsid w:val="00725ED6"/>
    <w:rsid w:val="00725F89"/>
    <w:rsid w:val="007261A5"/>
    <w:rsid w:val="007262F6"/>
    <w:rsid w:val="00726411"/>
    <w:rsid w:val="0072641F"/>
    <w:rsid w:val="00726625"/>
    <w:rsid w:val="00726849"/>
    <w:rsid w:val="00726B28"/>
    <w:rsid w:val="00726BF7"/>
    <w:rsid w:val="00726EE6"/>
    <w:rsid w:val="007273EB"/>
    <w:rsid w:val="007274AD"/>
    <w:rsid w:val="00727A08"/>
    <w:rsid w:val="00727DEE"/>
    <w:rsid w:val="00727EE9"/>
    <w:rsid w:val="00727F53"/>
    <w:rsid w:val="00727F64"/>
    <w:rsid w:val="00730369"/>
    <w:rsid w:val="00730949"/>
    <w:rsid w:val="00730CDE"/>
    <w:rsid w:val="0073103C"/>
    <w:rsid w:val="00731336"/>
    <w:rsid w:val="00731356"/>
    <w:rsid w:val="0073148F"/>
    <w:rsid w:val="0073153B"/>
    <w:rsid w:val="00731655"/>
    <w:rsid w:val="00731CA2"/>
    <w:rsid w:val="00731EFD"/>
    <w:rsid w:val="0073253E"/>
    <w:rsid w:val="00732871"/>
    <w:rsid w:val="00732931"/>
    <w:rsid w:val="00733169"/>
    <w:rsid w:val="007334B3"/>
    <w:rsid w:val="00733501"/>
    <w:rsid w:val="0073370C"/>
    <w:rsid w:val="0073384E"/>
    <w:rsid w:val="00733937"/>
    <w:rsid w:val="00733A95"/>
    <w:rsid w:val="00733ABC"/>
    <w:rsid w:val="00733BE0"/>
    <w:rsid w:val="00733C5B"/>
    <w:rsid w:val="00733E42"/>
    <w:rsid w:val="00733E43"/>
    <w:rsid w:val="007340BC"/>
    <w:rsid w:val="00734113"/>
    <w:rsid w:val="00734266"/>
    <w:rsid w:val="0073432C"/>
    <w:rsid w:val="007347C4"/>
    <w:rsid w:val="00734911"/>
    <w:rsid w:val="00734E94"/>
    <w:rsid w:val="00735699"/>
    <w:rsid w:val="00735E63"/>
    <w:rsid w:val="00736312"/>
    <w:rsid w:val="0073698C"/>
    <w:rsid w:val="007369CF"/>
    <w:rsid w:val="00736CA5"/>
    <w:rsid w:val="00736F6F"/>
    <w:rsid w:val="00736F8F"/>
    <w:rsid w:val="00737062"/>
    <w:rsid w:val="0073759A"/>
    <w:rsid w:val="00737A9B"/>
    <w:rsid w:val="00737B68"/>
    <w:rsid w:val="00737E48"/>
    <w:rsid w:val="00740505"/>
    <w:rsid w:val="00740629"/>
    <w:rsid w:val="007407FB"/>
    <w:rsid w:val="0074087B"/>
    <w:rsid w:val="007408FD"/>
    <w:rsid w:val="007409D9"/>
    <w:rsid w:val="00740E24"/>
    <w:rsid w:val="00740F0D"/>
    <w:rsid w:val="00741472"/>
    <w:rsid w:val="00741567"/>
    <w:rsid w:val="007418CF"/>
    <w:rsid w:val="00741B81"/>
    <w:rsid w:val="00741CC0"/>
    <w:rsid w:val="00741D6D"/>
    <w:rsid w:val="0074206C"/>
    <w:rsid w:val="00742072"/>
    <w:rsid w:val="007420A1"/>
    <w:rsid w:val="007420D0"/>
    <w:rsid w:val="00742170"/>
    <w:rsid w:val="0074256E"/>
    <w:rsid w:val="00742D6E"/>
    <w:rsid w:val="00742DBC"/>
    <w:rsid w:val="00743112"/>
    <w:rsid w:val="007431E7"/>
    <w:rsid w:val="0074324B"/>
    <w:rsid w:val="007436B1"/>
    <w:rsid w:val="00743832"/>
    <w:rsid w:val="00743967"/>
    <w:rsid w:val="00743B11"/>
    <w:rsid w:val="00743C56"/>
    <w:rsid w:val="00743D52"/>
    <w:rsid w:val="00743F13"/>
    <w:rsid w:val="00744006"/>
    <w:rsid w:val="00744493"/>
    <w:rsid w:val="007444DD"/>
    <w:rsid w:val="0074451C"/>
    <w:rsid w:val="0074492D"/>
    <w:rsid w:val="00744953"/>
    <w:rsid w:val="00744C9B"/>
    <w:rsid w:val="00744CFD"/>
    <w:rsid w:val="00744DC5"/>
    <w:rsid w:val="007452A2"/>
    <w:rsid w:val="0074590B"/>
    <w:rsid w:val="00745B90"/>
    <w:rsid w:val="00745BB6"/>
    <w:rsid w:val="00745C94"/>
    <w:rsid w:val="00745EDA"/>
    <w:rsid w:val="0074649C"/>
    <w:rsid w:val="007467CE"/>
    <w:rsid w:val="0074692D"/>
    <w:rsid w:val="00747099"/>
    <w:rsid w:val="0074720B"/>
    <w:rsid w:val="007472EB"/>
    <w:rsid w:val="00747551"/>
    <w:rsid w:val="007476B3"/>
    <w:rsid w:val="007476D1"/>
    <w:rsid w:val="007477BD"/>
    <w:rsid w:val="00747C75"/>
    <w:rsid w:val="00747DD0"/>
    <w:rsid w:val="00747EF8"/>
    <w:rsid w:val="00750222"/>
    <w:rsid w:val="0075027A"/>
    <w:rsid w:val="00750432"/>
    <w:rsid w:val="0075063D"/>
    <w:rsid w:val="00750819"/>
    <w:rsid w:val="00750985"/>
    <w:rsid w:val="00750AA0"/>
    <w:rsid w:val="00750C6A"/>
    <w:rsid w:val="00750C7E"/>
    <w:rsid w:val="00750F9E"/>
    <w:rsid w:val="00751393"/>
    <w:rsid w:val="0075176A"/>
    <w:rsid w:val="00751AA5"/>
    <w:rsid w:val="00751AF2"/>
    <w:rsid w:val="00751B71"/>
    <w:rsid w:val="00751D4A"/>
    <w:rsid w:val="007520DC"/>
    <w:rsid w:val="00753085"/>
    <w:rsid w:val="007532F7"/>
    <w:rsid w:val="0075355E"/>
    <w:rsid w:val="007535A0"/>
    <w:rsid w:val="0075366B"/>
    <w:rsid w:val="007537A7"/>
    <w:rsid w:val="00753899"/>
    <w:rsid w:val="007538C3"/>
    <w:rsid w:val="0075390A"/>
    <w:rsid w:val="00753A04"/>
    <w:rsid w:val="00753BA5"/>
    <w:rsid w:val="00753F02"/>
    <w:rsid w:val="00753F09"/>
    <w:rsid w:val="00754073"/>
    <w:rsid w:val="00754122"/>
    <w:rsid w:val="00754254"/>
    <w:rsid w:val="00754D74"/>
    <w:rsid w:val="00754FCB"/>
    <w:rsid w:val="007551C7"/>
    <w:rsid w:val="00755340"/>
    <w:rsid w:val="00755CF4"/>
    <w:rsid w:val="00755ED6"/>
    <w:rsid w:val="00755F4E"/>
    <w:rsid w:val="0075609A"/>
    <w:rsid w:val="0075610C"/>
    <w:rsid w:val="00756225"/>
    <w:rsid w:val="007562A0"/>
    <w:rsid w:val="00756350"/>
    <w:rsid w:val="00756490"/>
    <w:rsid w:val="00756565"/>
    <w:rsid w:val="00756764"/>
    <w:rsid w:val="00756816"/>
    <w:rsid w:val="00756AD0"/>
    <w:rsid w:val="00756B3D"/>
    <w:rsid w:val="00756F66"/>
    <w:rsid w:val="007572A8"/>
    <w:rsid w:val="00757310"/>
    <w:rsid w:val="007573A2"/>
    <w:rsid w:val="00757629"/>
    <w:rsid w:val="007577DC"/>
    <w:rsid w:val="00757E06"/>
    <w:rsid w:val="00757F86"/>
    <w:rsid w:val="00757FA5"/>
    <w:rsid w:val="007602D9"/>
    <w:rsid w:val="007603FD"/>
    <w:rsid w:val="00760745"/>
    <w:rsid w:val="00760939"/>
    <w:rsid w:val="00760EC1"/>
    <w:rsid w:val="00760EF4"/>
    <w:rsid w:val="00760F36"/>
    <w:rsid w:val="00761CE1"/>
    <w:rsid w:val="00761DB7"/>
    <w:rsid w:val="00761E5F"/>
    <w:rsid w:val="007621F3"/>
    <w:rsid w:val="007623D7"/>
    <w:rsid w:val="00762642"/>
    <w:rsid w:val="00762702"/>
    <w:rsid w:val="0076275B"/>
    <w:rsid w:val="007629B5"/>
    <w:rsid w:val="00762C11"/>
    <w:rsid w:val="00762C92"/>
    <w:rsid w:val="007633DC"/>
    <w:rsid w:val="007634B8"/>
    <w:rsid w:val="007636A2"/>
    <w:rsid w:val="007636D9"/>
    <w:rsid w:val="00763797"/>
    <w:rsid w:val="007637BD"/>
    <w:rsid w:val="00763877"/>
    <w:rsid w:val="00763917"/>
    <w:rsid w:val="007646AA"/>
    <w:rsid w:val="007646DF"/>
    <w:rsid w:val="00764796"/>
    <w:rsid w:val="007649E9"/>
    <w:rsid w:val="00764C2B"/>
    <w:rsid w:val="00764D73"/>
    <w:rsid w:val="00764E6C"/>
    <w:rsid w:val="0076523A"/>
    <w:rsid w:val="0076546D"/>
    <w:rsid w:val="007654D4"/>
    <w:rsid w:val="00765702"/>
    <w:rsid w:val="00765851"/>
    <w:rsid w:val="00765954"/>
    <w:rsid w:val="00765BAA"/>
    <w:rsid w:val="0076602D"/>
    <w:rsid w:val="00766175"/>
    <w:rsid w:val="00766196"/>
    <w:rsid w:val="0076631D"/>
    <w:rsid w:val="0076672D"/>
    <w:rsid w:val="00766948"/>
    <w:rsid w:val="00766B8B"/>
    <w:rsid w:val="00766C77"/>
    <w:rsid w:val="00766D30"/>
    <w:rsid w:val="00766D8B"/>
    <w:rsid w:val="00766E5E"/>
    <w:rsid w:val="00766FC2"/>
    <w:rsid w:val="0076701D"/>
    <w:rsid w:val="007670C9"/>
    <w:rsid w:val="00767227"/>
    <w:rsid w:val="007676E2"/>
    <w:rsid w:val="00767800"/>
    <w:rsid w:val="00767899"/>
    <w:rsid w:val="00767964"/>
    <w:rsid w:val="00770093"/>
    <w:rsid w:val="00770803"/>
    <w:rsid w:val="007708A1"/>
    <w:rsid w:val="00770CA1"/>
    <w:rsid w:val="00770FF3"/>
    <w:rsid w:val="007713B6"/>
    <w:rsid w:val="00771625"/>
    <w:rsid w:val="00771777"/>
    <w:rsid w:val="007721E3"/>
    <w:rsid w:val="007723A7"/>
    <w:rsid w:val="0077253B"/>
    <w:rsid w:val="0077256D"/>
    <w:rsid w:val="00772D7E"/>
    <w:rsid w:val="00772E6B"/>
    <w:rsid w:val="00773069"/>
    <w:rsid w:val="00773261"/>
    <w:rsid w:val="00773330"/>
    <w:rsid w:val="00773379"/>
    <w:rsid w:val="0077341E"/>
    <w:rsid w:val="00773451"/>
    <w:rsid w:val="007736F2"/>
    <w:rsid w:val="00773A21"/>
    <w:rsid w:val="00773DDF"/>
    <w:rsid w:val="007740E9"/>
    <w:rsid w:val="007745BD"/>
    <w:rsid w:val="00774798"/>
    <w:rsid w:val="00774D1C"/>
    <w:rsid w:val="00774FCD"/>
    <w:rsid w:val="007750BE"/>
    <w:rsid w:val="0077588C"/>
    <w:rsid w:val="007758BB"/>
    <w:rsid w:val="007758DE"/>
    <w:rsid w:val="00775920"/>
    <w:rsid w:val="00775EB1"/>
    <w:rsid w:val="00775F5D"/>
    <w:rsid w:val="007760C8"/>
    <w:rsid w:val="0077618C"/>
    <w:rsid w:val="0077618F"/>
    <w:rsid w:val="0077630F"/>
    <w:rsid w:val="0077695E"/>
    <w:rsid w:val="00776F5F"/>
    <w:rsid w:val="00776FA1"/>
    <w:rsid w:val="0077719E"/>
    <w:rsid w:val="00777609"/>
    <w:rsid w:val="0077779A"/>
    <w:rsid w:val="007778FF"/>
    <w:rsid w:val="00777AE8"/>
    <w:rsid w:val="00777D13"/>
    <w:rsid w:val="00777D37"/>
    <w:rsid w:val="00777E79"/>
    <w:rsid w:val="00777F25"/>
    <w:rsid w:val="007800BA"/>
    <w:rsid w:val="0078047B"/>
    <w:rsid w:val="00780617"/>
    <w:rsid w:val="007808A1"/>
    <w:rsid w:val="007808F9"/>
    <w:rsid w:val="00780D9C"/>
    <w:rsid w:val="00780F1F"/>
    <w:rsid w:val="00780F5F"/>
    <w:rsid w:val="00781114"/>
    <w:rsid w:val="00781144"/>
    <w:rsid w:val="00781647"/>
    <w:rsid w:val="00781FE2"/>
    <w:rsid w:val="00782273"/>
    <w:rsid w:val="007826BD"/>
    <w:rsid w:val="0078285D"/>
    <w:rsid w:val="00782B63"/>
    <w:rsid w:val="00782EB4"/>
    <w:rsid w:val="00782F88"/>
    <w:rsid w:val="007830C6"/>
    <w:rsid w:val="007836B5"/>
    <w:rsid w:val="00783DDF"/>
    <w:rsid w:val="00784442"/>
    <w:rsid w:val="00784462"/>
    <w:rsid w:val="007846BA"/>
    <w:rsid w:val="00784EBB"/>
    <w:rsid w:val="0078530C"/>
    <w:rsid w:val="00785565"/>
    <w:rsid w:val="007858A0"/>
    <w:rsid w:val="00785A24"/>
    <w:rsid w:val="00785ABF"/>
    <w:rsid w:val="00785DED"/>
    <w:rsid w:val="00786006"/>
    <w:rsid w:val="00786414"/>
    <w:rsid w:val="00786441"/>
    <w:rsid w:val="0078679B"/>
    <w:rsid w:val="007867A5"/>
    <w:rsid w:val="00786A21"/>
    <w:rsid w:val="00786BCE"/>
    <w:rsid w:val="00786BDC"/>
    <w:rsid w:val="00786C1E"/>
    <w:rsid w:val="00786E7D"/>
    <w:rsid w:val="00786F3C"/>
    <w:rsid w:val="00787290"/>
    <w:rsid w:val="007874AE"/>
    <w:rsid w:val="0078758E"/>
    <w:rsid w:val="007876F3"/>
    <w:rsid w:val="00787861"/>
    <w:rsid w:val="007878C5"/>
    <w:rsid w:val="00787C4C"/>
    <w:rsid w:val="00787C4D"/>
    <w:rsid w:val="00787D99"/>
    <w:rsid w:val="0078BFB5"/>
    <w:rsid w:val="00790062"/>
    <w:rsid w:val="0079023A"/>
    <w:rsid w:val="0079071C"/>
    <w:rsid w:val="00790799"/>
    <w:rsid w:val="00790856"/>
    <w:rsid w:val="00790CB0"/>
    <w:rsid w:val="00790E01"/>
    <w:rsid w:val="00790E4D"/>
    <w:rsid w:val="00790ED7"/>
    <w:rsid w:val="00790FC7"/>
    <w:rsid w:val="00791087"/>
    <w:rsid w:val="00791499"/>
    <w:rsid w:val="00791830"/>
    <w:rsid w:val="00791952"/>
    <w:rsid w:val="00791BFA"/>
    <w:rsid w:val="00791BFB"/>
    <w:rsid w:val="0079231A"/>
    <w:rsid w:val="00792608"/>
    <w:rsid w:val="0079286D"/>
    <w:rsid w:val="00792AE7"/>
    <w:rsid w:val="00792B42"/>
    <w:rsid w:val="00792C03"/>
    <w:rsid w:val="00792C43"/>
    <w:rsid w:val="00792D91"/>
    <w:rsid w:val="00793082"/>
    <w:rsid w:val="0079336A"/>
    <w:rsid w:val="00793670"/>
    <w:rsid w:val="007936D8"/>
    <w:rsid w:val="0079370E"/>
    <w:rsid w:val="00793752"/>
    <w:rsid w:val="00793DB1"/>
    <w:rsid w:val="0079404A"/>
    <w:rsid w:val="0079433D"/>
    <w:rsid w:val="007943BF"/>
    <w:rsid w:val="00794776"/>
    <w:rsid w:val="00794B60"/>
    <w:rsid w:val="00794CF4"/>
    <w:rsid w:val="00794DF8"/>
    <w:rsid w:val="0079535F"/>
    <w:rsid w:val="00795364"/>
    <w:rsid w:val="007957D3"/>
    <w:rsid w:val="00795C58"/>
    <w:rsid w:val="00795E76"/>
    <w:rsid w:val="00795E84"/>
    <w:rsid w:val="00795F64"/>
    <w:rsid w:val="00795FE9"/>
    <w:rsid w:val="00796210"/>
    <w:rsid w:val="007962DE"/>
    <w:rsid w:val="007963DD"/>
    <w:rsid w:val="00796405"/>
    <w:rsid w:val="00796608"/>
    <w:rsid w:val="00796865"/>
    <w:rsid w:val="0079691B"/>
    <w:rsid w:val="00796976"/>
    <w:rsid w:val="00796B11"/>
    <w:rsid w:val="00796FA9"/>
    <w:rsid w:val="007970C4"/>
    <w:rsid w:val="0079719A"/>
    <w:rsid w:val="0079724A"/>
    <w:rsid w:val="00797322"/>
    <w:rsid w:val="007976CB"/>
    <w:rsid w:val="007977AA"/>
    <w:rsid w:val="00797851"/>
    <w:rsid w:val="00797CAE"/>
    <w:rsid w:val="00797D97"/>
    <w:rsid w:val="00797DB1"/>
    <w:rsid w:val="00797DCC"/>
    <w:rsid w:val="007A02BA"/>
    <w:rsid w:val="007A036C"/>
    <w:rsid w:val="007A0780"/>
    <w:rsid w:val="007A08B2"/>
    <w:rsid w:val="007A0CF2"/>
    <w:rsid w:val="007A0F37"/>
    <w:rsid w:val="007A0F57"/>
    <w:rsid w:val="007A1376"/>
    <w:rsid w:val="007A1C59"/>
    <w:rsid w:val="007A1CF5"/>
    <w:rsid w:val="007A1E11"/>
    <w:rsid w:val="007A1E94"/>
    <w:rsid w:val="007A2058"/>
    <w:rsid w:val="007A2405"/>
    <w:rsid w:val="007A243E"/>
    <w:rsid w:val="007A2578"/>
    <w:rsid w:val="007A2E14"/>
    <w:rsid w:val="007A2F0D"/>
    <w:rsid w:val="007A31C2"/>
    <w:rsid w:val="007A31C8"/>
    <w:rsid w:val="007A32CE"/>
    <w:rsid w:val="007A34EE"/>
    <w:rsid w:val="007A3534"/>
    <w:rsid w:val="007A37C6"/>
    <w:rsid w:val="007A37C9"/>
    <w:rsid w:val="007A390C"/>
    <w:rsid w:val="007A3C00"/>
    <w:rsid w:val="007A42D4"/>
    <w:rsid w:val="007A4902"/>
    <w:rsid w:val="007A4910"/>
    <w:rsid w:val="007A4A4A"/>
    <w:rsid w:val="007A4AA0"/>
    <w:rsid w:val="007A4C2E"/>
    <w:rsid w:val="007A4EAD"/>
    <w:rsid w:val="007A5007"/>
    <w:rsid w:val="007A5077"/>
    <w:rsid w:val="007A5345"/>
    <w:rsid w:val="007A5641"/>
    <w:rsid w:val="007A564E"/>
    <w:rsid w:val="007A56BA"/>
    <w:rsid w:val="007A5923"/>
    <w:rsid w:val="007A5A07"/>
    <w:rsid w:val="007A5AFE"/>
    <w:rsid w:val="007A5B2E"/>
    <w:rsid w:val="007A5C99"/>
    <w:rsid w:val="007A5CB9"/>
    <w:rsid w:val="007A5E16"/>
    <w:rsid w:val="007A602A"/>
    <w:rsid w:val="007A6146"/>
    <w:rsid w:val="007A6178"/>
    <w:rsid w:val="007A63B7"/>
    <w:rsid w:val="007A641C"/>
    <w:rsid w:val="007A64E7"/>
    <w:rsid w:val="007A6656"/>
    <w:rsid w:val="007A670E"/>
    <w:rsid w:val="007A6739"/>
    <w:rsid w:val="007A6822"/>
    <w:rsid w:val="007A68A4"/>
    <w:rsid w:val="007A68D9"/>
    <w:rsid w:val="007A68E1"/>
    <w:rsid w:val="007A691C"/>
    <w:rsid w:val="007A6934"/>
    <w:rsid w:val="007A6DC7"/>
    <w:rsid w:val="007A6DE0"/>
    <w:rsid w:val="007A7243"/>
    <w:rsid w:val="007A72D7"/>
    <w:rsid w:val="007A749B"/>
    <w:rsid w:val="007A74DC"/>
    <w:rsid w:val="007A75E5"/>
    <w:rsid w:val="007A7713"/>
    <w:rsid w:val="007A7855"/>
    <w:rsid w:val="007A7C53"/>
    <w:rsid w:val="007A7CD8"/>
    <w:rsid w:val="007A7F5A"/>
    <w:rsid w:val="007A7FB1"/>
    <w:rsid w:val="007B0815"/>
    <w:rsid w:val="007B094F"/>
    <w:rsid w:val="007B13DA"/>
    <w:rsid w:val="007B143D"/>
    <w:rsid w:val="007B1734"/>
    <w:rsid w:val="007B1A71"/>
    <w:rsid w:val="007B1A8A"/>
    <w:rsid w:val="007B1B4B"/>
    <w:rsid w:val="007B1B52"/>
    <w:rsid w:val="007B1E76"/>
    <w:rsid w:val="007B25CD"/>
    <w:rsid w:val="007B26F9"/>
    <w:rsid w:val="007B2A7C"/>
    <w:rsid w:val="007B2AEC"/>
    <w:rsid w:val="007B2C25"/>
    <w:rsid w:val="007B3084"/>
    <w:rsid w:val="007B3315"/>
    <w:rsid w:val="007B3430"/>
    <w:rsid w:val="007B3461"/>
    <w:rsid w:val="007B3904"/>
    <w:rsid w:val="007B398F"/>
    <w:rsid w:val="007B3EA7"/>
    <w:rsid w:val="007B4719"/>
    <w:rsid w:val="007B4828"/>
    <w:rsid w:val="007B50AA"/>
    <w:rsid w:val="007B50D7"/>
    <w:rsid w:val="007B5331"/>
    <w:rsid w:val="007B55C5"/>
    <w:rsid w:val="007B56DF"/>
    <w:rsid w:val="007B571A"/>
    <w:rsid w:val="007B591A"/>
    <w:rsid w:val="007B5A76"/>
    <w:rsid w:val="007B647A"/>
    <w:rsid w:val="007B68F2"/>
    <w:rsid w:val="007B6BAE"/>
    <w:rsid w:val="007B6C14"/>
    <w:rsid w:val="007B6DEE"/>
    <w:rsid w:val="007B6E36"/>
    <w:rsid w:val="007B6F61"/>
    <w:rsid w:val="007B74E0"/>
    <w:rsid w:val="007B7594"/>
    <w:rsid w:val="007B782B"/>
    <w:rsid w:val="007B7AD0"/>
    <w:rsid w:val="007B7C94"/>
    <w:rsid w:val="007B7CC8"/>
    <w:rsid w:val="007B7F91"/>
    <w:rsid w:val="007C0338"/>
    <w:rsid w:val="007C0389"/>
    <w:rsid w:val="007C03CF"/>
    <w:rsid w:val="007C057E"/>
    <w:rsid w:val="007C09FF"/>
    <w:rsid w:val="007C0C55"/>
    <w:rsid w:val="007C0F63"/>
    <w:rsid w:val="007C125A"/>
    <w:rsid w:val="007C13E2"/>
    <w:rsid w:val="007C1820"/>
    <w:rsid w:val="007C195E"/>
    <w:rsid w:val="007C1A0F"/>
    <w:rsid w:val="007C1BEC"/>
    <w:rsid w:val="007C2406"/>
    <w:rsid w:val="007C2799"/>
    <w:rsid w:val="007C27A6"/>
    <w:rsid w:val="007C2A93"/>
    <w:rsid w:val="007C2BAE"/>
    <w:rsid w:val="007C2CB9"/>
    <w:rsid w:val="007C2D33"/>
    <w:rsid w:val="007C2ED5"/>
    <w:rsid w:val="007C3057"/>
    <w:rsid w:val="007C3480"/>
    <w:rsid w:val="007C3710"/>
    <w:rsid w:val="007C37B9"/>
    <w:rsid w:val="007C3936"/>
    <w:rsid w:val="007C3D55"/>
    <w:rsid w:val="007C3F06"/>
    <w:rsid w:val="007C3FEE"/>
    <w:rsid w:val="007C4139"/>
    <w:rsid w:val="007C444B"/>
    <w:rsid w:val="007C44AC"/>
    <w:rsid w:val="007C4894"/>
    <w:rsid w:val="007C4A87"/>
    <w:rsid w:val="007C4C33"/>
    <w:rsid w:val="007C4E77"/>
    <w:rsid w:val="007C538F"/>
    <w:rsid w:val="007C56FC"/>
    <w:rsid w:val="007C5882"/>
    <w:rsid w:val="007C5AFA"/>
    <w:rsid w:val="007C5BCA"/>
    <w:rsid w:val="007C65A5"/>
    <w:rsid w:val="007C66D4"/>
    <w:rsid w:val="007C68F7"/>
    <w:rsid w:val="007C6DE9"/>
    <w:rsid w:val="007C6EEB"/>
    <w:rsid w:val="007C72C0"/>
    <w:rsid w:val="007C730C"/>
    <w:rsid w:val="007C74BB"/>
    <w:rsid w:val="007C7703"/>
    <w:rsid w:val="007D0120"/>
    <w:rsid w:val="007D0175"/>
    <w:rsid w:val="007D02F3"/>
    <w:rsid w:val="007D0314"/>
    <w:rsid w:val="007D07CA"/>
    <w:rsid w:val="007D09E4"/>
    <w:rsid w:val="007D0C9C"/>
    <w:rsid w:val="007D0D04"/>
    <w:rsid w:val="007D0D53"/>
    <w:rsid w:val="007D0E69"/>
    <w:rsid w:val="007D1074"/>
    <w:rsid w:val="007D1103"/>
    <w:rsid w:val="007D136A"/>
    <w:rsid w:val="007D16FF"/>
    <w:rsid w:val="007D17C4"/>
    <w:rsid w:val="007D17EE"/>
    <w:rsid w:val="007D1AC0"/>
    <w:rsid w:val="007D1FA9"/>
    <w:rsid w:val="007D2059"/>
    <w:rsid w:val="007D2C9E"/>
    <w:rsid w:val="007D2EF7"/>
    <w:rsid w:val="007D3110"/>
    <w:rsid w:val="007D34D6"/>
    <w:rsid w:val="007D377D"/>
    <w:rsid w:val="007D396C"/>
    <w:rsid w:val="007D3DE0"/>
    <w:rsid w:val="007D4123"/>
    <w:rsid w:val="007D4231"/>
    <w:rsid w:val="007D43A0"/>
    <w:rsid w:val="007D4E0B"/>
    <w:rsid w:val="007D4E17"/>
    <w:rsid w:val="007D4E7B"/>
    <w:rsid w:val="007D4E80"/>
    <w:rsid w:val="007D58D7"/>
    <w:rsid w:val="007D5D90"/>
    <w:rsid w:val="007D5DD4"/>
    <w:rsid w:val="007D6203"/>
    <w:rsid w:val="007D62EF"/>
    <w:rsid w:val="007D6504"/>
    <w:rsid w:val="007D664F"/>
    <w:rsid w:val="007D68BC"/>
    <w:rsid w:val="007D6AAB"/>
    <w:rsid w:val="007D6B9E"/>
    <w:rsid w:val="007D6BB9"/>
    <w:rsid w:val="007D6EBB"/>
    <w:rsid w:val="007D74B2"/>
    <w:rsid w:val="007D775E"/>
    <w:rsid w:val="007D78B7"/>
    <w:rsid w:val="007D7CF8"/>
    <w:rsid w:val="007E0106"/>
    <w:rsid w:val="007E01B3"/>
    <w:rsid w:val="007E0434"/>
    <w:rsid w:val="007E050E"/>
    <w:rsid w:val="007E078F"/>
    <w:rsid w:val="007E0811"/>
    <w:rsid w:val="007E082B"/>
    <w:rsid w:val="007E105E"/>
    <w:rsid w:val="007E1134"/>
    <w:rsid w:val="007E1448"/>
    <w:rsid w:val="007E1850"/>
    <w:rsid w:val="007E1FE8"/>
    <w:rsid w:val="007E20CA"/>
    <w:rsid w:val="007E2154"/>
    <w:rsid w:val="007E2206"/>
    <w:rsid w:val="007E279F"/>
    <w:rsid w:val="007E282D"/>
    <w:rsid w:val="007E28C2"/>
    <w:rsid w:val="007E2972"/>
    <w:rsid w:val="007E2BF8"/>
    <w:rsid w:val="007E3337"/>
    <w:rsid w:val="007E34FF"/>
    <w:rsid w:val="007E3778"/>
    <w:rsid w:val="007E38DF"/>
    <w:rsid w:val="007E3964"/>
    <w:rsid w:val="007E3982"/>
    <w:rsid w:val="007E39D1"/>
    <w:rsid w:val="007E4495"/>
    <w:rsid w:val="007E45EC"/>
    <w:rsid w:val="007E46C1"/>
    <w:rsid w:val="007E48E1"/>
    <w:rsid w:val="007E4A51"/>
    <w:rsid w:val="007E4BD7"/>
    <w:rsid w:val="007E4C54"/>
    <w:rsid w:val="007E4ED3"/>
    <w:rsid w:val="007E505F"/>
    <w:rsid w:val="007E5088"/>
    <w:rsid w:val="007E53AF"/>
    <w:rsid w:val="007E59FA"/>
    <w:rsid w:val="007E5BB6"/>
    <w:rsid w:val="007E5E5A"/>
    <w:rsid w:val="007E61ED"/>
    <w:rsid w:val="007E6364"/>
    <w:rsid w:val="007E6396"/>
    <w:rsid w:val="007E6588"/>
    <w:rsid w:val="007E661D"/>
    <w:rsid w:val="007E66C5"/>
    <w:rsid w:val="007E70F6"/>
    <w:rsid w:val="007E78E9"/>
    <w:rsid w:val="007E7CFB"/>
    <w:rsid w:val="007F019E"/>
    <w:rsid w:val="007F04E5"/>
    <w:rsid w:val="007F0CA8"/>
    <w:rsid w:val="007F10C3"/>
    <w:rsid w:val="007F1654"/>
    <w:rsid w:val="007F166E"/>
    <w:rsid w:val="007F1746"/>
    <w:rsid w:val="007F1830"/>
    <w:rsid w:val="007F1D0E"/>
    <w:rsid w:val="007F1D6F"/>
    <w:rsid w:val="007F1F22"/>
    <w:rsid w:val="007F2037"/>
    <w:rsid w:val="007F20DE"/>
    <w:rsid w:val="007F21B6"/>
    <w:rsid w:val="007F2509"/>
    <w:rsid w:val="007F2709"/>
    <w:rsid w:val="007F27F2"/>
    <w:rsid w:val="007F291F"/>
    <w:rsid w:val="007F2AAF"/>
    <w:rsid w:val="007F2D9A"/>
    <w:rsid w:val="007F2DC4"/>
    <w:rsid w:val="007F2ED4"/>
    <w:rsid w:val="007F3AA1"/>
    <w:rsid w:val="007F42ED"/>
    <w:rsid w:val="007F4692"/>
    <w:rsid w:val="007F4A8A"/>
    <w:rsid w:val="007F4C60"/>
    <w:rsid w:val="007F4CF2"/>
    <w:rsid w:val="007F505C"/>
    <w:rsid w:val="007F5387"/>
    <w:rsid w:val="007F53C7"/>
    <w:rsid w:val="007F55DF"/>
    <w:rsid w:val="007F5649"/>
    <w:rsid w:val="007F59A1"/>
    <w:rsid w:val="007F5B14"/>
    <w:rsid w:val="007F5DC7"/>
    <w:rsid w:val="007F6433"/>
    <w:rsid w:val="007F673D"/>
    <w:rsid w:val="007F68A2"/>
    <w:rsid w:val="007F6CCC"/>
    <w:rsid w:val="007F7252"/>
    <w:rsid w:val="007F7496"/>
    <w:rsid w:val="007F7686"/>
    <w:rsid w:val="007F7706"/>
    <w:rsid w:val="007F7DAD"/>
    <w:rsid w:val="007F7F1D"/>
    <w:rsid w:val="007F7FE3"/>
    <w:rsid w:val="008002F9"/>
    <w:rsid w:val="00800853"/>
    <w:rsid w:val="00800A3B"/>
    <w:rsid w:val="00800B34"/>
    <w:rsid w:val="00800C8E"/>
    <w:rsid w:val="00800D02"/>
    <w:rsid w:val="00800D85"/>
    <w:rsid w:val="008018BE"/>
    <w:rsid w:val="00801941"/>
    <w:rsid w:val="008022F5"/>
    <w:rsid w:val="00802495"/>
    <w:rsid w:val="00802616"/>
    <w:rsid w:val="008027EC"/>
    <w:rsid w:val="00802821"/>
    <w:rsid w:val="00802C83"/>
    <w:rsid w:val="00802D84"/>
    <w:rsid w:val="00803193"/>
    <w:rsid w:val="0080366C"/>
    <w:rsid w:val="0080381D"/>
    <w:rsid w:val="0080398D"/>
    <w:rsid w:val="00803B75"/>
    <w:rsid w:val="008040D9"/>
    <w:rsid w:val="00804284"/>
    <w:rsid w:val="0080437D"/>
    <w:rsid w:val="00804481"/>
    <w:rsid w:val="00804513"/>
    <w:rsid w:val="0080465F"/>
    <w:rsid w:val="00804684"/>
    <w:rsid w:val="00804815"/>
    <w:rsid w:val="00804A52"/>
    <w:rsid w:val="00804B3B"/>
    <w:rsid w:val="00804B40"/>
    <w:rsid w:val="00804C69"/>
    <w:rsid w:val="00804E7A"/>
    <w:rsid w:val="00805069"/>
    <w:rsid w:val="00805520"/>
    <w:rsid w:val="0080576E"/>
    <w:rsid w:val="008058A6"/>
    <w:rsid w:val="00805ADC"/>
    <w:rsid w:val="00805E05"/>
    <w:rsid w:val="00805E7C"/>
    <w:rsid w:val="00805FD7"/>
    <w:rsid w:val="0080600C"/>
    <w:rsid w:val="008066DB"/>
    <w:rsid w:val="008066FE"/>
    <w:rsid w:val="00806A6E"/>
    <w:rsid w:val="00806AC7"/>
    <w:rsid w:val="00806C8B"/>
    <w:rsid w:val="00806E32"/>
    <w:rsid w:val="00806F31"/>
    <w:rsid w:val="00806F9E"/>
    <w:rsid w:val="00806FD4"/>
    <w:rsid w:val="00807000"/>
    <w:rsid w:val="00807099"/>
    <w:rsid w:val="00807153"/>
    <w:rsid w:val="00807750"/>
    <w:rsid w:val="00807ACA"/>
    <w:rsid w:val="00807B92"/>
    <w:rsid w:val="00807CCB"/>
    <w:rsid w:val="00807E01"/>
    <w:rsid w:val="00807FC3"/>
    <w:rsid w:val="00807FCE"/>
    <w:rsid w:val="0081000D"/>
    <w:rsid w:val="00810965"/>
    <w:rsid w:val="00810B01"/>
    <w:rsid w:val="00810E1D"/>
    <w:rsid w:val="0081126C"/>
    <w:rsid w:val="008115DA"/>
    <w:rsid w:val="0081169B"/>
    <w:rsid w:val="00811858"/>
    <w:rsid w:val="00811908"/>
    <w:rsid w:val="00811A78"/>
    <w:rsid w:val="00811AA7"/>
    <w:rsid w:val="00811C1F"/>
    <w:rsid w:val="00811D3A"/>
    <w:rsid w:val="00812037"/>
    <w:rsid w:val="0081209C"/>
    <w:rsid w:val="0081271A"/>
    <w:rsid w:val="00812762"/>
    <w:rsid w:val="00812A6E"/>
    <w:rsid w:val="00812D17"/>
    <w:rsid w:val="00813442"/>
    <w:rsid w:val="00813800"/>
    <w:rsid w:val="00813CEB"/>
    <w:rsid w:val="00813D0E"/>
    <w:rsid w:val="00813DD7"/>
    <w:rsid w:val="0081406A"/>
    <w:rsid w:val="00814404"/>
    <w:rsid w:val="00814424"/>
    <w:rsid w:val="0081456A"/>
    <w:rsid w:val="00814676"/>
    <w:rsid w:val="00814779"/>
    <w:rsid w:val="00814984"/>
    <w:rsid w:val="00814AB4"/>
    <w:rsid w:val="00814DB3"/>
    <w:rsid w:val="00814E14"/>
    <w:rsid w:val="00814EC8"/>
    <w:rsid w:val="008150B6"/>
    <w:rsid w:val="008151D9"/>
    <w:rsid w:val="00815359"/>
    <w:rsid w:val="00815408"/>
    <w:rsid w:val="00815BDB"/>
    <w:rsid w:val="008160CD"/>
    <w:rsid w:val="008160FD"/>
    <w:rsid w:val="0081640B"/>
    <w:rsid w:val="0081682D"/>
    <w:rsid w:val="008169E4"/>
    <w:rsid w:val="00816A07"/>
    <w:rsid w:val="00816EDD"/>
    <w:rsid w:val="00817154"/>
    <w:rsid w:val="00817342"/>
    <w:rsid w:val="00817441"/>
    <w:rsid w:val="00817A91"/>
    <w:rsid w:val="00817C96"/>
    <w:rsid w:val="0082001C"/>
    <w:rsid w:val="00820053"/>
    <w:rsid w:val="008204AF"/>
    <w:rsid w:val="008204F6"/>
    <w:rsid w:val="00820645"/>
    <w:rsid w:val="00820833"/>
    <w:rsid w:val="00820B16"/>
    <w:rsid w:val="00820D6F"/>
    <w:rsid w:val="00821422"/>
    <w:rsid w:val="00821837"/>
    <w:rsid w:val="00821ADC"/>
    <w:rsid w:val="00821D06"/>
    <w:rsid w:val="00821DC5"/>
    <w:rsid w:val="00821FBA"/>
    <w:rsid w:val="0082213C"/>
    <w:rsid w:val="00822725"/>
    <w:rsid w:val="008227EB"/>
    <w:rsid w:val="00822C10"/>
    <w:rsid w:val="00822DFD"/>
    <w:rsid w:val="00822FA4"/>
    <w:rsid w:val="00823179"/>
    <w:rsid w:val="008236F9"/>
    <w:rsid w:val="0082374F"/>
    <w:rsid w:val="008238AB"/>
    <w:rsid w:val="0082390E"/>
    <w:rsid w:val="00824256"/>
    <w:rsid w:val="0082425D"/>
    <w:rsid w:val="00824377"/>
    <w:rsid w:val="00824720"/>
    <w:rsid w:val="00824CB5"/>
    <w:rsid w:val="00824EAE"/>
    <w:rsid w:val="00824EF0"/>
    <w:rsid w:val="00824F6F"/>
    <w:rsid w:val="00825037"/>
    <w:rsid w:val="00825122"/>
    <w:rsid w:val="00825715"/>
    <w:rsid w:val="0082591F"/>
    <w:rsid w:val="008259BC"/>
    <w:rsid w:val="00825ABD"/>
    <w:rsid w:val="00825D37"/>
    <w:rsid w:val="00825E12"/>
    <w:rsid w:val="00826012"/>
    <w:rsid w:val="008265AF"/>
    <w:rsid w:val="00826CA6"/>
    <w:rsid w:val="00826DCE"/>
    <w:rsid w:val="00827002"/>
    <w:rsid w:val="0082705B"/>
    <w:rsid w:val="00828E10"/>
    <w:rsid w:val="00830069"/>
    <w:rsid w:val="0083069C"/>
    <w:rsid w:val="00830790"/>
    <w:rsid w:val="00830ED2"/>
    <w:rsid w:val="008310C8"/>
    <w:rsid w:val="00831177"/>
    <w:rsid w:val="008312E5"/>
    <w:rsid w:val="0083132C"/>
    <w:rsid w:val="0083157C"/>
    <w:rsid w:val="008315B5"/>
    <w:rsid w:val="00831AA2"/>
    <w:rsid w:val="00831FE5"/>
    <w:rsid w:val="0083205A"/>
    <w:rsid w:val="0083231B"/>
    <w:rsid w:val="00832715"/>
    <w:rsid w:val="008327C0"/>
    <w:rsid w:val="00832A2F"/>
    <w:rsid w:val="00832C10"/>
    <w:rsid w:val="00832C87"/>
    <w:rsid w:val="00832CC0"/>
    <w:rsid w:val="00832E90"/>
    <w:rsid w:val="00832EE5"/>
    <w:rsid w:val="00833944"/>
    <w:rsid w:val="00833CB0"/>
    <w:rsid w:val="00833DC6"/>
    <w:rsid w:val="00833F22"/>
    <w:rsid w:val="008340AC"/>
    <w:rsid w:val="00834488"/>
    <w:rsid w:val="0083473A"/>
    <w:rsid w:val="00834DAF"/>
    <w:rsid w:val="0083539E"/>
    <w:rsid w:val="00835672"/>
    <w:rsid w:val="00835763"/>
    <w:rsid w:val="008358F3"/>
    <w:rsid w:val="00835A61"/>
    <w:rsid w:val="00835C18"/>
    <w:rsid w:val="00835EE6"/>
    <w:rsid w:val="00836104"/>
    <w:rsid w:val="008361E4"/>
    <w:rsid w:val="00836240"/>
    <w:rsid w:val="008363E8"/>
    <w:rsid w:val="00836594"/>
    <w:rsid w:val="00836F54"/>
    <w:rsid w:val="0083761C"/>
    <w:rsid w:val="0083776A"/>
    <w:rsid w:val="00837C0F"/>
    <w:rsid w:val="00837D31"/>
    <w:rsid w:val="0084009B"/>
    <w:rsid w:val="0084028A"/>
    <w:rsid w:val="00840440"/>
    <w:rsid w:val="00840477"/>
    <w:rsid w:val="0084058F"/>
    <w:rsid w:val="008405E5"/>
    <w:rsid w:val="008406B3"/>
    <w:rsid w:val="008409FB"/>
    <w:rsid w:val="00840A75"/>
    <w:rsid w:val="00840BA0"/>
    <w:rsid w:val="008417B0"/>
    <w:rsid w:val="00841A0C"/>
    <w:rsid w:val="00841E85"/>
    <w:rsid w:val="008421A6"/>
    <w:rsid w:val="00842394"/>
    <w:rsid w:val="008423C6"/>
    <w:rsid w:val="008429CF"/>
    <w:rsid w:val="00842F28"/>
    <w:rsid w:val="008430C6"/>
    <w:rsid w:val="00843437"/>
    <w:rsid w:val="00843468"/>
    <w:rsid w:val="0084358A"/>
    <w:rsid w:val="00843838"/>
    <w:rsid w:val="00843998"/>
    <w:rsid w:val="00843AB6"/>
    <w:rsid w:val="00843FD1"/>
    <w:rsid w:val="00843FF0"/>
    <w:rsid w:val="008442DF"/>
    <w:rsid w:val="00844697"/>
    <w:rsid w:val="00844785"/>
    <w:rsid w:val="0084495F"/>
    <w:rsid w:val="00844A0A"/>
    <w:rsid w:val="00844BA9"/>
    <w:rsid w:val="00845040"/>
    <w:rsid w:val="00845462"/>
    <w:rsid w:val="008454B3"/>
    <w:rsid w:val="00845573"/>
    <w:rsid w:val="00845964"/>
    <w:rsid w:val="00845D0C"/>
    <w:rsid w:val="00845D2B"/>
    <w:rsid w:val="00845E96"/>
    <w:rsid w:val="0084616D"/>
    <w:rsid w:val="00846495"/>
    <w:rsid w:val="00846D4F"/>
    <w:rsid w:val="0084708C"/>
    <w:rsid w:val="00847566"/>
    <w:rsid w:val="008477AD"/>
    <w:rsid w:val="00847AA0"/>
    <w:rsid w:val="00847B46"/>
    <w:rsid w:val="00847C13"/>
    <w:rsid w:val="00847DEF"/>
    <w:rsid w:val="00847E78"/>
    <w:rsid w:val="00847F80"/>
    <w:rsid w:val="00850199"/>
    <w:rsid w:val="00850264"/>
    <w:rsid w:val="008504AC"/>
    <w:rsid w:val="00850679"/>
    <w:rsid w:val="008508FB"/>
    <w:rsid w:val="00850B61"/>
    <w:rsid w:val="00850C4B"/>
    <w:rsid w:val="00850EC6"/>
    <w:rsid w:val="008511C7"/>
    <w:rsid w:val="008513D8"/>
    <w:rsid w:val="0085159A"/>
    <w:rsid w:val="008518C2"/>
    <w:rsid w:val="0085194B"/>
    <w:rsid w:val="0085194E"/>
    <w:rsid w:val="008519CC"/>
    <w:rsid w:val="00851B0C"/>
    <w:rsid w:val="00851F61"/>
    <w:rsid w:val="008524B2"/>
    <w:rsid w:val="0085281F"/>
    <w:rsid w:val="00852948"/>
    <w:rsid w:val="00852DA6"/>
    <w:rsid w:val="00853018"/>
    <w:rsid w:val="0085311C"/>
    <w:rsid w:val="00853252"/>
    <w:rsid w:val="00853494"/>
    <w:rsid w:val="008539C8"/>
    <w:rsid w:val="00853B40"/>
    <w:rsid w:val="00853E21"/>
    <w:rsid w:val="00853FCB"/>
    <w:rsid w:val="008541A4"/>
    <w:rsid w:val="00854315"/>
    <w:rsid w:val="00854335"/>
    <w:rsid w:val="00854623"/>
    <w:rsid w:val="0085492A"/>
    <w:rsid w:val="0085561E"/>
    <w:rsid w:val="00855911"/>
    <w:rsid w:val="00855935"/>
    <w:rsid w:val="008559C6"/>
    <w:rsid w:val="00855A61"/>
    <w:rsid w:val="00855D60"/>
    <w:rsid w:val="00855FA5"/>
    <w:rsid w:val="00856624"/>
    <w:rsid w:val="008568BE"/>
    <w:rsid w:val="00856A00"/>
    <w:rsid w:val="00856B90"/>
    <w:rsid w:val="00856C5C"/>
    <w:rsid w:val="00856DC3"/>
    <w:rsid w:val="00856E32"/>
    <w:rsid w:val="008571B4"/>
    <w:rsid w:val="00857337"/>
    <w:rsid w:val="008576AD"/>
    <w:rsid w:val="00857A26"/>
    <w:rsid w:val="00857B9F"/>
    <w:rsid w:val="00857DB4"/>
    <w:rsid w:val="0085C83F"/>
    <w:rsid w:val="008601EA"/>
    <w:rsid w:val="00860459"/>
    <w:rsid w:val="0086050F"/>
    <w:rsid w:val="008607DA"/>
    <w:rsid w:val="008608D2"/>
    <w:rsid w:val="0086095E"/>
    <w:rsid w:val="00860DF4"/>
    <w:rsid w:val="00860E25"/>
    <w:rsid w:val="0086117C"/>
    <w:rsid w:val="0086149C"/>
    <w:rsid w:val="0086189E"/>
    <w:rsid w:val="00861A3E"/>
    <w:rsid w:val="00861C83"/>
    <w:rsid w:val="0086218A"/>
    <w:rsid w:val="00862358"/>
    <w:rsid w:val="0086244C"/>
    <w:rsid w:val="008626A5"/>
    <w:rsid w:val="00862B37"/>
    <w:rsid w:val="00862B43"/>
    <w:rsid w:val="00862EBC"/>
    <w:rsid w:val="00862FF1"/>
    <w:rsid w:val="00863198"/>
    <w:rsid w:val="008632B0"/>
    <w:rsid w:val="008632D9"/>
    <w:rsid w:val="0086352A"/>
    <w:rsid w:val="00863BD8"/>
    <w:rsid w:val="00863F08"/>
    <w:rsid w:val="008641BE"/>
    <w:rsid w:val="008645E4"/>
    <w:rsid w:val="00864AF5"/>
    <w:rsid w:val="00864B2F"/>
    <w:rsid w:val="00864B61"/>
    <w:rsid w:val="00864C07"/>
    <w:rsid w:val="00865052"/>
    <w:rsid w:val="008654B8"/>
    <w:rsid w:val="008659D4"/>
    <w:rsid w:val="008659D8"/>
    <w:rsid w:val="00865A4E"/>
    <w:rsid w:val="00865EA5"/>
    <w:rsid w:val="0086606E"/>
    <w:rsid w:val="0086623D"/>
    <w:rsid w:val="0086642C"/>
    <w:rsid w:val="00866451"/>
    <w:rsid w:val="008666D6"/>
    <w:rsid w:val="00867137"/>
    <w:rsid w:val="008671D5"/>
    <w:rsid w:val="00867213"/>
    <w:rsid w:val="00867275"/>
    <w:rsid w:val="00867A34"/>
    <w:rsid w:val="00867AD4"/>
    <w:rsid w:val="00867D05"/>
    <w:rsid w:val="00867F5E"/>
    <w:rsid w:val="008701D1"/>
    <w:rsid w:val="00870423"/>
    <w:rsid w:val="008704D3"/>
    <w:rsid w:val="008705B1"/>
    <w:rsid w:val="0087072F"/>
    <w:rsid w:val="00870785"/>
    <w:rsid w:val="00870890"/>
    <w:rsid w:val="008709F9"/>
    <w:rsid w:val="00870AF3"/>
    <w:rsid w:val="00870B6F"/>
    <w:rsid w:val="00870D6D"/>
    <w:rsid w:val="00870DFE"/>
    <w:rsid w:val="0087121B"/>
    <w:rsid w:val="008717A7"/>
    <w:rsid w:val="00871A22"/>
    <w:rsid w:val="00871DF9"/>
    <w:rsid w:val="00872098"/>
    <w:rsid w:val="008720F6"/>
    <w:rsid w:val="00872618"/>
    <w:rsid w:val="008727F2"/>
    <w:rsid w:val="00872929"/>
    <w:rsid w:val="008730BD"/>
    <w:rsid w:val="00873134"/>
    <w:rsid w:val="00873214"/>
    <w:rsid w:val="008732E6"/>
    <w:rsid w:val="008734CF"/>
    <w:rsid w:val="00873719"/>
    <w:rsid w:val="008738E7"/>
    <w:rsid w:val="0087390A"/>
    <w:rsid w:val="00873AFC"/>
    <w:rsid w:val="0087455E"/>
    <w:rsid w:val="008745A3"/>
    <w:rsid w:val="00874783"/>
    <w:rsid w:val="008747C8"/>
    <w:rsid w:val="00874B2E"/>
    <w:rsid w:val="00874CDC"/>
    <w:rsid w:val="00874E89"/>
    <w:rsid w:val="00874E8B"/>
    <w:rsid w:val="008750FE"/>
    <w:rsid w:val="0087529D"/>
    <w:rsid w:val="0087531B"/>
    <w:rsid w:val="0087555C"/>
    <w:rsid w:val="0087574F"/>
    <w:rsid w:val="008758D5"/>
    <w:rsid w:val="00875A4C"/>
    <w:rsid w:val="00875DEF"/>
    <w:rsid w:val="00875EC8"/>
    <w:rsid w:val="00875EF4"/>
    <w:rsid w:val="00875F25"/>
    <w:rsid w:val="00876972"/>
    <w:rsid w:val="008769AD"/>
    <w:rsid w:val="00876EB0"/>
    <w:rsid w:val="0087714E"/>
    <w:rsid w:val="00877451"/>
    <w:rsid w:val="0087759F"/>
    <w:rsid w:val="00877A0D"/>
    <w:rsid w:val="00877EB3"/>
    <w:rsid w:val="00880713"/>
    <w:rsid w:val="0088082A"/>
    <w:rsid w:val="00880942"/>
    <w:rsid w:val="0088096A"/>
    <w:rsid w:val="00880A3D"/>
    <w:rsid w:val="00880B08"/>
    <w:rsid w:val="00880DF6"/>
    <w:rsid w:val="00880EB0"/>
    <w:rsid w:val="00881030"/>
    <w:rsid w:val="008813B9"/>
    <w:rsid w:val="00881999"/>
    <w:rsid w:val="00881C2E"/>
    <w:rsid w:val="00881C53"/>
    <w:rsid w:val="0088247B"/>
    <w:rsid w:val="00882768"/>
    <w:rsid w:val="0088294D"/>
    <w:rsid w:val="00882AAF"/>
    <w:rsid w:val="00882C8E"/>
    <w:rsid w:val="00883052"/>
    <w:rsid w:val="00883057"/>
    <w:rsid w:val="008833A6"/>
    <w:rsid w:val="008833CA"/>
    <w:rsid w:val="008836D6"/>
    <w:rsid w:val="0088394B"/>
    <w:rsid w:val="00883AD4"/>
    <w:rsid w:val="00883C5B"/>
    <w:rsid w:val="00883C6A"/>
    <w:rsid w:val="00884273"/>
    <w:rsid w:val="008842E0"/>
    <w:rsid w:val="008842FF"/>
    <w:rsid w:val="0088436C"/>
    <w:rsid w:val="008844B8"/>
    <w:rsid w:val="008848D1"/>
    <w:rsid w:val="00884E93"/>
    <w:rsid w:val="00885031"/>
    <w:rsid w:val="008853A1"/>
    <w:rsid w:val="00885B43"/>
    <w:rsid w:val="00885B77"/>
    <w:rsid w:val="00885CF7"/>
    <w:rsid w:val="00885DB8"/>
    <w:rsid w:val="0088627D"/>
    <w:rsid w:val="00886419"/>
    <w:rsid w:val="00886909"/>
    <w:rsid w:val="00886AF9"/>
    <w:rsid w:val="00886CBF"/>
    <w:rsid w:val="00886CCA"/>
    <w:rsid w:val="0088709C"/>
    <w:rsid w:val="008870E6"/>
    <w:rsid w:val="008877DA"/>
    <w:rsid w:val="00887B04"/>
    <w:rsid w:val="0089004F"/>
    <w:rsid w:val="0089011E"/>
    <w:rsid w:val="00890434"/>
    <w:rsid w:val="008904DF"/>
    <w:rsid w:val="00890760"/>
    <w:rsid w:val="00890951"/>
    <w:rsid w:val="00891417"/>
    <w:rsid w:val="00891460"/>
    <w:rsid w:val="008914E3"/>
    <w:rsid w:val="0089154F"/>
    <w:rsid w:val="00891575"/>
    <w:rsid w:val="0089186E"/>
    <w:rsid w:val="00891AD5"/>
    <w:rsid w:val="00892047"/>
    <w:rsid w:val="00892048"/>
    <w:rsid w:val="0089205C"/>
    <w:rsid w:val="0089210E"/>
    <w:rsid w:val="00892193"/>
    <w:rsid w:val="008924E7"/>
    <w:rsid w:val="00892735"/>
    <w:rsid w:val="0089288E"/>
    <w:rsid w:val="00892A96"/>
    <w:rsid w:val="00892EC2"/>
    <w:rsid w:val="00892F06"/>
    <w:rsid w:val="00892F6A"/>
    <w:rsid w:val="00892FE0"/>
    <w:rsid w:val="00893099"/>
    <w:rsid w:val="008930A5"/>
    <w:rsid w:val="00893468"/>
    <w:rsid w:val="008935C6"/>
    <w:rsid w:val="00893625"/>
    <w:rsid w:val="00893704"/>
    <w:rsid w:val="008937FF"/>
    <w:rsid w:val="0089383F"/>
    <w:rsid w:val="00893AA6"/>
    <w:rsid w:val="00893BF7"/>
    <w:rsid w:val="00893E29"/>
    <w:rsid w:val="00893F1F"/>
    <w:rsid w:val="0089431B"/>
    <w:rsid w:val="008943D5"/>
    <w:rsid w:val="00894890"/>
    <w:rsid w:val="00894B10"/>
    <w:rsid w:val="00894B9E"/>
    <w:rsid w:val="00894CAB"/>
    <w:rsid w:val="00894CE2"/>
    <w:rsid w:val="0089510B"/>
    <w:rsid w:val="008952BC"/>
    <w:rsid w:val="00895827"/>
    <w:rsid w:val="008958BD"/>
    <w:rsid w:val="00895974"/>
    <w:rsid w:val="00895A84"/>
    <w:rsid w:val="0089602E"/>
    <w:rsid w:val="008960DE"/>
    <w:rsid w:val="0089621E"/>
    <w:rsid w:val="008962FB"/>
    <w:rsid w:val="008963F2"/>
    <w:rsid w:val="00896415"/>
    <w:rsid w:val="008966FC"/>
    <w:rsid w:val="00896AD6"/>
    <w:rsid w:val="00896B19"/>
    <w:rsid w:val="00896BB2"/>
    <w:rsid w:val="00896F82"/>
    <w:rsid w:val="008973DD"/>
    <w:rsid w:val="0089745E"/>
    <w:rsid w:val="00897582"/>
    <w:rsid w:val="00897749"/>
    <w:rsid w:val="0089787B"/>
    <w:rsid w:val="00897F98"/>
    <w:rsid w:val="008A02ED"/>
    <w:rsid w:val="008A04DF"/>
    <w:rsid w:val="008A0796"/>
    <w:rsid w:val="008A07C8"/>
    <w:rsid w:val="008A09E3"/>
    <w:rsid w:val="008A0C5E"/>
    <w:rsid w:val="008A0DC6"/>
    <w:rsid w:val="008A10A2"/>
    <w:rsid w:val="008A126A"/>
    <w:rsid w:val="008A1461"/>
    <w:rsid w:val="008A16A4"/>
    <w:rsid w:val="008A18FF"/>
    <w:rsid w:val="008A1A9F"/>
    <w:rsid w:val="008A20A0"/>
    <w:rsid w:val="008A226F"/>
    <w:rsid w:val="008A237D"/>
    <w:rsid w:val="008A24EE"/>
    <w:rsid w:val="008A2501"/>
    <w:rsid w:val="008A2523"/>
    <w:rsid w:val="008A26E5"/>
    <w:rsid w:val="008A2C00"/>
    <w:rsid w:val="008A2CA4"/>
    <w:rsid w:val="008A2D51"/>
    <w:rsid w:val="008A3191"/>
    <w:rsid w:val="008A3232"/>
    <w:rsid w:val="008A32D6"/>
    <w:rsid w:val="008A332E"/>
    <w:rsid w:val="008A3B5C"/>
    <w:rsid w:val="008A3BBC"/>
    <w:rsid w:val="008A405B"/>
    <w:rsid w:val="008A413B"/>
    <w:rsid w:val="008A430E"/>
    <w:rsid w:val="008A46B0"/>
    <w:rsid w:val="008A49B5"/>
    <w:rsid w:val="008A4AF6"/>
    <w:rsid w:val="008A4E02"/>
    <w:rsid w:val="008A4E04"/>
    <w:rsid w:val="008A4F65"/>
    <w:rsid w:val="008A50B1"/>
    <w:rsid w:val="008A5748"/>
    <w:rsid w:val="008A5933"/>
    <w:rsid w:val="008A599A"/>
    <w:rsid w:val="008A6142"/>
    <w:rsid w:val="008A6198"/>
    <w:rsid w:val="008A64BC"/>
    <w:rsid w:val="008A65C3"/>
    <w:rsid w:val="008A6A36"/>
    <w:rsid w:val="008A6D04"/>
    <w:rsid w:val="008A7C4B"/>
    <w:rsid w:val="008A7C55"/>
    <w:rsid w:val="008A7F62"/>
    <w:rsid w:val="008B077B"/>
    <w:rsid w:val="008B098B"/>
    <w:rsid w:val="008B1230"/>
    <w:rsid w:val="008B13BF"/>
    <w:rsid w:val="008B13D7"/>
    <w:rsid w:val="008B165D"/>
    <w:rsid w:val="008B1BF4"/>
    <w:rsid w:val="008B2020"/>
    <w:rsid w:val="008B214E"/>
    <w:rsid w:val="008B2985"/>
    <w:rsid w:val="008B2A0C"/>
    <w:rsid w:val="008B2C5E"/>
    <w:rsid w:val="008B2CE1"/>
    <w:rsid w:val="008B32EF"/>
    <w:rsid w:val="008B384E"/>
    <w:rsid w:val="008B38F1"/>
    <w:rsid w:val="008B3B1F"/>
    <w:rsid w:val="008B3B4E"/>
    <w:rsid w:val="008B4137"/>
    <w:rsid w:val="008B46AF"/>
    <w:rsid w:val="008B4714"/>
    <w:rsid w:val="008B497C"/>
    <w:rsid w:val="008B4A1B"/>
    <w:rsid w:val="008B4CBE"/>
    <w:rsid w:val="008B4E93"/>
    <w:rsid w:val="008B5002"/>
    <w:rsid w:val="008B51DA"/>
    <w:rsid w:val="008B5BB2"/>
    <w:rsid w:val="008B5FD9"/>
    <w:rsid w:val="008B6118"/>
    <w:rsid w:val="008B6699"/>
    <w:rsid w:val="008B6795"/>
    <w:rsid w:val="008B6AF4"/>
    <w:rsid w:val="008B6B29"/>
    <w:rsid w:val="008B6C13"/>
    <w:rsid w:val="008B6C18"/>
    <w:rsid w:val="008B70D4"/>
    <w:rsid w:val="008B73E2"/>
    <w:rsid w:val="008B77EF"/>
    <w:rsid w:val="008B7CAA"/>
    <w:rsid w:val="008B7CBD"/>
    <w:rsid w:val="008B7E24"/>
    <w:rsid w:val="008C0233"/>
    <w:rsid w:val="008C0570"/>
    <w:rsid w:val="008C0A8B"/>
    <w:rsid w:val="008C0B53"/>
    <w:rsid w:val="008C0D49"/>
    <w:rsid w:val="008C137D"/>
    <w:rsid w:val="008C1D47"/>
    <w:rsid w:val="008C1D70"/>
    <w:rsid w:val="008C1E0A"/>
    <w:rsid w:val="008C1EA5"/>
    <w:rsid w:val="008C2423"/>
    <w:rsid w:val="008C26A8"/>
    <w:rsid w:val="008C2997"/>
    <w:rsid w:val="008C29AE"/>
    <w:rsid w:val="008C29EA"/>
    <w:rsid w:val="008C2B54"/>
    <w:rsid w:val="008C2C75"/>
    <w:rsid w:val="008C2D19"/>
    <w:rsid w:val="008C32B1"/>
    <w:rsid w:val="008C3577"/>
    <w:rsid w:val="008C38B1"/>
    <w:rsid w:val="008C3B38"/>
    <w:rsid w:val="008C3C98"/>
    <w:rsid w:val="008C3CCE"/>
    <w:rsid w:val="008C3D1B"/>
    <w:rsid w:val="008C3E36"/>
    <w:rsid w:val="008C3E60"/>
    <w:rsid w:val="008C41F4"/>
    <w:rsid w:val="008C481F"/>
    <w:rsid w:val="008C49F8"/>
    <w:rsid w:val="008C4A7F"/>
    <w:rsid w:val="008C4E09"/>
    <w:rsid w:val="008C4F41"/>
    <w:rsid w:val="008C5680"/>
    <w:rsid w:val="008C568E"/>
    <w:rsid w:val="008C57C4"/>
    <w:rsid w:val="008C5827"/>
    <w:rsid w:val="008C58DF"/>
    <w:rsid w:val="008C5C11"/>
    <w:rsid w:val="008C5D77"/>
    <w:rsid w:val="008C5EC0"/>
    <w:rsid w:val="008C6574"/>
    <w:rsid w:val="008C671C"/>
    <w:rsid w:val="008C6C79"/>
    <w:rsid w:val="008C7012"/>
    <w:rsid w:val="008C72F9"/>
    <w:rsid w:val="008C7474"/>
    <w:rsid w:val="008C7569"/>
    <w:rsid w:val="008C7A91"/>
    <w:rsid w:val="008C7C96"/>
    <w:rsid w:val="008C7D5D"/>
    <w:rsid w:val="008C7D6F"/>
    <w:rsid w:val="008C7FC1"/>
    <w:rsid w:val="008D0291"/>
    <w:rsid w:val="008D034D"/>
    <w:rsid w:val="008D03BE"/>
    <w:rsid w:val="008D0497"/>
    <w:rsid w:val="008D0871"/>
    <w:rsid w:val="008D0C95"/>
    <w:rsid w:val="008D117B"/>
    <w:rsid w:val="008D1511"/>
    <w:rsid w:val="008D1560"/>
    <w:rsid w:val="008D1854"/>
    <w:rsid w:val="008D1875"/>
    <w:rsid w:val="008D1ACD"/>
    <w:rsid w:val="008D1E01"/>
    <w:rsid w:val="008D1E7D"/>
    <w:rsid w:val="008D2476"/>
    <w:rsid w:val="008D24EF"/>
    <w:rsid w:val="008D2693"/>
    <w:rsid w:val="008D28DB"/>
    <w:rsid w:val="008D2920"/>
    <w:rsid w:val="008D29A1"/>
    <w:rsid w:val="008D2BB2"/>
    <w:rsid w:val="008D2F3B"/>
    <w:rsid w:val="008D2F66"/>
    <w:rsid w:val="008D32BD"/>
    <w:rsid w:val="008D34D1"/>
    <w:rsid w:val="008D3842"/>
    <w:rsid w:val="008D3920"/>
    <w:rsid w:val="008D3B6E"/>
    <w:rsid w:val="008D3CD6"/>
    <w:rsid w:val="008D409F"/>
    <w:rsid w:val="008D414B"/>
    <w:rsid w:val="008D4825"/>
    <w:rsid w:val="008D49CE"/>
    <w:rsid w:val="008D4CC7"/>
    <w:rsid w:val="008D4E75"/>
    <w:rsid w:val="008D50E5"/>
    <w:rsid w:val="008D55F9"/>
    <w:rsid w:val="008D5D20"/>
    <w:rsid w:val="008D5DA3"/>
    <w:rsid w:val="008D5FAA"/>
    <w:rsid w:val="008D6D3C"/>
    <w:rsid w:val="008D6F09"/>
    <w:rsid w:val="008D72E0"/>
    <w:rsid w:val="008D73FF"/>
    <w:rsid w:val="008D7474"/>
    <w:rsid w:val="008D7672"/>
    <w:rsid w:val="008D7689"/>
    <w:rsid w:val="008D7A09"/>
    <w:rsid w:val="008D7B76"/>
    <w:rsid w:val="008D7BB1"/>
    <w:rsid w:val="008D7E5F"/>
    <w:rsid w:val="008D7F73"/>
    <w:rsid w:val="008E0463"/>
    <w:rsid w:val="008E0499"/>
    <w:rsid w:val="008E0897"/>
    <w:rsid w:val="008E0BF0"/>
    <w:rsid w:val="008E122A"/>
    <w:rsid w:val="008E12D1"/>
    <w:rsid w:val="008E1AD5"/>
    <w:rsid w:val="008E1C24"/>
    <w:rsid w:val="008E1C72"/>
    <w:rsid w:val="008E1F5C"/>
    <w:rsid w:val="008E228A"/>
    <w:rsid w:val="008E28E8"/>
    <w:rsid w:val="008E2BE4"/>
    <w:rsid w:val="008E2D47"/>
    <w:rsid w:val="008E2DA6"/>
    <w:rsid w:val="008E2DCB"/>
    <w:rsid w:val="008E30FD"/>
    <w:rsid w:val="008E321E"/>
    <w:rsid w:val="008E34C0"/>
    <w:rsid w:val="008E35E3"/>
    <w:rsid w:val="008E39FE"/>
    <w:rsid w:val="008E3C0A"/>
    <w:rsid w:val="008E3FAC"/>
    <w:rsid w:val="008E40F4"/>
    <w:rsid w:val="008E420A"/>
    <w:rsid w:val="008E4220"/>
    <w:rsid w:val="008E42FA"/>
    <w:rsid w:val="008E44B8"/>
    <w:rsid w:val="008E45EE"/>
    <w:rsid w:val="008E4727"/>
    <w:rsid w:val="008E48D8"/>
    <w:rsid w:val="008E4A0F"/>
    <w:rsid w:val="008E4A82"/>
    <w:rsid w:val="008E4AB1"/>
    <w:rsid w:val="008E5328"/>
    <w:rsid w:val="008E597A"/>
    <w:rsid w:val="008E5B0B"/>
    <w:rsid w:val="008E6191"/>
    <w:rsid w:val="008E63FE"/>
    <w:rsid w:val="008E68B4"/>
    <w:rsid w:val="008E68C0"/>
    <w:rsid w:val="008E68C3"/>
    <w:rsid w:val="008E6C07"/>
    <w:rsid w:val="008E6DA2"/>
    <w:rsid w:val="008E6ED1"/>
    <w:rsid w:val="008E6F1F"/>
    <w:rsid w:val="008E7010"/>
    <w:rsid w:val="008E725A"/>
    <w:rsid w:val="008E7370"/>
    <w:rsid w:val="008E74A0"/>
    <w:rsid w:val="008E75CA"/>
    <w:rsid w:val="008E76CF"/>
    <w:rsid w:val="008E78FA"/>
    <w:rsid w:val="008E7F30"/>
    <w:rsid w:val="008F0248"/>
    <w:rsid w:val="008F02B5"/>
    <w:rsid w:val="008F03FE"/>
    <w:rsid w:val="008F05EC"/>
    <w:rsid w:val="008F081B"/>
    <w:rsid w:val="008F08A5"/>
    <w:rsid w:val="008F0AA4"/>
    <w:rsid w:val="008F0ABA"/>
    <w:rsid w:val="008F13D4"/>
    <w:rsid w:val="008F19B3"/>
    <w:rsid w:val="008F1E70"/>
    <w:rsid w:val="008F223E"/>
    <w:rsid w:val="008F22E2"/>
    <w:rsid w:val="008F23D5"/>
    <w:rsid w:val="008F2414"/>
    <w:rsid w:val="008F2452"/>
    <w:rsid w:val="008F246C"/>
    <w:rsid w:val="008F2472"/>
    <w:rsid w:val="008F2674"/>
    <w:rsid w:val="008F295B"/>
    <w:rsid w:val="008F2A67"/>
    <w:rsid w:val="008F2AC8"/>
    <w:rsid w:val="008F2D1A"/>
    <w:rsid w:val="008F2D37"/>
    <w:rsid w:val="008F2D39"/>
    <w:rsid w:val="008F2E94"/>
    <w:rsid w:val="008F2FA9"/>
    <w:rsid w:val="008F3324"/>
    <w:rsid w:val="008F3339"/>
    <w:rsid w:val="008F353D"/>
    <w:rsid w:val="008F35DB"/>
    <w:rsid w:val="008F3A43"/>
    <w:rsid w:val="008F3AB8"/>
    <w:rsid w:val="008F3ABA"/>
    <w:rsid w:val="008F3D7B"/>
    <w:rsid w:val="008F3FF6"/>
    <w:rsid w:val="008F400C"/>
    <w:rsid w:val="008F40F6"/>
    <w:rsid w:val="008F42F5"/>
    <w:rsid w:val="008F4349"/>
    <w:rsid w:val="008F4611"/>
    <w:rsid w:val="008F46D3"/>
    <w:rsid w:val="008F46F5"/>
    <w:rsid w:val="008F47F5"/>
    <w:rsid w:val="008F4809"/>
    <w:rsid w:val="008F49D4"/>
    <w:rsid w:val="008F4A58"/>
    <w:rsid w:val="008F4AC2"/>
    <w:rsid w:val="008F5025"/>
    <w:rsid w:val="008F5077"/>
    <w:rsid w:val="008F50B1"/>
    <w:rsid w:val="008F5101"/>
    <w:rsid w:val="008F5ABB"/>
    <w:rsid w:val="008F5B47"/>
    <w:rsid w:val="008F5C1B"/>
    <w:rsid w:val="008F5F17"/>
    <w:rsid w:val="008F61DE"/>
    <w:rsid w:val="008F6271"/>
    <w:rsid w:val="008F679B"/>
    <w:rsid w:val="008F68B6"/>
    <w:rsid w:val="008F6942"/>
    <w:rsid w:val="008F7172"/>
    <w:rsid w:val="008F71C9"/>
    <w:rsid w:val="008F760D"/>
    <w:rsid w:val="008F7834"/>
    <w:rsid w:val="008F7AC0"/>
    <w:rsid w:val="008F7B4F"/>
    <w:rsid w:val="008F7C2A"/>
    <w:rsid w:val="008F7F4E"/>
    <w:rsid w:val="009002B1"/>
    <w:rsid w:val="009002B5"/>
    <w:rsid w:val="00900350"/>
    <w:rsid w:val="00900566"/>
    <w:rsid w:val="00900592"/>
    <w:rsid w:val="00900991"/>
    <w:rsid w:val="00900AA6"/>
    <w:rsid w:val="00900ABA"/>
    <w:rsid w:val="00900B59"/>
    <w:rsid w:val="00900C0C"/>
    <w:rsid w:val="00900E2D"/>
    <w:rsid w:val="00901079"/>
    <w:rsid w:val="0090111F"/>
    <w:rsid w:val="0090138A"/>
    <w:rsid w:val="009015AF"/>
    <w:rsid w:val="00901DCB"/>
    <w:rsid w:val="00902025"/>
    <w:rsid w:val="00902615"/>
    <w:rsid w:val="00902688"/>
    <w:rsid w:val="0090271D"/>
    <w:rsid w:val="0090272C"/>
    <w:rsid w:val="009027C7"/>
    <w:rsid w:val="009029B1"/>
    <w:rsid w:val="00902C74"/>
    <w:rsid w:val="00902DE3"/>
    <w:rsid w:val="00902E05"/>
    <w:rsid w:val="009030BB"/>
    <w:rsid w:val="00903287"/>
    <w:rsid w:val="00903306"/>
    <w:rsid w:val="009035B9"/>
    <w:rsid w:val="00903BD0"/>
    <w:rsid w:val="00903CE4"/>
    <w:rsid w:val="009040E2"/>
    <w:rsid w:val="009041AF"/>
    <w:rsid w:val="009042EE"/>
    <w:rsid w:val="0090494E"/>
    <w:rsid w:val="00904AFF"/>
    <w:rsid w:val="00904B08"/>
    <w:rsid w:val="00904D55"/>
    <w:rsid w:val="00904D81"/>
    <w:rsid w:val="00904D97"/>
    <w:rsid w:val="00904DB5"/>
    <w:rsid w:val="0090515B"/>
    <w:rsid w:val="00905615"/>
    <w:rsid w:val="00905F50"/>
    <w:rsid w:val="00906364"/>
    <w:rsid w:val="0090662B"/>
    <w:rsid w:val="00906CC1"/>
    <w:rsid w:val="00906CE6"/>
    <w:rsid w:val="00906E61"/>
    <w:rsid w:val="00906E78"/>
    <w:rsid w:val="00907079"/>
    <w:rsid w:val="00907549"/>
    <w:rsid w:val="009075B6"/>
    <w:rsid w:val="0090795C"/>
    <w:rsid w:val="009079B1"/>
    <w:rsid w:val="00907BF0"/>
    <w:rsid w:val="00907E8A"/>
    <w:rsid w:val="00907ECE"/>
    <w:rsid w:val="00907F21"/>
    <w:rsid w:val="0091015B"/>
    <w:rsid w:val="009101D3"/>
    <w:rsid w:val="00910C2C"/>
    <w:rsid w:val="00910C4B"/>
    <w:rsid w:val="00910CC5"/>
    <w:rsid w:val="00910DDD"/>
    <w:rsid w:val="0091105F"/>
    <w:rsid w:val="00911336"/>
    <w:rsid w:val="0091173D"/>
    <w:rsid w:val="0091181F"/>
    <w:rsid w:val="00911AA7"/>
    <w:rsid w:val="009120A4"/>
    <w:rsid w:val="00912219"/>
    <w:rsid w:val="009123FD"/>
    <w:rsid w:val="0091258C"/>
    <w:rsid w:val="00912804"/>
    <w:rsid w:val="009128E0"/>
    <w:rsid w:val="009129B5"/>
    <w:rsid w:val="00912A68"/>
    <w:rsid w:val="00913117"/>
    <w:rsid w:val="009133A5"/>
    <w:rsid w:val="009137D0"/>
    <w:rsid w:val="00913953"/>
    <w:rsid w:val="0091395B"/>
    <w:rsid w:val="00913C30"/>
    <w:rsid w:val="00913C85"/>
    <w:rsid w:val="00913D01"/>
    <w:rsid w:val="00913DAF"/>
    <w:rsid w:val="00914173"/>
    <w:rsid w:val="0091455D"/>
    <w:rsid w:val="0091485B"/>
    <w:rsid w:val="00914BE4"/>
    <w:rsid w:val="00914C2A"/>
    <w:rsid w:val="00914DA3"/>
    <w:rsid w:val="00914E64"/>
    <w:rsid w:val="00915177"/>
    <w:rsid w:val="00915651"/>
    <w:rsid w:val="00915A88"/>
    <w:rsid w:val="00915C65"/>
    <w:rsid w:val="00916662"/>
    <w:rsid w:val="0091693F"/>
    <w:rsid w:val="00916997"/>
    <w:rsid w:val="00916BFC"/>
    <w:rsid w:val="00917316"/>
    <w:rsid w:val="00917924"/>
    <w:rsid w:val="00917D88"/>
    <w:rsid w:val="00920109"/>
    <w:rsid w:val="00920717"/>
    <w:rsid w:val="00921383"/>
    <w:rsid w:val="00921552"/>
    <w:rsid w:val="009219CD"/>
    <w:rsid w:val="00921A00"/>
    <w:rsid w:val="00921A14"/>
    <w:rsid w:val="00921B16"/>
    <w:rsid w:val="00921F0B"/>
    <w:rsid w:val="0092245F"/>
    <w:rsid w:val="0092252F"/>
    <w:rsid w:val="009226FD"/>
    <w:rsid w:val="00922773"/>
    <w:rsid w:val="00922A1E"/>
    <w:rsid w:val="00922B09"/>
    <w:rsid w:val="00922B6A"/>
    <w:rsid w:val="00922CEC"/>
    <w:rsid w:val="00922D3C"/>
    <w:rsid w:val="009230D0"/>
    <w:rsid w:val="0092318E"/>
    <w:rsid w:val="009232A9"/>
    <w:rsid w:val="00923514"/>
    <w:rsid w:val="00923677"/>
    <w:rsid w:val="009236D6"/>
    <w:rsid w:val="00923EE3"/>
    <w:rsid w:val="00923F61"/>
    <w:rsid w:val="009244C3"/>
    <w:rsid w:val="009245B3"/>
    <w:rsid w:val="009246A1"/>
    <w:rsid w:val="0092494A"/>
    <w:rsid w:val="00924D9B"/>
    <w:rsid w:val="00924E36"/>
    <w:rsid w:val="00924E46"/>
    <w:rsid w:val="00924E72"/>
    <w:rsid w:val="00924FC4"/>
    <w:rsid w:val="00925173"/>
    <w:rsid w:val="00925808"/>
    <w:rsid w:val="00925821"/>
    <w:rsid w:val="00925B05"/>
    <w:rsid w:val="00925CA3"/>
    <w:rsid w:val="009263A3"/>
    <w:rsid w:val="00926515"/>
    <w:rsid w:val="00926820"/>
    <w:rsid w:val="00926A94"/>
    <w:rsid w:val="00926D32"/>
    <w:rsid w:val="009270AD"/>
    <w:rsid w:val="009270BD"/>
    <w:rsid w:val="009275BE"/>
    <w:rsid w:val="00927B41"/>
    <w:rsid w:val="00927B76"/>
    <w:rsid w:val="00930549"/>
    <w:rsid w:val="009309B8"/>
    <w:rsid w:val="009309FE"/>
    <w:rsid w:val="00930A16"/>
    <w:rsid w:val="00930F97"/>
    <w:rsid w:val="0093107D"/>
    <w:rsid w:val="00931147"/>
    <w:rsid w:val="009318A9"/>
    <w:rsid w:val="00931A54"/>
    <w:rsid w:val="00931D3E"/>
    <w:rsid w:val="00932018"/>
    <w:rsid w:val="0093205D"/>
    <w:rsid w:val="00932503"/>
    <w:rsid w:val="0093256A"/>
    <w:rsid w:val="00932586"/>
    <w:rsid w:val="009327D1"/>
    <w:rsid w:val="00932F72"/>
    <w:rsid w:val="009332AE"/>
    <w:rsid w:val="00933A0E"/>
    <w:rsid w:val="00933BD3"/>
    <w:rsid w:val="00933BFD"/>
    <w:rsid w:val="00933CFB"/>
    <w:rsid w:val="00933F70"/>
    <w:rsid w:val="00934597"/>
    <w:rsid w:val="00934615"/>
    <w:rsid w:val="0093478F"/>
    <w:rsid w:val="00934CE0"/>
    <w:rsid w:val="00934D50"/>
    <w:rsid w:val="00934FFA"/>
    <w:rsid w:val="00935429"/>
    <w:rsid w:val="00935AAC"/>
    <w:rsid w:val="00935B6A"/>
    <w:rsid w:val="0093609B"/>
    <w:rsid w:val="009361BD"/>
    <w:rsid w:val="00936249"/>
    <w:rsid w:val="00936656"/>
    <w:rsid w:val="009367A6"/>
    <w:rsid w:val="00936825"/>
    <w:rsid w:val="00936F11"/>
    <w:rsid w:val="00936F87"/>
    <w:rsid w:val="00937224"/>
    <w:rsid w:val="009375E0"/>
    <w:rsid w:val="0094006F"/>
    <w:rsid w:val="0094023F"/>
    <w:rsid w:val="0094029E"/>
    <w:rsid w:val="00940728"/>
    <w:rsid w:val="009407F3"/>
    <w:rsid w:val="00940940"/>
    <w:rsid w:val="00940D26"/>
    <w:rsid w:val="00940F04"/>
    <w:rsid w:val="00940F9B"/>
    <w:rsid w:val="00940FAD"/>
    <w:rsid w:val="00940FBF"/>
    <w:rsid w:val="0094174C"/>
    <w:rsid w:val="009417E7"/>
    <w:rsid w:val="00941929"/>
    <w:rsid w:val="00941EC7"/>
    <w:rsid w:val="00942086"/>
    <w:rsid w:val="009422A2"/>
    <w:rsid w:val="009423D0"/>
    <w:rsid w:val="00942675"/>
    <w:rsid w:val="0094275D"/>
    <w:rsid w:val="00942795"/>
    <w:rsid w:val="00942796"/>
    <w:rsid w:val="009428BB"/>
    <w:rsid w:val="00942A9E"/>
    <w:rsid w:val="00942AC4"/>
    <w:rsid w:val="00942BF1"/>
    <w:rsid w:val="00942C8E"/>
    <w:rsid w:val="00942F83"/>
    <w:rsid w:val="00942F9D"/>
    <w:rsid w:val="00943001"/>
    <w:rsid w:val="00943085"/>
    <w:rsid w:val="009436B9"/>
    <w:rsid w:val="00943905"/>
    <w:rsid w:val="00943964"/>
    <w:rsid w:val="00943A15"/>
    <w:rsid w:val="00943A46"/>
    <w:rsid w:val="00943DBD"/>
    <w:rsid w:val="00944009"/>
    <w:rsid w:val="00944169"/>
    <w:rsid w:val="00944199"/>
    <w:rsid w:val="009443BC"/>
    <w:rsid w:val="00944421"/>
    <w:rsid w:val="009447A3"/>
    <w:rsid w:val="009449B0"/>
    <w:rsid w:val="00944A1F"/>
    <w:rsid w:val="00944A3A"/>
    <w:rsid w:val="00944A8C"/>
    <w:rsid w:val="00944D62"/>
    <w:rsid w:val="0094507E"/>
    <w:rsid w:val="009453F4"/>
    <w:rsid w:val="009455CE"/>
    <w:rsid w:val="00945700"/>
    <w:rsid w:val="0094584B"/>
    <w:rsid w:val="00945904"/>
    <w:rsid w:val="00945D88"/>
    <w:rsid w:val="00945E14"/>
    <w:rsid w:val="00946163"/>
    <w:rsid w:val="009462DB"/>
    <w:rsid w:val="00946594"/>
    <w:rsid w:val="00946649"/>
    <w:rsid w:val="0094690D"/>
    <w:rsid w:val="00946C6A"/>
    <w:rsid w:val="00946D1F"/>
    <w:rsid w:val="0094742E"/>
    <w:rsid w:val="00947594"/>
    <w:rsid w:val="009476FF"/>
    <w:rsid w:val="00947C1A"/>
    <w:rsid w:val="00947CE2"/>
    <w:rsid w:val="00950009"/>
    <w:rsid w:val="00950275"/>
    <w:rsid w:val="00950414"/>
    <w:rsid w:val="00950578"/>
    <w:rsid w:val="00950A3F"/>
    <w:rsid w:val="00950C3E"/>
    <w:rsid w:val="00950D35"/>
    <w:rsid w:val="00950D37"/>
    <w:rsid w:val="00950FC6"/>
    <w:rsid w:val="0095105F"/>
    <w:rsid w:val="00951447"/>
    <w:rsid w:val="009517C7"/>
    <w:rsid w:val="0095190E"/>
    <w:rsid w:val="00951B79"/>
    <w:rsid w:val="00951B9B"/>
    <w:rsid w:val="00951C80"/>
    <w:rsid w:val="00951CE8"/>
    <w:rsid w:val="00951D17"/>
    <w:rsid w:val="00951FB1"/>
    <w:rsid w:val="00952047"/>
    <w:rsid w:val="00952235"/>
    <w:rsid w:val="00952270"/>
    <w:rsid w:val="009522B3"/>
    <w:rsid w:val="009524F1"/>
    <w:rsid w:val="009525CE"/>
    <w:rsid w:val="0095275D"/>
    <w:rsid w:val="009528FF"/>
    <w:rsid w:val="00952A49"/>
    <w:rsid w:val="00952D91"/>
    <w:rsid w:val="00952D99"/>
    <w:rsid w:val="00953058"/>
    <w:rsid w:val="009531A6"/>
    <w:rsid w:val="009532AF"/>
    <w:rsid w:val="009532BF"/>
    <w:rsid w:val="00954080"/>
    <w:rsid w:val="00954231"/>
    <w:rsid w:val="00954516"/>
    <w:rsid w:val="009546DF"/>
    <w:rsid w:val="00954C5F"/>
    <w:rsid w:val="00954CDC"/>
    <w:rsid w:val="00955007"/>
    <w:rsid w:val="00955065"/>
    <w:rsid w:val="00955121"/>
    <w:rsid w:val="00955278"/>
    <w:rsid w:val="009553B3"/>
    <w:rsid w:val="00955705"/>
    <w:rsid w:val="00955792"/>
    <w:rsid w:val="009557F4"/>
    <w:rsid w:val="00955803"/>
    <w:rsid w:val="0095582A"/>
    <w:rsid w:val="009558A7"/>
    <w:rsid w:val="00955941"/>
    <w:rsid w:val="00955CA6"/>
    <w:rsid w:val="00955CE2"/>
    <w:rsid w:val="009562B6"/>
    <w:rsid w:val="00956904"/>
    <w:rsid w:val="00956A79"/>
    <w:rsid w:val="00957034"/>
    <w:rsid w:val="00957151"/>
    <w:rsid w:val="0095748D"/>
    <w:rsid w:val="0095761C"/>
    <w:rsid w:val="0095795C"/>
    <w:rsid w:val="009579B9"/>
    <w:rsid w:val="00957A69"/>
    <w:rsid w:val="00957BE4"/>
    <w:rsid w:val="00957DF0"/>
    <w:rsid w:val="00957E87"/>
    <w:rsid w:val="00960376"/>
    <w:rsid w:val="00960654"/>
    <w:rsid w:val="009606B4"/>
    <w:rsid w:val="009607C7"/>
    <w:rsid w:val="00960893"/>
    <w:rsid w:val="00960B34"/>
    <w:rsid w:val="00960D13"/>
    <w:rsid w:val="00960E60"/>
    <w:rsid w:val="00960FE3"/>
    <w:rsid w:val="009614B2"/>
    <w:rsid w:val="009618C1"/>
    <w:rsid w:val="00961A20"/>
    <w:rsid w:val="00961C45"/>
    <w:rsid w:val="00961E15"/>
    <w:rsid w:val="00961E35"/>
    <w:rsid w:val="00961F4C"/>
    <w:rsid w:val="009621BD"/>
    <w:rsid w:val="00962992"/>
    <w:rsid w:val="00962B25"/>
    <w:rsid w:val="0096310F"/>
    <w:rsid w:val="00963459"/>
    <w:rsid w:val="00963C5E"/>
    <w:rsid w:val="00963D57"/>
    <w:rsid w:val="00963D6E"/>
    <w:rsid w:val="00963F5E"/>
    <w:rsid w:val="0096402B"/>
    <w:rsid w:val="00964071"/>
    <w:rsid w:val="009640E6"/>
    <w:rsid w:val="00964253"/>
    <w:rsid w:val="009647B9"/>
    <w:rsid w:val="00964A3C"/>
    <w:rsid w:val="00964D72"/>
    <w:rsid w:val="009651AD"/>
    <w:rsid w:val="009652F3"/>
    <w:rsid w:val="00965573"/>
    <w:rsid w:val="00965631"/>
    <w:rsid w:val="009657AF"/>
    <w:rsid w:val="009657D9"/>
    <w:rsid w:val="00965A99"/>
    <w:rsid w:val="00965B60"/>
    <w:rsid w:val="00965E0E"/>
    <w:rsid w:val="00965E6E"/>
    <w:rsid w:val="00965EE5"/>
    <w:rsid w:val="00965EED"/>
    <w:rsid w:val="009665EC"/>
    <w:rsid w:val="00966630"/>
    <w:rsid w:val="009668F7"/>
    <w:rsid w:val="009669F5"/>
    <w:rsid w:val="00966FF7"/>
    <w:rsid w:val="00967144"/>
    <w:rsid w:val="0096757B"/>
    <w:rsid w:val="009676B8"/>
    <w:rsid w:val="00967B3A"/>
    <w:rsid w:val="00967BBC"/>
    <w:rsid w:val="00967C65"/>
    <w:rsid w:val="0096AB3B"/>
    <w:rsid w:val="00970318"/>
    <w:rsid w:val="009703B8"/>
    <w:rsid w:val="0097052A"/>
    <w:rsid w:val="009705D8"/>
    <w:rsid w:val="00970726"/>
    <w:rsid w:val="00970930"/>
    <w:rsid w:val="00970AB3"/>
    <w:rsid w:val="00970F17"/>
    <w:rsid w:val="00970FF8"/>
    <w:rsid w:val="009716E6"/>
    <w:rsid w:val="009717E0"/>
    <w:rsid w:val="00971802"/>
    <w:rsid w:val="00971974"/>
    <w:rsid w:val="00971986"/>
    <w:rsid w:val="00971CC3"/>
    <w:rsid w:val="0097216D"/>
    <w:rsid w:val="009722D4"/>
    <w:rsid w:val="0097263C"/>
    <w:rsid w:val="00972C9C"/>
    <w:rsid w:val="00972E24"/>
    <w:rsid w:val="00972EA1"/>
    <w:rsid w:val="0097305F"/>
    <w:rsid w:val="009734D5"/>
    <w:rsid w:val="00973750"/>
    <w:rsid w:val="00973831"/>
    <w:rsid w:val="00973852"/>
    <w:rsid w:val="00973AC8"/>
    <w:rsid w:val="00974135"/>
    <w:rsid w:val="009741D3"/>
    <w:rsid w:val="00974343"/>
    <w:rsid w:val="009746AA"/>
    <w:rsid w:val="0097487B"/>
    <w:rsid w:val="00974A7D"/>
    <w:rsid w:val="00974B1B"/>
    <w:rsid w:val="00974D01"/>
    <w:rsid w:val="00974DA6"/>
    <w:rsid w:val="00974DF3"/>
    <w:rsid w:val="009752FC"/>
    <w:rsid w:val="0097536C"/>
    <w:rsid w:val="009758F9"/>
    <w:rsid w:val="00975F0E"/>
    <w:rsid w:val="009766CE"/>
    <w:rsid w:val="00976CAC"/>
    <w:rsid w:val="00976E42"/>
    <w:rsid w:val="00976F92"/>
    <w:rsid w:val="009770E2"/>
    <w:rsid w:val="009771A5"/>
    <w:rsid w:val="0097737E"/>
    <w:rsid w:val="00977390"/>
    <w:rsid w:val="00977BB4"/>
    <w:rsid w:val="00977FDE"/>
    <w:rsid w:val="009801A0"/>
    <w:rsid w:val="00980650"/>
    <w:rsid w:val="0098077C"/>
    <w:rsid w:val="00980CCB"/>
    <w:rsid w:val="0098128E"/>
    <w:rsid w:val="009812C0"/>
    <w:rsid w:val="0098154A"/>
    <w:rsid w:val="00981641"/>
    <w:rsid w:val="009816AE"/>
    <w:rsid w:val="0098180C"/>
    <w:rsid w:val="009819FB"/>
    <w:rsid w:val="00981B7A"/>
    <w:rsid w:val="00981F02"/>
    <w:rsid w:val="00981F73"/>
    <w:rsid w:val="0098244E"/>
    <w:rsid w:val="009827CD"/>
    <w:rsid w:val="009828D6"/>
    <w:rsid w:val="00982C20"/>
    <w:rsid w:val="00982DD9"/>
    <w:rsid w:val="00983311"/>
    <w:rsid w:val="00983AC4"/>
    <w:rsid w:val="00983B25"/>
    <w:rsid w:val="00983C82"/>
    <w:rsid w:val="00983DC5"/>
    <w:rsid w:val="00983EAB"/>
    <w:rsid w:val="00983EED"/>
    <w:rsid w:val="00983FB2"/>
    <w:rsid w:val="00983FCB"/>
    <w:rsid w:val="00984199"/>
    <w:rsid w:val="009842AA"/>
    <w:rsid w:val="009843D4"/>
    <w:rsid w:val="009844F8"/>
    <w:rsid w:val="0098459D"/>
    <w:rsid w:val="009845A1"/>
    <w:rsid w:val="009847FE"/>
    <w:rsid w:val="009848D9"/>
    <w:rsid w:val="00984C64"/>
    <w:rsid w:val="00984D18"/>
    <w:rsid w:val="00984FD8"/>
    <w:rsid w:val="0098542D"/>
    <w:rsid w:val="0098553C"/>
    <w:rsid w:val="00985599"/>
    <w:rsid w:val="0098559F"/>
    <w:rsid w:val="009856C4"/>
    <w:rsid w:val="0098586E"/>
    <w:rsid w:val="00985AE1"/>
    <w:rsid w:val="00985DAB"/>
    <w:rsid w:val="00986156"/>
    <w:rsid w:val="0098617F"/>
    <w:rsid w:val="009861E8"/>
    <w:rsid w:val="009861EB"/>
    <w:rsid w:val="009863B0"/>
    <w:rsid w:val="009863D0"/>
    <w:rsid w:val="0098647D"/>
    <w:rsid w:val="00986832"/>
    <w:rsid w:val="009868A6"/>
    <w:rsid w:val="00986DAF"/>
    <w:rsid w:val="00987852"/>
    <w:rsid w:val="00987882"/>
    <w:rsid w:val="00987A3B"/>
    <w:rsid w:val="00987EE0"/>
    <w:rsid w:val="00987FBC"/>
    <w:rsid w:val="009901E9"/>
    <w:rsid w:val="00990492"/>
    <w:rsid w:val="0099055D"/>
    <w:rsid w:val="0099066E"/>
    <w:rsid w:val="009906B3"/>
    <w:rsid w:val="0099087B"/>
    <w:rsid w:val="00990ADB"/>
    <w:rsid w:val="00990C06"/>
    <w:rsid w:val="00990CB4"/>
    <w:rsid w:val="00990CE5"/>
    <w:rsid w:val="00990EB1"/>
    <w:rsid w:val="00991223"/>
    <w:rsid w:val="00991282"/>
    <w:rsid w:val="009916F8"/>
    <w:rsid w:val="0099172F"/>
    <w:rsid w:val="009917BD"/>
    <w:rsid w:val="009918AB"/>
    <w:rsid w:val="009919FC"/>
    <w:rsid w:val="00991A21"/>
    <w:rsid w:val="00991B86"/>
    <w:rsid w:val="00992165"/>
    <w:rsid w:val="009921F6"/>
    <w:rsid w:val="00992452"/>
    <w:rsid w:val="0099261A"/>
    <w:rsid w:val="009926A6"/>
    <w:rsid w:val="00992766"/>
    <w:rsid w:val="00992BBB"/>
    <w:rsid w:val="00992C53"/>
    <w:rsid w:val="00992D6D"/>
    <w:rsid w:val="00992E6A"/>
    <w:rsid w:val="00993419"/>
    <w:rsid w:val="0099356F"/>
    <w:rsid w:val="009937F2"/>
    <w:rsid w:val="00993917"/>
    <w:rsid w:val="00993DA1"/>
    <w:rsid w:val="00993F34"/>
    <w:rsid w:val="00994960"/>
    <w:rsid w:val="009949E3"/>
    <w:rsid w:val="00994A8E"/>
    <w:rsid w:val="00994AB4"/>
    <w:rsid w:val="00994C68"/>
    <w:rsid w:val="00994CFC"/>
    <w:rsid w:val="00994F08"/>
    <w:rsid w:val="00995626"/>
    <w:rsid w:val="00995801"/>
    <w:rsid w:val="009958BD"/>
    <w:rsid w:val="009959B9"/>
    <w:rsid w:val="00995A41"/>
    <w:rsid w:val="00995A67"/>
    <w:rsid w:val="00995AC5"/>
    <w:rsid w:val="00995ADF"/>
    <w:rsid w:val="00995C7F"/>
    <w:rsid w:val="00995C86"/>
    <w:rsid w:val="00995D28"/>
    <w:rsid w:val="00995D30"/>
    <w:rsid w:val="00995F6B"/>
    <w:rsid w:val="00995FD2"/>
    <w:rsid w:val="0099601B"/>
    <w:rsid w:val="009960AA"/>
    <w:rsid w:val="009967D0"/>
    <w:rsid w:val="00996BB0"/>
    <w:rsid w:val="00996E77"/>
    <w:rsid w:val="00997274"/>
    <w:rsid w:val="00997814"/>
    <w:rsid w:val="00997924"/>
    <w:rsid w:val="00997B0E"/>
    <w:rsid w:val="00997E3A"/>
    <w:rsid w:val="009A00D4"/>
    <w:rsid w:val="009A05FA"/>
    <w:rsid w:val="009A0615"/>
    <w:rsid w:val="009A06F2"/>
    <w:rsid w:val="009A096E"/>
    <w:rsid w:val="009A0A52"/>
    <w:rsid w:val="009A0AF8"/>
    <w:rsid w:val="009A0B06"/>
    <w:rsid w:val="009A0BF7"/>
    <w:rsid w:val="009A0EC6"/>
    <w:rsid w:val="009A124B"/>
    <w:rsid w:val="009A1DF8"/>
    <w:rsid w:val="009A1E76"/>
    <w:rsid w:val="009A2433"/>
    <w:rsid w:val="009A250E"/>
    <w:rsid w:val="009A26CF"/>
    <w:rsid w:val="009A2A48"/>
    <w:rsid w:val="009A2CCE"/>
    <w:rsid w:val="009A2F5E"/>
    <w:rsid w:val="009A3013"/>
    <w:rsid w:val="009A3439"/>
    <w:rsid w:val="009A347E"/>
    <w:rsid w:val="009A37EE"/>
    <w:rsid w:val="009A3E81"/>
    <w:rsid w:val="009A3FD4"/>
    <w:rsid w:val="009A403A"/>
    <w:rsid w:val="009A405C"/>
    <w:rsid w:val="009A4137"/>
    <w:rsid w:val="009A41E3"/>
    <w:rsid w:val="009A41E5"/>
    <w:rsid w:val="009A446F"/>
    <w:rsid w:val="009A46DF"/>
    <w:rsid w:val="009A4CCC"/>
    <w:rsid w:val="009A4E0B"/>
    <w:rsid w:val="009A4EC0"/>
    <w:rsid w:val="009A4F83"/>
    <w:rsid w:val="009A525E"/>
    <w:rsid w:val="009A540D"/>
    <w:rsid w:val="009A5BB4"/>
    <w:rsid w:val="009A5E75"/>
    <w:rsid w:val="009A5E8D"/>
    <w:rsid w:val="009A5F76"/>
    <w:rsid w:val="009A5FB0"/>
    <w:rsid w:val="009A601A"/>
    <w:rsid w:val="009A60EF"/>
    <w:rsid w:val="009A6351"/>
    <w:rsid w:val="009A6676"/>
    <w:rsid w:val="009A66B6"/>
    <w:rsid w:val="009A66EE"/>
    <w:rsid w:val="009A6751"/>
    <w:rsid w:val="009A6966"/>
    <w:rsid w:val="009A6973"/>
    <w:rsid w:val="009A7157"/>
    <w:rsid w:val="009A719A"/>
    <w:rsid w:val="009A7756"/>
    <w:rsid w:val="009A78A8"/>
    <w:rsid w:val="009A78E2"/>
    <w:rsid w:val="009A7B5D"/>
    <w:rsid w:val="009A7BDF"/>
    <w:rsid w:val="009A7D72"/>
    <w:rsid w:val="009A7D75"/>
    <w:rsid w:val="009A7E55"/>
    <w:rsid w:val="009A7F73"/>
    <w:rsid w:val="009B0167"/>
    <w:rsid w:val="009B0268"/>
    <w:rsid w:val="009B079D"/>
    <w:rsid w:val="009B0A16"/>
    <w:rsid w:val="009B0A9F"/>
    <w:rsid w:val="009B0C1E"/>
    <w:rsid w:val="009B0C2E"/>
    <w:rsid w:val="009B1333"/>
    <w:rsid w:val="009B152D"/>
    <w:rsid w:val="009B1727"/>
    <w:rsid w:val="009B193F"/>
    <w:rsid w:val="009B1A12"/>
    <w:rsid w:val="009B1AA7"/>
    <w:rsid w:val="009B2090"/>
    <w:rsid w:val="009B20F3"/>
    <w:rsid w:val="009B228C"/>
    <w:rsid w:val="009B2412"/>
    <w:rsid w:val="009B25B9"/>
    <w:rsid w:val="009B25BF"/>
    <w:rsid w:val="009B2736"/>
    <w:rsid w:val="009B2738"/>
    <w:rsid w:val="009B299E"/>
    <w:rsid w:val="009B31E2"/>
    <w:rsid w:val="009B33D2"/>
    <w:rsid w:val="009B35A6"/>
    <w:rsid w:val="009B3853"/>
    <w:rsid w:val="009B3B4E"/>
    <w:rsid w:val="009B3C35"/>
    <w:rsid w:val="009B3D9C"/>
    <w:rsid w:val="009B3FCD"/>
    <w:rsid w:val="009B4016"/>
    <w:rsid w:val="009B4073"/>
    <w:rsid w:val="009B4087"/>
    <w:rsid w:val="009B4234"/>
    <w:rsid w:val="009B4264"/>
    <w:rsid w:val="009B4578"/>
    <w:rsid w:val="009B4BAD"/>
    <w:rsid w:val="009B5213"/>
    <w:rsid w:val="009B59D8"/>
    <w:rsid w:val="009B5FAE"/>
    <w:rsid w:val="009B5FFE"/>
    <w:rsid w:val="009B61B9"/>
    <w:rsid w:val="009B6310"/>
    <w:rsid w:val="009B637F"/>
    <w:rsid w:val="009B6614"/>
    <w:rsid w:val="009B6D69"/>
    <w:rsid w:val="009B70BD"/>
    <w:rsid w:val="009B70CC"/>
    <w:rsid w:val="009B729A"/>
    <w:rsid w:val="009B7442"/>
    <w:rsid w:val="009B752D"/>
    <w:rsid w:val="009B78E5"/>
    <w:rsid w:val="009B79BC"/>
    <w:rsid w:val="009B7A17"/>
    <w:rsid w:val="009C0109"/>
    <w:rsid w:val="009C03C2"/>
    <w:rsid w:val="009C0DAC"/>
    <w:rsid w:val="009C116F"/>
    <w:rsid w:val="009C11E1"/>
    <w:rsid w:val="009C1341"/>
    <w:rsid w:val="009C137B"/>
    <w:rsid w:val="009C13DC"/>
    <w:rsid w:val="009C15E1"/>
    <w:rsid w:val="009C1980"/>
    <w:rsid w:val="009C1D2C"/>
    <w:rsid w:val="009C1E17"/>
    <w:rsid w:val="009C221B"/>
    <w:rsid w:val="009C2388"/>
    <w:rsid w:val="009C24AF"/>
    <w:rsid w:val="009C2798"/>
    <w:rsid w:val="009C2810"/>
    <w:rsid w:val="009C2E22"/>
    <w:rsid w:val="009C2EAA"/>
    <w:rsid w:val="009C2FC4"/>
    <w:rsid w:val="009C30F8"/>
    <w:rsid w:val="009C3135"/>
    <w:rsid w:val="009C3211"/>
    <w:rsid w:val="009C3387"/>
    <w:rsid w:val="009C3548"/>
    <w:rsid w:val="009C38CC"/>
    <w:rsid w:val="009C3B9C"/>
    <w:rsid w:val="009C3D6A"/>
    <w:rsid w:val="009C3E21"/>
    <w:rsid w:val="009C3EDC"/>
    <w:rsid w:val="009C3EF9"/>
    <w:rsid w:val="009C46E2"/>
    <w:rsid w:val="009C46FC"/>
    <w:rsid w:val="009C4757"/>
    <w:rsid w:val="009C48D8"/>
    <w:rsid w:val="009C4973"/>
    <w:rsid w:val="009C49B8"/>
    <w:rsid w:val="009C4B53"/>
    <w:rsid w:val="009C4C80"/>
    <w:rsid w:val="009C4E9E"/>
    <w:rsid w:val="009C4F33"/>
    <w:rsid w:val="009C4F42"/>
    <w:rsid w:val="009C4FF9"/>
    <w:rsid w:val="009C510E"/>
    <w:rsid w:val="009C5377"/>
    <w:rsid w:val="009C53D1"/>
    <w:rsid w:val="009C541B"/>
    <w:rsid w:val="009C555F"/>
    <w:rsid w:val="009C6280"/>
    <w:rsid w:val="009C63A8"/>
    <w:rsid w:val="009C66BA"/>
    <w:rsid w:val="009C67AF"/>
    <w:rsid w:val="009C6831"/>
    <w:rsid w:val="009C683A"/>
    <w:rsid w:val="009C6990"/>
    <w:rsid w:val="009C6F3B"/>
    <w:rsid w:val="009C72D7"/>
    <w:rsid w:val="009C748F"/>
    <w:rsid w:val="009C74F8"/>
    <w:rsid w:val="009D0135"/>
    <w:rsid w:val="009D06B4"/>
    <w:rsid w:val="009D070B"/>
    <w:rsid w:val="009D0846"/>
    <w:rsid w:val="009D0EC0"/>
    <w:rsid w:val="009D0F20"/>
    <w:rsid w:val="009D14E6"/>
    <w:rsid w:val="009D1A7C"/>
    <w:rsid w:val="009D1B29"/>
    <w:rsid w:val="009D1EAF"/>
    <w:rsid w:val="009D1EB3"/>
    <w:rsid w:val="009D24A3"/>
    <w:rsid w:val="009D257A"/>
    <w:rsid w:val="009D29CF"/>
    <w:rsid w:val="009D2B3E"/>
    <w:rsid w:val="009D2BD2"/>
    <w:rsid w:val="009D300A"/>
    <w:rsid w:val="009D3434"/>
    <w:rsid w:val="009D3435"/>
    <w:rsid w:val="009D36F5"/>
    <w:rsid w:val="009D3846"/>
    <w:rsid w:val="009D3850"/>
    <w:rsid w:val="009D3910"/>
    <w:rsid w:val="009D3ADB"/>
    <w:rsid w:val="009D3AF7"/>
    <w:rsid w:val="009D3D41"/>
    <w:rsid w:val="009D3D69"/>
    <w:rsid w:val="009D40DD"/>
    <w:rsid w:val="009D43FF"/>
    <w:rsid w:val="009D4429"/>
    <w:rsid w:val="009D44FC"/>
    <w:rsid w:val="009D4553"/>
    <w:rsid w:val="009D4820"/>
    <w:rsid w:val="009D496A"/>
    <w:rsid w:val="009D4E8B"/>
    <w:rsid w:val="009D5494"/>
    <w:rsid w:val="009D5665"/>
    <w:rsid w:val="009D6078"/>
    <w:rsid w:val="009D625A"/>
    <w:rsid w:val="009D67E3"/>
    <w:rsid w:val="009D6BAD"/>
    <w:rsid w:val="009D6E03"/>
    <w:rsid w:val="009D6EA1"/>
    <w:rsid w:val="009D6EB8"/>
    <w:rsid w:val="009D7122"/>
    <w:rsid w:val="009D74F1"/>
    <w:rsid w:val="009D7578"/>
    <w:rsid w:val="009D75CF"/>
    <w:rsid w:val="009D7618"/>
    <w:rsid w:val="009D76F7"/>
    <w:rsid w:val="009D7A7F"/>
    <w:rsid w:val="009D7D09"/>
    <w:rsid w:val="009E05AA"/>
    <w:rsid w:val="009E066C"/>
    <w:rsid w:val="009E06F8"/>
    <w:rsid w:val="009E0BD7"/>
    <w:rsid w:val="009E0DE5"/>
    <w:rsid w:val="009E1509"/>
    <w:rsid w:val="009E15FD"/>
    <w:rsid w:val="009E17B7"/>
    <w:rsid w:val="009E183B"/>
    <w:rsid w:val="009E1CE4"/>
    <w:rsid w:val="009E1F0A"/>
    <w:rsid w:val="009E2047"/>
    <w:rsid w:val="009E2343"/>
    <w:rsid w:val="009E2356"/>
    <w:rsid w:val="009E2448"/>
    <w:rsid w:val="009E2465"/>
    <w:rsid w:val="009E267B"/>
    <w:rsid w:val="009E273E"/>
    <w:rsid w:val="009E2A82"/>
    <w:rsid w:val="009E30CD"/>
    <w:rsid w:val="009E348A"/>
    <w:rsid w:val="009E3DFB"/>
    <w:rsid w:val="009E3EA1"/>
    <w:rsid w:val="009E3F10"/>
    <w:rsid w:val="009E40F9"/>
    <w:rsid w:val="009E445E"/>
    <w:rsid w:val="009E447D"/>
    <w:rsid w:val="009E4C4B"/>
    <w:rsid w:val="009E4D98"/>
    <w:rsid w:val="009E4FD7"/>
    <w:rsid w:val="009E5157"/>
    <w:rsid w:val="009E540E"/>
    <w:rsid w:val="009E5413"/>
    <w:rsid w:val="009E5569"/>
    <w:rsid w:val="009E5590"/>
    <w:rsid w:val="009E564C"/>
    <w:rsid w:val="009E5771"/>
    <w:rsid w:val="009E582C"/>
    <w:rsid w:val="009E5B75"/>
    <w:rsid w:val="009E5CE2"/>
    <w:rsid w:val="009E5CF4"/>
    <w:rsid w:val="009E5DE1"/>
    <w:rsid w:val="009E5E13"/>
    <w:rsid w:val="009E5F77"/>
    <w:rsid w:val="009E62D6"/>
    <w:rsid w:val="009E6848"/>
    <w:rsid w:val="009E68AF"/>
    <w:rsid w:val="009E692C"/>
    <w:rsid w:val="009E6953"/>
    <w:rsid w:val="009E6996"/>
    <w:rsid w:val="009E6A12"/>
    <w:rsid w:val="009E6A9B"/>
    <w:rsid w:val="009E76E1"/>
    <w:rsid w:val="009E7A42"/>
    <w:rsid w:val="009E7CC1"/>
    <w:rsid w:val="009E7ED1"/>
    <w:rsid w:val="009E7EFD"/>
    <w:rsid w:val="009E7F2A"/>
    <w:rsid w:val="009F0099"/>
    <w:rsid w:val="009F047D"/>
    <w:rsid w:val="009F0581"/>
    <w:rsid w:val="009F081B"/>
    <w:rsid w:val="009F0878"/>
    <w:rsid w:val="009F088F"/>
    <w:rsid w:val="009F0A65"/>
    <w:rsid w:val="009F0E34"/>
    <w:rsid w:val="009F0E62"/>
    <w:rsid w:val="009F1024"/>
    <w:rsid w:val="009F1321"/>
    <w:rsid w:val="009F15DF"/>
    <w:rsid w:val="009F15EB"/>
    <w:rsid w:val="009F1975"/>
    <w:rsid w:val="009F19B8"/>
    <w:rsid w:val="009F1A39"/>
    <w:rsid w:val="009F1CE0"/>
    <w:rsid w:val="009F1DDB"/>
    <w:rsid w:val="009F20AD"/>
    <w:rsid w:val="009F2CD1"/>
    <w:rsid w:val="009F3262"/>
    <w:rsid w:val="009F32E4"/>
    <w:rsid w:val="009F3962"/>
    <w:rsid w:val="009F39B8"/>
    <w:rsid w:val="009F3B7E"/>
    <w:rsid w:val="009F3F0C"/>
    <w:rsid w:val="009F3F9F"/>
    <w:rsid w:val="009F421B"/>
    <w:rsid w:val="009F42A1"/>
    <w:rsid w:val="009F4444"/>
    <w:rsid w:val="009F44C1"/>
    <w:rsid w:val="009F45B6"/>
    <w:rsid w:val="009F4684"/>
    <w:rsid w:val="009F4982"/>
    <w:rsid w:val="009F4BA5"/>
    <w:rsid w:val="009F558C"/>
    <w:rsid w:val="009F5DB0"/>
    <w:rsid w:val="009F5E8E"/>
    <w:rsid w:val="009F5FBB"/>
    <w:rsid w:val="009F639E"/>
    <w:rsid w:val="009F657F"/>
    <w:rsid w:val="009F69D9"/>
    <w:rsid w:val="009F6B90"/>
    <w:rsid w:val="009F744F"/>
    <w:rsid w:val="009F74BF"/>
    <w:rsid w:val="009F7727"/>
    <w:rsid w:val="009F7FF3"/>
    <w:rsid w:val="00A006FF"/>
    <w:rsid w:val="00A009C4"/>
    <w:rsid w:val="00A00A3B"/>
    <w:rsid w:val="00A01091"/>
    <w:rsid w:val="00A011C5"/>
    <w:rsid w:val="00A013D3"/>
    <w:rsid w:val="00A0143D"/>
    <w:rsid w:val="00A0145B"/>
    <w:rsid w:val="00A01715"/>
    <w:rsid w:val="00A0173A"/>
    <w:rsid w:val="00A018EE"/>
    <w:rsid w:val="00A019F2"/>
    <w:rsid w:val="00A01A92"/>
    <w:rsid w:val="00A020E5"/>
    <w:rsid w:val="00A020FD"/>
    <w:rsid w:val="00A0215F"/>
    <w:rsid w:val="00A02601"/>
    <w:rsid w:val="00A02694"/>
    <w:rsid w:val="00A026DA"/>
    <w:rsid w:val="00A0271C"/>
    <w:rsid w:val="00A0273B"/>
    <w:rsid w:val="00A02C57"/>
    <w:rsid w:val="00A02CD6"/>
    <w:rsid w:val="00A02E75"/>
    <w:rsid w:val="00A0307F"/>
    <w:rsid w:val="00A03132"/>
    <w:rsid w:val="00A03CAA"/>
    <w:rsid w:val="00A03D97"/>
    <w:rsid w:val="00A03FC3"/>
    <w:rsid w:val="00A044CC"/>
    <w:rsid w:val="00A0461F"/>
    <w:rsid w:val="00A04B5E"/>
    <w:rsid w:val="00A05126"/>
    <w:rsid w:val="00A051DC"/>
    <w:rsid w:val="00A05319"/>
    <w:rsid w:val="00A055C1"/>
    <w:rsid w:val="00A05916"/>
    <w:rsid w:val="00A059A4"/>
    <w:rsid w:val="00A06139"/>
    <w:rsid w:val="00A06383"/>
    <w:rsid w:val="00A06637"/>
    <w:rsid w:val="00A06777"/>
    <w:rsid w:val="00A0687D"/>
    <w:rsid w:val="00A06996"/>
    <w:rsid w:val="00A06AAB"/>
    <w:rsid w:val="00A06AC4"/>
    <w:rsid w:val="00A06AEE"/>
    <w:rsid w:val="00A06D72"/>
    <w:rsid w:val="00A070F7"/>
    <w:rsid w:val="00A07321"/>
    <w:rsid w:val="00A0778A"/>
    <w:rsid w:val="00A078FB"/>
    <w:rsid w:val="00A07B94"/>
    <w:rsid w:val="00A07B9D"/>
    <w:rsid w:val="00A0E8F3"/>
    <w:rsid w:val="00A1012C"/>
    <w:rsid w:val="00A10569"/>
    <w:rsid w:val="00A10571"/>
    <w:rsid w:val="00A10606"/>
    <w:rsid w:val="00A1085A"/>
    <w:rsid w:val="00A1099B"/>
    <w:rsid w:val="00A10B39"/>
    <w:rsid w:val="00A10E78"/>
    <w:rsid w:val="00A1111C"/>
    <w:rsid w:val="00A11381"/>
    <w:rsid w:val="00A1139B"/>
    <w:rsid w:val="00A115A8"/>
    <w:rsid w:val="00A11752"/>
    <w:rsid w:val="00A117AA"/>
    <w:rsid w:val="00A1191C"/>
    <w:rsid w:val="00A11B56"/>
    <w:rsid w:val="00A11B67"/>
    <w:rsid w:val="00A1214F"/>
    <w:rsid w:val="00A12172"/>
    <w:rsid w:val="00A12215"/>
    <w:rsid w:val="00A12587"/>
    <w:rsid w:val="00A128E3"/>
    <w:rsid w:val="00A12A0D"/>
    <w:rsid w:val="00A12ED2"/>
    <w:rsid w:val="00A13057"/>
    <w:rsid w:val="00A131A9"/>
    <w:rsid w:val="00A13B48"/>
    <w:rsid w:val="00A13DEF"/>
    <w:rsid w:val="00A14014"/>
    <w:rsid w:val="00A1405F"/>
    <w:rsid w:val="00A14380"/>
    <w:rsid w:val="00A149FC"/>
    <w:rsid w:val="00A14C52"/>
    <w:rsid w:val="00A14FA3"/>
    <w:rsid w:val="00A15018"/>
    <w:rsid w:val="00A155F4"/>
    <w:rsid w:val="00A15721"/>
    <w:rsid w:val="00A157EE"/>
    <w:rsid w:val="00A1590C"/>
    <w:rsid w:val="00A15A06"/>
    <w:rsid w:val="00A15B52"/>
    <w:rsid w:val="00A16066"/>
    <w:rsid w:val="00A165C2"/>
    <w:rsid w:val="00A167C6"/>
    <w:rsid w:val="00A16852"/>
    <w:rsid w:val="00A16E75"/>
    <w:rsid w:val="00A16EFA"/>
    <w:rsid w:val="00A173FE"/>
    <w:rsid w:val="00A176D6"/>
    <w:rsid w:val="00A17821"/>
    <w:rsid w:val="00A17A69"/>
    <w:rsid w:val="00A17AA4"/>
    <w:rsid w:val="00A17FA5"/>
    <w:rsid w:val="00A2006B"/>
    <w:rsid w:val="00A200E1"/>
    <w:rsid w:val="00A2059A"/>
    <w:rsid w:val="00A20643"/>
    <w:rsid w:val="00A208A2"/>
    <w:rsid w:val="00A20BDA"/>
    <w:rsid w:val="00A20CAC"/>
    <w:rsid w:val="00A20EF3"/>
    <w:rsid w:val="00A21BF4"/>
    <w:rsid w:val="00A224A1"/>
    <w:rsid w:val="00A22AB6"/>
    <w:rsid w:val="00A22C6C"/>
    <w:rsid w:val="00A22F97"/>
    <w:rsid w:val="00A22FDB"/>
    <w:rsid w:val="00A231CE"/>
    <w:rsid w:val="00A2361B"/>
    <w:rsid w:val="00A236C7"/>
    <w:rsid w:val="00A23755"/>
    <w:rsid w:val="00A2397B"/>
    <w:rsid w:val="00A23A40"/>
    <w:rsid w:val="00A23EEB"/>
    <w:rsid w:val="00A241D7"/>
    <w:rsid w:val="00A24529"/>
    <w:rsid w:val="00A2464D"/>
    <w:rsid w:val="00A24671"/>
    <w:rsid w:val="00A246C6"/>
    <w:rsid w:val="00A2481D"/>
    <w:rsid w:val="00A24E40"/>
    <w:rsid w:val="00A24E55"/>
    <w:rsid w:val="00A25376"/>
    <w:rsid w:val="00A2556C"/>
    <w:rsid w:val="00A258E1"/>
    <w:rsid w:val="00A25DE5"/>
    <w:rsid w:val="00A2602F"/>
    <w:rsid w:val="00A2631B"/>
    <w:rsid w:val="00A267E5"/>
    <w:rsid w:val="00A2691E"/>
    <w:rsid w:val="00A26C25"/>
    <w:rsid w:val="00A26D2A"/>
    <w:rsid w:val="00A27027"/>
    <w:rsid w:val="00A271F3"/>
    <w:rsid w:val="00A272FC"/>
    <w:rsid w:val="00A2737C"/>
    <w:rsid w:val="00A27575"/>
    <w:rsid w:val="00A275F4"/>
    <w:rsid w:val="00A2773C"/>
    <w:rsid w:val="00A277F6"/>
    <w:rsid w:val="00A27996"/>
    <w:rsid w:val="00A27C7C"/>
    <w:rsid w:val="00A27DC0"/>
    <w:rsid w:val="00A306AE"/>
    <w:rsid w:val="00A306FC"/>
    <w:rsid w:val="00A30B05"/>
    <w:rsid w:val="00A30EE2"/>
    <w:rsid w:val="00A319F9"/>
    <w:rsid w:val="00A31AD4"/>
    <w:rsid w:val="00A31C5D"/>
    <w:rsid w:val="00A31CED"/>
    <w:rsid w:val="00A3215A"/>
    <w:rsid w:val="00A32250"/>
    <w:rsid w:val="00A322DA"/>
    <w:rsid w:val="00A324F7"/>
    <w:rsid w:val="00A3268F"/>
    <w:rsid w:val="00A32A36"/>
    <w:rsid w:val="00A32F5B"/>
    <w:rsid w:val="00A3315E"/>
    <w:rsid w:val="00A332F7"/>
    <w:rsid w:val="00A3339F"/>
    <w:rsid w:val="00A3393B"/>
    <w:rsid w:val="00A34096"/>
    <w:rsid w:val="00A35274"/>
    <w:rsid w:val="00A352F9"/>
    <w:rsid w:val="00A3562F"/>
    <w:rsid w:val="00A35773"/>
    <w:rsid w:val="00A3585E"/>
    <w:rsid w:val="00A358F9"/>
    <w:rsid w:val="00A359A5"/>
    <w:rsid w:val="00A35A44"/>
    <w:rsid w:val="00A35E42"/>
    <w:rsid w:val="00A35EFA"/>
    <w:rsid w:val="00A36201"/>
    <w:rsid w:val="00A363C7"/>
    <w:rsid w:val="00A36402"/>
    <w:rsid w:val="00A3650F"/>
    <w:rsid w:val="00A36535"/>
    <w:rsid w:val="00A366BF"/>
    <w:rsid w:val="00A36AAE"/>
    <w:rsid w:val="00A36B5A"/>
    <w:rsid w:val="00A36D14"/>
    <w:rsid w:val="00A36D99"/>
    <w:rsid w:val="00A37326"/>
    <w:rsid w:val="00A37367"/>
    <w:rsid w:val="00A375E2"/>
    <w:rsid w:val="00A378E1"/>
    <w:rsid w:val="00A37B1C"/>
    <w:rsid w:val="00A37D51"/>
    <w:rsid w:val="00A4049A"/>
    <w:rsid w:val="00A407BD"/>
    <w:rsid w:val="00A40898"/>
    <w:rsid w:val="00A40DFB"/>
    <w:rsid w:val="00A4116B"/>
    <w:rsid w:val="00A413D4"/>
    <w:rsid w:val="00A4156D"/>
    <w:rsid w:val="00A41A0F"/>
    <w:rsid w:val="00A41B58"/>
    <w:rsid w:val="00A41D45"/>
    <w:rsid w:val="00A41E67"/>
    <w:rsid w:val="00A41F14"/>
    <w:rsid w:val="00A41FB3"/>
    <w:rsid w:val="00A421CF"/>
    <w:rsid w:val="00A421FA"/>
    <w:rsid w:val="00A42361"/>
    <w:rsid w:val="00A423A6"/>
    <w:rsid w:val="00A4241A"/>
    <w:rsid w:val="00A4245E"/>
    <w:rsid w:val="00A42484"/>
    <w:rsid w:val="00A42564"/>
    <w:rsid w:val="00A426DF"/>
    <w:rsid w:val="00A42751"/>
    <w:rsid w:val="00A42B2E"/>
    <w:rsid w:val="00A42BCE"/>
    <w:rsid w:val="00A42C8C"/>
    <w:rsid w:val="00A42E6A"/>
    <w:rsid w:val="00A42E9F"/>
    <w:rsid w:val="00A42F4E"/>
    <w:rsid w:val="00A42FE3"/>
    <w:rsid w:val="00A439D0"/>
    <w:rsid w:val="00A43CE4"/>
    <w:rsid w:val="00A44369"/>
    <w:rsid w:val="00A445EE"/>
    <w:rsid w:val="00A44939"/>
    <w:rsid w:val="00A44C71"/>
    <w:rsid w:val="00A44C7F"/>
    <w:rsid w:val="00A44F7C"/>
    <w:rsid w:val="00A44FF4"/>
    <w:rsid w:val="00A451A2"/>
    <w:rsid w:val="00A45368"/>
    <w:rsid w:val="00A456DC"/>
    <w:rsid w:val="00A45850"/>
    <w:rsid w:val="00A4594D"/>
    <w:rsid w:val="00A45CFC"/>
    <w:rsid w:val="00A45D27"/>
    <w:rsid w:val="00A461ED"/>
    <w:rsid w:val="00A46396"/>
    <w:rsid w:val="00A465E3"/>
    <w:rsid w:val="00A466AF"/>
    <w:rsid w:val="00A466F6"/>
    <w:rsid w:val="00A4707A"/>
    <w:rsid w:val="00A472B1"/>
    <w:rsid w:val="00A472D4"/>
    <w:rsid w:val="00A474C4"/>
    <w:rsid w:val="00A47F9F"/>
    <w:rsid w:val="00A502DE"/>
    <w:rsid w:val="00A503D4"/>
    <w:rsid w:val="00A5159E"/>
    <w:rsid w:val="00A5191A"/>
    <w:rsid w:val="00A51BF7"/>
    <w:rsid w:val="00A51C2E"/>
    <w:rsid w:val="00A51C4D"/>
    <w:rsid w:val="00A51E1C"/>
    <w:rsid w:val="00A52011"/>
    <w:rsid w:val="00A5259D"/>
    <w:rsid w:val="00A527A0"/>
    <w:rsid w:val="00A52815"/>
    <w:rsid w:val="00A529EA"/>
    <w:rsid w:val="00A52A87"/>
    <w:rsid w:val="00A52BC6"/>
    <w:rsid w:val="00A52C70"/>
    <w:rsid w:val="00A52E17"/>
    <w:rsid w:val="00A52FC9"/>
    <w:rsid w:val="00A53005"/>
    <w:rsid w:val="00A53177"/>
    <w:rsid w:val="00A5339A"/>
    <w:rsid w:val="00A533F8"/>
    <w:rsid w:val="00A5346E"/>
    <w:rsid w:val="00A53516"/>
    <w:rsid w:val="00A53596"/>
    <w:rsid w:val="00A53E9D"/>
    <w:rsid w:val="00A541AA"/>
    <w:rsid w:val="00A54206"/>
    <w:rsid w:val="00A544FE"/>
    <w:rsid w:val="00A545D4"/>
    <w:rsid w:val="00A54622"/>
    <w:rsid w:val="00A54809"/>
    <w:rsid w:val="00A548B2"/>
    <w:rsid w:val="00A54A23"/>
    <w:rsid w:val="00A54EB8"/>
    <w:rsid w:val="00A5507C"/>
    <w:rsid w:val="00A551C7"/>
    <w:rsid w:val="00A558A1"/>
    <w:rsid w:val="00A55BB5"/>
    <w:rsid w:val="00A55CD4"/>
    <w:rsid w:val="00A56067"/>
    <w:rsid w:val="00A564EA"/>
    <w:rsid w:val="00A56527"/>
    <w:rsid w:val="00A5666F"/>
    <w:rsid w:val="00A5667A"/>
    <w:rsid w:val="00A57423"/>
    <w:rsid w:val="00A575CD"/>
    <w:rsid w:val="00A57793"/>
    <w:rsid w:val="00A578E4"/>
    <w:rsid w:val="00A57BB1"/>
    <w:rsid w:val="00A57E6A"/>
    <w:rsid w:val="00A6047F"/>
    <w:rsid w:val="00A60504"/>
    <w:rsid w:val="00A6075E"/>
    <w:rsid w:val="00A607FD"/>
    <w:rsid w:val="00A60AB1"/>
    <w:rsid w:val="00A60BE6"/>
    <w:rsid w:val="00A610CB"/>
    <w:rsid w:val="00A610CF"/>
    <w:rsid w:val="00A61459"/>
    <w:rsid w:val="00A61512"/>
    <w:rsid w:val="00A6154A"/>
    <w:rsid w:val="00A6176E"/>
    <w:rsid w:val="00A6196F"/>
    <w:rsid w:val="00A61A44"/>
    <w:rsid w:val="00A61BBE"/>
    <w:rsid w:val="00A61D31"/>
    <w:rsid w:val="00A62236"/>
    <w:rsid w:val="00A62254"/>
    <w:rsid w:val="00A625F7"/>
    <w:rsid w:val="00A627BC"/>
    <w:rsid w:val="00A62AC6"/>
    <w:rsid w:val="00A62F07"/>
    <w:rsid w:val="00A62F19"/>
    <w:rsid w:val="00A62F7D"/>
    <w:rsid w:val="00A6312E"/>
    <w:rsid w:val="00A6334C"/>
    <w:rsid w:val="00A63377"/>
    <w:rsid w:val="00A635F3"/>
    <w:rsid w:val="00A63E43"/>
    <w:rsid w:val="00A63ECF"/>
    <w:rsid w:val="00A641C6"/>
    <w:rsid w:val="00A644AF"/>
    <w:rsid w:val="00A64637"/>
    <w:rsid w:val="00A646CB"/>
    <w:rsid w:val="00A649FB"/>
    <w:rsid w:val="00A64B08"/>
    <w:rsid w:val="00A64B80"/>
    <w:rsid w:val="00A64D2B"/>
    <w:rsid w:val="00A65B4E"/>
    <w:rsid w:val="00A65D98"/>
    <w:rsid w:val="00A66060"/>
    <w:rsid w:val="00A6620E"/>
    <w:rsid w:val="00A66331"/>
    <w:rsid w:val="00A66536"/>
    <w:rsid w:val="00A66699"/>
    <w:rsid w:val="00A66BDE"/>
    <w:rsid w:val="00A67366"/>
    <w:rsid w:val="00A674D3"/>
    <w:rsid w:val="00A677AC"/>
    <w:rsid w:val="00A67A7C"/>
    <w:rsid w:val="00A67C1A"/>
    <w:rsid w:val="00A67C2A"/>
    <w:rsid w:val="00A67DD9"/>
    <w:rsid w:val="00A67E3F"/>
    <w:rsid w:val="00A70036"/>
    <w:rsid w:val="00A709A5"/>
    <w:rsid w:val="00A709F8"/>
    <w:rsid w:val="00A70A96"/>
    <w:rsid w:val="00A70D46"/>
    <w:rsid w:val="00A713D0"/>
    <w:rsid w:val="00A71598"/>
    <w:rsid w:val="00A7165E"/>
    <w:rsid w:val="00A71709"/>
    <w:rsid w:val="00A71856"/>
    <w:rsid w:val="00A7191C"/>
    <w:rsid w:val="00A71A1D"/>
    <w:rsid w:val="00A71A68"/>
    <w:rsid w:val="00A72418"/>
    <w:rsid w:val="00A72754"/>
    <w:rsid w:val="00A72CD7"/>
    <w:rsid w:val="00A73113"/>
    <w:rsid w:val="00A732B2"/>
    <w:rsid w:val="00A73311"/>
    <w:rsid w:val="00A73764"/>
    <w:rsid w:val="00A73C4D"/>
    <w:rsid w:val="00A73EA3"/>
    <w:rsid w:val="00A74122"/>
    <w:rsid w:val="00A74323"/>
    <w:rsid w:val="00A744D2"/>
    <w:rsid w:val="00A745C9"/>
    <w:rsid w:val="00A7464E"/>
    <w:rsid w:val="00A7478F"/>
    <w:rsid w:val="00A74931"/>
    <w:rsid w:val="00A74AF3"/>
    <w:rsid w:val="00A74DFA"/>
    <w:rsid w:val="00A74F36"/>
    <w:rsid w:val="00A7512E"/>
    <w:rsid w:val="00A753DD"/>
    <w:rsid w:val="00A75570"/>
    <w:rsid w:val="00A755CF"/>
    <w:rsid w:val="00A755F3"/>
    <w:rsid w:val="00A75925"/>
    <w:rsid w:val="00A75AE4"/>
    <w:rsid w:val="00A75B34"/>
    <w:rsid w:val="00A75D4C"/>
    <w:rsid w:val="00A75DEE"/>
    <w:rsid w:val="00A76214"/>
    <w:rsid w:val="00A765B6"/>
    <w:rsid w:val="00A768E4"/>
    <w:rsid w:val="00A76FEF"/>
    <w:rsid w:val="00A77126"/>
    <w:rsid w:val="00A771E3"/>
    <w:rsid w:val="00A7744B"/>
    <w:rsid w:val="00A777E8"/>
    <w:rsid w:val="00A77841"/>
    <w:rsid w:val="00A77B94"/>
    <w:rsid w:val="00A77CC2"/>
    <w:rsid w:val="00A77D2F"/>
    <w:rsid w:val="00A803A3"/>
    <w:rsid w:val="00A80626"/>
    <w:rsid w:val="00A806EE"/>
    <w:rsid w:val="00A80AA4"/>
    <w:rsid w:val="00A80B9D"/>
    <w:rsid w:val="00A8107D"/>
    <w:rsid w:val="00A8116A"/>
    <w:rsid w:val="00A813CF"/>
    <w:rsid w:val="00A81634"/>
    <w:rsid w:val="00A81778"/>
    <w:rsid w:val="00A81D5D"/>
    <w:rsid w:val="00A81D69"/>
    <w:rsid w:val="00A81FE0"/>
    <w:rsid w:val="00A82291"/>
    <w:rsid w:val="00A8237D"/>
    <w:rsid w:val="00A8246F"/>
    <w:rsid w:val="00A82549"/>
    <w:rsid w:val="00A82C0F"/>
    <w:rsid w:val="00A82C44"/>
    <w:rsid w:val="00A8307B"/>
    <w:rsid w:val="00A83223"/>
    <w:rsid w:val="00A8325A"/>
    <w:rsid w:val="00A832D4"/>
    <w:rsid w:val="00A8362F"/>
    <w:rsid w:val="00A8364D"/>
    <w:rsid w:val="00A836BC"/>
    <w:rsid w:val="00A83775"/>
    <w:rsid w:val="00A83AD0"/>
    <w:rsid w:val="00A83C00"/>
    <w:rsid w:val="00A83F68"/>
    <w:rsid w:val="00A8404E"/>
    <w:rsid w:val="00A84173"/>
    <w:rsid w:val="00A84241"/>
    <w:rsid w:val="00A8428D"/>
    <w:rsid w:val="00A842BC"/>
    <w:rsid w:val="00A8444B"/>
    <w:rsid w:val="00A8463B"/>
    <w:rsid w:val="00A84770"/>
    <w:rsid w:val="00A848A8"/>
    <w:rsid w:val="00A84DF7"/>
    <w:rsid w:val="00A85002"/>
    <w:rsid w:val="00A85280"/>
    <w:rsid w:val="00A85319"/>
    <w:rsid w:val="00A85471"/>
    <w:rsid w:val="00A85B30"/>
    <w:rsid w:val="00A8615F"/>
    <w:rsid w:val="00A86186"/>
    <w:rsid w:val="00A8618B"/>
    <w:rsid w:val="00A86938"/>
    <w:rsid w:val="00A86FA2"/>
    <w:rsid w:val="00A87299"/>
    <w:rsid w:val="00A874E9"/>
    <w:rsid w:val="00A876A3"/>
    <w:rsid w:val="00A87890"/>
    <w:rsid w:val="00A9013C"/>
    <w:rsid w:val="00A903F3"/>
    <w:rsid w:val="00A904BE"/>
    <w:rsid w:val="00A90980"/>
    <w:rsid w:val="00A90987"/>
    <w:rsid w:val="00A90AEF"/>
    <w:rsid w:val="00A90B59"/>
    <w:rsid w:val="00A90E1F"/>
    <w:rsid w:val="00A9118C"/>
    <w:rsid w:val="00A913D5"/>
    <w:rsid w:val="00A91682"/>
    <w:rsid w:val="00A91B0F"/>
    <w:rsid w:val="00A91EB6"/>
    <w:rsid w:val="00A92110"/>
    <w:rsid w:val="00A92268"/>
    <w:rsid w:val="00A922AD"/>
    <w:rsid w:val="00A92323"/>
    <w:rsid w:val="00A929C8"/>
    <w:rsid w:val="00A92BE4"/>
    <w:rsid w:val="00A92C55"/>
    <w:rsid w:val="00A92C5E"/>
    <w:rsid w:val="00A92CE9"/>
    <w:rsid w:val="00A92D51"/>
    <w:rsid w:val="00A93146"/>
    <w:rsid w:val="00A93804"/>
    <w:rsid w:val="00A93C71"/>
    <w:rsid w:val="00A93CD0"/>
    <w:rsid w:val="00A94487"/>
    <w:rsid w:val="00A94553"/>
    <w:rsid w:val="00A945EC"/>
    <w:rsid w:val="00A94C7E"/>
    <w:rsid w:val="00A94CD5"/>
    <w:rsid w:val="00A9546A"/>
    <w:rsid w:val="00A954AE"/>
    <w:rsid w:val="00A95644"/>
    <w:rsid w:val="00A95730"/>
    <w:rsid w:val="00A958A7"/>
    <w:rsid w:val="00A958C4"/>
    <w:rsid w:val="00A958E1"/>
    <w:rsid w:val="00A958F4"/>
    <w:rsid w:val="00A95F6E"/>
    <w:rsid w:val="00A96462"/>
    <w:rsid w:val="00A9661D"/>
    <w:rsid w:val="00A96767"/>
    <w:rsid w:val="00A968DD"/>
    <w:rsid w:val="00A969B8"/>
    <w:rsid w:val="00A96B76"/>
    <w:rsid w:val="00A96F3E"/>
    <w:rsid w:val="00A9716F"/>
    <w:rsid w:val="00A97294"/>
    <w:rsid w:val="00A973DD"/>
    <w:rsid w:val="00A97479"/>
    <w:rsid w:val="00A9747E"/>
    <w:rsid w:val="00A9778F"/>
    <w:rsid w:val="00A97916"/>
    <w:rsid w:val="00A97967"/>
    <w:rsid w:val="00A97A02"/>
    <w:rsid w:val="00A97CA1"/>
    <w:rsid w:val="00A97E2C"/>
    <w:rsid w:val="00A97E62"/>
    <w:rsid w:val="00A97E6B"/>
    <w:rsid w:val="00A97FBC"/>
    <w:rsid w:val="00AA027B"/>
    <w:rsid w:val="00AA02E6"/>
    <w:rsid w:val="00AA055E"/>
    <w:rsid w:val="00AA122D"/>
    <w:rsid w:val="00AA13D8"/>
    <w:rsid w:val="00AA1409"/>
    <w:rsid w:val="00AA156D"/>
    <w:rsid w:val="00AA1AFF"/>
    <w:rsid w:val="00AA1B36"/>
    <w:rsid w:val="00AA262D"/>
    <w:rsid w:val="00AA274F"/>
    <w:rsid w:val="00AA2B50"/>
    <w:rsid w:val="00AA2C8E"/>
    <w:rsid w:val="00AA3011"/>
    <w:rsid w:val="00AA30E7"/>
    <w:rsid w:val="00AA36D0"/>
    <w:rsid w:val="00AA38E5"/>
    <w:rsid w:val="00AA3D83"/>
    <w:rsid w:val="00AA3DF0"/>
    <w:rsid w:val="00AA44D7"/>
    <w:rsid w:val="00AA46AE"/>
    <w:rsid w:val="00AA46CA"/>
    <w:rsid w:val="00AA4831"/>
    <w:rsid w:val="00AA49FC"/>
    <w:rsid w:val="00AA4D30"/>
    <w:rsid w:val="00AA4E39"/>
    <w:rsid w:val="00AA4F3F"/>
    <w:rsid w:val="00AA4F46"/>
    <w:rsid w:val="00AA4FF0"/>
    <w:rsid w:val="00AA5004"/>
    <w:rsid w:val="00AA50BB"/>
    <w:rsid w:val="00AA5157"/>
    <w:rsid w:val="00AA54B4"/>
    <w:rsid w:val="00AA5597"/>
    <w:rsid w:val="00AA58C8"/>
    <w:rsid w:val="00AA6522"/>
    <w:rsid w:val="00AA67CC"/>
    <w:rsid w:val="00AA693D"/>
    <w:rsid w:val="00AA6BE3"/>
    <w:rsid w:val="00AA6BFE"/>
    <w:rsid w:val="00AA732A"/>
    <w:rsid w:val="00AA7743"/>
    <w:rsid w:val="00AA78EE"/>
    <w:rsid w:val="00AA7DA5"/>
    <w:rsid w:val="00AA815B"/>
    <w:rsid w:val="00AB0020"/>
    <w:rsid w:val="00AB00EB"/>
    <w:rsid w:val="00AB0168"/>
    <w:rsid w:val="00AB021A"/>
    <w:rsid w:val="00AB0412"/>
    <w:rsid w:val="00AB042A"/>
    <w:rsid w:val="00AB05EF"/>
    <w:rsid w:val="00AB0612"/>
    <w:rsid w:val="00AB06A3"/>
    <w:rsid w:val="00AB09EC"/>
    <w:rsid w:val="00AB0BE9"/>
    <w:rsid w:val="00AB0C88"/>
    <w:rsid w:val="00AB0EC2"/>
    <w:rsid w:val="00AB10DA"/>
    <w:rsid w:val="00AB111D"/>
    <w:rsid w:val="00AB1188"/>
    <w:rsid w:val="00AB14DB"/>
    <w:rsid w:val="00AB1548"/>
    <w:rsid w:val="00AB1A05"/>
    <w:rsid w:val="00AB1C67"/>
    <w:rsid w:val="00AB1D4A"/>
    <w:rsid w:val="00AB1D65"/>
    <w:rsid w:val="00AB1EBB"/>
    <w:rsid w:val="00AB22B6"/>
    <w:rsid w:val="00AB25F3"/>
    <w:rsid w:val="00AB2618"/>
    <w:rsid w:val="00AB2C6B"/>
    <w:rsid w:val="00AB2E25"/>
    <w:rsid w:val="00AB317A"/>
    <w:rsid w:val="00AB3201"/>
    <w:rsid w:val="00AB32C9"/>
    <w:rsid w:val="00AB3554"/>
    <w:rsid w:val="00AB362E"/>
    <w:rsid w:val="00AB37D8"/>
    <w:rsid w:val="00AB3B56"/>
    <w:rsid w:val="00AB3E24"/>
    <w:rsid w:val="00AB3F86"/>
    <w:rsid w:val="00AB4039"/>
    <w:rsid w:val="00AB4412"/>
    <w:rsid w:val="00AB499D"/>
    <w:rsid w:val="00AB4F2C"/>
    <w:rsid w:val="00AB5045"/>
    <w:rsid w:val="00AB512F"/>
    <w:rsid w:val="00AB551B"/>
    <w:rsid w:val="00AB5573"/>
    <w:rsid w:val="00AB5988"/>
    <w:rsid w:val="00AB5D88"/>
    <w:rsid w:val="00AB5FFA"/>
    <w:rsid w:val="00AB6014"/>
    <w:rsid w:val="00AB621A"/>
    <w:rsid w:val="00AB62BC"/>
    <w:rsid w:val="00AB65D5"/>
    <w:rsid w:val="00AB6D89"/>
    <w:rsid w:val="00AB6E72"/>
    <w:rsid w:val="00AB6F72"/>
    <w:rsid w:val="00AB7197"/>
    <w:rsid w:val="00AB735F"/>
    <w:rsid w:val="00AC032E"/>
    <w:rsid w:val="00AC03B8"/>
    <w:rsid w:val="00AC04E6"/>
    <w:rsid w:val="00AC0732"/>
    <w:rsid w:val="00AC0BC6"/>
    <w:rsid w:val="00AC0C37"/>
    <w:rsid w:val="00AC0C4C"/>
    <w:rsid w:val="00AC124B"/>
    <w:rsid w:val="00AC172D"/>
    <w:rsid w:val="00AC1BAB"/>
    <w:rsid w:val="00AC1F7B"/>
    <w:rsid w:val="00AC1FDA"/>
    <w:rsid w:val="00AC2182"/>
    <w:rsid w:val="00AC222D"/>
    <w:rsid w:val="00AC2234"/>
    <w:rsid w:val="00AC2629"/>
    <w:rsid w:val="00AC29BE"/>
    <w:rsid w:val="00AC2C53"/>
    <w:rsid w:val="00AC30DA"/>
    <w:rsid w:val="00AC37A2"/>
    <w:rsid w:val="00AC3C19"/>
    <w:rsid w:val="00AC3F18"/>
    <w:rsid w:val="00AC43C3"/>
    <w:rsid w:val="00AC4420"/>
    <w:rsid w:val="00AC44D3"/>
    <w:rsid w:val="00AC45D4"/>
    <w:rsid w:val="00AC45DE"/>
    <w:rsid w:val="00AC468D"/>
    <w:rsid w:val="00AC4708"/>
    <w:rsid w:val="00AC4981"/>
    <w:rsid w:val="00AC4B03"/>
    <w:rsid w:val="00AC4B26"/>
    <w:rsid w:val="00AC5066"/>
    <w:rsid w:val="00AC5109"/>
    <w:rsid w:val="00AC56BB"/>
    <w:rsid w:val="00AC59A1"/>
    <w:rsid w:val="00AC5C74"/>
    <w:rsid w:val="00AC5DD1"/>
    <w:rsid w:val="00AC5EE5"/>
    <w:rsid w:val="00AC5FA6"/>
    <w:rsid w:val="00AC6391"/>
    <w:rsid w:val="00AC63D1"/>
    <w:rsid w:val="00AC6610"/>
    <w:rsid w:val="00AC6829"/>
    <w:rsid w:val="00AC6C37"/>
    <w:rsid w:val="00AC72A4"/>
    <w:rsid w:val="00AC72F0"/>
    <w:rsid w:val="00AC7762"/>
    <w:rsid w:val="00AC787A"/>
    <w:rsid w:val="00AD091D"/>
    <w:rsid w:val="00AD0D72"/>
    <w:rsid w:val="00AD14C6"/>
    <w:rsid w:val="00AD1973"/>
    <w:rsid w:val="00AD1AE2"/>
    <w:rsid w:val="00AD1B2D"/>
    <w:rsid w:val="00AD1C5B"/>
    <w:rsid w:val="00AD211E"/>
    <w:rsid w:val="00AD220E"/>
    <w:rsid w:val="00AD22A2"/>
    <w:rsid w:val="00AD26F2"/>
    <w:rsid w:val="00AD280C"/>
    <w:rsid w:val="00AD280F"/>
    <w:rsid w:val="00AD281B"/>
    <w:rsid w:val="00AD2896"/>
    <w:rsid w:val="00AD2EA1"/>
    <w:rsid w:val="00AD3253"/>
    <w:rsid w:val="00AD3346"/>
    <w:rsid w:val="00AD3348"/>
    <w:rsid w:val="00AD37E2"/>
    <w:rsid w:val="00AD37F9"/>
    <w:rsid w:val="00AD3A00"/>
    <w:rsid w:val="00AD3A82"/>
    <w:rsid w:val="00AD3BEC"/>
    <w:rsid w:val="00AD3C8C"/>
    <w:rsid w:val="00AD3CB8"/>
    <w:rsid w:val="00AD44A2"/>
    <w:rsid w:val="00AD4A0F"/>
    <w:rsid w:val="00AD4A58"/>
    <w:rsid w:val="00AD4BE6"/>
    <w:rsid w:val="00AD4D41"/>
    <w:rsid w:val="00AD4D50"/>
    <w:rsid w:val="00AD504C"/>
    <w:rsid w:val="00AD5315"/>
    <w:rsid w:val="00AD5466"/>
    <w:rsid w:val="00AD54E6"/>
    <w:rsid w:val="00AD5AB9"/>
    <w:rsid w:val="00AD5C0E"/>
    <w:rsid w:val="00AD6273"/>
    <w:rsid w:val="00AD6526"/>
    <w:rsid w:val="00AD65E1"/>
    <w:rsid w:val="00AD66CA"/>
    <w:rsid w:val="00AD6734"/>
    <w:rsid w:val="00AD67BE"/>
    <w:rsid w:val="00AD683E"/>
    <w:rsid w:val="00AD6A56"/>
    <w:rsid w:val="00AD706A"/>
    <w:rsid w:val="00AD7120"/>
    <w:rsid w:val="00AD7278"/>
    <w:rsid w:val="00AD7309"/>
    <w:rsid w:val="00AD76CB"/>
    <w:rsid w:val="00AD7D34"/>
    <w:rsid w:val="00AD7DD5"/>
    <w:rsid w:val="00AE0016"/>
    <w:rsid w:val="00AE01D3"/>
    <w:rsid w:val="00AE02DA"/>
    <w:rsid w:val="00AE03C3"/>
    <w:rsid w:val="00AE048F"/>
    <w:rsid w:val="00AE06CA"/>
    <w:rsid w:val="00AE0959"/>
    <w:rsid w:val="00AE0AB3"/>
    <w:rsid w:val="00AE0D5B"/>
    <w:rsid w:val="00AE0FFA"/>
    <w:rsid w:val="00AE1240"/>
    <w:rsid w:val="00AE135E"/>
    <w:rsid w:val="00AE1435"/>
    <w:rsid w:val="00AE14AC"/>
    <w:rsid w:val="00AE15CA"/>
    <w:rsid w:val="00AE16D2"/>
    <w:rsid w:val="00AE1CBE"/>
    <w:rsid w:val="00AE1DF1"/>
    <w:rsid w:val="00AE2122"/>
    <w:rsid w:val="00AE2161"/>
    <w:rsid w:val="00AE22FE"/>
    <w:rsid w:val="00AE261F"/>
    <w:rsid w:val="00AE26A7"/>
    <w:rsid w:val="00AE29FA"/>
    <w:rsid w:val="00AE2CC2"/>
    <w:rsid w:val="00AE2E5B"/>
    <w:rsid w:val="00AE2FE6"/>
    <w:rsid w:val="00AE3469"/>
    <w:rsid w:val="00AE3556"/>
    <w:rsid w:val="00AE3689"/>
    <w:rsid w:val="00AE37EB"/>
    <w:rsid w:val="00AE3EB6"/>
    <w:rsid w:val="00AE3F08"/>
    <w:rsid w:val="00AE3FE4"/>
    <w:rsid w:val="00AE409D"/>
    <w:rsid w:val="00AE40DA"/>
    <w:rsid w:val="00AE421B"/>
    <w:rsid w:val="00AE4296"/>
    <w:rsid w:val="00AE4742"/>
    <w:rsid w:val="00AE4838"/>
    <w:rsid w:val="00AE5083"/>
    <w:rsid w:val="00AE5097"/>
    <w:rsid w:val="00AE5B97"/>
    <w:rsid w:val="00AE5C77"/>
    <w:rsid w:val="00AE5EAB"/>
    <w:rsid w:val="00AE62B0"/>
    <w:rsid w:val="00AE63ED"/>
    <w:rsid w:val="00AE66F8"/>
    <w:rsid w:val="00AE6758"/>
    <w:rsid w:val="00AE67EC"/>
    <w:rsid w:val="00AE68FC"/>
    <w:rsid w:val="00AE743D"/>
    <w:rsid w:val="00AE75D2"/>
    <w:rsid w:val="00AE7879"/>
    <w:rsid w:val="00AE7ADF"/>
    <w:rsid w:val="00AE7C56"/>
    <w:rsid w:val="00AF01F0"/>
    <w:rsid w:val="00AF0286"/>
    <w:rsid w:val="00AF02EF"/>
    <w:rsid w:val="00AF0403"/>
    <w:rsid w:val="00AF0615"/>
    <w:rsid w:val="00AF08C1"/>
    <w:rsid w:val="00AF1284"/>
    <w:rsid w:val="00AF128D"/>
    <w:rsid w:val="00AF14BF"/>
    <w:rsid w:val="00AF152C"/>
    <w:rsid w:val="00AF1613"/>
    <w:rsid w:val="00AF1679"/>
    <w:rsid w:val="00AF16E0"/>
    <w:rsid w:val="00AF18AA"/>
    <w:rsid w:val="00AF1E87"/>
    <w:rsid w:val="00AF1F73"/>
    <w:rsid w:val="00AF1F79"/>
    <w:rsid w:val="00AF2049"/>
    <w:rsid w:val="00AF278F"/>
    <w:rsid w:val="00AF29B2"/>
    <w:rsid w:val="00AF2A2A"/>
    <w:rsid w:val="00AF3475"/>
    <w:rsid w:val="00AF3A7D"/>
    <w:rsid w:val="00AF3B4B"/>
    <w:rsid w:val="00AF3B81"/>
    <w:rsid w:val="00AF3D06"/>
    <w:rsid w:val="00AF40F8"/>
    <w:rsid w:val="00AF41DF"/>
    <w:rsid w:val="00AF4AEA"/>
    <w:rsid w:val="00AF4B59"/>
    <w:rsid w:val="00AF4C3D"/>
    <w:rsid w:val="00AF4D26"/>
    <w:rsid w:val="00AF4DB1"/>
    <w:rsid w:val="00AF5155"/>
    <w:rsid w:val="00AF58B5"/>
    <w:rsid w:val="00AF5BD6"/>
    <w:rsid w:val="00AF5DC3"/>
    <w:rsid w:val="00AF5EE0"/>
    <w:rsid w:val="00AF6118"/>
    <w:rsid w:val="00AF6348"/>
    <w:rsid w:val="00AF64B5"/>
    <w:rsid w:val="00AF65FE"/>
    <w:rsid w:val="00AF677C"/>
    <w:rsid w:val="00AF67C7"/>
    <w:rsid w:val="00AF7002"/>
    <w:rsid w:val="00AF71CF"/>
    <w:rsid w:val="00AF7524"/>
    <w:rsid w:val="00AF760B"/>
    <w:rsid w:val="00AF78DB"/>
    <w:rsid w:val="00AF78E4"/>
    <w:rsid w:val="00AF78FC"/>
    <w:rsid w:val="00B00008"/>
    <w:rsid w:val="00B0039D"/>
    <w:rsid w:val="00B004E7"/>
    <w:rsid w:val="00B005BE"/>
    <w:rsid w:val="00B006CC"/>
    <w:rsid w:val="00B0074A"/>
    <w:rsid w:val="00B008E6"/>
    <w:rsid w:val="00B00AB9"/>
    <w:rsid w:val="00B00D2E"/>
    <w:rsid w:val="00B00D5D"/>
    <w:rsid w:val="00B00DAB"/>
    <w:rsid w:val="00B00DF2"/>
    <w:rsid w:val="00B011AC"/>
    <w:rsid w:val="00B011C7"/>
    <w:rsid w:val="00B011F7"/>
    <w:rsid w:val="00B0138C"/>
    <w:rsid w:val="00B017D0"/>
    <w:rsid w:val="00B018E5"/>
    <w:rsid w:val="00B019EB"/>
    <w:rsid w:val="00B01BAC"/>
    <w:rsid w:val="00B01BB3"/>
    <w:rsid w:val="00B021CB"/>
    <w:rsid w:val="00B024D9"/>
    <w:rsid w:val="00B0283F"/>
    <w:rsid w:val="00B031E7"/>
    <w:rsid w:val="00B03213"/>
    <w:rsid w:val="00B032B9"/>
    <w:rsid w:val="00B03890"/>
    <w:rsid w:val="00B03C37"/>
    <w:rsid w:val="00B04041"/>
    <w:rsid w:val="00B0459E"/>
    <w:rsid w:val="00B04712"/>
    <w:rsid w:val="00B04940"/>
    <w:rsid w:val="00B04D79"/>
    <w:rsid w:val="00B05BA1"/>
    <w:rsid w:val="00B05CB2"/>
    <w:rsid w:val="00B05D34"/>
    <w:rsid w:val="00B05EE0"/>
    <w:rsid w:val="00B06284"/>
    <w:rsid w:val="00B06427"/>
    <w:rsid w:val="00B069AA"/>
    <w:rsid w:val="00B06C68"/>
    <w:rsid w:val="00B06D86"/>
    <w:rsid w:val="00B06E75"/>
    <w:rsid w:val="00B06E78"/>
    <w:rsid w:val="00B06F9E"/>
    <w:rsid w:val="00B070E7"/>
    <w:rsid w:val="00B07340"/>
    <w:rsid w:val="00B076CB"/>
    <w:rsid w:val="00B078C7"/>
    <w:rsid w:val="00B07943"/>
    <w:rsid w:val="00B07A87"/>
    <w:rsid w:val="00B07C95"/>
    <w:rsid w:val="00B102A0"/>
    <w:rsid w:val="00B10304"/>
    <w:rsid w:val="00B107B9"/>
    <w:rsid w:val="00B108CE"/>
    <w:rsid w:val="00B10D68"/>
    <w:rsid w:val="00B10E97"/>
    <w:rsid w:val="00B1150C"/>
    <w:rsid w:val="00B1155F"/>
    <w:rsid w:val="00B11676"/>
    <w:rsid w:val="00B11AC6"/>
    <w:rsid w:val="00B124FD"/>
    <w:rsid w:val="00B12C71"/>
    <w:rsid w:val="00B12D98"/>
    <w:rsid w:val="00B12F4E"/>
    <w:rsid w:val="00B13208"/>
    <w:rsid w:val="00B13249"/>
    <w:rsid w:val="00B133A6"/>
    <w:rsid w:val="00B13546"/>
    <w:rsid w:val="00B135A5"/>
    <w:rsid w:val="00B13804"/>
    <w:rsid w:val="00B138CD"/>
    <w:rsid w:val="00B14360"/>
    <w:rsid w:val="00B14629"/>
    <w:rsid w:val="00B146F3"/>
    <w:rsid w:val="00B14906"/>
    <w:rsid w:val="00B14AC0"/>
    <w:rsid w:val="00B14ADF"/>
    <w:rsid w:val="00B14D7C"/>
    <w:rsid w:val="00B14D7F"/>
    <w:rsid w:val="00B14DCF"/>
    <w:rsid w:val="00B14DDB"/>
    <w:rsid w:val="00B14E92"/>
    <w:rsid w:val="00B14FE5"/>
    <w:rsid w:val="00B1563E"/>
    <w:rsid w:val="00B15C4A"/>
    <w:rsid w:val="00B162EE"/>
    <w:rsid w:val="00B16735"/>
    <w:rsid w:val="00B168E0"/>
    <w:rsid w:val="00B16E84"/>
    <w:rsid w:val="00B16F9F"/>
    <w:rsid w:val="00B175A2"/>
    <w:rsid w:val="00B175CD"/>
    <w:rsid w:val="00B17695"/>
    <w:rsid w:val="00B17B00"/>
    <w:rsid w:val="00B17CCC"/>
    <w:rsid w:val="00B17F54"/>
    <w:rsid w:val="00B20694"/>
    <w:rsid w:val="00B206DC"/>
    <w:rsid w:val="00B20F05"/>
    <w:rsid w:val="00B20FD8"/>
    <w:rsid w:val="00B20FE7"/>
    <w:rsid w:val="00B21152"/>
    <w:rsid w:val="00B21391"/>
    <w:rsid w:val="00B213B1"/>
    <w:rsid w:val="00B2156A"/>
    <w:rsid w:val="00B21BA0"/>
    <w:rsid w:val="00B221DE"/>
    <w:rsid w:val="00B221EA"/>
    <w:rsid w:val="00B22311"/>
    <w:rsid w:val="00B228E5"/>
    <w:rsid w:val="00B228EA"/>
    <w:rsid w:val="00B22937"/>
    <w:rsid w:val="00B22955"/>
    <w:rsid w:val="00B22E73"/>
    <w:rsid w:val="00B230FF"/>
    <w:rsid w:val="00B23237"/>
    <w:rsid w:val="00B23329"/>
    <w:rsid w:val="00B2359D"/>
    <w:rsid w:val="00B23600"/>
    <w:rsid w:val="00B23621"/>
    <w:rsid w:val="00B23932"/>
    <w:rsid w:val="00B23B6A"/>
    <w:rsid w:val="00B23CEB"/>
    <w:rsid w:val="00B23DA4"/>
    <w:rsid w:val="00B23E17"/>
    <w:rsid w:val="00B23F05"/>
    <w:rsid w:val="00B23F6D"/>
    <w:rsid w:val="00B2413C"/>
    <w:rsid w:val="00B24354"/>
    <w:rsid w:val="00B25025"/>
    <w:rsid w:val="00B254E6"/>
    <w:rsid w:val="00B2566F"/>
    <w:rsid w:val="00B258F5"/>
    <w:rsid w:val="00B262D1"/>
    <w:rsid w:val="00B26403"/>
    <w:rsid w:val="00B26467"/>
    <w:rsid w:val="00B26605"/>
    <w:rsid w:val="00B268BA"/>
    <w:rsid w:val="00B26D33"/>
    <w:rsid w:val="00B26FB1"/>
    <w:rsid w:val="00B272DD"/>
    <w:rsid w:val="00B276A0"/>
    <w:rsid w:val="00B27736"/>
    <w:rsid w:val="00B27EFA"/>
    <w:rsid w:val="00B30003"/>
    <w:rsid w:val="00B30272"/>
    <w:rsid w:val="00B302E6"/>
    <w:rsid w:val="00B30346"/>
    <w:rsid w:val="00B305A8"/>
    <w:rsid w:val="00B307BE"/>
    <w:rsid w:val="00B307D0"/>
    <w:rsid w:val="00B30ABA"/>
    <w:rsid w:val="00B31601"/>
    <w:rsid w:val="00B31765"/>
    <w:rsid w:val="00B319BB"/>
    <w:rsid w:val="00B320CC"/>
    <w:rsid w:val="00B324B7"/>
    <w:rsid w:val="00B3255E"/>
    <w:rsid w:val="00B325F2"/>
    <w:rsid w:val="00B3260D"/>
    <w:rsid w:val="00B327E9"/>
    <w:rsid w:val="00B32EF9"/>
    <w:rsid w:val="00B3317E"/>
    <w:rsid w:val="00B331C1"/>
    <w:rsid w:val="00B33345"/>
    <w:rsid w:val="00B338AD"/>
    <w:rsid w:val="00B338E9"/>
    <w:rsid w:val="00B33D08"/>
    <w:rsid w:val="00B3403F"/>
    <w:rsid w:val="00B343DB"/>
    <w:rsid w:val="00B34731"/>
    <w:rsid w:val="00B349EC"/>
    <w:rsid w:val="00B34C83"/>
    <w:rsid w:val="00B35000"/>
    <w:rsid w:val="00B350B2"/>
    <w:rsid w:val="00B351B2"/>
    <w:rsid w:val="00B3525C"/>
    <w:rsid w:val="00B352C3"/>
    <w:rsid w:val="00B353DD"/>
    <w:rsid w:val="00B35445"/>
    <w:rsid w:val="00B3583D"/>
    <w:rsid w:val="00B35910"/>
    <w:rsid w:val="00B35A62"/>
    <w:rsid w:val="00B35DFA"/>
    <w:rsid w:val="00B360DF"/>
    <w:rsid w:val="00B36129"/>
    <w:rsid w:val="00B361B3"/>
    <w:rsid w:val="00B365F3"/>
    <w:rsid w:val="00B3679D"/>
    <w:rsid w:val="00B36853"/>
    <w:rsid w:val="00B36B1D"/>
    <w:rsid w:val="00B36BDD"/>
    <w:rsid w:val="00B37015"/>
    <w:rsid w:val="00B371DE"/>
    <w:rsid w:val="00B375B0"/>
    <w:rsid w:val="00B37801"/>
    <w:rsid w:val="00B37A23"/>
    <w:rsid w:val="00B37B76"/>
    <w:rsid w:val="00B406E7"/>
    <w:rsid w:val="00B4073B"/>
    <w:rsid w:val="00B40741"/>
    <w:rsid w:val="00B40A84"/>
    <w:rsid w:val="00B40AB8"/>
    <w:rsid w:val="00B40D33"/>
    <w:rsid w:val="00B411FC"/>
    <w:rsid w:val="00B41298"/>
    <w:rsid w:val="00B4161D"/>
    <w:rsid w:val="00B417F6"/>
    <w:rsid w:val="00B41833"/>
    <w:rsid w:val="00B41B52"/>
    <w:rsid w:val="00B41F59"/>
    <w:rsid w:val="00B42043"/>
    <w:rsid w:val="00B42188"/>
    <w:rsid w:val="00B42300"/>
    <w:rsid w:val="00B42539"/>
    <w:rsid w:val="00B4255A"/>
    <w:rsid w:val="00B42647"/>
    <w:rsid w:val="00B429CE"/>
    <w:rsid w:val="00B42ADC"/>
    <w:rsid w:val="00B42BB8"/>
    <w:rsid w:val="00B42BDE"/>
    <w:rsid w:val="00B42C42"/>
    <w:rsid w:val="00B4321A"/>
    <w:rsid w:val="00B4347E"/>
    <w:rsid w:val="00B43480"/>
    <w:rsid w:val="00B43521"/>
    <w:rsid w:val="00B43A26"/>
    <w:rsid w:val="00B43ADC"/>
    <w:rsid w:val="00B43C70"/>
    <w:rsid w:val="00B440E4"/>
    <w:rsid w:val="00B44170"/>
    <w:rsid w:val="00B448C9"/>
    <w:rsid w:val="00B449F1"/>
    <w:rsid w:val="00B449FE"/>
    <w:rsid w:val="00B44A29"/>
    <w:rsid w:val="00B44A90"/>
    <w:rsid w:val="00B44C8C"/>
    <w:rsid w:val="00B44CCA"/>
    <w:rsid w:val="00B450B6"/>
    <w:rsid w:val="00B452D3"/>
    <w:rsid w:val="00B4587E"/>
    <w:rsid w:val="00B459E1"/>
    <w:rsid w:val="00B45C0C"/>
    <w:rsid w:val="00B45EDC"/>
    <w:rsid w:val="00B4607F"/>
    <w:rsid w:val="00B464B5"/>
    <w:rsid w:val="00B4656A"/>
    <w:rsid w:val="00B466C1"/>
    <w:rsid w:val="00B466F8"/>
    <w:rsid w:val="00B4691C"/>
    <w:rsid w:val="00B46D14"/>
    <w:rsid w:val="00B46FD3"/>
    <w:rsid w:val="00B47037"/>
    <w:rsid w:val="00B4711C"/>
    <w:rsid w:val="00B472DE"/>
    <w:rsid w:val="00B47634"/>
    <w:rsid w:val="00B47653"/>
    <w:rsid w:val="00B47871"/>
    <w:rsid w:val="00B50085"/>
    <w:rsid w:val="00B501EB"/>
    <w:rsid w:val="00B5046E"/>
    <w:rsid w:val="00B505AD"/>
    <w:rsid w:val="00B50802"/>
    <w:rsid w:val="00B50849"/>
    <w:rsid w:val="00B508D4"/>
    <w:rsid w:val="00B50935"/>
    <w:rsid w:val="00B50A5A"/>
    <w:rsid w:val="00B50A78"/>
    <w:rsid w:val="00B50EDD"/>
    <w:rsid w:val="00B510F8"/>
    <w:rsid w:val="00B512C5"/>
    <w:rsid w:val="00B51356"/>
    <w:rsid w:val="00B5144E"/>
    <w:rsid w:val="00B514C1"/>
    <w:rsid w:val="00B51659"/>
    <w:rsid w:val="00B51C4C"/>
    <w:rsid w:val="00B51F8D"/>
    <w:rsid w:val="00B51F99"/>
    <w:rsid w:val="00B52246"/>
    <w:rsid w:val="00B524ED"/>
    <w:rsid w:val="00B52683"/>
    <w:rsid w:val="00B52A49"/>
    <w:rsid w:val="00B52AE4"/>
    <w:rsid w:val="00B532F8"/>
    <w:rsid w:val="00B533EE"/>
    <w:rsid w:val="00B53527"/>
    <w:rsid w:val="00B53560"/>
    <w:rsid w:val="00B53890"/>
    <w:rsid w:val="00B53FE8"/>
    <w:rsid w:val="00B5445C"/>
    <w:rsid w:val="00B5477F"/>
    <w:rsid w:val="00B54D16"/>
    <w:rsid w:val="00B553D2"/>
    <w:rsid w:val="00B55516"/>
    <w:rsid w:val="00B55649"/>
    <w:rsid w:val="00B55EC8"/>
    <w:rsid w:val="00B56366"/>
    <w:rsid w:val="00B56987"/>
    <w:rsid w:val="00B56B6E"/>
    <w:rsid w:val="00B57779"/>
    <w:rsid w:val="00B57AA0"/>
    <w:rsid w:val="00B60042"/>
    <w:rsid w:val="00B608EC"/>
    <w:rsid w:val="00B60957"/>
    <w:rsid w:val="00B60C6C"/>
    <w:rsid w:val="00B60D2A"/>
    <w:rsid w:val="00B60E30"/>
    <w:rsid w:val="00B60E7C"/>
    <w:rsid w:val="00B61294"/>
    <w:rsid w:val="00B61459"/>
    <w:rsid w:val="00B6186E"/>
    <w:rsid w:val="00B619E1"/>
    <w:rsid w:val="00B61D0B"/>
    <w:rsid w:val="00B620C0"/>
    <w:rsid w:val="00B6211A"/>
    <w:rsid w:val="00B6229F"/>
    <w:rsid w:val="00B622F8"/>
    <w:rsid w:val="00B625A8"/>
    <w:rsid w:val="00B626E7"/>
    <w:rsid w:val="00B628F2"/>
    <w:rsid w:val="00B62A2A"/>
    <w:rsid w:val="00B62B5C"/>
    <w:rsid w:val="00B62C61"/>
    <w:rsid w:val="00B62CC3"/>
    <w:rsid w:val="00B63051"/>
    <w:rsid w:val="00B63B43"/>
    <w:rsid w:val="00B63D04"/>
    <w:rsid w:val="00B63FF3"/>
    <w:rsid w:val="00B641D1"/>
    <w:rsid w:val="00B64419"/>
    <w:rsid w:val="00B6451E"/>
    <w:rsid w:val="00B645BD"/>
    <w:rsid w:val="00B646DE"/>
    <w:rsid w:val="00B64A7A"/>
    <w:rsid w:val="00B64CE4"/>
    <w:rsid w:val="00B64ECD"/>
    <w:rsid w:val="00B64F54"/>
    <w:rsid w:val="00B64F91"/>
    <w:rsid w:val="00B653EB"/>
    <w:rsid w:val="00B6540C"/>
    <w:rsid w:val="00B654CE"/>
    <w:rsid w:val="00B65B18"/>
    <w:rsid w:val="00B65BD8"/>
    <w:rsid w:val="00B65E80"/>
    <w:rsid w:val="00B665CD"/>
    <w:rsid w:val="00B66856"/>
    <w:rsid w:val="00B66924"/>
    <w:rsid w:val="00B66996"/>
    <w:rsid w:val="00B66AF9"/>
    <w:rsid w:val="00B66ECA"/>
    <w:rsid w:val="00B67195"/>
    <w:rsid w:val="00B67249"/>
    <w:rsid w:val="00B67AC4"/>
    <w:rsid w:val="00B67CA6"/>
    <w:rsid w:val="00B67EEA"/>
    <w:rsid w:val="00B67F16"/>
    <w:rsid w:val="00B70483"/>
    <w:rsid w:val="00B70553"/>
    <w:rsid w:val="00B705B8"/>
    <w:rsid w:val="00B70635"/>
    <w:rsid w:val="00B707E5"/>
    <w:rsid w:val="00B70A3B"/>
    <w:rsid w:val="00B70CDA"/>
    <w:rsid w:val="00B70D1D"/>
    <w:rsid w:val="00B70FE5"/>
    <w:rsid w:val="00B70FE9"/>
    <w:rsid w:val="00B71016"/>
    <w:rsid w:val="00B71330"/>
    <w:rsid w:val="00B71573"/>
    <w:rsid w:val="00B71965"/>
    <w:rsid w:val="00B722B3"/>
    <w:rsid w:val="00B723C7"/>
    <w:rsid w:val="00B72707"/>
    <w:rsid w:val="00B728F4"/>
    <w:rsid w:val="00B7290E"/>
    <w:rsid w:val="00B7294F"/>
    <w:rsid w:val="00B72A6A"/>
    <w:rsid w:val="00B733FE"/>
    <w:rsid w:val="00B7376B"/>
    <w:rsid w:val="00B73782"/>
    <w:rsid w:val="00B7386A"/>
    <w:rsid w:val="00B73A72"/>
    <w:rsid w:val="00B73B7A"/>
    <w:rsid w:val="00B73DF2"/>
    <w:rsid w:val="00B73EA1"/>
    <w:rsid w:val="00B73EC2"/>
    <w:rsid w:val="00B73F3D"/>
    <w:rsid w:val="00B742AB"/>
    <w:rsid w:val="00B7434A"/>
    <w:rsid w:val="00B744BF"/>
    <w:rsid w:val="00B74A08"/>
    <w:rsid w:val="00B74AB4"/>
    <w:rsid w:val="00B74AD4"/>
    <w:rsid w:val="00B74B0C"/>
    <w:rsid w:val="00B74D42"/>
    <w:rsid w:val="00B74DAC"/>
    <w:rsid w:val="00B74DAF"/>
    <w:rsid w:val="00B74EE3"/>
    <w:rsid w:val="00B74F76"/>
    <w:rsid w:val="00B751AF"/>
    <w:rsid w:val="00B75237"/>
    <w:rsid w:val="00B75401"/>
    <w:rsid w:val="00B75A39"/>
    <w:rsid w:val="00B75A95"/>
    <w:rsid w:val="00B7634B"/>
    <w:rsid w:val="00B76954"/>
    <w:rsid w:val="00B76B00"/>
    <w:rsid w:val="00B76B3E"/>
    <w:rsid w:val="00B76BAC"/>
    <w:rsid w:val="00B76E1F"/>
    <w:rsid w:val="00B771F8"/>
    <w:rsid w:val="00B772C0"/>
    <w:rsid w:val="00B7754B"/>
    <w:rsid w:val="00B778B0"/>
    <w:rsid w:val="00B77922"/>
    <w:rsid w:val="00B779B0"/>
    <w:rsid w:val="00B77A7A"/>
    <w:rsid w:val="00B77BF9"/>
    <w:rsid w:val="00B77C19"/>
    <w:rsid w:val="00B77E66"/>
    <w:rsid w:val="00B804D4"/>
    <w:rsid w:val="00B80659"/>
    <w:rsid w:val="00B80F18"/>
    <w:rsid w:val="00B81076"/>
    <w:rsid w:val="00B811E4"/>
    <w:rsid w:val="00B81317"/>
    <w:rsid w:val="00B81559"/>
    <w:rsid w:val="00B81595"/>
    <w:rsid w:val="00B8162B"/>
    <w:rsid w:val="00B8167B"/>
    <w:rsid w:val="00B81912"/>
    <w:rsid w:val="00B8224C"/>
    <w:rsid w:val="00B82301"/>
    <w:rsid w:val="00B824E5"/>
    <w:rsid w:val="00B825E3"/>
    <w:rsid w:val="00B8264D"/>
    <w:rsid w:val="00B82798"/>
    <w:rsid w:val="00B82A67"/>
    <w:rsid w:val="00B8329E"/>
    <w:rsid w:val="00B833D4"/>
    <w:rsid w:val="00B83BAD"/>
    <w:rsid w:val="00B83D3D"/>
    <w:rsid w:val="00B83D84"/>
    <w:rsid w:val="00B83DD2"/>
    <w:rsid w:val="00B83DFA"/>
    <w:rsid w:val="00B83FEC"/>
    <w:rsid w:val="00B8407A"/>
    <w:rsid w:val="00B8408B"/>
    <w:rsid w:val="00B8428C"/>
    <w:rsid w:val="00B84376"/>
    <w:rsid w:val="00B84AC5"/>
    <w:rsid w:val="00B84BB6"/>
    <w:rsid w:val="00B84D38"/>
    <w:rsid w:val="00B84E7B"/>
    <w:rsid w:val="00B84E83"/>
    <w:rsid w:val="00B84F34"/>
    <w:rsid w:val="00B85090"/>
    <w:rsid w:val="00B85157"/>
    <w:rsid w:val="00B8532B"/>
    <w:rsid w:val="00B85819"/>
    <w:rsid w:val="00B85A03"/>
    <w:rsid w:val="00B85D4F"/>
    <w:rsid w:val="00B85EA9"/>
    <w:rsid w:val="00B85FBE"/>
    <w:rsid w:val="00B8634E"/>
    <w:rsid w:val="00B863CD"/>
    <w:rsid w:val="00B865A2"/>
    <w:rsid w:val="00B86746"/>
    <w:rsid w:val="00B867BA"/>
    <w:rsid w:val="00B86A2E"/>
    <w:rsid w:val="00B86F7B"/>
    <w:rsid w:val="00B87113"/>
    <w:rsid w:val="00B87152"/>
    <w:rsid w:val="00B87A73"/>
    <w:rsid w:val="00B87B46"/>
    <w:rsid w:val="00B87C45"/>
    <w:rsid w:val="00B87E19"/>
    <w:rsid w:val="00B87E68"/>
    <w:rsid w:val="00B87FF1"/>
    <w:rsid w:val="00B9068C"/>
    <w:rsid w:val="00B907AE"/>
    <w:rsid w:val="00B90982"/>
    <w:rsid w:val="00B90A4E"/>
    <w:rsid w:val="00B90C49"/>
    <w:rsid w:val="00B90FA2"/>
    <w:rsid w:val="00B910F2"/>
    <w:rsid w:val="00B9112B"/>
    <w:rsid w:val="00B91778"/>
    <w:rsid w:val="00B91A1D"/>
    <w:rsid w:val="00B91F63"/>
    <w:rsid w:val="00B92016"/>
    <w:rsid w:val="00B92103"/>
    <w:rsid w:val="00B9223D"/>
    <w:rsid w:val="00B9256C"/>
    <w:rsid w:val="00B92A79"/>
    <w:rsid w:val="00B93056"/>
    <w:rsid w:val="00B9337F"/>
    <w:rsid w:val="00B93473"/>
    <w:rsid w:val="00B934D3"/>
    <w:rsid w:val="00B93657"/>
    <w:rsid w:val="00B936CC"/>
    <w:rsid w:val="00B936D9"/>
    <w:rsid w:val="00B938A7"/>
    <w:rsid w:val="00B93E39"/>
    <w:rsid w:val="00B93FD6"/>
    <w:rsid w:val="00B9417C"/>
    <w:rsid w:val="00B9455F"/>
    <w:rsid w:val="00B94779"/>
    <w:rsid w:val="00B94B57"/>
    <w:rsid w:val="00B94F64"/>
    <w:rsid w:val="00B94FE3"/>
    <w:rsid w:val="00B9530A"/>
    <w:rsid w:val="00B955F1"/>
    <w:rsid w:val="00B960D6"/>
    <w:rsid w:val="00B96278"/>
    <w:rsid w:val="00B964BA"/>
    <w:rsid w:val="00B966DD"/>
    <w:rsid w:val="00B967F1"/>
    <w:rsid w:val="00B96D8B"/>
    <w:rsid w:val="00B96E98"/>
    <w:rsid w:val="00B97001"/>
    <w:rsid w:val="00B973EE"/>
    <w:rsid w:val="00B97436"/>
    <w:rsid w:val="00B97479"/>
    <w:rsid w:val="00B97481"/>
    <w:rsid w:val="00B97584"/>
    <w:rsid w:val="00B97946"/>
    <w:rsid w:val="00B97D7C"/>
    <w:rsid w:val="00BA05E7"/>
    <w:rsid w:val="00BA074F"/>
    <w:rsid w:val="00BA0886"/>
    <w:rsid w:val="00BA088F"/>
    <w:rsid w:val="00BA0B2C"/>
    <w:rsid w:val="00BA0B79"/>
    <w:rsid w:val="00BA0FF6"/>
    <w:rsid w:val="00BA15EF"/>
    <w:rsid w:val="00BA1AEF"/>
    <w:rsid w:val="00BA1C25"/>
    <w:rsid w:val="00BA1C5B"/>
    <w:rsid w:val="00BA1ED4"/>
    <w:rsid w:val="00BA1FE2"/>
    <w:rsid w:val="00BA2AC4"/>
    <w:rsid w:val="00BA2B0C"/>
    <w:rsid w:val="00BA2B40"/>
    <w:rsid w:val="00BA3369"/>
    <w:rsid w:val="00BA33EA"/>
    <w:rsid w:val="00BA3419"/>
    <w:rsid w:val="00BA35B8"/>
    <w:rsid w:val="00BA390F"/>
    <w:rsid w:val="00BA39C2"/>
    <w:rsid w:val="00BA3AC1"/>
    <w:rsid w:val="00BA3B4B"/>
    <w:rsid w:val="00BA40DF"/>
    <w:rsid w:val="00BA46AF"/>
    <w:rsid w:val="00BA482E"/>
    <w:rsid w:val="00BA49D6"/>
    <w:rsid w:val="00BA4A46"/>
    <w:rsid w:val="00BA4B74"/>
    <w:rsid w:val="00BA4D99"/>
    <w:rsid w:val="00BA4F33"/>
    <w:rsid w:val="00BA4F54"/>
    <w:rsid w:val="00BA503A"/>
    <w:rsid w:val="00BA51E5"/>
    <w:rsid w:val="00BA5320"/>
    <w:rsid w:val="00BA58F1"/>
    <w:rsid w:val="00BA59E2"/>
    <w:rsid w:val="00BA5AAA"/>
    <w:rsid w:val="00BA5CA0"/>
    <w:rsid w:val="00BA5F91"/>
    <w:rsid w:val="00BA6478"/>
    <w:rsid w:val="00BA66B7"/>
    <w:rsid w:val="00BA6E1F"/>
    <w:rsid w:val="00BA70A6"/>
    <w:rsid w:val="00BA7116"/>
    <w:rsid w:val="00BA725B"/>
    <w:rsid w:val="00BA72DC"/>
    <w:rsid w:val="00BA74AC"/>
    <w:rsid w:val="00BA79A5"/>
    <w:rsid w:val="00BA7B01"/>
    <w:rsid w:val="00BA7B44"/>
    <w:rsid w:val="00BA7C08"/>
    <w:rsid w:val="00BB00E8"/>
    <w:rsid w:val="00BB04C4"/>
    <w:rsid w:val="00BB0568"/>
    <w:rsid w:val="00BB05AE"/>
    <w:rsid w:val="00BB06D9"/>
    <w:rsid w:val="00BB0D99"/>
    <w:rsid w:val="00BB0DEC"/>
    <w:rsid w:val="00BB0F18"/>
    <w:rsid w:val="00BB1222"/>
    <w:rsid w:val="00BB12A7"/>
    <w:rsid w:val="00BB12AE"/>
    <w:rsid w:val="00BB17C3"/>
    <w:rsid w:val="00BB1884"/>
    <w:rsid w:val="00BB1A0F"/>
    <w:rsid w:val="00BB1C0B"/>
    <w:rsid w:val="00BB1C77"/>
    <w:rsid w:val="00BB1D1F"/>
    <w:rsid w:val="00BB205F"/>
    <w:rsid w:val="00BB2260"/>
    <w:rsid w:val="00BB24C5"/>
    <w:rsid w:val="00BB2850"/>
    <w:rsid w:val="00BB28CF"/>
    <w:rsid w:val="00BB2B8F"/>
    <w:rsid w:val="00BB2C15"/>
    <w:rsid w:val="00BB2DD6"/>
    <w:rsid w:val="00BB2E0A"/>
    <w:rsid w:val="00BB2EF5"/>
    <w:rsid w:val="00BB33AC"/>
    <w:rsid w:val="00BB375B"/>
    <w:rsid w:val="00BB38DD"/>
    <w:rsid w:val="00BB3A87"/>
    <w:rsid w:val="00BB3D25"/>
    <w:rsid w:val="00BB3FED"/>
    <w:rsid w:val="00BB4090"/>
    <w:rsid w:val="00BB4102"/>
    <w:rsid w:val="00BB486E"/>
    <w:rsid w:val="00BB4ACA"/>
    <w:rsid w:val="00BB4AF4"/>
    <w:rsid w:val="00BB4BC0"/>
    <w:rsid w:val="00BB556C"/>
    <w:rsid w:val="00BB58ED"/>
    <w:rsid w:val="00BB59FB"/>
    <w:rsid w:val="00BB5E8E"/>
    <w:rsid w:val="00BB5ECB"/>
    <w:rsid w:val="00BB5EE4"/>
    <w:rsid w:val="00BB5F91"/>
    <w:rsid w:val="00BB6221"/>
    <w:rsid w:val="00BB68F6"/>
    <w:rsid w:val="00BB6ABE"/>
    <w:rsid w:val="00BB6DAC"/>
    <w:rsid w:val="00BB71E5"/>
    <w:rsid w:val="00BB741B"/>
    <w:rsid w:val="00BB7AFA"/>
    <w:rsid w:val="00BB7E33"/>
    <w:rsid w:val="00BB7E80"/>
    <w:rsid w:val="00BC0147"/>
    <w:rsid w:val="00BC0BF2"/>
    <w:rsid w:val="00BC0DB7"/>
    <w:rsid w:val="00BC0F83"/>
    <w:rsid w:val="00BC10A4"/>
    <w:rsid w:val="00BC1BC2"/>
    <w:rsid w:val="00BC1C28"/>
    <w:rsid w:val="00BC1ED9"/>
    <w:rsid w:val="00BC1FB8"/>
    <w:rsid w:val="00BC1FF7"/>
    <w:rsid w:val="00BC2739"/>
    <w:rsid w:val="00BC284F"/>
    <w:rsid w:val="00BC2B00"/>
    <w:rsid w:val="00BC2F3C"/>
    <w:rsid w:val="00BC316C"/>
    <w:rsid w:val="00BC335D"/>
    <w:rsid w:val="00BC35D5"/>
    <w:rsid w:val="00BC362C"/>
    <w:rsid w:val="00BC37D7"/>
    <w:rsid w:val="00BC396A"/>
    <w:rsid w:val="00BC3A0F"/>
    <w:rsid w:val="00BC3A18"/>
    <w:rsid w:val="00BC3CC4"/>
    <w:rsid w:val="00BC3F8B"/>
    <w:rsid w:val="00BC443E"/>
    <w:rsid w:val="00BC44A7"/>
    <w:rsid w:val="00BC4524"/>
    <w:rsid w:val="00BC46C8"/>
    <w:rsid w:val="00BC476B"/>
    <w:rsid w:val="00BC4833"/>
    <w:rsid w:val="00BC4ABE"/>
    <w:rsid w:val="00BC4B0B"/>
    <w:rsid w:val="00BC4B89"/>
    <w:rsid w:val="00BC4D7E"/>
    <w:rsid w:val="00BC4FC6"/>
    <w:rsid w:val="00BC520C"/>
    <w:rsid w:val="00BC54EB"/>
    <w:rsid w:val="00BC5751"/>
    <w:rsid w:val="00BC5905"/>
    <w:rsid w:val="00BC5AA3"/>
    <w:rsid w:val="00BC6660"/>
    <w:rsid w:val="00BC6C62"/>
    <w:rsid w:val="00BC6DC9"/>
    <w:rsid w:val="00BC6DE0"/>
    <w:rsid w:val="00BC6E83"/>
    <w:rsid w:val="00BC6F29"/>
    <w:rsid w:val="00BC719B"/>
    <w:rsid w:val="00BC7265"/>
    <w:rsid w:val="00BC72E4"/>
    <w:rsid w:val="00BC74A6"/>
    <w:rsid w:val="00BC756D"/>
    <w:rsid w:val="00BC75CC"/>
    <w:rsid w:val="00BC7A28"/>
    <w:rsid w:val="00BC7E2A"/>
    <w:rsid w:val="00BD00F9"/>
    <w:rsid w:val="00BD0361"/>
    <w:rsid w:val="00BD069D"/>
    <w:rsid w:val="00BD0C31"/>
    <w:rsid w:val="00BD0D64"/>
    <w:rsid w:val="00BD111B"/>
    <w:rsid w:val="00BD1255"/>
    <w:rsid w:val="00BD1308"/>
    <w:rsid w:val="00BD1314"/>
    <w:rsid w:val="00BD13BE"/>
    <w:rsid w:val="00BD156C"/>
    <w:rsid w:val="00BD1C57"/>
    <w:rsid w:val="00BD2171"/>
    <w:rsid w:val="00BD21CE"/>
    <w:rsid w:val="00BD268A"/>
    <w:rsid w:val="00BD2A9A"/>
    <w:rsid w:val="00BD2CEB"/>
    <w:rsid w:val="00BD2DED"/>
    <w:rsid w:val="00BD2EDD"/>
    <w:rsid w:val="00BD2FE9"/>
    <w:rsid w:val="00BD309C"/>
    <w:rsid w:val="00BD34A0"/>
    <w:rsid w:val="00BD34CD"/>
    <w:rsid w:val="00BD3800"/>
    <w:rsid w:val="00BD3A50"/>
    <w:rsid w:val="00BD41C2"/>
    <w:rsid w:val="00BD42E9"/>
    <w:rsid w:val="00BD44E3"/>
    <w:rsid w:val="00BD463C"/>
    <w:rsid w:val="00BD474C"/>
    <w:rsid w:val="00BD4C50"/>
    <w:rsid w:val="00BD4D0A"/>
    <w:rsid w:val="00BD4D9C"/>
    <w:rsid w:val="00BD514D"/>
    <w:rsid w:val="00BD5270"/>
    <w:rsid w:val="00BD539E"/>
    <w:rsid w:val="00BD53F3"/>
    <w:rsid w:val="00BD5AFC"/>
    <w:rsid w:val="00BD5B8D"/>
    <w:rsid w:val="00BD5B92"/>
    <w:rsid w:val="00BD62FE"/>
    <w:rsid w:val="00BD6A72"/>
    <w:rsid w:val="00BD6F7F"/>
    <w:rsid w:val="00BD70E4"/>
    <w:rsid w:val="00BD740F"/>
    <w:rsid w:val="00BD7B60"/>
    <w:rsid w:val="00BD7CF3"/>
    <w:rsid w:val="00BD7ECD"/>
    <w:rsid w:val="00BE0197"/>
    <w:rsid w:val="00BE0703"/>
    <w:rsid w:val="00BE0B07"/>
    <w:rsid w:val="00BE0D09"/>
    <w:rsid w:val="00BE0F55"/>
    <w:rsid w:val="00BE1154"/>
    <w:rsid w:val="00BE125B"/>
    <w:rsid w:val="00BE130B"/>
    <w:rsid w:val="00BE131F"/>
    <w:rsid w:val="00BE1B7A"/>
    <w:rsid w:val="00BE2134"/>
    <w:rsid w:val="00BE2462"/>
    <w:rsid w:val="00BE254C"/>
    <w:rsid w:val="00BE26F4"/>
    <w:rsid w:val="00BE2830"/>
    <w:rsid w:val="00BE297B"/>
    <w:rsid w:val="00BE29F5"/>
    <w:rsid w:val="00BE2A79"/>
    <w:rsid w:val="00BE2CC4"/>
    <w:rsid w:val="00BE2D38"/>
    <w:rsid w:val="00BE2D77"/>
    <w:rsid w:val="00BE2D97"/>
    <w:rsid w:val="00BE2E2D"/>
    <w:rsid w:val="00BE361E"/>
    <w:rsid w:val="00BE367D"/>
    <w:rsid w:val="00BE37A3"/>
    <w:rsid w:val="00BE38AC"/>
    <w:rsid w:val="00BE3CEC"/>
    <w:rsid w:val="00BE3E91"/>
    <w:rsid w:val="00BE42EB"/>
    <w:rsid w:val="00BE456C"/>
    <w:rsid w:val="00BE46CD"/>
    <w:rsid w:val="00BE47C4"/>
    <w:rsid w:val="00BE4942"/>
    <w:rsid w:val="00BE4AFF"/>
    <w:rsid w:val="00BE5342"/>
    <w:rsid w:val="00BE55A8"/>
    <w:rsid w:val="00BE598F"/>
    <w:rsid w:val="00BE5B86"/>
    <w:rsid w:val="00BE5C49"/>
    <w:rsid w:val="00BE61D8"/>
    <w:rsid w:val="00BE6477"/>
    <w:rsid w:val="00BE672A"/>
    <w:rsid w:val="00BE6C69"/>
    <w:rsid w:val="00BE6EA8"/>
    <w:rsid w:val="00BE718E"/>
    <w:rsid w:val="00BE7252"/>
    <w:rsid w:val="00BE7416"/>
    <w:rsid w:val="00BE790A"/>
    <w:rsid w:val="00BE7A14"/>
    <w:rsid w:val="00BE7BE7"/>
    <w:rsid w:val="00BE7C79"/>
    <w:rsid w:val="00BE7E82"/>
    <w:rsid w:val="00BF01E0"/>
    <w:rsid w:val="00BF0678"/>
    <w:rsid w:val="00BF0744"/>
    <w:rsid w:val="00BF0895"/>
    <w:rsid w:val="00BF0A9C"/>
    <w:rsid w:val="00BF0DE8"/>
    <w:rsid w:val="00BF1259"/>
    <w:rsid w:val="00BF1844"/>
    <w:rsid w:val="00BF1B0F"/>
    <w:rsid w:val="00BF1C5A"/>
    <w:rsid w:val="00BF1D16"/>
    <w:rsid w:val="00BF1E41"/>
    <w:rsid w:val="00BF227E"/>
    <w:rsid w:val="00BF2AFF"/>
    <w:rsid w:val="00BF2BA6"/>
    <w:rsid w:val="00BF30C2"/>
    <w:rsid w:val="00BF320B"/>
    <w:rsid w:val="00BF331F"/>
    <w:rsid w:val="00BF354A"/>
    <w:rsid w:val="00BF3564"/>
    <w:rsid w:val="00BF37BC"/>
    <w:rsid w:val="00BF38EC"/>
    <w:rsid w:val="00BF3B12"/>
    <w:rsid w:val="00BF3DBF"/>
    <w:rsid w:val="00BF3EFE"/>
    <w:rsid w:val="00BF3FD5"/>
    <w:rsid w:val="00BF3FF8"/>
    <w:rsid w:val="00BF41B0"/>
    <w:rsid w:val="00BF4301"/>
    <w:rsid w:val="00BF463F"/>
    <w:rsid w:val="00BF48BB"/>
    <w:rsid w:val="00BF4B30"/>
    <w:rsid w:val="00BF4FDD"/>
    <w:rsid w:val="00BF52BD"/>
    <w:rsid w:val="00BF52E8"/>
    <w:rsid w:val="00BF533D"/>
    <w:rsid w:val="00BF54DF"/>
    <w:rsid w:val="00BF5AF5"/>
    <w:rsid w:val="00BF5B9F"/>
    <w:rsid w:val="00BF5E51"/>
    <w:rsid w:val="00BF5F2A"/>
    <w:rsid w:val="00BF6062"/>
    <w:rsid w:val="00BF631C"/>
    <w:rsid w:val="00BF649E"/>
    <w:rsid w:val="00BF64F5"/>
    <w:rsid w:val="00BF650E"/>
    <w:rsid w:val="00BF686D"/>
    <w:rsid w:val="00BF689D"/>
    <w:rsid w:val="00BF6D13"/>
    <w:rsid w:val="00BF6E1F"/>
    <w:rsid w:val="00BF70FF"/>
    <w:rsid w:val="00BF72E9"/>
    <w:rsid w:val="00BF731B"/>
    <w:rsid w:val="00BF73AE"/>
    <w:rsid w:val="00BF753B"/>
    <w:rsid w:val="00BF75AC"/>
    <w:rsid w:val="00BF75D0"/>
    <w:rsid w:val="00BF799A"/>
    <w:rsid w:val="00BF7BB5"/>
    <w:rsid w:val="00BF7C4C"/>
    <w:rsid w:val="00BF7F5B"/>
    <w:rsid w:val="00C00198"/>
    <w:rsid w:val="00C007F6"/>
    <w:rsid w:val="00C00B4D"/>
    <w:rsid w:val="00C00B67"/>
    <w:rsid w:val="00C00C10"/>
    <w:rsid w:val="00C00C1E"/>
    <w:rsid w:val="00C015D3"/>
    <w:rsid w:val="00C016AB"/>
    <w:rsid w:val="00C017F8"/>
    <w:rsid w:val="00C01A5E"/>
    <w:rsid w:val="00C02123"/>
    <w:rsid w:val="00C021B4"/>
    <w:rsid w:val="00C02399"/>
    <w:rsid w:val="00C02489"/>
    <w:rsid w:val="00C029FD"/>
    <w:rsid w:val="00C02DB2"/>
    <w:rsid w:val="00C0321F"/>
    <w:rsid w:val="00C033D0"/>
    <w:rsid w:val="00C033D8"/>
    <w:rsid w:val="00C03440"/>
    <w:rsid w:val="00C03483"/>
    <w:rsid w:val="00C0375C"/>
    <w:rsid w:val="00C03B05"/>
    <w:rsid w:val="00C03CAC"/>
    <w:rsid w:val="00C03EEE"/>
    <w:rsid w:val="00C03FA1"/>
    <w:rsid w:val="00C03FC7"/>
    <w:rsid w:val="00C03FEB"/>
    <w:rsid w:val="00C04729"/>
    <w:rsid w:val="00C04932"/>
    <w:rsid w:val="00C04A65"/>
    <w:rsid w:val="00C054AA"/>
    <w:rsid w:val="00C059D0"/>
    <w:rsid w:val="00C05A4E"/>
    <w:rsid w:val="00C05DB0"/>
    <w:rsid w:val="00C05DB6"/>
    <w:rsid w:val="00C05E1B"/>
    <w:rsid w:val="00C061C1"/>
    <w:rsid w:val="00C062DD"/>
    <w:rsid w:val="00C063ED"/>
    <w:rsid w:val="00C06954"/>
    <w:rsid w:val="00C0698D"/>
    <w:rsid w:val="00C069DF"/>
    <w:rsid w:val="00C07196"/>
    <w:rsid w:val="00C07236"/>
    <w:rsid w:val="00C07477"/>
    <w:rsid w:val="00C078B3"/>
    <w:rsid w:val="00C07947"/>
    <w:rsid w:val="00C07A39"/>
    <w:rsid w:val="00C104D4"/>
    <w:rsid w:val="00C10614"/>
    <w:rsid w:val="00C10655"/>
    <w:rsid w:val="00C10925"/>
    <w:rsid w:val="00C10953"/>
    <w:rsid w:val="00C10964"/>
    <w:rsid w:val="00C109BB"/>
    <w:rsid w:val="00C10AE9"/>
    <w:rsid w:val="00C10CC8"/>
    <w:rsid w:val="00C110EF"/>
    <w:rsid w:val="00C117F6"/>
    <w:rsid w:val="00C118FC"/>
    <w:rsid w:val="00C11B58"/>
    <w:rsid w:val="00C11DE5"/>
    <w:rsid w:val="00C11DE8"/>
    <w:rsid w:val="00C11FE1"/>
    <w:rsid w:val="00C120E4"/>
    <w:rsid w:val="00C12168"/>
    <w:rsid w:val="00C12183"/>
    <w:rsid w:val="00C12287"/>
    <w:rsid w:val="00C122E4"/>
    <w:rsid w:val="00C123E4"/>
    <w:rsid w:val="00C1264B"/>
    <w:rsid w:val="00C126D1"/>
    <w:rsid w:val="00C1295B"/>
    <w:rsid w:val="00C129D0"/>
    <w:rsid w:val="00C13259"/>
    <w:rsid w:val="00C1339A"/>
    <w:rsid w:val="00C13609"/>
    <w:rsid w:val="00C13A9C"/>
    <w:rsid w:val="00C14904"/>
    <w:rsid w:val="00C14905"/>
    <w:rsid w:val="00C14A2E"/>
    <w:rsid w:val="00C14C70"/>
    <w:rsid w:val="00C14F8D"/>
    <w:rsid w:val="00C153C2"/>
    <w:rsid w:val="00C15525"/>
    <w:rsid w:val="00C15DC5"/>
    <w:rsid w:val="00C16459"/>
    <w:rsid w:val="00C16666"/>
    <w:rsid w:val="00C167C4"/>
    <w:rsid w:val="00C16973"/>
    <w:rsid w:val="00C16AE7"/>
    <w:rsid w:val="00C1712E"/>
    <w:rsid w:val="00C1734A"/>
    <w:rsid w:val="00C1743A"/>
    <w:rsid w:val="00C1794B"/>
    <w:rsid w:val="00C17AEA"/>
    <w:rsid w:val="00C17BC9"/>
    <w:rsid w:val="00C17D36"/>
    <w:rsid w:val="00C2003D"/>
    <w:rsid w:val="00C20256"/>
    <w:rsid w:val="00C20296"/>
    <w:rsid w:val="00C205D0"/>
    <w:rsid w:val="00C206FB"/>
    <w:rsid w:val="00C207E0"/>
    <w:rsid w:val="00C20836"/>
    <w:rsid w:val="00C20A1C"/>
    <w:rsid w:val="00C20F46"/>
    <w:rsid w:val="00C21061"/>
    <w:rsid w:val="00C21189"/>
    <w:rsid w:val="00C21311"/>
    <w:rsid w:val="00C21402"/>
    <w:rsid w:val="00C2142A"/>
    <w:rsid w:val="00C2159E"/>
    <w:rsid w:val="00C2183A"/>
    <w:rsid w:val="00C219BC"/>
    <w:rsid w:val="00C21AEA"/>
    <w:rsid w:val="00C22510"/>
    <w:rsid w:val="00C225EE"/>
    <w:rsid w:val="00C22818"/>
    <w:rsid w:val="00C22CA3"/>
    <w:rsid w:val="00C2328F"/>
    <w:rsid w:val="00C23AE2"/>
    <w:rsid w:val="00C23B5C"/>
    <w:rsid w:val="00C23B6A"/>
    <w:rsid w:val="00C23CF7"/>
    <w:rsid w:val="00C23DCA"/>
    <w:rsid w:val="00C23F29"/>
    <w:rsid w:val="00C23F8C"/>
    <w:rsid w:val="00C241F4"/>
    <w:rsid w:val="00C243A2"/>
    <w:rsid w:val="00C2444E"/>
    <w:rsid w:val="00C24456"/>
    <w:rsid w:val="00C249EA"/>
    <w:rsid w:val="00C24B4F"/>
    <w:rsid w:val="00C252E7"/>
    <w:rsid w:val="00C25330"/>
    <w:rsid w:val="00C25C10"/>
    <w:rsid w:val="00C25CAC"/>
    <w:rsid w:val="00C25E12"/>
    <w:rsid w:val="00C25EB6"/>
    <w:rsid w:val="00C26303"/>
    <w:rsid w:val="00C26676"/>
    <w:rsid w:val="00C266D6"/>
    <w:rsid w:val="00C268A9"/>
    <w:rsid w:val="00C269D4"/>
    <w:rsid w:val="00C26B15"/>
    <w:rsid w:val="00C26FCD"/>
    <w:rsid w:val="00C2703B"/>
    <w:rsid w:val="00C271EA"/>
    <w:rsid w:val="00C27224"/>
    <w:rsid w:val="00C27609"/>
    <w:rsid w:val="00C300CD"/>
    <w:rsid w:val="00C3055D"/>
    <w:rsid w:val="00C30C83"/>
    <w:rsid w:val="00C30F35"/>
    <w:rsid w:val="00C30F9C"/>
    <w:rsid w:val="00C31179"/>
    <w:rsid w:val="00C313E2"/>
    <w:rsid w:val="00C314FA"/>
    <w:rsid w:val="00C314FC"/>
    <w:rsid w:val="00C316CA"/>
    <w:rsid w:val="00C31AC8"/>
    <w:rsid w:val="00C31C1C"/>
    <w:rsid w:val="00C320C6"/>
    <w:rsid w:val="00C323D1"/>
    <w:rsid w:val="00C32419"/>
    <w:rsid w:val="00C3259E"/>
    <w:rsid w:val="00C3267D"/>
    <w:rsid w:val="00C3320D"/>
    <w:rsid w:val="00C3360B"/>
    <w:rsid w:val="00C337A0"/>
    <w:rsid w:val="00C338BC"/>
    <w:rsid w:val="00C33A4D"/>
    <w:rsid w:val="00C33BC9"/>
    <w:rsid w:val="00C33BE8"/>
    <w:rsid w:val="00C33D62"/>
    <w:rsid w:val="00C346CC"/>
    <w:rsid w:val="00C34C6F"/>
    <w:rsid w:val="00C34EE9"/>
    <w:rsid w:val="00C34F36"/>
    <w:rsid w:val="00C34FAE"/>
    <w:rsid w:val="00C3503A"/>
    <w:rsid w:val="00C35269"/>
    <w:rsid w:val="00C3528C"/>
    <w:rsid w:val="00C3543E"/>
    <w:rsid w:val="00C358C6"/>
    <w:rsid w:val="00C35FE1"/>
    <w:rsid w:val="00C36017"/>
    <w:rsid w:val="00C365F9"/>
    <w:rsid w:val="00C36DA8"/>
    <w:rsid w:val="00C36DF9"/>
    <w:rsid w:val="00C36ED1"/>
    <w:rsid w:val="00C36FC7"/>
    <w:rsid w:val="00C37186"/>
    <w:rsid w:val="00C371A4"/>
    <w:rsid w:val="00C371D8"/>
    <w:rsid w:val="00C37713"/>
    <w:rsid w:val="00C37807"/>
    <w:rsid w:val="00C37ADF"/>
    <w:rsid w:val="00C37BDD"/>
    <w:rsid w:val="00C40129"/>
    <w:rsid w:val="00C4031A"/>
    <w:rsid w:val="00C4038C"/>
    <w:rsid w:val="00C404CA"/>
    <w:rsid w:val="00C40673"/>
    <w:rsid w:val="00C4093D"/>
    <w:rsid w:val="00C409EA"/>
    <w:rsid w:val="00C40ADB"/>
    <w:rsid w:val="00C40C1D"/>
    <w:rsid w:val="00C410A0"/>
    <w:rsid w:val="00C4128C"/>
    <w:rsid w:val="00C41323"/>
    <w:rsid w:val="00C4163E"/>
    <w:rsid w:val="00C416AD"/>
    <w:rsid w:val="00C417AA"/>
    <w:rsid w:val="00C41A99"/>
    <w:rsid w:val="00C41ADF"/>
    <w:rsid w:val="00C41EF3"/>
    <w:rsid w:val="00C4202F"/>
    <w:rsid w:val="00C42256"/>
    <w:rsid w:val="00C42699"/>
    <w:rsid w:val="00C42813"/>
    <w:rsid w:val="00C4283B"/>
    <w:rsid w:val="00C42C9B"/>
    <w:rsid w:val="00C42FA5"/>
    <w:rsid w:val="00C43504"/>
    <w:rsid w:val="00C435E9"/>
    <w:rsid w:val="00C43BF9"/>
    <w:rsid w:val="00C43CA3"/>
    <w:rsid w:val="00C43D6F"/>
    <w:rsid w:val="00C43DFF"/>
    <w:rsid w:val="00C44041"/>
    <w:rsid w:val="00C44587"/>
    <w:rsid w:val="00C446D0"/>
    <w:rsid w:val="00C44C8C"/>
    <w:rsid w:val="00C44F5F"/>
    <w:rsid w:val="00C44FAD"/>
    <w:rsid w:val="00C452CF"/>
    <w:rsid w:val="00C453DC"/>
    <w:rsid w:val="00C45458"/>
    <w:rsid w:val="00C455F6"/>
    <w:rsid w:val="00C45741"/>
    <w:rsid w:val="00C458E9"/>
    <w:rsid w:val="00C459EF"/>
    <w:rsid w:val="00C45DC3"/>
    <w:rsid w:val="00C46252"/>
    <w:rsid w:val="00C463DB"/>
    <w:rsid w:val="00C46FD4"/>
    <w:rsid w:val="00C470CA"/>
    <w:rsid w:val="00C4721D"/>
    <w:rsid w:val="00C4737E"/>
    <w:rsid w:val="00C474BF"/>
    <w:rsid w:val="00C47577"/>
    <w:rsid w:val="00C476F7"/>
    <w:rsid w:val="00C47707"/>
    <w:rsid w:val="00C47B2D"/>
    <w:rsid w:val="00C47C42"/>
    <w:rsid w:val="00C47C68"/>
    <w:rsid w:val="00C47ED5"/>
    <w:rsid w:val="00C47F01"/>
    <w:rsid w:val="00C5011F"/>
    <w:rsid w:val="00C5029B"/>
    <w:rsid w:val="00C506CF"/>
    <w:rsid w:val="00C5070F"/>
    <w:rsid w:val="00C50B22"/>
    <w:rsid w:val="00C50B99"/>
    <w:rsid w:val="00C50BE0"/>
    <w:rsid w:val="00C5102F"/>
    <w:rsid w:val="00C51225"/>
    <w:rsid w:val="00C51296"/>
    <w:rsid w:val="00C51CDA"/>
    <w:rsid w:val="00C51F8B"/>
    <w:rsid w:val="00C5206E"/>
    <w:rsid w:val="00C52120"/>
    <w:rsid w:val="00C52446"/>
    <w:rsid w:val="00C525B3"/>
    <w:rsid w:val="00C52789"/>
    <w:rsid w:val="00C52998"/>
    <w:rsid w:val="00C529B4"/>
    <w:rsid w:val="00C5301C"/>
    <w:rsid w:val="00C530D4"/>
    <w:rsid w:val="00C531E4"/>
    <w:rsid w:val="00C53573"/>
    <w:rsid w:val="00C539AD"/>
    <w:rsid w:val="00C53BF0"/>
    <w:rsid w:val="00C53E54"/>
    <w:rsid w:val="00C54103"/>
    <w:rsid w:val="00C54190"/>
    <w:rsid w:val="00C54289"/>
    <w:rsid w:val="00C547F1"/>
    <w:rsid w:val="00C54E1E"/>
    <w:rsid w:val="00C54EFE"/>
    <w:rsid w:val="00C54FC4"/>
    <w:rsid w:val="00C55108"/>
    <w:rsid w:val="00C552B3"/>
    <w:rsid w:val="00C552F7"/>
    <w:rsid w:val="00C5534D"/>
    <w:rsid w:val="00C55468"/>
    <w:rsid w:val="00C556CE"/>
    <w:rsid w:val="00C55825"/>
    <w:rsid w:val="00C55CA5"/>
    <w:rsid w:val="00C55DED"/>
    <w:rsid w:val="00C5655D"/>
    <w:rsid w:val="00C565F8"/>
    <w:rsid w:val="00C567D9"/>
    <w:rsid w:val="00C56AD8"/>
    <w:rsid w:val="00C56C98"/>
    <w:rsid w:val="00C5718F"/>
    <w:rsid w:val="00C5727D"/>
    <w:rsid w:val="00C57446"/>
    <w:rsid w:val="00C574C8"/>
    <w:rsid w:val="00C57800"/>
    <w:rsid w:val="00C57DCF"/>
    <w:rsid w:val="00C6068C"/>
    <w:rsid w:val="00C6070C"/>
    <w:rsid w:val="00C60AE4"/>
    <w:rsid w:val="00C60C9B"/>
    <w:rsid w:val="00C60D8C"/>
    <w:rsid w:val="00C60DBA"/>
    <w:rsid w:val="00C60DBB"/>
    <w:rsid w:val="00C60E2C"/>
    <w:rsid w:val="00C60E4F"/>
    <w:rsid w:val="00C61501"/>
    <w:rsid w:val="00C61534"/>
    <w:rsid w:val="00C6171C"/>
    <w:rsid w:val="00C61CE2"/>
    <w:rsid w:val="00C61CE8"/>
    <w:rsid w:val="00C628D7"/>
    <w:rsid w:val="00C62F3D"/>
    <w:rsid w:val="00C63290"/>
    <w:rsid w:val="00C636DE"/>
    <w:rsid w:val="00C63703"/>
    <w:rsid w:val="00C6402C"/>
    <w:rsid w:val="00C64104"/>
    <w:rsid w:val="00C641A0"/>
    <w:rsid w:val="00C64443"/>
    <w:rsid w:val="00C64744"/>
    <w:rsid w:val="00C64E68"/>
    <w:rsid w:val="00C6545E"/>
    <w:rsid w:val="00C6555F"/>
    <w:rsid w:val="00C65AF5"/>
    <w:rsid w:val="00C65BCA"/>
    <w:rsid w:val="00C65E0E"/>
    <w:rsid w:val="00C65F8E"/>
    <w:rsid w:val="00C66230"/>
    <w:rsid w:val="00C66877"/>
    <w:rsid w:val="00C66CE6"/>
    <w:rsid w:val="00C66FBE"/>
    <w:rsid w:val="00C67396"/>
    <w:rsid w:val="00C673DF"/>
    <w:rsid w:val="00C676B4"/>
    <w:rsid w:val="00C6778F"/>
    <w:rsid w:val="00C67975"/>
    <w:rsid w:val="00C67A8D"/>
    <w:rsid w:val="00C67BAB"/>
    <w:rsid w:val="00C67BF7"/>
    <w:rsid w:val="00C70261"/>
    <w:rsid w:val="00C7036F"/>
    <w:rsid w:val="00C7054C"/>
    <w:rsid w:val="00C705BC"/>
    <w:rsid w:val="00C709FD"/>
    <w:rsid w:val="00C70CC7"/>
    <w:rsid w:val="00C70DB8"/>
    <w:rsid w:val="00C70E6A"/>
    <w:rsid w:val="00C710FA"/>
    <w:rsid w:val="00C7111E"/>
    <w:rsid w:val="00C7198B"/>
    <w:rsid w:val="00C71BBD"/>
    <w:rsid w:val="00C72342"/>
    <w:rsid w:val="00C7238D"/>
    <w:rsid w:val="00C72432"/>
    <w:rsid w:val="00C72A17"/>
    <w:rsid w:val="00C73252"/>
    <w:rsid w:val="00C73282"/>
    <w:rsid w:val="00C736A9"/>
    <w:rsid w:val="00C73828"/>
    <w:rsid w:val="00C739C8"/>
    <w:rsid w:val="00C739FF"/>
    <w:rsid w:val="00C73A21"/>
    <w:rsid w:val="00C73BA3"/>
    <w:rsid w:val="00C73C23"/>
    <w:rsid w:val="00C73CB0"/>
    <w:rsid w:val="00C73D28"/>
    <w:rsid w:val="00C73D9F"/>
    <w:rsid w:val="00C74072"/>
    <w:rsid w:val="00C744E1"/>
    <w:rsid w:val="00C74622"/>
    <w:rsid w:val="00C7475F"/>
    <w:rsid w:val="00C7492A"/>
    <w:rsid w:val="00C74D4D"/>
    <w:rsid w:val="00C74FAF"/>
    <w:rsid w:val="00C75094"/>
    <w:rsid w:val="00C75102"/>
    <w:rsid w:val="00C751F9"/>
    <w:rsid w:val="00C7543D"/>
    <w:rsid w:val="00C755B3"/>
    <w:rsid w:val="00C7586D"/>
    <w:rsid w:val="00C75EEC"/>
    <w:rsid w:val="00C75FDE"/>
    <w:rsid w:val="00C7685D"/>
    <w:rsid w:val="00C76AEB"/>
    <w:rsid w:val="00C76CA3"/>
    <w:rsid w:val="00C76F0D"/>
    <w:rsid w:val="00C77066"/>
    <w:rsid w:val="00C770CC"/>
    <w:rsid w:val="00C771BE"/>
    <w:rsid w:val="00C77329"/>
    <w:rsid w:val="00C774C0"/>
    <w:rsid w:val="00C77779"/>
    <w:rsid w:val="00C77800"/>
    <w:rsid w:val="00C77A9B"/>
    <w:rsid w:val="00C77C7C"/>
    <w:rsid w:val="00C77C98"/>
    <w:rsid w:val="00C77D8D"/>
    <w:rsid w:val="00C77DDB"/>
    <w:rsid w:val="00C77E63"/>
    <w:rsid w:val="00C77F2E"/>
    <w:rsid w:val="00C786F4"/>
    <w:rsid w:val="00C80265"/>
    <w:rsid w:val="00C806B4"/>
    <w:rsid w:val="00C80758"/>
    <w:rsid w:val="00C808B9"/>
    <w:rsid w:val="00C809D5"/>
    <w:rsid w:val="00C80A2C"/>
    <w:rsid w:val="00C80CFA"/>
    <w:rsid w:val="00C80D1D"/>
    <w:rsid w:val="00C80E10"/>
    <w:rsid w:val="00C81330"/>
    <w:rsid w:val="00C814D7"/>
    <w:rsid w:val="00C81537"/>
    <w:rsid w:val="00C815C3"/>
    <w:rsid w:val="00C81CCC"/>
    <w:rsid w:val="00C81DA1"/>
    <w:rsid w:val="00C82047"/>
    <w:rsid w:val="00C82158"/>
    <w:rsid w:val="00C8260F"/>
    <w:rsid w:val="00C829C6"/>
    <w:rsid w:val="00C83581"/>
    <w:rsid w:val="00C83A19"/>
    <w:rsid w:val="00C83AE1"/>
    <w:rsid w:val="00C83B22"/>
    <w:rsid w:val="00C83DBB"/>
    <w:rsid w:val="00C83E7A"/>
    <w:rsid w:val="00C83FB5"/>
    <w:rsid w:val="00C842D8"/>
    <w:rsid w:val="00C8432B"/>
    <w:rsid w:val="00C84429"/>
    <w:rsid w:val="00C84716"/>
    <w:rsid w:val="00C8493A"/>
    <w:rsid w:val="00C84E37"/>
    <w:rsid w:val="00C84FD7"/>
    <w:rsid w:val="00C85131"/>
    <w:rsid w:val="00C853A2"/>
    <w:rsid w:val="00C85422"/>
    <w:rsid w:val="00C862A4"/>
    <w:rsid w:val="00C862FB"/>
    <w:rsid w:val="00C87403"/>
    <w:rsid w:val="00C8770E"/>
    <w:rsid w:val="00C87A7C"/>
    <w:rsid w:val="00C87C8C"/>
    <w:rsid w:val="00C87D6D"/>
    <w:rsid w:val="00C87DD6"/>
    <w:rsid w:val="00C901C6"/>
    <w:rsid w:val="00C901FC"/>
    <w:rsid w:val="00C90D1C"/>
    <w:rsid w:val="00C91034"/>
    <w:rsid w:val="00C91248"/>
    <w:rsid w:val="00C913B5"/>
    <w:rsid w:val="00C916AC"/>
    <w:rsid w:val="00C917A2"/>
    <w:rsid w:val="00C91A70"/>
    <w:rsid w:val="00C91C4B"/>
    <w:rsid w:val="00C91C4D"/>
    <w:rsid w:val="00C91EDD"/>
    <w:rsid w:val="00C92167"/>
    <w:rsid w:val="00C923B1"/>
    <w:rsid w:val="00C925C4"/>
    <w:rsid w:val="00C92656"/>
    <w:rsid w:val="00C92669"/>
    <w:rsid w:val="00C92781"/>
    <w:rsid w:val="00C9285C"/>
    <w:rsid w:val="00C92946"/>
    <w:rsid w:val="00C931DE"/>
    <w:rsid w:val="00C93238"/>
    <w:rsid w:val="00C932FE"/>
    <w:rsid w:val="00C9346C"/>
    <w:rsid w:val="00C9400F"/>
    <w:rsid w:val="00C94815"/>
    <w:rsid w:val="00C94C60"/>
    <w:rsid w:val="00C95309"/>
    <w:rsid w:val="00C9541A"/>
    <w:rsid w:val="00C955A8"/>
    <w:rsid w:val="00C95AF4"/>
    <w:rsid w:val="00C95E16"/>
    <w:rsid w:val="00C95E61"/>
    <w:rsid w:val="00C95ECB"/>
    <w:rsid w:val="00C95FC9"/>
    <w:rsid w:val="00C9607A"/>
    <w:rsid w:val="00C96580"/>
    <w:rsid w:val="00C96911"/>
    <w:rsid w:val="00C96C76"/>
    <w:rsid w:val="00C96D89"/>
    <w:rsid w:val="00C96FAA"/>
    <w:rsid w:val="00C97027"/>
    <w:rsid w:val="00C973CE"/>
    <w:rsid w:val="00C97619"/>
    <w:rsid w:val="00C9799A"/>
    <w:rsid w:val="00C97C68"/>
    <w:rsid w:val="00C97CA4"/>
    <w:rsid w:val="00C97D54"/>
    <w:rsid w:val="00C97F34"/>
    <w:rsid w:val="00CA00D8"/>
    <w:rsid w:val="00CA033A"/>
    <w:rsid w:val="00CA04AD"/>
    <w:rsid w:val="00CA0559"/>
    <w:rsid w:val="00CA05EA"/>
    <w:rsid w:val="00CA07A0"/>
    <w:rsid w:val="00CA09A7"/>
    <w:rsid w:val="00CA0CBE"/>
    <w:rsid w:val="00CA0CFD"/>
    <w:rsid w:val="00CA0E95"/>
    <w:rsid w:val="00CA1B07"/>
    <w:rsid w:val="00CA2157"/>
    <w:rsid w:val="00CA2AE7"/>
    <w:rsid w:val="00CA3009"/>
    <w:rsid w:val="00CA309B"/>
    <w:rsid w:val="00CA30EB"/>
    <w:rsid w:val="00CA3194"/>
    <w:rsid w:val="00CA32D6"/>
    <w:rsid w:val="00CA3396"/>
    <w:rsid w:val="00CA33ED"/>
    <w:rsid w:val="00CA36AD"/>
    <w:rsid w:val="00CA3703"/>
    <w:rsid w:val="00CA37E6"/>
    <w:rsid w:val="00CA3A24"/>
    <w:rsid w:val="00CA3E9A"/>
    <w:rsid w:val="00CA3ED5"/>
    <w:rsid w:val="00CA3EE2"/>
    <w:rsid w:val="00CA3F2E"/>
    <w:rsid w:val="00CA4097"/>
    <w:rsid w:val="00CA474E"/>
    <w:rsid w:val="00CA478E"/>
    <w:rsid w:val="00CA49C1"/>
    <w:rsid w:val="00CA4A0D"/>
    <w:rsid w:val="00CA4A4B"/>
    <w:rsid w:val="00CA5076"/>
    <w:rsid w:val="00CA517E"/>
    <w:rsid w:val="00CA558B"/>
    <w:rsid w:val="00CA57D1"/>
    <w:rsid w:val="00CA59D5"/>
    <w:rsid w:val="00CA5A98"/>
    <w:rsid w:val="00CA606C"/>
    <w:rsid w:val="00CA6A06"/>
    <w:rsid w:val="00CA6A35"/>
    <w:rsid w:val="00CA6DB1"/>
    <w:rsid w:val="00CA6F05"/>
    <w:rsid w:val="00CA7001"/>
    <w:rsid w:val="00CA707D"/>
    <w:rsid w:val="00CA76CB"/>
    <w:rsid w:val="00CA76F5"/>
    <w:rsid w:val="00CA7907"/>
    <w:rsid w:val="00CA79D3"/>
    <w:rsid w:val="00CA7E38"/>
    <w:rsid w:val="00CA7F79"/>
    <w:rsid w:val="00CB0373"/>
    <w:rsid w:val="00CB05EE"/>
    <w:rsid w:val="00CB0A99"/>
    <w:rsid w:val="00CB0C86"/>
    <w:rsid w:val="00CB0D5E"/>
    <w:rsid w:val="00CB1E87"/>
    <w:rsid w:val="00CB2067"/>
    <w:rsid w:val="00CB2166"/>
    <w:rsid w:val="00CB25F1"/>
    <w:rsid w:val="00CB292A"/>
    <w:rsid w:val="00CB2A78"/>
    <w:rsid w:val="00CB2FD1"/>
    <w:rsid w:val="00CB313E"/>
    <w:rsid w:val="00CB31A6"/>
    <w:rsid w:val="00CB3341"/>
    <w:rsid w:val="00CB33F4"/>
    <w:rsid w:val="00CB373A"/>
    <w:rsid w:val="00CB39BF"/>
    <w:rsid w:val="00CB3FEA"/>
    <w:rsid w:val="00CB4055"/>
    <w:rsid w:val="00CB45BC"/>
    <w:rsid w:val="00CB4636"/>
    <w:rsid w:val="00CB473D"/>
    <w:rsid w:val="00CB480A"/>
    <w:rsid w:val="00CB4877"/>
    <w:rsid w:val="00CB49CD"/>
    <w:rsid w:val="00CB4A0F"/>
    <w:rsid w:val="00CB4BA0"/>
    <w:rsid w:val="00CB4DE6"/>
    <w:rsid w:val="00CB51D6"/>
    <w:rsid w:val="00CB52DE"/>
    <w:rsid w:val="00CB5382"/>
    <w:rsid w:val="00CB5537"/>
    <w:rsid w:val="00CB584A"/>
    <w:rsid w:val="00CB5CE5"/>
    <w:rsid w:val="00CB6181"/>
    <w:rsid w:val="00CB66AF"/>
    <w:rsid w:val="00CB67C4"/>
    <w:rsid w:val="00CB6BDB"/>
    <w:rsid w:val="00CB6C88"/>
    <w:rsid w:val="00CB6FCC"/>
    <w:rsid w:val="00CB70C2"/>
    <w:rsid w:val="00CB71BE"/>
    <w:rsid w:val="00CB7287"/>
    <w:rsid w:val="00CB728B"/>
    <w:rsid w:val="00CB75E9"/>
    <w:rsid w:val="00CB76E6"/>
    <w:rsid w:val="00CB79D7"/>
    <w:rsid w:val="00CB7C3F"/>
    <w:rsid w:val="00CB7CB9"/>
    <w:rsid w:val="00CB7D05"/>
    <w:rsid w:val="00CB7F1E"/>
    <w:rsid w:val="00CBBACC"/>
    <w:rsid w:val="00CC0375"/>
    <w:rsid w:val="00CC046C"/>
    <w:rsid w:val="00CC0559"/>
    <w:rsid w:val="00CC0849"/>
    <w:rsid w:val="00CC0AF3"/>
    <w:rsid w:val="00CC0F6B"/>
    <w:rsid w:val="00CC131C"/>
    <w:rsid w:val="00CC14EB"/>
    <w:rsid w:val="00CC1568"/>
    <w:rsid w:val="00CC18D7"/>
    <w:rsid w:val="00CC196B"/>
    <w:rsid w:val="00CC1A48"/>
    <w:rsid w:val="00CC1DAB"/>
    <w:rsid w:val="00CC1FAF"/>
    <w:rsid w:val="00CC20A0"/>
    <w:rsid w:val="00CC2107"/>
    <w:rsid w:val="00CC2565"/>
    <w:rsid w:val="00CC278B"/>
    <w:rsid w:val="00CC2E8E"/>
    <w:rsid w:val="00CC2F01"/>
    <w:rsid w:val="00CC31FA"/>
    <w:rsid w:val="00CC3201"/>
    <w:rsid w:val="00CC3390"/>
    <w:rsid w:val="00CC3626"/>
    <w:rsid w:val="00CC3BB6"/>
    <w:rsid w:val="00CC3BBF"/>
    <w:rsid w:val="00CC3CEE"/>
    <w:rsid w:val="00CC3E1B"/>
    <w:rsid w:val="00CC3E63"/>
    <w:rsid w:val="00CC4032"/>
    <w:rsid w:val="00CC4129"/>
    <w:rsid w:val="00CC42A0"/>
    <w:rsid w:val="00CC45F7"/>
    <w:rsid w:val="00CC461B"/>
    <w:rsid w:val="00CC46E9"/>
    <w:rsid w:val="00CC4B33"/>
    <w:rsid w:val="00CC4C90"/>
    <w:rsid w:val="00CC4F59"/>
    <w:rsid w:val="00CC4F6E"/>
    <w:rsid w:val="00CC502D"/>
    <w:rsid w:val="00CC5096"/>
    <w:rsid w:val="00CC540D"/>
    <w:rsid w:val="00CC5524"/>
    <w:rsid w:val="00CC56E1"/>
    <w:rsid w:val="00CC587A"/>
    <w:rsid w:val="00CC5BA6"/>
    <w:rsid w:val="00CC5BF6"/>
    <w:rsid w:val="00CC5D2A"/>
    <w:rsid w:val="00CC6072"/>
    <w:rsid w:val="00CC610B"/>
    <w:rsid w:val="00CC639E"/>
    <w:rsid w:val="00CC6935"/>
    <w:rsid w:val="00CC69D3"/>
    <w:rsid w:val="00CC6D89"/>
    <w:rsid w:val="00CC6E09"/>
    <w:rsid w:val="00CC6F0B"/>
    <w:rsid w:val="00CC7030"/>
    <w:rsid w:val="00CC72D9"/>
    <w:rsid w:val="00CC7961"/>
    <w:rsid w:val="00CC7986"/>
    <w:rsid w:val="00CC7C8A"/>
    <w:rsid w:val="00CD00E6"/>
    <w:rsid w:val="00CD0678"/>
    <w:rsid w:val="00CD07B3"/>
    <w:rsid w:val="00CD097E"/>
    <w:rsid w:val="00CD09EC"/>
    <w:rsid w:val="00CD09F3"/>
    <w:rsid w:val="00CD0D14"/>
    <w:rsid w:val="00CD0D55"/>
    <w:rsid w:val="00CD1001"/>
    <w:rsid w:val="00CD11F0"/>
    <w:rsid w:val="00CD12C9"/>
    <w:rsid w:val="00CD14BC"/>
    <w:rsid w:val="00CD1D27"/>
    <w:rsid w:val="00CD1F13"/>
    <w:rsid w:val="00CD25AA"/>
    <w:rsid w:val="00CD2799"/>
    <w:rsid w:val="00CD27B1"/>
    <w:rsid w:val="00CD27B5"/>
    <w:rsid w:val="00CD2E14"/>
    <w:rsid w:val="00CD2FEB"/>
    <w:rsid w:val="00CD3039"/>
    <w:rsid w:val="00CD3390"/>
    <w:rsid w:val="00CD34D9"/>
    <w:rsid w:val="00CD35AC"/>
    <w:rsid w:val="00CD3603"/>
    <w:rsid w:val="00CD377B"/>
    <w:rsid w:val="00CD3D58"/>
    <w:rsid w:val="00CD417E"/>
    <w:rsid w:val="00CD4336"/>
    <w:rsid w:val="00CD439E"/>
    <w:rsid w:val="00CD4750"/>
    <w:rsid w:val="00CD4795"/>
    <w:rsid w:val="00CD47AE"/>
    <w:rsid w:val="00CD4D5B"/>
    <w:rsid w:val="00CD4DBA"/>
    <w:rsid w:val="00CD50AD"/>
    <w:rsid w:val="00CD54D8"/>
    <w:rsid w:val="00CD55D2"/>
    <w:rsid w:val="00CD5631"/>
    <w:rsid w:val="00CD56BF"/>
    <w:rsid w:val="00CD57BA"/>
    <w:rsid w:val="00CD58BC"/>
    <w:rsid w:val="00CD594E"/>
    <w:rsid w:val="00CD5974"/>
    <w:rsid w:val="00CD5A53"/>
    <w:rsid w:val="00CD5C96"/>
    <w:rsid w:val="00CD5D32"/>
    <w:rsid w:val="00CD6153"/>
    <w:rsid w:val="00CD644C"/>
    <w:rsid w:val="00CD66A2"/>
    <w:rsid w:val="00CD6723"/>
    <w:rsid w:val="00CD67C7"/>
    <w:rsid w:val="00CD6E96"/>
    <w:rsid w:val="00CD72E9"/>
    <w:rsid w:val="00CD744D"/>
    <w:rsid w:val="00CD758B"/>
    <w:rsid w:val="00CD75C1"/>
    <w:rsid w:val="00CD7641"/>
    <w:rsid w:val="00CD784C"/>
    <w:rsid w:val="00CD7B7E"/>
    <w:rsid w:val="00CD7E6A"/>
    <w:rsid w:val="00CE0474"/>
    <w:rsid w:val="00CE047B"/>
    <w:rsid w:val="00CE0ADB"/>
    <w:rsid w:val="00CE0AFB"/>
    <w:rsid w:val="00CE0D3A"/>
    <w:rsid w:val="00CE1094"/>
    <w:rsid w:val="00CE10DF"/>
    <w:rsid w:val="00CE1544"/>
    <w:rsid w:val="00CE1A34"/>
    <w:rsid w:val="00CE1A38"/>
    <w:rsid w:val="00CE1D14"/>
    <w:rsid w:val="00CE1D3C"/>
    <w:rsid w:val="00CE1D4B"/>
    <w:rsid w:val="00CE2599"/>
    <w:rsid w:val="00CE2745"/>
    <w:rsid w:val="00CE2A48"/>
    <w:rsid w:val="00CE2AAB"/>
    <w:rsid w:val="00CE2F82"/>
    <w:rsid w:val="00CE3300"/>
    <w:rsid w:val="00CE361C"/>
    <w:rsid w:val="00CE3725"/>
    <w:rsid w:val="00CE3788"/>
    <w:rsid w:val="00CE3889"/>
    <w:rsid w:val="00CE3937"/>
    <w:rsid w:val="00CE39C8"/>
    <w:rsid w:val="00CE3A38"/>
    <w:rsid w:val="00CE3EC1"/>
    <w:rsid w:val="00CE4BC7"/>
    <w:rsid w:val="00CE4D8B"/>
    <w:rsid w:val="00CE4E6E"/>
    <w:rsid w:val="00CE4F4B"/>
    <w:rsid w:val="00CE520B"/>
    <w:rsid w:val="00CE55F7"/>
    <w:rsid w:val="00CE5993"/>
    <w:rsid w:val="00CE5CAD"/>
    <w:rsid w:val="00CE5D17"/>
    <w:rsid w:val="00CE5D85"/>
    <w:rsid w:val="00CE62F3"/>
    <w:rsid w:val="00CE647E"/>
    <w:rsid w:val="00CE6651"/>
    <w:rsid w:val="00CE68F0"/>
    <w:rsid w:val="00CE6910"/>
    <w:rsid w:val="00CE6A44"/>
    <w:rsid w:val="00CE6DE9"/>
    <w:rsid w:val="00CE6EDD"/>
    <w:rsid w:val="00CE7557"/>
    <w:rsid w:val="00CE7C63"/>
    <w:rsid w:val="00CF0087"/>
    <w:rsid w:val="00CF0156"/>
    <w:rsid w:val="00CF0372"/>
    <w:rsid w:val="00CF03ED"/>
    <w:rsid w:val="00CF0790"/>
    <w:rsid w:val="00CF0E83"/>
    <w:rsid w:val="00CF13C8"/>
    <w:rsid w:val="00CF14CA"/>
    <w:rsid w:val="00CF1654"/>
    <w:rsid w:val="00CF17D5"/>
    <w:rsid w:val="00CF1A17"/>
    <w:rsid w:val="00CF1AF3"/>
    <w:rsid w:val="00CF1E24"/>
    <w:rsid w:val="00CF1F1F"/>
    <w:rsid w:val="00CF2141"/>
    <w:rsid w:val="00CF21C0"/>
    <w:rsid w:val="00CF2496"/>
    <w:rsid w:val="00CF2B23"/>
    <w:rsid w:val="00CF2C32"/>
    <w:rsid w:val="00CF2E28"/>
    <w:rsid w:val="00CF371D"/>
    <w:rsid w:val="00CF3A95"/>
    <w:rsid w:val="00CF3B01"/>
    <w:rsid w:val="00CF3B3F"/>
    <w:rsid w:val="00CF3D1E"/>
    <w:rsid w:val="00CF3E08"/>
    <w:rsid w:val="00CF3F9B"/>
    <w:rsid w:val="00CF40B5"/>
    <w:rsid w:val="00CF40BE"/>
    <w:rsid w:val="00CF42E5"/>
    <w:rsid w:val="00CF4474"/>
    <w:rsid w:val="00CF459F"/>
    <w:rsid w:val="00CF471E"/>
    <w:rsid w:val="00CF47BC"/>
    <w:rsid w:val="00CF498A"/>
    <w:rsid w:val="00CF49C1"/>
    <w:rsid w:val="00CF4C86"/>
    <w:rsid w:val="00CF4DC7"/>
    <w:rsid w:val="00CF50A9"/>
    <w:rsid w:val="00CF525C"/>
    <w:rsid w:val="00CF53A3"/>
    <w:rsid w:val="00CF558E"/>
    <w:rsid w:val="00CF567C"/>
    <w:rsid w:val="00CF56A8"/>
    <w:rsid w:val="00CF5735"/>
    <w:rsid w:val="00CF59CC"/>
    <w:rsid w:val="00CF5AAC"/>
    <w:rsid w:val="00CF5FD4"/>
    <w:rsid w:val="00CF61DE"/>
    <w:rsid w:val="00CF63FB"/>
    <w:rsid w:val="00CF6687"/>
    <w:rsid w:val="00CF66B5"/>
    <w:rsid w:val="00CF6772"/>
    <w:rsid w:val="00CF6B3E"/>
    <w:rsid w:val="00CF6EB4"/>
    <w:rsid w:val="00CF722E"/>
    <w:rsid w:val="00CF738D"/>
    <w:rsid w:val="00CF7456"/>
    <w:rsid w:val="00CF794F"/>
    <w:rsid w:val="00CF7EBC"/>
    <w:rsid w:val="00CF7F22"/>
    <w:rsid w:val="00D001C9"/>
    <w:rsid w:val="00D0028D"/>
    <w:rsid w:val="00D00327"/>
    <w:rsid w:val="00D00613"/>
    <w:rsid w:val="00D00793"/>
    <w:rsid w:val="00D00EED"/>
    <w:rsid w:val="00D014D3"/>
    <w:rsid w:val="00D01867"/>
    <w:rsid w:val="00D01B0E"/>
    <w:rsid w:val="00D01E02"/>
    <w:rsid w:val="00D02086"/>
    <w:rsid w:val="00D02141"/>
    <w:rsid w:val="00D0237B"/>
    <w:rsid w:val="00D02496"/>
    <w:rsid w:val="00D0258B"/>
    <w:rsid w:val="00D026E9"/>
    <w:rsid w:val="00D02BAB"/>
    <w:rsid w:val="00D02FC6"/>
    <w:rsid w:val="00D035E4"/>
    <w:rsid w:val="00D036F0"/>
    <w:rsid w:val="00D03E3C"/>
    <w:rsid w:val="00D03EB7"/>
    <w:rsid w:val="00D042F2"/>
    <w:rsid w:val="00D04493"/>
    <w:rsid w:val="00D04AA2"/>
    <w:rsid w:val="00D04B0C"/>
    <w:rsid w:val="00D04C74"/>
    <w:rsid w:val="00D04D69"/>
    <w:rsid w:val="00D0526F"/>
    <w:rsid w:val="00D0533A"/>
    <w:rsid w:val="00D053B1"/>
    <w:rsid w:val="00D05579"/>
    <w:rsid w:val="00D05606"/>
    <w:rsid w:val="00D0571B"/>
    <w:rsid w:val="00D059E5"/>
    <w:rsid w:val="00D05D3B"/>
    <w:rsid w:val="00D06196"/>
    <w:rsid w:val="00D06491"/>
    <w:rsid w:val="00D068D9"/>
    <w:rsid w:val="00D06F22"/>
    <w:rsid w:val="00D072FD"/>
    <w:rsid w:val="00D0779A"/>
    <w:rsid w:val="00D07A47"/>
    <w:rsid w:val="00D101FB"/>
    <w:rsid w:val="00D103CC"/>
    <w:rsid w:val="00D106C5"/>
    <w:rsid w:val="00D106EF"/>
    <w:rsid w:val="00D1082F"/>
    <w:rsid w:val="00D10892"/>
    <w:rsid w:val="00D10A42"/>
    <w:rsid w:val="00D10AF4"/>
    <w:rsid w:val="00D10C88"/>
    <w:rsid w:val="00D10E24"/>
    <w:rsid w:val="00D10E9E"/>
    <w:rsid w:val="00D10FCD"/>
    <w:rsid w:val="00D111FA"/>
    <w:rsid w:val="00D11246"/>
    <w:rsid w:val="00D11487"/>
    <w:rsid w:val="00D11924"/>
    <w:rsid w:val="00D11C4E"/>
    <w:rsid w:val="00D120A2"/>
    <w:rsid w:val="00D120F8"/>
    <w:rsid w:val="00D1224A"/>
    <w:rsid w:val="00D12511"/>
    <w:rsid w:val="00D12642"/>
    <w:rsid w:val="00D126F6"/>
    <w:rsid w:val="00D12D7E"/>
    <w:rsid w:val="00D12DB2"/>
    <w:rsid w:val="00D12DFA"/>
    <w:rsid w:val="00D13054"/>
    <w:rsid w:val="00D136A2"/>
    <w:rsid w:val="00D13859"/>
    <w:rsid w:val="00D13E8C"/>
    <w:rsid w:val="00D13F48"/>
    <w:rsid w:val="00D1401F"/>
    <w:rsid w:val="00D1437A"/>
    <w:rsid w:val="00D143EB"/>
    <w:rsid w:val="00D14690"/>
    <w:rsid w:val="00D14B47"/>
    <w:rsid w:val="00D14D21"/>
    <w:rsid w:val="00D1513F"/>
    <w:rsid w:val="00D15547"/>
    <w:rsid w:val="00D15692"/>
    <w:rsid w:val="00D157F0"/>
    <w:rsid w:val="00D15B82"/>
    <w:rsid w:val="00D15EAA"/>
    <w:rsid w:val="00D15EC5"/>
    <w:rsid w:val="00D15EE7"/>
    <w:rsid w:val="00D162B8"/>
    <w:rsid w:val="00D16B3B"/>
    <w:rsid w:val="00D16C69"/>
    <w:rsid w:val="00D16E6C"/>
    <w:rsid w:val="00D16EDC"/>
    <w:rsid w:val="00D16FD7"/>
    <w:rsid w:val="00D17026"/>
    <w:rsid w:val="00D171F6"/>
    <w:rsid w:val="00D173A5"/>
    <w:rsid w:val="00D173CC"/>
    <w:rsid w:val="00D1756F"/>
    <w:rsid w:val="00D17665"/>
    <w:rsid w:val="00D178EE"/>
    <w:rsid w:val="00D17AD2"/>
    <w:rsid w:val="00D17B83"/>
    <w:rsid w:val="00D17C7A"/>
    <w:rsid w:val="00D17D4E"/>
    <w:rsid w:val="00D17DC2"/>
    <w:rsid w:val="00D17FFA"/>
    <w:rsid w:val="00D2026B"/>
    <w:rsid w:val="00D202C9"/>
    <w:rsid w:val="00D203B9"/>
    <w:rsid w:val="00D204B8"/>
    <w:rsid w:val="00D207CE"/>
    <w:rsid w:val="00D20A0A"/>
    <w:rsid w:val="00D20AC6"/>
    <w:rsid w:val="00D20BC4"/>
    <w:rsid w:val="00D2119E"/>
    <w:rsid w:val="00D211E5"/>
    <w:rsid w:val="00D21317"/>
    <w:rsid w:val="00D21C1A"/>
    <w:rsid w:val="00D21C63"/>
    <w:rsid w:val="00D21F05"/>
    <w:rsid w:val="00D228B5"/>
    <w:rsid w:val="00D22B80"/>
    <w:rsid w:val="00D22DCE"/>
    <w:rsid w:val="00D22FF3"/>
    <w:rsid w:val="00D2371E"/>
    <w:rsid w:val="00D23A91"/>
    <w:rsid w:val="00D23B4F"/>
    <w:rsid w:val="00D23C63"/>
    <w:rsid w:val="00D23CB3"/>
    <w:rsid w:val="00D23D49"/>
    <w:rsid w:val="00D23E6E"/>
    <w:rsid w:val="00D2420D"/>
    <w:rsid w:val="00D247E3"/>
    <w:rsid w:val="00D24966"/>
    <w:rsid w:val="00D24A7D"/>
    <w:rsid w:val="00D24E4D"/>
    <w:rsid w:val="00D2566A"/>
    <w:rsid w:val="00D25827"/>
    <w:rsid w:val="00D25843"/>
    <w:rsid w:val="00D259DA"/>
    <w:rsid w:val="00D25E4E"/>
    <w:rsid w:val="00D260C7"/>
    <w:rsid w:val="00D2612F"/>
    <w:rsid w:val="00D2630D"/>
    <w:rsid w:val="00D263F9"/>
    <w:rsid w:val="00D2701E"/>
    <w:rsid w:val="00D272C6"/>
    <w:rsid w:val="00D279BE"/>
    <w:rsid w:val="00D27A8F"/>
    <w:rsid w:val="00D27EDE"/>
    <w:rsid w:val="00D3001C"/>
    <w:rsid w:val="00D30169"/>
    <w:rsid w:val="00D302C9"/>
    <w:rsid w:val="00D30378"/>
    <w:rsid w:val="00D307BC"/>
    <w:rsid w:val="00D30ADF"/>
    <w:rsid w:val="00D30B68"/>
    <w:rsid w:val="00D30BD7"/>
    <w:rsid w:val="00D30D9C"/>
    <w:rsid w:val="00D30F66"/>
    <w:rsid w:val="00D31295"/>
    <w:rsid w:val="00D31379"/>
    <w:rsid w:val="00D31640"/>
    <w:rsid w:val="00D316E8"/>
    <w:rsid w:val="00D31B10"/>
    <w:rsid w:val="00D31EE0"/>
    <w:rsid w:val="00D32096"/>
    <w:rsid w:val="00D32353"/>
    <w:rsid w:val="00D3235C"/>
    <w:rsid w:val="00D327FB"/>
    <w:rsid w:val="00D328AE"/>
    <w:rsid w:val="00D328C1"/>
    <w:rsid w:val="00D32C40"/>
    <w:rsid w:val="00D33062"/>
    <w:rsid w:val="00D337A0"/>
    <w:rsid w:val="00D337A2"/>
    <w:rsid w:val="00D33F93"/>
    <w:rsid w:val="00D340BC"/>
    <w:rsid w:val="00D344BB"/>
    <w:rsid w:val="00D34881"/>
    <w:rsid w:val="00D3491A"/>
    <w:rsid w:val="00D34D92"/>
    <w:rsid w:val="00D34FD4"/>
    <w:rsid w:val="00D350D0"/>
    <w:rsid w:val="00D355F8"/>
    <w:rsid w:val="00D35847"/>
    <w:rsid w:val="00D3599E"/>
    <w:rsid w:val="00D35EFE"/>
    <w:rsid w:val="00D35FFF"/>
    <w:rsid w:val="00D3626C"/>
    <w:rsid w:val="00D36467"/>
    <w:rsid w:val="00D364B3"/>
    <w:rsid w:val="00D364BD"/>
    <w:rsid w:val="00D364FA"/>
    <w:rsid w:val="00D36B82"/>
    <w:rsid w:val="00D36C54"/>
    <w:rsid w:val="00D36E27"/>
    <w:rsid w:val="00D3707B"/>
    <w:rsid w:val="00D3715F"/>
    <w:rsid w:val="00D374FB"/>
    <w:rsid w:val="00D37641"/>
    <w:rsid w:val="00D3DAEC"/>
    <w:rsid w:val="00D400A8"/>
    <w:rsid w:val="00D4032B"/>
    <w:rsid w:val="00D405EA"/>
    <w:rsid w:val="00D4122E"/>
    <w:rsid w:val="00D41447"/>
    <w:rsid w:val="00D41622"/>
    <w:rsid w:val="00D41653"/>
    <w:rsid w:val="00D41849"/>
    <w:rsid w:val="00D41A09"/>
    <w:rsid w:val="00D41EC3"/>
    <w:rsid w:val="00D4213D"/>
    <w:rsid w:val="00D42483"/>
    <w:rsid w:val="00D42989"/>
    <w:rsid w:val="00D42AEF"/>
    <w:rsid w:val="00D43207"/>
    <w:rsid w:val="00D432A3"/>
    <w:rsid w:val="00D43392"/>
    <w:rsid w:val="00D4366B"/>
    <w:rsid w:val="00D437B7"/>
    <w:rsid w:val="00D43957"/>
    <w:rsid w:val="00D43A70"/>
    <w:rsid w:val="00D43C49"/>
    <w:rsid w:val="00D43C75"/>
    <w:rsid w:val="00D43F30"/>
    <w:rsid w:val="00D4424E"/>
    <w:rsid w:val="00D44331"/>
    <w:rsid w:val="00D4435F"/>
    <w:rsid w:val="00D44574"/>
    <w:rsid w:val="00D445AE"/>
    <w:rsid w:val="00D44A05"/>
    <w:rsid w:val="00D44B71"/>
    <w:rsid w:val="00D44D55"/>
    <w:rsid w:val="00D451B2"/>
    <w:rsid w:val="00D456B7"/>
    <w:rsid w:val="00D459BA"/>
    <w:rsid w:val="00D45ABF"/>
    <w:rsid w:val="00D4615E"/>
    <w:rsid w:val="00D46247"/>
    <w:rsid w:val="00D462F8"/>
    <w:rsid w:val="00D463C2"/>
    <w:rsid w:val="00D465E1"/>
    <w:rsid w:val="00D46768"/>
    <w:rsid w:val="00D46EDF"/>
    <w:rsid w:val="00D477A2"/>
    <w:rsid w:val="00D478C7"/>
    <w:rsid w:val="00D47C0F"/>
    <w:rsid w:val="00D47E80"/>
    <w:rsid w:val="00D50142"/>
    <w:rsid w:val="00D5039F"/>
    <w:rsid w:val="00D5099D"/>
    <w:rsid w:val="00D50C11"/>
    <w:rsid w:val="00D50C43"/>
    <w:rsid w:val="00D50CD6"/>
    <w:rsid w:val="00D50F4E"/>
    <w:rsid w:val="00D51057"/>
    <w:rsid w:val="00D511A7"/>
    <w:rsid w:val="00D511B1"/>
    <w:rsid w:val="00D51895"/>
    <w:rsid w:val="00D51D83"/>
    <w:rsid w:val="00D51F31"/>
    <w:rsid w:val="00D52754"/>
    <w:rsid w:val="00D52C6B"/>
    <w:rsid w:val="00D530D9"/>
    <w:rsid w:val="00D5318B"/>
    <w:rsid w:val="00D53240"/>
    <w:rsid w:val="00D5326C"/>
    <w:rsid w:val="00D53374"/>
    <w:rsid w:val="00D53425"/>
    <w:rsid w:val="00D536B4"/>
    <w:rsid w:val="00D53750"/>
    <w:rsid w:val="00D5388A"/>
    <w:rsid w:val="00D53D57"/>
    <w:rsid w:val="00D53F1D"/>
    <w:rsid w:val="00D5457D"/>
    <w:rsid w:val="00D54613"/>
    <w:rsid w:val="00D548FC"/>
    <w:rsid w:val="00D54C45"/>
    <w:rsid w:val="00D5560D"/>
    <w:rsid w:val="00D55B5D"/>
    <w:rsid w:val="00D55BAC"/>
    <w:rsid w:val="00D55E57"/>
    <w:rsid w:val="00D5616D"/>
    <w:rsid w:val="00D561E0"/>
    <w:rsid w:val="00D56223"/>
    <w:rsid w:val="00D56557"/>
    <w:rsid w:val="00D56841"/>
    <w:rsid w:val="00D56C4F"/>
    <w:rsid w:val="00D56E31"/>
    <w:rsid w:val="00D56F36"/>
    <w:rsid w:val="00D57357"/>
    <w:rsid w:val="00D5735B"/>
    <w:rsid w:val="00D573F8"/>
    <w:rsid w:val="00D57929"/>
    <w:rsid w:val="00D57C46"/>
    <w:rsid w:val="00D57F00"/>
    <w:rsid w:val="00D6066B"/>
    <w:rsid w:val="00D6090A"/>
    <w:rsid w:val="00D60A2B"/>
    <w:rsid w:val="00D60B37"/>
    <w:rsid w:val="00D60D0A"/>
    <w:rsid w:val="00D60D48"/>
    <w:rsid w:val="00D60DCA"/>
    <w:rsid w:val="00D61425"/>
    <w:rsid w:val="00D6144C"/>
    <w:rsid w:val="00D614C0"/>
    <w:rsid w:val="00D617FC"/>
    <w:rsid w:val="00D6186B"/>
    <w:rsid w:val="00D618D0"/>
    <w:rsid w:val="00D61CFD"/>
    <w:rsid w:val="00D620AE"/>
    <w:rsid w:val="00D6218E"/>
    <w:rsid w:val="00D6220B"/>
    <w:rsid w:val="00D624E4"/>
    <w:rsid w:val="00D62683"/>
    <w:rsid w:val="00D6277B"/>
    <w:rsid w:val="00D629CC"/>
    <w:rsid w:val="00D62A9F"/>
    <w:rsid w:val="00D62BB9"/>
    <w:rsid w:val="00D62DE9"/>
    <w:rsid w:val="00D62F47"/>
    <w:rsid w:val="00D63990"/>
    <w:rsid w:val="00D63C8E"/>
    <w:rsid w:val="00D63FA8"/>
    <w:rsid w:val="00D63FD3"/>
    <w:rsid w:val="00D640AD"/>
    <w:rsid w:val="00D640C5"/>
    <w:rsid w:val="00D64143"/>
    <w:rsid w:val="00D64159"/>
    <w:rsid w:val="00D64584"/>
    <w:rsid w:val="00D64669"/>
    <w:rsid w:val="00D6473A"/>
    <w:rsid w:val="00D647AF"/>
    <w:rsid w:val="00D64DE6"/>
    <w:rsid w:val="00D64F61"/>
    <w:rsid w:val="00D65010"/>
    <w:rsid w:val="00D6513F"/>
    <w:rsid w:val="00D651F4"/>
    <w:rsid w:val="00D653C6"/>
    <w:rsid w:val="00D65481"/>
    <w:rsid w:val="00D65489"/>
    <w:rsid w:val="00D6561A"/>
    <w:rsid w:val="00D656B3"/>
    <w:rsid w:val="00D6585B"/>
    <w:rsid w:val="00D65A04"/>
    <w:rsid w:val="00D65F3C"/>
    <w:rsid w:val="00D667F4"/>
    <w:rsid w:val="00D6683A"/>
    <w:rsid w:val="00D66A3F"/>
    <w:rsid w:val="00D66B9C"/>
    <w:rsid w:val="00D66D98"/>
    <w:rsid w:val="00D66EAF"/>
    <w:rsid w:val="00D67694"/>
    <w:rsid w:val="00D6774A"/>
    <w:rsid w:val="00D67816"/>
    <w:rsid w:val="00D67948"/>
    <w:rsid w:val="00D67C36"/>
    <w:rsid w:val="00D70025"/>
    <w:rsid w:val="00D70A2E"/>
    <w:rsid w:val="00D70C47"/>
    <w:rsid w:val="00D713A3"/>
    <w:rsid w:val="00D7172E"/>
    <w:rsid w:val="00D71784"/>
    <w:rsid w:val="00D71880"/>
    <w:rsid w:val="00D71890"/>
    <w:rsid w:val="00D71DE3"/>
    <w:rsid w:val="00D71E93"/>
    <w:rsid w:val="00D7218C"/>
    <w:rsid w:val="00D723FC"/>
    <w:rsid w:val="00D72508"/>
    <w:rsid w:val="00D72824"/>
    <w:rsid w:val="00D729FA"/>
    <w:rsid w:val="00D72AF4"/>
    <w:rsid w:val="00D72D3E"/>
    <w:rsid w:val="00D73272"/>
    <w:rsid w:val="00D733FD"/>
    <w:rsid w:val="00D735A2"/>
    <w:rsid w:val="00D7365D"/>
    <w:rsid w:val="00D737E9"/>
    <w:rsid w:val="00D73C9A"/>
    <w:rsid w:val="00D73ECD"/>
    <w:rsid w:val="00D73F38"/>
    <w:rsid w:val="00D74482"/>
    <w:rsid w:val="00D745B3"/>
    <w:rsid w:val="00D746F4"/>
    <w:rsid w:val="00D74714"/>
    <w:rsid w:val="00D74776"/>
    <w:rsid w:val="00D74D5D"/>
    <w:rsid w:val="00D74D8A"/>
    <w:rsid w:val="00D74DF6"/>
    <w:rsid w:val="00D74ED3"/>
    <w:rsid w:val="00D75013"/>
    <w:rsid w:val="00D7507C"/>
    <w:rsid w:val="00D75289"/>
    <w:rsid w:val="00D752FE"/>
    <w:rsid w:val="00D7534A"/>
    <w:rsid w:val="00D75D9E"/>
    <w:rsid w:val="00D76086"/>
    <w:rsid w:val="00D764E0"/>
    <w:rsid w:val="00D7683F"/>
    <w:rsid w:val="00D76844"/>
    <w:rsid w:val="00D76A33"/>
    <w:rsid w:val="00D76C14"/>
    <w:rsid w:val="00D77130"/>
    <w:rsid w:val="00D77148"/>
    <w:rsid w:val="00D7729F"/>
    <w:rsid w:val="00D773B2"/>
    <w:rsid w:val="00D774AD"/>
    <w:rsid w:val="00D77620"/>
    <w:rsid w:val="00D7793F"/>
    <w:rsid w:val="00D77979"/>
    <w:rsid w:val="00D77C4B"/>
    <w:rsid w:val="00D77EB6"/>
    <w:rsid w:val="00D80046"/>
    <w:rsid w:val="00D8018A"/>
    <w:rsid w:val="00D805CD"/>
    <w:rsid w:val="00D80C7F"/>
    <w:rsid w:val="00D80C9A"/>
    <w:rsid w:val="00D80F2D"/>
    <w:rsid w:val="00D80F34"/>
    <w:rsid w:val="00D8109A"/>
    <w:rsid w:val="00D814EF"/>
    <w:rsid w:val="00D81588"/>
    <w:rsid w:val="00D81D0B"/>
    <w:rsid w:val="00D81DB2"/>
    <w:rsid w:val="00D827B5"/>
    <w:rsid w:val="00D82806"/>
    <w:rsid w:val="00D82876"/>
    <w:rsid w:val="00D82B18"/>
    <w:rsid w:val="00D833C6"/>
    <w:rsid w:val="00D8357B"/>
    <w:rsid w:val="00D8367F"/>
    <w:rsid w:val="00D83791"/>
    <w:rsid w:val="00D83A1E"/>
    <w:rsid w:val="00D83A73"/>
    <w:rsid w:val="00D83F97"/>
    <w:rsid w:val="00D8416B"/>
    <w:rsid w:val="00D84318"/>
    <w:rsid w:val="00D8441D"/>
    <w:rsid w:val="00D845A2"/>
    <w:rsid w:val="00D84D92"/>
    <w:rsid w:val="00D84EA9"/>
    <w:rsid w:val="00D84EC7"/>
    <w:rsid w:val="00D84FB7"/>
    <w:rsid w:val="00D85005"/>
    <w:rsid w:val="00D85331"/>
    <w:rsid w:val="00D8542D"/>
    <w:rsid w:val="00D85899"/>
    <w:rsid w:val="00D858DD"/>
    <w:rsid w:val="00D85BB3"/>
    <w:rsid w:val="00D85F36"/>
    <w:rsid w:val="00D86387"/>
    <w:rsid w:val="00D86738"/>
    <w:rsid w:val="00D86BBC"/>
    <w:rsid w:val="00D87168"/>
    <w:rsid w:val="00D8738F"/>
    <w:rsid w:val="00D8775E"/>
    <w:rsid w:val="00D87D4C"/>
    <w:rsid w:val="00D87EED"/>
    <w:rsid w:val="00D90064"/>
    <w:rsid w:val="00D9027F"/>
    <w:rsid w:val="00D90372"/>
    <w:rsid w:val="00D9050E"/>
    <w:rsid w:val="00D90EBD"/>
    <w:rsid w:val="00D91AC5"/>
    <w:rsid w:val="00D91D7A"/>
    <w:rsid w:val="00D91EB2"/>
    <w:rsid w:val="00D920A0"/>
    <w:rsid w:val="00D92266"/>
    <w:rsid w:val="00D9257B"/>
    <w:rsid w:val="00D9263E"/>
    <w:rsid w:val="00D92664"/>
    <w:rsid w:val="00D928A8"/>
    <w:rsid w:val="00D92B57"/>
    <w:rsid w:val="00D92C0E"/>
    <w:rsid w:val="00D92E25"/>
    <w:rsid w:val="00D92F75"/>
    <w:rsid w:val="00D9305B"/>
    <w:rsid w:val="00D930C9"/>
    <w:rsid w:val="00D93143"/>
    <w:rsid w:val="00D932F3"/>
    <w:rsid w:val="00D934AE"/>
    <w:rsid w:val="00D935A5"/>
    <w:rsid w:val="00D9381A"/>
    <w:rsid w:val="00D938EF"/>
    <w:rsid w:val="00D93A8F"/>
    <w:rsid w:val="00D93C37"/>
    <w:rsid w:val="00D93CD5"/>
    <w:rsid w:val="00D941E8"/>
    <w:rsid w:val="00D94ACB"/>
    <w:rsid w:val="00D94B7C"/>
    <w:rsid w:val="00D94C4D"/>
    <w:rsid w:val="00D94CFB"/>
    <w:rsid w:val="00D94D7B"/>
    <w:rsid w:val="00D94E15"/>
    <w:rsid w:val="00D9525E"/>
    <w:rsid w:val="00D9543F"/>
    <w:rsid w:val="00D95922"/>
    <w:rsid w:val="00D95994"/>
    <w:rsid w:val="00D95ADE"/>
    <w:rsid w:val="00D95ED2"/>
    <w:rsid w:val="00D961F4"/>
    <w:rsid w:val="00D963BB"/>
    <w:rsid w:val="00D96542"/>
    <w:rsid w:val="00D967DF"/>
    <w:rsid w:val="00D9683E"/>
    <w:rsid w:val="00D96853"/>
    <w:rsid w:val="00D9687C"/>
    <w:rsid w:val="00D96897"/>
    <w:rsid w:val="00D968D5"/>
    <w:rsid w:val="00D96998"/>
    <w:rsid w:val="00D96A9B"/>
    <w:rsid w:val="00D96C1E"/>
    <w:rsid w:val="00D96D34"/>
    <w:rsid w:val="00D96D4D"/>
    <w:rsid w:val="00D9712D"/>
    <w:rsid w:val="00D9762A"/>
    <w:rsid w:val="00DA089B"/>
    <w:rsid w:val="00DA0941"/>
    <w:rsid w:val="00DA0C98"/>
    <w:rsid w:val="00DA0D9C"/>
    <w:rsid w:val="00DA0DCA"/>
    <w:rsid w:val="00DA0F7C"/>
    <w:rsid w:val="00DA1007"/>
    <w:rsid w:val="00DA1469"/>
    <w:rsid w:val="00DA183E"/>
    <w:rsid w:val="00DA1991"/>
    <w:rsid w:val="00DA19E5"/>
    <w:rsid w:val="00DA1C10"/>
    <w:rsid w:val="00DA1DBF"/>
    <w:rsid w:val="00DA1F04"/>
    <w:rsid w:val="00DA2092"/>
    <w:rsid w:val="00DA2152"/>
    <w:rsid w:val="00DA219F"/>
    <w:rsid w:val="00DA21E7"/>
    <w:rsid w:val="00DA2524"/>
    <w:rsid w:val="00DA2624"/>
    <w:rsid w:val="00DA2ED3"/>
    <w:rsid w:val="00DA341A"/>
    <w:rsid w:val="00DA351A"/>
    <w:rsid w:val="00DA3575"/>
    <w:rsid w:val="00DA359A"/>
    <w:rsid w:val="00DA3674"/>
    <w:rsid w:val="00DA376A"/>
    <w:rsid w:val="00DA3773"/>
    <w:rsid w:val="00DA38EA"/>
    <w:rsid w:val="00DA3B85"/>
    <w:rsid w:val="00DA3ED4"/>
    <w:rsid w:val="00DA3F88"/>
    <w:rsid w:val="00DA403B"/>
    <w:rsid w:val="00DA432F"/>
    <w:rsid w:val="00DA4591"/>
    <w:rsid w:val="00DA4594"/>
    <w:rsid w:val="00DA463F"/>
    <w:rsid w:val="00DA4A67"/>
    <w:rsid w:val="00DA50EF"/>
    <w:rsid w:val="00DA5566"/>
    <w:rsid w:val="00DA5A4F"/>
    <w:rsid w:val="00DA5A6E"/>
    <w:rsid w:val="00DA5A6F"/>
    <w:rsid w:val="00DA5AEF"/>
    <w:rsid w:val="00DA5C99"/>
    <w:rsid w:val="00DA5F8B"/>
    <w:rsid w:val="00DA6444"/>
    <w:rsid w:val="00DA650F"/>
    <w:rsid w:val="00DA6762"/>
    <w:rsid w:val="00DA69A1"/>
    <w:rsid w:val="00DA6B2B"/>
    <w:rsid w:val="00DA6B41"/>
    <w:rsid w:val="00DA6B4B"/>
    <w:rsid w:val="00DA6BAC"/>
    <w:rsid w:val="00DA6E87"/>
    <w:rsid w:val="00DA6EFC"/>
    <w:rsid w:val="00DA7004"/>
    <w:rsid w:val="00DA7176"/>
    <w:rsid w:val="00DA7493"/>
    <w:rsid w:val="00DA764D"/>
    <w:rsid w:val="00DA76F1"/>
    <w:rsid w:val="00DA79FE"/>
    <w:rsid w:val="00DA7B21"/>
    <w:rsid w:val="00DA7E14"/>
    <w:rsid w:val="00DA7F37"/>
    <w:rsid w:val="00DA7F73"/>
    <w:rsid w:val="00DB003F"/>
    <w:rsid w:val="00DB02A1"/>
    <w:rsid w:val="00DB0591"/>
    <w:rsid w:val="00DB0855"/>
    <w:rsid w:val="00DB091F"/>
    <w:rsid w:val="00DB0DED"/>
    <w:rsid w:val="00DB0FAE"/>
    <w:rsid w:val="00DB10B4"/>
    <w:rsid w:val="00DB1748"/>
    <w:rsid w:val="00DB1B98"/>
    <w:rsid w:val="00DB1C12"/>
    <w:rsid w:val="00DB1D43"/>
    <w:rsid w:val="00DB1E27"/>
    <w:rsid w:val="00DB2002"/>
    <w:rsid w:val="00DB200F"/>
    <w:rsid w:val="00DB23EF"/>
    <w:rsid w:val="00DB253D"/>
    <w:rsid w:val="00DB2617"/>
    <w:rsid w:val="00DB26D5"/>
    <w:rsid w:val="00DB286F"/>
    <w:rsid w:val="00DB2D2E"/>
    <w:rsid w:val="00DB2D7B"/>
    <w:rsid w:val="00DB2E2B"/>
    <w:rsid w:val="00DB35C2"/>
    <w:rsid w:val="00DB38B2"/>
    <w:rsid w:val="00DB3B89"/>
    <w:rsid w:val="00DB4114"/>
    <w:rsid w:val="00DB41C8"/>
    <w:rsid w:val="00DB4473"/>
    <w:rsid w:val="00DB4530"/>
    <w:rsid w:val="00DB4739"/>
    <w:rsid w:val="00DB4B17"/>
    <w:rsid w:val="00DB4B34"/>
    <w:rsid w:val="00DB4DF0"/>
    <w:rsid w:val="00DB56B6"/>
    <w:rsid w:val="00DB5706"/>
    <w:rsid w:val="00DB5727"/>
    <w:rsid w:val="00DB5912"/>
    <w:rsid w:val="00DB5968"/>
    <w:rsid w:val="00DB5B8E"/>
    <w:rsid w:val="00DB6140"/>
    <w:rsid w:val="00DB6355"/>
    <w:rsid w:val="00DB65AE"/>
    <w:rsid w:val="00DB66B9"/>
    <w:rsid w:val="00DB69FB"/>
    <w:rsid w:val="00DB712F"/>
    <w:rsid w:val="00DB7337"/>
    <w:rsid w:val="00DB75DB"/>
    <w:rsid w:val="00DB76DD"/>
    <w:rsid w:val="00DB771D"/>
    <w:rsid w:val="00DB7782"/>
    <w:rsid w:val="00DB79DF"/>
    <w:rsid w:val="00DC0076"/>
    <w:rsid w:val="00DC0234"/>
    <w:rsid w:val="00DC0236"/>
    <w:rsid w:val="00DC0542"/>
    <w:rsid w:val="00DC1654"/>
    <w:rsid w:val="00DC193F"/>
    <w:rsid w:val="00DC1E06"/>
    <w:rsid w:val="00DC20AB"/>
    <w:rsid w:val="00DC2126"/>
    <w:rsid w:val="00DC263E"/>
    <w:rsid w:val="00DC2A4E"/>
    <w:rsid w:val="00DC308C"/>
    <w:rsid w:val="00DC30A5"/>
    <w:rsid w:val="00DC3231"/>
    <w:rsid w:val="00DC33FF"/>
    <w:rsid w:val="00DC37B6"/>
    <w:rsid w:val="00DC3961"/>
    <w:rsid w:val="00DC39DA"/>
    <w:rsid w:val="00DC3B09"/>
    <w:rsid w:val="00DC3FA6"/>
    <w:rsid w:val="00DC41AB"/>
    <w:rsid w:val="00DC4364"/>
    <w:rsid w:val="00DC46C1"/>
    <w:rsid w:val="00DC46F9"/>
    <w:rsid w:val="00DC4838"/>
    <w:rsid w:val="00DC4912"/>
    <w:rsid w:val="00DC4967"/>
    <w:rsid w:val="00DC4B2F"/>
    <w:rsid w:val="00DC4B3D"/>
    <w:rsid w:val="00DC4F46"/>
    <w:rsid w:val="00DC5096"/>
    <w:rsid w:val="00DC51E2"/>
    <w:rsid w:val="00DC55E1"/>
    <w:rsid w:val="00DC572F"/>
    <w:rsid w:val="00DC5AE0"/>
    <w:rsid w:val="00DC5CF4"/>
    <w:rsid w:val="00DC6564"/>
    <w:rsid w:val="00DC6618"/>
    <w:rsid w:val="00DC6AD0"/>
    <w:rsid w:val="00DC71D8"/>
    <w:rsid w:val="00DC73BF"/>
    <w:rsid w:val="00DC766C"/>
    <w:rsid w:val="00DC774C"/>
    <w:rsid w:val="00DC77C2"/>
    <w:rsid w:val="00DC78DF"/>
    <w:rsid w:val="00DC7967"/>
    <w:rsid w:val="00DC7FC6"/>
    <w:rsid w:val="00DD01B4"/>
    <w:rsid w:val="00DD0720"/>
    <w:rsid w:val="00DD0BD1"/>
    <w:rsid w:val="00DD0E89"/>
    <w:rsid w:val="00DD0FDE"/>
    <w:rsid w:val="00DD1306"/>
    <w:rsid w:val="00DD1375"/>
    <w:rsid w:val="00DD1472"/>
    <w:rsid w:val="00DD152A"/>
    <w:rsid w:val="00DD1759"/>
    <w:rsid w:val="00DD2362"/>
    <w:rsid w:val="00DD2409"/>
    <w:rsid w:val="00DD25E0"/>
    <w:rsid w:val="00DD2BF8"/>
    <w:rsid w:val="00DD2D69"/>
    <w:rsid w:val="00DD304F"/>
    <w:rsid w:val="00DD333D"/>
    <w:rsid w:val="00DD348C"/>
    <w:rsid w:val="00DD372B"/>
    <w:rsid w:val="00DD38F8"/>
    <w:rsid w:val="00DD3AB9"/>
    <w:rsid w:val="00DD3E80"/>
    <w:rsid w:val="00DD3F07"/>
    <w:rsid w:val="00DD40B4"/>
    <w:rsid w:val="00DD41BA"/>
    <w:rsid w:val="00DD439B"/>
    <w:rsid w:val="00DD4848"/>
    <w:rsid w:val="00DD4880"/>
    <w:rsid w:val="00DD4941"/>
    <w:rsid w:val="00DD4958"/>
    <w:rsid w:val="00DD4B22"/>
    <w:rsid w:val="00DD4B3F"/>
    <w:rsid w:val="00DD4C8D"/>
    <w:rsid w:val="00DD4CA3"/>
    <w:rsid w:val="00DD4E53"/>
    <w:rsid w:val="00DD4F0F"/>
    <w:rsid w:val="00DD51F1"/>
    <w:rsid w:val="00DD5214"/>
    <w:rsid w:val="00DD5273"/>
    <w:rsid w:val="00DD5282"/>
    <w:rsid w:val="00DD53A3"/>
    <w:rsid w:val="00DD53C5"/>
    <w:rsid w:val="00DD54C6"/>
    <w:rsid w:val="00DD579F"/>
    <w:rsid w:val="00DD589F"/>
    <w:rsid w:val="00DD5962"/>
    <w:rsid w:val="00DD5B10"/>
    <w:rsid w:val="00DD5D29"/>
    <w:rsid w:val="00DD5D8A"/>
    <w:rsid w:val="00DD5EBC"/>
    <w:rsid w:val="00DD60B1"/>
    <w:rsid w:val="00DD618A"/>
    <w:rsid w:val="00DD6282"/>
    <w:rsid w:val="00DD640C"/>
    <w:rsid w:val="00DD65B1"/>
    <w:rsid w:val="00DD6B10"/>
    <w:rsid w:val="00DD6B87"/>
    <w:rsid w:val="00DD6C80"/>
    <w:rsid w:val="00DD6E1A"/>
    <w:rsid w:val="00DD6E58"/>
    <w:rsid w:val="00DD702B"/>
    <w:rsid w:val="00DD70E5"/>
    <w:rsid w:val="00DD742E"/>
    <w:rsid w:val="00DD7605"/>
    <w:rsid w:val="00DD7641"/>
    <w:rsid w:val="00DD77F1"/>
    <w:rsid w:val="00DD78BA"/>
    <w:rsid w:val="00DE01BA"/>
    <w:rsid w:val="00DE03B8"/>
    <w:rsid w:val="00DE059B"/>
    <w:rsid w:val="00DE0882"/>
    <w:rsid w:val="00DE08D7"/>
    <w:rsid w:val="00DE0984"/>
    <w:rsid w:val="00DE09B0"/>
    <w:rsid w:val="00DE09EF"/>
    <w:rsid w:val="00DE0ED0"/>
    <w:rsid w:val="00DE1870"/>
    <w:rsid w:val="00DE18ED"/>
    <w:rsid w:val="00DE1BE8"/>
    <w:rsid w:val="00DE1C13"/>
    <w:rsid w:val="00DE1DD0"/>
    <w:rsid w:val="00DE1F18"/>
    <w:rsid w:val="00DE1FEB"/>
    <w:rsid w:val="00DE216F"/>
    <w:rsid w:val="00DE2398"/>
    <w:rsid w:val="00DE25CE"/>
    <w:rsid w:val="00DE26C9"/>
    <w:rsid w:val="00DE26ED"/>
    <w:rsid w:val="00DE278E"/>
    <w:rsid w:val="00DE30D0"/>
    <w:rsid w:val="00DE3139"/>
    <w:rsid w:val="00DE33DD"/>
    <w:rsid w:val="00DE3707"/>
    <w:rsid w:val="00DE3776"/>
    <w:rsid w:val="00DE3AB8"/>
    <w:rsid w:val="00DE3F5D"/>
    <w:rsid w:val="00DE3F60"/>
    <w:rsid w:val="00DE40BD"/>
    <w:rsid w:val="00DE4290"/>
    <w:rsid w:val="00DE4631"/>
    <w:rsid w:val="00DE4791"/>
    <w:rsid w:val="00DE4AB2"/>
    <w:rsid w:val="00DE4C00"/>
    <w:rsid w:val="00DE4C3A"/>
    <w:rsid w:val="00DE4E91"/>
    <w:rsid w:val="00DE51E5"/>
    <w:rsid w:val="00DE5294"/>
    <w:rsid w:val="00DE536E"/>
    <w:rsid w:val="00DE55E7"/>
    <w:rsid w:val="00DE5648"/>
    <w:rsid w:val="00DE574D"/>
    <w:rsid w:val="00DE5AC5"/>
    <w:rsid w:val="00DE5BBC"/>
    <w:rsid w:val="00DE5D59"/>
    <w:rsid w:val="00DE623C"/>
    <w:rsid w:val="00DE637D"/>
    <w:rsid w:val="00DE64F7"/>
    <w:rsid w:val="00DE66B0"/>
    <w:rsid w:val="00DE68D3"/>
    <w:rsid w:val="00DE6A32"/>
    <w:rsid w:val="00DE6B2C"/>
    <w:rsid w:val="00DE6D97"/>
    <w:rsid w:val="00DE6DBC"/>
    <w:rsid w:val="00DE6DF7"/>
    <w:rsid w:val="00DE6F70"/>
    <w:rsid w:val="00DE786A"/>
    <w:rsid w:val="00DE7B14"/>
    <w:rsid w:val="00DE7CC0"/>
    <w:rsid w:val="00DF018B"/>
    <w:rsid w:val="00DF07B5"/>
    <w:rsid w:val="00DF0A2E"/>
    <w:rsid w:val="00DF0A4C"/>
    <w:rsid w:val="00DF0ADC"/>
    <w:rsid w:val="00DF0F63"/>
    <w:rsid w:val="00DF0FBA"/>
    <w:rsid w:val="00DF183D"/>
    <w:rsid w:val="00DF1977"/>
    <w:rsid w:val="00DF1D3B"/>
    <w:rsid w:val="00DF1EAC"/>
    <w:rsid w:val="00DF2251"/>
    <w:rsid w:val="00DF22D9"/>
    <w:rsid w:val="00DF2584"/>
    <w:rsid w:val="00DF25DA"/>
    <w:rsid w:val="00DF260A"/>
    <w:rsid w:val="00DF2749"/>
    <w:rsid w:val="00DF2CD3"/>
    <w:rsid w:val="00DF2E85"/>
    <w:rsid w:val="00DF2F22"/>
    <w:rsid w:val="00DF3130"/>
    <w:rsid w:val="00DF3219"/>
    <w:rsid w:val="00DF3451"/>
    <w:rsid w:val="00DF369F"/>
    <w:rsid w:val="00DF3736"/>
    <w:rsid w:val="00DF3811"/>
    <w:rsid w:val="00DF38E7"/>
    <w:rsid w:val="00DF3917"/>
    <w:rsid w:val="00DF3E3A"/>
    <w:rsid w:val="00DF3F31"/>
    <w:rsid w:val="00DF400B"/>
    <w:rsid w:val="00DF4256"/>
    <w:rsid w:val="00DF4672"/>
    <w:rsid w:val="00DF488F"/>
    <w:rsid w:val="00DF4BBF"/>
    <w:rsid w:val="00DF4DAF"/>
    <w:rsid w:val="00DF51EC"/>
    <w:rsid w:val="00DF5D67"/>
    <w:rsid w:val="00DF6174"/>
    <w:rsid w:val="00DF6190"/>
    <w:rsid w:val="00DF6613"/>
    <w:rsid w:val="00DF6B2B"/>
    <w:rsid w:val="00DF6CE8"/>
    <w:rsid w:val="00DF6F5A"/>
    <w:rsid w:val="00DF7476"/>
    <w:rsid w:val="00DF7591"/>
    <w:rsid w:val="00DF76BD"/>
    <w:rsid w:val="00DF7996"/>
    <w:rsid w:val="00DF7CB8"/>
    <w:rsid w:val="00E00602"/>
    <w:rsid w:val="00E00820"/>
    <w:rsid w:val="00E01089"/>
    <w:rsid w:val="00E017A7"/>
    <w:rsid w:val="00E01854"/>
    <w:rsid w:val="00E021F1"/>
    <w:rsid w:val="00E0238D"/>
    <w:rsid w:val="00E02547"/>
    <w:rsid w:val="00E025D5"/>
    <w:rsid w:val="00E02831"/>
    <w:rsid w:val="00E02917"/>
    <w:rsid w:val="00E02989"/>
    <w:rsid w:val="00E02F35"/>
    <w:rsid w:val="00E02FB1"/>
    <w:rsid w:val="00E0312F"/>
    <w:rsid w:val="00E03862"/>
    <w:rsid w:val="00E03ACF"/>
    <w:rsid w:val="00E03C58"/>
    <w:rsid w:val="00E03ED1"/>
    <w:rsid w:val="00E03FBF"/>
    <w:rsid w:val="00E0417A"/>
    <w:rsid w:val="00E041AF"/>
    <w:rsid w:val="00E04491"/>
    <w:rsid w:val="00E0457E"/>
    <w:rsid w:val="00E045F3"/>
    <w:rsid w:val="00E04636"/>
    <w:rsid w:val="00E046A4"/>
    <w:rsid w:val="00E04D11"/>
    <w:rsid w:val="00E04E50"/>
    <w:rsid w:val="00E04F3F"/>
    <w:rsid w:val="00E055D6"/>
    <w:rsid w:val="00E056D1"/>
    <w:rsid w:val="00E05AF6"/>
    <w:rsid w:val="00E05F92"/>
    <w:rsid w:val="00E0611A"/>
    <w:rsid w:val="00E062B8"/>
    <w:rsid w:val="00E065D6"/>
    <w:rsid w:val="00E06AD2"/>
    <w:rsid w:val="00E06D21"/>
    <w:rsid w:val="00E06E28"/>
    <w:rsid w:val="00E072A0"/>
    <w:rsid w:val="00E07327"/>
    <w:rsid w:val="00E07502"/>
    <w:rsid w:val="00E075D8"/>
    <w:rsid w:val="00E076D8"/>
    <w:rsid w:val="00E07B29"/>
    <w:rsid w:val="00E07E5A"/>
    <w:rsid w:val="00E103A8"/>
    <w:rsid w:val="00E10414"/>
    <w:rsid w:val="00E105C7"/>
    <w:rsid w:val="00E106E3"/>
    <w:rsid w:val="00E10727"/>
    <w:rsid w:val="00E10C62"/>
    <w:rsid w:val="00E10E3D"/>
    <w:rsid w:val="00E11159"/>
    <w:rsid w:val="00E11164"/>
    <w:rsid w:val="00E1121B"/>
    <w:rsid w:val="00E1125B"/>
    <w:rsid w:val="00E114BC"/>
    <w:rsid w:val="00E115A1"/>
    <w:rsid w:val="00E11A57"/>
    <w:rsid w:val="00E1221D"/>
    <w:rsid w:val="00E124E3"/>
    <w:rsid w:val="00E125FD"/>
    <w:rsid w:val="00E1274A"/>
    <w:rsid w:val="00E127E4"/>
    <w:rsid w:val="00E12882"/>
    <w:rsid w:val="00E128B6"/>
    <w:rsid w:val="00E12AD4"/>
    <w:rsid w:val="00E12BC8"/>
    <w:rsid w:val="00E12D9A"/>
    <w:rsid w:val="00E12EE5"/>
    <w:rsid w:val="00E130F2"/>
    <w:rsid w:val="00E132FC"/>
    <w:rsid w:val="00E13361"/>
    <w:rsid w:val="00E13CBF"/>
    <w:rsid w:val="00E141CA"/>
    <w:rsid w:val="00E14245"/>
    <w:rsid w:val="00E14724"/>
    <w:rsid w:val="00E14926"/>
    <w:rsid w:val="00E1492B"/>
    <w:rsid w:val="00E149E9"/>
    <w:rsid w:val="00E14A4E"/>
    <w:rsid w:val="00E14C3E"/>
    <w:rsid w:val="00E14D9E"/>
    <w:rsid w:val="00E14D9F"/>
    <w:rsid w:val="00E14DC1"/>
    <w:rsid w:val="00E14EDD"/>
    <w:rsid w:val="00E15265"/>
    <w:rsid w:val="00E153CA"/>
    <w:rsid w:val="00E1592D"/>
    <w:rsid w:val="00E15AF7"/>
    <w:rsid w:val="00E15B11"/>
    <w:rsid w:val="00E16207"/>
    <w:rsid w:val="00E162D1"/>
    <w:rsid w:val="00E163EE"/>
    <w:rsid w:val="00E164C6"/>
    <w:rsid w:val="00E165BE"/>
    <w:rsid w:val="00E1671D"/>
    <w:rsid w:val="00E167CC"/>
    <w:rsid w:val="00E16C03"/>
    <w:rsid w:val="00E16C83"/>
    <w:rsid w:val="00E16E3D"/>
    <w:rsid w:val="00E1706C"/>
    <w:rsid w:val="00E1710A"/>
    <w:rsid w:val="00E17255"/>
    <w:rsid w:val="00E1758A"/>
    <w:rsid w:val="00E17720"/>
    <w:rsid w:val="00E178FE"/>
    <w:rsid w:val="00E17CF9"/>
    <w:rsid w:val="00E2097F"/>
    <w:rsid w:val="00E209FC"/>
    <w:rsid w:val="00E20B43"/>
    <w:rsid w:val="00E20B61"/>
    <w:rsid w:val="00E20C42"/>
    <w:rsid w:val="00E20F9B"/>
    <w:rsid w:val="00E210E0"/>
    <w:rsid w:val="00E210F5"/>
    <w:rsid w:val="00E211E4"/>
    <w:rsid w:val="00E21240"/>
    <w:rsid w:val="00E2142B"/>
    <w:rsid w:val="00E2158D"/>
    <w:rsid w:val="00E21CFB"/>
    <w:rsid w:val="00E21F4E"/>
    <w:rsid w:val="00E22095"/>
    <w:rsid w:val="00E22164"/>
    <w:rsid w:val="00E22A18"/>
    <w:rsid w:val="00E23204"/>
    <w:rsid w:val="00E2332B"/>
    <w:rsid w:val="00E23644"/>
    <w:rsid w:val="00E23696"/>
    <w:rsid w:val="00E23776"/>
    <w:rsid w:val="00E2395E"/>
    <w:rsid w:val="00E24312"/>
    <w:rsid w:val="00E247E0"/>
    <w:rsid w:val="00E24843"/>
    <w:rsid w:val="00E249A9"/>
    <w:rsid w:val="00E24AEB"/>
    <w:rsid w:val="00E24BB4"/>
    <w:rsid w:val="00E24DB8"/>
    <w:rsid w:val="00E24EC9"/>
    <w:rsid w:val="00E250D8"/>
    <w:rsid w:val="00E25444"/>
    <w:rsid w:val="00E25BD3"/>
    <w:rsid w:val="00E25C12"/>
    <w:rsid w:val="00E266FC"/>
    <w:rsid w:val="00E26778"/>
    <w:rsid w:val="00E26893"/>
    <w:rsid w:val="00E2699A"/>
    <w:rsid w:val="00E26E33"/>
    <w:rsid w:val="00E270A0"/>
    <w:rsid w:val="00E27280"/>
    <w:rsid w:val="00E27870"/>
    <w:rsid w:val="00E27B73"/>
    <w:rsid w:val="00E27BBA"/>
    <w:rsid w:val="00E27C24"/>
    <w:rsid w:val="00E27D3E"/>
    <w:rsid w:val="00E27E04"/>
    <w:rsid w:val="00E30105"/>
    <w:rsid w:val="00E302D7"/>
    <w:rsid w:val="00E30A1B"/>
    <w:rsid w:val="00E30CCC"/>
    <w:rsid w:val="00E30E5E"/>
    <w:rsid w:val="00E3143F"/>
    <w:rsid w:val="00E314AE"/>
    <w:rsid w:val="00E31C63"/>
    <w:rsid w:val="00E31D0F"/>
    <w:rsid w:val="00E31D92"/>
    <w:rsid w:val="00E31E09"/>
    <w:rsid w:val="00E31F1B"/>
    <w:rsid w:val="00E3215B"/>
    <w:rsid w:val="00E32275"/>
    <w:rsid w:val="00E32310"/>
    <w:rsid w:val="00E324E9"/>
    <w:rsid w:val="00E329AD"/>
    <w:rsid w:val="00E32AF6"/>
    <w:rsid w:val="00E32CAF"/>
    <w:rsid w:val="00E32F3B"/>
    <w:rsid w:val="00E33281"/>
    <w:rsid w:val="00E33485"/>
    <w:rsid w:val="00E3366E"/>
    <w:rsid w:val="00E33AC2"/>
    <w:rsid w:val="00E34816"/>
    <w:rsid w:val="00E3482B"/>
    <w:rsid w:val="00E349A9"/>
    <w:rsid w:val="00E34CD4"/>
    <w:rsid w:val="00E34D5C"/>
    <w:rsid w:val="00E34DCE"/>
    <w:rsid w:val="00E354A3"/>
    <w:rsid w:val="00E356E9"/>
    <w:rsid w:val="00E35B25"/>
    <w:rsid w:val="00E35B2A"/>
    <w:rsid w:val="00E35C6E"/>
    <w:rsid w:val="00E364B1"/>
    <w:rsid w:val="00E36573"/>
    <w:rsid w:val="00E36912"/>
    <w:rsid w:val="00E36A5B"/>
    <w:rsid w:val="00E36AEB"/>
    <w:rsid w:val="00E36C4E"/>
    <w:rsid w:val="00E371B9"/>
    <w:rsid w:val="00E3747F"/>
    <w:rsid w:val="00E374A3"/>
    <w:rsid w:val="00E37929"/>
    <w:rsid w:val="00E37C4B"/>
    <w:rsid w:val="00E37C9E"/>
    <w:rsid w:val="00E37EF4"/>
    <w:rsid w:val="00E40005"/>
    <w:rsid w:val="00E4009C"/>
    <w:rsid w:val="00E40232"/>
    <w:rsid w:val="00E402A8"/>
    <w:rsid w:val="00E403C7"/>
    <w:rsid w:val="00E404C3"/>
    <w:rsid w:val="00E404D2"/>
    <w:rsid w:val="00E40734"/>
    <w:rsid w:val="00E4096C"/>
    <w:rsid w:val="00E40AF8"/>
    <w:rsid w:val="00E40FA2"/>
    <w:rsid w:val="00E41009"/>
    <w:rsid w:val="00E410B1"/>
    <w:rsid w:val="00E4110E"/>
    <w:rsid w:val="00E41250"/>
    <w:rsid w:val="00E412B3"/>
    <w:rsid w:val="00E41909"/>
    <w:rsid w:val="00E41BD5"/>
    <w:rsid w:val="00E41C31"/>
    <w:rsid w:val="00E41E41"/>
    <w:rsid w:val="00E42018"/>
    <w:rsid w:val="00E421EB"/>
    <w:rsid w:val="00E4286C"/>
    <w:rsid w:val="00E4298D"/>
    <w:rsid w:val="00E42F7E"/>
    <w:rsid w:val="00E42F84"/>
    <w:rsid w:val="00E4342E"/>
    <w:rsid w:val="00E43577"/>
    <w:rsid w:val="00E43780"/>
    <w:rsid w:val="00E43F94"/>
    <w:rsid w:val="00E44B2E"/>
    <w:rsid w:val="00E44B82"/>
    <w:rsid w:val="00E452A6"/>
    <w:rsid w:val="00E457D3"/>
    <w:rsid w:val="00E45B51"/>
    <w:rsid w:val="00E45D83"/>
    <w:rsid w:val="00E45EF5"/>
    <w:rsid w:val="00E460E3"/>
    <w:rsid w:val="00E46391"/>
    <w:rsid w:val="00E4660D"/>
    <w:rsid w:val="00E46CA7"/>
    <w:rsid w:val="00E46FBD"/>
    <w:rsid w:val="00E4707F"/>
    <w:rsid w:val="00E473DE"/>
    <w:rsid w:val="00E47590"/>
    <w:rsid w:val="00E47D40"/>
    <w:rsid w:val="00E47E8F"/>
    <w:rsid w:val="00E5028E"/>
    <w:rsid w:val="00E50430"/>
    <w:rsid w:val="00E505FF"/>
    <w:rsid w:val="00E50942"/>
    <w:rsid w:val="00E50B09"/>
    <w:rsid w:val="00E50B17"/>
    <w:rsid w:val="00E50B25"/>
    <w:rsid w:val="00E51752"/>
    <w:rsid w:val="00E51AB0"/>
    <w:rsid w:val="00E51EC2"/>
    <w:rsid w:val="00E51FF2"/>
    <w:rsid w:val="00E52091"/>
    <w:rsid w:val="00E522D5"/>
    <w:rsid w:val="00E5236E"/>
    <w:rsid w:val="00E52456"/>
    <w:rsid w:val="00E526CC"/>
    <w:rsid w:val="00E526D4"/>
    <w:rsid w:val="00E52907"/>
    <w:rsid w:val="00E52B24"/>
    <w:rsid w:val="00E52F89"/>
    <w:rsid w:val="00E52FEC"/>
    <w:rsid w:val="00E53210"/>
    <w:rsid w:val="00E53347"/>
    <w:rsid w:val="00E535CB"/>
    <w:rsid w:val="00E538DA"/>
    <w:rsid w:val="00E53935"/>
    <w:rsid w:val="00E539C3"/>
    <w:rsid w:val="00E53E80"/>
    <w:rsid w:val="00E53F21"/>
    <w:rsid w:val="00E53FE8"/>
    <w:rsid w:val="00E54018"/>
    <w:rsid w:val="00E54089"/>
    <w:rsid w:val="00E54168"/>
    <w:rsid w:val="00E5449F"/>
    <w:rsid w:val="00E5468D"/>
    <w:rsid w:val="00E54698"/>
    <w:rsid w:val="00E546EC"/>
    <w:rsid w:val="00E546ED"/>
    <w:rsid w:val="00E54C4F"/>
    <w:rsid w:val="00E55284"/>
    <w:rsid w:val="00E5562B"/>
    <w:rsid w:val="00E5567F"/>
    <w:rsid w:val="00E55865"/>
    <w:rsid w:val="00E56033"/>
    <w:rsid w:val="00E5629C"/>
    <w:rsid w:val="00E562C1"/>
    <w:rsid w:val="00E5643B"/>
    <w:rsid w:val="00E565B8"/>
    <w:rsid w:val="00E5661F"/>
    <w:rsid w:val="00E56760"/>
    <w:rsid w:val="00E56917"/>
    <w:rsid w:val="00E56A91"/>
    <w:rsid w:val="00E56C04"/>
    <w:rsid w:val="00E56D7F"/>
    <w:rsid w:val="00E570DD"/>
    <w:rsid w:val="00E572DD"/>
    <w:rsid w:val="00E57431"/>
    <w:rsid w:val="00E5752A"/>
    <w:rsid w:val="00E5766F"/>
    <w:rsid w:val="00E57671"/>
    <w:rsid w:val="00E576ED"/>
    <w:rsid w:val="00E57BDB"/>
    <w:rsid w:val="00E57C27"/>
    <w:rsid w:val="00E57C8F"/>
    <w:rsid w:val="00E57EBE"/>
    <w:rsid w:val="00E60142"/>
    <w:rsid w:val="00E602DA"/>
    <w:rsid w:val="00E603A4"/>
    <w:rsid w:val="00E603F2"/>
    <w:rsid w:val="00E60CCE"/>
    <w:rsid w:val="00E610B6"/>
    <w:rsid w:val="00E613F5"/>
    <w:rsid w:val="00E619D9"/>
    <w:rsid w:val="00E61FED"/>
    <w:rsid w:val="00E62174"/>
    <w:rsid w:val="00E622F8"/>
    <w:rsid w:val="00E62341"/>
    <w:rsid w:val="00E625C0"/>
    <w:rsid w:val="00E62925"/>
    <w:rsid w:val="00E629A2"/>
    <w:rsid w:val="00E62A4F"/>
    <w:rsid w:val="00E62CF2"/>
    <w:rsid w:val="00E62DC1"/>
    <w:rsid w:val="00E62E31"/>
    <w:rsid w:val="00E63E96"/>
    <w:rsid w:val="00E63EC7"/>
    <w:rsid w:val="00E63FE4"/>
    <w:rsid w:val="00E6428C"/>
    <w:rsid w:val="00E643A1"/>
    <w:rsid w:val="00E64451"/>
    <w:rsid w:val="00E64489"/>
    <w:rsid w:val="00E644E5"/>
    <w:rsid w:val="00E646F9"/>
    <w:rsid w:val="00E6483A"/>
    <w:rsid w:val="00E64DBE"/>
    <w:rsid w:val="00E650EF"/>
    <w:rsid w:val="00E65132"/>
    <w:rsid w:val="00E65393"/>
    <w:rsid w:val="00E653BC"/>
    <w:rsid w:val="00E6551C"/>
    <w:rsid w:val="00E65605"/>
    <w:rsid w:val="00E656F2"/>
    <w:rsid w:val="00E65ECE"/>
    <w:rsid w:val="00E66B33"/>
    <w:rsid w:val="00E673C0"/>
    <w:rsid w:val="00E673E0"/>
    <w:rsid w:val="00E67727"/>
    <w:rsid w:val="00E67B7C"/>
    <w:rsid w:val="00E67BC0"/>
    <w:rsid w:val="00E67C12"/>
    <w:rsid w:val="00E67EB7"/>
    <w:rsid w:val="00E7021B"/>
    <w:rsid w:val="00E702B4"/>
    <w:rsid w:val="00E70501"/>
    <w:rsid w:val="00E708FC"/>
    <w:rsid w:val="00E70A4E"/>
    <w:rsid w:val="00E71154"/>
    <w:rsid w:val="00E71711"/>
    <w:rsid w:val="00E71905"/>
    <w:rsid w:val="00E71CC4"/>
    <w:rsid w:val="00E71FAB"/>
    <w:rsid w:val="00E72088"/>
    <w:rsid w:val="00E721B5"/>
    <w:rsid w:val="00E72421"/>
    <w:rsid w:val="00E72544"/>
    <w:rsid w:val="00E7275A"/>
    <w:rsid w:val="00E7294C"/>
    <w:rsid w:val="00E7296D"/>
    <w:rsid w:val="00E72A0D"/>
    <w:rsid w:val="00E72AA6"/>
    <w:rsid w:val="00E72DB5"/>
    <w:rsid w:val="00E73374"/>
    <w:rsid w:val="00E737EF"/>
    <w:rsid w:val="00E7383C"/>
    <w:rsid w:val="00E73BF4"/>
    <w:rsid w:val="00E740EE"/>
    <w:rsid w:val="00E741DF"/>
    <w:rsid w:val="00E743DD"/>
    <w:rsid w:val="00E7461E"/>
    <w:rsid w:val="00E74662"/>
    <w:rsid w:val="00E7475D"/>
    <w:rsid w:val="00E74846"/>
    <w:rsid w:val="00E748F7"/>
    <w:rsid w:val="00E755DC"/>
    <w:rsid w:val="00E75782"/>
    <w:rsid w:val="00E75CE7"/>
    <w:rsid w:val="00E75DB0"/>
    <w:rsid w:val="00E75F8B"/>
    <w:rsid w:val="00E762FE"/>
    <w:rsid w:val="00E763C3"/>
    <w:rsid w:val="00E76784"/>
    <w:rsid w:val="00E76903"/>
    <w:rsid w:val="00E76D11"/>
    <w:rsid w:val="00E7749A"/>
    <w:rsid w:val="00E7772E"/>
    <w:rsid w:val="00E779AF"/>
    <w:rsid w:val="00E77C60"/>
    <w:rsid w:val="00E80264"/>
    <w:rsid w:val="00E80365"/>
    <w:rsid w:val="00E806E9"/>
    <w:rsid w:val="00E8079A"/>
    <w:rsid w:val="00E808A6"/>
    <w:rsid w:val="00E80F9D"/>
    <w:rsid w:val="00E811C0"/>
    <w:rsid w:val="00E811FD"/>
    <w:rsid w:val="00E812D6"/>
    <w:rsid w:val="00E81845"/>
    <w:rsid w:val="00E81874"/>
    <w:rsid w:val="00E81CEC"/>
    <w:rsid w:val="00E81D45"/>
    <w:rsid w:val="00E81EA4"/>
    <w:rsid w:val="00E825FF"/>
    <w:rsid w:val="00E82663"/>
    <w:rsid w:val="00E82667"/>
    <w:rsid w:val="00E827D5"/>
    <w:rsid w:val="00E82B88"/>
    <w:rsid w:val="00E82BF3"/>
    <w:rsid w:val="00E82EBF"/>
    <w:rsid w:val="00E82F05"/>
    <w:rsid w:val="00E82F14"/>
    <w:rsid w:val="00E8365D"/>
    <w:rsid w:val="00E8390C"/>
    <w:rsid w:val="00E83A9B"/>
    <w:rsid w:val="00E83AEF"/>
    <w:rsid w:val="00E83E12"/>
    <w:rsid w:val="00E83ECF"/>
    <w:rsid w:val="00E83FD4"/>
    <w:rsid w:val="00E84164"/>
    <w:rsid w:val="00E841B5"/>
    <w:rsid w:val="00E841E7"/>
    <w:rsid w:val="00E84248"/>
    <w:rsid w:val="00E84411"/>
    <w:rsid w:val="00E846B8"/>
    <w:rsid w:val="00E84798"/>
    <w:rsid w:val="00E848E0"/>
    <w:rsid w:val="00E84FA6"/>
    <w:rsid w:val="00E851DC"/>
    <w:rsid w:val="00E855D1"/>
    <w:rsid w:val="00E85926"/>
    <w:rsid w:val="00E85B95"/>
    <w:rsid w:val="00E85CDC"/>
    <w:rsid w:val="00E85D1E"/>
    <w:rsid w:val="00E85EA5"/>
    <w:rsid w:val="00E85ECD"/>
    <w:rsid w:val="00E86174"/>
    <w:rsid w:val="00E861EA"/>
    <w:rsid w:val="00E86443"/>
    <w:rsid w:val="00E868D6"/>
    <w:rsid w:val="00E86904"/>
    <w:rsid w:val="00E86959"/>
    <w:rsid w:val="00E86983"/>
    <w:rsid w:val="00E86A13"/>
    <w:rsid w:val="00E86C6D"/>
    <w:rsid w:val="00E86C9D"/>
    <w:rsid w:val="00E86CCA"/>
    <w:rsid w:val="00E870D4"/>
    <w:rsid w:val="00E87266"/>
    <w:rsid w:val="00E875B8"/>
    <w:rsid w:val="00E87775"/>
    <w:rsid w:val="00E877E1"/>
    <w:rsid w:val="00E87C1F"/>
    <w:rsid w:val="00E87DFD"/>
    <w:rsid w:val="00E87E6F"/>
    <w:rsid w:val="00E90156"/>
    <w:rsid w:val="00E902EC"/>
    <w:rsid w:val="00E90A41"/>
    <w:rsid w:val="00E90A99"/>
    <w:rsid w:val="00E9136C"/>
    <w:rsid w:val="00E91620"/>
    <w:rsid w:val="00E9183A"/>
    <w:rsid w:val="00E919D8"/>
    <w:rsid w:val="00E91A28"/>
    <w:rsid w:val="00E91DE5"/>
    <w:rsid w:val="00E91E60"/>
    <w:rsid w:val="00E91EF8"/>
    <w:rsid w:val="00E92821"/>
    <w:rsid w:val="00E928D9"/>
    <w:rsid w:val="00E92925"/>
    <w:rsid w:val="00E93083"/>
    <w:rsid w:val="00E931C9"/>
    <w:rsid w:val="00E933E5"/>
    <w:rsid w:val="00E933EF"/>
    <w:rsid w:val="00E93794"/>
    <w:rsid w:val="00E937E3"/>
    <w:rsid w:val="00E93EB8"/>
    <w:rsid w:val="00E93EE7"/>
    <w:rsid w:val="00E93F07"/>
    <w:rsid w:val="00E93F50"/>
    <w:rsid w:val="00E93FD3"/>
    <w:rsid w:val="00E942E3"/>
    <w:rsid w:val="00E94445"/>
    <w:rsid w:val="00E947AA"/>
    <w:rsid w:val="00E9481E"/>
    <w:rsid w:val="00E94A5C"/>
    <w:rsid w:val="00E94BE8"/>
    <w:rsid w:val="00E94EED"/>
    <w:rsid w:val="00E958E3"/>
    <w:rsid w:val="00E95C0F"/>
    <w:rsid w:val="00E95DA7"/>
    <w:rsid w:val="00E95E44"/>
    <w:rsid w:val="00E95E5B"/>
    <w:rsid w:val="00E96145"/>
    <w:rsid w:val="00E96495"/>
    <w:rsid w:val="00E96534"/>
    <w:rsid w:val="00E96A8B"/>
    <w:rsid w:val="00E96CA3"/>
    <w:rsid w:val="00E96E95"/>
    <w:rsid w:val="00E96EAC"/>
    <w:rsid w:val="00E9704F"/>
    <w:rsid w:val="00E9706A"/>
    <w:rsid w:val="00E97215"/>
    <w:rsid w:val="00E973A6"/>
    <w:rsid w:val="00E974F3"/>
    <w:rsid w:val="00E978BA"/>
    <w:rsid w:val="00E9793A"/>
    <w:rsid w:val="00E97A1D"/>
    <w:rsid w:val="00E97AB9"/>
    <w:rsid w:val="00E97D88"/>
    <w:rsid w:val="00EA042C"/>
    <w:rsid w:val="00EA0930"/>
    <w:rsid w:val="00EA0A45"/>
    <w:rsid w:val="00EA0D61"/>
    <w:rsid w:val="00EA0D82"/>
    <w:rsid w:val="00EA0FC3"/>
    <w:rsid w:val="00EA1215"/>
    <w:rsid w:val="00EA134A"/>
    <w:rsid w:val="00EA1391"/>
    <w:rsid w:val="00EA150A"/>
    <w:rsid w:val="00EA15C0"/>
    <w:rsid w:val="00EA1AE5"/>
    <w:rsid w:val="00EA1B1B"/>
    <w:rsid w:val="00EA1EF2"/>
    <w:rsid w:val="00EA1EF9"/>
    <w:rsid w:val="00EA2131"/>
    <w:rsid w:val="00EA22E3"/>
    <w:rsid w:val="00EA2553"/>
    <w:rsid w:val="00EA28F0"/>
    <w:rsid w:val="00EA2EA8"/>
    <w:rsid w:val="00EA30B3"/>
    <w:rsid w:val="00EA32B5"/>
    <w:rsid w:val="00EA32EF"/>
    <w:rsid w:val="00EA33E3"/>
    <w:rsid w:val="00EA3A9B"/>
    <w:rsid w:val="00EA3BBB"/>
    <w:rsid w:val="00EA3E03"/>
    <w:rsid w:val="00EA4313"/>
    <w:rsid w:val="00EA4B84"/>
    <w:rsid w:val="00EA4C1D"/>
    <w:rsid w:val="00EA4EF6"/>
    <w:rsid w:val="00EA51A8"/>
    <w:rsid w:val="00EA53F1"/>
    <w:rsid w:val="00EA55B5"/>
    <w:rsid w:val="00EA5858"/>
    <w:rsid w:val="00EA58D9"/>
    <w:rsid w:val="00EA6101"/>
    <w:rsid w:val="00EA6283"/>
    <w:rsid w:val="00EA6336"/>
    <w:rsid w:val="00EA6AD3"/>
    <w:rsid w:val="00EA711E"/>
    <w:rsid w:val="00EA719A"/>
    <w:rsid w:val="00EA741F"/>
    <w:rsid w:val="00EA7468"/>
    <w:rsid w:val="00EA746E"/>
    <w:rsid w:val="00EA7554"/>
    <w:rsid w:val="00EA76C6"/>
    <w:rsid w:val="00EA799F"/>
    <w:rsid w:val="00EA7D93"/>
    <w:rsid w:val="00EA7FD7"/>
    <w:rsid w:val="00EB0051"/>
    <w:rsid w:val="00EB047D"/>
    <w:rsid w:val="00EB0485"/>
    <w:rsid w:val="00EB0666"/>
    <w:rsid w:val="00EB071B"/>
    <w:rsid w:val="00EB0B02"/>
    <w:rsid w:val="00EB0CBB"/>
    <w:rsid w:val="00EB105A"/>
    <w:rsid w:val="00EB14D0"/>
    <w:rsid w:val="00EB14D7"/>
    <w:rsid w:val="00EB1809"/>
    <w:rsid w:val="00EB1898"/>
    <w:rsid w:val="00EB1CE7"/>
    <w:rsid w:val="00EB1F33"/>
    <w:rsid w:val="00EB20F2"/>
    <w:rsid w:val="00EB21AB"/>
    <w:rsid w:val="00EB289D"/>
    <w:rsid w:val="00EB29F3"/>
    <w:rsid w:val="00EB2AC2"/>
    <w:rsid w:val="00EB2B41"/>
    <w:rsid w:val="00EB2E50"/>
    <w:rsid w:val="00EB2EE3"/>
    <w:rsid w:val="00EB31C2"/>
    <w:rsid w:val="00EB31E0"/>
    <w:rsid w:val="00EB3262"/>
    <w:rsid w:val="00EB3366"/>
    <w:rsid w:val="00EB363F"/>
    <w:rsid w:val="00EB39EF"/>
    <w:rsid w:val="00EB3CB9"/>
    <w:rsid w:val="00EB3D87"/>
    <w:rsid w:val="00EB3E17"/>
    <w:rsid w:val="00EB3F9C"/>
    <w:rsid w:val="00EB43F9"/>
    <w:rsid w:val="00EB47D0"/>
    <w:rsid w:val="00EB5096"/>
    <w:rsid w:val="00EB52D2"/>
    <w:rsid w:val="00EB53FA"/>
    <w:rsid w:val="00EB573F"/>
    <w:rsid w:val="00EB5A21"/>
    <w:rsid w:val="00EB5CE6"/>
    <w:rsid w:val="00EB5E3E"/>
    <w:rsid w:val="00EB5EB3"/>
    <w:rsid w:val="00EB5FAD"/>
    <w:rsid w:val="00EB6A1A"/>
    <w:rsid w:val="00EB6C4E"/>
    <w:rsid w:val="00EB6D15"/>
    <w:rsid w:val="00EB6D5C"/>
    <w:rsid w:val="00EB722C"/>
    <w:rsid w:val="00EB73A2"/>
    <w:rsid w:val="00EB7475"/>
    <w:rsid w:val="00EB759A"/>
    <w:rsid w:val="00EB766E"/>
    <w:rsid w:val="00EB7887"/>
    <w:rsid w:val="00EB789B"/>
    <w:rsid w:val="00EB7A95"/>
    <w:rsid w:val="00EB7B90"/>
    <w:rsid w:val="00EB7BF6"/>
    <w:rsid w:val="00EB7C27"/>
    <w:rsid w:val="00EB7D83"/>
    <w:rsid w:val="00EC0216"/>
    <w:rsid w:val="00EC038E"/>
    <w:rsid w:val="00EC060F"/>
    <w:rsid w:val="00EC07AF"/>
    <w:rsid w:val="00EC087B"/>
    <w:rsid w:val="00EC08D3"/>
    <w:rsid w:val="00EC0DB5"/>
    <w:rsid w:val="00EC0F24"/>
    <w:rsid w:val="00EC1017"/>
    <w:rsid w:val="00EC10B7"/>
    <w:rsid w:val="00EC137D"/>
    <w:rsid w:val="00EC1A46"/>
    <w:rsid w:val="00EC1A82"/>
    <w:rsid w:val="00EC2031"/>
    <w:rsid w:val="00EC2145"/>
    <w:rsid w:val="00EC2166"/>
    <w:rsid w:val="00EC2465"/>
    <w:rsid w:val="00EC25EB"/>
    <w:rsid w:val="00EC2696"/>
    <w:rsid w:val="00EC2AA6"/>
    <w:rsid w:val="00EC2B0C"/>
    <w:rsid w:val="00EC2CFD"/>
    <w:rsid w:val="00EC2F7C"/>
    <w:rsid w:val="00EC3156"/>
    <w:rsid w:val="00EC334C"/>
    <w:rsid w:val="00EC3725"/>
    <w:rsid w:val="00EC3A01"/>
    <w:rsid w:val="00EC3CAA"/>
    <w:rsid w:val="00EC3EA5"/>
    <w:rsid w:val="00EC4029"/>
    <w:rsid w:val="00EC43DC"/>
    <w:rsid w:val="00EC45AC"/>
    <w:rsid w:val="00EC473F"/>
    <w:rsid w:val="00EC475F"/>
    <w:rsid w:val="00EC4B74"/>
    <w:rsid w:val="00EC4E9E"/>
    <w:rsid w:val="00EC4ED2"/>
    <w:rsid w:val="00EC5016"/>
    <w:rsid w:val="00EC508D"/>
    <w:rsid w:val="00EC52D2"/>
    <w:rsid w:val="00EC52E9"/>
    <w:rsid w:val="00EC537F"/>
    <w:rsid w:val="00EC53BE"/>
    <w:rsid w:val="00EC54E0"/>
    <w:rsid w:val="00EC5555"/>
    <w:rsid w:val="00EC587E"/>
    <w:rsid w:val="00EC5921"/>
    <w:rsid w:val="00EC5C59"/>
    <w:rsid w:val="00EC5CBB"/>
    <w:rsid w:val="00EC5D01"/>
    <w:rsid w:val="00EC5D08"/>
    <w:rsid w:val="00EC5DDD"/>
    <w:rsid w:val="00EC67CA"/>
    <w:rsid w:val="00EC6885"/>
    <w:rsid w:val="00EC6A9D"/>
    <w:rsid w:val="00EC7517"/>
    <w:rsid w:val="00EC7A97"/>
    <w:rsid w:val="00EC7CAB"/>
    <w:rsid w:val="00EC7E6A"/>
    <w:rsid w:val="00ED04FC"/>
    <w:rsid w:val="00ED0830"/>
    <w:rsid w:val="00ED0C52"/>
    <w:rsid w:val="00ED0C75"/>
    <w:rsid w:val="00ED0CCC"/>
    <w:rsid w:val="00ED0D09"/>
    <w:rsid w:val="00ED0D62"/>
    <w:rsid w:val="00ED0E41"/>
    <w:rsid w:val="00ED0E7B"/>
    <w:rsid w:val="00ED0EC7"/>
    <w:rsid w:val="00ED0FAE"/>
    <w:rsid w:val="00ED0FDB"/>
    <w:rsid w:val="00ED1A39"/>
    <w:rsid w:val="00ED1EDA"/>
    <w:rsid w:val="00ED22FF"/>
    <w:rsid w:val="00ED2422"/>
    <w:rsid w:val="00ED2709"/>
    <w:rsid w:val="00ED2A03"/>
    <w:rsid w:val="00ED2AF1"/>
    <w:rsid w:val="00ED2C70"/>
    <w:rsid w:val="00ED314E"/>
    <w:rsid w:val="00ED3187"/>
    <w:rsid w:val="00ED336C"/>
    <w:rsid w:val="00ED3543"/>
    <w:rsid w:val="00ED37F2"/>
    <w:rsid w:val="00ED39FE"/>
    <w:rsid w:val="00ED4DDA"/>
    <w:rsid w:val="00ED53AC"/>
    <w:rsid w:val="00ED54F2"/>
    <w:rsid w:val="00ED555B"/>
    <w:rsid w:val="00ED57E8"/>
    <w:rsid w:val="00ED5A55"/>
    <w:rsid w:val="00ED5C4B"/>
    <w:rsid w:val="00ED5C66"/>
    <w:rsid w:val="00ED60C2"/>
    <w:rsid w:val="00ED611B"/>
    <w:rsid w:val="00ED6297"/>
    <w:rsid w:val="00ED634E"/>
    <w:rsid w:val="00ED635D"/>
    <w:rsid w:val="00ED637C"/>
    <w:rsid w:val="00ED65D0"/>
    <w:rsid w:val="00ED6F8B"/>
    <w:rsid w:val="00ED7385"/>
    <w:rsid w:val="00ED7843"/>
    <w:rsid w:val="00ED7A85"/>
    <w:rsid w:val="00ED7FC5"/>
    <w:rsid w:val="00EE000C"/>
    <w:rsid w:val="00EE00A0"/>
    <w:rsid w:val="00EE02FB"/>
    <w:rsid w:val="00EE0510"/>
    <w:rsid w:val="00EE07D6"/>
    <w:rsid w:val="00EE09D3"/>
    <w:rsid w:val="00EE09FE"/>
    <w:rsid w:val="00EE0ED0"/>
    <w:rsid w:val="00EE126B"/>
    <w:rsid w:val="00EE1852"/>
    <w:rsid w:val="00EE18F7"/>
    <w:rsid w:val="00EE18FF"/>
    <w:rsid w:val="00EE1A1C"/>
    <w:rsid w:val="00EE1BC7"/>
    <w:rsid w:val="00EE1CF4"/>
    <w:rsid w:val="00EE22D7"/>
    <w:rsid w:val="00EE2739"/>
    <w:rsid w:val="00EE2843"/>
    <w:rsid w:val="00EE2897"/>
    <w:rsid w:val="00EE2957"/>
    <w:rsid w:val="00EE30AD"/>
    <w:rsid w:val="00EE3127"/>
    <w:rsid w:val="00EE3229"/>
    <w:rsid w:val="00EE382B"/>
    <w:rsid w:val="00EE38CF"/>
    <w:rsid w:val="00EE3B3C"/>
    <w:rsid w:val="00EE3B8C"/>
    <w:rsid w:val="00EE4027"/>
    <w:rsid w:val="00EE436C"/>
    <w:rsid w:val="00EE4505"/>
    <w:rsid w:val="00EE473B"/>
    <w:rsid w:val="00EE48DE"/>
    <w:rsid w:val="00EE4979"/>
    <w:rsid w:val="00EE4BDA"/>
    <w:rsid w:val="00EE4CB6"/>
    <w:rsid w:val="00EE51E0"/>
    <w:rsid w:val="00EE55DF"/>
    <w:rsid w:val="00EE5607"/>
    <w:rsid w:val="00EE5829"/>
    <w:rsid w:val="00EE6B46"/>
    <w:rsid w:val="00EE6FB1"/>
    <w:rsid w:val="00EE710F"/>
    <w:rsid w:val="00EE712E"/>
    <w:rsid w:val="00EE7156"/>
    <w:rsid w:val="00EE721E"/>
    <w:rsid w:val="00EE764C"/>
    <w:rsid w:val="00EE7657"/>
    <w:rsid w:val="00EE7F31"/>
    <w:rsid w:val="00EF041F"/>
    <w:rsid w:val="00EF0667"/>
    <w:rsid w:val="00EF067D"/>
    <w:rsid w:val="00EF0BB5"/>
    <w:rsid w:val="00EF0D27"/>
    <w:rsid w:val="00EF1C26"/>
    <w:rsid w:val="00EF1D5C"/>
    <w:rsid w:val="00EF2170"/>
    <w:rsid w:val="00EF2180"/>
    <w:rsid w:val="00EF21BD"/>
    <w:rsid w:val="00EF2374"/>
    <w:rsid w:val="00EF23CE"/>
    <w:rsid w:val="00EF25E3"/>
    <w:rsid w:val="00EF2B47"/>
    <w:rsid w:val="00EF2FE9"/>
    <w:rsid w:val="00EF35DB"/>
    <w:rsid w:val="00EF3AF9"/>
    <w:rsid w:val="00EF3B64"/>
    <w:rsid w:val="00EF4172"/>
    <w:rsid w:val="00EF42F2"/>
    <w:rsid w:val="00EF45D1"/>
    <w:rsid w:val="00EF4A6C"/>
    <w:rsid w:val="00EF4B55"/>
    <w:rsid w:val="00EF4D19"/>
    <w:rsid w:val="00EF537E"/>
    <w:rsid w:val="00EF56A1"/>
    <w:rsid w:val="00EF57E2"/>
    <w:rsid w:val="00EF5AC3"/>
    <w:rsid w:val="00EF5AE4"/>
    <w:rsid w:val="00EF5DF5"/>
    <w:rsid w:val="00EF6156"/>
    <w:rsid w:val="00EF649C"/>
    <w:rsid w:val="00EF6871"/>
    <w:rsid w:val="00EF7874"/>
    <w:rsid w:val="00EF78DD"/>
    <w:rsid w:val="00EF7905"/>
    <w:rsid w:val="00EFE2D0"/>
    <w:rsid w:val="00F00006"/>
    <w:rsid w:val="00F0039C"/>
    <w:rsid w:val="00F0063A"/>
    <w:rsid w:val="00F0078D"/>
    <w:rsid w:val="00F00A7F"/>
    <w:rsid w:val="00F0141E"/>
    <w:rsid w:val="00F01445"/>
    <w:rsid w:val="00F014BE"/>
    <w:rsid w:val="00F01504"/>
    <w:rsid w:val="00F0156F"/>
    <w:rsid w:val="00F01698"/>
    <w:rsid w:val="00F01852"/>
    <w:rsid w:val="00F0193C"/>
    <w:rsid w:val="00F01AFB"/>
    <w:rsid w:val="00F01B0E"/>
    <w:rsid w:val="00F01BC7"/>
    <w:rsid w:val="00F01C59"/>
    <w:rsid w:val="00F01F43"/>
    <w:rsid w:val="00F0206F"/>
    <w:rsid w:val="00F0213A"/>
    <w:rsid w:val="00F0228C"/>
    <w:rsid w:val="00F02450"/>
    <w:rsid w:val="00F0251A"/>
    <w:rsid w:val="00F026B0"/>
    <w:rsid w:val="00F0282A"/>
    <w:rsid w:val="00F02AD3"/>
    <w:rsid w:val="00F02C6A"/>
    <w:rsid w:val="00F02D06"/>
    <w:rsid w:val="00F02FD1"/>
    <w:rsid w:val="00F03052"/>
    <w:rsid w:val="00F0345D"/>
    <w:rsid w:val="00F03615"/>
    <w:rsid w:val="00F036DB"/>
    <w:rsid w:val="00F03746"/>
    <w:rsid w:val="00F03AB7"/>
    <w:rsid w:val="00F03D3F"/>
    <w:rsid w:val="00F041B9"/>
    <w:rsid w:val="00F0459E"/>
    <w:rsid w:val="00F046D3"/>
    <w:rsid w:val="00F04B21"/>
    <w:rsid w:val="00F0519D"/>
    <w:rsid w:val="00F0524A"/>
    <w:rsid w:val="00F052C8"/>
    <w:rsid w:val="00F05412"/>
    <w:rsid w:val="00F055D0"/>
    <w:rsid w:val="00F05CBD"/>
    <w:rsid w:val="00F05F02"/>
    <w:rsid w:val="00F06025"/>
    <w:rsid w:val="00F06248"/>
    <w:rsid w:val="00F064B5"/>
    <w:rsid w:val="00F0652C"/>
    <w:rsid w:val="00F06544"/>
    <w:rsid w:val="00F06573"/>
    <w:rsid w:val="00F065B4"/>
    <w:rsid w:val="00F0669C"/>
    <w:rsid w:val="00F066BE"/>
    <w:rsid w:val="00F06773"/>
    <w:rsid w:val="00F06B8C"/>
    <w:rsid w:val="00F06F8A"/>
    <w:rsid w:val="00F071D1"/>
    <w:rsid w:val="00F0744C"/>
    <w:rsid w:val="00F076A4"/>
    <w:rsid w:val="00F0787A"/>
    <w:rsid w:val="00F079E5"/>
    <w:rsid w:val="00F07CC0"/>
    <w:rsid w:val="00F102AD"/>
    <w:rsid w:val="00F10534"/>
    <w:rsid w:val="00F109A0"/>
    <w:rsid w:val="00F109BD"/>
    <w:rsid w:val="00F11178"/>
    <w:rsid w:val="00F11292"/>
    <w:rsid w:val="00F116BE"/>
    <w:rsid w:val="00F116D0"/>
    <w:rsid w:val="00F11C37"/>
    <w:rsid w:val="00F11CBC"/>
    <w:rsid w:val="00F11FAA"/>
    <w:rsid w:val="00F12084"/>
    <w:rsid w:val="00F12276"/>
    <w:rsid w:val="00F123BD"/>
    <w:rsid w:val="00F1290E"/>
    <w:rsid w:val="00F12912"/>
    <w:rsid w:val="00F12925"/>
    <w:rsid w:val="00F12AEE"/>
    <w:rsid w:val="00F12FD6"/>
    <w:rsid w:val="00F1316F"/>
    <w:rsid w:val="00F1359A"/>
    <w:rsid w:val="00F138AE"/>
    <w:rsid w:val="00F13B81"/>
    <w:rsid w:val="00F13D17"/>
    <w:rsid w:val="00F13DA0"/>
    <w:rsid w:val="00F14035"/>
    <w:rsid w:val="00F14186"/>
    <w:rsid w:val="00F1429C"/>
    <w:rsid w:val="00F145C7"/>
    <w:rsid w:val="00F146A6"/>
    <w:rsid w:val="00F14810"/>
    <w:rsid w:val="00F14872"/>
    <w:rsid w:val="00F1495B"/>
    <w:rsid w:val="00F14AFE"/>
    <w:rsid w:val="00F14F90"/>
    <w:rsid w:val="00F151F8"/>
    <w:rsid w:val="00F1521D"/>
    <w:rsid w:val="00F153EB"/>
    <w:rsid w:val="00F15A3F"/>
    <w:rsid w:val="00F15D90"/>
    <w:rsid w:val="00F15F7E"/>
    <w:rsid w:val="00F16068"/>
    <w:rsid w:val="00F160D3"/>
    <w:rsid w:val="00F160F5"/>
    <w:rsid w:val="00F1626A"/>
    <w:rsid w:val="00F1634D"/>
    <w:rsid w:val="00F16357"/>
    <w:rsid w:val="00F16502"/>
    <w:rsid w:val="00F16A8F"/>
    <w:rsid w:val="00F16E1C"/>
    <w:rsid w:val="00F16EA5"/>
    <w:rsid w:val="00F16F0B"/>
    <w:rsid w:val="00F16F30"/>
    <w:rsid w:val="00F17278"/>
    <w:rsid w:val="00F17415"/>
    <w:rsid w:val="00F174A3"/>
    <w:rsid w:val="00F176A8"/>
    <w:rsid w:val="00F178AE"/>
    <w:rsid w:val="00F1794C"/>
    <w:rsid w:val="00F179E3"/>
    <w:rsid w:val="00F17ADB"/>
    <w:rsid w:val="00F17B9D"/>
    <w:rsid w:val="00F17D26"/>
    <w:rsid w:val="00F20105"/>
    <w:rsid w:val="00F2051E"/>
    <w:rsid w:val="00F20796"/>
    <w:rsid w:val="00F207A6"/>
    <w:rsid w:val="00F20D98"/>
    <w:rsid w:val="00F210A9"/>
    <w:rsid w:val="00F21193"/>
    <w:rsid w:val="00F21376"/>
    <w:rsid w:val="00F21507"/>
    <w:rsid w:val="00F2174D"/>
    <w:rsid w:val="00F21973"/>
    <w:rsid w:val="00F21A72"/>
    <w:rsid w:val="00F21AD3"/>
    <w:rsid w:val="00F21BA6"/>
    <w:rsid w:val="00F21D1C"/>
    <w:rsid w:val="00F21EDB"/>
    <w:rsid w:val="00F21EEA"/>
    <w:rsid w:val="00F2211C"/>
    <w:rsid w:val="00F22192"/>
    <w:rsid w:val="00F22567"/>
    <w:rsid w:val="00F225D5"/>
    <w:rsid w:val="00F22652"/>
    <w:rsid w:val="00F22BFC"/>
    <w:rsid w:val="00F22EAD"/>
    <w:rsid w:val="00F23503"/>
    <w:rsid w:val="00F23534"/>
    <w:rsid w:val="00F23556"/>
    <w:rsid w:val="00F23889"/>
    <w:rsid w:val="00F23941"/>
    <w:rsid w:val="00F23A4F"/>
    <w:rsid w:val="00F23B24"/>
    <w:rsid w:val="00F23CA5"/>
    <w:rsid w:val="00F23DFA"/>
    <w:rsid w:val="00F23E46"/>
    <w:rsid w:val="00F23EC2"/>
    <w:rsid w:val="00F23FAD"/>
    <w:rsid w:val="00F24079"/>
    <w:rsid w:val="00F24081"/>
    <w:rsid w:val="00F2447E"/>
    <w:rsid w:val="00F2458C"/>
    <w:rsid w:val="00F24B04"/>
    <w:rsid w:val="00F24E2D"/>
    <w:rsid w:val="00F24E65"/>
    <w:rsid w:val="00F2520F"/>
    <w:rsid w:val="00F256DE"/>
    <w:rsid w:val="00F25851"/>
    <w:rsid w:val="00F2590E"/>
    <w:rsid w:val="00F25940"/>
    <w:rsid w:val="00F25B1F"/>
    <w:rsid w:val="00F25F89"/>
    <w:rsid w:val="00F260D3"/>
    <w:rsid w:val="00F26170"/>
    <w:rsid w:val="00F2663E"/>
    <w:rsid w:val="00F268DB"/>
    <w:rsid w:val="00F26C2F"/>
    <w:rsid w:val="00F26C53"/>
    <w:rsid w:val="00F27252"/>
    <w:rsid w:val="00F27274"/>
    <w:rsid w:val="00F27E78"/>
    <w:rsid w:val="00F27ECA"/>
    <w:rsid w:val="00F27EDA"/>
    <w:rsid w:val="00F27F32"/>
    <w:rsid w:val="00F30238"/>
    <w:rsid w:val="00F30295"/>
    <w:rsid w:val="00F303DA"/>
    <w:rsid w:val="00F304E3"/>
    <w:rsid w:val="00F30800"/>
    <w:rsid w:val="00F308E2"/>
    <w:rsid w:val="00F30F89"/>
    <w:rsid w:val="00F30FB6"/>
    <w:rsid w:val="00F3100D"/>
    <w:rsid w:val="00F31159"/>
    <w:rsid w:val="00F311C6"/>
    <w:rsid w:val="00F31370"/>
    <w:rsid w:val="00F3163D"/>
    <w:rsid w:val="00F31694"/>
    <w:rsid w:val="00F3176F"/>
    <w:rsid w:val="00F321D8"/>
    <w:rsid w:val="00F327E5"/>
    <w:rsid w:val="00F328B3"/>
    <w:rsid w:val="00F329C0"/>
    <w:rsid w:val="00F32BD7"/>
    <w:rsid w:val="00F32EBE"/>
    <w:rsid w:val="00F32F0C"/>
    <w:rsid w:val="00F334B5"/>
    <w:rsid w:val="00F337B6"/>
    <w:rsid w:val="00F34136"/>
    <w:rsid w:val="00F341B8"/>
    <w:rsid w:val="00F34250"/>
    <w:rsid w:val="00F34417"/>
    <w:rsid w:val="00F34751"/>
    <w:rsid w:val="00F347B2"/>
    <w:rsid w:val="00F3486E"/>
    <w:rsid w:val="00F34BA3"/>
    <w:rsid w:val="00F34D84"/>
    <w:rsid w:val="00F356BE"/>
    <w:rsid w:val="00F356E1"/>
    <w:rsid w:val="00F357B1"/>
    <w:rsid w:val="00F3592B"/>
    <w:rsid w:val="00F35A51"/>
    <w:rsid w:val="00F35B11"/>
    <w:rsid w:val="00F35B92"/>
    <w:rsid w:val="00F35CFD"/>
    <w:rsid w:val="00F36031"/>
    <w:rsid w:val="00F3658E"/>
    <w:rsid w:val="00F365A1"/>
    <w:rsid w:val="00F369DA"/>
    <w:rsid w:val="00F369F8"/>
    <w:rsid w:val="00F36B4C"/>
    <w:rsid w:val="00F36EAF"/>
    <w:rsid w:val="00F3706E"/>
    <w:rsid w:val="00F3710B"/>
    <w:rsid w:val="00F3711C"/>
    <w:rsid w:val="00F3745E"/>
    <w:rsid w:val="00F374D5"/>
    <w:rsid w:val="00F37548"/>
    <w:rsid w:val="00F3784E"/>
    <w:rsid w:val="00F37A1D"/>
    <w:rsid w:val="00F4039C"/>
    <w:rsid w:val="00F40630"/>
    <w:rsid w:val="00F40700"/>
    <w:rsid w:val="00F407CF"/>
    <w:rsid w:val="00F40B00"/>
    <w:rsid w:val="00F40B65"/>
    <w:rsid w:val="00F40E42"/>
    <w:rsid w:val="00F415B6"/>
    <w:rsid w:val="00F41E90"/>
    <w:rsid w:val="00F42898"/>
    <w:rsid w:val="00F42A7E"/>
    <w:rsid w:val="00F42B31"/>
    <w:rsid w:val="00F42C1C"/>
    <w:rsid w:val="00F42C4E"/>
    <w:rsid w:val="00F42EA9"/>
    <w:rsid w:val="00F432F6"/>
    <w:rsid w:val="00F43301"/>
    <w:rsid w:val="00F433D6"/>
    <w:rsid w:val="00F4351E"/>
    <w:rsid w:val="00F43AC2"/>
    <w:rsid w:val="00F43B8D"/>
    <w:rsid w:val="00F4413F"/>
    <w:rsid w:val="00F4445E"/>
    <w:rsid w:val="00F44623"/>
    <w:rsid w:val="00F44BAA"/>
    <w:rsid w:val="00F44CD6"/>
    <w:rsid w:val="00F4526C"/>
    <w:rsid w:val="00F45379"/>
    <w:rsid w:val="00F45750"/>
    <w:rsid w:val="00F4586A"/>
    <w:rsid w:val="00F45879"/>
    <w:rsid w:val="00F459C4"/>
    <w:rsid w:val="00F459FA"/>
    <w:rsid w:val="00F45CB2"/>
    <w:rsid w:val="00F45D87"/>
    <w:rsid w:val="00F45D9E"/>
    <w:rsid w:val="00F462F2"/>
    <w:rsid w:val="00F4671B"/>
    <w:rsid w:val="00F46765"/>
    <w:rsid w:val="00F474E7"/>
    <w:rsid w:val="00F47828"/>
    <w:rsid w:val="00F47C1E"/>
    <w:rsid w:val="00F47F0A"/>
    <w:rsid w:val="00F502C6"/>
    <w:rsid w:val="00F512A4"/>
    <w:rsid w:val="00F513CA"/>
    <w:rsid w:val="00F52349"/>
    <w:rsid w:val="00F524FC"/>
    <w:rsid w:val="00F52833"/>
    <w:rsid w:val="00F52842"/>
    <w:rsid w:val="00F52E16"/>
    <w:rsid w:val="00F531E8"/>
    <w:rsid w:val="00F53321"/>
    <w:rsid w:val="00F533DD"/>
    <w:rsid w:val="00F5340B"/>
    <w:rsid w:val="00F5340C"/>
    <w:rsid w:val="00F53914"/>
    <w:rsid w:val="00F5392B"/>
    <w:rsid w:val="00F53B71"/>
    <w:rsid w:val="00F53E69"/>
    <w:rsid w:val="00F5401B"/>
    <w:rsid w:val="00F54618"/>
    <w:rsid w:val="00F5466F"/>
    <w:rsid w:val="00F54B7E"/>
    <w:rsid w:val="00F552EF"/>
    <w:rsid w:val="00F556BD"/>
    <w:rsid w:val="00F557D2"/>
    <w:rsid w:val="00F55827"/>
    <w:rsid w:val="00F55A5F"/>
    <w:rsid w:val="00F55B66"/>
    <w:rsid w:val="00F5641B"/>
    <w:rsid w:val="00F56A24"/>
    <w:rsid w:val="00F56A92"/>
    <w:rsid w:val="00F56B2E"/>
    <w:rsid w:val="00F57277"/>
    <w:rsid w:val="00F577E3"/>
    <w:rsid w:val="00F57AEB"/>
    <w:rsid w:val="00F57CC9"/>
    <w:rsid w:val="00F57ED9"/>
    <w:rsid w:val="00F57F69"/>
    <w:rsid w:val="00F57FC4"/>
    <w:rsid w:val="00F60126"/>
    <w:rsid w:val="00F6036B"/>
    <w:rsid w:val="00F60885"/>
    <w:rsid w:val="00F608C7"/>
    <w:rsid w:val="00F60C86"/>
    <w:rsid w:val="00F61BE2"/>
    <w:rsid w:val="00F61D39"/>
    <w:rsid w:val="00F61F95"/>
    <w:rsid w:val="00F620D5"/>
    <w:rsid w:val="00F62355"/>
    <w:rsid w:val="00F623EC"/>
    <w:rsid w:val="00F626B1"/>
    <w:rsid w:val="00F627AB"/>
    <w:rsid w:val="00F627E4"/>
    <w:rsid w:val="00F62924"/>
    <w:rsid w:val="00F62FE4"/>
    <w:rsid w:val="00F63309"/>
    <w:rsid w:val="00F6334F"/>
    <w:rsid w:val="00F6344F"/>
    <w:rsid w:val="00F63634"/>
    <w:rsid w:val="00F636D0"/>
    <w:rsid w:val="00F636DF"/>
    <w:rsid w:val="00F63B41"/>
    <w:rsid w:val="00F63C56"/>
    <w:rsid w:val="00F63D24"/>
    <w:rsid w:val="00F63D31"/>
    <w:rsid w:val="00F63E6B"/>
    <w:rsid w:val="00F63F44"/>
    <w:rsid w:val="00F641E5"/>
    <w:rsid w:val="00F6420E"/>
    <w:rsid w:val="00F649FB"/>
    <w:rsid w:val="00F64A92"/>
    <w:rsid w:val="00F64CBC"/>
    <w:rsid w:val="00F64E6E"/>
    <w:rsid w:val="00F65145"/>
    <w:rsid w:val="00F652FA"/>
    <w:rsid w:val="00F6572B"/>
    <w:rsid w:val="00F6579F"/>
    <w:rsid w:val="00F65AD7"/>
    <w:rsid w:val="00F66716"/>
    <w:rsid w:val="00F66BA0"/>
    <w:rsid w:val="00F66D5D"/>
    <w:rsid w:val="00F66FE2"/>
    <w:rsid w:val="00F6746F"/>
    <w:rsid w:val="00F67529"/>
    <w:rsid w:val="00F6761C"/>
    <w:rsid w:val="00F676CB"/>
    <w:rsid w:val="00F67E39"/>
    <w:rsid w:val="00F701E7"/>
    <w:rsid w:val="00F702AF"/>
    <w:rsid w:val="00F706E8"/>
    <w:rsid w:val="00F70765"/>
    <w:rsid w:val="00F70789"/>
    <w:rsid w:val="00F7095F"/>
    <w:rsid w:val="00F70977"/>
    <w:rsid w:val="00F70D4D"/>
    <w:rsid w:val="00F70DBA"/>
    <w:rsid w:val="00F7126E"/>
    <w:rsid w:val="00F71295"/>
    <w:rsid w:val="00F71856"/>
    <w:rsid w:val="00F71BB5"/>
    <w:rsid w:val="00F71F4C"/>
    <w:rsid w:val="00F724C6"/>
    <w:rsid w:val="00F72743"/>
    <w:rsid w:val="00F72C92"/>
    <w:rsid w:val="00F72E50"/>
    <w:rsid w:val="00F73059"/>
    <w:rsid w:val="00F73247"/>
    <w:rsid w:val="00F732CD"/>
    <w:rsid w:val="00F73488"/>
    <w:rsid w:val="00F73719"/>
    <w:rsid w:val="00F73EBC"/>
    <w:rsid w:val="00F73EDB"/>
    <w:rsid w:val="00F7405C"/>
    <w:rsid w:val="00F744F4"/>
    <w:rsid w:val="00F745E6"/>
    <w:rsid w:val="00F74A61"/>
    <w:rsid w:val="00F74BD6"/>
    <w:rsid w:val="00F74CFD"/>
    <w:rsid w:val="00F74E07"/>
    <w:rsid w:val="00F755D6"/>
    <w:rsid w:val="00F756DF"/>
    <w:rsid w:val="00F75713"/>
    <w:rsid w:val="00F75A1F"/>
    <w:rsid w:val="00F75E27"/>
    <w:rsid w:val="00F75F6C"/>
    <w:rsid w:val="00F7625E"/>
    <w:rsid w:val="00F76737"/>
    <w:rsid w:val="00F76890"/>
    <w:rsid w:val="00F76B2B"/>
    <w:rsid w:val="00F76F5B"/>
    <w:rsid w:val="00F770D6"/>
    <w:rsid w:val="00F775C9"/>
    <w:rsid w:val="00F77802"/>
    <w:rsid w:val="00F77A2B"/>
    <w:rsid w:val="00F80165"/>
    <w:rsid w:val="00F80858"/>
    <w:rsid w:val="00F809CA"/>
    <w:rsid w:val="00F809F4"/>
    <w:rsid w:val="00F80C02"/>
    <w:rsid w:val="00F80CC8"/>
    <w:rsid w:val="00F81315"/>
    <w:rsid w:val="00F814CF"/>
    <w:rsid w:val="00F82188"/>
    <w:rsid w:val="00F82413"/>
    <w:rsid w:val="00F824C0"/>
    <w:rsid w:val="00F82785"/>
    <w:rsid w:val="00F82C62"/>
    <w:rsid w:val="00F8329B"/>
    <w:rsid w:val="00F838AC"/>
    <w:rsid w:val="00F839A4"/>
    <w:rsid w:val="00F83A26"/>
    <w:rsid w:val="00F83F29"/>
    <w:rsid w:val="00F842F6"/>
    <w:rsid w:val="00F84627"/>
    <w:rsid w:val="00F84763"/>
    <w:rsid w:val="00F84946"/>
    <w:rsid w:val="00F84982"/>
    <w:rsid w:val="00F84CA7"/>
    <w:rsid w:val="00F84D1B"/>
    <w:rsid w:val="00F84E7F"/>
    <w:rsid w:val="00F84F91"/>
    <w:rsid w:val="00F85172"/>
    <w:rsid w:val="00F8548D"/>
    <w:rsid w:val="00F85617"/>
    <w:rsid w:val="00F857E7"/>
    <w:rsid w:val="00F85882"/>
    <w:rsid w:val="00F85923"/>
    <w:rsid w:val="00F85B9C"/>
    <w:rsid w:val="00F861C9"/>
    <w:rsid w:val="00F86703"/>
    <w:rsid w:val="00F868E9"/>
    <w:rsid w:val="00F868F9"/>
    <w:rsid w:val="00F86A7A"/>
    <w:rsid w:val="00F86E0D"/>
    <w:rsid w:val="00F8742E"/>
    <w:rsid w:val="00F877A9"/>
    <w:rsid w:val="00F877CD"/>
    <w:rsid w:val="00F87882"/>
    <w:rsid w:val="00F87D7C"/>
    <w:rsid w:val="00F90017"/>
    <w:rsid w:val="00F90762"/>
    <w:rsid w:val="00F90980"/>
    <w:rsid w:val="00F90DB1"/>
    <w:rsid w:val="00F91213"/>
    <w:rsid w:val="00F9125B"/>
    <w:rsid w:val="00F9139E"/>
    <w:rsid w:val="00F91410"/>
    <w:rsid w:val="00F91ABD"/>
    <w:rsid w:val="00F91E9D"/>
    <w:rsid w:val="00F91F58"/>
    <w:rsid w:val="00F91FED"/>
    <w:rsid w:val="00F921C8"/>
    <w:rsid w:val="00F92551"/>
    <w:rsid w:val="00F925B1"/>
    <w:rsid w:val="00F92E4A"/>
    <w:rsid w:val="00F92EFE"/>
    <w:rsid w:val="00F9331E"/>
    <w:rsid w:val="00F933D1"/>
    <w:rsid w:val="00F933F8"/>
    <w:rsid w:val="00F93494"/>
    <w:rsid w:val="00F935AD"/>
    <w:rsid w:val="00F938A0"/>
    <w:rsid w:val="00F939B3"/>
    <w:rsid w:val="00F93C7E"/>
    <w:rsid w:val="00F93E6F"/>
    <w:rsid w:val="00F93E73"/>
    <w:rsid w:val="00F94176"/>
    <w:rsid w:val="00F9423E"/>
    <w:rsid w:val="00F9445C"/>
    <w:rsid w:val="00F9455F"/>
    <w:rsid w:val="00F94974"/>
    <w:rsid w:val="00F94B2B"/>
    <w:rsid w:val="00F94BED"/>
    <w:rsid w:val="00F94D1B"/>
    <w:rsid w:val="00F94D22"/>
    <w:rsid w:val="00F94F9F"/>
    <w:rsid w:val="00F95103"/>
    <w:rsid w:val="00F95208"/>
    <w:rsid w:val="00F95592"/>
    <w:rsid w:val="00F95BB2"/>
    <w:rsid w:val="00F95C44"/>
    <w:rsid w:val="00F963EB"/>
    <w:rsid w:val="00F9645E"/>
    <w:rsid w:val="00F9689E"/>
    <w:rsid w:val="00F96B94"/>
    <w:rsid w:val="00F96BDE"/>
    <w:rsid w:val="00F97069"/>
    <w:rsid w:val="00F97324"/>
    <w:rsid w:val="00F978B1"/>
    <w:rsid w:val="00F97943"/>
    <w:rsid w:val="00F97AED"/>
    <w:rsid w:val="00F97BCD"/>
    <w:rsid w:val="00F97DAB"/>
    <w:rsid w:val="00F97F6A"/>
    <w:rsid w:val="00FA0279"/>
    <w:rsid w:val="00FA0643"/>
    <w:rsid w:val="00FA07E9"/>
    <w:rsid w:val="00FA08D9"/>
    <w:rsid w:val="00FA0EA4"/>
    <w:rsid w:val="00FA0FC6"/>
    <w:rsid w:val="00FA1057"/>
    <w:rsid w:val="00FA1127"/>
    <w:rsid w:val="00FA1218"/>
    <w:rsid w:val="00FA124B"/>
    <w:rsid w:val="00FA12AB"/>
    <w:rsid w:val="00FA139D"/>
    <w:rsid w:val="00FA13A3"/>
    <w:rsid w:val="00FA1432"/>
    <w:rsid w:val="00FA1482"/>
    <w:rsid w:val="00FA15B6"/>
    <w:rsid w:val="00FA1732"/>
    <w:rsid w:val="00FA1786"/>
    <w:rsid w:val="00FA19D0"/>
    <w:rsid w:val="00FA1A85"/>
    <w:rsid w:val="00FA1AE6"/>
    <w:rsid w:val="00FA1B01"/>
    <w:rsid w:val="00FA1B81"/>
    <w:rsid w:val="00FA1BF2"/>
    <w:rsid w:val="00FA1C84"/>
    <w:rsid w:val="00FA205E"/>
    <w:rsid w:val="00FA2198"/>
    <w:rsid w:val="00FA2236"/>
    <w:rsid w:val="00FA2482"/>
    <w:rsid w:val="00FA259A"/>
    <w:rsid w:val="00FA2A43"/>
    <w:rsid w:val="00FA2BFD"/>
    <w:rsid w:val="00FA2D1E"/>
    <w:rsid w:val="00FA2EDF"/>
    <w:rsid w:val="00FA2FCD"/>
    <w:rsid w:val="00FA315B"/>
    <w:rsid w:val="00FA3331"/>
    <w:rsid w:val="00FA3456"/>
    <w:rsid w:val="00FA3E23"/>
    <w:rsid w:val="00FA3F0C"/>
    <w:rsid w:val="00FA415C"/>
    <w:rsid w:val="00FA46DD"/>
    <w:rsid w:val="00FA4854"/>
    <w:rsid w:val="00FA48C9"/>
    <w:rsid w:val="00FA4A48"/>
    <w:rsid w:val="00FA4CD7"/>
    <w:rsid w:val="00FA4EC3"/>
    <w:rsid w:val="00FA511F"/>
    <w:rsid w:val="00FA5C76"/>
    <w:rsid w:val="00FA5F18"/>
    <w:rsid w:val="00FA6270"/>
    <w:rsid w:val="00FA62A1"/>
    <w:rsid w:val="00FA64A0"/>
    <w:rsid w:val="00FA64D7"/>
    <w:rsid w:val="00FA64EE"/>
    <w:rsid w:val="00FA67C6"/>
    <w:rsid w:val="00FA6E18"/>
    <w:rsid w:val="00FA7079"/>
    <w:rsid w:val="00FA716E"/>
    <w:rsid w:val="00FA747B"/>
    <w:rsid w:val="00FA775C"/>
    <w:rsid w:val="00FA7CC9"/>
    <w:rsid w:val="00FA7DD8"/>
    <w:rsid w:val="00FB02DE"/>
    <w:rsid w:val="00FB0745"/>
    <w:rsid w:val="00FB0A32"/>
    <w:rsid w:val="00FB0D20"/>
    <w:rsid w:val="00FB11D1"/>
    <w:rsid w:val="00FB1542"/>
    <w:rsid w:val="00FB1AF5"/>
    <w:rsid w:val="00FB2158"/>
    <w:rsid w:val="00FB227D"/>
    <w:rsid w:val="00FB2491"/>
    <w:rsid w:val="00FB2571"/>
    <w:rsid w:val="00FB2598"/>
    <w:rsid w:val="00FB29FC"/>
    <w:rsid w:val="00FB2AEF"/>
    <w:rsid w:val="00FB34F2"/>
    <w:rsid w:val="00FB3641"/>
    <w:rsid w:val="00FB37D2"/>
    <w:rsid w:val="00FB37FF"/>
    <w:rsid w:val="00FB385F"/>
    <w:rsid w:val="00FB3CAA"/>
    <w:rsid w:val="00FB3D09"/>
    <w:rsid w:val="00FB3EB4"/>
    <w:rsid w:val="00FB4430"/>
    <w:rsid w:val="00FB461C"/>
    <w:rsid w:val="00FB469C"/>
    <w:rsid w:val="00FB474D"/>
    <w:rsid w:val="00FB4797"/>
    <w:rsid w:val="00FB4943"/>
    <w:rsid w:val="00FB4AA3"/>
    <w:rsid w:val="00FB4BF6"/>
    <w:rsid w:val="00FB4E29"/>
    <w:rsid w:val="00FB4EDD"/>
    <w:rsid w:val="00FB5060"/>
    <w:rsid w:val="00FB5271"/>
    <w:rsid w:val="00FB5BC6"/>
    <w:rsid w:val="00FB5FFB"/>
    <w:rsid w:val="00FB6032"/>
    <w:rsid w:val="00FB6065"/>
    <w:rsid w:val="00FB60A9"/>
    <w:rsid w:val="00FB6225"/>
    <w:rsid w:val="00FB626F"/>
    <w:rsid w:val="00FB645A"/>
    <w:rsid w:val="00FB6488"/>
    <w:rsid w:val="00FB65EE"/>
    <w:rsid w:val="00FB6BD4"/>
    <w:rsid w:val="00FB6C41"/>
    <w:rsid w:val="00FB6E41"/>
    <w:rsid w:val="00FB6F0A"/>
    <w:rsid w:val="00FB71DA"/>
    <w:rsid w:val="00FB75DA"/>
    <w:rsid w:val="00FB771B"/>
    <w:rsid w:val="00FB77C4"/>
    <w:rsid w:val="00FB8A3D"/>
    <w:rsid w:val="00FC00C1"/>
    <w:rsid w:val="00FC0117"/>
    <w:rsid w:val="00FC0290"/>
    <w:rsid w:val="00FC0378"/>
    <w:rsid w:val="00FC040C"/>
    <w:rsid w:val="00FC0BBF"/>
    <w:rsid w:val="00FC0BF4"/>
    <w:rsid w:val="00FC1017"/>
    <w:rsid w:val="00FC1406"/>
    <w:rsid w:val="00FC144C"/>
    <w:rsid w:val="00FC16CE"/>
    <w:rsid w:val="00FC179F"/>
    <w:rsid w:val="00FC17A4"/>
    <w:rsid w:val="00FC1824"/>
    <w:rsid w:val="00FC1C9F"/>
    <w:rsid w:val="00FC1E9A"/>
    <w:rsid w:val="00FC2213"/>
    <w:rsid w:val="00FC2386"/>
    <w:rsid w:val="00FC26C9"/>
    <w:rsid w:val="00FC27A6"/>
    <w:rsid w:val="00FC283B"/>
    <w:rsid w:val="00FC2848"/>
    <w:rsid w:val="00FC28F1"/>
    <w:rsid w:val="00FC2D04"/>
    <w:rsid w:val="00FC2EAA"/>
    <w:rsid w:val="00FC2F3D"/>
    <w:rsid w:val="00FC2F8D"/>
    <w:rsid w:val="00FC3283"/>
    <w:rsid w:val="00FC33F1"/>
    <w:rsid w:val="00FC348A"/>
    <w:rsid w:val="00FC353A"/>
    <w:rsid w:val="00FC3C1F"/>
    <w:rsid w:val="00FC40DF"/>
    <w:rsid w:val="00FC414D"/>
    <w:rsid w:val="00FC415F"/>
    <w:rsid w:val="00FC44B3"/>
    <w:rsid w:val="00FC4630"/>
    <w:rsid w:val="00FC4689"/>
    <w:rsid w:val="00FC4AD8"/>
    <w:rsid w:val="00FC4B0B"/>
    <w:rsid w:val="00FC5264"/>
    <w:rsid w:val="00FC5398"/>
    <w:rsid w:val="00FC58EC"/>
    <w:rsid w:val="00FC5C84"/>
    <w:rsid w:val="00FC5CBA"/>
    <w:rsid w:val="00FC5E91"/>
    <w:rsid w:val="00FC5FD8"/>
    <w:rsid w:val="00FC6DBC"/>
    <w:rsid w:val="00FC6DF4"/>
    <w:rsid w:val="00FC74CF"/>
    <w:rsid w:val="00FC7A00"/>
    <w:rsid w:val="00FC7A85"/>
    <w:rsid w:val="00FC7B2C"/>
    <w:rsid w:val="00FC7ED2"/>
    <w:rsid w:val="00FC7EFA"/>
    <w:rsid w:val="00FD04F7"/>
    <w:rsid w:val="00FD07FA"/>
    <w:rsid w:val="00FD0DCE"/>
    <w:rsid w:val="00FD0E5F"/>
    <w:rsid w:val="00FD0ED5"/>
    <w:rsid w:val="00FD12E6"/>
    <w:rsid w:val="00FD168A"/>
    <w:rsid w:val="00FD1A8A"/>
    <w:rsid w:val="00FD1DC6"/>
    <w:rsid w:val="00FD1DEE"/>
    <w:rsid w:val="00FD2580"/>
    <w:rsid w:val="00FD26B8"/>
    <w:rsid w:val="00FD2727"/>
    <w:rsid w:val="00FD27BA"/>
    <w:rsid w:val="00FD2AAF"/>
    <w:rsid w:val="00FD310D"/>
    <w:rsid w:val="00FD31FE"/>
    <w:rsid w:val="00FD3338"/>
    <w:rsid w:val="00FD33C4"/>
    <w:rsid w:val="00FD3648"/>
    <w:rsid w:val="00FD3699"/>
    <w:rsid w:val="00FD36F0"/>
    <w:rsid w:val="00FD37D5"/>
    <w:rsid w:val="00FD3846"/>
    <w:rsid w:val="00FD422B"/>
    <w:rsid w:val="00FD46E0"/>
    <w:rsid w:val="00FD4870"/>
    <w:rsid w:val="00FD49E7"/>
    <w:rsid w:val="00FD4F77"/>
    <w:rsid w:val="00FD54B7"/>
    <w:rsid w:val="00FD5DCA"/>
    <w:rsid w:val="00FD5E95"/>
    <w:rsid w:val="00FD5F36"/>
    <w:rsid w:val="00FD618B"/>
    <w:rsid w:val="00FD6695"/>
    <w:rsid w:val="00FD68EA"/>
    <w:rsid w:val="00FD6A1E"/>
    <w:rsid w:val="00FD6EE9"/>
    <w:rsid w:val="00FD6F45"/>
    <w:rsid w:val="00FD7B56"/>
    <w:rsid w:val="00FD7B6F"/>
    <w:rsid w:val="00FD7C69"/>
    <w:rsid w:val="00FD7C7A"/>
    <w:rsid w:val="00FE0450"/>
    <w:rsid w:val="00FE0570"/>
    <w:rsid w:val="00FE0643"/>
    <w:rsid w:val="00FE07EB"/>
    <w:rsid w:val="00FE0A6E"/>
    <w:rsid w:val="00FE0A9E"/>
    <w:rsid w:val="00FE0D4B"/>
    <w:rsid w:val="00FE0D81"/>
    <w:rsid w:val="00FE0EB7"/>
    <w:rsid w:val="00FE1308"/>
    <w:rsid w:val="00FE1390"/>
    <w:rsid w:val="00FE13BF"/>
    <w:rsid w:val="00FE19E5"/>
    <w:rsid w:val="00FE1E5F"/>
    <w:rsid w:val="00FE1E7B"/>
    <w:rsid w:val="00FE1EB1"/>
    <w:rsid w:val="00FE2090"/>
    <w:rsid w:val="00FE20A5"/>
    <w:rsid w:val="00FE230D"/>
    <w:rsid w:val="00FE277A"/>
    <w:rsid w:val="00FE2996"/>
    <w:rsid w:val="00FE2A1E"/>
    <w:rsid w:val="00FE2C90"/>
    <w:rsid w:val="00FE2CAF"/>
    <w:rsid w:val="00FE2E08"/>
    <w:rsid w:val="00FE326B"/>
    <w:rsid w:val="00FE34EE"/>
    <w:rsid w:val="00FE355B"/>
    <w:rsid w:val="00FE35D0"/>
    <w:rsid w:val="00FE3634"/>
    <w:rsid w:val="00FE36DA"/>
    <w:rsid w:val="00FE387A"/>
    <w:rsid w:val="00FE3A48"/>
    <w:rsid w:val="00FE3D97"/>
    <w:rsid w:val="00FE3E76"/>
    <w:rsid w:val="00FE3F3F"/>
    <w:rsid w:val="00FE44EF"/>
    <w:rsid w:val="00FE46DF"/>
    <w:rsid w:val="00FE4B08"/>
    <w:rsid w:val="00FE4C50"/>
    <w:rsid w:val="00FE4D8E"/>
    <w:rsid w:val="00FE4E6A"/>
    <w:rsid w:val="00FE5287"/>
    <w:rsid w:val="00FE5384"/>
    <w:rsid w:val="00FE5544"/>
    <w:rsid w:val="00FE5653"/>
    <w:rsid w:val="00FE59D5"/>
    <w:rsid w:val="00FE5A66"/>
    <w:rsid w:val="00FE5C10"/>
    <w:rsid w:val="00FE5C7F"/>
    <w:rsid w:val="00FE5EC1"/>
    <w:rsid w:val="00FE687E"/>
    <w:rsid w:val="00FE68F0"/>
    <w:rsid w:val="00FE6950"/>
    <w:rsid w:val="00FE6A7A"/>
    <w:rsid w:val="00FE6CBD"/>
    <w:rsid w:val="00FE6D8F"/>
    <w:rsid w:val="00FE70B6"/>
    <w:rsid w:val="00FE72A0"/>
    <w:rsid w:val="00FE7B8B"/>
    <w:rsid w:val="00FF01B5"/>
    <w:rsid w:val="00FF03FE"/>
    <w:rsid w:val="00FF074C"/>
    <w:rsid w:val="00FF078D"/>
    <w:rsid w:val="00FF07AC"/>
    <w:rsid w:val="00FF0DEE"/>
    <w:rsid w:val="00FF101A"/>
    <w:rsid w:val="00FF120D"/>
    <w:rsid w:val="00FF14F0"/>
    <w:rsid w:val="00FF1620"/>
    <w:rsid w:val="00FF16E3"/>
    <w:rsid w:val="00FF2039"/>
    <w:rsid w:val="00FF259E"/>
    <w:rsid w:val="00FF2955"/>
    <w:rsid w:val="00FF2AC4"/>
    <w:rsid w:val="00FF2D2B"/>
    <w:rsid w:val="00FF2E5D"/>
    <w:rsid w:val="00FF2F40"/>
    <w:rsid w:val="00FF2FE9"/>
    <w:rsid w:val="00FF308C"/>
    <w:rsid w:val="00FF32B0"/>
    <w:rsid w:val="00FF337F"/>
    <w:rsid w:val="00FF33C5"/>
    <w:rsid w:val="00FF3927"/>
    <w:rsid w:val="00FF3A66"/>
    <w:rsid w:val="00FF3B06"/>
    <w:rsid w:val="00FF40FA"/>
    <w:rsid w:val="00FF4372"/>
    <w:rsid w:val="00FF4481"/>
    <w:rsid w:val="00FF4530"/>
    <w:rsid w:val="00FF4557"/>
    <w:rsid w:val="00FF45AE"/>
    <w:rsid w:val="00FF4A4E"/>
    <w:rsid w:val="00FF4DA7"/>
    <w:rsid w:val="00FF4DD3"/>
    <w:rsid w:val="00FF4F31"/>
    <w:rsid w:val="00FF5057"/>
    <w:rsid w:val="00FF5201"/>
    <w:rsid w:val="00FF52BA"/>
    <w:rsid w:val="00FF5695"/>
    <w:rsid w:val="00FF56F2"/>
    <w:rsid w:val="00FF5D0B"/>
    <w:rsid w:val="00FF5DCB"/>
    <w:rsid w:val="00FF5E4B"/>
    <w:rsid w:val="00FF5F49"/>
    <w:rsid w:val="00FF6745"/>
    <w:rsid w:val="00FF6827"/>
    <w:rsid w:val="00FF6927"/>
    <w:rsid w:val="00FF69FB"/>
    <w:rsid w:val="00FF6ACE"/>
    <w:rsid w:val="00FF6B39"/>
    <w:rsid w:val="00FF6D5A"/>
    <w:rsid w:val="00FF701D"/>
    <w:rsid w:val="00FF70C4"/>
    <w:rsid w:val="00FF713F"/>
    <w:rsid w:val="00FF7164"/>
    <w:rsid w:val="00FF726B"/>
    <w:rsid w:val="00FF7628"/>
    <w:rsid w:val="00FF7693"/>
    <w:rsid w:val="00FF799C"/>
    <w:rsid w:val="00FF7C57"/>
    <w:rsid w:val="00FF7FEC"/>
    <w:rsid w:val="0118527F"/>
    <w:rsid w:val="012264D7"/>
    <w:rsid w:val="01251781"/>
    <w:rsid w:val="012A4C0C"/>
    <w:rsid w:val="012FCE04"/>
    <w:rsid w:val="0135C9FE"/>
    <w:rsid w:val="013E8B8F"/>
    <w:rsid w:val="013EBC61"/>
    <w:rsid w:val="014D073F"/>
    <w:rsid w:val="0150C287"/>
    <w:rsid w:val="016DBAB6"/>
    <w:rsid w:val="016FC0E1"/>
    <w:rsid w:val="0195367F"/>
    <w:rsid w:val="0197EA5F"/>
    <w:rsid w:val="019B00FA"/>
    <w:rsid w:val="01AA60D9"/>
    <w:rsid w:val="01AF528C"/>
    <w:rsid w:val="01B08824"/>
    <w:rsid w:val="01BCFEF2"/>
    <w:rsid w:val="01C57E02"/>
    <w:rsid w:val="01C8001B"/>
    <w:rsid w:val="01E8A5BE"/>
    <w:rsid w:val="01ED8D90"/>
    <w:rsid w:val="0207DE3B"/>
    <w:rsid w:val="020EBA58"/>
    <w:rsid w:val="02228B67"/>
    <w:rsid w:val="02247315"/>
    <w:rsid w:val="02317446"/>
    <w:rsid w:val="02337E4F"/>
    <w:rsid w:val="0255EBD6"/>
    <w:rsid w:val="0256FE9B"/>
    <w:rsid w:val="0264C6C2"/>
    <w:rsid w:val="0279169B"/>
    <w:rsid w:val="027F439A"/>
    <w:rsid w:val="027F5E34"/>
    <w:rsid w:val="0285C08F"/>
    <w:rsid w:val="02914983"/>
    <w:rsid w:val="02945D60"/>
    <w:rsid w:val="02AC0384"/>
    <w:rsid w:val="02ACDC8B"/>
    <w:rsid w:val="02BD9EA2"/>
    <w:rsid w:val="02F6DAB0"/>
    <w:rsid w:val="02FD1D4F"/>
    <w:rsid w:val="02FF59BA"/>
    <w:rsid w:val="03067DE3"/>
    <w:rsid w:val="030CB1DC"/>
    <w:rsid w:val="0324EA7C"/>
    <w:rsid w:val="03312072"/>
    <w:rsid w:val="03383DBD"/>
    <w:rsid w:val="0346313A"/>
    <w:rsid w:val="0357F6D6"/>
    <w:rsid w:val="0369C6A1"/>
    <w:rsid w:val="0379BFB9"/>
    <w:rsid w:val="038381FC"/>
    <w:rsid w:val="038EB4F5"/>
    <w:rsid w:val="0391002C"/>
    <w:rsid w:val="03942CF3"/>
    <w:rsid w:val="03963B0F"/>
    <w:rsid w:val="039CCEE6"/>
    <w:rsid w:val="03A19E35"/>
    <w:rsid w:val="03A67399"/>
    <w:rsid w:val="03BF4822"/>
    <w:rsid w:val="03DCF71E"/>
    <w:rsid w:val="03E37A4D"/>
    <w:rsid w:val="03E64084"/>
    <w:rsid w:val="03E69D45"/>
    <w:rsid w:val="03EAC765"/>
    <w:rsid w:val="03ED3690"/>
    <w:rsid w:val="0400281B"/>
    <w:rsid w:val="04054601"/>
    <w:rsid w:val="0422AB71"/>
    <w:rsid w:val="042FCA81"/>
    <w:rsid w:val="04303D4A"/>
    <w:rsid w:val="04469C89"/>
    <w:rsid w:val="046FFEFF"/>
    <w:rsid w:val="0488047C"/>
    <w:rsid w:val="048BC79B"/>
    <w:rsid w:val="049407E7"/>
    <w:rsid w:val="04969B3D"/>
    <w:rsid w:val="04ACFBE1"/>
    <w:rsid w:val="04B8ED94"/>
    <w:rsid w:val="04E2019B"/>
    <w:rsid w:val="04E7C93E"/>
    <w:rsid w:val="04F4B3BF"/>
    <w:rsid w:val="05011A68"/>
    <w:rsid w:val="0507E5EE"/>
    <w:rsid w:val="05106BA6"/>
    <w:rsid w:val="05215D3D"/>
    <w:rsid w:val="05277E7D"/>
    <w:rsid w:val="0527B121"/>
    <w:rsid w:val="05318006"/>
    <w:rsid w:val="05337009"/>
    <w:rsid w:val="0533A2DA"/>
    <w:rsid w:val="055FBB42"/>
    <w:rsid w:val="056BE3BA"/>
    <w:rsid w:val="05AD4888"/>
    <w:rsid w:val="05B15487"/>
    <w:rsid w:val="05DA0544"/>
    <w:rsid w:val="05E91DF5"/>
    <w:rsid w:val="0605FECA"/>
    <w:rsid w:val="0608826C"/>
    <w:rsid w:val="060B8F0F"/>
    <w:rsid w:val="06103ABE"/>
    <w:rsid w:val="0610F341"/>
    <w:rsid w:val="061850EA"/>
    <w:rsid w:val="061ED75E"/>
    <w:rsid w:val="062A2971"/>
    <w:rsid w:val="06367D4E"/>
    <w:rsid w:val="063DFDD4"/>
    <w:rsid w:val="06479F90"/>
    <w:rsid w:val="0648CC42"/>
    <w:rsid w:val="064D0C17"/>
    <w:rsid w:val="065D8043"/>
    <w:rsid w:val="06756424"/>
    <w:rsid w:val="06782B65"/>
    <w:rsid w:val="067B7D51"/>
    <w:rsid w:val="068DA803"/>
    <w:rsid w:val="068FCE89"/>
    <w:rsid w:val="069A0081"/>
    <w:rsid w:val="06A4B4EC"/>
    <w:rsid w:val="06AA55C6"/>
    <w:rsid w:val="06B14E90"/>
    <w:rsid w:val="06B66570"/>
    <w:rsid w:val="06BC2A95"/>
    <w:rsid w:val="06C05E58"/>
    <w:rsid w:val="06C5A8FB"/>
    <w:rsid w:val="06C6153C"/>
    <w:rsid w:val="0706C792"/>
    <w:rsid w:val="070A97ED"/>
    <w:rsid w:val="0712A985"/>
    <w:rsid w:val="07244DA8"/>
    <w:rsid w:val="07289AF3"/>
    <w:rsid w:val="07313A90"/>
    <w:rsid w:val="0756306D"/>
    <w:rsid w:val="07702A5A"/>
    <w:rsid w:val="07773BA1"/>
    <w:rsid w:val="07777C89"/>
    <w:rsid w:val="077CBE88"/>
    <w:rsid w:val="077FA46F"/>
    <w:rsid w:val="0784298B"/>
    <w:rsid w:val="07848880"/>
    <w:rsid w:val="0794324F"/>
    <w:rsid w:val="0794629F"/>
    <w:rsid w:val="0798AF0D"/>
    <w:rsid w:val="079DCC5E"/>
    <w:rsid w:val="079E2EC0"/>
    <w:rsid w:val="07A65E52"/>
    <w:rsid w:val="07A7EA4F"/>
    <w:rsid w:val="07B5F4BE"/>
    <w:rsid w:val="07BFA677"/>
    <w:rsid w:val="07D1E587"/>
    <w:rsid w:val="07EA7139"/>
    <w:rsid w:val="07F8EBD9"/>
    <w:rsid w:val="0802D1C1"/>
    <w:rsid w:val="080AE21D"/>
    <w:rsid w:val="08177BCC"/>
    <w:rsid w:val="081F72C2"/>
    <w:rsid w:val="08218469"/>
    <w:rsid w:val="0826C237"/>
    <w:rsid w:val="08293DE6"/>
    <w:rsid w:val="083D65E6"/>
    <w:rsid w:val="083F4D11"/>
    <w:rsid w:val="084C174E"/>
    <w:rsid w:val="085404C5"/>
    <w:rsid w:val="085F4678"/>
    <w:rsid w:val="085F8B21"/>
    <w:rsid w:val="087725B1"/>
    <w:rsid w:val="087B3593"/>
    <w:rsid w:val="087D66DB"/>
    <w:rsid w:val="08A82087"/>
    <w:rsid w:val="08A8C2CA"/>
    <w:rsid w:val="08B28A22"/>
    <w:rsid w:val="08B5FE3C"/>
    <w:rsid w:val="08B85BFF"/>
    <w:rsid w:val="08BAF41D"/>
    <w:rsid w:val="08C6E756"/>
    <w:rsid w:val="08D9620F"/>
    <w:rsid w:val="090D359B"/>
    <w:rsid w:val="091A6E30"/>
    <w:rsid w:val="091AA1FF"/>
    <w:rsid w:val="0933EADA"/>
    <w:rsid w:val="0942A1E2"/>
    <w:rsid w:val="0964F17A"/>
    <w:rsid w:val="096AC17E"/>
    <w:rsid w:val="096E45A2"/>
    <w:rsid w:val="0970C7F2"/>
    <w:rsid w:val="099654F4"/>
    <w:rsid w:val="0996DFD1"/>
    <w:rsid w:val="09ABD557"/>
    <w:rsid w:val="09B8AF16"/>
    <w:rsid w:val="09B93E10"/>
    <w:rsid w:val="09C43503"/>
    <w:rsid w:val="09C6A1CD"/>
    <w:rsid w:val="09D0A749"/>
    <w:rsid w:val="09D457EF"/>
    <w:rsid w:val="09D5721E"/>
    <w:rsid w:val="09D99B58"/>
    <w:rsid w:val="09DD71B0"/>
    <w:rsid w:val="09E5F905"/>
    <w:rsid w:val="09E8E3F4"/>
    <w:rsid w:val="09F430F6"/>
    <w:rsid w:val="0A0D9CCB"/>
    <w:rsid w:val="0A209259"/>
    <w:rsid w:val="0A2AC9AB"/>
    <w:rsid w:val="0A2EF505"/>
    <w:rsid w:val="0A34D620"/>
    <w:rsid w:val="0A3DEB62"/>
    <w:rsid w:val="0A67EA25"/>
    <w:rsid w:val="0A73F64B"/>
    <w:rsid w:val="0A7B7BA8"/>
    <w:rsid w:val="0A856036"/>
    <w:rsid w:val="0AA6C086"/>
    <w:rsid w:val="0AAE4EA2"/>
    <w:rsid w:val="0AB28FC4"/>
    <w:rsid w:val="0AB45147"/>
    <w:rsid w:val="0ABC8903"/>
    <w:rsid w:val="0AC02785"/>
    <w:rsid w:val="0AD2ADFD"/>
    <w:rsid w:val="0AD59150"/>
    <w:rsid w:val="0AE994B8"/>
    <w:rsid w:val="0AF0D1E2"/>
    <w:rsid w:val="0AF7CD02"/>
    <w:rsid w:val="0AFBBF4E"/>
    <w:rsid w:val="0B157132"/>
    <w:rsid w:val="0B277ACA"/>
    <w:rsid w:val="0B2AA4D7"/>
    <w:rsid w:val="0B3DA1D5"/>
    <w:rsid w:val="0B5285D8"/>
    <w:rsid w:val="0B590D94"/>
    <w:rsid w:val="0B5E29CA"/>
    <w:rsid w:val="0B5F4C5D"/>
    <w:rsid w:val="0B632171"/>
    <w:rsid w:val="0B741C54"/>
    <w:rsid w:val="0B7D2D37"/>
    <w:rsid w:val="0B8BA362"/>
    <w:rsid w:val="0B91C21E"/>
    <w:rsid w:val="0B9C6CBD"/>
    <w:rsid w:val="0BB29216"/>
    <w:rsid w:val="0BBD1051"/>
    <w:rsid w:val="0BD08BA5"/>
    <w:rsid w:val="0BEEFEC4"/>
    <w:rsid w:val="0BF384A6"/>
    <w:rsid w:val="0BF9CB1F"/>
    <w:rsid w:val="0BFB76A3"/>
    <w:rsid w:val="0C0AE573"/>
    <w:rsid w:val="0C167A10"/>
    <w:rsid w:val="0C2166CD"/>
    <w:rsid w:val="0C2214A3"/>
    <w:rsid w:val="0C22D3E8"/>
    <w:rsid w:val="0C24B63F"/>
    <w:rsid w:val="0C2A05B4"/>
    <w:rsid w:val="0C30E4E0"/>
    <w:rsid w:val="0C3D89BF"/>
    <w:rsid w:val="0C434EC0"/>
    <w:rsid w:val="0C4E9B99"/>
    <w:rsid w:val="0C5137A8"/>
    <w:rsid w:val="0C671042"/>
    <w:rsid w:val="0C6FFFDC"/>
    <w:rsid w:val="0C813C92"/>
    <w:rsid w:val="0C931BD3"/>
    <w:rsid w:val="0C9E4045"/>
    <w:rsid w:val="0CA32313"/>
    <w:rsid w:val="0CB48059"/>
    <w:rsid w:val="0CB89424"/>
    <w:rsid w:val="0CBA5C05"/>
    <w:rsid w:val="0CC8F538"/>
    <w:rsid w:val="0CD0529B"/>
    <w:rsid w:val="0CD4F2EE"/>
    <w:rsid w:val="0CDA3CE9"/>
    <w:rsid w:val="0CE786A5"/>
    <w:rsid w:val="0CFD4086"/>
    <w:rsid w:val="0CFD6EED"/>
    <w:rsid w:val="0D0D0D72"/>
    <w:rsid w:val="0D16F4C8"/>
    <w:rsid w:val="0D1EA8EA"/>
    <w:rsid w:val="0D1EF1E5"/>
    <w:rsid w:val="0D20E524"/>
    <w:rsid w:val="0D26ED17"/>
    <w:rsid w:val="0D4363FC"/>
    <w:rsid w:val="0D4B3A80"/>
    <w:rsid w:val="0D573562"/>
    <w:rsid w:val="0D5744CE"/>
    <w:rsid w:val="0D65A597"/>
    <w:rsid w:val="0D79DEEB"/>
    <w:rsid w:val="0D81BCFC"/>
    <w:rsid w:val="0D8E900C"/>
    <w:rsid w:val="0D8EB80B"/>
    <w:rsid w:val="0DA76248"/>
    <w:rsid w:val="0DAD3122"/>
    <w:rsid w:val="0DB8C88C"/>
    <w:rsid w:val="0DBBC3D0"/>
    <w:rsid w:val="0DBF66FF"/>
    <w:rsid w:val="0DD04407"/>
    <w:rsid w:val="0DE6E71E"/>
    <w:rsid w:val="0DEFC9F1"/>
    <w:rsid w:val="0DF2A3FD"/>
    <w:rsid w:val="0DFDAF2A"/>
    <w:rsid w:val="0E1E8DDB"/>
    <w:rsid w:val="0E33F82F"/>
    <w:rsid w:val="0E452FF2"/>
    <w:rsid w:val="0E4A7AAE"/>
    <w:rsid w:val="0E54CCCF"/>
    <w:rsid w:val="0E5EAAEB"/>
    <w:rsid w:val="0E6302CC"/>
    <w:rsid w:val="0E66A315"/>
    <w:rsid w:val="0E6D3222"/>
    <w:rsid w:val="0E760C51"/>
    <w:rsid w:val="0E8614A7"/>
    <w:rsid w:val="0E90FF4E"/>
    <w:rsid w:val="0E96C52E"/>
    <w:rsid w:val="0E9755B6"/>
    <w:rsid w:val="0E987E6E"/>
    <w:rsid w:val="0E9C5F8B"/>
    <w:rsid w:val="0EA514C6"/>
    <w:rsid w:val="0EB1A0EA"/>
    <w:rsid w:val="0EB36DD1"/>
    <w:rsid w:val="0ED49D89"/>
    <w:rsid w:val="0EDDE389"/>
    <w:rsid w:val="0EE14EDF"/>
    <w:rsid w:val="0EE98BE2"/>
    <w:rsid w:val="0EED8D31"/>
    <w:rsid w:val="0EF0BDD7"/>
    <w:rsid w:val="0EF2C26E"/>
    <w:rsid w:val="0F1A228E"/>
    <w:rsid w:val="0F27BF95"/>
    <w:rsid w:val="0F31C970"/>
    <w:rsid w:val="0F38E45A"/>
    <w:rsid w:val="0F3FF39E"/>
    <w:rsid w:val="0F41C903"/>
    <w:rsid w:val="0F498651"/>
    <w:rsid w:val="0F56067C"/>
    <w:rsid w:val="0F5B0B60"/>
    <w:rsid w:val="0F5B8757"/>
    <w:rsid w:val="0F68D482"/>
    <w:rsid w:val="0F6EED67"/>
    <w:rsid w:val="0F794EF6"/>
    <w:rsid w:val="0F79C341"/>
    <w:rsid w:val="0F9D12BF"/>
    <w:rsid w:val="0FB137DD"/>
    <w:rsid w:val="0FBD64C9"/>
    <w:rsid w:val="0FC14199"/>
    <w:rsid w:val="0FC754A7"/>
    <w:rsid w:val="0FD3036F"/>
    <w:rsid w:val="0FDADFBA"/>
    <w:rsid w:val="0FE7F674"/>
    <w:rsid w:val="0FF36B96"/>
    <w:rsid w:val="0FF7064F"/>
    <w:rsid w:val="0FFAC241"/>
    <w:rsid w:val="1001405A"/>
    <w:rsid w:val="10047785"/>
    <w:rsid w:val="1005C7C6"/>
    <w:rsid w:val="10068C1F"/>
    <w:rsid w:val="100C07B2"/>
    <w:rsid w:val="101B9388"/>
    <w:rsid w:val="10214F1B"/>
    <w:rsid w:val="102BDBE0"/>
    <w:rsid w:val="102F0FD9"/>
    <w:rsid w:val="10337687"/>
    <w:rsid w:val="10368896"/>
    <w:rsid w:val="1038F1AD"/>
    <w:rsid w:val="103CC586"/>
    <w:rsid w:val="10412CB0"/>
    <w:rsid w:val="1078D60A"/>
    <w:rsid w:val="107A330E"/>
    <w:rsid w:val="108343D0"/>
    <w:rsid w:val="1091CD44"/>
    <w:rsid w:val="10922C50"/>
    <w:rsid w:val="10ADAA6A"/>
    <w:rsid w:val="10B6B4C9"/>
    <w:rsid w:val="10CED113"/>
    <w:rsid w:val="10CFDC2B"/>
    <w:rsid w:val="10D3C06B"/>
    <w:rsid w:val="10D6529F"/>
    <w:rsid w:val="10DC7CB6"/>
    <w:rsid w:val="10E0E1CC"/>
    <w:rsid w:val="10E34366"/>
    <w:rsid w:val="10EF8903"/>
    <w:rsid w:val="10FF65FC"/>
    <w:rsid w:val="111297ED"/>
    <w:rsid w:val="111EA947"/>
    <w:rsid w:val="1129A0F9"/>
    <w:rsid w:val="112C136A"/>
    <w:rsid w:val="1152EE7C"/>
    <w:rsid w:val="115344D8"/>
    <w:rsid w:val="115C8333"/>
    <w:rsid w:val="115F0B97"/>
    <w:rsid w:val="11610201"/>
    <w:rsid w:val="1168685E"/>
    <w:rsid w:val="117FB101"/>
    <w:rsid w:val="11865E48"/>
    <w:rsid w:val="118B2A6E"/>
    <w:rsid w:val="1194A718"/>
    <w:rsid w:val="11967060"/>
    <w:rsid w:val="119A6D59"/>
    <w:rsid w:val="11C0411B"/>
    <w:rsid w:val="11D3AD39"/>
    <w:rsid w:val="11D775D8"/>
    <w:rsid w:val="11DC9F42"/>
    <w:rsid w:val="1201539C"/>
    <w:rsid w:val="12051F68"/>
    <w:rsid w:val="1208CE77"/>
    <w:rsid w:val="12191EEC"/>
    <w:rsid w:val="124615E8"/>
    <w:rsid w:val="126277D4"/>
    <w:rsid w:val="12632889"/>
    <w:rsid w:val="12800684"/>
    <w:rsid w:val="1284A850"/>
    <w:rsid w:val="12856345"/>
    <w:rsid w:val="128BAE5F"/>
    <w:rsid w:val="128C4C5D"/>
    <w:rsid w:val="129722ED"/>
    <w:rsid w:val="1298A8AD"/>
    <w:rsid w:val="129FF029"/>
    <w:rsid w:val="12D25CA7"/>
    <w:rsid w:val="12DE70FB"/>
    <w:rsid w:val="12E59B71"/>
    <w:rsid w:val="12F1B3C0"/>
    <w:rsid w:val="12FE3528"/>
    <w:rsid w:val="13005823"/>
    <w:rsid w:val="13063380"/>
    <w:rsid w:val="130B4BA9"/>
    <w:rsid w:val="1315519C"/>
    <w:rsid w:val="1338872D"/>
    <w:rsid w:val="13730684"/>
    <w:rsid w:val="1379D478"/>
    <w:rsid w:val="1384B24C"/>
    <w:rsid w:val="13B7722A"/>
    <w:rsid w:val="13D08274"/>
    <w:rsid w:val="13D7A2E0"/>
    <w:rsid w:val="14156F5A"/>
    <w:rsid w:val="1423D17C"/>
    <w:rsid w:val="14365B1C"/>
    <w:rsid w:val="1438E258"/>
    <w:rsid w:val="143A6D70"/>
    <w:rsid w:val="143F0E70"/>
    <w:rsid w:val="144857D5"/>
    <w:rsid w:val="144EFB8D"/>
    <w:rsid w:val="1450100B"/>
    <w:rsid w:val="145D56D8"/>
    <w:rsid w:val="1465A4CF"/>
    <w:rsid w:val="14699CBF"/>
    <w:rsid w:val="146C03B8"/>
    <w:rsid w:val="146C5CD1"/>
    <w:rsid w:val="146CBA1B"/>
    <w:rsid w:val="1474FA53"/>
    <w:rsid w:val="1477A785"/>
    <w:rsid w:val="1485AF21"/>
    <w:rsid w:val="1487E9D9"/>
    <w:rsid w:val="149F7E74"/>
    <w:rsid w:val="14ACF119"/>
    <w:rsid w:val="14AE998F"/>
    <w:rsid w:val="14BE2A9B"/>
    <w:rsid w:val="14BEA0B7"/>
    <w:rsid w:val="14BFC42D"/>
    <w:rsid w:val="14D41506"/>
    <w:rsid w:val="14D5D4DA"/>
    <w:rsid w:val="14E8BC87"/>
    <w:rsid w:val="14F2259E"/>
    <w:rsid w:val="14F2FB8E"/>
    <w:rsid w:val="1503AB5D"/>
    <w:rsid w:val="1505B149"/>
    <w:rsid w:val="1512055E"/>
    <w:rsid w:val="153A933C"/>
    <w:rsid w:val="1541C699"/>
    <w:rsid w:val="154293F1"/>
    <w:rsid w:val="155E6506"/>
    <w:rsid w:val="15611EF7"/>
    <w:rsid w:val="1566F08D"/>
    <w:rsid w:val="156AAA05"/>
    <w:rsid w:val="156D1C0B"/>
    <w:rsid w:val="156D4DCC"/>
    <w:rsid w:val="15A02098"/>
    <w:rsid w:val="15A8DC08"/>
    <w:rsid w:val="15AD8BCF"/>
    <w:rsid w:val="15B5DA4F"/>
    <w:rsid w:val="15BB2D65"/>
    <w:rsid w:val="15D0D86E"/>
    <w:rsid w:val="15D180BB"/>
    <w:rsid w:val="15D2B49D"/>
    <w:rsid w:val="15D60BD5"/>
    <w:rsid w:val="15DEBEC0"/>
    <w:rsid w:val="15EA2025"/>
    <w:rsid w:val="15EF411A"/>
    <w:rsid w:val="15FD2AE6"/>
    <w:rsid w:val="1601AA03"/>
    <w:rsid w:val="160EC7C5"/>
    <w:rsid w:val="162771BD"/>
    <w:rsid w:val="1636F326"/>
    <w:rsid w:val="164C6C12"/>
    <w:rsid w:val="165FB24B"/>
    <w:rsid w:val="166BAC2F"/>
    <w:rsid w:val="1674BD71"/>
    <w:rsid w:val="16801FBF"/>
    <w:rsid w:val="16861D6B"/>
    <w:rsid w:val="168EB28C"/>
    <w:rsid w:val="16BD0DC0"/>
    <w:rsid w:val="16C3D474"/>
    <w:rsid w:val="16D04B29"/>
    <w:rsid w:val="16D139C3"/>
    <w:rsid w:val="16E0041A"/>
    <w:rsid w:val="16E4021C"/>
    <w:rsid w:val="1702F78C"/>
    <w:rsid w:val="170753CA"/>
    <w:rsid w:val="170986F6"/>
    <w:rsid w:val="170F5D2C"/>
    <w:rsid w:val="172E651E"/>
    <w:rsid w:val="173E3ACF"/>
    <w:rsid w:val="173E89A9"/>
    <w:rsid w:val="175D2F88"/>
    <w:rsid w:val="176124AC"/>
    <w:rsid w:val="1761D7F9"/>
    <w:rsid w:val="1767991E"/>
    <w:rsid w:val="1768087D"/>
    <w:rsid w:val="177D3EBD"/>
    <w:rsid w:val="1781BC19"/>
    <w:rsid w:val="17926F41"/>
    <w:rsid w:val="1794F79A"/>
    <w:rsid w:val="179C00EF"/>
    <w:rsid w:val="17A539D7"/>
    <w:rsid w:val="17AF6448"/>
    <w:rsid w:val="17BF91FD"/>
    <w:rsid w:val="17C0A9C9"/>
    <w:rsid w:val="17CCA003"/>
    <w:rsid w:val="17E316CC"/>
    <w:rsid w:val="1805797A"/>
    <w:rsid w:val="18092185"/>
    <w:rsid w:val="180A43D6"/>
    <w:rsid w:val="180D78B0"/>
    <w:rsid w:val="180F42DD"/>
    <w:rsid w:val="181009BA"/>
    <w:rsid w:val="1811B0CF"/>
    <w:rsid w:val="183F8DD3"/>
    <w:rsid w:val="1862AA78"/>
    <w:rsid w:val="186C54D7"/>
    <w:rsid w:val="187C9DB8"/>
    <w:rsid w:val="187EF4AB"/>
    <w:rsid w:val="1890E9D7"/>
    <w:rsid w:val="18928E8B"/>
    <w:rsid w:val="1892B0AC"/>
    <w:rsid w:val="18966B7B"/>
    <w:rsid w:val="18A9B94A"/>
    <w:rsid w:val="18AFA7FC"/>
    <w:rsid w:val="18B1F47A"/>
    <w:rsid w:val="18B4C863"/>
    <w:rsid w:val="18B92919"/>
    <w:rsid w:val="18B9C091"/>
    <w:rsid w:val="18BBE0A1"/>
    <w:rsid w:val="18BD189C"/>
    <w:rsid w:val="18C3E04A"/>
    <w:rsid w:val="18C89224"/>
    <w:rsid w:val="18D33295"/>
    <w:rsid w:val="18D7FA0F"/>
    <w:rsid w:val="18D8AA55"/>
    <w:rsid w:val="18E41FB6"/>
    <w:rsid w:val="18EEB705"/>
    <w:rsid w:val="18F02B2E"/>
    <w:rsid w:val="18F2DDE2"/>
    <w:rsid w:val="18F2EDB5"/>
    <w:rsid w:val="18FA81DC"/>
    <w:rsid w:val="18FAFE62"/>
    <w:rsid w:val="18FE265D"/>
    <w:rsid w:val="19030E42"/>
    <w:rsid w:val="191D8C7A"/>
    <w:rsid w:val="192B9B64"/>
    <w:rsid w:val="193A8502"/>
    <w:rsid w:val="194F6E33"/>
    <w:rsid w:val="198A0C91"/>
    <w:rsid w:val="198C2AD7"/>
    <w:rsid w:val="199335D6"/>
    <w:rsid w:val="19A9A67D"/>
    <w:rsid w:val="19C08D22"/>
    <w:rsid w:val="19CAB00E"/>
    <w:rsid w:val="19D3DDCC"/>
    <w:rsid w:val="19E0B702"/>
    <w:rsid w:val="19F3A554"/>
    <w:rsid w:val="1A300DE6"/>
    <w:rsid w:val="1A304D2A"/>
    <w:rsid w:val="1A31850E"/>
    <w:rsid w:val="1A34F462"/>
    <w:rsid w:val="1A3BAC80"/>
    <w:rsid w:val="1A4065F0"/>
    <w:rsid w:val="1A4DBF19"/>
    <w:rsid w:val="1A4FE80D"/>
    <w:rsid w:val="1A549288"/>
    <w:rsid w:val="1A5A67CA"/>
    <w:rsid w:val="1A5ECEE8"/>
    <w:rsid w:val="1A65859C"/>
    <w:rsid w:val="1A73925D"/>
    <w:rsid w:val="1A8A7308"/>
    <w:rsid w:val="1A93F32A"/>
    <w:rsid w:val="1AB6910E"/>
    <w:rsid w:val="1AB703DF"/>
    <w:rsid w:val="1AD9A9AE"/>
    <w:rsid w:val="1AE80773"/>
    <w:rsid w:val="1AEE3489"/>
    <w:rsid w:val="1AFA50D9"/>
    <w:rsid w:val="1AFB663F"/>
    <w:rsid w:val="1AFC4CEE"/>
    <w:rsid w:val="1B018332"/>
    <w:rsid w:val="1B018B34"/>
    <w:rsid w:val="1B06FBA4"/>
    <w:rsid w:val="1B25BDA0"/>
    <w:rsid w:val="1B333491"/>
    <w:rsid w:val="1B3450F6"/>
    <w:rsid w:val="1B38FAF3"/>
    <w:rsid w:val="1B40B8DB"/>
    <w:rsid w:val="1B41EC2E"/>
    <w:rsid w:val="1B464068"/>
    <w:rsid w:val="1B580C3F"/>
    <w:rsid w:val="1B5D7883"/>
    <w:rsid w:val="1B722E0F"/>
    <w:rsid w:val="1B8C9F1E"/>
    <w:rsid w:val="1B90FFED"/>
    <w:rsid w:val="1BA380BF"/>
    <w:rsid w:val="1BB4AA49"/>
    <w:rsid w:val="1BB6834A"/>
    <w:rsid w:val="1BBC483C"/>
    <w:rsid w:val="1BC3D6E7"/>
    <w:rsid w:val="1BC546B1"/>
    <w:rsid w:val="1BCC79AF"/>
    <w:rsid w:val="1BD78D9A"/>
    <w:rsid w:val="1BE2E3E7"/>
    <w:rsid w:val="1C061B8C"/>
    <w:rsid w:val="1C14C4A4"/>
    <w:rsid w:val="1C15251C"/>
    <w:rsid w:val="1C2975DF"/>
    <w:rsid w:val="1C2E97DB"/>
    <w:rsid w:val="1C3AB882"/>
    <w:rsid w:val="1C3B06FC"/>
    <w:rsid w:val="1C3BE34C"/>
    <w:rsid w:val="1C5084F2"/>
    <w:rsid w:val="1C5771F3"/>
    <w:rsid w:val="1C584600"/>
    <w:rsid w:val="1C63A7CB"/>
    <w:rsid w:val="1C643F30"/>
    <w:rsid w:val="1C64EBC7"/>
    <w:rsid w:val="1C6833ED"/>
    <w:rsid w:val="1C6D852F"/>
    <w:rsid w:val="1C82F7E4"/>
    <w:rsid w:val="1C838D4E"/>
    <w:rsid w:val="1C9F105F"/>
    <w:rsid w:val="1C9FDC61"/>
    <w:rsid w:val="1CAC30BC"/>
    <w:rsid w:val="1CBFF20A"/>
    <w:rsid w:val="1CCD5459"/>
    <w:rsid w:val="1CD8EF9C"/>
    <w:rsid w:val="1CE70345"/>
    <w:rsid w:val="1CEF60E5"/>
    <w:rsid w:val="1CFAD20B"/>
    <w:rsid w:val="1CFF46CE"/>
    <w:rsid w:val="1CFF99C3"/>
    <w:rsid w:val="1D142F61"/>
    <w:rsid w:val="1D199384"/>
    <w:rsid w:val="1D2615B8"/>
    <w:rsid w:val="1D27DE5B"/>
    <w:rsid w:val="1D2A65BE"/>
    <w:rsid w:val="1D31E982"/>
    <w:rsid w:val="1D32FAED"/>
    <w:rsid w:val="1D35CC75"/>
    <w:rsid w:val="1D43FE93"/>
    <w:rsid w:val="1D48B0B8"/>
    <w:rsid w:val="1D855FDB"/>
    <w:rsid w:val="1D8C3B6F"/>
    <w:rsid w:val="1D936C6A"/>
    <w:rsid w:val="1DA5510E"/>
    <w:rsid w:val="1DA627E7"/>
    <w:rsid w:val="1DA7B268"/>
    <w:rsid w:val="1DAA9B96"/>
    <w:rsid w:val="1DB0AD7C"/>
    <w:rsid w:val="1DCB1A83"/>
    <w:rsid w:val="1DDC55E2"/>
    <w:rsid w:val="1DE80D50"/>
    <w:rsid w:val="1DF63334"/>
    <w:rsid w:val="1E0ABAC9"/>
    <w:rsid w:val="1E4522D2"/>
    <w:rsid w:val="1E453104"/>
    <w:rsid w:val="1E66A6F9"/>
    <w:rsid w:val="1E76BDED"/>
    <w:rsid w:val="1E774E91"/>
    <w:rsid w:val="1E7A2B8A"/>
    <w:rsid w:val="1E86711F"/>
    <w:rsid w:val="1E8FE709"/>
    <w:rsid w:val="1E92DB14"/>
    <w:rsid w:val="1E9B5765"/>
    <w:rsid w:val="1EC1A929"/>
    <w:rsid w:val="1EC930B9"/>
    <w:rsid w:val="1ECA6903"/>
    <w:rsid w:val="1ECD2D03"/>
    <w:rsid w:val="1ED6334E"/>
    <w:rsid w:val="1EF0F58C"/>
    <w:rsid w:val="1EF1DFEA"/>
    <w:rsid w:val="1EF53B76"/>
    <w:rsid w:val="1EF6E4AE"/>
    <w:rsid w:val="1EFCBB67"/>
    <w:rsid w:val="1EFD81AC"/>
    <w:rsid w:val="1F0BF73B"/>
    <w:rsid w:val="1F163621"/>
    <w:rsid w:val="1F2A7C6D"/>
    <w:rsid w:val="1F58548B"/>
    <w:rsid w:val="1F5A6966"/>
    <w:rsid w:val="1F63628D"/>
    <w:rsid w:val="1F65A890"/>
    <w:rsid w:val="1F69C188"/>
    <w:rsid w:val="1F8116AF"/>
    <w:rsid w:val="1F888995"/>
    <w:rsid w:val="1F8D6555"/>
    <w:rsid w:val="1F98BBD1"/>
    <w:rsid w:val="1F9D1D86"/>
    <w:rsid w:val="1FA8A179"/>
    <w:rsid w:val="1FBC9B61"/>
    <w:rsid w:val="1FDA072C"/>
    <w:rsid w:val="1FF3083F"/>
    <w:rsid w:val="1FFA289B"/>
    <w:rsid w:val="2004E64D"/>
    <w:rsid w:val="20204F7A"/>
    <w:rsid w:val="20270AEC"/>
    <w:rsid w:val="2027198A"/>
    <w:rsid w:val="202BA470"/>
    <w:rsid w:val="203C5EF0"/>
    <w:rsid w:val="203DD212"/>
    <w:rsid w:val="2047D084"/>
    <w:rsid w:val="2056F6CB"/>
    <w:rsid w:val="205E2E2E"/>
    <w:rsid w:val="20606BFB"/>
    <w:rsid w:val="2067D3DD"/>
    <w:rsid w:val="20695C72"/>
    <w:rsid w:val="206B778E"/>
    <w:rsid w:val="20728694"/>
    <w:rsid w:val="20793A3F"/>
    <w:rsid w:val="207996CA"/>
    <w:rsid w:val="209A5D77"/>
    <w:rsid w:val="20B672BD"/>
    <w:rsid w:val="20C1CFE2"/>
    <w:rsid w:val="20D815BE"/>
    <w:rsid w:val="20E1DC85"/>
    <w:rsid w:val="20E9BB5D"/>
    <w:rsid w:val="20F0FD0E"/>
    <w:rsid w:val="20F9BFAA"/>
    <w:rsid w:val="20FC3D15"/>
    <w:rsid w:val="210380DF"/>
    <w:rsid w:val="2119E1F7"/>
    <w:rsid w:val="2141B686"/>
    <w:rsid w:val="214787FC"/>
    <w:rsid w:val="2159DBFE"/>
    <w:rsid w:val="216B7D86"/>
    <w:rsid w:val="21745345"/>
    <w:rsid w:val="217C4165"/>
    <w:rsid w:val="217F9014"/>
    <w:rsid w:val="21897434"/>
    <w:rsid w:val="21899AE0"/>
    <w:rsid w:val="218BDFFF"/>
    <w:rsid w:val="219EAB2A"/>
    <w:rsid w:val="21A3C32A"/>
    <w:rsid w:val="21A78E4B"/>
    <w:rsid w:val="21C7FD83"/>
    <w:rsid w:val="21CBBDF7"/>
    <w:rsid w:val="21D53C7B"/>
    <w:rsid w:val="21DEAA70"/>
    <w:rsid w:val="21E3CEDE"/>
    <w:rsid w:val="21EBEF06"/>
    <w:rsid w:val="21EC0991"/>
    <w:rsid w:val="21EF176D"/>
    <w:rsid w:val="21FE3C67"/>
    <w:rsid w:val="220578E3"/>
    <w:rsid w:val="220ADC5B"/>
    <w:rsid w:val="220E0685"/>
    <w:rsid w:val="220F93B2"/>
    <w:rsid w:val="221E5E5E"/>
    <w:rsid w:val="22300243"/>
    <w:rsid w:val="22432784"/>
    <w:rsid w:val="2247298D"/>
    <w:rsid w:val="224D5D25"/>
    <w:rsid w:val="22524457"/>
    <w:rsid w:val="22531D98"/>
    <w:rsid w:val="22711051"/>
    <w:rsid w:val="2280BFFD"/>
    <w:rsid w:val="2280CB43"/>
    <w:rsid w:val="22922D54"/>
    <w:rsid w:val="22B6656F"/>
    <w:rsid w:val="22B75888"/>
    <w:rsid w:val="22B97212"/>
    <w:rsid w:val="22BD56B7"/>
    <w:rsid w:val="22CA73DD"/>
    <w:rsid w:val="22DCB6A8"/>
    <w:rsid w:val="22E2212C"/>
    <w:rsid w:val="22EAB83C"/>
    <w:rsid w:val="22ED9732"/>
    <w:rsid w:val="22F6F563"/>
    <w:rsid w:val="22FA33E6"/>
    <w:rsid w:val="2300DC51"/>
    <w:rsid w:val="2319AEBF"/>
    <w:rsid w:val="2323C8CD"/>
    <w:rsid w:val="232EC90D"/>
    <w:rsid w:val="2338C838"/>
    <w:rsid w:val="2342BBD7"/>
    <w:rsid w:val="23474C6B"/>
    <w:rsid w:val="2353F546"/>
    <w:rsid w:val="235CABE5"/>
    <w:rsid w:val="23655EA9"/>
    <w:rsid w:val="2366C345"/>
    <w:rsid w:val="2366E3AD"/>
    <w:rsid w:val="2379F8B8"/>
    <w:rsid w:val="238F0083"/>
    <w:rsid w:val="23994F78"/>
    <w:rsid w:val="23A7A4C4"/>
    <w:rsid w:val="23B64D29"/>
    <w:rsid w:val="23C14DEF"/>
    <w:rsid w:val="23CA8820"/>
    <w:rsid w:val="23F14545"/>
    <w:rsid w:val="23FB761E"/>
    <w:rsid w:val="24129645"/>
    <w:rsid w:val="2427C93A"/>
    <w:rsid w:val="244F9D29"/>
    <w:rsid w:val="2450F961"/>
    <w:rsid w:val="2450FA70"/>
    <w:rsid w:val="2462F847"/>
    <w:rsid w:val="2469AA67"/>
    <w:rsid w:val="246C512D"/>
    <w:rsid w:val="246F94A5"/>
    <w:rsid w:val="246FA6D0"/>
    <w:rsid w:val="24708411"/>
    <w:rsid w:val="24887000"/>
    <w:rsid w:val="248EC639"/>
    <w:rsid w:val="249C0143"/>
    <w:rsid w:val="24A1B4B1"/>
    <w:rsid w:val="24A5F5FF"/>
    <w:rsid w:val="24A6AB7C"/>
    <w:rsid w:val="24D468F9"/>
    <w:rsid w:val="24E15B60"/>
    <w:rsid w:val="24E7AADC"/>
    <w:rsid w:val="24F1BF47"/>
    <w:rsid w:val="24F9630F"/>
    <w:rsid w:val="24FA8996"/>
    <w:rsid w:val="251631ED"/>
    <w:rsid w:val="254DB3FB"/>
    <w:rsid w:val="25567BBF"/>
    <w:rsid w:val="255F6DEF"/>
    <w:rsid w:val="2560C8DB"/>
    <w:rsid w:val="256958F4"/>
    <w:rsid w:val="256DB1C4"/>
    <w:rsid w:val="25792A8E"/>
    <w:rsid w:val="257A3751"/>
    <w:rsid w:val="25900B9E"/>
    <w:rsid w:val="25919D15"/>
    <w:rsid w:val="2592986A"/>
    <w:rsid w:val="25998D3B"/>
    <w:rsid w:val="25A15C18"/>
    <w:rsid w:val="25A8B1FB"/>
    <w:rsid w:val="25AD2E6F"/>
    <w:rsid w:val="25AF4138"/>
    <w:rsid w:val="25B0196D"/>
    <w:rsid w:val="25B2A7AA"/>
    <w:rsid w:val="25BBF023"/>
    <w:rsid w:val="25BF7D5F"/>
    <w:rsid w:val="25C19708"/>
    <w:rsid w:val="25D6D925"/>
    <w:rsid w:val="25E1EAC6"/>
    <w:rsid w:val="25EE4B5D"/>
    <w:rsid w:val="26049DDD"/>
    <w:rsid w:val="26083DD4"/>
    <w:rsid w:val="26210287"/>
    <w:rsid w:val="26274457"/>
    <w:rsid w:val="2627F815"/>
    <w:rsid w:val="262953A1"/>
    <w:rsid w:val="262CD876"/>
    <w:rsid w:val="2637351E"/>
    <w:rsid w:val="2638C4E3"/>
    <w:rsid w:val="263AFCEF"/>
    <w:rsid w:val="2644B0C7"/>
    <w:rsid w:val="26501DA4"/>
    <w:rsid w:val="26624E9A"/>
    <w:rsid w:val="26721DE1"/>
    <w:rsid w:val="26816B2B"/>
    <w:rsid w:val="2684A1E5"/>
    <w:rsid w:val="2687FEEA"/>
    <w:rsid w:val="268AC7A2"/>
    <w:rsid w:val="268AEC2F"/>
    <w:rsid w:val="26A180B1"/>
    <w:rsid w:val="26BAE30D"/>
    <w:rsid w:val="26CDD695"/>
    <w:rsid w:val="26CED343"/>
    <w:rsid w:val="26D0CAAA"/>
    <w:rsid w:val="26E4B462"/>
    <w:rsid w:val="26E6455B"/>
    <w:rsid w:val="26EED035"/>
    <w:rsid w:val="26FFAD7C"/>
    <w:rsid w:val="2709EC85"/>
    <w:rsid w:val="27192625"/>
    <w:rsid w:val="272B3734"/>
    <w:rsid w:val="27372A3F"/>
    <w:rsid w:val="2745CCBE"/>
    <w:rsid w:val="274FAE6C"/>
    <w:rsid w:val="276ECA1D"/>
    <w:rsid w:val="27841F2F"/>
    <w:rsid w:val="278EA676"/>
    <w:rsid w:val="2794C082"/>
    <w:rsid w:val="27CC082F"/>
    <w:rsid w:val="27EEB07A"/>
    <w:rsid w:val="27FE9199"/>
    <w:rsid w:val="28078215"/>
    <w:rsid w:val="2817B1E4"/>
    <w:rsid w:val="281D6DE8"/>
    <w:rsid w:val="283D2144"/>
    <w:rsid w:val="2845DEE5"/>
    <w:rsid w:val="2846F521"/>
    <w:rsid w:val="284B0037"/>
    <w:rsid w:val="284E51AA"/>
    <w:rsid w:val="2866CC08"/>
    <w:rsid w:val="28693E7F"/>
    <w:rsid w:val="28721592"/>
    <w:rsid w:val="2894FCB5"/>
    <w:rsid w:val="289590B1"/>
    <w:rsid w:val="28970D37"/>
    <w:rsid w:val="289EED4B"/>
    <w:rsid w:val="28B8EFCD"/>
    <w:rsid w:val="28BB1377"/>
    <w:rsid w:val="28BDABCD"/>
    <w:rsid w:val="28C58337"/>
    <w:rsid w:val="28D16231"/>
    <w:rsid w:val="28D2800A"/>
    <w:rsid w:val="28D6CC58"/>
    <w:rsid w:val="28DA4697"/>
    <w:rsid w:val="28E46A8A"/>
    <w:rsid w:val="28F846E2"/>
    <w:rsid w:val="29004674"/>
    <w:rsid w:val="290BA3A4"/>
    <w:rsid w:val="291A4138"/>
    <w:rsid w:val="292D84C6"/>
    <w:rsid w:val="292E26D6"/>
    <w:rsid w:val="2930FA2D"/>
    <w:rsid w:val="2932503D"/>
    <w:rsid w:val="29326D74"/>
    <w:rsid w:val="2934FC04"/>
    <w:rsid w:val="2956EA18"/>
    <w:rsid w:val="29584042"/>
    <w:rsid w:val="295F93B5"/>
    <w:rsid w:val="297152FD"/>
    <w:rsid w:val="29831550"/>
    <w:rsid w:val="29911890"/>
    <w:rsid w:val="29966C74"/>
    <w:rsid w:val="29A8887D"/>
    <w:rsid w:val="29AD7E9F"/>
    <w:rsid w:val="29AFBA6F"/>
    <w:rsid w:val="29BE64DA"/>
    <w:rsid w:val="29D0FAA9"/>
    <w:rsid w:val="29D2713E"/>
    <w:rsid w:val="29EA53E8"/>
    <w:rsid w:val="2A0F463E"/>
    <w:rsid w:val="2A186E1E"/>
    <w:rsid w:val="2A1F8A0C"/>
    <w:rsid w:val="2A20D136"/>
    <w:rsid w:val="2A279341"/>
    <w:rsid w:val="2A28C4AC"/>
    <w:rsid w:val="2A325C8B"/>
    <w:rsid w:val="2A44610C"/>
    <w:rsid w:val="2A4ABA86"/>
    <w:rsid w:val="2A4B4B95"/>
    <w:rsid w:val="2A506FC4"/>
    <w:rsid w:val="2A5B47D3"/>
    <w:rsid w:val="2A7841F5"/>
    <w:rsid w:val="2A7B163D"/>
    <w:rsid w:val="2A96DB06"/>
    <w:rsid w:val="2AA129AD"/>
    <w:rsid w:val="2AB6EDA8"/>
    <w:rsid w:val="2AB8A136"/>
    <w:rsid w:val="2ABE4F3E"/>
    <w:rsid w:val="2AC2A796"/>
    <w:rsid w:val="2AC996B0"/>
    <w:rsid w:val="2AD2440B"/>
    <w:rsid w:val="2ADD9A42"/>
    <w:rsid w:val="2AF39A7A"/>
    <w:rsid w:val="2B09367C"/>
    <w:rsid w:val="2B1005F9"/>
    <w:rsid w:val="2B11BB45"/>
    <w:rsid w:val="2B1457AE"/>
    <w:rsid w:val="2B209580"/>
    <w:rsid w:val="2B3B212B"/>
    <w:rsid w:val="2B567F63"/>
    <w:rsid w:val="2B92A48A"/>
    <w:rsid w:val="2B983FC2"/>
    <w:rsid w:val="2B9E0608"/>
    <w:rsid w:val="2BA167C2"/>
    <w:rsid w:val="2BA9A0D5"/>
    <w:rsid w:val="2BBC4971"/>
    <w:rsid w:val="2BCADA5C"/>
    <w:rsid w:val="2BD26E6A"/>
    <w:rsid w:val="2BE7AEC9"/>
    <w:rsid w:val="2BEE8F91"/>
    <w:rsid w:val="2C0151EF"/>
    <w:rsid w:val="2C0300C5"/>
    <w:rsid w:val="2C35A075"/>
    <w:rsid w:val="2C396346"/>
    <w:rsid w:val="2C401D7D"/>
    <w:rsid w:val="2C522582"/>
    <w:rsid w:val="2C52FB72"/>
    <w:rsid w:val="2C57283D"/>
    <w:rsid w:val="2C5FE398"/>
    <w:rsid w:val="2C652BC0"/>
    <w:rsid w:val="2C7D981C"/>
    <w:rsid w:val="2C8C6727"/>
    <w:rsid w:val="2C8EBD21"/>
    <w:rsid w:val="2C8FE1F5"/>
    <w:rsid w:val="2CA611B1"/>
    <w:rsid w:val="2CC1CD5F"/>
    <w:rsid w:val="2CC29706"/>
    <w:rsid w:val="2CCB3F98"/>
    <w:rsid w:val="2CCC4CE2"/>
    <w:rsid w:val="2CCFB454"/>
    <w:rsid w:val="2CD0DCC9"/>
    <w:rsid w:val="2CDDBEFD"/>
    <w:rsid w:val="2CF461FB"/>
    <w:rsid w:val="2CF4B771"/>
    <w:rsid w:val="2CF509B5"/>
    <w:rsid w:val="2CF7CAD4"/>
    <w:rsid w:val="2CFCFED6"/>
    <w:rsid w:val="2CFF9BB4"/>
    <w:rsid w:val="2D1B16CB"/>
    <w:rsid w:val="2D1F8E5C"/>
    <w:rsid w:val="2D2388D9"/>
    <w:rsid w:val="2D2D6432"/>
    <w:rsid w:val="2D30CCA3"/>
    <w:rsid w:val="2D337876"/>
    <w:rsid w:val="2D38664F"/>
    <w:rsid w:val="2D3F8867"/>
    <w:rsid w:val="2D516299"/>
    <w:rsid w:val="2D596A0D"/>
    <w:rsid w:val="2D6425A6"/>
    <w:rsid w:val="2D650440"/>
    <w:rsid w:val="2D73C7AF"/>
    <w:rsid w:val="2D9AB741"/>
    <w:rsid w:val="2D9C2B7E"/>
    <w:rsid w:val="2DA10C4A"/>
    <w:rsid w:val="2DA98BD4"/>
    <w:rsid w:val="2DB9FB20"/>
    <w:rsid w:val="2DC0497F"/>
    <w:rsid w:val="2DD1CEED"/>
    <w:rsid w:val="2DE309C4"/>
    <w:rsid w:val="2DE4D449"/>
    <w:rsid w:val="2E002DD4"/>
    <w:rsid w:val="2E16A7A1"/>
    <w:rsid w:val="2E18B14E"/>
    <w:rsid w:val="2E2D2EED"/>
    <w:rsid w:val="2E326919"/>
    <w:rsid w:val="2E38E637"/>
    <w:rsid w:val="2E3DAA5E"/>
    <w:rsid w:val="2E4B2819"/>
    <w:rsid w:val="2E695137"/>
    <w:rsid w:val="2E6EEFB9"/>
    <w:rsid w:val="2E7A316E"/>
    <w:rsid w:val="2E838AA0"/>
    <w:rsid w:val="2E85C04F"/>
    <w:rsid w:val="2E9F13E9"/>
    <w:rsid w:val="2EB71934"/>
    <w:rsid w:val="2EB86BCC"/>
    <w:rsid w:val="2EB97768"/>
    <w:rsid w:val="2ED077C7"/>
    <w:rsid w:val="2EE42528"/>
    <w:rsid w:val="2F044591"/>
    <w:rsid w:val="2F080444"/>
    <w:rsid w:val="2F0B12EA"/>
    <w:rsid w:val="2F0F9B5B"/>
    <w:rsid w:val="2F1178DD"/>
    <w:rsid w:val="2F1317F0"/>
    <w:rsid w:val="2F1573B5"/>
    <w:rsid w:val="2F31F516"/>
    <w:rsid w:val="2F524649"/>
    <w:rsid w:val="2F57D028"/>
    <w:rsid w:val="2F629A9C"/>
    <w:rsid w:val="2F739E07"/>
    <w:rsid w:val="2F762271"/>
    <w:rsid w:val="2F7CC1E1"/>
    <w:rsid w:val="2F7EA258"/>
    <w:rsid w:val="2F7EDC6D"/>
    <w:rsid w:val="2F89F7DC"/>
    <w:rsid w:val="2FAABD4D"/>
    <w:rsid w:val="2FB6E020"/>
    <w:rsid w:val="2FBD1F90"/>
    <w:rsid w:val="2FCB14AD"/>
    <w:rsid w:val="2FCBC5A3"/>
    <w:rsid w:val="2FCF7399"/>
    <w:rsid w:val="2FD105E6"/>
    <w:rsid w:val="2FD856A7"/>
    <w:rsid w:val="2FE09481"/>
    <w:rsid w:val="2FE637BD"/>
    <w:rsid w:val="2FEF1C69"/>
    <w:rsid w:val="2FF4FABF"/>
    <w:rsid w:val="2FF7F5F0"/>
    <w:rsid w:val="30163555"/>
    <w:rsid w:val="301957BF"/>
    <w:rsid w:val="3021DA71"/>
    <w:rsid w:val="303D1C00"/>
    <w:rsid w:val="3040F40C"/>
    <w:rsid w:val="30442979"/>
    <w:rsid w:val="304C2837"/>
    <w:rsid w:val="305309C2"/>
    <w:rsid w:val="3058A1D0"/>
    <w:rsid w:val="3070EFA6"/>
    <w:rsid w:val="3076EECD"/>
    <w:rsid w:val="307B8A65"/>
    <w:rsid w:val="3084AD56"/>
    <w:rsid w:val="3093F89B"/>
    <w:rsid w:val="309D3F00"/>
    <w:rsid w:val="30A1F6F6"/>
    <w:rsid w:val="30A5CEDB"/>
    <w:rsid w:val="30A775B6"/>
    <w:rsid w:val="30B3C7A3"/>
    <w:rsid w:val="30B69B23"/>
    <w:rsid w:val="30B8F11D"/>
    <w:rsid w:val="30BA12A9"/>
    <w:rsid w:val="30D0B04F"/>
    <w:rsid w:val="30D944C8"/>
    <w:rsid w:val="30DBDEB9"/>
    <w:rsid w:val="30E0D14E"/>
    <w:rsid w:val="30E395D7"/>
    <w:rsid w:val="30F2A59F"/>
    <w:rsid w:val="30F8C58B"/>
    <w:rsid w:val="31064A39"/>
    <w:rsid w:val="310B248F"/>
    <w:rsid w:val="3111AE39"/>
    <w:rsid w:val="311401F4"/>
    <w:rsid w:val="31178915"/>
    <w:rsid w:val="31186DEF"/>
    <w:rsid w:val="311B09F9"/>
    <w:rsid w:val="311C0F3A"/>
    <w:rsid w:val="31273156"/>
    <w:rsid w:val="31280B00"/>
    <w:rsid w:val="3128147D"/>
    <w:rsid w:val="3130A73F"/>
    <w:rsid w:val="31393A10"/>
    <w:rsid w:val="313BA2C8"/>
    <w:rsid w:val="3152974E"/>
    <w:rsid w:val="3158ECDD"/>
    <w:rsid w:val="3159CF6A"/>
    <w:rsid w:val="31606141"/>
    <w:rsid w:val="31734172"/>
    <w:rsid w:val="317AE0FE"/>
    <w:rsid w:val="3189EACE"/>
    <w:rsid w:val="318C0A1F"/>
    <w:rsid w:val="319D3EEC"/>
    <w:rsid w:val="31B1D8EE"/>
    <w:rsid w:val="31D7D45A"/>
    <w:rsid w:val="31D81857"/>
    <w:rsid w:val="3201CD89"/>
    <w:rsid w:val="3205526B"/>
    <w:rsid w:val="32093F9C"/>
    <w:rsid w:val="32214B22"/>
    <w:rsid w:val="322D3917"/>
    <w:rsid w:val="322E2FF4"/>
    <w:rsid w:val="322FAD44"/>
    <w:rsid w:val="32337B1A"/>
    <w:rsid w:val="3233B545"/>
    <w:rsid w:val="323E1F51"/>
    <w:rsid w:val="3241EAA4"/>
    <w:rsid w:val="3243B80B"/>
    <w:rsid w:val="3247420D"/>
    <w:rsid w:val="3247F743"/>
    <w:rsid w:val="324B12C9"/>
    <w:rsid w:val="32561660"/>
    <w:rsid w:val="326CC2B8"/>
    <w:rsid w:val="327D9DCE"/>
    <w:rsid w:val="32979E77"/>
    <w:rsid w:val="32985DA7"/>
    <w:rsid w:val="32A08A1B"/>
    <w:rsid w:val="32A9E2D2"/>
    <w:rsid w:val="32C9D2D5"/>
    <w:rsid w:val="32CA7C49"/>
    <w:rsid w:val="32D95C75"/>
    <w:rsid w:val="32DC8181"/>
    <w:rsid w:val="32E4A070"/>
    <w:rsid w:val="32F2964F"/>
    <w:rsid w:val="32FA24AB"/>
    <w:rsid w:val="33036FD3"/>
    <w:rsid w:val="33194461"/>
    <w:rsid w:val="331AB27B"/>
    <w:rsid w:val="332D6BF5"/>
    <w:rsid w:val="332F3939"/>
    <w:rsid w:val="333A6EF0"/>
    <w:rsid w:val="33498090"/>
    <w:rsid w:val="335F6B94"/>
    <w:rsid w:val="3361DEA4"/>
    <w:rsid w:val="33687A10"/>
    <w:rsid w:val="336D736A"/>
    <w:rsid w:val="336FC769"/>
    <w:rsid w:val="33725EF3"/>
    <w:rsid w:val="337A78CB"/>
    <w:rsid w:val="337AC8E2"/>
    <w:rsid w:val="337DA9B9"/>
    <w:rsid w:val="33943C47"/>
    <w:rsid w:val="33960079"/>
    <w:rsid w:val="33A04C09"/>
    <w:rsid w:val="33AD6B43"/>
    <w:rsid w:val="33B4DC5D"/>
    <w:rsid w:val="33C7AD96"/>
    <w:rsid w:val="33CD652F"/>
    <w:rsid w:val="33D2138D"/>
    <w:rsid w:val="33D75E10"/>
    <w:rsid w:val="33ECD2E1"/>
    <w:rsid w:val="33F494B6"/>
    <w:rsid w:val="34156D21"/>
    <w:rsid w:val="3419F610"/>
    <w:rsid w:val="341A05A7"/>
    <w:rsid w:val="342A5112"/>
    <w:rsid w:val="34319E26"/>
    <w:rsid w:val="3431BCAC"/>
    <w:rsid w:val="343AE731"/>
    <w:rsid w:val="343C9F2C"/>
    <w:rsid w:val="3444D81A"/>
    <w:rsid w:val="3446E184"/>
    <w:rsid w:val="345A52FD"/>
    <w:rsid w:val="346D3369"/>
    <w:rsid w:val="347BFC5A"/>
    <w:rsid w:val="347CCB32"/>
    <w:rsid w:val="347D801E"/>
    <w:rsid w:val="3481FE10"/>
    <w:rsid w:val="34860695"/>
    <w:rsid w:val="349C19E5"/>
    <w:rsid w:val="349C4EFB"/>
    <w:rsid w:val="34ABB786"/>
    <w:rsid w:val="34B5555A"/>
    <w:rsid w:val="34BD04DE"/>
    <w:rsid w:val="34C0E120"/>
    <w:rsid w:val="34E8DA13"/>
    <w:rsid w:val="34E9EC2C"/>
    <w:rsid w:val="34F061C6"/>
    <w:rsid w:val="34F289CA"/>
    <w:rsid w:val="34F9ED7B"/>
    <w:rsid w:val="34FA0132"/>
    <w:rsid w:val="350B37E9"/>
    <w:rsid w:val="350CEA2C"/>
    <w:rsid w:val="35167960"/>
    <w:rsid w:val="352927BE"/>
    <w:rsid w:val="352CE2DB"/>
    <w:rsid w:val="35458DA1"/>
    <w:rsid w:val="3547731E"/>
    <w:rsid w:val="354D84F3"/>
    <w:rsid w:val="35702042"/>
    <w:rsid w:val="3575F086"/>
    <w:rsid w:val="357C6246"/>
    <w:rsid w:val="357E1403"/>
    <w:rsid w:val="35825974"/>
    <w:rsid w:val="358510C2"/>
    <w:rsid w:val="358D225B"/>
    <w:rsid w:val="35984002"/>
    <w:rsid w:val="359E7274"/>
    <w:rsid w:val="35A37E2D"/>
    <w:rsid w:val="35B524B3"/>
    <w:rsid w:val="35C26703"/>
    <w:rsid w:val="35DA72B4"/>
    <w:rsid w:val="35E0A395"/>
    <w:rsid w:val="35E75BD1"/>
    <w:rsid w:val="35F07E27"/>
    <w:rsid w:val="35FF30F1"/>
    <w:rsid w:val="3601D882"/>
    <w:rsid w:val="3615EED5"/>
    <w:rsid w:val="361D1B67"/>
    <w:rsid w:val="361F83F5"/>
    <w:rsid w:val="363CFAA6"/>
    <w:rsid w:val="363F5DF8"/>
    <w:rsid w:val="36488552"/>
    <w:rsid w:val="36651867"/>
    <w:rsid w:val="36667F60"/>
    <w:rsid w:val="366D0BB1"/>
    <w:rsid w:val="3697A8CB"/>
    <w:rsid w:val="369E6232"/>
    <w:rsid w:val="36A1FAEC"/>
    <w:rsid w:val="36ACE702"/>
    <w:rsid w:val="36BDD918"/>
    <w:rsid w:val="36C942C3"/>
    <w:rsid w:val="36D41243"/>
    <w:rsid w:val="36D9BDAB"/>
    <w:rsid w:val="36DBFEDB"/>
    <w:rsid w:val="36DE9C47"/>
    <w:rsid w:val="36F16281"/>
    <w:rsid w:val="36F48437"/>
    <w:rsid w:val="36F84CF1"/>
    <w:rsid w:val="3713086E"/>
    <w:rsid w:val="371BE9CA"/>
    <w:rsid w:val="371E5B19"/>
    <w:rsid w:val="3721EAC0"/>
    <w:rsid w:val="372C53A9"/>
    <w:rsid w:val="376D06B5"/>
    <w:rsid w:val="377722A8"/>
    <w:rsid w:val="378704D0"/>
    <w:rsid w:val="378713B7"/>
    <w:rsid w:val="3789EC0A"/>
    <w:rsid w:val="378C73A7"/>
    <w:rsid w:val="378F1DC7"/>
    <w:rsid w:val="37903256"/>
    <w:rsid w:val="3795FE60"/>
    <w:rsid w:val="379F0FB0"/>
    <w:rsid w:val="37A82D3F"/>
    <w:rsid w:val="37C3F60C"/>
    <w:rsid w:val="37E2424B"/>
    <w:rsid w:val="37E3741F"/>
    <w:rsid w:val="37E380D2"/>
    <w:rsid w:val="37E595D7"/>
    <w:rsid w:val="37ECDFEE"/>
    <w:rsid w:val="3803EEAB"/>
    <w:rsid w:val="38070292"/>
    <w:rsid w:val="382FBB47"/>
    <w:rsid w:val="3834CDA1"/>
    <w:rsid w:val="38390A7F"/>
    <w:rsid w:val="384FCBBB"/>
    <w:rsid w:val="38524016"/>
    <w:rsid w:val="385583FB"/>
    <w:rsid w:val="386C82E9"/>
    <w:rsid w:val="3880C288"/>
    <w:rsid w:val="38885794"/>
    <w:rsid w:val="38928A3F"/>
    <w:rsid w:val="389D1673"/>
    <w:rsid w:val="38A5AD79"/>
    <w:rsid w:val="38B2FFF8"/>
    <w:rsid w:val="38CAC908"/>
    <w:rsid w:val="38D6C278"/>
    <w:rsid w:val="38DEC0EA"/>
    <w:rsid w:val="38E6835E"/>
    <w:rsid w:val="38E6B9BB"/>
    <w:rsid w:val="38E7C406"/>
    <w:rsid w:val="38EEAAD9"/>
    <w:rsid w:val="39017EC0"/>
    <w:rsid w:val="3910C374"/>
    <w:rsid w:val="3917F56D"/>
    <w:rsid w:val="3926FA13"/>
    <w:rsid w:val="392A5F2D"/>
    <w:rsid w:val="392BE78D"/>
    <w:rsid w:val="39305F10"/>
    <w:rsid w:val="3945A706"/>
    <w:rsid w:val="394E3C51"/>
    <w:rsid w:val="3953B033"/>
    <w:rsid w:val="39681EBF"/>
    <w:rsid w:val="397A7B5C"/>
    <w:rsid w:val="39816D48"/>
    <w:rsid w:val="3984D1DF"/>
    <w:rsid w:val="3987EA1B"/>
    <w:rsid w:val="3989969F"/>
    <w:rsid w:val="398B3C9B"/>
    <w:rsid w:val="398FB93F"/>
    <w:rsid w:val="39906FC0"/>
    <w:rsid w:val="39992112"/>
    <w:rsid w:val="399F221F"/>
    <w:rsid w:val="39A243CE"/>
    <w:rsid w:val="39A30E44"/>
    <w:rsid w:val="39B94E0E"/>
    <w:rsid w:val="39CF1681"/>
    <w:rsid w:val="39D579D8"/>
    <w:rsid w:val="39F316A4"/>
    <w:rsid w:val="39F9F818"/>
    <w:rsid w:val="39FB3A20"/>
    <w:rsid w:val="39FC0EC4"/>
    <w:rsid w:val="39FFEF4C"/>
    <w:rsid w:val="3A005EC9"/>
    <w:rsid w:val="3A1971F6"/>
    <w:rsid w:val="3A198D26"/>
    <w:rsid w:val="3A3269FD"/>
    <w:rsid w:val="3A3D124A"/>
    <w:rsid w:val="3A3D96CC"/>
    <w:rsid w:val="3A3D97DE"/>
    <w:rsid w:val="3A509EE3"/>
    <w:rsid w:val="3A65DB96"/>
    <w:rsid w:val="3A6E39CD"/>
    <w:rsid w:val="3A6E40E5"/>
    <w:rsid w:val="3A762E83"/>
    <w:rsid w:val="3A778B35"/>
    <w:rsid w:val="3A946178"/>
    <w:rsid w:val="3A991D9A"/>
    <w:rsid w:val="3AAC6E60"/>
    <w:rsid w:val="3AB9F3BC"/>
    <w:rsid w:val="3AE70F8D"/>
    <w:rsid w:val="3B035D13"/>
    <w:rsid w:val="3B0C7BE5"/>
    <w:rsid w:val="3B0FAA5E"/>
    <w:rsid w:val="3B129892"/>
    <w:rsid w:val="3B301EDA"/>
    <w:rsid w:val="3B38E22F"/>
    <w:rsid w:val="3B426027"/>
    <w:rsid w:val="3B45482F"/>
    <w:rsid w:val="3B463D03"/>
    <w:rsid w:val="3B4F7ABD"/>
    <w:rsid w:val="3B5276D0"/>
    <w:rsid w:val="3B58B2DE"/>
    <w:rsid w:val="3B5943DB"/>
    <w:rsid w:val="3B5E61D7"/>
    <w:rsid w:val="3B6103E9"/>
    <w:rsid w:val="3B63EEFC"/>
    <w:rsid w:val="3B7956C6"/>
    <w:rsid w:val="3B7A4176"/>
    <w:rsid w:val="3B7CA7BF"/>
    <w:rsid w:val="3B82456A"/>
    <w:rsid w:val="3B9A14AC"/>
    <w:rsid w:val="3BC2D807"/>
    <w:rsid w:val="3BD9F7EF"/>
    <w:rsid w:val="3BDD7700"/>
    <w:rsid w:val="3BE2F1DC"/>
    <w:rsid w:val="3BEB1138"/>
    <w:rsid w:val="3BF06DE0"/>
    <w:rsid w:val="3C04DD1E"/>
    <w:rsid w:val="3C06AC4E"/>
    <w:rsid w:val="3C09F98D"/>
    <w:rsid w:val="3C14B330"/>
    <w:rsid w:val="3C17C6C7"/>
    <w:rsid w:val="3C227ADD"/>
    <w:rsid w:val="3C3A48A5"/>
    <w:rsid w:val="3C3E8A05"/>
    <w:rsid w:val="3C3ED4A4"/>
    <w:rsid w:val="3C41B64C"/>
    <w:rsid w:val="3C528976"/>
    <w:rsid w:val="3C5D71C3"/>
    <w:rsid w:val="3C61FFEF"/>
    <w:rsid w:val="3C6A90C1"/>
    <w:rsid w:val="3C6DE51C"/>
    <w:rsid w:val="3C79488D"/>
    <w:rsid w:val="3C799FB6"/>
    <w:rsid w:val="3C83CBC0"/>
    <w:rsid w:val="3C91DEE3"/>
    <w:rsid w:val="3C950E51"/>
    <w:rsid w:val="3CB2435D"/>
    <w:rsid w:val="3CB6333F"/>
    <w:rsid w:val="3CBEE350"/>
    <w:rsid w:val="3CE2CA79"/>
    <w:rsid w:val="3CECDEB5"/>
    <w:rsid w:val="3D00FEF1"/>
    <w:rsid w:val="3D032803"/>
    <w:rsid w:val="3D0EACB2"/>
    <w:rsid w:val="3D27F08E"/>
    <w:rsid w:val="3D35B883"/>
    <w:rsid w:val="3D3ED3C1"/>
    <w:rsid w:val="3D435447"/>
    <w:rsid w:val="3D496E6E"/>
    <w:rsid w:val="3D501D42"/>
    <w:rsid w:val="3D56019D"/>
    <w:rsid w:val="3D576596"/>
    <w:rsid w:val="3D68455F"/>
    <w:rsid w:val="3D6922DA"/>
    <w:rsid w:val="3D704C05"/>
    <w:rsid w:val="3D721862"/>
    <w:rsid w:val="3D74AC1C"/>
    <w:rsid w:val="3D7BBFC2"/>
    <w:rsid w:val="3D841AF2"/>
    <w:rsid w:val="3D85E46E"/>
    <w:rsid w:val="3D9D8D84"/>
    <w:rsid w:val="3D9EAB5A"/>
    <w:rsid w:val="3DA3803F"/>
    <w:rsid w:val="3DABE4C2"/>
    <w:rsid w:val="3DBF9703"/>
    <w:rsid w:val="3DC85627"/>
    <w:rsid w:val="3DCA06D5"/>
    <w:rsid w:val="3DCA1418"/>
    <w:rsid w:val="3DEB55D5"/>
    <w:rsid w:val="3E03A813"/>
    <w:rsid w:val="3E0A000F"/>
    <w:rsid w:val="3E2D3012"/>
    <w:rsid w:val="3E311113"/>
    <w:rsid w:val="3E33ED5F"/>
    <w:rsid w:val="3E39A966"/>
    <w:rsid w:val="3E45E6C4"/>
    <w:rsid w:val="3E48903D"/>
    <w:rsid w:val="3E4F988F"/>
    <w:rsid w:val="3E5B8625"/>
    <w:rsid w:val="3E5F1FC8"/>
    <w:rsid w:val="3E6C30C0"/>
    <w:rsid w:val="3E6EA2A0"/>
    <w:rsid w:val="3E6EB8A1"/>
    <w:rsid w:val="3E770382"/>
    <w:rsid w:val="3E8135D3"/>
    <w:rsid w:val="3E8D74D7"/>
    <w:rsid w:val="3E8E1619"/>
    <w:rsid w:val="3E989F52"/>
    <w:rsid w:val="3EA6D8C0"/>
    <w:rsid w:val="3EC2AFF3"/>
    <w:rsid w:val="3EED83EA"/>
    <w:rsid w:val="3EEE323E"/>
    <w:rsid w:val="3EF17280"/>
    <w:rsid w:val="3EF7F7F1"/>
    <w:rsid w:val="3F0A388F"/>
    <w:rsid w:val="3F12A1F3"/>
    <w:rsid w:val="3F158572"/>
    <w:rsid w:val="3F1FC3C2"/>
    <w:rsid w:val="3F224434"/>
    <w:rsid w:val="3F41F856"/>
    <w:rsid w:val="3F4DA707"/>
    <w:rsid w:val="3F4EECA6"/>
    <w:rsid w:val="3F569827"/>
    <w:rsid w:val="3F7DAB07"/>
    <w:rsid w:val="3F7EA637"/>
    <w:rsid w:val="3F96D395"/>
    <w:rsid w:val="3F98543E"/>
    <w:rsid w:val="3FA68A80"/>
    <w:rsid w:val="3FAB18A0"/>
    <w:rsid w:val="3FB535E6"/>
    <w:rsid w:val="3FB6BF7F"/>
    <w:rsid w:val="3FBE29EF"/>
    <w:rsid w:val="3FBF0BB7"/>
    <w:rsid w:val="3FBFC350"/>
    <w:rsid w:val="3FF3CFA6"/>
    <w:rsid w:val="4002D3B6"/>
    <w:rsid w:val="4008856E"/>
    <w:rsid w:val="40097B82"/>
    <w:rsid w:val="400E2534"/>
    <w:rsid w:val="4027394F"/>
    <w:rsid w:val="403657FA"/>
    <w:rsid w:val="403A2B96"/>
    <w:rsid w:val="403F8EA6"/>
    <w:rsid w:val="403FAAAA"/>
    <w:rsid w:val="4053112F"/>
    <w:rsid w:val="405C4464"/>
    <w:rsid w:val="40662586"/>
    <w:rsid w:val="4083AA79"/>
    <w:rsid w:val="409101E6"/>
    <w:rsid w:val="40B57C10"/>
    <w:rsid w:val="40B8705C"/>
    <w:rsid w:val="40C9BA8A"/>
    <w:rsid w:val="40CCC446"/>
    <w:rsid w:val="40CD4FD4"/>
    <w:rsid w:val="40DE9B64"/>
    <w:rsid w:val="412307AA"/>
    <w:rsid w:val="41319B64"/>
    <w:rsid w:val="4137502B"/>
    <w:rsid w:val="413982D0"/>
    <w:rsid w:val="413FA3C1"/>
    <w:rsid w:val="4151B232"/>
    <w:rsid w:val="415E5CB6"/>
    <w:rsid w:val="416441AE"/>
    <w:rsid w:val="417ADED5"/>
    <w:rsid w:val="4194BC3B"/>
    <w:rsid w:val="419D7073"/>
    <w:rsid w:val="41A5CEC8"/>
    <w:rsid w:val="41C5A308"/>
    <w:rsid w:val="41C7EFC2"/>
    <w:rsid w:val="41E24F73"/>
    <w:rsid w:val="4207ABEE"/>
    <w:rsid w:val="4215197E"/>
    <w:rsid w:val="422E1A68"/>
    <w:rsid w:val="423AFCCA"/>
    <w:rsid w:val="425B8D42"/>
    <w:rsid w:val="425D50A7"/>
    <w:rsid w:val="425DD112"/>
    <w:rsid w:val="42614E3D"/>
    <w:rsid w:val="4265F14C"/>
    <w:rsid w:val="426B415C"/>
    <w:rsid w:val="42727254"/>
    <w:rsid w:val="42781E0F"/>
    <w:rsid w:val="4280D998"/>
    <w:rsid w:val="4292B457"/>
    <w:rsid w:val="42A30938"/>
    <w:rsid w:val="42A34733"/>
    <w:rsid w:val="42A5E457"/>
    <w:rsid w:val="42B660B8"/>
    <w:rsid w:val="42BE18F9"/>
    <w:rsid w:val="42D9D136"/>
    <w:rsid w:val="42E63E58"/>
    <w:rsid w:val="42E8B430"/>
    <w:rsid w:val="43147CEE"/>
    <w:rsid w:val="43148501"/>
    <w:rsid w:val="4319D73E"/>
    <w:rsid w:val="4336B3BA"/>
    <w:rsid w:val="433CD4B2"/>
    <w:rsid w:val="4357BF7B"/>
    <w:rsid w:val="4359CB84"/>
    <w:rsid w:val="43653BCD"/>
    <w:rsid w:val="4366A694"/>
    <w:rsid w:val="438301D4"/>
    <w:rsid w:val="4393854E"/>
    <w:rsid w:val="4396B0F8"/>
    <w:rsid w:val="439C4E61"/>
    <w:rsid w:val="439CDDB0"/>
    <w:rsid w:val="43A9FE72"/>
    <w:rsid w:val="43AC08A2"/>
    <w:rsid w:val="43AC0A97"/>
    <w:rsid w:val="43BE07B3"/>
    <w:rsid w:val="43CC4449"/>
    <w:rsid w:val="43D521BC"/>
    <w:rsid w:val="43D8F211"/>
    <w:rsid w:val="43E1CD71"/>
    <w:rsid w:val="43E4A25D"/>
    <w:rsid w:val="43EFE48D"/>
    <w:rsid w:val="43F685BF"/>
    <w:rsid w:val="43FB5C08"/>
    <w:rsid w:val="4407130C"/>
    <w:rsid w:val="4409253F"/>
    <w:rsid w:val="4423A460"/>
    <w:rsid w:val="44539794"/>
    <w:rsid w:val="4469303B"/>
    <w:rsid w:val="44752698"/>
    <w:rsid w:val="447A4F45"/>
    <w:rsid w:val="447B48B7"/>
    <w:rsid w:val="4483BF3F"/>
    <w:rsid w:val="449C2F2E"/>
    <w:rsid w:val="449F9D24"/>
    <w:rsid w:val="44AD0D56"/>
    <w:rsid w:val="44AE50F4"/>
    <w:rsid w:val="44B436F9"/>
    <w:rsid w:val="44B850E7"/>
    <w:rsid w:val="44B857F1"/>
    <w:rsid w:val="44CF666A"/>
    <w:rsid w:val="44D39DDD"/>
    <w:rsid w:val="44D3DD54"/>
    <w:rsid w:val="44D41210"/>
    <w:rsid w:val="44DA67A3"/>
    <w:rsid w:val="44E22379"/>
    <w:rsid w:val="44EC5F93"/>
    <w:rsid w:val="4504FFDF"/>
    <w:rsid w:val="450C8C8A"/>
    <w:rsid w:val="4513480A"/>
    <w:rsid w:val="451B8A44"/>
    <w:rsid w:val="4531CD3C"/>
    <w:rsid w:val="45495170"/>
    <w:rsid w:val="454DDE0C"/>
    <w:rsid w:val="4562711E"/>
    <w:rsid w:val="4582C8B8"/>
    <w:rsid w:val="458D0A37"/>
    <w:rsid w:val="45950A2A"/>
    <w:rsid w:val="45A18707"/>
    <w:rsid w:val="45A19152"/>
    <w:rsid w:val="45A598E5"/>
    <w:rsid w:val="45ADE2F0"/>
    <w:rsid w:val="45B2ECDB"/>
    <w:rsid w:val="45B9E078"/>
    <w:rsid w:val="45C97AEC"/>
    <w:rsid w:val="45D426DA"/>
    <w:rsid w:val="45ED8434"/>
    <w:rsid w:val="45F0CE8F"/>
    <w:rsid w:val="45F5BBE3"/>
    <w:rsid w:val="45F88DEC"/>
    <w:rsid w:val="460F5F2C"/>
    <w:rsid w:val="46156338"/>
    <w:rsid w:val="462FEB6A"/>
    <w:rsid w:val="46304FAB"/>
    <w:rsid w:val="4632BF60"/>
    <w:rsid w:val="463FAD9C"/>
    <w:rsid w:val="46457DA8"/>
    <w:rsid w:val="4650B7B2"/>
    <w:rsid w:val="46637A0C"/>
    <w:rsid w:val="46685E78"/>
    <w:rsid w:val="466F8E09"/>
    <w:rsid w:val="4670B29C"/>
    <w:rsid w:val="4698E61A"/>
    <w:rsid w:val="46A4FEFC"/>
    <w:rsid w:val="46A5DF97"/>
    <w:rsid w:val="46CD434E"/>
    <w:rsid w:val="46D72E65"/>
    <w:rsid w:val="46DA7E52"/>
    <w:rsid w:val="46EBD292"/>
    <w:rsid w:val="46ECE719"/>
    <w:rsid w:val="4700DB7C"/>
    <w:rsid w:val="470D1499"/>
    <w:rsid w:val="470F6FA6"/>
    <w:rsid w:val="4710A3A6"/>
    <w:rsid w:val="47120DA6"/>
    <w:rsid w:val="47243A45"/>
    <w:rsid w:val="472C3E20"/>
    <w:rsid w:val="473787C9"/>
    <w:rsid w:val="47392FED"/>
    <w:rsid w:val="473DFAC7"/>
    <w:rsid w:val="4752860A"/>
    <w:rsid w:val="475852EF"/>
    <w:rsid w:val="475AF64A"/>
    <w:rsid w:val="475EBB6B"/>
    <w:rsid w:val="476230EE"/>
    <w:rsid w:val="4763B5E8"/>
    <w:rsid w:val="476AE58E"/>
    <w:rsid w:val="47787426"/>
    <w:rsid w:val="4789B81C"/>
    <w:rsid w:val="4789E806"/>
    <w:rsid w:val="478A3EC6"/>
    <w:rsid w:val="478D82D3"/>
    <w:rsid w:val="479B8C00"/>
    <w:rsid w:val="47B7FAF2"/>
    <w:rsid w:val="47BB297F"/>
    <w:rsid w:val="47CB7EBE"/>
    <w:rsid w:val="47D03983"/>
    <w:rsid w:val="47D28D6C"/>
    <w:rsid w:val="47D90EE6"/>
    <w:rsid w:val="47DC6DD0"/>
    <w:rsid w:val="47E3D158"/>
    <w:rsid w:val="480A9100"/>
    <w:rsid w:val="481FEEA9"/>
    <w:rsid w:val="48250CDE"/>
    <w:rsid w:val="482E9CD3"/>
    <w:rsid w:val="4846382C"/>
    <w:rsid w:val="48463BB5"/>
    <w:rsid w:val="48482241"/>
    <w:rsid w:val="484AE2DD"/>
    <w:rsid w:val="4850ED58"/>
    <w:rsid w:val="48583B37"/>
    <w:rsid w:val="4859F98F"/>
    <w:rsid w:val="485CB6E3"/>
    <w:rsid w:val="4865BF32"/>
    <w:rsid w:val="48794E47"/>
    <w:rsid w:val="487DD104"/>
    <w:rsid w:val="4890F665"/>
    <w:rsid w:val="489490DE"/>
    <w:rsid w:val="48A1F532"/>
    <w:rsid w:val="48ABD537"/>
    <w:rsid w:val="48B198E7"/>
    <w:rsid w:val="48BDE08F"/>
    <w:rsid w:val="48DA842F"/>
    <w:rsid w:val="48DBE392"/>
    <w:rsid w:val="48F2DFB1"/>
    <w:rsid w:val="48FB1C2A"/>
    <w:rsid w:val="48FE6E03"/>
    <w:rsid w:val="48FF6093"/>
    <w:rsid w:val="490D2A69"/>
    <w:rsid w:val="490F4174"/>
    <w:rsid w:val="4920F15B"/>
    <w:rsid w:val="49270B27"/>
    <w:rsid w:val="493247F5"/>
    <w:rsid w:val="493762A3"/>
    <w:rsid w:val="493DE1C3"/>
    <w:rsid w:val="49451046"/>
    <w:rsid w:val="494D64B5"/>
    <w:rsid w:val="495F30F2"/>
    <w:rsid w:val="496E9826"/>
    <w:rsid w:val="497713A2"/>
    <w:rsid w:val="497DEF80"/>
    <w:rsid w:val="4980FBCA"/>
    <w:rsid w:val="498E97B9"/>
    <w:rsid w:val="498F64EE"/>
    <w:rsid w:val="49916152"/>
    <w:rsid w:val="49BDDD74"/>
    <w:rsid w:val="49D1AE71"/>
    <w:rsid w:val="49DE63F8"/>
    <w:rsid w:val="49E4DE8E"/>
    <w:rsid w:val="49ED5E31"/>
    <w:rsid w:val="49F43722"/>
    <w:rsid w:val="49F54024"/>
    <w:rsid w:val="49F7CFDA"/>
    <w:rsid w:val="4A282C01"/>
    <w:rsid w:val="4A2DCD6E"/>
    <w:rsid w:val="4A2F9299"/>
    <w:rsid w:val="4A39D9F0"/>
    <w:rsid w:val="4A741855"/>
    <w:rsid w:val="4A7EEFCD"/>
    <w:rsid w:val="4A881F21"/>
    <w:rsid w:val="4A8DCDBF"/>
    <w:rsid w:val="4AA03244"/>
    <w:rsid w:val="4AA665F9"/>
    <w:rsid w:val="4AB20C47"/>
    <w:rsid w:val="4AC327EA"/>
    <w:rsid w:val="4AC990AA"/>
    <w:rsid w:val="4AD7FD3A"/>
    <w:rsid w:val="4AFA1FB0"/>
    <w:rsid w:val="4B0A48F5"/>
    <w:rsid w:val="4B0E43FE"/>
    <w:rsid w:val="4B205AF4"/>
    <w:rsid w:val="4B241349"/>
    <w:rsid w:val="4B43A286"/>
    <w:rsid w:val="4B454C4B"/>
    <w:rsid w:val="4B4B0DBC"/>
    <w:rsid w:val="4B5AE8E1"/>
    <w:rsid w:val="4B6DE521"/>
    <w:rsid w:val="4B725031"/>
    <w:rsid w:val="4B7452C7"/>
    <w:rsid w:val="4BBE04BB"/>
    <w:rsid w:val="4BC0437B"/>
    <w:rsid w:val="4BC8814C"/>
    <w:rsid w:val="4BD443EC"/>
    <w:rsid w:val="4BDC94E4"/>
    <w:rsid w:val="4BFA435C"/>
    <w:rsid w:val="4BFE5958"/>
    <w:rsid w:val="4BFFAE5A"/>
    <w:rsid w:val="4C0804A8"/>
    <w:rsid w:val="4C08CE2B"/>
    <w:rsid w:val="4C123AAD"/>
    <w:rsid w:val="4C1D7004"/>
    <w:rsid w:val="4C2A53B4"/>
    <w:rsid w:val="4C30CF46"/>
    <w:rsid w:val="4C3AAFFA"/>
    <w:rsid w:val="4C5B1C4F"/>
    <w:rsid w:val="4C60E9FD"/>
    <w:rsid w:val="4C6B65D1"/>
    <w:rsid w:val="4C77A3A8"/>
    <w:rsid w:val="4C78E054"/>
    <w:rsid w:val="4C7AD071"/>
    <w:rsid w:val="4C8BC352"/>
    <w:rsid w:val="4C969A63"/>
    <w:rsid w:val="4CAB3558"/>
    <w:rsid w:val="4CAE6F87"/>
    <w:rsid w:val="4CB28E56"/>
    <w:rsid w:val="4CB4AA82"/>
    <w:rsid w:val="4CC2398E"/>
    <w:rsid w:val="4CC840CA"/>
    <w:rsid w:val="4CDB61EB"/>
    <w:rsid w:val="4CE6F358"/>
    <w:rsid w:val="4CE94790"/>
    <w:rsid w:val="4D087BFA"/>
    <w:rsid w:val="4D0B7AC8"/>
    <w:rsid w:val="4D2FB574"/>
    <w:rsid w:val="4D4AC514"/>
    <w:rsid w:val="4D5461D9"/>
    <w:rsid w:val="4D7A1D8F"/>
    <w:rsid w:val="4D8121F2"/>
    <w:rsid w:val="4D9A8F9F"/>
    <w:rsid w:val="4DA17325"/>
    <w:rsid w:val="4DA388A8"/>
    <w:rsid w:val="4DAA130D"/>
    <w:rsid w:val="4DAAA9D9"/>
    <w:rsid w:val="4DB61B6C"/>
    <w:rsid w:val="4DB71A4C"/>
    <w:rsid w:val="4DC0C161"/>
    <w:rsid w:val="4DC7ED6B"/>
    <w:rsid w:val="4DCA9872"/>
    <w:rsid w:val="4DCCD004"/>
    <w:rsid w:val="4DCF1E64"/>
    <w:rsid w:val="4DEA7C64"/>
    <w:rsid w:val="4DF5AC92"/>
    <w:rsid w:val="4E09D49A"/>
    <w:rsid w:val="4E14AE75"/>
    <w:rsid w:val="4E1F0EC3"/>
    <w:rsid w:val="4E23CD03"/>
    <w:rsid w:val="4E2DF6B0"/>
    <w:rsid w:val="4E332CCB"/>
    <w:rsid w:val="4E37DA81"/>
    <w:rsid w:val="4E4A01F9"/>
    <w:rsid w:val="4E4CF62D"/>
    <w:rsid w:val="4E4EAF14"/>
    <w:rsid w:val="4E5ACF10"/>
    <w:rsid w:val="4E64F4A9"/>
    <w:rsid w:val="4E6D053B"/>
    <w:rsid w:val="4E780E5B"/>
    <w:rsid w:val="4E7ABF03"/>
    <w:rsid w:val="4E86DC52"/>
    <w:rsid w:val="4E883285"/>
    <w:rsid w:val="4E8F978E"/>
    <w:rsid w:val="4E9B784F"/>
    <w:rsid w:val="4EA92FF6"/>
    <w:rsid w:val="4EBF7978"/>
    <w:rsid w:val="4EC09D7E"/>
    <w:rsid w:val="4ECEA62E"/>
    <w:rsid w:val="4ED686BB"/>
    <w:rsid w:val="4EEC9E15"/>
    <w:rsid w:val="4EF48E93"/>
    <w:rsid w:val="4EF59D09"/>
    <w:rsid w:val="4EFA5782"/>
    <w:rsid w:val="4EFFD454"/>
    <w:rsid w:val="4F02254F"/>
    <w:rsid w:val="4F128BF3"/>
    <w:rsid w:val="4F267370"/>
    <w:rsid w:val="4F27CF33"/>
    <w:rsid w:val="4F28795A"/>
    <w:rsid w:val="4F2CB34C"/>
    <w:rsid w:val="4F2EF1EB"/>
    <w:rsid w:val="4F4B69F6"/>
    <w:rsid w:val="4F5E6081"/>
    <w:rsid w:val="4F692C1B"/>
    <w:rsid w:val="4F6E9F39"/>
    <w:rsid w:val="4F782AEE"/>
    <w:rsid w:val="4F7DD12B"/>
    <w:rsid w:val="4F8B2B32"/>
    <w:rsid w:val="4F8B5177"/>
    <w:rsid w:val="4F9D6DBB"/>
    <w:rsid w:val="4F9E817C"/>
    <w:rsid w:val="4FA66994"/>
    <w:rsid w:val="4FB23FFA"/>
    <w:rsid w:val="4FBD77DD"/>
    <w:rsid w:val="4FCC812D"/>
    <w:rsid w:val="4FCD5A5A"/>
    <w:rsid w:val="4FCF3F94"/>
    <w:rsid w:val="4FD8C1EA"/>
    <w:rsid w:val="4FE05CD6"/>
    <w:rsid w:val="4FE25A12"/>
    <w:rsid w:val="4FE3F48F"/>
    <w:rsid w:val="4FEEBB03"/>
    <w:rsid w:val="4FF505E2"/>
    <w:rsid w:val="502F2695"/>
    <w:rsid w:val="503E3E15"/>
    <w:rsid w:val="5075B96B"/>
    <w:rsid w:val="50C06258"/>
    <w:rsid w:val="50CA1D2E"/>
    <w:rsid w:val="50D8D0E5"/>
    <w:rsid w:val="50EBBABE"/>
    <w:rsid w:val="512A4653"/>
    <w:rsid w:val="5130EB52"/>
    <w:rsid w:val="5131413D"/>
    <w:rsid w:val="5133B85B"/>
    <w:rsid w:val="5148AC53"/>
    <w:rsid w:val="514DCDB7"/>
    <w:rsid w:val="5159468F"/>
    <w:rsid w:val="5166B4D8"/>
    <w:rsid w:val="516EE152"/>
    <w:rsid w:val="51756B8C"/>
    <w:rsid w:val="517E90D3"/>
    <w:rsid w:val="51B5697E"/>
    <w:rsid w:val="51C02894"/>
    <w:rsid w:val="51C4653A"/>
    <w:rsid w:val="51C8C35A"/>
    <w:rsid w:val="51CAF6F6"/>
    <w:rsid w:val="51DD9A40"/>
    <w:rsid w:val="51E59391"/>
    <w:rsid w:val="51EDE594"/>
    <w:rsid w:val="51F4F395"/>
    <w:rsid w:val="520BB57B"/>
    <w:rsid w:val="5214034F"/>
    <w:rsid w:val="5215F0AA"/>
    <w:rsid w:val="521934EA"/>
    <w:rsid w:val="521F2451"/>
    <w:rsid w:val="52222D2B"/>
    <w:rsid w:val="52240CD2"/>
    <w:rsid w:val="5227F2B6"/>
    <w:rsid w:val="523A21B2"/>
    <w:rsid w:val="524048B7"/>
    <w:rsid w:val="5243D1A7"/>
    <w:rsid w:val="524788E2"/>
    <w:rsid w:val="524D03CC"/>
    <w:rsid w:val="527730FC"/>
    <w:rsid w:val="5278C493"/>
    <w:rsid w:val="528115C5"/>
    <w:rsid w:val="529156B1"/>
    <w:rsid w:val="529ABB0F"/>
    <w:rsid w:val="529CBD31"/>
    <w:rsid w:val="52B2ED78"/>
    <w:rsid w:val="52CC3307"/>
    <w:rsid w:val="52FAFF4B"/>
    <w:rsid w:val="532120DE"/>
    <w:rsid w:val="532CD4A2"/>
    <w:rsid w:val="53449A76"/>
    <w:rsid w:val="534542B7"/>
    <w:rsid w:val="5356D6DE"/>
    <w:rsid w:val="53629CDC"/>
    <w:rsid w:val="53688B77"/>
    <w:rsid w:val="536964E5"/>
    <w:rsid w:val="53708C01"/>
    <w:rsid w:val="537901B7"/>
    <w:rsid w:val="5394160F"/>
    <w:rsid w:val="53978DF4"/>
    <w:rsid w:val="53A077BC"/>
    <w:rsid w:val="53A11324"/>
    <w:rsid w:val="53C0172F"/>
    <w:rsid w:val="53C07C6E"/>
    <w:rsid w:val="53C4AD69"/>
    <w:rsid w:val="53C67CF1"/>
    <w:rsid w:val="53CAF00C"/>
    <w:rsid w:val="53CDF7A5"/>
    <w:rsid w:val="53CE6F15"/>
    <w:rsid w:val="53E89DE9"/>
    <w:rsid w:val="53E95F13"/>
    <w:rsid w:val="53EC3B7F"/>
    <w:rsid w:val="53EDF066"/>
    <w:rsid w:val="53F33E05"/>
    <w:rsid w:val="540C4433"/>
    <w:rsid w:val="543D1834"/>
    <w:rsid w:val="544B1C3A"/>
    <w:rsid w:val="5460FD86"/>
    <w:rsid w:val="54824810"/>
    <w:rsid w:val="548CAEFC"/>
    <w:rsid w:val="54972B09"/>
    <w:rsid w:val="54A95533"/>
    <w:rsid w:val="54C94337"/>
    <w:rsid w:val="54DF6F18"/>
    <w:rsid w:val="54E61657"/>
    <w:rsid w:val="54F27536"/>
    <w:rsid w:val="5501C70C"/>
    <w:rsid w:val="550BE244"/>
    <w:rsid w:val="5510B389"/>
    <w:rsid w:val="5525442D"/>
    <w:rsid w:val="5535AD4C"/>
    <w:rsid w:val="553CC1DA"/>
    <w:rsid w:val="5546D3E1"/>
    <w:rsid w:val="5564010D"/>
    <w:rsid w:val="556C1F1D"/>
    <w:rsid w:val="557E8B70"/>
    <w:rsid w:val="55855B12"/>
    <w:rsid w:val="5588B1CA"/>
    <w:rsid w:val="558CEAC0"/>
    <w:rsid w:val="558ECD72"/>
    <w:rsid w:val="559491FF"/>
    <w:rsid w:val="55CDFC3D"/>
    <w:rsid w:val="55D2E9BB"/>
    <w:rsid w:val="55DAA839"/>
    <w:rsid w:val="55FE7E38"/>
    <w:rsid w:val="560D254C"/>
    <w:rsid w:val="56134903"/>
    <w:rsid w:val="5614BB11"/>
    <w:rsid w:val="562E7FD8"/>
    <w:rsid w:val="5634D4DF"/>
    <w:rsid w:val="563F709C"/>
    <w:rsid w:val="56470818"/>
    <w:rsid w:val="566AF2F5"/>
    <w:rsid w:val="56700B63"/>
    <w:rsid w:val="56726A36"/>
    <w:rsid w:val="567376B8"/>
    <w:rsid w:val="5685BD91"/>
    <w:rsid w:val="569AF7DB"/>
    <w:rsid w:val="569E2716"/>
    <w:rsid w:val="56C7D525"/>
    <w:rsid w:val="56C928A5"/>
    <w:rsid w:val="56E9A61D"/>
    <w:rsid w:val="56EC5345"/>
    <w:rsid w:val="56ED473E"/>
    <w:rsid w:val="56F12501"/>
    <w:rsid w:val="5705FFE4"/>
    <w:rsid w:val="570A3BBA"/>
    <w:rsid w:val="571745AF"/>
    <w:rsid w:val="57178E4F"/>
    <w:rsid w:val="571C46FC"/>
    <w:rsid w:val="5724207C"/>
    <w:rsid w:val="57261341"/>
    <w:rsid w:val="573C9296"/>
    <w:rsid w:val="573E2DFA"/>
    <w:rsid w:val="5749B72C"/>
    <w:rsid w:val="574C1910"/>
    <w:rsid w:val="574F83B8"/>
    <w:rsid w:val="57599855"/>
    <w:rsid w:val="575D60F6"/>
    <w:rsid w:val="576CA38F"/>
    <w:rsid w:val="577891C2"/>
    <w:rsid w:val="57863642"/>
    <w:rsid w:val="57A1338C"/>
    <w:rsid w:val="57A13F63"/>
    <w:rsid w:val="57B60CA3"/>
    <w:rsid w:val="57CE60A1"/>
    <w:rsid w:val="57D1C11D"/>
    <w:rsid w:val="57D781D2"/>
    <w:rsid w:val="57D84391"/>
    <w:rsid w:val="57EB5534"/>
    <w:rsid w:val="57EE659C"/>
    <w:rsid w:val="58013C76"/>
    <w:rsid w:val="5802EE45"/>
    <w:rsid w:val="5804C5D9"/>
    <w:rsid w:val="5807DCBC"/>
    <w:rsid w:val="5812E195"/>
    <w:rsid w:val="581EB229"/>
    <w:rsid w:val="58221587"/>
    <w:rsid w:val="5838C4DA"/>
    <w:rsid w:val="583E09C8"/>
    <w:rsid w:val="58423D48"/>
    <w:rsid w:val="585C9F18"/>
    <w:rsid w:val="58733F88"/>
    <w:rsid w:val="587355B3"/>
    <w:rsid w:val="5874CC4B"/>
    <w:rsid w:val="5874E2B6"/>
    <w:rsid w:val="5877AA0D"/>
    <w:rsid w:val="587A25F9"/>
    <w:rsid w:val="587B70DC"/>
    <w:rsid w:val="589CDE36"/>
    <w:rsid w:val="58A3D876"/>
    <w:rsid w:val="58B46DD6"/>
    <w:rsid w:val="58C5539A"/>
    <w:rsid w:val="58CCE57C"/>
    <w:rsid w:val="58CD8468"/>
    <w:rsid w:val="58CEDFD5"/>
    <w:rsid w:val="58FD4D38"/>
    <w:rsid w:val="5907FAC7"/>
    <w:rsid w:val="592B7AD4"/>
    <w:rsid w:val="592C5D87"/>
    <w:rsid w:val="592D27BD"/>
    <w:rsid w:val="593941E9"/>
    <w:rsid w:val="5940EED5"/>
    <w:rsid w:val="594D720A"/>
    <w:rsid w:val="595D0824"/>
    <w:rsid w:val="596CAD45"/>
    <w:rsid w:val="5970806E"/>
    <w:rsid w:val="59746574"/>
    <w:rsid w:val="598AD773"/>
    <w:rsid w:val="599AABEA"/>
    <w:rsid w:val="599BE28D"/>
    <w:rsid w:val="599E3461"/>
    <w:rsid w:val="59A49CBC"/>
    <w:rsid w:val="59A6AB31"/>
    <w:rsid w:val="59BEA49E"/>
    <w:rsid w:val="59CE80B1"/>
    <w:rsid w:val="59D6DD09"/>
    <w:rsid w:val="59F61DC9"/>
    <w:rsid w:val="59FBC3C8"/>
    <w:rsid w:val="5A1291C3"/>
    <w:rsid w:val="5A138FD5"/>
    <w:rsid w:val="5A13AE08"/>
    <w:rsid w:val="5A36030C"/>
    <w:rsid w:val="5A379187"/>
    <w:rsid w:val="5A4C2CF8"/>
    <w:rsid w:val="5A4F6E52"/>
    <w:rsid w:val="5A52929F"/>
    <w:rsid w:val="5A607C9D"/>
    <w:rsid w:val="5A60E09D"/>
    <w:rsid w:val="5A65497B"/>
    <w:rsid w:val="5A7AF6B8"/>
    <w:rsid w:val="5A8535BD"/>
    <w:rsid w:val="5A86C832"/>
    <w:rsid w:val="5A917F99"/>
    <w:rsid w:val="5A9E04C2"/>
    <w:rsid w:val="5AA13752"/>
    <w:rsid w:val="5AAE451E"/>
    <w:rsid w:val="5AB46124"/>
    <w:rsid w:val="5ABF591A"/>
    <w:rsid w:val="5AC4B4A8"/>
    <w:rsid w:val="5AC523F1"/>
    <w:rsid w:val="5AC53BB1"/>
    <w:rsid w:val="5AC96786"/>
    <w:rsid w:val="5AE92E31"/>
    <w:rsid w:val="5AE95070"/>
    <w:rsid w:val="5AEC2D27"/>
    <w:rsid w:val="5AEC86D0"/>
    <w:rsid w:val="5AEE39A6"/>
    <w:rsid w:val="5AF804B0"/>
    <w:rsid w:val="5B00BB84"/>
    <w:rsid w:val="5B0A09D0"/>
    <w:rsid w:val="5B1E3E99"/>
    <w:rsid w:val="5B21CD85"/>
    <w:rsid w:val="5B538493"/>
    <w:rsid w:val="5B56137E"/>
    <w:rsid w:val="5B6712F0"/>
    <w:rsid w:val="5B697B77"/>
    <w:rsid w:val="5B6D5674"/>
    <w:rsid w:val="5B7864BB"/>
    <w:rsid w:val="5B7D803D"/>
    <w:rsid w:val="5B916ECA"/>
    <w:rsid w:val="5B9C0258"/>
    <w:rsid w:val="5B9C043C"/>
    <w:rsid w:val="5B9E0DF3"/>
    <w:rsid w:val="5BACF6C9"/>
    <w:rsid w:val="5BC49F27"/>
    <w:rsid w:val="5BD530C8"/>
    <w:rsid w:val="5BDBE122"/>
    <w:rsid w:val="5BDC2720"/>
    <w:rsid w:val="5BF438EF"/>
    <w:rsid w:val="5C1007CA"/>
    <w:rsid w:val="5C10CB4F"/>
    <w:rsid w:val="5C11BB7A"/>
    <w:rsid w:val="5C1CBB66"/>
    <w:rsid w:val="5C1D7B47"/>
    <w:rsid w:val="5C21D1BA"/>
    <w:rsid w:val="5C3777CD"/>
    <w:rsid w:val="5C377F29"/>
    <w:rsid w:val="5C39E63A"/>
    <w:rsid w:val="5C3FA610"/>
    <w:rsid w:val="5C4DCE4C"/>
    <w:rsid w:val="5C56FD7E"/>
    <w:rsid w:val="5C5E9988"/>
    <w:rsid w:val="5C5FCAAD"/>
    <w:rsid w:val="5C7039A0"/>
    <w:rsid w:val="5C7259AA"/>
    <w:rsid w:val="5C784117"/>
    <w:rsid w:val="5C7D0F4D"/>
    <w:rsid w:val="5C9676D2"/>
    <w:rsid w:val="5C9C51BD"/>
    <w:rsid w:val="5C9F4C94"/>
    <w:rsid w:val="5CA111D4"/>
    <w:rsid w:val="5CA8AEE4"/>
    <w:rsid w:val="5CC92F73"/>
    <w:rsid w:val="5CCC8A4A"/>
    <w:rsid w:val="5CE60C14"/>
    <w:rsid w:val="5CF0E88B"/>
    <w:rsid w:val="5CF7D5E6"/>
    <w:rsid w:val="5CFE2AF1"/>
    <w:rsid w:val="5D001B8D"/>
    <w:rsid w:val="5D0A8C54"/>
    <w:rsid w:val="5D1301B0"/>
    <w:rsid w:val="5D1871A5"/>
    <w:rsid w:val="5D210E74"/>
    <w:rsid w:val="5D214F04"/>
    <w:rsid w:val="5D28D067"/>
    <w:rsid w:val="5D2EEAAC"/>
    <w:rsid w:val="5D32AEED"/>
    <w:rsid w:val="5D3B6B5A"/>
    <w:rsid w:val="5D43D17E"/>
    <w:rsid w:val="5D646341"/>
    <w:rsid w:val="5D7A87F4"/>
    <w:rsid w:val="5D940F38"/>
    <w:rsid w:val="5DA90B34"/>
    <w:rsid w:val="5DAE2E34"/>
    <w:rsid w:val="5DB5C5EF"/>
    <w:rsid w:val="5DB9D91C"/>
    <w:rsid w:val="5DDC495E"/>
    <w:rsid w:val="5DDD6523"/>
    <w:rsid w:val="5DE79AF5"/>
    <w:rsid w:val="5DF49BB0"/>
    <w:rsid w:val="5DFC77CC"/>
    <w:rsid w:val="5DFEF120"/>
    <w:rsid w:val="5E080C65"/>
    <w:rsid w:val="5E08369D"/>
    <w:rsid w:val="5E09ED85"/>
    <w:rsid w:val="5E0D9AE3"/>
    <w:rsid w:val="5E12E305"/>
    <w:rsid w:val="5E248EB9"/>
    <w:rsid w:val="5E2E7530"/>
    <w:rsid w:val="5E35FBDB"/>
    <w:rsid w:val="5E38BE06"/>
    <w:rsid w:val="5E4D6AE2"/>
    <w:rsid w:val="5E6994A5"/>
    <w:rsid w:val="5E7E2C06"/>
    <w:rsid w:val="5E7EB3FB"/>
    <w:rsid w:val="5E92C728"/>
    <w:rsid w:val="5EAB9BBB"/>
    <w:rsid w:val="5ECABB0D"/>
    <w:rsid w:val="5EDC5DC3"/>
    <w:rsid w:val="5EE806B7"/>
    <w:rsid w:val="5EE9D6BE"/>
    <w:rsid w:val="5EF6B394"/>
    <w:rsid w:val="5EF6F81A"/>
    <w:rsid w:val="5F2182C8"/>
    <w:rsid w:val="5F2D6C2F"/>
    <w:rsid w:val="5F474FDA"/>
    <w:rsid w:val="5F5604B4"/>
    <w:rsid w:val="5F57874C"/>
    <w:rsid w:val="5F5E81B0"/>
    <w:rsid w:val="5F6015BA"/>
    <w:rsid w:val="5F60908C"/>
    <w:rsid w:val="5F6AB426"/>
    <w:rsid w:val="5F7117A1"/>
    <w:rsid w:val="5F885850"/>
    <w:rsid w:val="5F89384C"/>
    <w:rsid w:val="5F963A4A"/>
    <w:rsid w:val="5FA2542C"/>
    <w:rsid w:val="5FAC75F8"/>
    <w:rsid w:val="5FBB2308"/>
    <w:rsid w:val="5FBB542C"/>
    <w:rsid w:val="5FD58844"/>
    <w:rsid w:val="5FE316A3"/>
    <w:rsid w:val="5FE81B5E"/>
    <w:rsid w:val="5FE96131"/>
    <w:rsid w:val="5FF9D212"/>
    <w:rsid w:val="5FFFB550"/>
    <w:rsid w:val="6001663D"/>
    <w:rsid w:val="6002E060"/>
    <w:rsid w:val="60120F3C"/>
    <w:rsid w:val="601668E0"/>
    <w:rsid w:val="602CFF47"/>
    <w:rsid w:val="604B7C15"/>
    <w:rsid w:val="604C4393"/>
    <w:rsid w:val="604D4A14"/>
    <w:rsid w:val="6051597E"/>
    <w:rsid w:val="60517C7C"/>
    <w:rsid w:val="60525CCD"/>
    <w:rsid w:val="605C9BD9"/>
    <w:rsid w:val="605EE3D3"/>
    <w:rsid w:val="60617DEB"/>
    <w:rsid w:val="607313B9"/>
    <w:rsid w:val="60816C25"/>
    <w:rsid w:val="608D88E7"/>
    <w:rsid w:val="608FBBD9"/>
    <w:rsid w:val="609047D0"/>
    <w:rsid w:val="609A6333"/>
    <w:rsid w:val="60A0A6DE"/>
    <w:rsid w:val="60A75478"/>
    <w:rsid w:val="60AE8563"/>
    <w:rsid w:val="60B9E7DB"/>
    <w:rsid w:val="60BD7152"/>
    <w:rsid w:val="60BF38C6"/>
    <w:rsid w:val="60C3D057"/>
    <w:rsid w:val="60D90033"/>
    <w:rsid w:val="60DBC6F0"/>
    <w:rsid w:val="60E29A3A"/>
    <w:rsid w:val="6113F7F8"/>
    <w:rsid w:val="61180F61"/>
    <w:rsid w:val="6118D09C"/>
    <w:rsid w:val="61207A25"/>
    <w:rsid w:val="6121119D"/>
    <w:rsid w:val="613B6763"/>
    <w:rsid w:val="6148A2B3"/>
    <w:rsid w:val="6151BBB7"/>
    <w:rsid w:val="6157F4E3"/>
    <w:rsid w:val="6159443D"/>
    <w:rsid w:val="61799249"/>
    <w:rsid w:val="61818CFC"/>
    <w:rsid w:val="61844CA5"/>
    <w:rsid w:val="618C7A49"/>
    <w:rsid w:val="619D81AE"/>
    <w:rsid w:val="61AE7A91"/>
    <w:rsid w:val="61C5E30D"/>
    <w:rsid w:val="61F9177E"/>
    <w:rsid w:val="62182934"/>
    <w:rsid w:val="62202C46"/>
    <w:rsid w:val="6223CAC6"/>
    <w:rsid w:val="622BE819"/>
    <w:rsid w:val="622E3C6F"/>
    <w:rsid w:val="6231E2D9"/>
    <w:rsid w:val="62475859"/>
    <w:rsid w:val="6251FD3A"/>
    <w:rsid w:val="626C14B5"/>
    <w:rsid w:val="62715A4B"/>
    <w:rsid w:val="627323E3"/>
    <w:rsid w:val="6282A6CC"/>
    <w:rsid w:val="629154F5"/>
    <w:rsid w:val="629528AE"/>
    <w:rsid w:val="62AE7AF4"/>
    <w:rsid w:val="62B32B9D"/>
    <w:rsid w:val="62BFFDCA"/>
    <w:rsid w:val="62CFBCDC"/>
    <w:rsid w:val="62D49903"/>
    <w:rsid w:val="62D6014B"/>
    <w:rsid w:val="62DFF9BC"/>
    <w:rsid w:val="62E17E7D"/>
    <w:rsid w:val="62E18C8D"/>
    <w:rsid w:val="62EB693F"/>
    <w:rsid w:val="62ED6955"/>
    <w:rsid w:val="6304640D"/>
    <w:rsid w:val="6319F57A"/>
    <w:rsid w:val="6329A2BC"/>
    <w:rsid w:val="6334EDF6"/>
    <w:rsid w:val="63375612"/>
    <w:rsid w:val="634ABAA6"/>
    <w:rsid w:val="63509B2E"/>
    <w:rsid w:val="6351C1C9"/>
    <w:rsid w:val="6353C5EE"/>
    <w:rsid w:val="6354B39F"/>
    <w:rsid w:val="6358431D"/>
    <w:rsid w:val="6359D6B4"/>
    <w:rsid w:val="6360BC88"/>
    <w:rsid w:val="636D3845"/>
    <w:rsid w:val="6379CFFE"/>
    <w:rsid w:val="638539E4"/>
    <w:rsid w:val="63863108"/>
    <w:rsid w:val="639369A7"/>
    <w:rsid w:val="639EE7D2"/>
    <w:rsid w:val="63A0981E"/>
    <w:rsid w:val="63AB88FC"/>
    <w:rsid w:val="63BD590D"/>
    <w:rsid w:val="63D5969F"/>
    <w:rsid w:val="63E3A790"/>
    <w:rsid w:val="63E8D547"/>
    <w:rsid w:val="63F2C814"/>
    <w:rsid w:val="63F794D3"/>
    <w:rsid w:val="63FEA1B9"/>
    <w:rsid w:val="6409C558"/>
    <w:rsid w:val="640BAFF0"/>
    <w:rsid w:val="640BEA33"/>
    <w:rsid w:val="64205960"/>
    <w:rsid w:val="64525859"/>
    <w:rsid w:val="6468223B"/>
    <w:rsid w:val="6472E024"/>
    <w:rsid w:val="64A13C8A"/>
    <w:rsid w:val="64A75CD3"/>
    <w:rsid w:val="64AF42DC"/>
    <w:rsid w:val="64AF81D5"/>
    <w:rsid w:val="64B4EA3D"/>
    <w:rsid w:val="64BA1BE1"/>
    <w:rsid w:val="64BC1773"/>
    <w:rsid w:val="64BCA129"/>
    <w:rsid w:val="64C93578"/>
    <w:rsid w:val="64D49620"/>
    <w:rsid w:val="64E348E1"/>
    <w:rsid w:val="64E46FDC"/>
    <w:rsid w:val="651EBC35"/>
    <w:rsid w:val="6520252C"/>
    <w:rsid w:val="653625A7"/>
    <w:rsid w:val="65475B26"/>
    <w:rsid w:val="655C4509"/>
    <w:rsid w:val="655F7CC9"/>
    <w:rsid w:val="657472CB"/>
    <w:rsid w:val="6576D034"/>
    <w:rsid w:val="65B8014C"/>
    <w:rsid w:val="65BACD5C"/>
    <w:rsid w:val="65BFD0C1"/>
    <w:rsid w:val="65CC35D8"/>
    <w:rsid w:val="65D0B6E4"/>
    <w:rsid w:val="65DDA8AC"/>
    <w:rsid w:val="65DF4AB0"/>
    <w:rsid w:val="65E3E9F9"/>
    <w:rsid w:val="65E7337F"/>
    <w:rsid w:val="65F552A2"/>
    <w:rsid w:val="65F675FF"/>
    <w:rsid w:val="66087132"/>
    <w:rsid w:val="6614ACB5"/>
    <w:rsid w:val="661602E3"/>
    <w:rsid w:val="6622C906"/>
    <w:rsid w:val="663054A0"/>
    <w:rsid w:val="6640D559"/>
    <w:rsid w:val="664ABA38"/>
    <w:rsid w:val="665279D3"/>
    <w:rsid w:val="66548E77"/>
    <w:rsid w:val="665558A7"/>
    <w:rsid w:val="6655CE77"/>
    <w:rsid w:val="6669B0BA"/>
    <w:rsid w:val="666CA3A5"/>
    <w:rsid w:val="66710B04"/>
    <w:rsid w:val="66851EA2"/>
    <w:rsid w:val="66880078"/>
    <w:rsid w:val="66A67078"/>
    <w:rsid w:val="66A6CB02"/>
    <w:rsid w:val="66AFA5D8"/>
    <w:rsid w:val="66B79AB7"/>
    <w:rsid w:val="66BB88AE"/>
    <w:rsid w:val="66C7C431"/>
    <w:rsid w:val="66D4488E"/>
    <w:rsid w:val="66F2C654"/>
    <w:rsid w:val="66FEB58D"/>
    <w:rsid w:val="67123FDE"/>
    <w:rsid w:val="6716D6CC"/>
    <w:rsid w:val="67341068"/>
    <w:rsid w:val="6738F568"/>
    <w:rsid w:val="6742D9C4"/>
    <w:rsid w:val="674F6971"/>
    <w:rsid w:val="67763555"/>
    <w:rsid w:val="6789A266"/>
    <w:rsid w:val="678BD41A"/>
    <w:rsid w:val="6799D640"/>
    <w:rsid w:val="67A08F42"/>
    <w:rsid w:val="67A0D362"/>
    <w:rsid w:val="67A45B17"/>
    <w:rsid w:val="67A6A183"/>
    <w:rsid w:val="67AA7DCF"/>
    <w:rsid w:val="67B0C8B8"/>
    <w:rsid w:val="67D171D8"/>
    <w:rsid w:val="67E40A49"/>
    <w:rsid w:val="68057578"/>
    <w:rsid w:val="6809029E"/>
    <w:rsid w:val="680B9C16"/>
    <w:rsid w:val="6810789C"/>
    <w:rsid w:val="681256BC"/>
    <w:rsid w:val="681737F5"/>
    <w:rsid w:val="681A3205"/>
    <w:rsid w:val="681C4878"/>
    <w:rsid w:val="682213B4"/>
    <w:rsid w:val="6832B066"/>
    <w:rsid w:val="683B294E"/>
    <w:rsid w:val="68538366"/>
    <w:rsid w:val="686C8B20"/>
    <w:rsid w:val="686FC0C2"/>
    <w:rsid w:val="6874E9A6"/>
    <w:rsid w:val="687DE9D0"/>
    <w:rsid w:val="688F2B3C"/>
    <w:rsid w:val="6893DBD2"/>
    <w:rsid w:val="6896B7E9"/>
    <w:rsid w:val="689D823B"/>
    <w:rsid w:val="68C57CA7"/>
    <w:rsid w:val="68C7B76F"/>
    <w:rsid w:val="68D4DA06"/>
    <w:rsid w:val="68D564A9"/>
    <w:rsid w:val="68E55F92"/>
    <w:rsid w:val="68F3AD8F"/>
    <w:rsid w:val="68F44EB5"/>
    <w:rsid w:val="68FAD442"/>
    <w:rsid w:val="6904F18E"/>
    <w:rsid w:val="69060070"/>
    <w:rsid w:val="69228E2B"/>
    <w:rsid w:val="693DDA06"/>
    <w:rsid w:val="69421D57"/>
    <w:rsid w:val="6944E13E"/>
    <w:rsid w:val="6955082B"/>
    <w:rsid w:val="696A7140"/>
    <w:rsid w:val="6985AD2C"/>
    <w:rsid w:val="698E983C"/>
    <w:rsid w:val="698F67EF"/>
    <w:rsid w:val="69A01E0C"/>
    <w:rsid w:val="69A8F3F5"/>
    <w:rsid w:val="69ADDEF5"/>
    <w:rsid w:val="69B9E536"/>
    <w:rsid w:val="69BAA8DF"/>
    <w:rsid w:val="69C6E790"/>
    <w:rsid w:val="69F33E9A"/>
    <w:rsid w:val="69F69BC6"/>
    <w:rsid w:val="6A088AF1"/>
    <w:rsid w:val="6A320A90"/>
    <w:rsid w:val="6A350E61"/>
    <w:rsid w:val="6A3B4363"/>
    <w:rsid w:val="6A46B1CB"/>
    <w:rsid w:val="6A488BC5"/>
    <w:rsid w:val="6A48E105"/>
    <w:rsid w:val="6A5333E8"/>
    <w:rsid w:val="6A53688B"/>
    <w:rsid w:val="6A69C2E5"/>
    <w:rsid w:val="6A6E4CC2"/>
    <w:rsid w:val="6A81D997"/>
    <w:rsid w:val="6A942FD8"/>
    <w:rsid w:val="6A97C4AC"/>
    <w:rsid w:val="6AA191BC"/>
    <w:rsid w:val="6AA4ED0C"/>
    <w:rsid w:val="6AAAE0DF"/>
    <w:rsid w:val="6AACCEE8"/>
    <w:rsid w:val="6AC9AFA3"/>
    <w:rsid w:val="6ACF90C4"/>
    <w:rsid w:val="6AE3EF9A"/>
    <w:rsid w:val="6B061CA5"/>
    <w:rsid w:val="6B097656"/>
    <w:rsid w:val="6B18FBEC"/>
    <w:rsid w:val="6B1E325C"/>
    <w:rsid w:val="6B2E37C8"/>
    <w:rsid w:val="6B489DCD"/>
    <w:rsid w:val="6B54830A"/>
    <w:rsid w:val="6B587F39"/>
    <w:rsid w:val="6B65C812"/>
    <w:rsid w:val="6B7C6A81"/>
    <w:rsid w:val="6BB1E11C"/>
    <w:rsid w:val="6BB71550"/>
    <w:rsid w:val="6BD9501A"/>
    <w:rsid w:val="6BDA2B76"/>
    <w:rsid w:val="6BDD7AF0"/>
    <w:rsid w:val="6BE95A88"/>
    <w:rsid w:val="6BFD813C"/>
    <w:rsid w:val="6C1521FD"/>
    <w:rsid w:val="6C1AFCE7"/>
    <w:rsid w:val="6C32182A"/>
    <w:rsid w:val="6C450A78"/>
    <w:rsid w:val="6C4A9701"/>
    <w:rsid w:val="6C52E97B"/>
    <w:rsid w:val="6C56BB72"/>
    <w:rsid w:val="6C5D48A9"/>
    <w:rsid w:val="6C64936A"/>
    <w:rsid w:val="6C679293"/>
    <w:rsid w:val="6C690787"/>
    <w:rsid w:val="6C7A7B16"/>
    <w:rsid w:val="6C8405F3"/>
    <w:rsid w:val="6C9DE691"/>
    <w:rsid w:val="6C9F0E9B"/>
    <w:rsid w:val="6C9FAA8B"/>
    <w:rsid w:val="6CA96FD0"/>
    <w:rsid w:val="6CAFDE70"/>
    <w:rsid w:val="6CDD5046"/>
    <w:rsid w:val="6CECC72F"/>
    <w:rsid w:val="6CFD99DF"/>
    <w:rsid w:val="6D2B92CF"/>
    <w:rsid w:val="6D392444"/>
    <w:rsid w:val="6D3CAA99"/>
    <w:rsid w:val="6D43C6F5"/>
    <w:rsid w:val="6D4BA357"/>
    <w:rsid w:val="6D54CF48"/>
    <w:rsid w:val="6D5D2F21"/>
    <w:rsid w:val="6D60EB40"/>
    <w:rsid w:val="6D6A66AF"/>
    <w:rsid w:val="6D793441"/>
    <w:rsid w:val="6D7F996B"/>
    <w:rsid w:val="6D92A932"/>
    <w:rsid w:val="6D950DBA"/>
    <w:rsid w:val="6D9BECA6"/>
    <w:rsid w:val="6DB03B44"/>
    <w:rsid w:val="6DB26B86"/>
    <w:rsid w:val="6DB326FE"/>
    <w:rsid w:val="6DB643CB"/>
    <w:rsid w:val="6DC93419"/>
    <w:rsid w:val="6DE06E24"/>
    <w:rsid w:val="6E150E79"/>
    <w:rsid w:val="6E21F9C6"/>
    <w:rsid w:val="6E246704"/>
    <w:rsid w:val="6E3221CD"/>
    <w:rsid w:val="6E380EC0"/>
    <w:rsid w:val="6E391239"/>
    <w:rsid w:val="6E39516F"/>
    <w:rsid w:val="6E3A3136"/>
    <w:rsid w:val="6E3E2DA1"/>
    <w:rsid w:val="6E44E645"/>
    <w:rsid w:val="6E454B83"/>
    <w:rsid w:val="6E45EF57"/>
    <w:rsid w:val="6E578DAD"/>
    <w:rsid w:val="6E58513B"/>
    <w:rsid w:val="6E710ADD"/>
    <w:rsid w:val="6E76BCCB"/>
    <w:rsid w:val="6E76C0C8"/>
    <w:rsid w:val="6E7ADD9A"/>
    <w:rsid w:val="6EA0DF79"/>
    <w:rsid w:val="6EB5417E"/>
    <w:rsid w:val="6EE8CC5D"/>
    <w:rsid w:val="6EEA742B"/>
    <w:rsid w:val="6EF1A33A"/>
    <w:rsid w:val="6F03274F"/>
    <w:rsid w:val="6F0CC890"/>
    <w:rsid w:val="6F13A21C"/>
    <w:rsid w:val="6F1A663F"/>
    <w:rsid w:val="6F1CEB84"/>
    <w:rsid w:val="6F22C82A"/>
    <w:rsid w:val="6F27D268"/>
    <w:rsid w:val="6F3264D2"/>
    <w:rsid w:val="6F3F66EB"/>
    <w:rsid w:val="6F5213F5"/>
    <w:rsid w:val="6F583A18"/>
    <w:rsid w:val="6F6DCBAC"/>
    <w:rsid w:val="6F87D71C"/>
    <w:rsid w:val="6FA7ED8F"/>
    <w:rsid w:val="6FBE0764"/>
    <w:rsid w:val="6FC114C8"/>
    <w:rsid w:val="6FD1D94B"/>
    <w:rsid w:val="6FD23EAD"/>
    <w:rsid w:val="6FF1A37F"/>
    <w:rsid w:val="6FF3BD7B"/>
    <w:rsid w:val="6FFBCA3C"/>
    <w:rsid w:val="700161E3"/>
    <w:rsid w:val="70018116"/>
    <w:rsid w:val="70064415"/>
    <w:rsid w:val="70187E19"/>
    <w:rsid w:val="7033D1C8"/>
    <w:rsid w:val="7038C57D"/>
    <w:rsid w:val="703A650D"/>
    <w:rsid w:val="703AB67A"/>
    <w:rsid w:val="703E08A9"/>
    <w:rsid w:val="70411B28"/>
    <w:rsid w:val="7043A042"/>
    <w:rsid w:val="7050D41A"/>
    <w:rsid w:val="7059BBA4"/>
    <w:rsid w:val="70793CC1"/>
    <w:rsid w:val="707BB6E3"/>
    <w:rsid w:val="70844F1C"/>
    <w:rsid w:val="70899A89"/>
    <w:rsid w:val="708FDC26"/>
    <w:rsid w:val="7099A12F"/>
    <w:rsid w:val="70AAD03E"/>
    <w:rsid w:val="70ADC476"/>
    <w:rsid w:val="70AF5AB4"/>
    <w:rsid w:val="70E47FDF"/>
    <w:rsid w:val="70E5F76F"/>
    <w:rsid w:val="70EA765D"/>
    <w:rsid w:val="7102160D"/>
    <w:rsid w:val="71057365"/>
    <w:rsid w:val="7109AB05"/>
    <w:rsid w:val="7113A344"/>
    <w:rsid w:val="711A6D08"/>
    <w:rsid w:val="712E68E9"/>
    <w:rsid w:val="71359D7E"/>
    <w:rsid w:val="71409D6D"/>
    <w:rsid w:val="714D8BA6"/>
    <w:rsid w:val="71685123"/>
    <w:rsid w:val="716B271B"/>
    <w:rsid w:val="716DA658"/>
    <w:rsid w:val="717504B9"/>
    <w:rsid w:val="7177235A"/>
    <w:rsid w:val="7177252E"/>
    <w:rsid w:val="717796B4"/>
    <w:rsid w:val="719D0C5C"/>
    <w:rsid w:val="71A9DF96"/>
    <w:rsid w:val="71ACD372"/>
    <w:rsid w:val="71B5020F"/>
    <w:rsid w:val="71BCB395"/>
    <w:rsid w:val="71BDF23E"/>
    <w:rsid w:val="71CA0146"/>
    <w:rsid w:val="71D75651"/>
    <w:rsid w:val="71FF24C9"/>
    <w:rsid w:val="72131A89"/>
    <w:rsid w:val="7215E855"/>
    <w:rsid w:val="72189726"/>
    <w:rsid w:val="72280779"/>
    <w:rsid w:val="72383A06"/>
    <w:rsid w:val="723B75B4"/>
    <w:rsid w:val="723C4A7C"/>
    <w:rsid w:val="724D7CD6"/>
    <w:rsid w:val="72582DF9"/>
    <w:rsid w:val="725C5D18"/>
    <w:rsid w:val="7268EE4B"/>
    <w:rsid w:val="726DA87A"/>
    <w:rsid w:val="7279A060"/>
    <w:rsid w:val="727FD812"/>
    <w:rsid w:val="72816EFD"/>
    <w:rsid w:val="7288BC9C"/>
    <w:rsid w:val="728DE5AA"/>
    <w:rsid w:val="7291CBFC"/>
    <w:rsid w:val="72921169"/>
    <w:rsid w:val="729542E6"/>
    <w:rsid w:val="729FD16C"/>
    <w:rsid w:val="72A133EF"/>
    <w:rsid w:val="72B61583"/>
    <w:rsid w:val="72B772F4"/>
    <w:rsid w:val="72C1C06A"/>
    <w:rsid w:val="72CF3057"/>
    <w:rsid w:val="72D0667B"/>
    <w:rsid w:val="72DE149B"/>
    <w:rsid w:val="72DE3071"/>
    <w:rsid w:val="72DE49B5"/>
    <w:rsid w:val="72E490BC"/>
    <w:rsid w:val="72F72F69"/>
    <w:rsid w:val="73067AD8"/>
    <w:rsid w:val="730AD98B"/>
    <w:rsid w:val="730C24ED"/>
    <w:rsid w:val="73101EE4"/>
    <w:rsid w:val="73161549"/>
    <w:rsid w:val="7318C902"/>
    <w:rsid w:val="7332E9BB"/>
    <w:rsid w:val="733A0EF7"/>
    <w:rsid w:val="7341F4F6"/>
    <w:rsid w:val="7345BE5F"/>
    <w:rsid w:val="734E6E8A"/>
    <w:rsid w:val="734F8845"/>
    <w:rsid w:val="73584485"/>
    <w:rsid w:val="736AB706"/>
    <w:rsid w:val="737E5B08"/>
    <w:rsid w:val="738A6603"/>
    <w:rsid w:val="739F2E15"/>
    <w:rsid w:val="73C1F894"/>
    <w:rsid w:val="73C9B660"/>
    <w:rsid w:val="73D3799D"/>
    <w:rsid w:val="73F3E48F"/>
    <w:rsid w:val="73F41122"/>
    <w:rsid w:val="7420D9EA"/>
    <w:rsid w:val="742DB0E7"/>
    <w:rsid w:val="742E5E58"/>
    <w:rsid w:val="74386FD0"/>
    <w:rsid w:val="7444C31A"/>
    <w:rsid w:val="7446EF25"/>
    <w:rsid w:val="745003A6"/>
    <w:rsid w:val="74630953"/>
    <w:rsid w:val="746358CA"/>
    <w:rsid w:val="746DC6B2"/>
    <w:rsid w:val="747369B0"/>
    <w:rsid w:val="749076F8"/>
    <w:rsid w:val="74928680"/>
    <w:rsid w:val="74BA7A36"/>
    <w:rsid w:val="74C02A3C"/>
    <w:rsid w:val="74C158FC"/>
    <w:rsid w:val="74E833D8"/>
    <w:rsid w:val="7501B924"/>
    <w:rsid w:val="750B3866"/>
    <w:rsid w:val="751888F9"/>
    <w:rsid w:val="7518BACF"/>
    <w:rsid w:val="7519A757"/>
    <w:rsid w:val="753511CE"/>
    <w:rsid w:val="7536EE61"/>
    <w:rsid w:val="753EC3FE"/>
    <w:rsid w:val="7552566F"/>
    <w:rsid w:val="755C0C91"/>
    <w:rsid w:val="75662B85"/>
    <w:rsid w:val="7576192E"/>
    <w:rsid w:val="757E7913"/>
    <w:rsid w:val="75942A25"/>
    <w:rsid w:val="75960F63"/>
    <w:rsid w:val="759992E7"/>
    <w:rsid w:val="759C6F2D"/>
    <w:rsid w:val="759DEF5F"/>
    <w:rsid w:val="75AD8A87"/>
    <w:rsid w:val="75C54D0F"/>
    <w:rsid w:val="75C58321"/>
    <w:rsid w:val="75CF59A1"/>
    <w:rsid w:val="75D9CD32"/>
    <w:rsid w:val="75DDD5C9"/>
    <w:rsid w:val="75EA7063"/>
    <w:rsid w:val="75F1BDFF"/>
    <w:rsid w:val="75FDD089"/>
    <w:rsid w:val="75FFBB86"/>
    <w:rsid w:val="7608EAEF"/>
    <w:rsid w:val="760954CF"/>
    <w:rsid w:val="761AEAF7"/>
    <w:rsid w:val="762320DB"/>
    <w:rsid w:val="76343E95"/>
    <w:rsid w:val="764359B7"/>
    <w:rsid w:val="765E36F0"/>
    <w:rsid w:val="7667D8AF"/>
    <w:rsid w:val="766E7254"/>
    <w:rsid w:val="767A2581"/>
    <w:rsid w:val="767C450C"/>
    <w:rsid w:val="76860336"/>
    <w:rsid w:val="768ECE75"/>
    <w:rsid w:val="769AD0B6"/>
    <w:rsid w:val="769E3F0C"/>
    <w:rsid w:val="76A0185B"/>
    <w:rsid w:val="76AEB6AA"/>
    <w:rsid w:val="76B1D39D"/>
    <w:rsid w:val="76B1D3DA"/>
    <w:rsid w:val="76BF1360"/>
    <w:rsid w:val="76D87E51"/>
    <w:rsid w:val="76E3ABC9"/>
    <w:rsid w:val="76E89095"/>
    <w:rsid w:val="770E3494"/>
    <w:rsid w:val="7714C0B1"/>
    <w:rsid w:val="7718F8DB"/>
    <w:rsid w:val="771A5B36"/>
    <w:rsid w:val="7721AAAD"/>
    <w:rsid w:val="772E444D"/>
    <w:rsid w:val="772FA501"/>
    <w:rsid w:val="774749A3"/>
    <w:rsid w:val="774E1C31"/>
    <w:rsid w:val="7751FE0B"/>
    <w:rsid w:val="7768A613"/>
    <w:rsid w:val="7780E6C2"/>
    <w:rsid w:val="778840B9"/>
    <w:rsid w:val="778938EF"/>
    <w:rsid w:val="7791B466"/>
    <w:rsid w:val="779A45E9"/>
    <w:rsid w:val="779C7481"/>
    <w:rsid w:val="77A4E909"/>
    <w:rsid w:val="77A6525C"/>
    <w:rsid w:val="77B4E332"/>
    <w:rsid w:val="77BDB2DB"/>
    <w:rsid w:val="77D52E36"/>
    <w:rsid w:val="77DEF37D"/>
    <w:rsid w:val="77ECBD34"/>
    <w:rsid w:val="780C0E28"/>
    <w:rsid w:val="781D0F30"/>
    <w:rsid w:val="783B0322"/>
    <w:rsid w:val="7853587F"/>
    <w:rsid w:val="7858E4AF"/>
    <w:rsid w:val="786A3748"/>
    <w:rsid w:val="7875B0C8"/>
    <w:rsid w:val="787780A6"/>
    <w:rsid w:val="78783F88"/>
    <w:rsid w:val="78848923"/>
    <w:rsid w:val="78863C80"/>
    <w:rsid w:val="78A57C76"/>
    <w:rsid w:val="78A6EBC6"/>
    <w:rsid w:val="78B61EC8"/>
    <w:rsid w:val="78B6EB1A"/>
    <w:rsid w:val="78D1D602"/>
    <w:rsid w:val="78FD8530"/>
    <w:rsid w:val="790021DC"/>
    <w:rsid w:val="79045D52"/>
    <w:rsid w:val="79074222"/>
    <w:rsid w:val="790BA7C9"/>
    <w:rsid w:val="7926B273"/>
    <w:rsid w:val="7943E369"/>
    <w:rsid w:val="794C8A01"/>
    <w:rsid w:val="794D1B48"/>
    <w:rsid w:val="794F9C11"/>
    <w:rsid w:val="79572737"/>
    <w:rsid w:val="796558F0"/>
    <w:rsid w:val="7965CF44"/>
    <w:rsid w:val="797D1493"/>
    <w:rsid w:val="7980AD90"/>
    <w:rsid w:val="79869B88"/>
    <w:rsid w:val="7994254D"/>
    <w:rsid w:val="79AB2EFA"/>
    <w:rsid w:val="79C7AB75"/>
    <w:rsid w:val="79CD4001"/>
    <w:rsid w:val="79F03510"/>
    <w:rsid w:val="79F13727"/>
    <w:rsid w:val="79F51EED"/>
    <w:rsid w:val="79FF451B"/>
    <w:rsid w:val="7A02F457"/>
    <w:rsid w:val="7A058CE7"/>
    <w:rsid w:val="7A0A5AC5"/>
    <w:rsid w:val="7A391F50"/>
    <w:rsid w:val="7A3A555A"/>
    <w:rsid w:val="7A495F0C"/>
    <w:rsid w:val="7A54EF19"/>
    <w:rsid w:val="7A5A5027"/>
    <w:rsid w:val="7A656299"/>
    <w:rsid w:val="7A6D81E7"/>
    <w:rsid w:val="7A85BCF3"/>
    <w:rsid w:val="7A8FFBA0"/>
    <w:rsid w:val="7A905AE3"/>
    <w:rsid w:val="7A9F6742"/>
    <w:rsid w:val="7AC259CD"/>
    <w:rsid w:val="7ACB3031"/>
    <w:rsid w:val="7ACC356B"/>
    <w:rsid w:val="7AF204A6"/>
    <w:rsid w:val="7B023A31"/>
    <w:rsid w:val="7B142BAB"/>
    <w:rsid w:val="7B1BBBF8"/>
    <w:rsid w:val="7B22D5E0"/>
    <w:rsid w:val="7B3A8B76"/>
    <w:rsid w:val="7B3DD770"/>
    <w:rsid w:val="7B3EF51E"/>
    <w:rsid w:val="7B425E71"/>
    <w:rsid w:val="7B50B142"/>
    <w:rsid w:val="7B5B7AB2"/>
    <w:rsid w:val="7B5BEFB9"/>
    <w:rsid w:val="7B6D07CD"/>
    <w:rsid w:val="7B7DBECF"/>
    <w:rsid w:val="7B9A251E"/>
    <w:rsid w:val="7BA030D9"/>
    <w:rsid w:val="7BBA5E4D"/>
    <w:rsid w:val="7BBB51AC"/>
    <w:rsid w:val="7BD50039"/>
    <w:rsid w:val="7BE2E858"/>
    <w:rsid w:val="7BE3EFAC"/>
    <w:rsid w:val="7BF4EAED"/>
    <w:rsid w:val="7C0AF9C5"/>
    <w:rsid w:val="7C0F638E"/>
    <w:rsid w:val="7C1542C8"/>
    <w:rsid w:val="7C3C01D3"/>
    <w:rsid w:val="7C5910D1"/>
    <w:rsid w:val="7C627C37"/>
    <w:rsid w:val="7C642963"/>
    <w:rsid w:val="7C6C66DE"/>
    <w:rsid w:val="7C70A014"/>
    <w:rsid w:val="7C74F674"/>
    <w:rsid w:val="7C798F94"/>
    <w:rsid w:val="7C8482E9"/>
    <w:rsid w:val="7C87992B"/>
    <w:rsid w:val="7C8B646E"/>
    <w:rsid w:val="7C8EC839"/>
    <w:rsid w:val="7C90A48C"/>
    <w:rsid w:val="7C931604"/>
    <w:rsid w:val="7C93FD90"/>
    <w:rsid w:val="7C99B823"/>
    <w:rsid w:val="7CAD7155"/>
    <w:rsid w:val="7CD2EB1D"/>
    <w:rsid w:val="7CF044BC"/>
    <w:rsid w:val="7D16177A"/>
    <w:rsid w:val="7D229E20"/>
    <w:rsid w:val="7D233E5B"/>
    <w:rsid w:val="7D24562B"/>
    <w:rsid w:val="7D277E34"/>
    <w:rsid w:val="7D373214"/>
    <w:rsid w:val="7D3B7D81"/>
    <w:rsid w:val="7D3E2EB1"/>
    <w:rsid w:val="7D5BA181"/>
    <w:rsid w:val="7D5E9D81"/>
    <w:rsid w:val="7D64146B"/>
    <w:rsid w:val="7D661F4A"/>
    <w:rsid w:val="7D6C2FE0"/>
    <w:rsid w:val="7D70F606"/>
    <w:rsid w:val="7D76FEFF"/>
    <w:rsid w:val="7D7D402B"/>
    <w:rsid w:val="7D800E71"/>
    <w:rsid w:val="7D80CDB7"/>
    <w:rsid w:val="7D850193"/>
    <w:rsid w:val="7D93DBEE"/>
    <w:rsid w:val="7DA16E48"/>
    <w:rsid w:val="7DA43858"/>
    <w:rsid w:val="7DA58251"/>
    <w:rsid w:val="7DABB63B"/>
    <w:rsid w:val="7DC83F12"/>
    <w:rsid w:val="7DCB55B1"/>
    <w:rsid w:val="7DD603A7"/>
    <w:rsid w:val="7DD65FDE"/>
    <w:rsid w:val="7DDFCCE8"/>
    <w:rsid w:val="7DE29052"/>
    <w:rsid w:val="7DED1B29"/>
    <w:rsid w:val="7DF78AFA"/>
    <w:rsid w:val="7DFF9002"/>
    <w:rsid w:val="7E095789"/>
    <w:rsid w:val="7E117B90"/>
    <w:rsid w:val="7E13707D"/>
    <w:rsid w:val="7E3DC375"/>
    <w:rsid w:val="7E44A4C8"/>
    <w:rsid w:val="7E49AC0F"/>
    <w:rsid w:val="7E4D08E1"/>
    <w:rsid w:val="7E5386E0"/>
    <w:rsid w:val="7E560D87"/>
    <w:rsid w:val="7E661EFE"/>
    <w:rsid w:val="7E95C6DA"/>
    <w:rsid w:val="7EAEDAF4"/>
    <w:rsid w:val="7EC38A1C"/>
    <w:rsid w:val="7ED31FFD"/>
    <w:rsid w:val="7ED751ED"/>
    <w:rsid w:val="7ED77163"/>
    <w:rsid w:val="7ED97749"/>
    <w:rsid w:val="7EDE4EE0"/>
    <w:rsid w:val="7EDE7C13"/>
    <w:rsid w:val="7EE045DF"/>
    <w:rsid w:val="7EE9AE99"/>
    <w:rsid w:val="7EFA7A52"/>
    <w:rsid w:val="7F083C3F"/>
    <w:rsid w:val="7F13F2BD"/>
    <w:rsid w:val="7F34976B"/>
    <w:rsid w:val="7F4289C8"/>
    <w:rsid w:val="7F438BD9"/>
    <w:rsid w:val="7F4B11A0"/>
    <w:rsid w:val="7F5306F8"/>
    <w:rsid w:val="7F557E81"/>
    <w:rsid w:val="7F5CF6E4"/>
    <w:rsid w:val="7F7B2834"/>
    <w:rsid w:val="7F869475"/>
    <w:rsid w:val="7F8E11A8"/>
    <w:rsid w:val="7F93267C"/>
    <w:rsid w:val="7F93FDA2"/>
    <w:rsid w:val="7F95925D"/>
    <w:rsid w:val="7F988B55"/>
    <w:rsid w:val="7F9BC84D"/>
    <w:rsid w:val="7F9BF7DB"/>
    <w:rsid w:val="7FA56B3E"/>
    <w:rsid w:val="7FAAA2FC"/>
    <w:rsid w:val="7FB09B69"/>
    <w:rsid w:val="7FB1CC8A"/>
    <w:rsid w:val="7FB1E295"/>
    <w:rsid w:val="7FB82F20"/>
    <w:rsid w:val="7FC6A240"/>
    <w:rsid w:val="7FCD289D"/>
    <w:rsid w:val="7FD8AD86"/>
    <w:rsid w:val="7FF46368"/>
    <w:rsid w:val="7FF5ADD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453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A3C00"/>
    <w:pPr>
      <w:spacing w:before="120" w:line="240" w:lineRule="auto"/>
    </w:pPr>
    <w:rPr>
      <w:rFonts w:ascii="Arial" w:eastAsia="Times New Roman" w:hAnsi="Arial" w:cs="Times New Roman"/>
      <w:color w:val="53565A"/>
      <w:sz w:val="18"/>
      <w:szCs w:val="20"/>
    </w:rPr>
  </w:style>
  <w:style w:type="paragraph" w:styleId="Heading1">
    <w:name w:val="heading 1"/>
    <w:basedOn w:val="Normal"/>
    <w:next w:val="Normal"/>
    <w:link w:val="Heading1Char"/>
    <w:uiPriority w:val="9"/>
    <w:qFormat/>
    <w:rsid w:val="0095190E"/>
    <w:pPr>
      <w:keepNext/>
      <w:keepLines/>
      <w:numPr>
        <w:numId w:val="35"/>
      </w:numPr>
      <w:spacing w:before="520" w:after="480"/>
      <w:outlineLvl w:val="0"/>
    </w:pPr>
    <w:rPr>
      <w:b/>
      <w:bCs/>
      <w:color w:val="201547"/>
      <w:sz w:val="36"/>
      <w:szCs w:val="32"/>
    </w:rPr>
  </w:style>
  <w:style w:type="paragraph" w:styleId="Heading2">
    <w:name w:val="heading 2"/>
    <w:basedOn w:val="Normal"/>
    <w:next w:val="Normal"/>
    <w:link w:val="Heading2Char"/>
    <w:uiPriority w:val="9"/>
    <w:qFormat/>
    <w:rsid w:val="006E7788"/>
    <w:pPr>
      <w:keepNext/>
      <w:keepLines/>
      <w:numPr>
        <w:ilvl w:val="1"/>
        <w:numId w:val="35"/>
      </w:numPr>
      <w:spacing w:before="400"/>
      <w:outlineLvl w:val="1"/>
    </w:pPr>
    <w:rPr>
      <w:bCs/>
      <w:color w:val="78BF42"/>
      <w:sz w:val="28"/>
      <w:szCs w:val="26"/>
    </w:rPr>
  </w:style>
  <w:style w:type="paragraph" w:styleId="Heading3">
    <w:name w:val="heading 3"/>
    <w:basedOn w:val="Normal"/>
    <w:next w:val="Normal"/>
    <w:link w:val="Heading3Char"/>
    <w:uiPriority w:val="9"/>
    <w:qFormat/>
    <w:rsid w:val="0095190E"/>
    <w:pPr>
      <w:keepNext/>
      <w:keepLines/>
      <w:numPr>
        <w:ilvl w:val="2"/>
        <w:numId w:val="35"/>
      </w:numPr>
      <w:spacing w:before="320" w:after="160"/>
      <w:outlineLvl w:val="2"/>
    </w:pPr>
    <w:rPr>
      <w:b/>
      <w:bCs/>
      <w:color w:val="201547"/>
      <w:sz w:val="22"/>
    </w:rPr>
  </w:style>
  <w:style w:type="paragraph" w:styleId="Heading4">
    <w:name w:val="heading 4"/>
    <w:basedOn w:val="Normal"/>
    <w:next w:val="Normal"/>
    <w:link w:val="Heading4Char"/>
    <w:uiPriority w:val="9"/>
    <w:unhideWhenUsed/>
    <w:rsid w:val="006B778A"/>
    <w:pPr>
      <w:keepNext/>
      <w:keepLines/>
      <w:spacing w:before="280" w:after="0"/>
      <w:outlineLvl w:val="3"/>
    </w:pPr>
    <w:rPr>
      <w:rFonts w:eastAsiaTheme="majorEastAsia" w:cstheme="majorBidi"/>
      <w:b/>
      <w:bCs/>
      <w:iCs/>
      <w:color w:val="201547" w:themeColor="text1"/>
    </w:rPr>
  </w:style>
  <w:style w:type="paragraph" w:styleId="Heading5">
    <w:name w:val="heading 5"/>
    <w:basedOn w:val="Normal"/>
    <w:next w:val="Normal"/>
    <w:link w:val="Heading5Char"/>
    <w:uiPriority w:val="9"/>
    <w:unhideWhenUsed/>
    <w:rsid w:val="00892F06"/>
    <w:pPr>
      <w:keepNext/>
      <w:keepLines/>
      <w:spacing w:before="280" w:after="0"/>
      <w:outlineLvl w:val="4"/>
    </w:pPr>
    <w:rPr>
      <w:rFonts w:eastAsiaTheme="majorEastAsia" w:cstheme="majorBidi"/>
      <w:color w:val="201547" w:themeColor="text1"/>
    </w:rPr>
  </w:style>
  <w:style w:type="paragraph" w:styleId="Heading6">
    <w:name w:val="heading 6"/>
    <w:basedOn w:val="Normal"/>
    <w:next w:val="Normal"/>
    <w:link w:val="Heading6Char"/>
    <w:uiPriority w:val="9"/>
    <w:unhideWhenUsed/>
    <w:qFormat/>
    <w:rsid w:val="003F70FF"/>
    <w:pPr>
      <w:keepNext/>
      <w:keepLines/>
      <w:spacing w:before="200" w:after="0"/>
      <w:outlineLvl w:val="5"/>
    </w:pPr>
    <w:rPr>
      <w:rFonts w:asciiTheme="majorHAnsi" w:eastAsiaTheme="majorEastAsia" w:hAnsiTheme="majorHAnsi" w:cstheme="majorBidi"/>
      <w:b/>
      <w:bCs/>
      <w:i/>
      <w:iCs/>
      <w:color w:val="003866" w:themeColor="accent1" w:themeShade="7F"/>
      <w:sz w:val="20"/>
      <w:szCs w:val="22"/>
    </w:rPr>
  </w:style>
  <w:style w:type="paragraph" w:styleId="Heading7">
    <w:name w:val="heading 7"/>
    <w:basedOn w:val="Normal"/>
    <w:next w:val="Normal"/>
    <w:link w:val="Heading7Char"/>
    <w:uiPriority w:val="9"/>
    <w:unhideWhenUsed/>
    <w:qFormat/>
    <w:rsid w:val="003F70FF"/>
    <w:pPr>
      <w:keepNext/>
      <w:keepLines/>
      <w:spacing w:before="200" w:after="0"/>
      <w:outlineLvl w:val="6"/>
    </w:pPr>
    <w:rPr>
      <w:rFonts w:asciiTheme="majorHAnsi" w:eastAsiaTheme="majorEastAsia" w:hAnsiTheme="majorHAnsi" w:cstheme="majorBidi"/>
      <w:i/>
      <w:iCs/>
      <w:color w:val="442D97" w:themeColor="text1" w:themeTint="BF"/>
      <w:sz w:val="20"/>
      <w:szCs w:val="22"/>
    </w:rPr>
  </w:style>
  <w:style w:type="paragraph" w:styleId="Heading8">
    <w:name w:val="heading 8"/>
    <w:basedOn w:val="Normal"/>
    <w:next w:val="Normal"/>
    <w:link w:val="Heading8Char"/>
    <w:uiPriority w:val="9"/>
    <w:unhideWhenUsed/>
    <w:qFormat/>
    <w:rsid w:val="00DB0DED"/>
    <w:pPr>
      <w:keepNext/>
      <w:keepLines/>
      <w:spacing w:before="200" w:after="0"/>
      <w:outlineLvl w:val="7"/>
    </w:pPr>
    <w:rPr>
      <w:rFonts w:asciiTheme="majorHAnsi" w:eastAsiaTheme="majorEastAsia" w:hAnsiTheme="majorHAnsi" w:cstheme="majorBidi"/>
      <w:color w:val="442D97" w:themeColor="text1" w:themeTint="BF"/>
    </w:rPr>
  </w:style>
  <w:style w:type="paragraph" w:styleId="Heading9">
    <w:name w:val="heading 9"/>
    <w:basedOn w:val="Normal"/>
    <w:next w:val="Normal"/>
    <w:link w:val="Heading9Char"/>
    <w:uiPriority w:val="9"/>
    <w:unhideWhenUsed/>
    <w:qFormat/>
    <w:rsid w:val="00DB0DED"/>
    <w:pPr>
      <w:keepNext/>
      <w:keepLines/>
      <w:spacing w:before="200" w:after="0"/>
      <w:outlineLvl w:val="8"/>
    </w:pPr>
    <w:rPr>
      <w:rFonts w:asciiTheme="majorHAnsi" w:eastAsiaTheme="majorEastAsia" w:hAnsiTheme="majorHAnsi" w:cstheme="majorBidi"/>
      <w:i/>
      <w:iCs/>
      <w:color w:val="442D97"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190E"/>
    <w:rPr>
      <w:rFonts w:ascii="Arial" w:eastAsia="Times New Roman" w:hAnsi="Arial" w:cs="Times New Roman"/>
      <w:b/>
      <w:bCs/>
      <w:color w:val="201547"/>
      <w:sz w:val="36"/>
      <w:szCs w:val="32"/>
    </w:rPr>
  </w:style>
  <w:style w:type="character" w:customStyle="1" w:styleId="Heading2Char">
    <w:name w:val="Heading 2 Char"/>
    <w:basedOn w:val="DefaultParagraphFont"/>
    <w:link w:val="Heading2"/>
    <w:uiPriority w:val="9"/>
    <w:rsid w:val="006E7788"/>
    <w:rPr>
      <w:rFonts w:ascii="Arial" w:eastAsia="Times New Roman" w:hAnsi="Arial" w:cs="Times New Roman"/>
      <w:bCs/>
      <w:color w:val="78BF42"/>
      <w:sz w:val="28"/>
      <w:szCs w:val="26"/>
    </w:rPr>
  </w:style>
  <w:style w:type="character" w:customStyle="1" w:styleId="Heading3Char">
    <w:name w:val="Heading 3 Char"/>
    <w:basedOn w:val="DefaultParagraphFont"/>
    <w:link w:val="Heading3"/>
    <w:uiPriority w:val="9"/>
    <w:rsid w:val="0095190E"/>
    <w:rPr>
      <w:rFonts w:ascii="Arial" w:eastAsia="Times New Roman" w:hAnsi="Arial" w:cs="Times New Roman"/>
      <w:b/>
      <w:bCs/>
      <w:color w:val="201547"/>
      <w:szCs w:val="20"/>
    </w:rPr>
  </w:style>
  <w:style w:type="character" w:styleId="FollowedHyperlink">
    <w:name w:val="FollowedHyperlink"/>
    <w:basedOn w:val="DefaultParagraphFont"/>
    <w:semiHidden/>
    <w:unhideWhenUsed/>
    <w:rsid w:val="00E02831"/>
    <w:rPr>
      <w:color w:val="88DBDF" w:themeColor="followedHyperlink"/>
      <w:u w:val="single"/>
    </w:rPr>
  </w:style>
  <w:style w:type="paragraph" w:styleId="Footer">
    <w:name w:val="footer"/>
    <w:basedOn w:val="Normal"/>
    <w:link w:val="FooterChar"/>
    <w:uiPriority w:val="99"/>
    <w:rsid w:val="00135B6F"/>
    <w:pPr>
      <w:tabs>
        <w:tab w:val="center" w:pos="4320"/>
        <w:tab w:val="right" w:pos="8640"/>
      </w:tabs>
    </w:pPr>
  </w:style>
  <w:style w:type="character" w:customStyle="1" w:styleId="FooterChar">
    <w:name w:val="Footer Char"/>
    <w:basedOn w:val="DefaultParagraphFont"/>
    <w:link w:val="Footer"/>
    <w:uiPriority w:val="99"/>
    <w:rsid w:val="00135B6F"/>
    <w:rPr>
      <w:rFonts w:ascii="Arial" w:eastAsia="Times New Roman" w:hAnsi="Arial" w:cs="Times New Roman"/>
      <w:sz w:val="20"/>
      <w:szCs w:val="20"/>
    </w:rPr>
  </w:style>
  <w:style w:type="paragraph" w:styleId="Header">
    <w:name w:val="header"/>
    <w:basedOn w:val="Normal"/>
    <w:link w:val="HeaderChar"/>
    <w:uiPriority w:val="99"/>
    <w:unhideWhenUsed/>
    <w:rsid w:val="00135B6F"/>
    <w:pPr>
      <w:tabs>
        <w:tab w:val="center" w:pos="4320"/>
        <w:tab w:val="right" w:pos="8640"/>
      </w:tabs>
      <w:spacing w:before="0" w:after="0"/>
    </w:pPr>
  </w:style>
  <w:style w:type="character" w:customStyle="1" w:styleId="HeaderChar">
    <w:name w:val="Header Char"/>
    <w:basedOn w:val="DefaultParagraphFont"/>
    <w:link w:val="Header"/>
    <w:uiPriority w:val="99"/>
    <w:rsid w:val="00135B6F"/>
    <w:rPr>
      <w:rFonts w:ascii="Arial" w:eastAsia="Times New Roman" w:hAnsi="Arial" w:cs="Times New Roman"/>
      <w:sz w:val="20"/>
      <w:szCs w:val="20"/>
    </w:rPr>
  </w:style>
  <w:style w:type="character" w:styleId="Hyperlink">
    <w:name w:val="Hyperlink"/>
    <w:basedOn w:val="DefaultParagraphFont"/>
    <w:uiPriority w:val="99"/>
    <w:unhideWhenUsed/>
    <w:rsid w:val="00AB1D65"/>
    <w:rPr>
      <w:color w:val="5236B7" w:themeColor="text1" w:themeTint="A6"/>
      <w:u w:val="single"/>
    </w:rPr>
  </w:style>
  <w:style w:type="character" w:styleId="PageNumber">
    <w:name w:val="page number"/>
    <w:uiPriority w:val="99"/>
    <w:unhideWhenUsed/>
    <w:rsid w:val="00921A00"/>
    <w:rPr>
      <w:sz w:val="16"/>
      <w:szCs w:val="16"/>
    </w:rPr>
  </w:style>
  <w:style w:type="character" w:customStyle="1" w:styleId="Heading4Char">
    <w:name w:val="Heading 4 Char"/>
    <w:basedOn w:val="DefaultParagraphFont"/>
    <w:link w:val="Heading4"/>
    <w:uiPriority w:val="9"/>
    <w:rsid w:val="006B778A"/>
    <w:rPr>
      <w:rFonts w:ascii="Arial" w:eastAsiaTheme="majorEastAsia" w:hAnsi="Arial" w:cstheme="majorBidi"/>
      <w:b/>
      <w:bCs/>
      <w:iCs/>
      <w:color w:val="201547" w:themeColor="text1"/>
      <w:sz w:val="18"/>
      <w:szCs w:val="20"/>
    </w:rPr>
  </w:style>
  <w:style w:type="paragraph" w:styleId="BalloonText">
    <w:name w:val="Balloon Text"/>
    <w:basedOn w:val="Normal"/>
    <w:link w:val="BalloonTextChar"/>
    <w:uiPriority w:val="99"/>
    <w:semiHidden/>
    <w:unhideWhenUsed/>
    <w:rsid w:val="009E692C"/>
    <w:pPr>
      <w:spacing w:before="0" w:after="0"/>
    </w:pPr>
    <w:rPr>
      <w:rFonts w:cs="Tahoma"/>
      <w:sz w:val="16"/>
      <w:szCs w:val="16"/>
    </w:rPr>
  </w:style>
  <w:style w:type="character" w:customStyle="1" w:styleId="BalloonTextChar">
    <w:name w:val="Balloon Text Char"/>
    <w:basedOn w:val="DefaultParagraphFont"/>
    <w:link w:val="BalloonText"/>
    <w:uiPriority w:val="99"/>
    <w:semiHidden/>
    <w:rsid w:val="009E692C"/>
    <w:rPr>
      <w:rFonts w:ascii="Tahoma" w:eastAsia="Times New Roman" w:hAnsi="Tahoma" w:cs="Tahoma"/>
      <w:sz w:val="16"/>
      <w:szCs w:val="16"/>
    </w:rPr>
  </w:style>
  <w:style w:type="paragraph" w:styleId="TOCHeading">
    <w:name w:val="TOC Heading"/>
    <w:basedOn w:val="Normal"/>
    <w:next w:val="Normal"/>
    <w:uiPriority w:val="39"/>
    <w:unhideWhenUsed/>
    <w:qFormat/>
    <w:rsid w:val="00AB1D65"/>
    <w:pPr>
      <w:spacing w:before="0" w:after="400"/>
    </w:pPr>
    <w:rPr>
      <w:b/>
      <w:caps/>
      <w:sz w:val="36"/>
      <w:szCs w:val="48"/>
    </w:rPr>
  </w:style>
  <w:style w:type="character" w:customStyle="1" w:styleId="Heading5Char">
    <w:name w:val="Heading 5 Char"/>
    <w:basedOn w:val="DefaultParagraphFont"/>
    <w:link w:val="Heading5"/>
    <w:uiPriority w:val="9"/>
    <w:rsid w:val="00892F06"/>
    <w:rPr>
      <w:rFonts w:ascii="Arial" w:eastAsiaTheme="majorEastAsia" w:hAnsi="Arial" w:cstheme="majorBidi"/>
      <w:color w:val="201547" w:themeColor="text1"/>
      <w:sz w:val="18"/>
      <w:szCs w:val="20"/>
    </w:rPr>
  </w:style>
  <w:style w:type="character" w:customStyle="1" w:styleId="Heading6Char">
    <w:name w:val="Heading 6 Char"/>
    <w:basedOn w:val="DefaultParagraphFont"/>
    <w:link w:val="Heading6"/>
    <w:uiPriority w:val="9"/>
    <w:rsid w:val="003F70FF"/>
    <w:rPr>
      <w:rFonts w:asciiTheme="majorHAnsi" w:eastAsiaTheme="majorEastAsia" w:hAnsiTheme="majorHAnsi" w:cstheme="majorBidi"/>
      <w:b/>
      <w:bCs/>
      <w:i/>
      <w:iCs/>
      <w:color w:val="003866" w:themeColor="accent1" w:themeShade="7F"/>
      <w:sz w:val="20"/>
    </w:rPr>
  </w:style>
  <w:style w:type="character" w:customStyle="1" w:styleId="Heading7Char">
    <w:name w:val="Heading 7 Char"/>
    <w:basedOn w:val="DefaultParagraphFont"/>
    <w:link w:val="Heading7"/>
    <w:uiPriority w:val="9"/>
    <w:rsid w:val="003F70FF"/>
    <w:rPr>
      <w:rFonts w:asciiTheme="majorHAnsi" w:eastAsiaTheme="majorEastAsia" w:hAnsiTheme="majorHAnsi" w:cstheme="majorBidi"/>
      <w:i/>
      <w:iCs/>
      <w:color w:val="442D97" w:themeColor="text1" w:themeTint="BF"/>
      <w:sz w:val="20"/>
    </w:rPr>
  </w:style>
  <w:style w:type="character" w:customStyle="1" w:styleId="Heading8Char">
    <w:name w:val="Heading 8 Char"/>
    <w:basedOn w:val="DefaultParagraphFont"/>
    <w:link w:val="Heading8"/>
    <w:uiPriority w:val="9"/>
    <w:rsid w:val="00DB0DED"/>
    <w:rPr>
      <w:rFonts w:asciiTheme="majorHAnsi" w:eastAsiaTheme="majorEastAsia" w:hAnsiTheme="majorHAnsi" w:cstheme="majorBidi"/>
      <w:color w:val="442D97" w:themeColor="text1" w:themeTint="BF"/>
      <w:sz w:val="18"/>
      <w:szCs w:val="20"/>
    </w:rPr>
  </w:style>
  <w:style w:type="character" w:customStyle="1" w:styleId="Heading9Char">
    <w:name w:val="Heading 9 Char"/>
    <w:basedOn w:val="DefaultParagraphFont"/>
    <w:link w:val="Heading9"/>
    <w:uiPriority w:val="9"/>
    <w:rsid w:val="00DB0DED"/>
    <w:rPr>
      <w:rFonts w:asciiTheme="majorHAnsi" w:eastAsiaTheme="majorEastAsia" w:hAnsiTheme="majorHAnsi" w:cstheme="majorBidi"/>
      <w:i/>
      <w:iCs/>
      <w:color w:val="442D97" w:themeColor="text1" w:themeTint="BF"/>
      <w:sz w:val="18"/>
      <w:szCs w:val="20"/>
    </w:rPr>
  </w:style>
  <w:style w:type="table" w:styleId="TableGrid">
    <w:name w:val="Table Grid"/>
    <w:basedOn w:val="TableNormal"/>
    <w:uiPriority w:val="39"/>
    <w:rsid w:val="00802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T1">
    <w:name w:val="DOT 1"/>
    <w:basedOn w:val="TableNormal"/>
    <w:uiPriority w:val="99"/>
    <w:rsid w:val="00D729FA"/>
    <w:pPr>
      <w:spacing w:after="0" w:line="240" w:lineRule="auto"/>
    </w:pPr>
    <w:rPr>
      <w:rFonts w:ascii="Arial" w:hAnsi="Arial"/>
      <w:sz w:val="20"/>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D9D9D6" w:themeFill="background2"/>
      </w:tcPr>
    </w:tblStylePr>
    <w:tblStylePr w:type="firstCol">
      <w:rPr>
        <w:rFonts w:ascii="Arial" w:hAnsi="Arial"/>
        <w:b/>
        <w:sz w:val="20"/>
      </w:rPr>
    </w:tblStylePr>
  </w:style>
  <w:style w:type="table" w:styleId="LightShading">
    <w:name w:val="Light Shading"/>
    <w:basedOn w:val="TableNormal"/>
    <w:uiPriority w:val="60"/>
    <w:rsid w:val="008027EC"/>
    <w:pPr>
      <w:spacing w:after="0" w:line="240" w:lineRule="auto"/>
    </w:pPr>
    <w:rPr>
      <w:color w:val="170F34" w:themeColor="text1" w:themeShade="BF"/>
    </w:rPr>
    <w:tblPr>
      <w:tblStyleRowBandSize w:val="1"/>
      <w:tblStyleColBandSize w:val="1"/>
      <w:tblBorders>
        <w:top w:val="single" w:sz="8" w:space="0" w:color="201547" w:themeColor="text1"/>
        <w:bottom w:val="single" w:sz="8" w:space="0" w:color="201547" w:themeColor="text1"/>
      </w:tblBorders>
    </w:tblPr>
    <w:tblStylePr w:type="firstRow">
      <w:pPr>
        <w:spacing w:before="0" w:after="0" w:line="240" w:lineRule="auto"/>
      </w:pPr>
      <w:rPr>
        <w:b/>
        <w:bCs/>
      </w:rPr>
      <w:tblPr/>
      <w:tcPr>
        <w:tcBorders>
          <w:top w:val="single" w:sz="8" w:space="0" w:color="201547" w:themeColor="text1"/>
          <w:left w:val="nil"/>
          <w:bottom w:val="single" w:sz="8" w:space="0" w:color="201547" w:themeColor="text1"/>
          <w:right w:val="nil"/>
          <w:insideH w:val="nil"/>
          <w:insideV w:val="nil"/>
        </w:tcBorders>
      </w:tcPr>
    </w:tblStylePr>
    <w:tblStylePr w:type="lastRow">
      <w:pPr>
        <w:spacing w:before="0" w:after="0" w:line="240" w:lineRule="auto"/>
      </w:pPr>
      <w:rPr>
        <w:b/>
        <w:bCs/>
      </w:rPr>
      <w:tblPr/>
      <w:tcPr>
        <w:tcBorders>
          <w:top w:val="single" w:sz="8" w:space="0" w:color="201547" w:themeColor="text1"/>
          <w:left w:val="nil"/>
          <w:bottom w:val="single" w:sz="8" w:space="0" w:color="201547"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text1" w:themeFillTint="3F"/>
      </w:tcPr>
    </w:tblStylePr>
    <w:tblStylePr w:type="band1Horz">
      <w:tblPr/>
      <w:tcPr>
        <w:tcBorders>
          <w:left w:val="nil"/>
          <w:right w:val="nil"/>
          <w:insideH w:val="nil"/>
          <w:insideV w:val="nil"/>
        </w:tcBorders>
        <w:shd w:val="clear" w:color="auto" w:fill="BBAFE7" w:themeFill="text1" w:themeFillTint="3F"/>
      </w:tcPr>
    </w:tblStylePr>
  </w:style>
  <w:style w:type="paragraph" w:styleId="Caption">
    <w:name w:val="caption"/>
    <w:basedOn w:val="Normal"/>
    <w:next w:val="Normal"/>
    <w:uiPriority w:val="35"/>
    <w:unhideWhenUsed/>
    <w:qFormat/>
    <w:rsid w:val="007D1AC0"/>
    <w:pPr>
      <w:keepNext/>
    </w:pPr>
    <w:rPr>
      <w:i/>
      <w:iCs/>
      <w:szCs w:val="18"/>
    </w:rPr>
  </w:style>
  <w:style w:type="paragraph" w:styleId="TOC1">
    <w:name w:val="toc 1"/>
    <w:basedOn w:val="Normal"/>
    <w:next w:val="Normal"/>
    <w:autoRedefine/>
    <w:uiPriority w:val="39"/>
    <w:unhideWhenUsed/>
    <w:rsid w:val="00083F3A"/>
    <w:pPr>
      <w:tabs>
        <w:tab w:val="right" w:leader="dot" w:pos="9016"/>
      </w:tabs>
      <w:spacing w:after="100"/>
      <w:ind w:left="142"/>
    </w:pPr>
  </w:style>
  <w:style w:type="paragraph" w:styleId="TOC2">
    <w:name w:val="toc 2"/>
    <w:basedOn w:val="Normal"/>
    <w:next w:val="Normal"/>
    <w:autoRedefine/>
    <w:uiPriority w:val="39"/>
    <w:unhideWhenUsed/>
    <w:rsid w:val="00083F3A"/>
    <w:pPr>
      <w:tabs>
        <w:tab w:val="left" w:pos="600"/>
        <w:tab w:val="right" w:leader="dot" w:pos="9016"/>
      </w:tabs>
      <w:spacing w:after="100"/>
      <w:ind w:left="142"/>
    </w:pPr>
  </w:style>
  <w:style w:type="paragraph" w:styleId="TOC3">
    <w:name w:val="toc 3"/>
    <w:basedOn w:val="Normal"/>
    <w:next w:val="Normal"/>
    <w:autoRedefine/>
    <w:uiPriority w:val="39"/>
    <w:unhideWhenUsed/>
    <w:rsid w:val="00440DF0"/>
    <w:pPr>
      <w:spacing w:after="100"/>
      <w:ind w:left="400"/>
    </w:pPr>
  </w:style>
  <w:style w:type="paragraph" w:styleId="TOC4">
    <w:name w:val="toc 4"/>
    <w:basedOn w:val="Normal"/>
    <w:next w:val="Normal"/>
    <w:autoRedefine/>
    <w:uiPriority w:val="39"/>
    <w:unhideWhenUsed/>
    <w:rsid w:val="00440DF0"/>
    <w:pPr>
      <w:spacing w:after="100"/>
      <w:ind w:left="600"/>
    </w:pPr>
  </w:style>
  <w:style w:type="paragraph" w:styleId="TableofFigures">
    <w:name w:val="table of figures"/>
    <w:basedOn w:val="Normal"/>
    <w:next w:val="Normal"/>
    <w:uiPriority w:val="99"/>
    <w:unhideWhenUsed/>
    <w:rsid w:val="00BA390F"/>
    <w:pPr>
      <w:spacing w:after="0"/>
    </w:pPr>
  </w:style>
  <w:style w:type="paragraph" w:customStyle="1" w:styleId="introparagraph">
    <w:name w:val="# intro paragraph"/>
    <w:basedOn w:val="Normal"/>
    <w:qFormat/>
    <w:rsid w:val="00AB1D65"/>
    <w:rPr>
      <w:color w:val="808080" w:themeColor="background1" w:themeShade="80"/>
      <w:sz w:val="28"/>
    </w:rPr>
  </w:style>
  <w:style w:type="paragraph" w:styleId="ListParagraph">
    <w:name w:val="List Paragraph"/>
    <w:basedOn w:val="Normal"/>
    <w:link w:val="ListParagraphChar"/>
    <w:uiPriority w:val="34"/>
    <w:qFormat/>
    <w:rsid w:val="00C829C6"/>
    <w:pPr>
      <w:spacing w:before="0" w:after="0"/>
      <w:ind w:left="720"/>
      <w:contextualSpacing/>
    </w:pPr>
    <w:rPr>
      <w:rFonts w:ascii="Times New Roman" w:hAnsi="Times New Roman"/>
      <w:sz w:val="24"/>
      <w:szCs w:val="24"/>
      <w:lang w:eastAsia="en-AU"/>
    </w:rPr>
  </w:style>
  <w:style w:type="paragraph" w:styleId="Title">
    <w:name w:val="Title"/>
    <w:basedOn w:val="Normal"/>
    <w:next w:val="Normal"/>
    <w:link w:val="TitleChar"/>
    <w:uiPriority w:val="10"/>
    <w:qFormat/>
    <w:rsid w:val="00AB1D65"/>
    <w:pPr>
      <w:spacing w:before="0" w:line="420" w:lineRule="exact"/>
    </w:pPr>
    <w:rPr>
      <w:b/>
      <w:noProof/>
      <w:color w:val="FFFFFF"/>
      <w:sz w:val="44"/>
      <w:lang w:val="en-GB" w:eastAsia="en-GB"/>
    </w:rPr>
  </w:style>
  <w:style w:type="character" w:customStyle="1" w:styleId="TitleChar">
    <w:name w:val="Title Char"/>
    <w:basedOn w:val="DefaultParagraphFont"/>
    <w:link w:val="Title"/>
    <w:uiPriority w:val="10"/>
    <w:rsid w:val="00D96C1E"/>
    <w:rPr>
      <w:rFonts w:ascii="Arial" w:eastAsia="Times New Roman" w:hAnsi="Arial" w:cs="Times New Roman"/>
      <w:b/>
      <w:noProof/>
      <w:color w:val="FFFFFF"/>
      <w:sz w:val="44"/>
      <w:szCs w:val="20"/>
      <w:lang w:val="en-GB" w:eastAsia="en-GB"/>
    </w:rPr>
  </w:style>
  <w:style w:type="paragraph" w:styleId="Subtitle">
    <w:name w:val="Subtitle"/>
    <w:basedOn w:val="Normal"/>
    <w:next w:val="Normal"/>
    <w:link w:val="SubtitleChar"/>
    <w:uiPriority w:val="11"/>
    <w:qFormat/>
    <w:rsid w:val="00AB1D65"/>
    <w:pPr>
      <w:spacing w:before="180"/>
    </w:pPr>
    <w:rPr>
      <w:color w:val="FFFFFF"/>
      <w:sz w:val="32"/>
    </w:rPr>
  </w:style>
  <w:style w:type="character" w:customStyle="1" w:styleId="SubtitleChar">
    <w:name w:val="Subtitle Char"/>
    <w:basedOn w:val="DefaultParagraphFont"/>
    <w:link w:val="Subtitle"/>
    <w:uiPriority w:val="11"/>
    <w:rsid w:val="00D96C1E"/>
    <w:rPr>
      <w:rFonts w:ascii="Arial" w:eastAsia="Times New Roman" w:hAnsi="Arial" w:cs="Times New Roman"/>
      <w:color w:val="FFFFFF"/>
      <w:sz w:val="32"/>
      <w:szCs w:val="20"/>
    </w:rPr>
  </w:style>
  <w:style w:type="paragraph" w:styleId="ListBullet">
    <w:name w:val="List Bullet"/>
    <w:basedOn w:val="Normal"/>
    <w:link w:val="ListBulletChar"/>
    <w:uiPriority w:val="99"/>
    <w:unhideWhenUsed/>
    <w:rsid w:val="00AB1D65"/>
    <w:pPr>
      <w:numPr>
        <w:numId w:val="32"/>
      </w:numPr>
      <w:spacing w:before="0" w:after="60"/>
    </w:pPr>
  </w:style>
  <w:style w:type="paragraph" w:styleId="ListBullet2">
    <w:name w:val="List Bullet 2"/>
    <w:basedOn w:val="Normal"/>
    <w:link w:val="ListBullet2Char"/>
    <w:uiPriority w:val="99"/>
    <w:unhideWhenUsed/>
    <w:rsid w:val="00AB1D65"/>
    <w:pPr>
      <w:numPr>
        <w:numId w:val="30"/>
      </w:numPr>
      <w:spacing w:before="0" w:after="60"/>
    </w:pPr>
  </w:style>
  <w:style w:type="character" w:styleId="Strong">
    <w:name w:val="Strong"/>
    <w:basedOn w:val="DefaultParagraphFont"/>
    <w:uiPriority w:val="22"/>
    <w:qFormat/>
    <w:rsid w:val="00CA59D5"/>
    <w:rPr>
      <w:b/>
      <w:bCs/>
    </w:rPr>
  </w:style>
  <w:style w:type="paragraph" w:styleId="FootnoteText">
    <w:name w:val="footnote text"/>
    <w:aliases w:val="fn,FT,ft,SD Footnote Text,Footnote Text AG"/>
    <w:basedOn w:val="Footer"/>
    <w:link w:val="FootnoteTextChar"/>
    <w:uiPriority w:val="99"/>
    <w:unhideWhenUsed/>
    <w:rsid w:val="00921A00"/>
    <w:rPr>
      <w:sz w:val="16"/>
      <w:szCs w:val="16"/>
    </w:rPr>
  </w:style>
  <w:style w:type="character" w:customStyle="1" w:styleId="FootnoteTextChar">
    <w:name w:val="Footnote Text Char"/>
    <w:aliases w:val="fn Char,FT Char,ft Char,SD Footnote Text Char,Footnote Text AG Char"/>
    <w:basedOn w:val="DefaultParagraphFont"/>
    <w:link w:val="FootnoteText"/>
    <w:uiPriority w:val="99"/>
    <w:rsid w:val="00921A00"/>
    <w:rPr>
      <w:rFonts w:ascii="Arial" w:eastAsia="Times New Roman" w:hAnsi="Arial" w:cs="Times New Roman"/>
      <w:color w:val="53565A"/>
      <w:sz w:val="16"/>
      <w:szCs w:val="16"/>
    </w:rPr>
  </w:style>
  <w:style w:type="character" w:styleId="IntenseEmphasis">
    <w:name w:val="Intense Emphasis"/>
    <w:basedOn w:val="DefaultParagraphFont"/>
    <w:uiPriority w:val="21"/>
    <w:qFormat/>
    <w:rsid w:val="001441F4"/>
    <w:rPr>
      <w:i/>
      <w:iCs/>
      <w:color w:val="78BF42"/>
    </w:rPr>
  </w:style>
  <w:style w:type="paragraph" w:styleId="IntenseQuote">
    <w:name w:val="Intense Quote"/>
    <w:basedOn w:val="Normal"/>
    <w:next w:val="Normal"/>
    <w:link w:val="IntenseQuoteChar"/>
    <w:uiPriority w:val="30"/>
    <w:qFormat/>
    <w:rsid w:val="001441F4"/>
    <w:pPr>
      <w:pBdr>
        <w:top w:val="single" w:sz="4" w:space="10" w:color="0072CE" w:themeColor="accent1"/>
        <w:bottom w:val="single" w:sz="4" w:space="10" w:color="0072CE" w:themeColor="accent1"/>
      </w:pBdr>
      <w:spacing w:before="360" w:after="360"/>
      <w:ind w:left="864" w:right="864"/>
      <w:jc w:val="center"/>
    </w:pPr>
    <w:rPr>
      <w:i/>
      <w:iCs/>
      <w:color w:val="201547"/>
    </w:rPr>
  </w:style>
  <w:style w:type="character" w:customStyle="1" w:styleId="IntenseQuoteChar">
    <w:name w:val="Intense Quote Char"/>
    <w:basedOn w:val="DefaultParagraphFont"/>
    <w:link w:val="IntenseQuote"/>
    <w:uiPriority w:val="30"/>
    <w:rsid w:val="001441F4"/>
    <w:rPr>
      <w:rFonts w:ascii="Arial" w:eastAsia="Times New Roman" w:hAnsi="Arial" w:cs="Times New Roman"/>
      <w:i/>
      <w:iCs/>
      <w:color w:val="201547"/>
      <w:sz w:val="18"/>
      <w:szCs w:val="20"/>
    </w:rPr>
  </w:style>
  <w:style w:type="character" w:styleId="IntenseReference">
    <w:name w:val="Intense Reference"/>
    <w:basedOn w:val="DefaultParagraphFont"/>
    <w:uiPriority w:val="32"/>
    <w:qFormat/>
    <w:rsid w:val="001441F4"/>
    <w:rPr>
      <w:b/>
      <w:bCs/>
      <w:smallCaps/>
      <w:color w:val="201547"/>
      <w:spacing w:val="5"/>
    </w:rPr>
  </w:style>
  <w:style w:type="paragraph" w:customStyle="1" w:styleId="BodyText1">
    <w:name w:val="Body Text1"/>
    <w:basedOn w:val="Normal"/>
    <w:qFormat/>
    <w:rsid w:val="004F4831"/>
    <w:pPr>
      <w:spacing w:after="0" w:line="240" w:lineRule="atLeast"/>
      <w:jc w:val="both"/>
    </w:pPr>
    <w:rPr>
      <w:rFonts w:asciiTheme="minorHAnsi" w:hAnsiTheme="minorHAnsi" w:cstheme="minorHAnsi"/>
      <w:color w:val="auto"/>
      <w:sz w:val="22"/>
      <w:szCs w:val="22"/>
      <w:lang w:val="en-US" w:eastAsia="en-AU"/>
    </w:rPr>
  </w:style>
  <w:style w:type="character" w:styleId="FootnoteReference">
    <w:name w:val="footnote reference"/>
    <w:aliases w:val="fr"/>
    <w:basedOn w:val="DefaultParagraphFont"/>
    <w:uiPriority w:val="99"/>
    <w:semiHidden/>
    <w:unhideWhenUsed/>
    <w:rsid w:val="00E539C3"/>
    <w:rPr>
      <w:vertAlign w:val="superscript"/>
    </w:rPr>
  </w:style>
  <w:style w:type="character" w:styleId="SubtleEmphasis">
    <w:name w:val="Subtle Emphasis"/>
    <w:basedOn w:val="DefaultParagraphFont"/>
    <w:uiPriority w:val="19"/>
    <w:qFormat/>
    <w:rsid w:val="00DB091F"/>
    <w:rPr>
      <w:i/>
      <w:iCs/>
      <w:color w:val="442D97" w:themeColor="text1" w:themeTint="BF"/>
    </w:rPr>
  </w:style>
  <w:style w:type="paragraph" w:customStyle="1" w:styleId="Source">
    <w:name w:val="Source"/>
    <w:basedOn w:val="Normal"/>
    <w:link w:val="SourceChar"/>
    <w:rsid w:val="00396AA9"/>
    <w:rPr>
      <w:sz w:val="16"/>
    </w:rPr>
  </w:style>
  <w:style w:type="character" w:styleId="UnresolvedMention">
    <w:name w:val="Unresolved Mention"/>
    <w:basedOn w:val="DefaultParagraphFont"/>
    <w:uiPriority w:val="99"/>
    <w:rsid w:val="00776FA1"/>
    <w:rPr>
      <w:color w:val="605E5C"/>
      <w:shd w:val="clear" w:color="auto" w:fill="E1DFDD"/>
    </w:rPr>
  </w:style>
  <w:style w:type="character" w:customStyle="1" w:styleId="SourceChar">
    <w:name w:val="Source Char"/>
    <w:basedOn w:val="DefaultParagraphFont"/>
    <w:link w:val="Source"/>
    <w:rsid w:val="00396AA9"/>
    <w:rPr>
      <w:rFonts w:ascii="Arial" w:eastAsia="Times New Roman" w:hAnsi="Arial" w:cs="Times New Roman"/>
      <w:color w:val="53565A"/>
      <w:sz w:val="16"/>
      <w:szCs w:val="20"/>
    </w:rPr>
  </w:style>
  <w:style w:type="paragraph" w:styleId="Quote">
    <w:name w:val="Quote"/>
    <w:basedOn w:val="Normal"/>
    <w:next w:val="Normal"/>
    <w:link w:val="QuoteChar"/>
    <w:uiPriority w:val="29"/>
    <w:qFormat/>
    <w:rsid w:val="003B1ED7"/>
    <w:pPr>
      <w:spacing w:before="200" w:after="160"/>
      <w:ind w:left="864" w:right="864"/>
      <w:jc w:val="center"/>
    </w:pPr>
    <w:rPr>
      <w:i/>
      <w:iCs/>
      <w:color w:val="442D97" w:themeColor="text1" w:themeTint="BF"/>
    </w:rPr>
  </w:style>
  <w:style w:type="character" w:customStyle="1" w:styleId="QuoteChar">
    <w:name w:val="Quote Char"/>
    <w:basedOn w:val="DefaultParagraphFont"/>
    <w:link w:val="Quote"/>
    <w:uiPriority w:val="29"/>
    <w:rsid w:val="003B1ED7"/>
    <w:rPr>
      <w:rFonts w:ascii="Arial" w:eastAsia="Times New Roman" w:hAnsi="Arial" w:cs="Times New Roman"/>
      <w:i/>
      <w:iCs/>
      <w:color w:val="442D97" w:themeColor="text1" w:themeTint="BF"/>
      <w:sz w:val="18"/>
      <w:szCs w:val="20"/>
    </w:rPr>
  </w:style>
  <w:style w:type="character" w:styleId="CommentReference">
    <w:name w:val="annotation reference"/>
    <w:basedOn w:val="DefaultParagraphFont"/>
    <w:uiPriority w:val="99"/>
    <w:semiHidden/>
    <w:unhideWhenUsed/>
    <w:rsid w:val="008B5FD9"/>
    <w:rPr>
      <w:sz w:val="16"/>
      <w:szCs w:val="16"/>
    </w:rPr>
  </w:style>
  <w:style w:type="paragraph" w:styleId="CommentText">
    <w:name w:val="annotation text"/>
    <w:basedOn w:val="Normal"/>
    <w:link w:val="CommentTextChar"/>
    <w:uiPriority w:val="99"/>
    <w:unhideWhenUsed/>
    <w:rsid w:val="008B5FD9"/>
    <w:rPr>
      <w:sz w:val="20"/>
    </w:rPr>
  </w:style>
  <w:style w:type="character" w:customStyle="1" w:styleId="CommentTextChar">
    <w:name w:val="Comment Text Char"/>
    <w:basedOn w:val="DefaultParagraphFont"/>
    <w:link w:val="CommentText"/>
    <w:uiPriority w:val="99"/>
    <w:rsid w:val="008B5FD9"/>
    <w:rPr>
      <w:rFonts w:ascii="Arial" w:eastAsia="Times New Roman" w:hAnsi="Arial" w:cs="Times New Roman"/>
      <w:color w:val="53565A"/>
      <w:sz w:val="20"/>
      <w:szCs w:val="20"/>
    </w:rPr>
  </w:style>
  <w:style w:type="paragraph" w:styleId="CommentSubject">
    <w:name w:val="annotation subject"/>
    <w:basedOn w:val="CommentText"/>
    <w:next w:val="CommentText"/>
    <w:link w:val="CommentSubjectChar"/>
    <w:uiPriority w:val="99"/>
    <w:semiHidden/>
    <w:unhideWhenUsed/>
    <w:rsid w:val="008B5FD9"/>
    <w:rPr>
      <w:b/>
      <w:bCs/>
    </w:rPr>
  </w:style>
  <w:style w:type="character" w:customStyle="1" w:styleId="CommentSubjectChar">
    <w:name w:val="Comment Subject Char"/>
    <w:basedOn w:val="CommentTextChar"/>
    <w:link w:val="CommentSubject"/>
    <w:uiPriority w:val="99"/>
    <w:semiHidden/>
    <w:rsid w:val="008B5FD9"/>
    <w:rPr>
      <w:rFonts w:ascii="Arial" w:eastAsia="Times New Roman" w:hAnsi="Arial" w:cs="Times New Roman"/>
      <w:b/>
      <w:bCs/>
      <w:color w:val="53565A"/>
      <w:sz w:val="20"/>
      <w:szCs w:val="20"/>
    </w:rPr>
  </w:style>
  <w:style w:type="paragraph" w:styleId="NoSpacing">
    <w:name w:val="No Spacing"/>
    <w:uiPriority w:val="1"/>
    <w:qFormat/>
    <w:rsid w:val="00F701E7"/>
    <w:pPr>
      <w:spacing w:after="0" w:line="240" w:lineRule="auto"/>
    </w:pPr>
    <w:rPr>
      <w:rFonts w:ascii="Arial" w:eastAsia="Times New Roman" w:hAnsi="Arial" w:cs="Times New Roman"/>
      <w:color w:val="53565A"/>
      <w:sz w:val="18"/>
      <w:szCs w:val="20"/>
    </w:rPr>
  </w:style>
  <w:style w:type="paragraph" w:customStyle="1" w:styleId="Numberedlist">
    <w:name w:val="Numbered list"/>
    <w:basedOn w:val="ListParagraph"/>
    <w:link w:val="NumberedlistChar"/>
    <w:qFormat/>
    <w:rsid w:val="00F12912"/>
    <w:pPr>
      <w:numPr>
        <w:numId w:val="33"/>
      </w:numPr>
      <w:spacing w:after="120"/>
      <w:contextualSpacing w:val="0"/>
    </w:pPr>
    <w:rPr>
      <w:rFonts w:asciiTheme="minorHAnsi" w:hAnsiTheme="minorHAnsi" w:cstheme="minorHAnsi"/>
      <w:sz w:val="18"/>
      <w:szCs w:val="18"/>
    </w:rPr>
  </w:style>
  <w:style w:type="paragraph" w:styleId="NormalWeb">
    <w:name w:val="Normal (Web)"/>
    <w:basedOn w:val="Normal"/>
    <w:uiPriority w:val="99"/>
    <w:semiHidden/>
    <w:unhideWhenUsed/>
    <w:rsid w:val="00F12912"/>
    <w:pPr>
      <w:spacing w:before="100" w:beforeAutospacing="1" w:after="100" w:afterAutospacing="1"/>
    </w:pPr>
    <w:rPr>
      <w:rFonts w:ascii="Times New Roman" w:hAnsi="Times New Roman"/>
      <w:color w:val="auto"/>
      <w:sz w:val="24"/>
      <w:szCs w:val="24"/>
      <w:lang w:eastAsia="en-AU"/>
    </w:rPr>
  </w:style>
  <w:style w:type="character" w:customStyle="1" w:styleId="ListParagraphChar">
    <w:name w:val="List Paragraph Char"/>
    <w:basedOn w:val="DefaultParagraphFont"/>
    <w:link w:val="ListParagraph"/>
    <w:uiPriority w:val="34"/>
    <w:rsid w:val="00F12912"/>
    <w:rPr>
      <w:rFonts w:ascii="Times New Roman" w:eastAsia="Times New Roman" w:hAnsi="Times New Roman" w:cs="Times New Roman"/>
      <w:color w:val="53565A"/>
      <w:sz w:val="24"/>
      <w:szCs w:val="24"/>
      <w:lang w:eastAsia="en-AU"/>
    </w:rPr>
  </w:style>
  <w:style w:type="character" w:customStyle="1" w:styleId="NumberedlistChar">
    <w:name w:val="Numbered list Char"/>
    <w:basedOn w:val="ListParagraphChar"/>
    <w:link w:val="Numberedlist"/>
    <w:rsid w:val="00F12912"/>
    <w:rPr>
      <w:rFonts w:ascii="Times New Roman" w:eastAsia="Times New Roman" w:hAnsi="Times New Roman" w:cstheme="minorHAnsi"/>
      <w:color w:val="53565A"/>
      <w:sz w:val="18"/>
      <w:szCs w:val="18"/>
      <w:lang w:eastAsia="en-AU"/>
    </w:rPr>
  </w:style>
  <w:style w:type="paragraph" w:customStyle="1" w:styleId="EYBodytextwithparaspace">
    <w:name w:val="EY Body text (with para space)"/>
    <w:basedOn w:val="Normal"/>
    <w:link w:val="EYBodytextwithparaspaceChar"/>
    <w:rsid w:val="0095190E"/>
    <w:pPr>
      <w:autoSpaceDE w:val="0"/>
      <w:autoSpaceDN w:val="0"/>
      <w:adjustRightInd w:val="0"/>
      <w:spacing w:before="0" w:after="240"/>
    </w:pPr>
    <w:rPr>
      <w:rFonts w:ascii="EYInterstate Light" w:hAnsi="EYInterstate Light"/>
      <w:color w:val="auto"/>
      <w:sz w:val="20"/>
      <w:szCs w:val="24"/>
    </w:rPr>
  </w:style>
  <w:style w:type="paragraph" w:customStyle="1" w:styleId="EYSource">
    <w:name w:val="EY Source"/>
    <w:basedOn w:val="Normal"/>
    <w:next w:val="EYBodytextwithparaspace"/>
    <w:qFormat/>
    <w:rsid w:val="0098180C"/>
    <w:pPr>
      <w:spacing w:before="60" w:after="60"/>
    </w:pPr>
    <w:rPr>
      <w:rFonts w:ascii="EYInterstate Light" w:hAnsi="EYInterstate Light"/>
      <w:i/>
      <w:color w:val="auto"/>
      <w:sz w:val="16"/>
      <w:szCs w:val="24"/>
    </w:rPr>
  </w:style>
  <w:style w:type="paragraph" w:styleId="Revision">
    <w:name w:val="Revision"/>
    <w:hidden/>
    <w:uiPriority w:val="99"/>
    <w:semiHidden/>
    <w:rsid w:val="00A018EE"/>
    <w:pPr>
      <w:spacing w:after="0" w:line="240" w:lineRule="auto"/>
    </w:pPr>
    <w:rPr>
      <w:rFonts w:ascii="Arial" w:eastAsia="Times New Roman" w:hAnsi="Arial" w:cs="Times New Roman"/>
      <w:color w:val="53565A"/>
      <w:sz w:val="18"/>
      <w:szCs w:val="20"/>
    </w:rPr>
  </w:style>
  <w:style w:type="paragraph" w:customStyle="1" w:styleId="EYBulletedText1">
    <w:name w:val="EY Bulleted Text 1"/>
    <w:basedOn w:val="Normal"/>
    <w:rsid w:val="00687FA8"/>
    <w:pPr>
      <w:numPr>
        <w:numId w:val="37"/>
      </w:numPr>
      <w:spacing w:before="0" w:after="240"/>
    </w:pPr>
    <w:rPr>
      <w:rFonts w:ascii="EYInterstate Light" w:hAnsi="EYInterstate Light"/>
      <w:color w:val="auto"/>
      <w:sz w:val="20"/>
      <w:szCs w:val="24"/>
    </w:rPr>
  </w:style>
  <w:style w:type="paragraph" w:customStyle="1" w:styleId="EYBulletedText2">
    <w:name w:val="EY Bulleted Text 2"/>
    <w:basedOn w:val="Normal"/>
    <w:rsid w:val="00687FA8"/>
    <w:pPr>
      <w:numPr>
        <w:ilvl w:val="1"/>
        <w:numId w:val="37"/>
      </w:numPr>
      <w:suppressAutoHyphens/>
      <w:spacing w:before="0" w:after="240"/>
    </w:pPr>
    <w:rPr>
      <w:rFonts w:ascii="EYInterstate Light" w:hAnsi="EYInterstate Light"/>
      <w:color w:val="auto"/>
      <w:kern w:val="12"/>
      <w:sz w:val="20"/>
      <w:szCs w:val="24"/>
    </w:rPr>
  </w:style>
  <w:style w:type="paragraph" w:customStyle="1" w:styleId="EYBulletedText3">
    <w:name w:val="EY Bulleted Text 3"/>
    <w:basedOn w:val="Normal"/>
    <w:rsid w:val="00687FA8"/>
    <w:pPr>
      <w:numPr>
        <w:ilvl w:val="2"/>
        <w:numId w:val="37"/>
      </w:numPr>
      <w:autoSpaceDE w:val="0"/>
      <w:autoSpaceDN w:val="0"/>
      <w:adjustRightInd w:val="0"/>
      <w:spacing w:before="0" w:after="240"/>
    </w:pPr>
    <w:rPr>
      <w:rFonts w:ascii="EYInterstate Light" w:hAnsi="EYInterstate Light"/>
      <w:color w:val="auto"/>
      <w:sz w:val="20"/>
      <w:szCs w:val="24"/>
    </w:rPr>
  </w:style>
  <w:style w:type="numbering" w:customStyle="1" w:styleId="EYBulletList">
    <w:name w:val="EYBulletList"/>
    <w:uiPriority w:val="99"/>
    <w:rsid w:val="00687FA8"/>
    <w:pPr>
      <w:numPr>
        <w:numId w:val="37"/>
      </w:numPr>
    </w:pPr>
  </w:style>
  <w:style w:type="character" w:customStyle="1" w:styleId="EYBodytextwithparaspaceChar">
    <w:name w:val="EY Body text (with para space) Char"/>
    <w:basedOn w:val="DefaultParagraphFont"/>
    <w:link w:val="EYBodytextwithparaspace"/>
    <w:rsid w:val="00687FA8"/>
    <w:rPr>
      <w:rFonts w:ascii="EYInterstate Light" w:eastAsia="Times New Roman" w:hAnsi="EYInterstate Light" w:cs="Times New Roman"/>
      <w:sz w:val="20"/>
      <w:szCs w:val="24"/>
    </w:rPr>
  </w:style>
  <w:style w:type="paragraph" w:customStyle="1" w:styleId="DraftHeading1">
    <w:name w:val="Draft Heading 1"/>
    <w:basedOn w:val="Normal"/>
    <w:next w:val="Normal"/>
    <w:link w:val="DraftHeading1Char"/>
    <w:rsid w:val="00E2097F"/>
    <w:pPr>
      <w:overflowPunct w:val="0"/>
      <w:autoSpaceDE w:val="0"/>
      <w:autoSpaceDN w:val="0"/>
      <w:adjustRightInd w:val="0"/>
      <w:spacing w:after="0"/>
      <w:textAlignment w:val="baseline"/>
      <w:outlineLvl w:val="2"/>
    </w:pPr>
    <w:rPr>
      <w:rFonts w:ascii="Times New Roman" w:hAnsi="Times New Roman"/>
      <w:b/>
      <w:color w:val="auto"/>
      <w:sz w:val="24"/>
    </w:rPr>
  </w:style>
  <w:style w:type="paragraph" w:customStyle="1" w:styleId="DraftHeading2">
    <w:name w:val="Draft Heading 2"/>
    <w:basedOn w:val="Normal"/>
    <w:next w:val="Normal"/>
    <w:link w:val="DraftHeading2Char"/>
    <w:rsid w:val="00E2097F"/>
    <w:pPr>
      <w:overflowPunct w:val="0"/>
      <w:autoSpaceDE w:val="0"/>
      <w:autoSpaceDN w:val="0"/>
      <w:adjustRightInd w:val="0"/>
      <w:spacing w:after="0"/>
      <w:textAlignment w:val="baseline"/>
    </w:pPr>
    <w:rPr>
      <w:rFonts w:ascii="Times New Roman" w:hAnsi="Times New Roman"/>
      <w:color w:val="auto"/>
      <w:sz w:val="24"/>
    </w:rPr>
  </w:style>
  <w:style w:type="character" w:customStyle="1" w:styleId="DraftHeading1Char">
    <w:name w:val="Draft Heading 1 Char"/>
    <w:basedOn w:val="DefaultParagraphFont"/>
    <w:link w:val="DraftHeading1"/>
    <w:rsid w:val="00E2097F"/>
    <w:rPr>
      <w:rFonts w:ascii="Times New Roman" w:eastAsia="Times New Roman" w:hAnsi="Times New Roman" w:cs="Times New Roman"/>
      <w:b/>
      <w:sz w:val="24"/>
      <w:szCs w:val="20"/>
    </w:rPr>
  </w:style>
  <w:style w:type="character" w:customStyle="1" w:styleId="DraftHeading2Char">
    <w:name w:val="Draft Heading 2 Char"/>
    <w:basedOn w:val="DefaultParagraphFont"/>
    <w:link w:val="DraftHeading2"/>
    <w:rsid w:val="00E2097F"/>
    <w:rPr>
      <w:rFonts w:ascii="Times New Roman" w:eastAsia="Times New Roman" w:hAnsi="Times New Roman" w:cs="Times New Roman"/>
      <w:sz w:val="24"/>
      <w:szCs w:val="20"/>
    </w:rPr>
  </w:style>
  <w:style w:type="paragraph" w:customStyle="1" w:styleId="DraftHeading3">
    <w:name w:val="Draft Heading 3"/>
    <w:basedOn w:val="Normal"/>
    <w:next w:val="Normal"/>
    <w:rsid w:val="0016452C"/>
    <w:pPr>
      <w:overflowPunct w:val="0"/>
      <w:autoSpaceDE w:val="0"/>
      <w:autoSpaceDN w:val="0"/>
      <w:adjustRightInd w:val="0"/>
      <w:spacing w:after="0"/>
      <w:textAlignment w:val="baseline"/>
    </w:pPr>
    <w:rPr>
      <w:rFonts w:ascii="Times New Roman" w:hAnsi="Times New Roman"/>
      <w:color w:val="auto"/>
      <w:sz w:val="24"/>
    </w:rPr>
  </w:style>
  <w:style w:type="paragraph" w:customStyle="1" w:styleId="ScheduleHeadingAuto">
    <w:name w:val="Schedule Heading Auto"/>
    <w:basedOn w:val="Normal"/>
    <w:next w:val="Normal"/>
    <w:rsid w:val="001910FE"/>
    <w:pPr>
      <w:tabs>
        <w:tab w:val="left" w:pos="454"/>
        <w:tab w:val="left" w:pos="907"/>
        <w:tab w:val="left" w:pos="1361"/>
        <w:tab w:val="left" w:pos="1814"/>
        <w:tab w:val="left" w:pos="2722"/>
      </w:tabs>
      <w:overflowPunct w:val="0"/>
      <w:autoSpaceDE w:val="0"/>
      <w:autoSpaceDN w:val="0"/>
      <w:adjustRightInd w:val="0"/>
      <w:spacing w:after="0"/>
      <w:textAlignment w:val="baseline"/>
    </w:pPr>
    <w:rPr>
      <w:rFonts w:ascii="Times New Roman" w:hAnsi="Times New Roman"/>
      <w:color w:val="auto"/>
      <w:sz w:val="20"/>
    </w:rPr>
  </w:style>
  <w:style w:type="character" w:styleId="EndnoteReference">
    <w:name w:val="endnote reference"/>
    <w:basedOn w:val="DefaultParagraphFont"/>
    <w:semiHidden/>
    <w:rsid w:val="00A06D72"/>
    <w:rPr>
      <w:vertAlign w:val="superscript"/>
    </w:rPr>
  </w:style>
  <w:style w:type="paragraph" w:styleId="EndnoteText">
    <w:name w:val="endnote text"/>
    <w:basedOn w:val="Normal"/>
    <w:link w:val="EndnoteTextChar"/>
    <w:uiPriority w:val="99"/>
    <w:semiHidden/>
    <w:unhideWhenUsed/>
    <w:rsid w:val="00EF2170"/>
    <w:pPr>
      <w:spacing w:before="0" w:after="0"/>
    </w:pPr>
    <w:rPr>
      <w:sz w:val="20"/>
    </w:rPr>
  </w:style>
  <w:style w:type="character" w:customStyle="1" w:styleId="EndnoteTextChar">
    <w:name w:val="Endnote Text Char"/>
    <w:basedOn w:val="DefaultParagraphFont"/>
    <w:link w:val="EndnoteText"/>
    <w:uiPriority w:val="99"/>
    <w:semiHidden/>
    <w:rsid w:val="00EF2170"/>
    <w:rPr>
      <w:rFonts w:ascii="Arial" w:eastAsia="Times New Roman" w:hAnsi="Arial" w:cs="Times New Roman"/>
      <w:color w:val="53565A"/>
      <w:sz w:val="20"/>
      <w:szCs w:val="20"/>
    </w:rPr>
  </w:style>
  <w:style w:type="paragraph" w:customStyle="1" w:styleId="dotpoints">
    <w:name w:val="dotpoints"/>
    <w:basedOn w:val="ListBullet"/>
    <w:link w:val="dotpointsChar"/>
    <w:qFormat/>
    <w:rsid w:val="0083776A"/>
  </w:style>
  <w:style w:type="paragraph" w:customStyle="1" w:styleId="dotpoints2">
    <w:name w:val="dotpoints 2"/>
    <w:basedOn w:val="ListBullet2"/>
    <w:link w:val="dotpoints2Char"/>
    <w:qFormat/>
    <w:rsid w:val="0083776A"/>
  </w:style>
  <w:style w:type="character" w:customStyle="1" w:styleId="ListBulletChar">
    <w:name w:val="List Bullet Char"/>
    <w:basedOn w:val="DefaultParagraphFont"/>
    <w:link w:val="ListBullet"/>
    <w:uiPriority w:val="99"/>
    <w:rsid w:val="0083776A"/>
    <w:rPr>
      <w:rFonts w:ascii="Arial" w:eastAsia="Times New Roman" w:hAnsi="Arial" w:cs="Times New Roman"/>
      <w:color w:val="53565A"/>
      <w:sz w:val="18"/>
      <w:szCs w:val="20"/>
    </w:rPr>
  </w:style>
  <w:style w:type="character" w:customStyle="1" w:styleId="dotpointsChar">
    <w:name w:val="dotpoints Char"/>
    <w:basedOn w:val="ListBulletChar"/>
    <w:link w:val="dotpoints"/>
    <w:rsid w:val="0083776A"/>
    <w:rPr>
      <w:rFonts w:ascii="Arial" w:eastAsia="Times New Roman" w:hAnsi="Arial" w:cs="Times New Roman"/>
      <w:color w:val="53565A"/>
      <w:sz w:val="18"/>
      <w:szCs w:val="20"/>
    </w:rPr>
  </w:style>
  <w:style w:type="character" w:customStyle="1" w:styleId="ListBullet2Char">
    <w:name w:val="List Bullet 2 Char"/>
    <w:basedOn w:val="DefaultParagraphFont"/>
    <w:link w:val="ListBullet2"/>
    <w:uiPriority w:val="99"/>
    <w:rsid w:val="0083776A"/>
    <w:rPr>
      <w:rFonts w:ascii="Arial" w:eastAsia="Times New Roman" w:hAnsi="Arial" w:cs="Times New Roman"/>
      <w:color w:val="53565A"/>
      <w:sz w:val="18"/>
      <w:szCs w:val="20"/>
    </w:rPr>
  </w:style>
  <w:style w:type="character" w:customStyle="1" w:styleId="dotpoints2Char">
    <w:name w:val="dotpoints 2 Char"/>
    <w:basedOn w:val="ListBullet2Char"/>
    <w:link w:val="dotpoints2"/>
    <w:rsid w:val="0083776A"/>
    <w:rPr>
      <w:rFonts w:ascii="Arial" w:eastAsia="Times New Roman" w:hAnsi="Arial" w:cs="Times New Roman"/>
      <w:color w:val="53565A"/>
      <w:sz w:val="18"/>
      <w:szCs w:val="20"/>
    </w:rPr>
  </w:style>
  <w:style w:type="character" w:styleId="Mention">
    <w:name w:val="Mention"/>
    <w:basedOn w:val="DefaultParagraphFont"/>
    <w:uiPriority w:val="99"/>
    <w:unhideWhenUsed/>
    <w:rsid w:val="006517D4"/>
    <w:rPr>
      <w:color w:val="2B579A"/>
      <w:shd w:val="clear" w:color="auto" w:fill="E1DFDD"/>
    </w:rPr>
  </w:style>
  <w:style w:type="paragraph" w:styleId="TOC5">
    <w:name w:val="toc 5"/>
    <w:basedOn w:val="Normal"/>
    <w:next w:val="Normal"/>
    <w:autoRedefine/>
    <w:uiPriority w:val="39"/>
    <w:unhideWhenUsed/>
    <w:rsid w:val="00CB0A99"/>
    <w:pPr>
      <w:spacing w:before="0" w:after="100" w:line="259" w:lineRule="auto"/>
      <w:ind w:left="880"/>
    </w:pPr>
    <w:rPr>
      <w:rFonts w:asciiTheme="minorHAnsi" w:eastAsiaTheme="minorEastAsia" w:hAnsiTheme="minorHAnsi" w:cstheme="minorBidi"/>
      <w:color w:val="auto"/>
      <w:sz w:val="22"/>
      <w:szCs w:val="22"/>
      <w:lang w:eastAsia="en-AU"/>
    </w:rPr>
  </w:style>
  <w:style w:type="paragraph" w:styleId="TOC6">
    <w:name w:val="toc 6"/>
    <w:basedOn w:val="Normal"/>
    <w:next w:val="Normal"/>
    <w:autoRedefine/>
    <w:uiPriority w:val="39"/>
    <w:unhideWhenUsed/>
    <w:rsid w:val="00CB0A99"/>
    <w:pPr>
      <w:spacing w:before="0" w:after="100" w:line="259" w:lineRule="auto"/>
      <w:ind w:left="1100"/>
    </w:pPr>
    <w:rPr>
      <w:rFonts w:asciiTheme="minorHAnsi" w:eastAsiaTheme="minorEastAsia" w:hAnsiTheme="minorHAnsi" w:cstheme="minorBidi"/>
      <w:color w:val="auto"/>
      <w:sz w:val="22"/>
      <w:szCs w:val="22"/>
      <w:lang w:eastAsia="en-AU"/>
    </w:rPr>
  </w:style>
  <w:style w:type="paragraph" w:styleId="TOC7">
    <w:name w:val="toc 7"/>
    <w:basedOn w:val="Normal"/>
    <w:next w:val="Normal"/>
    <w:autoRedefine/>
    <w:uiPriority w:val="39"/>
    <w:unhideWhenUsed/>
    <w:rsid w:val="00CB0A99"/>
    <w:pPr>
      <w:spacing w:before="0" w:after="100" w:line="259" w:lineRule="auto"/>
      <w:ind w:left="1320"/>
    </w:pPr>
    <w:rPr>
      <w:rFonts w:asciiTheme="minorHAnsi" w:eastAsiaTheme="minorEastAsia" w:hAnsiTheme="minorHAnsi" w:cstheme="minorBidi"/>
      <w:color w:val="auto"/>
      <w:sz w:val="22"/>
      <w:szCs w:val="22"/>
      <w:lang w:eastAsia="en-AU"/>
    </w:rPr>
  </w:style>
  <w:style w:type="paragraph" w:styleId="TOC8">
    <w:name w:val="toc 8"/>
    <w:basedOn w:val="Normal"/>
    <w:next w:val="Normal"/>
    <w:autoRedefine/>
    <w:uiPriority w:val="39"/>
    <w:unhideWhenUsed/>
    <w:rsid w:val="00CB0A99"/>
    <w:pPr>
      <w:spacing w:before="0" w:after="100" w:line="259" w:lineRule="auto"/>
      <w:ind w:left="1540"/>
    </w:pPr>
    <w:rPr>
      <w:rFonts w:asciiTheme="minorHAnsi" w:eastAsiaTheme="minorEastAsia" w:hAnsiTheme="minorHAnsi" w:cstheme="minorBidi"/>
      <w:color w:val="auto"/>
      <w:sz w:val="22"/>
      <w:szCs w:val="22"/>
      <w:lang w:eastAsia="en-AU"/>
    </w:rPr>
  </w:style>
  <w:style w:type="paragraph" w:styleId="TOC9">
    <w:name w:val="toc 9"/>
    <w:basedOn w:val="Normal"/>
    <w:next w:val="Normal"/>
    <w:autoRedefine/>
    <w:uiPriority w:val="39"/>
    <w:unhideWhenUsed/>
    <w:rsid w:val="00CB0A99"/>
    <w:pPr>
      <w:spacing w:before="0" w:after="100" w:line="259" w:lineRule="auto"/>
      <w:ind w:left="1760"/>
    </w:pPr>
    <w:rPr>
      <w:rFonts w:asciiTheme="minorHAnsi" w:eastAsiaTheme="minorEastAsia" w:hAnsiTheme="minorHAnsi" w:cstheme="minorBidi"/>
      <w:color w:val="auto"/>
      <w:sz w:val="22"/>
      <w:szCs w:val="22"/>
      <w:lang w:eastAsia="en-AU"/>
    </w:rPr>
  </w:style>
  <w:style w:type="character" w:customStyle="1" w:styleId="DHHSbodyChar">
    <w:name w:val="DHHS body Char"/>
    <w:link w:val="DHHSbody"/>
    <w:locked/>
    <w:rsid w:val="00D60D0A"/>
    <w:rPr>
      <w:rFonts w:ascii="Arial" w:eastAsia="Times" w:hAnsi="Arial" w:cs="Arial"/>
    </w:rPr>
  </w:style>
  <w:style w:type="paragraph" w:customStyle="1" w:styleId="DHHSbody">
    <w:name w:val="DHHS body"/>
    <w:link w:val="DHHSbodyChar"/>
    <w:rsid w:val="00D60D0A"/>
    <w:pPr>
      <w:spacing w:after="120" w:line="270" w:lineRule="atLeast"/>
    </w:pPr>
    <w:rPr>
      <w:rFonts w:ascii="Arial" w:eastAsia="Times" w:hAnsi="Arial" w:cs="Arial"/>
    </w:rPr>
  </w:style>
  <w:style w:type="paragraph" w:customStyle="1" w:styleId="EYHeading4">
    <w:name w:val="EY Heading 4"/>
    <w:basedOn w:val="Normal"/>
    <w:next w:val="EYBodytextwithparaspace"/>
    <w:rsid w:val="0058474B"/>
    <w:pPr>
      <w:keepNext/>
      <w:numPr>
        <w:ilvl w:val="3"/>
        <w:numId w:val="44"/>
      </w:numPr>
      <w:tabs>
        <w:tab w:val="clear" w:pos="0"/>
      </w:tabs>
      <w:autoSpaceDE w:val="0"/>
      <w:autoSpaceDN w:val="0"/>
      <w:adjustRightInd w:val="0"/>
      <w:spacing w:before="0" w:after="120"/>
      <w:outlineLvl w:val="3"/>
    </w:pPr>
    <w:rPr>
      <w:rFonts w:ascii="EYInterstate Light" w:hAnsi="EYInterstate Light"/>
      <w:b/>
      <w:color w:val="auto"/>
      <w:sz w:val="22"/>
      <w:szCs w:val="24"/>
    </w:rPr>
  </w:style>
  <w:style w:type="paragraph" w:customStyle="1" w:styleId="EYHeading1">
    <w:name w:val="EY Heading 1"/>
    <w:basedOn w:val="Normal"/>
    <w:next w:val="EYBodytextwithparaspace"/>
    <w:rsid w:val="0058474B"/>
    <w:pPr>
      <w:pageBreakBefore/>
      <w:numPr>
        <w:numId w:val="44"/>
      </w:numPr>
      <w:spacing w:before="0" w:after="360"/>
      <w:outlineLvl w:val="0"/>
    </w:pPr>
    <w:rPr>
      <w:bCs/>
      <w:color w:val="201547"/>
      <w:sz w:val="44"/>
      <w:szCs w:val="44"/>
    </w:rPr>
  </w:style>
  <w:style w:type="paragraph" w:customStyle="1" w:styleId="EYHeading2">
    <w:name w:val="EY Heading 2"/>
    <w:basedOn w:val="Normal"/>
    <w:next w:val="EYBodytextwithparaspace"/>
    <w:rsid w:val="0058474B"/>
    <w:pPr>
      <w:keepNext/>
      <w:numPr>
        <w:ilvl w:val="1"/>
        <w:numId w:val="44"/>
      </w:numPr>
      <w:autoSpaceDE w:val="0"/>
      <w:autoSpaceDN w:val="0"/>
      <w:adjustRightInd w:val="0"/>
      <w:spacing w:after="120"/>
      <w:outlineLvl w:val="1"/>
    </w:pPr>
    <w:rPr>
      <w:rFonts w:cs="Arial"/>
      <w:b/>
      <w:color w:val="201547"/>
      <w:sz w:val="28"/>
      <w:szCs w:val="24"/>
    </w:rPr>
  </w:style>
  <w:style w:type="paragraph" w:customStyle="1" w:styleId="EYHeading3">
    <w:name w:val="EY Heading 3"/>
    <w:basedOn w:val="Heading3"/>
    <w:next w:val="EYBodytextwithparaspace"/>
    <w:rsid w:val="0058474B"/>
    <w:pPr>
      <w:numPr>
        <w:numId w:val="44"/>
      </w:numPr>
      <w:tabs>
        <w:tab w:val="clear" w:pos="2836"/>
      </w:tabs>
      <w:spacing w:before="280" w:after="120" w:line="280" w:lineRule="atLeast"/>
      <w:ind w:left="0" w:firstLine="0"/>
    </w:pPr>
    <w:rPr>
      <w:rFonts w:eastAsia="MS Gothic"/>
      <w:color w:val="auto"/>
      <w:sz w:val="24"/>
      <w:szCs w:val="26"/>
    </w:rPr>
  </w:style>
  <w:style w:type="paragraph" w:customStyle="1" w:styleId="DHHSbullet1">
    <w:name w:val="DHHS bullet 1"/>
    <w:basedOn w:val="Normal"/>
    <w:rsid w:val="0058474B"/>
    <w:pPr>
      <w:numPr>
        <w:numId w:val="45"/>
      </w:numPr>
      <w:spacing w:before="0" w:after="40" w:line="270" w:lineRule="atLeast"/>
    </w:pPr>
    <w:rPr>
      <w:rFonts w:eastAsia="Times"/>
      <w:color w:val="auto"/>
      <w:sz w:val="20"/>
    </w:rPr>
  </w:style>
  <w:style w:type="paragraph" w:customStyle="1" w:styleId="DHHSbullet2">
    <w:name w:val="DHHS bullet 2"/>
    <w:basedOn w:val="Normal"/>
    <w:uiPriority w:val="2"/>
    <w:rsid w:val="0058474B"/>
    <w:pPr>
      <w:numPr>
        <w:ilvl w:val="2"/>
        <w:numId w:val="45"/>
      </w:numPr>
      <w:spacing w:before="0" w:after="40" w:line="270" w:lineRule="atLeast"/>
    </w:pPr>
    <w:rPr>
      <w:rFonts w:eastAsia="Times"/>
      <w:color w:val="auto"/>
      <w:sz w:val="20"/>
    </w:rPr>
  </w:style>
  <w:style w:type="paragraph" w:customStyle="1" w:styleId="DHHStablebullet">
    <w:name w:val="DHHS table bullet"/>
    <w:basedOn w:val="Normal"/>
    <w:uiPriority w:val="3"/>
    <w:rsid w:val="0058474B"/>
    <w:pPr>
      <w:numPr>
        <w:ilvl w:val="6"/>
        <w:numId w:val="45"/>
      </w:numPr>
      <w:spacing w:before="80" w:after="60"/>
    </w:pPr>
    <w:rPr>
      <w:color w:val="auto"/>
      <w:sz w:val="20"/>
    </w:rPr>
  </w:style>
  <w:style w:type="paragraph" w:customStyle="1" w:styleId="DHHSbulletindent">
    <w:name w:val="DHHS bullet indent"/>
    <w:basedOn w:val="Normal"/>
    <w:uiPriority w:val="4"/>
    <w:rsid w:val="0058474B"/>
    <w:pPr>
      <w:numPr>
        <w:ilvl w:val="4"/>
        <w:numId w:val="45"/>
      </w:numPr>
      <w:spacing w:before="0" w:after="40" w:line="270" w:lineRule="atLeast"/>
    </w:pPr>
    <w:rPr>
      <w:rFonts w:eastAsia="Times"/>
      <w:color w:val="auto"/>
      <w:sz w:val="20"/>
    </w:rPr>
  </w:style>
  <w:style w:type="paragraph" w:customStyle="1" w:styleId="DHHSbullet1lastline">
    <w:name w:val="DHHS bullet 1 last line"/>
    <w:basedOn w:val="DHHSbullet1"/>
    <w:rsid w:val="0058474B"/>
    <w:pPr>
      <w:numPr>
        <w:ilvl w:val="1"/>
      </w:numPr>
      <w:spacing w:after="120"/>
    </w:pPr>
  </w:style>
  <w:style w:type="paragraph" w:customStyle="1" w:styleId="DHHSbullet2lastline">
    <w:name w:val="DHHS bullet 2 last line"/>
    <w:basedOn w:val="DHHSbullet2"/>
    <w:uiPriority w:val="2"/>
    <w:rsid w:val="0058474B"/>
    <w:pPr>
      <w:numPr>
        <w:ilvl w:val="3"/>
      </w:numPr>
      <w:spacing w:after="120"/>
    </w:pPr>
  </w:style>
  <w:style w:type="paragraph" w:customStyle="1" w:styleId="DHHSbulletindentlastline">
    <w:name w:val="DHHS bullet indent last line"/>
    <w:basedOn w:val="Normal"/>
    <w:uiPriority w:val="4"/>
    <w:rsid w:val="0058474B"/>
    <w:pPr>
      <w:numPr>
        <w:ilvl w:val="5"/>
        <w:numId w:val="45"/>
      </w:numPr>
      <w:spacing w:before="0" w:after="120" w:line="270" w:lineRule="atLeast"/>
    </w:pPr>
    <w:rPr>
      <w:rFonts w:eastAsia="Times"/>
      <w:color w:val="auto"/>
      <w:sz w:val="20"/>
    </w:rPr>
  </w:style>
  <w:style w:type="numbering" w:customStyle="1" w:styleId="ZZBullets">
    <w:name w:val="ZZ Bullets"/>
    <w:rsid w:val="0058474B"/>
    <w:pPr>
      <w:numPr>
        <w:numId w:val="45"/>
      </w:numPr>
    </w:pPr>
  </w:style>
  <w:style w:type="table" w:customStyle="1" w:styleId="TableGrid1">
    <w:name w:val="Table Grid1"/>
    <w:basedOn w:val="TableNormal"/>
    <w:next w:val="TableGrid"/>
    <w:uiPriority w:val="39"/>
    <w:rsid w:val="00E10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441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next w:val="GridTable4-Accent1"/>
    <w:uiPriority w:val="49"/>
    <w:rsid w:val="00FC16CE"/>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9"/>
    <w:rsid w:val="00FC16CE"/>
    <w:pPr>
      <w:spacing w:after="0" w:line="240" w:lineRule="auto"/>
    </w:pPr>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color w:val="FFFFFF" w:themeColor="background1"/>
      </w:rPr>
      <w:tblPr/>
      <w:tcPr>
        <w:tcBorders>
          <w:top w:val="single" w:sz="4" w:space="0" w:color="0072CE" w:themeColor="accent1"/>
          <w:left w:val="single" w:sz="4" w:space="0" w:color="0072CE" w:themeColor="accent1"/>
          <w:bottom w:val="single" w:sz="4" w:space="0" w:color="0072CE" w:themeColor="accent1"/>
          <w:right w:val="single" w:sz="4" w:space="0" w:color="0072CE" w:themeColor="accent1"/>
          <w:insideH w:val="nil"/>
          <w:insideV w:val="nil"/>
        </w:tcBorders>
        <w:shd w:val="clear" w:color="auto" w:fill="0072CE" w:themeFill="accent1"/>
      </w:tcPr>
    </w:tblStylePr>
    <w:tblStylePr w:type="lastRow">
      <w:rPr>
        <w:b/>
        <w:bCs/>
      </w:rPr>
      <w:tblPr/>
      <w:tcPr>
        <w:tcBorders>
          <w:top w:val="double" w:sz="4" w:space="0" w:color="0072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paragraph" w:customStyle="1" w:styleId="DraftHeading4">
    <w:name w:val="Draft Heading 4"/>
    <w:basedOn w:val="Normal"/>
    <w:next w:val="Normal"/>
    <w:rsid w:val="00582071"/>
    <w:pPr>
      <w:overflowPunct w:val="0"/>
      <w:autoSpaceDE w:val="0"/>
      <w:autoSpaceDN w:val="0"/>
      <w:adjustRightInd w:val="0"/>
      <w:spacing w:after="0"/>
      <w:textAlignment w:val="baseline"/>
    </w:pPr>
    <w:rPr>
      <w:rFonts w:ascii="Times New Roman" w:hAnsi="Times New Roman"/>
      <w:color w:val="auto"/>
      <w:sz w:val="24"/>
    </w:rPr>
  </w:style>
  <w:style w:type="character" w:styleId="Emphasis">
    <w:name w:val="Emphasis"/>
    <w:basedOn w:val="DefaultParagraphFont"/>
    <w:uiPriority w:val="20"/>
    <w:qFormat/>
    <w:rsid w:val="00551E08"/>
    <w:rPr>
      <w:i/>
      <w:iCs/>
    </w:rPr>
  </w:style>
  <w:style w:type="character" w:customStyle="1" w:styleId="UnresolvedMention1">
    <w:name w:val="Unresolved Mention1"/>
    <w:basedOn w:val="DefaultParagraphFont"/>
    <w:uiPriority w:val="99"/>
    <w:rsid w:val="002742ED"/>
    <w:rPr>
      <w:color w:val="605E5C"/>
      <w:shd w:val="clear" w:color="auto" w:fill="E1DFDD"/>
    </w:rPr>
  </w:style>
  <w:style w:type="character" w:customStyle="1" w:styleId="rpl-text-label">
    <w:name w:val="rpl-text-label"/>
    <w:basedOn w:val="DefaultParagraphFont"/>
    <w:rsid w:val="00B65E80"/>
  </w:style>
  <w:style w:type="table" w:styleId="GridTable1Light-Accent1">
    <w:name w:val="Grid Table 1 Light Accent 1"/>
    <w:basedOn w:val="TableNormal"/>
    <w:uiPriority w:val="46"/>
    <w:rsid w:val="00C636DE"/>
    <w:pPr>
      <w:spacing w:after="0" w:line="240" w:lineRule="auto"/>
    </w:pPr>
    <w:tblPr>
      <w:tblStyleRowBandSize w:val="1"/>
      <w:tblStyleColBandSize w:val="1"/>
      <w:tblBorders>
        <w:top w:val="single" w:sz="4" w:space="0" w:color="85C8FF" w:themeColor="accent1" w:themeTint="66"/>
        <w:left w:val="single" w:sz="4" w:space="0" w:color="85C8FF" w:themeColor="accent1" w:themeTint="66"/>
        <w:bottom w:val="single" w:sz="4" w:space="0" w:color="85C8FF" w:themeColor="accent1" w:themeTint="66"/>
        <w:right w:val="single" w:sz="4" w:space="0" w:color="85C8FF" w:themeColor="accent1" w:themeTint="66"/>
        <w:insideH w:val="single" w:sz="4" w:space="0" w:color="85C8FF" w:themeColor="accent1" w:themeTint="66"/>
        <w:insideV w:val="single" w:sz="4" w:space="0" w:color="85C8FF" w:themeColor="accent1" w:themeTint="66"/>
      </w:tblBorders>
    </w:tblPr>
    <w:tcPr>
      <w:shd w:val="clear" w:color="auto" w:fill="auto"/>
    </w:tcPr>
    <w:tblStylePr w:type="firstRow">
      <w:rPr>
        <w:b/>
        <w:bCs/>
      </w:rPr>
      <w:tblPr/>
      <w:tcPr>
        <w:tcBorders>
          <w:bottom w:val="single" w:sz="12" w:space="0" w:color="48ADFF" w:themeColor="accent1" w:themeTint="99"/>
        </w:tcBorders>
      </w:tcPr>
    </w:tblStylePr>
    <w:tblStylePr w:type="lastRow">
      <w:rPr>
        <w:b/>
        <w:bCs/>
      </w:rPr>
      <w:tblPr/>
      <w:tcPr>
        <w:tcBorders>
          <w:top w:val="double" w:sz="2" w:space="0" w:color="48ADFF"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0276">
      <w:bodyDiv w:val="1"/>
      <w:marLeft w:val="0"/>
      <w:marRight w:val="0"/>
      <w:marTop w:val="0"/>
      <w:marBottom w:val="0"/>
      <w:divBdr>
        <w:top w:val="none" w:sz="0" w:space="0" w:color="auto"/>
        <w:left w:val="none" w:sz="0" w:space="0" w:color="auto"/>
        <w:bottom w:val="none" w:sz="0" w:space="0" w:color="auto"/>
        <w:right w:val="none" w:sz="0" w:space="0" w:color="auto"/>
      </w:divBdr>
    </w:div>
    <w:div w:id="9963586">
      <w:bodyDiv w:val="1"/>
      <w:marLeft w:val="0"/>
      <w:marRight w:val="0"/>
      <w:marTop w:val="0"/>
      <w:marBottom w:val="0"/>
      <w:divBdr>
        <w:top w:val="none" w:sz="0" w:space="0" w:color="auto"/>
        <w:left w:val="none" w:sz="0" w:space="0" w:color="auto"/>
        <w:bottom w:val="none" w:sz="0" w:space="0" w:color="auto"/>
        <w:right w:val="none" w:sz="0" w:space="0" w:color="auto"/>
      </w:divBdr>
    </w:div>
    <w:div w:id="40059686">
      <w:bodyDiv w:val="1"/>
      <w:marLeft w:val="0"/>
      <w:marRight w:val="0"/>
      <w:marTop w:val="0"/>
      <w:marBottom w:val="0"/>
      <w:divBdr>
        <w:top w:val="none" w:sz="0" w:space="0" w:color="auto"/>
        <w:left w:val="none" w:sz="0" w:space="0" w:color="auto"/>
        <w:bottom w:val="none" w:sz="0" w:space="0" w:color="auto"/>
        <w:right w:val="none" w:sz="0" w:space="0" w:color="auto"/>
      </w:divBdr>
      <w:divsChild>
        <w:div w:id="213391985">
          <w:marLeft w:val="547"/>
          <w:marRight w:val="0"/>
          <w:marTop w:val="0"/>
          <w:marBottom w:val="0"/>
          <w:divBdr>
            <w:top w:val="none" w:sz="0" w:space="0" w:color="auto"/>
            <w:left w:val="none" w:sz="0" w:space="0" w:color="auto"/>
            <w:bottom w:val="none" w:sz="0" w:space="0" w:color="auto"/>
            <w:right w:val="none" w:sz="0" w:space="0" w:color="auto"/>
          </w:divBdr>
        </w:div>
        <w:div w:id="919749503">
          <w:marLeft w:val="547"/>
          <w:marRight w:val="0"/>
          <w:marTop w:val="0"/>
          <w:marBottom w:val="0"/>
          <w:divBdr>
            <w:top w:val="none" w:sz="0" w:space="0" w:color="auto"/>
            <w:left w:val="none" w:sz="0" w:space="0" w:color="auto"/>
            <w:bottom w:val="none" w:sz="0" w:space="0" w:color="auto"/>
            <w:right w:val="none" w:sz="0" w:space="0" w:color="auto"/>
          </w:divBdr>
        </w:div>
        <w:div w:id="2089233344">
          <w:marLeft w:val="547"/>
          <w:marRight w:val="0"/>
          <w:marTop w:val="0"/>
          <w:marBottom w:val="0"/>
          <w:divBdr>
            <w:top w:val="none" w:sz="0" w:space="0" w:color="auto"/>
            <w:left w:val="none" w:sz="0" w:space="0" w:color="auto"/>
            <w:bottom w:val="none" w:sz="0" w:space="0" w:color="auto"/>
            <w:right w:val="none" w:sz="0" w:space="0" w:color="auto"/>
          </w:divBdr>
        </w:div>
      </w:divsChild>
    </w:div>
    <w:div w:id="49767571">
      <w:bodyDiv w:val="1"/>
      <w:marLeft w:val="0"/>
      <w:marRight w:val="0"/>
      <w:marTop w:val="0"/>
      <w:marBottom w:val="0"/>
      <w:divBdr>
        <w:top w:val="none" w:sz="0" w:space="0" w:color="auto"/>
        <w:left w:val="none" w:sz="0" w:space="0" w:color="auto"/>
        <w:bottom w:val="none" w:sz="0" w:space="0" w:color="auto"/>
        <w:right w:val="none" w:sz="0" w:space="0" w:color="auto"/>
      </w:divBdr>
      <w:divsChild>
        <w:div w:id="247467639">
          <w:marLeft w:val="547"/>
          <w:marRight w:val="0"/>
          <w:marTop w:val="0"/>
          <w:marBottom w:val="0"/>
          <w:divBdr>
            <w:top w:val="none" w:sz="0" w:space="0" w:color="auto"/>
            <w:left w:val="none" w:sz="0" w:space="0" w:color="auto"/>
            <w:bottom w:val="none" w:sz="0" w:space="0" w:color="auto"/>
            <w:right w:val="none" w:sz="0" w:space="0" w:color="auto"/>
          </w:divBdr>
        </w:div>
        <w:div w:id="494957409">
          <w:marLeft w:val="547"/>
          <w:marRight w:val="0"/>
          <w:marTop w:val="0"/>
          <w:marBottom w:val="0"/>
          <w:divBdr>
            <w:top w:val="none" w:sz="0" w:space="0" w:color="auto"/>
            <w:left w:val="none" w:sz="0" w:space="0" w:color="auto"/>
            <w:bottom w:val="none" w:sz="0" w:space="0" w:color="auto"/>
            <w:right w:val="none" w:sz="0" w:space="0" w:color="auto"/>
          </w:divBdr>
        </w:div>
      </w:divsChild>
    </w:div>
    <w:div w:id="52657175">
      <w:bodyDiv w:val="1"/>
      <w:marLeft w:val="0"/>
      <w:marRight w:val="0"/>
      <w:marTop w:val="0"/>
      <w:marBottom w:val="0"/>
      <w:divBdr>
        <w:top w:val="none" w:sz="0" w:space="0" w:color="auto"/>
        <w:left w:val="none" w:sz="0" w:space="0" w:color="auto"/>
        <w:bottom w:val="none" w:sz="0" w:space="0" w:color="auto"/>
        <w:right w:val="none" w:sz="0" w:space="0" w:color="auto"/>
      </w:divBdr>
    </w:div>
    <w:div w:id="91627234">
      <w:bodyDiv w:val="1"/>
      <w:marLeft w:val="0"/>
      <w:marRight w:val="0"/>
      <w:marTop w:val="0"/>
      <w:marBottom w:val="0"/>
      <w:divBdr>
        <w:top w:val="none" w:sz="0" w:space="0" w:color="auto"/>
        <w:left w:val="none" w:sz="0" w:space="0" w:color="auto"/>
        <w:bottom w:val="none" w:sz="0" w:space="0" w:color="auto"/>
        <w:right w:val="none" w:sz="0" w:space="0" w:color="auto"/>
      </w:divBdr>
      <w:divsChild>
        <w:div w:id="13844809">
          <w:marLeft w:val="274"/>
          <w:marRight w:val="0"/>
          <w:marTop w:val="0"/>
          <w:marBottom w:val="0"/>
          <w:divBdr>
            <w:top w:val="none" w:sz="0" w:space="0" w:color="auto"/>
            <w:left w:val="none" w:sz="0" w:space="0" w:color="auto"/>
            <w:bottom w:val="none" w:sz="0" w:space="0" w:color="auto"/>
            <w:right w:val="none" w:sz="0" w:space="0" w:color="auto"/>
          </w:divBdr>
        </w:div>
        <w:div w:id="1345471456">
          <w:marLeft w:val="274"/>
          <w:marRight w:val="0"/>
          <w:marTop w:val="0"/>
          <w:marBottom w:val="0"/>
          <w:divBdr>
            <w:top w:val="none" w:sz="0" w:space="0" w:color="auto"/>
            <w:left w:val="none" w:sz="0" w:space="0" w:color="auto"/>
            <w:bottom w:val="none" w:sz="0" w:space="0" w:color="auto"/>
            <w:right w:val="none" w:sz="0" w:space="0" w:color="auto"/>
          </w:divBdr>
        </w:div>
      </w:divsChild>
    </w:div>
    <w:div w:id="92602834">
      <w:bodyDiv w:val="1"/>
      <w:marLeft w:val="0"/>
      <w:marRight w:val="0"/>
      <w:marTop w:val="0"/>
      <w:marBottom w:val="0"/>
      <w:divBdr>
        <w:top w:val="none" w:sz="0" w:space="0" w:color="auto"/>
        <w:left w:val="none" w:sz="0" w:space="0" w:color="auto"/>
        <w:bottom w:val="none" w:sz="0" w:space="0" w:color="auto"/>
        <w:right w:val="none" w:sz="0" w:space="0" w:color="auto"/>
      </w:divBdr>
    </w:div>
    <w:div w:id="154418085">
      <w:bodyDiv w:val="1"/>
      <w:marLeft w:val="0"/>
      <w:marRight w:val="0"/>
      <w:marTop w:val="0"/>
      <w:marBottom w:val="0"/>
      <w:divBdr>
        <w:top w:val="none" w:sz="0" w:space="0" w:color="auto"/>
        <w:left w:val="none" w:sz="0" w:space="0" w:color="auto"/>
        <w:bottom w:val="none" w:sz="0" w:space="0" w:color="auto"/>
        <w:right w:val="none" w:sz="0" w:space="0" w:color="auto"/>
      </w:divBdr>
    </w:div>
    <w:div w:id="193617600">
      <w:bodyDiv w:val="1"/>
      <w:marLeft w:val="0"/>
      <w:marRight w:val="0"/>
      <w:marTop w:val="0"/>
      <w:marBottom w:val="0"/>
      <w:divBdr>
        <w:top w:val="none" w:sz="0" w:space="0" w:color="auto"/>
        <w:left w:val="none" w:sz="0" w:space="0" w:color="auto"/>
        <w:bottom w:val="none" w:sz="0" w:space="0" w:color="auto"/>
        <w:right w:val="none" w:sz="0" w:space="0" w:color="auto"/>
      </w:divBdr>
    </w:div>
    <w:div w:id="224339977">
      <w:bodyDiv w:val="1"/>
      <w:marLeft w:val="0"/>
      <w:marRight w:val="0"/>
      <w:marTop w:val="0"/>
      <w:marBottom w:val="0"/>
      <w:divBdr>
        <w:top w:val="none" w:sz="0" w:space="0" w:color="auto"/>
        <w:left w:val="none" w:sz="0" w:space="0" w:color="auto"/>
        <w:bottom w:val="none" w:sz="0" w:space="0" w:color="auto"/>
        <w:right w:val="none" w:sz="0" w:space="0" w:color="auto"/>
      </w:divBdr>
    </w:div>
    <w:div w:id="230383425">
      <w:bodyDiv w:val="1"/>
      <w:marLeft w:val="0"/>
      <w:marRight w:val="0"/>
      <w:marTop w:val="0"/>
      <w:marBottom w:val="0"/>
      <w:divBdr>
        <w:top w:val="none" w:sz="0" w:space="0" w:color="auto"/>
        <w:left w:val="none" w:sz="0" w:space="0" w:color="auto"/>
        <w:bottom w:val="none" w:sz="0" w:space="0" w:color="auto"/>
        <w:right w:val="none" w:sz="0" w:space="0" w:color="auto"/>
      </w:divBdr>
      <w:divsChild>
        <w:div w:id="61761758">
          <w:marLeft w:val="547"/>
          <w:marRight w:val="0"/>
          <w:marTop w:val="0"/>
          <w:marBottom w:val="0"/>
          <w:divBdr>
            <w:top w:val="none" w:sz="0" w:space="0" w:color="auto"/>
            <w:left w:val="none" w:sz="0" w:space="0" w:color="auto"/>
            <w:bottom w:val="none" w:sz="0" w:space="0" w:color="auto"/>
            <w:right w:val="none" w:sz="0" w:space="0" w:color="auto"/>
          </w:divBdr>
        </w:div>
        <w:div w:id="174534827">
          <w:marLeft w:val="1267"/>
          <w:marRight w:val="0"/>
          <w:marTop w:val="0"/>
          <w:marBottom w:val="0"/>
          <w:divBdr>
            <w:top w:val="none" w:sz="0" w:space="0" w:color="auto"/>
            <w:left w:val="none" w:sz="0" w:space="0" w:color="auto"/>
            <w:bottom w:val="none" w:sz="0" w:space="0" w:color="auto"/>
            <w:right w:val="none" w:sz="0" w:space="0" w:color="auto"/>
          </w:divBdr>
        </w:div>
        <w:div w:id="868834858">
          <w:marLeft w:val="1267"/>
          <w:marRight w:val="0"/>
          <w:marTop w:val="0"/>
          <w:marBottom w:val="0"/>
          <w:divBdr>
            <w:top w:val="none" w:sz="0" w:space="0" w:color="auto"/>
            <w:left w:val="none" w:sz="0" w:space="0" w:color="auto"/>
            <w:bottom w:val="none" w:sz="0" w:space="0" w:color="auto"/>
            <w:right w:val="none" w:sz="0" w:space="0" w:color="auto"/>
          </w:divBdr>
        </w:div>
        <w:div w:id="1094858793">
          <w:marLeft w:val="1267"/>
          <w:marRight w:val="0"/>
          <w:marTop w:val="0"/>
          <w:marBottom w:val="0"/>
          <w:divBdr>
            <w:top w:val="none" w:sz="0" w:space="0" w:color="auto"/>
            <w:left w:val="none" w:sz="0" w:space="0" w:color="auto"/>
            <w:bottom w:val="none" w:sz="0" w:space="0" w:color="auto"/>
            <w:right w:val="none" w:sz="0" w:space="0" w:color="auto"/>
          </w:divBdr>
        </w:div>
        <w:div w:id="1655908854">
          <w:marLeft w:val="547"/>
          <w:marRight w:val="0"/>
          <w:marTop w:val="0"/>
          <w:marBottom w:val="0"/>
          <w:divBdr>
            <w:top w:val="none" w:sz="0" w:space="0" w:color="auto"/>
            <w:left w:val="none" w:sz="0" w:space="0" w:color="auto"/>
            <w:bottom w:val="none" w:sz="0" w:space="0" w:color="auto"/>
            <w:right w:val="none" w:sz="0" w:space="0" w:color="auto"/>
          </w:divBdr>
        </w:div>
        <w:div w:id="1737438333">
          <w:marLeft w:val="1267"/>
          <w:marRight w:val="0"/>
          <w:marTop w:val="0"/>
          <w:marBottom w:val="0"/>
          <w:divBdr>
            <w:top w:val="none" w:sz="0" w:space="0" w:color="auto"/>
            <w:left w:val="none" w:sz="0" w:space="0" w:color="auto"/>
            <w:bottom w:val="none" w:sz="0" w:space="0" w:color="auto"/>
            <w:right w:val="none" w:sz="0" w:space="0" w:color="auto"/>
          </w:divBdr>
        </w:div>
        <w:div w:id="1972124762">
          <w:marLeft w:val="1267"/>
          <w:marRight w:val="0"/>
          <w:marTop w:val="0"/>
          <w:marBottom w:val="0"/>
          <w:divBdr>
            <w:top w:val="none" w:sz="0" w:space="0" w:color="auto"/>
            <w:left w:val="none" w:sz="0" w:space="0" w:color="auto"/>
            <w:bottom w:val="none" w:sz="0" w:space="0" w:color="auto"/>
            <w:right w:val="none" w:sz="0" w:space="0" w:color="auto"/>
          </w:divBdr>
        </w:div>
        <w:div w:id="1994992677">
          <w:marLeft w:val="1267"/>
          <w:marRight w:val="0"/>
          <w:marTop w:val="0"/>
          <w:marBottom w:val="0"/>
          <w:divBdr>
            <w:top w:val="none" w:sz="0" w:space="0" w:color="auto"/>
            <w:left w:val="none" w:sz="0" w:space="0" w:color="auto"/>
            <w:bottom w:val="none" w:sz="0" w:space="0" w:color="auto"/>
            <w:right w:val="none" w:sz="0" w:space="0" w:color="auto"/>
          </w:divBdr>
        </w:div>
      </w:divsChild>
    </w:div>
    <w:div w:id="233977608">
      <w:bodyDiv w:val="1"/>
      <w:marLeft w:val="0"/>
      <w:marRight w:val="0"/>
      <w:marTop w:val="0"/>
      <w:marBottom w:val="0"/>
      <w:divBdr>
        <w:top w:val="none" w:sz="0" w:space="0" w:color="auto"/>
        <w:left w:val="none" w:sz="0" w:space="0" w:color="auto"/>
        <w:bottom w:val="none" w:sz="0" w:space="0" w:color="auto"/>
        <w:right w:val="none" w:sz="0" w:space="0" w:color="auto"/>
      </w:divBdr>
    </w:div>
    <w:div w:id="303895036">
      <w:bodyDiv w:val="1"/>
      <w:marLeft w:val="0"/>
      <w:marRight w:val="0"/>
      <w:marTop w:val="0"/>
      <w:marBottom w:val="0"/>
      <w:divBdr>
        <w:top w:val="none" w:sz="0" w:space="0" w:color="auto"/>
        <w:left w:val="none" w:sz="0" w:space="0" w:color="auto"/>
        <w:bottom w:val="none" w:sz="0" w:space="0" w:color="auto"/>
        <w:right w:val="none" w:sz="0" w:space="0" w:color="auto"/>
      </w:divBdr>
    </w:div>
    <w:div w:id="340158873">
      <w:bodyDiv w:val="1"/>
      <w:marLeft w:val="0"/>
      <w:marRight w:val="0"/>
      <w:marTop w:val="0"/>
      <w:marBottom w:val="0"/>
      <w:divBdr>
        <w:top w:val="none" w:sz="0" w:space="0" w:color="auto"/>
        <w:left w:val="none" w:sz="0" w:space="0" w:color="auto"/>
        <w:bottom w:val="none" w:sz="0" w:space="0" w:color="auto"/>
        <w:right w:val="none" w:sz="0" w:space="0" w:color="auto"/>
      </w:divBdr>
    </w:div>
    <w:div w:id="373772703">
      <w:bodyDiv w:val="1"/>
      <w:marLeft w:val="0"/>
      <w:marRight w:val="0"/>
      <w:marTop w:val="0"/>
      <w:marBottom w:val="0"/>
      <w:divBdr>
        <w:top w:val="none" w:sz="0" w:space="0" w:color="auto"/>
        <w:left w:val="none" w:sz="0" w:space="0" w:color="auto"/>
        <w:bottom w:val="none" w:sz="0" w:space="0" w:color="auto"/>
        <w:right w:val="none" w:sz="0" w:space="0" w:color="auto"/>
      </w:divBdr>
      <w:divsChild>
        <w:div w:id="143472812">
          <w:marLeft w:val="994"/>
          <w:marRight w:val="0"/>
          <w:marTop w:val="100"/>
          <w:marBottom w:val="0"/>
          <w:divBdr>
            <w:top w:val="none" w:sz="0" w:space="0" w:color="auto"/>
            <w:left w:val="none" w:sz="0" w:space="0" w:color="auto"/>
            <w:bottom w:val="none" w:sz="0" w:space="0" w:color="auto"/>
            <w:right w:val="none" w:sz="0" w:space="0" w:color="auto"/>
          </w:divBdr>
        </w:div>
        <w:div w:id="237594281">
          <w:marLeft w:val="994"/>
          <w:marRight w:val="0"/>
          <w:marTop w:val="100"/>
          <w:marBottom w:val="0"/>
          <w:divBdr>
            <w:top w:val="none" w:sz="0" w:space="0" w:color="auto"/>
            <w:left w:val="none" w:sz="0" w:space="0" w:color="auto"/>
            <w:bottom w:val="none" w:sz="0" w:space="0" w:color="auto"/>
            <w:right w:val="none" w:sz="0" w:space="0" w:color="auto"/>
          </w:divBdr>
        </w:div>
      </w:divsChild>
    </w:div>
    <w:div w:id="410128787">
      <w:bodyDiv w:val="1"/>
      <w:marLeft w:val="0"/>
      <w:marRight w:val="0"/>
      <w:marTop w:val="0"/>
      <w:marBottom w:val="0"/>
      <w:divBdr>
        <w:top w:val="none" w:sz="0" w:space="0" w:color="auto"/>
        <w:left w:val="none" w:sz="0" w:space="0" w:color="auto"/>
        <w:bottom w:val="none" w:sz="0" w:space="0" w:color="auto"/>
        <w:right w:val="none" w:sz="0" w:space="0" w:color="auto"/>
      </w:divBdr>
    </w:div>
    <w:div w:id="417285548">
      <w:bodyDiv w:val="1"/>
      <w:marLeft w:val="0"/>
      <w:marRight w:val="0"/>
      <w:marTop w:val="0"/>
      <w:marBottom w:val="0"/>
      <w:divBdr>
        <w:top w:val="none" w:sz="0" w:space="0" w:color="auto"/>
        <w:left w:val="none" w:sz="0" w:space="0" w:color="auto"/>
        <w:bottom w:val="none" w:sz="0" w:space="0" w:color="auto"/>
        <w:right w:val="none" w:sz="0" w:space="0" w:color="auto"/>
      </w:divBdr>
    </w:div>
    <w:div w:id="422187127">
      <w:bodyDiv w:val="1"/>
      <w:marLeft w:val="0"/>
      <w:marRight w:val="0"/>
      <w:marTop w:val="0"/>
      <w:marBottom w:val="0"/>
      <w:divBdr>
        <w:top w:val="none" w:sz="0" w:space="0" w:color="auto"/>
        <w:left w:val="none" w:sz="0" w:space="0" w:color="auto"/>
        <w:bottom w:val="none" w:sz="0" w:space="0" w:color="auto"/>
        <w:right w:val="none" w:sz="0" w:space="0" w:color="auto"/>
      </w:divBdr>
      <w:divsChild>
        <w:div w:id="1002198553">
          <w:marLeft w:val="1166"/>
          <w:marRight w:val="0"/>
          <w:marTop w:val="0"/>
          <w:marBottom w:val="0"/>
          <w:divBdr>
            <w:top w:val="none" w:sz="0" w:space="0" w:color="auto"/>
            <w:left w:val="none" w:sz="0" w:space="0" w:color="auto"/>
            <w:bottom w:val="none" w:sz="0" w:space="0" w:color="auto"/>
            <w:right w:val="none" w:sz="0" w:space="0" w:color="auto"/>
          </w:divBdr>
        </w:div>
        <w:div w:id="1551267517">
          <w:marLeft w:val="547"/>
          <w:marRight w:val="0"/>
          <w:marTop w:val="0"/>
          <w:marBottom w:val="0"/>
          <w:divBdr>
            <w:top w:val="none" w:sz="0" w:space="0" w:color="auto"/>
            <w:left w:val="none" w:sz="0" w:space="0" w:color="auto"/>
            <w:bottom w:val="none" w:sz="0" w:space="0" w:color="auto"/>
            <w:right w:val="none" w:sz="0" w:space="0" w:color="auto"/>
          </w:divBdr>
        </w:div>
      </w:divsChild>
    </w:div>
    <w:div w:id="515580020">
      <w:bodyDiv w:val="1"/>
      <w:marLeft w:val="0"/>
      <w:marRight w:val="0"/>
      <w:marTop w:val="0"/>
      <w:marBottom w:val="0"/>
      <w:divBdr>
        <w:top w:val="none" w:sz="0" w:space="0" w:color="auto"/>
        <w:left w:val="none" w:sz="0" w:space="0" w:color="auto"/>
        <w:bottom w:val="none" w:sz="0" w:space="0" w:color="auto"/>
        <w:right w:val="none" w:sz="0" w:space="0" w:color="auto"/>
      </w:divBdr>
    </w:div>
    <w:div w:id="519858325">
      <w:bodyDiv w:val="1"/>
      <w:marLeft w:val="0"/>
      <w:marRight w:val="0"/>
      <w:marTop w:val="0"/>
      <w:marBottom w:val="0"/>
      <w:divBdr>
        <w:top w:val="none" w:sz="0" w:space="0" w:color="auto"/>
        <w:left w:val="none" w:sz="0" w:space="0" w:color="auto"/>
        <w:bottom w:val="none" w:sz="0" w:space="0" w:color="auto"/>
        <w:right w:val="none" w:sz="0" w:space="0" w:color="auto"/>
      </w:divBdr>
      <w:divsChild>
        <w:div w:id="465971424">
          <w:marLeft w:val="1166"/>
          <w:marRight w:val="0"/>
          <w:marTop w:val="0"/>
          <w:marBottom w:val="0"/>
          <w:divBdr>
            <w:top w:val="none" w:sz="0" w:space="0" w:color="auto"/>
            <w:left w:val="none" w:sz="0" w:space="0" w:color="auto"/>
            <w:bottom w:val="none" w:sz="0" w:space="0" w:color="auto"/>
            <w:right w:val="none" w:sz="0" w:space="0" w:color="auto"/>
          </w:divBdr>
        </w:div>
        <w:div w:id="1612516607">
          <w:marLeft w:val="1166"/>
          <w:marRight w:val="0"/>
          <w:marTop w:val="0"/>
          <w:marBottom w:val="0"/>
          <w:divBdr>
            <w:top w:val="none" w:sz="0" w:space="0" w:color="auto"/>
            <w:left w:val="none" w:sz="0" w:space="0" w:color="auto"/>
            <w:bottom w:val="none" w:sz="0" w:space="0" w:color="auto"/>
            <w:right w:val="none" w:sz="0" w:space="0" w:color="auto"/>
          </w:divBdr>
        </w:div>
        <w:div w:id="1703050670">
          <w:marLeft w:val="547"/>
          <w:marRight w:val="0"/>
          <w:marTop w:val="0"/>
          <w:marBottom w:val="0"/>
          <w:divBdr>
            <w:top w:val="none" w:sz="0" w:space="0" w:color="auto"/>
            <w:left w:val="none" w:sz="0" w:space="0" w:color="auto"/>
            <w:bottom w:val="none" w:sz="0" w:space="0" w:color="auto"/>
            <w:right w:val="none" w:sz="0" w:space="0" w:color="auto"/>
          </w:divBdr>
        </w:div>
        <w:div w:id="2132018338">
          <w:marLeft w:val="1166"/>
          <w:marRight w:val="0"/>
          <w:marTop w:val="0"/>
          <w:marBottom w:val="0"/>
          <w:divBdr>
            <w:top w:val="none" w:sz="0" w:space="0" w:color="auto"/>
            <w:left w:val="none" w:sz="0" w:space="0" w:color="auto"/>
            <w:bottom w:val="none" w:sz="0" w:space="0" w:color="auto"/>
            <w:right w:val="none" w:sz="0" w:space="0" w:color="auto"/>
          </w:divBdr>
        </w:div>
      </w:divsChild>
    </w:div>
    <w:div w:id="530581424">
      <w:bodyDiv w:val="1"/>
      <w:marLeft w:val="0"/>
      <w:marRight w:val="0"/>
      <w:marTop w:val="0"/>
      <w:marBottom w:val="0"/>
      <w:divBdr>
        <w:top w:val="none" w:sz="0" w:space="0" w:color="auto"/>
        <w:left w:val="none" w:sz="0" w:space="0" w:color="auto"/>
        <w:bottom w:val="none" w:sz="0" w:space="0" w:color="auto"/>
        <w:right w:val="none" w:sz="0" w:space="0" w:color="auto"/>
      </w:divBdr>
      <w:divsChild>
        <w:div w:id="839663065">
          <w:marLeft w:val="1166"/>
          <w:marRight w:val="0"/>
          <w:marTop w:val="0"/>
          <w:marBottom w:val="0"/>
          <w:divBdr>
            <w:top w:val="none" w:sz="0" w:space="0" w:color="auto"/>
            <w:left w:val="none" w:sz="0" w:space="0" w:color="auto"/>
            <w:bottom w:val="none" w:sz="0" w:space="0" w:color="auto"/>
            <w:right w:val="none" w:sz="0" w:space="0" w:color="auto"/>
          </w:divBdr>
        </w:div>
        <w:div w:id="1370691704">
          <w:marLeft w:val="547"/>
          <w:marRight w:val="0"/>
          <w:marTop w:val="0"/>
          <w:marBottom w:val="0"/>
          <w:divBdr>
            <w:top w:val="none" w:sz="0" w:space="0" w:color="auto"/>
            <w:left w:val="none" w:sz="0" w:space="0" w:color="auto"/>
            <w:bottom w:val="none" w:sz="0" w:space="0" w:color="auto"/>
            <w:right w:val="none" w:sz="0" w:space="0" w:color="auto"/>
          </w:divBdr>
        </w:div>
        <w:div w:id="1626041039">
          <w:marLeft w:val="1166"/>
          <w:marRight w:val="0"/>
          <w:marTop w:val="0"/>
          <w:marBottom w:val="0"/>
          <w:divBdr>
            <w:top w:val="none" w:sz="0" w:space="0" w:color="auto"/>
            <w:left w:val="none" w:sz="0" w:space="0" w:color="auto"/>
            <w:bottom w:val="none" w:sz="0" w:space="0" w:color="auto"/>
            <w:right w:val="none" w:sz="0" w:space="0" w:color="auto"/>
          </w:divBdr>
        </w:div>
      </w:divsChild>
    </w:div>
    <w:div w:id="557319873">
      <w:bodyDiv w:val="1"/>
      <w:marLeft w:val="0"/>
      <w:marRight w:val="0"/>
      <w:marTop w:val="0"/>
      <w:marBottom w:val="0"/>
      <w:divBdr>
        <w:top w:val="none" w:sz="0" w:space="0" w:color="auto"/>
        <w:left w:val="none" w:sz="0" w:space="0" w:color="auto"/>
        <w:bottom w:val="none" w:sz="0" w:space="0" w:color="auto"/>
        <w:right w:val="none" w:sz="0" w:space="0" w:color="auto"/>
      </w:divBdr>
    </w:div>
    <w:div w:id="590819121">
      <w:bodyDiv w:val="1"/>
      <w:marLeft w:val="0"/>
      <w:marRight w:val="0"/>
      <w:marTop w:val="0"/>
      <w:marBottom w:val="0"/>
      <w:divBdr>
        <w:top w:val="none" w:sz="0" w:space="0" w:color="auto"/>
        <w:left w:val="none" w:sz="0" w:space="0" w:color="auto"/>
        <w:bottom w:val="none" w:sz="0" w:space="0" w:color="auto"/>
        <w:right w:val="none" w:sz="0" w:space="0" w:color="auto"/>
      </w:divBdr>
    </w:div>
    <w:div w:id="599217633">
      <w:bodyDiv w:val="1"/>
      <w:marLeft w:val="0"/>
      <w:marRight w:val="0"/>
      <w:marTop w:val="0"/>
      <w:marBottom w:val="0"/>
      <w:divBdr>
        <w:top w:val="none" w:sz="0" w:space="0" w:color="auto"/>
        <w:left w:val="none" w:sz="0" w:space="0" w:color="auto"/>
        <w:bottom w:val="none" w:sz="0" w:space="0" w:color="auto"/>
        <w:right w:val="none" w:sz="0" w:space="0" w:color="auto"/>
      </w:divBdr>
    </w:div>
    <w:div w:id="614942423">
      <w:bodyDiv w:val="1"/>
      <w:marLeft w:val="0"/>
      <w:marRight w:val="0"/>
      <w:marTop w:val="0"/>
      <w:marBottom w:val="0"/>
      <w:divBdr>
        <w:top w:val="none" w:sz="0" w:space="0" w:color="auto"/>
        <w:left w:val="none" w:sz="0" w:space="0" w:color="auto"/>
        <w:bottom w:val="none" w:sz="0" w:space="0" w:color="auto"/>
        <w:right w:val="none" w:sz="0" w:space="0" w:color="auto"/>
      </w:divBdr>
    </w:div>
    <w:div w:id="659620478">
      <w:bodyDiv w:val="1"/>
      <w:marLeft w:val="0"/>
      <w:marRight w:val="0"/>
      <w:marTop w:val="0"/>
      <w:marBottom w:val="0"/>
      <w:divBdr>
        <w:top w:val="none" w:sz="0" w:space="0" w:color="auto"/>
        <w:left w:val="none" w:sz="0" w:space="0" w:color="auto"/>
        <w:bottom w:val="none" w:sz="0" w:space="0" w:color="auto"/>
        <w:right w:val="none" w:sz="0" w:space="0" w:color="auto"/>
      </w:divBdr>
      <w:divsChild>
        <w:div w:id="262228642">
          <w:marLeft w:val="547"/>
          <w:marRight w:val="0"/>
          <w:marTop w:val="0"/>
          <w:marBottom w:val="0"/>
          <w:divBdr>
            <w:top w:val="none" w:sz="0" w:space="0" w:color="auto"/>
            <w:left w:val="none" w:sz="0" w:space="0" w:color="auto"/>
            <w:bottom w:val="none" w:sz="0" w:space="0" w:color="auto"/>
            <w:right w:val="none" w:sz="0" w:space="0" w:color="auto"/>
          </w:divBdr>
        </w:div>
        <w:div w:id="271477566">
          <w:marLeft w:val="547"/>
          <w:marRight w:val="0"/>
          <w:marTop w:val="0"/>
          <w:marBottom w:val="0"/>
          <w:divBdr>
            <w:top w:val="none" w:sz="0" w:space="0" w:color="auto"/>
            <w:left w:val="none" w:sz="0" w:space="0" w:color="auto"/>
            <w:bottom w:val="none" w:sz="0" w:space="0" w:color="auto"/>
            <w:right w:val="none" w:sz="0" w:space="0" w:color="auto"/>
          </w:divBdr>
        </w:div>
        <w:div w:id="298002292">
          <w:marLeft w:val="547"/>
          <w:marRight w:val="0"/>
          <w:marTop w:val="0"/>
          <w:marBottom w:val="0"/>
          <w:divBdr>
            <w:top w:val="none" w:sz="0" w:space="0" w:color="auto"/>
            <w:left w:val="none" w:sz="0" w:space="0" w:color="auto"/>
            <w:bottom w:val="none" w:sz="0" w:space="0" w:color="auto"/>
            <w:right w:val="none" w:sz="0" w:space="0" w:color="auto"/>
          </w:divBdr>
        </w:div>
        <w:div w:id="340855015">
          <w:marLeft w:val="547"/>
          <w:marRight w:val="0"/>
          <w:marTop w:val="0"/>
          <w:marBottom w:val="0"/>
          <w:divBdr>
            <w:top w:val="none" w:sz="0" w:space="0" w:color="auto"/>
            <w:left w:val="none" w:sz="0" w:space="0" w:color="auto"/>
            <w:bottom w:val="none" w:sz="0" w:space="0" w:color="auto"/>
            <w:right w:val="none" w:sz="0" w:space="0" w:color="auto"/>
          </w:divBdr>
        </w:div>
        <w:div w:id="689454202">
          <w:marLeft w:val="547"/>
          <w:marRight w:val="0"/>
          <w:marTop w:val="0"/>
          <w:marBottom w:val="0"/>
          <w:divBdr>
            <w:top w:val="none" w:sz="0" w:space="0" w:color="auto"/>
            <w:left w:val="none" w:sz="0" w:space="0" w:color="auto"/>
            <w:bottom w:val="none" w:sz="0" w:space="0" w:color="auto"/>
            <w:right w:val="none" w:sz="0" w:space="0" w:color="auto"/>
          </w:divBdr>
        </w:div>
        <w:div w:id="1811245817">
          <w:marLeft w:val="547"/>
          <w:marRight w:val="0"/>
          <w:marTop w:val="0"/>
          <w:marBottom w:val="0"/>
          <w:divBdr>
            <w:top w:val="none" w:sz="0" w:space="0" w:color="auto"/>
            <w:left w:val="none" w:sz="0" w:space="0" w:color="auto"/>
            <w:bottom w:val="none" w:sz="0" w:space="0" w:color="auto"/>
            <w:right w:val="none" w:sz="0" w:space="0" w:color="auto"/>
          </w:divBdr>
        </w:div>
        <w:div w:id="1868718249">
          <w:marLeft w:val="547"/>
          <w:marRight w:val="0"/>
          <w:marTop w:val="0"/>
          <w:marBottom w:val="0"/>
          <w:divBdr>
            <w:top w:val="none" w:sz="0" w:space="0" w:color="auto"/>
            <w:left w:val="none" w:sz="0" w:space="0" w:color="auto"/>
            <w:bottom w:val="none" w:sz="0" w:space="0" w:color="auto"/>
            <w:right w:val="none" w:sz="0" w:space="0" w:color="auto"/>
          </w:divBdr>
        </w:div>
      </w:divsChild>
    </w:div>
    <w:div w:id="693652883">
      <w:bodyDiv w:val="1"/>
      <w:marLeft w:val="0"/>
      <w:marRight w:val="0"/>
      <w:marTop w:val="0"/>
      <w:marBottom w:val="0"/>
      <w:divBdr>
        <w:top w:val="none" w:sz="0" w:space="0" w:color="auto"/>
        <w:left w:val="none" w:sz="0" w:space="0" w:color="auto"/>
        <w:bottom w:val="none" w:sz="0" w:space="0" w:color="auto"/>
        <w:right w:val="none" w:sz="0" w:space="0" w:color="auto"/>
      </w:divBdr>
    </w:div>
    <w:div w:id="699284324">
      <w:bodyDiv w:val="1"/>
      <w:marLeft w:val="0"/>
      <w:marRight w:val="0"/>
      <w:marTop w:val="0"/>
      <w:marBottom w:val="0"/>
      <w:divBdr>
        <w:top w:val="none" w:sz="0" w:space="0" w:color="auto"/>
        <w:left w:val="none" w:sz="0" w:space="0" w:color="auto"/>
        <w:bottom w:val="none" w:sz="0" w:space="0" w:color="auto"/>
        <w:right w:val="none" w:sz="0" w:space="0" w:color="auto"/>
      </w:divBdr>
    </w:div>
    <w:div w:id="703100056">
      <w:bodyDiv w:val="1"/>
      <w:marLeft w:val="0"/>
      <w:marRight w:val="0"/>
      <w:marTop w:val="0"/>
      <w:marBottom w:val="0"/>
      <w:divBdr>
        <w:top w:val="none" w:sz="0" w:space="0" w:color="auto"/>
        <w:left w:val="none" w:sz="0" w:space="0" w:color="auto"/>
        <w:bottom w:val="none" w:sz="0" w:space="0" w:color="auto"/>
        <w:right w:val="none" w:sz="0" w:space="0" w:color="auto"/>
      </w:divBdr>
    </w:div>
    <w:div w:id="718019856">
      <w:bodyDiv w:val="1"/>
      <w:marLeft w:val="0"/>
      <w:marRight w:val="0"/>
      <w:marTop w:val="0"/>
      <w:marBottom w:val="0"/>
      <w:divBdr>
        <w:top w:val="none" w:sz="0" w:space="0" w:color="auto"/>
        <w:left w:val="none" w:sz="0" w:space="0" w:color="auto"/>
        <w:bottom w:val="none" w:sz="0" w:space="0" w:color="auto"/>
        <w:right w:val="none" w:sz="0" w:space="0" w:color="auto"/>
      </w:divBdr>
      <w:divsChild>
        <w:div w:id="118307997">
          <w:marLeft w:val="547"/>
          <w:marRight w:val="0"/>
          <w:marTop w:val="0"/>
          <w:marBottom w:val="0"/>
          <w:divBdr>
            <w:top w:val="none" w:sz="0" w:space="0" w:color="auto"/>
            <w:left w:val="none" w:sz="0" w:space="0" w:color="auto"/>
            <w:bottom w:val="none" w:sz="0" w:space="0" w:color="auto"/>
            <w:right w:val="none" w:sz="0" w:space="0" w:color="auto"/>
          </w:divBdr>
        </w:div>
        <w:div w:id="1129974345">
          <w:marLeft w:val="547"/>
          <w:marRight w:val="0"/>
          <w:marTop w:val="0"/>
          <w:marBottom w:val="0"/>
          <w:divBdr>
            <w:top w:val="none" w:sz="0" w:space="0" w:color="auto"/>
            <w:left w:val="none" w:sz="0" w:space="0" w:color="auto"/>
            <w:bottom w:val="none" w:sz="0" w:space="0" w:color="auto"/>
            <w:right w:val="none" w:sz="0" w:space="0" w:color="auto"/>
          </w:divBdr>
        </w:div>
        <w:div w:id="2008897470">
          <w:marLeft w:val="547"/>
          <w:marRight w:val="0"/>
          <w:marTop w:val="0"/>
          <w:marBottom w:val="0"/>
          <w:divBdr>
            <w:top w:val="none" w:sz="0" w:space="0" w:color="auto"/>
            <w:left w:val="none" w:sz="0" w:space="0" w:color="auto"/>
            <w:bottom w:val="none" w:sz="0" w:space="0" w:color="auto"/>
            <w:right w:val="none" w:sz="0" w:space="0" w:color="auto"/>
          </w:divBdr>
        </w:div>
      </w:divsChild>
    </w:div>
    <w:div w:id="770860483">
      <w:bodyDiv w:val="1"/>
      <w:marLeft w:val="0"/>
      <w:marRight w:val="0"/>
      <w:marTop w:val="0"/>
      <w:marBottom w:val="0"/>
      <w:divBdr>
        <w:top w:val="none" w:sz="0" w:space="0" w:color="auto"/>
        <w:left w:val="none" w:sz="0" w:space="0" w:color="auto"/>
        <w:bottom w:val="none" w:sz="0" w:space="0" w:color="auto"/>
        <w:right w:val="none" w:sz="0" w:space="0" w:color="auto"/>
      </w:divBdr>
    </w:div>
    <w:div w:id="847864741">
      <w:bodyDiv w:val="1"/>
      <w:marLeft w:val="0"/>
      <w:marRight w:val="0"/>
      <w:marTop w:val="0"/>
      <w:marBottom w:val="0"/>
      <w:divBdr>
        <w:top w:val="none" w:sz="0" w:space="0" w:color="auto"/>
        <w:left w:val="none" w:sz="0" w:space="0" w:color="auto"/>
        <w:bottom w:val="none" w:sz="0" w:space="0" w:color="auto"/>
        <w:right w:val="none" w:sz="0" w:space="0" w:color="auto"/>
      </w:divBdr>
      <w:divsChild>
        <w:div w:id="1657106216">
          <w:marLeft w:val="547"/>
          <w:marRight w:val="0"/>
          <w:marTop w:val="0"/>
          <w:marBottom w:val="0"/>
          <w:divBdr>
            <w:top w:val="none" w:sz="0" w:space="0" w:color="auto"/>
            <w:left w:val="none" w:sz="0" w:space="0" w:color="auto"/>
            <w:bottom w:val="none" w:sz="0" w:space="0" w:color="auto"/>
            <w:right w:val="none" w:sz="0" w:space="0" w:color="auto"/>
          </w:divBdr>
        </w:div>
        <w:div w:id="1857185006">
          <w:marLeft w:val="547"/>
          <w:marRight w:val="0"/>
          <w:marTop w:val="0"/>
          <w:marBottom w:val="0"/>
          <w:divBdr>
            <w:top w:val="none" w:sz="0" w:space="0" w:color="auto"/>
            <w:left w:val="none" w:sz="0" w:space="0" w:color="auto"/>
            <w:bottom w:val="none" w:sz="0" w:space="0" w:color="auto"/>
            <w:right w:val="none" w:sz="0" w:space="0" w:color="auto"/>
          </w:divBdr>
        </w:div>
      </w:divsChild>
    </w:div>
    <w:div w:id="850601911">
      <w:bodyDiv w:val="1"/>
      <w:marLeft w:val="0"/>
      <w:marRight w:val="0"/>
      <w:marTop w:val="0"/>
      <w:marBottom w:val="0"/>
      <w:divBdr>
        <w:top w:val="none" w:sz="0" w:space="0" w:color="auto"/>
        <w:left w:val="none" w:sz="0" w:space="0" w:color="auto"/>
        <w:bottom w:val="none" w:sz="0" w:space="0" w:color="auto"/>
        <w:right w:val="none" w:sz="0" w:space="0" w:color="auto"/>
      </w:divBdr>
    </w:div>
    <w:div w:id="882401346">
      <w:bodyDiv w:val="1"/>
      <w:marLeft w:val="0"/>
      <w:marRight w:val="0"/>
      <w:marTop w:val="0"/>
      <w:marBottom w:val="0"/>
      <w:divBdr>
        <w:top w:val="none" w:sz="0" w:space="0" w:color="auto"/>
        <w:left w:val="none" w:sz="0" w:space="0" w:color="auto"/>
        <w:bottom w:val="none" w:sz="0" w:space="0" w:color="auto"/>
        <w:right w:val="none" w:sz="0" w:space="0" w:color="auto"/>
      </w:divBdr>
      <w:divsChild>
        <w:div w:id="1329212939">
          <w:marLeft w:val="994"/>
          <w:marRight w:val="0"/>
          <w:marTop w:val="100"/>
          <w:marBottom w:val="0"/>
          <w:divBdr>
            <w:top w:val="none" w:sz="0" w:space="0" w:color="auto"/>
            <w:left w:val="none" w:sz="0" w:space="0" w:color="auto"/>
            <w:bottom w:val="none" w:sz="0" w:space="0" w:color="auto"/>
            <w:right w:val="none" w:sz="0" w:space="0" w:color="auto"/>
          </w:divBdr>
        </w:div>
        <w:div w:id="1633289314">
          <w:marLeft w:val="994"/>
          <w:marRight w:val="0"/>
          <w:marTop w:val="100"/>
          <w:marBottom w:val="0"/>
          <w:divBdr>
            <w:top w:val="none" w:sz="0" w:space="0" w:color="auto"/>
            <w:left w:val="none" w:sz="0" w:space="0" w:color="auto"/>
            <w:bottom w:val="none" w:sz="0" w:space="0" w:color="auto"/>
            <w:right w:val="none" w:sz="0" w:space="0" w:color="auto"/>
          </w:divBdr>
        </w:div>
      </w:divsChild>
    </w:div>
    <w:div w:id="887035390">
      <w:bodyDiv w:val="1"/>
      <w:marLeft w:val="0"/>
      <w:marRight w:val="0"/>
      <w:marTop w:val="0"/>
      <w:marBottom w:val="0"/>
      <w:divBdr>
        <w:top w:val="none" w:sz="0" w:space="0" w:color="auto"/>
        <w:left w:val="none" w:sz="0" w:space="0" w:color="auto"/>
        <w:bottom w:val="none" w:sz="0" w:space="0" w:color="auto"/>
        <w:right w:val="none" w:sz="0" w:space="0" w:color="auto"/>
      </w:divBdr>
    </w:div>
    <w:div w:id="910893411">
      <w:bodyDiv w:val="1"/>
      <w:marLeft w:val="0"/>
      <w:marRight w:val="0"/>
      <w:marTop w:val="0"/>
      <w:marBottom w:val="0"/>
      <w:divBdr>
        <w:top w:val="none" w:sz="0" w:space="0" w:color="auto"/>
        <w:left w:val="none" w:sz="0" w:space="0" w:color="auto"/>
        <w:bottom w:val="none" w:sz="0" w:space="0" w:color="auto"/>
        <w:right w:val="none" w:sz="0" w:space="0" w:color="auto"/>
      </w:divBdr>
    </w:div>
    <w:div w:id="954824527">
      <w:bodyDiv w:val="1"/>
      <w:marLeft w:val="0"/>
      <w:marRight w:val="0"/>
      <w:marTop w:val="0"/>
      <w:marBottom w:val="0"/>
      <w:divBdr>
        <w:top w:val="none" w:sz="0" w:space="0" w:color="auto"/>
        <w:left w:val="none" w:sz="0" w:space="0" w:color="auto"/>
        <w:bottom w:val="none" w:sz="0" w:space="0" w:color="auto"/>
        <w:right w:val="none" w:sz="0" w:space="0" w:color="auto"/>
      </w:divBdr>
      <w:divsChild>
        <w:div w:id="421806526">
          <w:marLeft w:val="547"/>
          <w:marRight w:val="0"/>
          <w:marTop w:val="0"/>
          <w:marBottom w:val="0"/>
          <w:divBdr>
            <w:top w:val="none" w:sz="0" w:space="0" w:color="auto"/>
            <w:left w:val="none" w:sz="0" w:space="0" w:color="auto"/>
            <w:bottom w:val="none" w:sz="0" w:space="0" w:color="auto"/>
            <w:right w:val="none" w:sz="0" w:space="0" w:color="auto"/>
          </w:divBdr>
        </w:div>
      </w:divsChild>
    </w:div>
    <w:div w:id="957493242">
      <w:bodyDiv w:val="1"/>
      <w:marLeft w:val="0"/>
      <w:marRight w:val="0"/>
      <w:marTop w:val="0"/>
      <w:marBottom w:val="0"/>
      <w:divBdr>
        <w:top w:val="none" w:sz="0" w:space="0" w:color="auto"/>
        <w:left w:val="none" w:sz="0" w:space="0" w:color="auto"/>
        <w:bottom w:val="none" w:sz="0" w:space="0" w:color="auto"/>
        <w:right w:val="none" w:sz="0" w:space="0" w:color="auto"/>
      </w:divBdr>
    </w:div>
    <w:div w:id="1010566574">
      <w:bodyDiv w:val="1"/>
      <w:marLeft w:val="0"/>
      <w:marRight w:val="0"/>
      <w:marTop w:val="0"/>
      <w:marBottom w:val="0"/>
      <w:divBdr>
        <w:top w:val="none" w:sz="0" w:space="0" w:color="auto"/>
        <w:left w:val="none" w:sz="0" w:space="0" w:color="auto"/>
        <w:bottom w:val="none" w:sz="0" w:space="0" w:color="auto"/>
        <w:right w:val="none" w:sz="0" w:space="0" w:color="auto"/>
      </w:divBdr>
    </w:div>
    <w:div w:id="1033188166">
      <w:bodyDiv w:val="1"/>
      <w:marLeft w:val="0"/>
      <w:marRight w:val="0"/>
      <w:marTop w:val="0"/>
      <w:marBottom w:val="0"/>
      <w:divBdr>
        <w:top w:val="none" w:sz="0" w:space="0" w:color="auto"/>
        <w:left w:val="none" w:sz="0" w:space="0" w:color="auto"/>
        <w:bottom w:val="none" w:sz="0" w:space="0" w:color="auto"/>
        <w:right w:val="none" w:sz="0" w:space="0" w:color="auto"/>
      </w:divBdr>
    </w:div>
    <w:div w:id="1055739040">
      <w:bodyDiv w:val="1"/>
      <w:marLeft w:val="0"/>
      <w:marRight w:val="0"/>
      <w:marTop w:val="0"/>
      <w:marBottom w:val="0"/>
      <w:divBdr>
        <w:top w:val="none" w:sz="0" w:space="0" w:color="auto"/>
        <w:left w:val="none" w:sz="0" w:space="0" w:color="auto"/>
        <w:bottom w:val="none" w:sz="0" w:space="0" w:color="auto"/>
        <w:right w:val="none" w:sz="0" w:space="0" w:color="auto"/>
      </w:divBdr>
    </w:div>
    <w:div w:id="1057902089">
      <w:bodyDiv w:val="1"/>
      <w:marLeft w:val="0"/>
      <w:marRight w:val="0"/>
      <w:marTop w:val="0"/>
      <w:marBottom w:val="0"/>
      <w:divBdr>
        <w:top w:val="none" w:sz="0" w:space="0" w:color="auto"/>
        <w:left w:val="none" w:sz="0" w:space="0" w:color="auto"/>
        <w:bottom w:val="none" w:sz="0" w:space="0" w:color="auto"/>
        <w:right w:val="none" w:sz="0" w:space="0" w:color="auto"/>
      </w:divBdr>
    </w:div>
    <w:div w:id="1065760892">
      <w:bodyDiv w:val="1"/>
      <w:marLeft w:val="0"/>
      <w:marRight w:val="0"/>
      <w:marTop w:val="0"/>
      <w:marBottom w:val="0"/>
      <w:divBdr>
        <w:top w:val="none" w:sz="0" w:space="0" w:color="auto"/>
        <w:left w:val="none" w:sz="0" w:space="0" w:color="auto"/>
        <w:bottom w:val="none" w:sz="0" w:space="0" w:color="auto"/>
        <w:right w:val="none" w:sz="0" w:space="0" w:color="auto"/>
      </w:divBdr>
      <w:divsChild>
        <w:div w:id="635843095">
          <w:marLeft w:val="547"/>
          <w:marRight w:val="0"/>
          <w:marTop w:val="0"/>
          <w:marBottom w:val="0"/>
          <w:divBdr>
            <w:top w:val="none" w:sz="0" w:space="0" w:color="auto"/>
            <w:left w:val="none" w:sz="0" w:space="0" w:color="auto"/>
            <w:bottom w:val="none" w:sz="0" w:space="0" w:color="auto"/>
            <w:right w:val="none" w:sz="0" w:space="0" w:color="auto"/>
          </w:divBdr>
        </w:div>
        <w:div w:id="906378362">
          <w:marLeft w:val="634"/>
          <w:marRight w:val="0"/>
          <w:marTop w:val="0"/>
          <w:marBottom w:val="0"/>
          <w:divBdr>
            <w:top w:val="none" w:sz="0" w:space="0" w:color="auto"/>
            <w:left w:val="none" w:sz="0" w:space="0" w:color="auto"/>
            <w:bottom w:val="none" w:sz="0" w:space="0" w:color="auto"/>
            <w:right w:val="none" w:sz="0" w:space="0" w:color="auto"/>
          </w:divBdr>
        </w:div>
        <w:div w:id="1650478008">
          <w:marLeft w:val="634"/>
          <w:marRight w:val="0"/>
          <w:marTop w:val="0"/>
          <w:marBottom w:val="0"/>
          <w:divBdr>
            <w:top w:val="none" w:sz="0" w:space="0" w:color="auto"/>
            <w:left w:val="none" w:sz="0" w:space="0" w:color="auto"/>
            <w:bottom w:val="none" w:sz="0" w:space="0" w:color="auto"/>
            <w:right w:val="none" w:sz="0" w:space="0" w:color="auto"/>
          </w:divBdr>
        </w:div>
      </w:divsChild>
    </w:div>
    <w:div w:id="1097822828">
      <w:bodyDiv w:val="1"/>
      <w:marLeft w:val="0"/>
      <w:marRight w:val="0"/>
      <w:marTop w:val="0"/>
      <w:marBottom w:val="0"/>
      <w:divBdr>
        <w:top w:val="none" w:sz="0" w:space="0" w:color="auto"/>
        <w:left w:val="none" w:sz="0" w:space="0" w:color="auto"/>
        <w:bottom w:val="none" w:sz="0" w:space="0" w:color="auto"/>
        <w:right w:val="none" w:sz="0" w:space="0" w:color="auto"/>
      </w:divBdr>
    </w:div>
    <w:div w:id="1111359947">
      <w:bodyDiv w:val="1"/>
      <w:marLeft w:val="0"/>
      <w:marRight w:val="0"/>
      <w:marTop w:val="0"/>
      <w:marBottom w:val="0"/>
      <w:divBdr>
        <w:top w:val="none" w:sz="0" w:space="0" w:color="auto"/>
        <w:left w:val="none" w:sz="0" w:space="0" w:color="auto"/>
        <w:bottom w:val="none" w:sz="0" w:space="0" w:color="auto"/>
        <w:right w:val="none" w:sz="0" w:space="0" w:color="auto"/>
      </w:divBdr>
      <w:divsChild>
        <w:div w:id="235626568">
          <w:marLeft w:val="360"/>
          <w:marRight w:val="0"/>
          <w:marTop w:val="200"/>
          <w:marBottom w:val="0"/>
          <w:divBdr>
            <w:top w:val="none" w:sz="0" w:space="0" w:color="auto"/>
            <w:left w:val="none" w:sz="0" w:space="0" w:color="auto"/>
            <w:bottom w:val="none" w:sz="0" w:space="0" w:color="auto"/>
            <w:right w:val="none" w:sz="0" w:space="0" w:color="auto"/>
          </w:divBdr>
        </w:div>
        <w:div w:id="560022554">
          <w:marLeft w:val="360"/>
          <w:marRight w:val="0"/>
          <w:marTop w:val="200"/>
          <w:marBottom w:val="0"/>
          <w:divBdr>
            <w:top w:val="none" w:sz="0" w:space="0" w:color="auto"/>
            <w:left w:val="none" w:sz="0" w:space="0" w:color="auto"/>
            <w:bottom w:val="none" w:sz="0" w:space="0" w:color="auto"/>
            <w:right w:val="none" w:sz="0" w:space="0" w:color="auto"/>
          </w:divBdr>
        </w:div>
        <w:div w:id="1030842347">
          <w:marLeft w:val="360"/>
          <w:marRight w:val="0"/>
          <w:marTop w:val="200"/>
          <w:marBottom w:val="0"/>
          <w:divBdr>
            <w:top w:val="none" w:sz="0" w:space="0" w:color="auto"/>
            <w:left w:val="none" w:sz="0" w:space="0" w:color="auto"/>
            <w:bottom w:val="none" w:sz="0" w:space="0" w:color="auto"/>
            <w:right w:val="none" w:sz="0" w:space="0" w:color="auto"/>
          </w:divBdr>
        </w:div>
        <w:div w:id="1173453014">
          <w:marLeft w:val="360"/>
          <w:marRight w:val="0"/>
          <w:marTop w:val="200"/>
          <w:marBottom w:val="0"/>
          <w:divBdr>
            <w:top w:val="none" w:sz="0" w:space="0" w:color="auto"/>
            <w:left w:val="none" w:sz="0" w:space="0" w:color="auto"/>
            <w:bottom w:val="none" w:sz="0" w:space="0" w:color="auto"/>
            <w:right w:val="none" w:sz="0" w:space="0" w:color="auto"/>
          </w:divBdr>
        </w:div>
        <w:div w:id="1431119489">
          <w:marLeft w:val="360"/>
          <w:marRight w:val="0"/>
          <w:marTop w:val="200"/>
          <w:marBottom w:val="0"/>
          <w:divBdr>
            <w:top w:val="none" w:sz="0" w:space="0" w:color="auto"/>
            <w:left w:val="none" w:sz="0" w:space="0" w:color="auto"/>
            <w:bottom w:val="none" w:sz="0" w:space="0" w:color="auto"/>
            <w:right w:val="none" w:sz="0" w:space="0" w:color="auto"/>
          </w:divBdr>
        </w:div>
      </w:divsChild>
    </w:div>
    <w:div w:id="1139761937">
      <w:bodyDiv w:val="1"/>
      <w:marLeft w:val="0"/>
      <w:marRight w:val="0"/>
      <w:marTop w:val="0"/>
      <w:marBottom w:val="0"/>
      <w:divBdr>
        <w:top w:val="none" w:sz="0" w:space="0" w:color="auto"/>
        <w:left w:val="none" w:sz="0" w:space="0" w:color="auto"/>
        <w:bottom w:val="none" w:sz="0" w:space="0" w:color="auto"/>
        <w:right w:val="none" w:sz="0" w:space="0" w:color="auto"/>
      </w:divBdr>
      <w:divsChild>
        <w:div w:id="1070083641">
          <w:marLeft w:val="547"/>
          <w:marRight w:val="0"/>
          <w:marTop w:val="0"/>
          <w:marBottom w:val="0"/>
          <w:divBdr>
            <w:top w:val="none" w:sz="0" w:space="0" w:color="auto"/>
            <w:left w:val="none" w:sz="0" w:space="0" w:color="auto"/>
            <w:bottom w:val="none" w:sz="0" w:space="0" w:color="auto"/>
            <w:right w:val="none" w:sz="0" w:space="0" w:color="auto"/>
          </w:divBdr>
        </w:div>
      </w:divsChild>
    </w:div>
    <w:div w:id="1150484847">
      <w:bodyDiv w:val="1"/>
      <w:marLeft w:val="0"/>
      <w:marRight w:val="0"/>
      <w:marTop w:val="0"/>
      <w:marBottom w:val="0"/>
      <w:divBdr>
        <w:top w:val="none" w:sz="0" w:space="0" w:color="auto"/>
        <w:left w:val="none" w:sz="0" w:space="0" w:color="auto"/>
        <w:bottom w:val="none" w:sz="0" w:space="0" w:color="auto"/>
        <w:right w:val="none" w:sz="0" w:space="0" w:color="auto"/>
      </w:divBdr>
    </w:div>
    <w:div w:id="1157382237">
      <w:bodyDiv w:val="1"/>
      <w:marLeft w:val="0"/>
      <w:marRight w:val="0"/>
      <w:marTop w:val="0"/>
      <w:marBottom w:val="0"/>
      <w:divBdr>
        <w:top w:val="none" w:sz="0" w:space="0" w:color="auto"/>
        <w:left w:val="none" w:sz="0" w:space="0" w:color="auto"/>
        <w:bottom w:val="none" w:sz="0" w:space="0" w:color="auto"/>
        <w:right w:val="none" w:sz="0" w:space="0" w:color="auto"/>
      </w:divBdr>
      <w:divsChild>
        <w:div w:id="2068262340">
          <w:marLeft w:val="1166"/>
          <w:marRight w:val="0"/>
          <w:marTop w:val="0"/>
          <w:marBottom w:val="0"/>
          <w:divBdr>
            <w:top w:val="none" w:sz="0" w:space="0" w:color="auto"/>
            <w:left w:val="none" w:sz="0" w:space="0" w:color="auto"/>
            <w:bottom w:val="none" w:sz="0" w:space="0" w:color="auto"/>
            <w:right w:val="none" w:sz="0" w:space="0" w:color="auto"/>
          </w:divBdr>
        </w:div>
      </w:divsChild>
    </w:div>
    <w:div w:id="1187409462">
      <w:bodyDiv w:val="1"/>
      <w:marLeft w:val="0"/>
      <w:marRight w:val="0"/>
      <w:marTop w:val="0"/>
      <w:marBottom w:val="0"/>
      <w:divBdr>
        <w:top w:val="none" w:sz="0" w:space="0" w:color="auto"/>
        <w:left w:val="none" w:sz="0" w:space="0" w:color="auto"/>
        <w:bottom w:val="none" w:sz="0" w:space="0" w:color="auto"/>
        <w:right w:val="none" w:sz="0" w:space="0" w:color="auto"/>
      </w:divBdr>
    </w:div>
    <w:div w:id="1210267370">
      <w:bodyDiv w:val="1"/>
      <w:marLeft w:val="0"/>
      <w:marRight w:val="0"/>
      <w:marTop w:val="0"/>
      <w:marBottom w:val="0"/>
      <w:divBdr>
        <w:top w:val="none" w:sz="0" w:space="0" w:color="auto"/>
        <w:left w:val="none" w:sz="0" w:space="0" w:color="auto"/>
        <w:bottom w:val="none" w:sz="0" w:space="0" w:color="auto"/>
        <w:right w:val="none" w:sz="0" w:space="0" w:color="auto"/>
      </w:divBdr>
    </w:div>
    <w:div w:id="1223171389">
      <w:bodyDiv w:val="1"/>
      <w:marLeft w:val="0"/>
      <w:marRight w:val="0"/>
      <w:marTop w:val="0"/>
      <w:marBottom w:val="0"/>
      <w:divBdr>
        <w:top w:val="none" w:sz="0" w:space="0" w:color="auto"/>
        <w:left w:val="none" w:sz="0" w:space="0" w:color="auto"/>
        <w:bottom w:val="none" w:sz="0" w:space="0" w:color="auto"/>
        <w:right w:val="none" w:sz="0" w:space="0" w:color="auto"/>
      </w:divBdr>
    </w:div>
    <w:div w:id="1228999546">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127863620">
          <w:marLeft w:val="274"/>
          <w:marRight w:val="0"/>
          <w:marTop w:val="0"/>
          <w:marBottom w:val="0"/>
          <w:divBdr>
            <w:top w:val="none" w:sz="0" w:space="0" w:color="auto"/>
            <w:left w:val="none" w:sz="0" w:space="0" w:color="auto"/>
            <w:bottom w:val="none" w:sz="0" w:space="0" w:color="auto"/>
            <w:right w:val="none" w:sz="0" w:space="0" w:color="auto"/>
          </w:divBdr>
        </w:div>
        <w:div w:id="266354884">
          <w:marLeft w:val="274"/>
          <w:marRight w:val="0"/>
          <w:marTop w:val="0"/>
          <w:marBottom w:val="0"/>
          <w:divBdr>
            <w:top w:val="none" w:sz="0" w:space="0" w:color="auto"/>
            <w:left w:val="none" w:sz="0" w:space="0" w:color="auto"/>
            <w:bottom w:val="none" w:sz="0" w:space="0" w:color="auto"/>
            <w:right w:val="none" w:sz="0" w:space="0" w:color="auto"/>
          </w:divBdr>
        </w:div>
        <w:div w:id="1869024958">
          <w:marLeft w:val="274"/>
          <w:marRight w:val="0"/>
          <w:marTop w:val="0"/>
          <w:marBottom w:val="0"/>
          <w:divBdr>
            <w:top w:val="none" w:sz="0" w:space="0" w:color="auto"/>
            <w:left w:val="none" w:sz="0" w:space="0" w:color="auto"/>
            <w:bottom w:val="none" w:sz="0" w:space="0" w:color="auto"/>
            <w:right w:val="none" w:sz="0" w:space="0" w:color="auto"/>
          </w:divBdr>
        </w:div>
        <w:div w:id="2083869628">
          <w:marLeft w:val="274"/>
          <w:marRight w:val="0"/>
          <w:marTop w:val="0"/>
          <w:marBottom w:val="0"/>
          <w:divBdr>
            <w:top w:val="none" w:sz="0" w:space="0" w:color="auto"/>
            <w:left w:val="none" w:sz="0" w:space="0" w:color="auto"/>
            <w:bottom w:val="none" w:sz="0" w:space="0" w:color="auto"/>
            <w:right w:val="none" w:sz="0" w:space="0" w:color="auto"/>
          </w:divBdr>
        </w:div>
      </w:divsChild>
    </w:div>
    <w:div w:id="1313414352">
      <w:bodyDiv w:val="1"/>
      <w:marLeft w:val="0"/>
      <w:marRight w:val="0"/>
      <w:marTop w:val="0"/>
      <w:marBottom w:val="0"/>
      <w:divBdr>
        <w:top w:val="none" w:sz="0" w:space="0" w:color="auto"/>
        <w:left w:val="none" w:sz="0" w:space="0" w:color="auto"/>
        <w:bottom w:val="none" w:sz="0" w:space="0" w:color="auto"/>
        <w:right w:val="none" w:sz="0" w:space="0" w:color="auto"/>
      </w:divBdr>
    </w:div>
    <w:div w:id="1316110469">
      <w:bodyDiv w:val="1"/>
      <w:marLeft w:val="0"/>
      <w:marRight w:val="0"/>
      <w:marTop w:val="0"/>
      <w:marBottom w:val="0"/>
      <w:divBdr>
        <w:top w:val="none" w:sz="0" w:space="0" w:color="auto"/>
        <w:left w:val="none" w:sz="0" w:space="0" w:color="auto"/>
        <w:bottom w:val="none" w:sz="0" w:space="0" w:color="auto"/>
        <w:right w:val="none" w:sz="0" w:space="0" w:color="auto"/>
      </w:divBdr>
    </w:div>
    <w:div w:id="1339699580">
      <w:bodyDiv w:val="1"/>
      <w:marLeft w:val="0"/>
      <w:marRight w:val="0"/>
      <w:marTop w:val="0"/>
      <w:marBottom w:val="0"/>
      <w:divBdr>
        <w:top w:val="none" w:sz="0" w:space="0" w:color="auto"/>
        <w:left w:val="none" w:sz="0" w:space="0" w:color="auto"/>
        <w:bottom w:val="none" w:sz="0" w:space="0" w:color="auto"/>
        <w:right w:val="none" w:sz="0" w:space="0" w:color="auto"/>
      </w:divBdr>
    </w:div>
    <w:div w:id="1340888850">
      <w:bodyDiv w:val="1"/>
      <w:marLeft w:val="0"/>
      <w:marRight w:val="0"/>
      <w:marTop w:val="0"/>
      <w:marBottom w:val="0"/>
      <w:divBdr>
        <w:top w:val="none" w:sz="0" w:space="0" w:color="auto"/>
        <w:left w:val="none" w:sz="0" w:space="0" w:color="auto"/>
        <w:bottom w:val="none" w:sz="0" w:space="0" w:color="auto"/>
        <w:right w:val="none" w:sz="0" w:space="0" w:color="auto"/>
      </w:divBdr>
    </w:div>
    <w:div w:id="1355964588">
      <w:bodyDiv w:val="1"/>
      <w:marLeft w:val="0"/>
      <w:marRight w:val="0"/>
      <w:marTop w:val="0"/>
      <w:marBottom w:val="0"/>
      <w:divBdr>
        <w:top w:val="none" w:sz="0" w:space="0" w:color="auto"/>
        <w:left w:val="none" w:sz="0" w:space="0" w:color="auto"/>
        <w:bottom w:val="none" w:sz="0" w:space="0" w:color="auto"/>
        <w:right w:val="none" w:sz="0" w:space="0" w:color="auto"/>
      </w:divBdr>
    </w:div>
    <w:div w:id="1374235710">
      <w:bodyDiv w:val="1"/>
      <w:marLeft w:val="0"/>
      <w:marRight w:val="0"/>
      <w:marTop w:val="0"/>
      <w:marBottom w:val="0"/>
      <w:divBdr>
        <w:top w:val="none" w:sz="0" w:space="0" w:color="auto"/>
        <w:left w:val="none" w:sz="0" w:space="0" w:color="auto"/>
        <w:bottom w:val="none" w:sz="0" w:space="0" w:color="auto"/>
        <w:right w:val="none" w:sz="0" w:space="0" w:color="auto"/>
      </w:divBdr>
    </w:div>
    <w:div w:id="1377117446">
      <w:bodyDiv w:val="1"/>
      <w:marLeft w:val="0"/>
      <w:marRight w:val="0"/>
      <w:marTop w:val="0"/>
      <w:marBottom w:val="0"/>
      <w:divBdr>
        <w:top w:val="none" w:sz="0" w:space="0" w:color="auto"/>
        <w:left w:val="none" w:sz="0" w:space="0" w:color="auto"/>
        <w:bottom w:val="none" w:sz="0" w:space="0" w:color="auto"/>
        <w:right w:val="none" w:sz="0" w:space="0" w:color="auto"/>
      </w:divBdr>
    </w:div>
    <w:div w:id="1388262698">
      <w:bodyDiv w:val="1"/>
      <w:marLeft w:val="0"/>
      <w:marRight w:val="0"/>
      <w:marTop w:val="0"/>
      <w:marBottom w:val="0"/>
      <w:divBdr>
        <w:top w:val="none" w:sz="0" w:space="0" w:color="auto"/>
        <w:left w:val="none" w:sz="0" w:space="0" w:color="auto"/>
        <w:bottom w:val="none" w:sz="0" w:space="0" w:color="auto"/>
        <w:right w:val="none" w:sz="0" w:space="0" w:color="auto"/>
      </w:divBdr>
    </w:div>
    <w:div w:id="1389110853">
      <w:bodyDiv w:val="1"/>
      <w:marLeft w:val="0"/>
      <w:marRight w:val="0"/>
      <w:marTop w:val="0"/>
      <w:marBottom w:val="0"/>
      <w:divBdr>
        <w:top w:val="none" w:sz="0" w:space="0" w:color="auto"/>
        <w:left w:val="none" w:sz="0" w:space="0" w:color="auto"/>
        <w:bottom w:val="none" w:sz="0" w:space="0" w:color="auto"/>
        <w:right w:val="none" w:sz="0" w:space="0" w:color="auto"/>
      </w:divBdr>
    </w:div>
    <w:div w:id="1392998838">
      <w:bodyDiv w:val="1"/>
      <w:marLeft w:val="0"/>
      <w:marRight w:val="0"/>
      <w:marTop w:val="0"/>
      <w:marBottom w:val="0"/>
      <w:divBdr>
        <w:top w:val="none" w:sz="0" w:space="0" w:color="auto"/>
        <w:left w:val="none" w:sz="0" w:space="0" w:color="auto"/>
        <w:bottom w:val="none" w:sz="0" w:space="0" w:color="auto"/>
        <w:right w:val="none" w:sz="0" w:space="0" w:color="auto"/>
      </w:divBdr>
    </w:div>
    <w:div w:id="1393314909">
      <w:bodyDiv w:val="1"/>
      <w:marLeft w:val="0"/>
      <w:marRight w:val="0"/>
      <w:marTop w:val="0"/>
      <w:marBottom w:val="0"/>
      <w:divBdr>
        <w:top w:val="none" w:sz="0" w:space="0" w:color="auto"/>
        <w:left w:val="none" w:sz="0" w:space="0" w:color="auto"/>
        <w:bottom w:val="none" w:sz="0" w:space="0" w:color="auto"/>
        <w:right w:val="none" w:sz="0" w:space="0" w:color="auto"/>
      </w:divBdr>
      <w:divsChild>
        <w:div w:id="48312232">
          <w:marLeft w:val="547"/>
          <w:marRight w:val="0"/>
          <w:marTop w:val="0"/>
          <w:marBottom w:val="0"/>
          <w:divBdr>
            <w:top w:val="none" w:sz="0" w:space="0" w:color="auto"/>
            <w:left w:val="none" w:sz="0" w:space="0" w:color="auto"/>
            <w:bottom w:val="none" w:sz="0" w:space="0" w:color="auto"/>
            <w:right w:val="none" w:sz="0" w:space="0" w:color="auto"/>
          </w:divBdr>
        </w:div>
      </w:divsChild>
    </w:div>
    <w:div w:id="1476727422">
      <w:bodyDiv w:val="1"/>
      <w:marLeft w:val="0"/>
      <w:marRight w:val="0"/>
      <w:marTop w:val="0"/>
      <w:marBottom w:val="0"/>
      <w:divBdr>
        <w:top w:val="none" w:sz="0" w:space="0" w:color="auto"/>
        <w:left w:val="none" w:sz="0" w:space="0" w:color="auto"/>
        <w:bottom w:val="none" w:sz="0" w:space="0" w:color="auto"/>
        <w:right w:val="none" w:sz="0" w:space="0" w:color="auto"/>
      </w:divBdr>
    </w:div>
    <w:div w:id="1506820072">
      <w:bodyDiv w:val="1"/>
      <w:marLeft w:val="0"/>
      <w:marRight w:val="0"/>
      <w:marTop w:val="0"/>
      <w:marBottom w:val="0"/>
      <w:divBdr>
        <w:top w:val="none" w:sz="0" w:space="0" w:color="auto"/>
        <w:left w:val="none" w:sz="0" w:space="0" w:color="auto"/>
        <w:bottom w:val="none" w:sz="0" w:space="0" w:color="auto"/>
        <w:right w:val="none" w:sz="0" w:space="0" w:color="auto"/>
      </w:divBdr>
      <w:divsChild>
        <w:div w:id="580675084">
          <w:marLeft w:val="547"/>
          <w:marRight w:val="0"/>
          <w:marTop w:val="0"/>
          <w:marBottom w:val="0"/>
          <w:divBdr>
            <w:top w:val="none" w:sz="0" w:space="0" w:color="auto"/>
            <w:left w:val="none" w:sz="0" w:space="0" w:color="auto"/>
            <w:bottom w:val="none" w:sz="0" w:space="0" w:color="auto"/>
            <w:right w:val="none" w:sz="0" w:space="0" w:color="auto"/>
          </w:divBdr>
        </w:div>
        <w:div w:id="851988909">
          <w:marLeft w:val="547"/>
          <w:marRight w:val="0"/>
          <w:marTop w:val="0"/>
          <w:marBottom w:val="0"/>
          <w:divBdr>
            <w:top w:val="none" w:sz="0" w:space="0" w:color="auto"/>
            <w:left w:val="none" w:sz="0" w:space="0" w:color="auto"/>
            <w:bottom w:val="none" w:sz="0" w:space="0" w:color="auto"/>
            <w:right w:val="none" w:sz="0" w:space="0" w:color="auto"/>
          </w:divBdr>
        </w:div>
        <w:div w:id="1277255619">
          <w:marLeft w:val="547"/>
          <w:marRight w:val="0"/>
          <w:marTop w:val="0"/>
          <w:marBottom w:val="0"/>
          <w:divBdr>
            <w:top w:val="none" w:sz="0" w:space="0" w:color="auto"/>
            <w:left w:val="none" w:sz="0" w:space="0" w:color="auto"/>
            <w:bottom w:val="none" w:sz="0" w:space="0" w:color="auto"/>
            <w:right w:val="none" w:sz="0" w:space="0" w:color="auto"/>
          </w:divBdr>
        </w:div>
        <w:div w:id="1291672578">
          <w:marLeft w:val="547"/>
          <w:marRight w:val="0"/>
          <w:marTop w:val="0"/>
          <w:marBottom w:val="0"/>
          <w:divBdr>
            <w:top w:val="none" w:sz="0" w:space="0" w:color="auto"/>
            <w:left w:val="none" w:sz="0" w:space="0" w:color="auto"/>
            <w:bottom w:val="none" w:sz="0" w:space="0" w:color="auto"/>
            <w:right w:val="none" w:sz="0" w:space="0" w:color="auto"/>
          </w:divBdr>
        </w:div>
        <w:div w:id="1372807125">
          <w:marLeft w:val="547"/>
          <w:marRight w:val="0"/>
          <w:marTop w:val="0"/>
          <w:marBottom w:val="0"/>
          <w:divBdr>
            <w:top w:val="none" w:sz="0" w:space="0" w:color="auto"/>
            <w:left w:val="none" w:sz="0" w:space="0" w:color="auto"/>
            <w:bottom w:val="none" w:sz="0" w:space="0" w:color="auto"/>
            <w:right w:val="none" w:sz="0" w:space="0" w:color="auto"/>
          </w:divBdr>
        </w:div>
      </w:divsChild>
    </w:div>
    <w:div w:id="1518622239">
      <w:bodyDiv w:val="1"/>
      <w:marLeft w:val="0"/>
      <w:marRight w:val="0"/>
      <w:marTop w:val="0"/>
      <w:marBottom w:val="0"/>
      <w:divBdr>
        <w:top w:val="none" w:sz="0" w:space="0" w:color="auto"/>
        <w:left w:val="none" w:sz="0" w:space="0" w:color="auto"/>
        <w:bottom w:val="none" w:sz="0" w:space="0" w:color="auto"/>
        <w:right w:val="none" w:sz="0" w:space="0" w:color="auto"/>
      </w:divBdr>
    </w:div>
    <w:div w:id="1524828459">
      <w:bodyDiv w:val="1"/>
      <w:marLeft w:val="0"/>
      <w:marRight w:val="0"/>
      <w:marTop w:val="0"/>
      <w:marBottom w:val="0"/>
      <w:divBdr>
        <w:top w:val="none" w:sz="0" w:space="0" w:color="auto"/>
        <w:left w:val="none" w:sz="0" w:space="0" w:color="auto"/>
        <w:bottom w:val="none" w:sz="0" w:space="0" w:color="auto"/>
        <w:right w:val="none" w:sz="0" w:space="0" w:color="auto"/>
      </w:divBdr>
    </w:div>
    <w:div w:id="1546990714">
      <w:bodyDiv w:val="1"/>
      <w:marLeft w:val="0"/>
      <w:marRight w:val="0"/>
      <w:marTop w:val="0"/>
      <w:marBottom w:val="0"/>
      <w:divBdr>
        <w:top w:val="none" w:sz="0" w:space="0" w:color="auto"/>
        <w:left w:val="none" w:sz="0" w:space="0" w:color="auto"/>
        <w:bottom w:val="none" w:sz="0" w:space="0" w:color="auto"/>
        <w:right w:val="none" w:sz="0" w:space="0" w:color="auto"/>
      </w:divBdr>
    </w:div>
    <w:div w:id="1555653543">
      <w:bodyDiv w:val="1"/>
      <w:marLeft w:val="0"/>
      <w:marRight w:val="0"/>
      <w:marTop w:val="0"/>
      <w:marBottom w:val="0"/>
      <w:divBdr>
        <w:top w:val="none" w:sz="0" w:space="0" w:color="auto"/>
        <w:left w:val="none" w:sz="0" w:space="0" w:color="auto"/>
        <w:bottom w:val="none" w:sz="0" w:space="0" w:color="auto"/>
        <w:right w:val="none" w:sz="0" w:space="0" w:color="auto"/>
      </w:divBdr>
    </w:div>
    <w:div w:id="1561936788">
      <w:bodyDiv w:val="1"/>
      <w:marLeft w:val="0"/>
      <w:marRight w:val="0"/>
      <w:marTop w:val="0"/>
      <w:marBottom w:val="0"/>
      <w:divBdr>
        <w:top w:val="none" w:sz="0" w:space="0" w:color="auto"/>
        <w:left w:val="none" w:sz="0" w:space="0" w:color="auto"/>
        <w:bottom w:val="none" w:sz="0" w:space="0" w:color="auto"/>
        <w:right w:val="none" w:sz="0" w:space="0" w:color="auto"/>
      </w:divBdr>
    </w:div>
    <w:div w:id="1573848451">
      <w:bodyDiv w:val="1"/>
      <w:marLeft w:val="0"/>
      <w:marRight w:val="0"/>
      <w:marTop w:val="0"/>
      <w:marBottom w:val="0"/>
      <w:divBdr>
        <w:top w:val="none" w:sz="0" w:space="0" w:color="auto"/>
        <w:left w:val="none" w:sz="0" w:space="0" w:color="auto"/>
        <w:bottom w:val="none" w:sz="0" w:space="0" w:color="auto"/>
        <w:right w:val="none" w:sz="0" w:space="0" w:color="auto"/>
      </w:divBdr>
    </w:div>
    <w:div w:id="1589001331">
      <w:bodyDiv w:val="1"/>
      <w:marLeft w:val="0"/>
      <w:marRight w:val="0"/>
      <w:marTop w:val="0"/>
      <w:marBottom w:val="0"/>
      <w:divBdr>
        <w:top w:val="none" w:sz="0" w:space="0" w:color="auto"/>
        <w:left w:val="none" w:sz="0" w:space="0" w:color="auto"/>
        <w:bottom w:val="none" w:sz="0" w:space="0" w:color="auto"/>
        <w:right w:val="none" w:sz="0" w:space="0" w:color="auto"/>
      </w:divBdr>
      <w:divsChild>
        <w:div w:id="1382710834">
          <w:marLeft w:val="1166"/>
          <w:marRight w:val="0"/>
          <w:marTop w:val="0"/>
          <w:marBottom w:val="0"/>
          <w:divBdr>
            <w:top w:val="none" w:sz="0" w:space="0" w:color="auto"/>
            <w:left w:val="none" w:sz="0" w:space="0" w:color="auto"/>
            <w:bottom w:val="none" w:sz="0" w:space="0" w:color="auto"/>
            <w:right w:val="none" w:sz="0" w:space="0" w:color="auto"/>
          </w:divBdr>
        </w:div>
      </w:divsChild>
    </w:div>
    <w:div w:id="1595671647">
      <w:bodyDiv w:val="1"/>
      <w:marLeft w:val="0"/>
      <w:marRight w:val="0"/>
      <w:marTop w:val="0"/>
      <w:marBottom w:val="0"/>
      <w:divBdr>
        <w:top w:val="none" w:sz="0" w:space="0" w:color="auto"/>
        <w:left w:val="none" w:sz="0" w:space="0" w:color="auto"/>
        <w:bottom w:val="none" w:sz="0" w:space="0" w:color="auto"/>
        <w:right w:val="none" w:sz="0" w:space="0" w:color="auto"/>
      </w:divBdr>
    </w:div>
    <w:div w:id="1620524991">
      <w:bodyDiv w:val="1"/>
      <w:marLeft w:val="0"/>
      <w:marRight w:val="0"/>
      <w:marTop w:val="0"/>
      <w:marBottom w:val="0"/>
      <w:divBdr>
        <w:top w:val="none" w:sz="0" w:space="0" w:color="auto"/>
        <w:left w:val="none" w:sz="0" w:space="0" w:color="auto"/>
        <w:bottom w:val="none" w:sz="0" w:space="0" w:color="auto"/>
        <w:right w:val="none" w:sz="0" w:space="0" w:color="auto"/>
      </w:divBdr>
    </w:div>
    <w:div w:id="1675184620">
      <w:bodyDiv w:val="1"/>
      <w:marLeft w:val="0"/>
      <w:marRight w:val="0"/>
      <w:marTop w:val="0"/>
      <w:marBottom w:val="0"/>
      <w:divBdr>
        <w:top w:val="none" w:sz="0" w:space="0" w:color="auto"/>
        <w:left w:val="none" w:sz="0" w:space="0" w:color="auto"/>
        <w:bottom w:val="none" w:sz="0" w:space="0" w:color="auto"/>
        <w:right w:val="none" w:sz="0" w:space="0" w:color="auto"/>
      </w:divBdr>
    </w:div>
    <w:div w:id="1684816010">
      <w:bodyDiv w:val="1"/>
      <w:marLeft w:val="0"/>
      <w:marRight w:val="0"/>
      <w:marTop w:val="0"/>
      <w:marBottom w:val="0"/>
      <w:divBdr>
        <w:top w:val="none" w:sz="0" w:space="0" w:color="auto"/>
        <w:left w:val="none" w:sz="0" w:space="0" w:color="auto"/>
        <w:bottom w:val="none" w:sz="0" w:space="0" w:color="auto"/>
        <w:right w:val="none" w:sz="0" w:space="0" w:color="auto"/>
      </w:divBdr>
    </w:div>
    <w:div w:id="1726877542">
      <w:bodyDiv w:val="1"/>
      <w:marLeft w:val="0"/>
      <w:marRight w:val="0"/>
      <w:marTop w:val="0"/>
      <w:marBottom w:val="0"/>
      <w:divBdr>
        <w:top w:val="none" w:sz="0" w:space="0" w:color="auto"/>
        <w:left w:val="none" w:sz="0" w:space="0" w:color="auto"/>
        <w:bottom w:val="none" w:sz="0" w:space="0" w:color="auto"/>
        <w:right w:val="none" w:sz="0" w:space="0" w:color="auto"/>
      </w:divBdr>
    </w:div>
    <w:div w:id="1744375741">
      <w:bodyDiv w:val="1"/>
      <w:marLeft w:val="0"/>
      <w:marRight w:val="0"/>
      <w:marTop w:val="0"/>
      <w:marBottom w:val="0"/>
      <w:divBdr>
        <w:top w:val="none" w:sz="0" w:space="0" w:color="auto"/>
        <w:left w:val="none" w:sz="0" w:space="0" w:color="auto"/>
        <w:bottom w:val="none" w:sz="0" w:space="0" w:color="auto"/>
        <w:right w:val="none" w:sz="0" w:space="0" w:color="auto"/>
      </w:divBdr>
    </w:div>
    <w:div w:id="1763452601">
      <w:bodyDiv w:val="1"/>
      <w:marLeft w:val="0"/>
      <w:marRight w:val="0"/>
      <w:marTop w:val="0"/>
      <w:marBottom w:val="0"/>
      <w:divBdr>
        <w:top w:val="none" w:sz="0" w:space="0" w:color="auto"/>
        <w:left w:val="none" w:sz="0" w:space="0" w:color="auto"/>
        <w:bottom w:val="none" w:sz="0" w:space="0" w:color="auto"/>
        <w:right w:val="none" w:sz="0" w:space="0" w:color="auto"/>
      </w:divBdr>
    </w:div>
    <w:div w:id="1776290216">
      <w:bodyDiv w:val="1"/>
      <w:marLeft w:val="0"/>
      <w:marRight w:val="0"/>
      <w:marTop w:val="0"/>
      <w:marBottom w:val="0"/>
      <w:divBdr>
        <w:top w:val="none" w:sz="0" w:space="0" w:color="auto"/>
        <w:left w:val="none" w:sz="0" w:space="0" w:color="auto"/>
        <w:bottom w:val="none" w:sz="0" w:space="0" w:color="auto"/>
        <w:right w:val="none" w:sz="0" w:space="0" w:color="auto"/>
      </w:divBdr>
    </w:div>
    <w:div w:id="1797747720">
      <w:bodyDiv w:val="1"/>
      <w:marLeft w:val="0"/>
      <w:marRight w:val="0"/>
      <w:marTop w:val="0"/>
      <w:marBottom w:val="0"/>
      <w:divBdr>
        <w:top w:val="none" w:sz="0" w:space="0" w:color="auto"/>
        <w:left w:val="none" w:sz="0" w:space="0" w:color="auto"/>
        <w:bottom w:val="none" w:sz="0" w:space="0" w:color="auto"/>
        <w:right w:val="none" w:sz="0" w:space="0" w:color="auto"/>
      </w:divBdr>
    </w:div>
    <w:div w:id="1819151707">
      <w:bodyDiv w:val="1"/>
      <w:marLeft w:val="0"/>
      <w:marRight w:val="0"/>
      <w:marTop w:val="0"/>
      <w:marBottom w:val="0"/>
      <w:divBdr>
        <w:top w:val="none" w:sz="0" w:space="0" w:color="auto"/>
        <w:left w:val="none" w:sz="0" w:space="0" w:color="auto"/>
        <w:bottom w:val="none" w:sz="0" w:space="0" w:color="auto"/>
        <w:right w:val="none" w:sz="0" w:space="0" w:color="auto"/>
      </w:divBdr>
    </w:div>
    <w:div w:id="1867600052">
      <w:bodyDiv w:val="1"/>
      <w:marLeft w:val="0"/>
      <w:marRight w:val="0"/>
      <w:marTop w:val="0"/>
      <w:marBottom w:val="0"/>
      <w:divBdr>
        <w:top w:val="none" w:sz="0" w:space="0" w:color="auto"/>
        <w:left w:val="none" w:sz="0" w:space="0" w:color="auto"/>
        <w:bottom w:val="none" w:sz="0" w:space="0" w:color="auto"/>
        <w:right w:val="none" w:sz="0" w:space="0" w:color="auto"/>
      </w:divBdr>
    </w:div>
    <w:div w:id="1879008935">
      <w:bodyDiv w:val="1"/>
      <w:marLeft w:val="0"/>
      <w:marRight w:val="0"/>
      <w:marTop w:val="0"/>
      <w:marBottom w:val="0"/>
      <w:divBdr>
        <w:top w:val="none" w:sz="0" w:space="0" w:color="auto"/>
        <w:left w:val="none" w:sz="0" w:space="0" w:color="auto"/>
        <w:bottom w:val="none" w:sz="0" w:space="0" w:color="auto"/>
        <w:right w:val="none" w:sz="0" w:space="0" w:color="auto"/>
      </w:divBdr>
      <w:divsChild>
        <w:div w:id="1422602279">
          <w:marLeft w:val="1267"/>
          <w:marRight w:val="0"/>
          <w:marTop w:val="0"/>
          <w:marBottom w:val="0"/>
          <w:divBdr>
            <w:top w:val="none" w:sz="0" w:space="0" w:color="auto"/>
            <w:left w:val="none" w:sz="0" w:space="0" w:color="auto"/>
            <w:bottom w:val="none" w:sz="0" w:space="0" w:color="auto"/>
            <w:right w:val="none" w:sz="0" w:space="0" w:color="auto"/>
          </w:divBdr>
        </w:div>
        <w:div w:id="1510830699">
          <w:marLeft w:val="1267"/>
          <w:marRight w:val="0"/>
          <w:marTop w:val="0"/>
          <w:marBottom w:val="0"/>
          <w:divBdr>
            <w:top w:val="none" w:sz="0" w:space="0" w:color="auto"/>
            <w:left w:val="none" w:sz="0" w:space="0" w:color="auto"/>
            <w:bottom w:val="none" w:sz="0" w:space="0" w:color="auto"/>
            <w:right w:val="none" w:sz="0" w:space="0" w:color="auto"/>
          </w:divBdr>
        </w:div>
        <w:div w:id="1934702116">
          <w:marLeft w:val="547"/>
          <w:marRight w:val="0"/>
          <w:marTop w:val="0"/>
          <w:marBottom w:val="0"/>
          <w:divBdr>
            <w:top w:val="none" w:sz="0" w:space="0" w:color="auto"/>
            <w:left w:val="none" w:sz="0" w:space="0" w:color="auto"/>
            <w:bottom w:val="none" w:sz="0" w:space="0" w:color="auto"/>
            <w:right w:val="none" w:sz="0" w:space="0" w:color="auto"/>
          </w:divBdr>
        </w:div>
      </w:divsChild>
    </w:div>
    <w:div w:id="1885672991">
      <w:bodyDiv w:val="1"/>
      <w:marLeft w:val="0"/>
      <w:marRight w:val="0"/>
      <w:marTop w:val="0"/>
      <w:marBottom w:val="0"/>
      <w:divBdr>
        <w:top w:val="none" w:sz="0" w:space="0" w:color="auto"/>
        <w:left w:val="none" w:sz="0" w:space="0" w:color="auto"/>
        <w:bottom w:val="none" w:sz="0" w:space="0" w:color="auto"/>
        <w:right w:val="none" w:sz="0" w:space="0" w:color="auto"/>
      </w:divBdr>
    </w:div>
    <w:div w:id="1935433386">
      <w:bodyDiv w:val="1"/>
      <w:marLeft w:val="0"/>
      <w:marRight w:val="0"/>
      <w:marTop w:val="0"/>
      <w:marBottom w:val="0"/>
      <w:divBdr>
        <w:top w:val="none" w:sz="0" w:space="0" w:color="auto"/>
        <w:left w:val="none" w:sz="0" w:space="0" w:color="auto"/>
        <w:bottom w:val="none" w:sz="0" w:space="0" w:color="auto"/>
        <w:right w:val="none" w:sz="0" w:space="0" w:color="auto"/>
      </w:divBdr>
    </w:div>
    <w:div w:id="1946226591">
      <w:bodyDiv w:val="1"/>
      <w:marLeft w:val="0"/>
      <w:marRight w:val="0"/>
      <w:marTop w:val="0"/>
      <w:marBottom w:val="0"/>
      <w:divBdr>
        <w:top w:val="none" w:sz="0" w:space="0" w:color="auto"/>
        <w:left w:val="none" w:sz="0" w:space="0" w:color="auto"/>
        <w:bottom w:val="none" w:sz="0" w:space="0" w:color="auto"/>
        <w:right w:val="none" w:sz="0" w:space="0" w:color="auto"/>
      </w:divBdr>
    </w:div>
    <w:div w:id="2008825671">
      <w:bodyDiv w:val="1"/>
      <w:marLeft w:val="0"/>
      <w:marRight w:val="0"/>
      <w:marTop w:val="0"/>
      <w:marBottom w:val="0"/>
      <w:divBdr>
        <w:top w:val="none" w:sz="0" w:space="0" w:color="auto"/>
        <w:left w:val="none" w:sz="0" w:space="0" w:color="auto"/>
        <w:bottom w:val="none" w:sz="0" w:space="0" w:color="auto"/>
        <w:right w:val="none" w:sz="0" w:space="0" w:color="auto"/>
      </w:divBdr>
    </w:div>
    <w:div w:id="2028941444">
      <w:bodyDiv w:val="1"/>
      <w:marLeft w:val="0"/>
      <w:marRight w:val="0"/>
      <w:marTop w:val="0"/>
      <w:marBottom w:val="0"/>
      <w:divBdr>
        <w:top w:val="none" w:sz="0" w:space="0" w:color="auto"/>
        <w:left w:val="none" w:sz="0" w:space="0" w:color="auto"/>
        <w:bottom w:val="none" w:sz="0" w:space="0" w:color="auto"/>
        <w:right w:val="none" w:sz="0" w:space="0" w:color="auto"/>
      </w:divBdr>
    </w:div>
    <w:div w:id="2033610368">
      <w:bodyDiv w:val="1"/>
      <w:marLeft w:val="0"/>
      <w:marRight w:val="0"/>
      <w:marTop w:val="0"/>
      <w:marBottom w:val="0"/>
      <w:divBdr>
        <w:top w:val="none" w:sz="0" w:space="0" w:color="auto"/>
        <w:left w:val="none" w:sz="0" w:space="0" w:color="auto"/>
        <w:bottom w:val="none" w:sz="0" w:space="0" w:color="auto"/>
        <w:right w:val="none" w:sz="0" w:space="0" w:color="auto"/>
      </w:divBdr>
    </w:div>
    <w:div w:id="2048211130">
      <w:bodyDiv w:val="1"/>
      <w:marLeft w:val="0"/>
      <w:marRight w:val="0"/>
      <w:marTop w:val="0"/>
      <w:marBottom w:val="0"/>
      <w:divBdr>
        <w:top w:val="none" w:sz="0" w:space="0" w:color="auto"/>
        <w:left w:val="none" w:sz="0" w:space="0" w:color="auto"/>
        <w:bottom w:val="none" w:sz="0" w:space="0" w:color="auto"/>
        <w:right w:val="none" w:sz="0" w:space="0" w:color="auto"/>
      </w:divBdr>
    </w:div>
    <w:div w:id="2049720844">
      <w:bodyDiv w:val="1"/>
      <w:marLeft w:val="0"/>
      <w:marRight w:val="0"/>
      <w:marTop w:val="0"/>
      <w:marBottom w:val="0"/>
      <w:divBdr>
        <w:top w:val="none" w:sz="0" w:space="0" w:color="auto"/>
        <w:left w:val="none" w:sz="0" w:space="0" w:color="auto"/>
        <w:bottom w:val="none" w:sz="0" w:space="0" w:color="auto"/>
        <w:right w:val="none" w:sz="0" w:space="0" w:color="auto"/>
      </w:divBdr>
    </w:div>
    <w:div w:id="213447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6.xml"/><Relationship Id="rId39" Type="http://schemas.openxmlformats.org/officeDocument/2006/relationships/hyperlink" Target="http://ncp.ncc.gov.au" TargetMode="External"/><Relationship Id="rId21" Type="http://schemas.openxmlformats.org/officeDocument/2006/relationships/diagramData" Target="diagrams/data1.xml"/><Relationship Id="rId34" Type="http://schemas.openxmlformats.org/officeDocument/2006/relationships/image" Target="media/image10.png"/><Relationship Id="rId42" Type="http://schemas.openxmlformats.org/officeDocument/2006/relationships/hyperlink" Target="https://www.engie.com/en/journalists/press-releases/hazelwood-power-station-australia" TargetMode="External"/><Relationship Id="rId47" Type="http://schemas.openxmlformats.org/officeDocument/2006/relationships/hyperlink" Target="https://environment.des.qld.gov.au/__data/assets/pdf_file/0026/95444/rs-gl-prc-plan.pdf" TargetMode="External"/><Relationship Id="rId50" Type="http://schemas.openxmlformats.org/officeDocument/2006/relationships/hyperlink" Target="https://www.business.qld.gov.au/running-business/environment/licences-permits/rehabilitation/residual" TargetMode="External"/><Relationship Id="rId55" Type="http://schemas.openxmlformats.org/officeDocument/2006/relationships/hyperlink" Target="https://www.climatechange.vic.gov.au/reducing-emissions/emissions-targets" TargetMode="External"/><Relationship Id="rId63"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6.png"/><Relationship Id="rId11" Type="http://schemas.openxmlformats.org/officeDocument/2006/relationships/footer" Target="footer1.xml"/><Relationship Id="rId24" Type="http://schemas.openxmlformats.org/officeDocument/2006/relationships/diagramColors" Target="diagrams/colors1.xml"/><Relationship Id="rId32" Type="http://schemas.openxmlformats.org/officeDocument/2006/relationships/header" Target="header7.xml"/><Relationship Id="rId37" Type="http://schemas.openxmlformats.org/officeDocument/2006/relationships/image" Target="media/image13.png"/><Relationship Id="rId40" Type="http://schemas.openxmlformats.org/officeDocument/2006/relationships/hyperlink" Target="https://earthresources.vic.gov.au/__data/assets/pdf_file/0020/461315/Compliance-Strategy-final-published-190321.pdf" TargetMode="External"/><Relationship Id="rId45" Type="http://schemas.openxmlformats.org/officeDocument/2006/relationships/hyperlink" Target="https://www.iea.org/reports/world-energy-outlook-2020" TargetMode="External"/><Relationship Id="rId53" Type="http://schemas.openxmlformats.org/officeDocument/2006/relationships/hyperlink" Target="https://www.sbs.com.au/news/a-timeline-of-hazelwood-power-station"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3.png"/><Relationship Id="rId14" Type="http://schemas.openxmlformats.org/officeDocument/2006/relationships/footer" Target="footer3.xml"/><Relationship Id="rId22" Type="http://schemas.openxmlformats.org/officeDocument/2006/relationships/diagramLayout" Target="diagrams/layout1.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hyperlink" Target="https://www.theage.com.au/national/victoria/from-the-archives-1977-400-battle-giant-morwell-coal-mine-fire-20191031-p5367g.html" TargetMode="External"/><Relationship Id="rId48" Type="http://schemas.openxmlformats.org/officeDocument/2006/relationships/hyperlink" Target="https://environment.des.qld.gov.au/management/policy-regulation/mining-rehab-reforms" TargetMode="External"/><Relationship Id="rId56" Type="http://schemas.openxmlformats.org/officeDocument/2006/relationships/hyperlink" Target="https://www.energy.vic.gov.au/renewable-energy/victorias-renewable-energy-targets" TargetMode="External"/><Relationship Id="rId64"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hyperlink" Target="https://s3.treasury.qld.gov.au/files/review-of-queenslands-financial-assurance-framework.pdf"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microsoft.com/office/2007/relationships/diagramDrawing" Target="diagrams/drawing1.xml"/><Relationship Id="rId33" Type="http://schemas.openxmlformats.org/officeDocument/2006/relationships/image" Target="media/image9.png"/><Relationship Id="rId38" Type="http://schemas.openxmlformats.org/officeDocument/2006/relationships/hyperlink" Target="https://www.bp.com/en/global/corporate/energy-economics/statistical-review-of-world-energy/coal.html.html" TargetMode="External"/><Relationship Id="rId46" Type="http://schemas.openxmlformats.org/officeDocument/2006/relationships/hyperlink" Target="https://www.premier.vic.gov.au/repairing-yallourn-mine-ensure-our-energy-security" TargetMode="External"/><Relationship Id="rId20" Type="http://schemas.openxmlformats.org/officeDocument/2006/relationships/footer" Target="footer6.xml"/><Relationship Id="rId41" Type="http://schemas.openxmlformats.org/officeDocument/2006/relationships/hyperlink" Target="https://earthresources.vic.gov.au/legislation-and-regulations/guidelines-and-codes-of-practice/rehabilitation-bonds" TargetMode="External"/><Relationship Id="rId54" Type="http://schemas.openxmlformats.org/officeDocument/2006/relationships/hyperlink" Target="http://dx.doi.org/10.11636/1327-1466.2020" TargetMode="External"/><Relationship Id="rId62"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diagramQuickStyle" Target="diagrams/quickStyle1.xml"/><Relationship Id="rId28" Type="http://schemas.openxmlformats.org/officeDocument/2006/relationships/image" Target="media/image5.png"/><Relationship Id="rId36" Type="http://schemas.openxmlformats.org/officeDocument/2006/relationships/image" Target="media/image12.png"/><Relationship Id="rId49" Type="http://schemas.openxmlformats.org/officeDocument/2006/relationships/hyperlink" Target="https://www.business.qld.gov.au/running-business/environment/licences-permits/rehabilitation/certification" TargetMode="External"/><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8.png"/><Relationship Id="rId44" Type="http://schemas.openxmlformats.org/officeDocument/2006/relationships/hyperlink" Target="https://www.iea.org/reports/world-energy-outlook-2020/an-energy-world-in-lockdown" TargetMode="External"/><Relationship Id="rId52" Type="http://schemas.openxmlformats.org/officeDocument/2006/relationships/hyperlink" Target="https://s3.treasury.qld.gov.au/files/better-mine-rehabilitation-in-qld-discussion-paper1.pdf" TargetMode="External"/><Relationship Id="rId65"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s3.treasury.qld.gov.au/files/review-of-queenslands-financial-assurance-framework.pdf" TargetMode="External"/><Relationship Id="rId13" Type="http://schemas.openxmlformats.org/officeDocument/2006/relationships/hyperlink" Target="https://environment.des.qld.gov.au/__data/assets/pdf_file/0026/95444/rs-gl-prc-plan.pdf" TargetMode="External"/><Relationship Id="rId3" Type="http://schemas.openxmlformats.org/officeDocument/2006/relationships/hyperlink" Target="https://earthresources.vic.gov.au/__data/assets/pdf_file/0006/614922/13262-DJPR-RRV-DELWP-Abandoned-and-Legacy-Mines-Joint-Statement_WEB-V1.pdf" TargetMode="External"/><Relationship Id="rId7" Type="http://schemas.openxmlformats.org/officeDocument/2006/relationships/hyperlink" Target="http://ncp.ncc.gov.au" TargetMode="External"/><Relationship Id="rId12" Type="http://schemas.openxmlformats.org/officeDocument/2006/relationships/hyperlink" Target="https://environment.des.qld.gov.au/__data/assets/pdf_file/0026/95444/rs-gl-prc-plan.pdf" TargetMode="External"/><Relationship Id="rId17" Type="http://schemas.openxmlformats.org/officeDocument/2006/relationships/hyperlink" Target="https://environment.des.qld.gov.au/__data/assets/pdf_file/0026/95444/rs-gl-prc-plan.pdf" TargetMode="External"/><Relationship Id="rId2" Type="http://schemas.openxmlformats.org/officeDocument/2006/relationships/hyperlink" Target="https://earthresources.vic.gov.au/community-and-land-use/rehabilitation/site-rehabilitation-vago-response" TargetMode="External"/><Relationship Id="rId16" Type="http://schemas.openxmlformats.org/officeDocument/2006/relationships/hyperlink" Target="https://environment.des.qld.gov.au/__data/assets/pdf_file/0026/95444/rs-gl-prc-plan.pdf" TargetMode="External"/><Relationship Id="rId1" Type="http://schemas.openxmlformats.org/officeDocument/2006/relationships/hyperlink" Target="https://www.audit.vic.gov.au/report/rehabilitating-mines" TargetMode="External"/><Relationship Id="rId6" Type="http://schemas.openxmlformats.org/officeDocument/2006/relationships/hyperlink" Target="https://earthresources.vic.gov.au/__data/assets/pdf_file/0018/513342/Preparation-of-rehabilitation-plans-Guideline-for-mining-and-prospecting-projects-February-2020.pdf" TargetMode="External"/><Relationship Id="rId11" Type="http://schemas.openxmlformats.org/officeDocument/2006/relationships/hyperlink" Target="https://environment.des.qld.gov.au/__data/assets/pdf_file/0026/95444/rs-gl-prc-plan.pdf" TargetMode="External"/><Relationship Id="rId5" Type="http://schemas.openxmlformats.org/officeDocument/2006/relationships/hyperlink" Target="https://www.theage.com.au/national/victoria/from-the-archives-1977-400-battle-giant-morwell-coal-mine-fire-20191031-p5367g.html" TargetMode="External"/><Relationship Id="rId15" Type="http://schemas.openxmlformats.org/officeDocument/2006/relationships/hyperlink" Target="https://environment.des.qld.gov.au/__data/assets/pdf_file/0026/95444/rs-gl-prc-plan.pdf" TargetMode="External"/><Relationship Id="rId10" Type="http://schemas.openxmlformats.org/officeDocument/2006/relationships/hyperlink" Target="https://environment.des.qld.gov.au/__data/assets/pdf_file/0026/95444/rs-gl-prc-plan.pdf" TargetMode="External"/><Relationship Id="rId4" Type="http://schemas.openxmlformats.org/officeDocument/2006/relationships/hyperlink" Target="https://www.sbs.com.au/news/a-timeline-of-hazelwood-power-station" TargetMode="External"/><Relationship Id="rId9" Type="http://schemas.openxmlformats.org/officeDocument/2006/relationships/hyperlink" Target="https://environment.des.qld.gov.au/__data/assets/pdf_file/0026/95444/rs-gl-prc-plan.pdf" TargetMode="External"/><Relationship Id="rId14" Type="http://schemas.openxmlformats.org/officeDocument/2006/relationships/hyperlink" Target="https://environment.des.qld.gov.au/__data/assets/pdf_file/0026/95444/rs-gl-prc-plan.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057EA7-40F7-FD49-96BC-DF51CBF8EDEC}" type="doc">
      <dgm:prSet loTypeId="urn:microsoft.com/office/officeart/2005/8/layout/hChevron3" loCatId="process" qsTypeId="urn:microsoft.com/office/officeart/2005/8/quickstyle/simple1" qsCatId="simple" csTypeId="urn:microsoft.com/office/officeart/2005/8/colors/accent1_3" csCatId="accent1" phldr="1"/>
      <dgm:spPr/>
    </dgm:pt>
    <dgm:pt modelId="{6B56F6D4-55B5-6F40-BF7D-91FC823F33C2}">
      <dgm:prSet phldrT="[Text]"/>
      <dgm:spPr/>
      <dgm:t>
        <a:bodyPr/>
        <a:lstStyle/>
        <a:p>
          <a:r>
            <a:rPr lang="en-GB"/>
            <a:t>Preliminary consultation to inform development of proposed Regulations</a:t>
          </a:r>
        </a:p>
      </dgm:t>
    </dgm:pt>
    <dgm:pt modelId="{E972807C-C642-CA41-8DF7-142C3AFE66A7}" type="parTrans" cxnId="{027C3EE7-2229-E74E-BA4D-1A1437D8CE86}">
      <dgm:prSet/>
      <dgm:spPr/>
      <dgm:t>
        <a:bodyPr/>
        <a:lstStyle/>
        <a:p>
          <a:endParaRPr lang="en-GB"/>
        </a:p>
      </dgm:t>
    </dgm:pt>
    <dgm:pt modelId="{4E309C99-ECE5-C24D-841A-4C2E1E24A317}" type="sibTrans" cxnId="{027C3EE7-2229-E74E-BA4D-1A1437D8CE86}">
      <dgm:prSet/>
      <dgm:spPr/>
      <dgm:t>
        <a:bodyPr/>
        <a:lstStyle/>
        <a:p>
          <a:endParaRPr lang="en-GB"/>
        </a:p>
      </dgm:t>
    </dgm:pt>
    <dgm:pt modelId="{1A1F4D7A-9768-5C4B-899A-3B5F38EDF0BB}">
      <dgm:prSet phldrT="[Text]"/>
      <dgm:spPr/>
      <dgm:t>
        <a:bodyPr/>
        <a:lstStyle/>
        <a:p>
          <a:r>
            <a:rPr lang="en-GB"/>
            <a:t>Public consultation on the proposed Regulations</a:t>
          </a:r>
        </a:p>
      </dgm:t>
    </dgm:pt>
    <dgm:pt modelId="{575AF02B-A403-594E-B7B5-55D9D5C60560}" type="parTrans" cxnId="{5DF3B0FD-F53F-DC4D-AC05-E634ED4D20FB}">
      <dgm:prSet/>
      <dgm:spPr/>
      <dgm:t>
        <a:bodyPr/>
        <a:lstStyle/>
        <a:p>
          <a:endParaRPr lang="en-GB"/>
        </a:p>
      </dgm:t>
    </dgm:pt>
    <dgm:pt modelId="{43FE2DBE-55CB-4940-88AA-7BB91C83A31A}" type="sibTrans" cxnId="{5DF3B0FD-F53F-DC4D-AC05-E634ED4D20FB}">
      <dgm:prSet/>
      <dgm:spPr/>
      <dgm:t>
        <a:bodyPr/>
        <a:lstStyle/>
        <a:p>
          <a:endParaRPr lang="en-GB"/>
        </a:p>
      </dgm:t>
    </dgm:pt>
    <dgm:pt modelId="{59A65A82-8736-4A45-B419-5172645A5A28}">
      <dgm:prSet phldrT="[Text]"/>
      <dgm:spPr/>
      <dgm:t>
        <a:bodyPr/>
        <a:lstStyle/>
        <a:p>
          <a:r>
            <a:rPr lang="en-GB"/>
            <a:t>Consideration of all submissions on the proposed Regulations</a:t>
          </a:r>
        </a:p>
      </dgm:t>
    </dgm:pt>
    <dgm:pt modelId="{B40B0403-E87A-2440-8107-F15EC006BE22}" type="parTrans" cxnId="{81CF34DE-A1D9-204C-AB49-CC3A7D216F53}">
      <dgm:prSet/>
      <dgm:spPr/>
      <dgm:t>
        <a:bodyPr/>
        <a:lstStyle/>
        <a:p>
          <a:endParaRPr lang="en-GB"/>
        </a:p>
      </dgm:t>
    </dgm:pt>
    <dgm:pt modelId="{9A698333-92FC-8748-99B1-1EE3E3951F3E}" type="sibTrans" cxnId="{81CF34DE-A1D9-204C-AB49-CC3A7D216F53}">
      <dgm:prSet/>
      <dgm:spPr/>
      <dgm:t>
        <a:bodyPr/>
        <a:lstStyle/>
        <a:p>
          <a:endParaRPr lang="en-GB"/>
        </a:p>
      </dgm:t>
    </dgm:pt>
    <dgm:pt modelId="{3320799F-66C8-BB47-A33E-43345F820402}">
      <dgm:prSet/>
      <dgm:spPr/>
      <dgm:t>
        <a:bodyPr/>
        <a:lstStyle/>
        <a:p>
          <a:r>
            <a:rPr lang="en-GB"/>
            <a:t>Final decision on whether to make Regulations as proposed</a:t>
          </a:r>
        </a:p>
      </dgm:t>
    </dgm:pt>
    <dgm:pt modelId="{0641FBE3-C804-7F43-8FC2-5008E416B6F7}" type="parTrans" cxnId="{37242202-AA9E-044E-A41F-42A27A3A1957}">
      <dgm:prSet/>
      <dgm:spPr/>
      <dgm:t>
        <a:bodyPr/>
        <a:lstStyle/>
        <a:p>
          <a:endParaRPr lang="en-GB"/>
        </a:p>
      </dgm:t>
    </dgm:pt>
    <dgm:pt modelId="{DC9C3BA3-E1F3-114D-BD4A-60891C3AF7A7}" type="sibTrans" cxnId="{37242202-AA9E-044E-A41F-42A27A3A1957}">
      <dgm:prSet/>
      <dgm:spPr/>
      <dgm:t>
        <a:bodyPr/>
        <a:lstStyle/>
        <a:p>
          <a:endParaRPr lang="en-GB"/>
        </a:p>
      </dgm:t>
    </dgm:pt>
    <dgm:pt modelId="{5EFBFC0F-E07F-2C47-BE80-175B5D8E5581}" type="pres">
      <dgm:prSet presAssocID="{1B057EA7-40F7-FD49-96BC-DF51CBF8EDEC}" presName="Name0" presStyleCnt="0">
        <dgm:presLayoutVars>
          <dgm:dir/>
          <dgm:resizeHandles val="exact"/>
        </dgm:presLayoutVars>
      </dgm:prSet>
      <dgm:spPr/>
    </dgm:pt>
    <dgm:pt modelId="{7F63B049-6A6A-2D41-8ADD-6639709548A1}" type="pres">
      <dgm:prSet presAssocID="{6B56F6D4-55B5-6F40-BF7D-91FC823F33C2}" presName="parTxOnly" presStyleLbl="node1" presStyleIdx="0" presStyleCnt="4">
        <dgm:presLayoutVars>
          <dgm:bulletEnabled val="1"/>
        </dgm:presLayoutVars>
      </dgm:prSet>
      <dgm:spPr/>
    </dgm:pt>
    <dgm:pt modelId="{C7C86710-9271-FA49-B000-E96DFF2D2841}" type="pres">
      <dgm:prSet presAssocID="{4E309C99-ECE5-C24D-841A-4C2E1E24A317}" presName="parSpace" presStyleCnt="0"/>
      <dgm:spPr/>
    </dgm:pt>
    <dgm:pt modelId="{65EF7172-2022-5F4E-850F-53121AFB0794}" type="pres">
      <dgm:prSet presAssocID="{1A1F4D7A-9768-5C4B-899A-3B5F38EDF0BB}" presName="parTxOnly" presStyleLbl="node1" presStyleIdx="1" presStyleCnt="4">
        <dgm:presLayoutVars>
          <dgm:bulletEnabled val="1"/>
        </dgm:presLayoutVars>
      </dgm:prSet>
      <dgm:spPr/>
    </dgm:pt>
    <dgm:pt modelId="{7B5B853D-9BA0-F94C-B86A-958F2F6564E1}" type="pres">
      <dgm:prSet presAssocID="{43FE2DBE-55CB-4940-88AA-7BB91C83A31A}" presName="parSpace" presStyleCnt="0"/>
      <dgm:spPr/>
    </dgm:pt>
    <dgm:pt modelId="{AE7F32BC-2FDC-BC4B-A383-A922A97F967D}" type="pres">
      <dgm:prSet presAssocID="{59A65A82-8736-4A45-B419-5172645A5A28}" presName="parTxOnly" presStyleLbl="node1" presStyleIdx="2" presStyleCnt="4">
        <dgm:presLayoutVars>
          <dgm:bulletEnabled val="1"/>
        </dgm:presLayoutVars>
      </dgm:prSet>
      <dgm:spPr/>
    </dgm:pt>
    <dgm:pt modelId="{B1759A7A-99C0-5F46-BDCF-8F08E62E5695}" type="pres">
      <dgm:prSet presAssocID="{9A698333-92FC-8748-99B1-1EE3E3951F3E}" presName="parSpace" presStyleCnt="0"/>
      <dgm:spPr/>
    </dgm:pt>
    <dgm:pt modelId="{77743359-8A7B-DB44-948B-2A4AD4385BC1}" type="pres">
      <dgm:prSet presAssocID="{3320799F-66C8-BB47-A33E-43345F820402}" presName="parTxOnly" presStyleLbl="node1" presStyleIdx="3" presStyleCnt="4">
        <dgm:presLayoutVars>
          <dgm:bulletEnabled val="1"/>
        </dgm:presLayoutVars>
      </dgm:prSet>
      <dgm:spPr/>
    </dgm:pt>
  </dgm:ptLst>
  <dgm:cxnLst>
    <dgm:cxn modelId="{37242202-AA9E-044E-A41F-42A27A3A1957}" srcId="{1B057EA7-40F7-FD49-96BC-DF51CBF8EDEC}" destId="{3320799F-66C8-BB47-A33E-43345F820402}" srcOrd="3" destOrd="0" parTransId="{0641FBE3-C804-7F43-8FC2-5008E416B6F7}" sibTransId="{DC9C3BA3-E1F3-114D-BD4A-60891C3AF7A7}"/>
    <dgm:cxn modelId="{057D3A08-487D-4B49-AE62-2C6423286E2B}" type="presOf" srcId="{1B057EA7-40F7-FD49-96BC-DF51CBF8EDEC}" destId="{5EFBFC0F-E07F-2C47-BE80-175B5D8E5581}" srcOrd="0" destOrd="0" presId="urn:microsoft.com/office/officeart/2005/8/layout/hChevron3"/>
    <dgm:cxn modelId="{8472373F-EB1F-4563-BB2D-4AB238806182}" type="presOf" srcId="{1A1F4D7A-9768-5C4B-899A-3B5F38EDF0BB}" destId="{65EF7172-2022-5F4E-850F-53121AFB0794}" srcOrd="0" destOrd="0" presId="urn:microsoft.com/office/officeart/2005/8/layout/hChevron3"/>
    <dgm:cxn modelId="{00E17D58-9C39-4A62-9228-83B859FDF097}" type="presOf" srcId="{3320799F-66C8-BB47-A33E-43345F820402}" destId="{77743359-8A7B-DB44-948B-2A4AD4385BC1}" srcOrd="0" destOrd="0" presId="urn:microsoft.com/office/officeart/2005/8/layout/hChevron3"/>
    <dgm:cxn modelId="{D76173AF-979C-4425-BF6D-28DAF28BA62F}" type="presOf" srcId="{6B56F6D4-55B5-6F40-BF7D-91FC823F33C2}" destId="{7F63B049-6A6A-2D41-8ADD-6639709548A1}" srcOrd="0" destOrd="0" presId="urn:microsoft.com/office/officeart/2005/8/layout/hChevron3"/>
    <dgm:cxn modelId="{4240C4C2-E07B-4D17-9A55-F8248B1967A4}" type="presOf" srcId="{59A65A82-8736-4A45-B419-5172645A5A28}" destId="{AE7F32BC-2FDC-BC4B-A383-A922A97F967D}" srcOrd="0" destOrd="0" presId="urn:microsoft.com/office/officeart/2005/8/layout/hChevron3"/>
    <dgm:cxn modelId="{027C3EE7-2229-E74E-BA4D-1A1437D8CE86}" srcId="{1B057EA7-40F7-FD49-96BC-DF51CBF8EDEC}" destId="{6B56F6D4-55B5-6F40-BF7D-91FC823F33C2}" srcOrd="0" destOrd="0" parTransId="{E972807C-C642-CA41-8DF7-142C3AFE66A7}" sibTransId="{4E309C99-ECE5-C24D-841A-4C2E1E24A317}"/>
    <dgm:cxn modelId="{5DF3B0FD-F53F-DC4D-AC05-E634ED4D20FB}" srcId="{1B057EA7-40F7-FD49-96BC-DF51CBF8EDEC}" destId="{1A1F4D7A-9768-5C4B-899A-3B5F38EDF0BB}" srcOrd="1" destOrd="0" parTransId="{575AF02B-A403-594E-B7B5-55D9D5C60560}" sibTransId="{43FE2DBE-55CB-4940-88AA-7BB91C83A31A}"/>
    <dgm:cxn modelId="{81CF34DE-A1D9-204C-AB49-CC3A7D216F53}" srcId="{1B057EA7-40F7-FD49-96BC-DF51CBF8EDEC}" destId="{59A65A82-8736-4A45-B419-5172645A5A28}" srcOrd="2" destOrd="0" parTransId="{B40B0403-E87A-2440-8107-F15EC006BE22}" sibTransId="{9A698333-92FC-8748-99B1-1EE3E3951F3E}"/>
    <dgm:cxn modelId="{4D53BA14-63D2-49BB-9375-113863D9BBC0}" type="presParOf" srcId="{5EFBFC0F-E07F-2C47-BE80-175B5D8E5581}" destId="{7F63B049-6A6A-2D41-8ADD-6639709548A1}" srcOrd="0" destOrd="0" presId="urn:microsoft.com/office/officeart/2005/8/layout/hChevron3"/>
    <dgm:cxn modelId="{2ED2909C-678A-4864-B520-358EAC3F7AE1}" type="presParOf" srcId="{5EFBFC0F-E07F-2C47-BE80-175B5D8E5581}" destId="{C7C86710-9271-FA49-B000-E96DFF2D2841}" srcOrd="1" destOrd="0" presId="urn:microsoft.com/office/officeart/2005/8/layout/hChevron3"/>
    <dgm:cxn modelId="{8DC23248-5C59-480D-A545-78C3114E952A}" type="presParOf" srcId="{5EFBFC0F-E07F-2C47-BE80-175B5D8E5581}" destId="{65EF7172-2022-5F4E-850F-53121AFB0794}" srcOrd="2" destOrd="0" presId="urn:microsoft.com/office/officeart/2005/8/layout/hChevron3"/>
    <dgm:cxn modelId="{75087174-9855-479E-B698-BD1401F971D5}" type="presParOf" srcId="{5EFBFC0F-E07F-2C47-BE80-175B5D8E5581}" destId="{7B5B853D-9BA0-F94C-B86A-958F2F6564E1}" srcOrd="3" destOrd="0" presId="urn:microsoft.com/office/officeart/2005/8/layout/hChevron3"/>
    <dgm:cxn modelId="{EC768020-B023-4E06-8840-BC16988C27C2}" type="presParOf" srcId="{5EFBFC0F-E07F-2C47-BE80-175B5D8E5581}" destId="{AE7F32BC-2FDC-BC4B-A383-A922A97F967D}" srcOrd="4" destOrd="0" presId="urn:microsoft.com/office/officeart/2005/8/layout/hChevron3"/>
    <dgm:cxn modelId="{A44CB06D-0041-4098-A0FF-F108DAED1A70}" type="presParOf" srcId="{5EFBFC0F-E07F-2C47-BE80-175B5D8E5581}" destId="{B1759A7A-99C0-5F46-BDCF-8F08E62E5695}" srcOrd="5" destOrd="0" presId="urn:microsoft.com/office/officeart/2005/8/layout/hChevron3"/>
    <dgm:cxn modelId="{F288AD14-EFDC-4B67-8B59-1A7374A4A8DA}" type="presParOf" srcId="{5EFBFC0F-E07F-2C47-BE80-175B5D8E5581}" destId="{77743359-8A7B-DB44-948B-2A4AD4385BC1}" srcOrd="6" destOrd="0" presId="urn:microsoft.com/office/officeart/2005/8/layout/hChevron3"/>
  </dgm:cxnLst>
  <dgm:bg/>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63B049-6A6A-2D41-8ADD-6639709548A1}">
      <dsp:nvSpPr>
        <dsp:cNvPr id="0" name=""/>
        <dsp:cNvSpPr/>
      </dsp:nvSpPr>
      <dsp:spPr>
        <a:xfrm>
          <a:off x="1655" y="111263"/>
          <a:ext cx="1661418" cy="664567"/>
        </a:xfrm>
        <a:prstGeom prst="homePlate">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24003" rIns="12002" bIns="24003" numCol="1" spcCol="1270" anchor="ctr" anchorCtr="0">
          <a:noAutofit/>
        </a:bodyPr>
        <a:lstStyle/>
        <a:p>
          <a:pPr marL="0" lvl="0" indent="0" algn="ctr" defTabSz="400050">
            <a:lnSpc>
              <a:spcPct val="90000"/>
            </a:lnSpc>
            <a:spcBef>
              <a:spcPct val="0"/>
            </a:spcBef>
            <a:spcAft>
              <a:spcPct val="35000"/>
            </a:spcAft>
            <a:buNone/>
          </a:pPr>
          <a:r>
            <a:rPr lang="en-GB" sz="900" kern="1200"/>
            <a:t>Preliminary consultation to inform development of proposed Regulations</a:t>
          </a:r>
        </a:p>
      </dsp:txBody>
      <dsp:txXfrm>
        <a:off x="1655" y="111263"/>
        <a:ext cx="1495276" cy="664567"/>
      </dsp:txXfrm>
    </dsp:sp>
    <dsp:sp modelId="{65EF7172-2022-5F4E-850F-53121AFB0794}">
      <dsp:nvSpPr>
        <dsp:cNvPr id="0" name=""/>
        <dsp:cNvSpPr/>
      </dsp:nvSpPr>
      <dsp:spPr>
        <a:xfrm>
          <a:off x="1330790" y="111263"/>
          <a:ext cx="1661418" cy="664567"/>
        </a:xfrm>
        <a:prstGeom prst="chevron">
          <a:avLst/>
        </a:prstGeom>
        <a:solidFill>
          <a:schemeClr val="accent1">
            <a:shade val="80000"/>
            <a:hueOff val="266076"/>
            <a:satOff val="-15735"/>
            <a:lumOff val="1206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en-GB" sz="900" kern="1200"/>
            <a:t>Public consultation on the proposed Regulations</a:t>
          </a:r>
        </a:p>
      </dsp:txBody>
      <dsp:txXfrm>
        <a:off x="1663074" y="111263"/>
        <a:ext cx="996851" cy="664567"/>
      </dsp:txXfrm>
    </dsp:sp>
    <dsp:sp modelId="{AE7F32BC-2FDC-BC4B-A383-A922A97F967D}">
      <dsp:nvSpPr>
        <dsp:cNvPr id="0" name=""/>
        <dsp:cNvSpPr/>
      </dsp:nvSpPr>
      <dsp:spPr>
        <a:xfrm>
          <a:off x="2659925" y="111263"/>
          <a:ext cx="1661418" cy="664567"/>
        </a:xfrm>
        <a:prstGeom prst="chevron">
          <a:avLst/>
        </a:prstGeom>
        <a:solidFill>
          <a:schemeClr val="accent1">
            <a:shade val="80000"/>
            <a:hueOff val="532152"/>
            <a:satOff val="-31470"/>
            <a:lumOff val="2413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en-GB" sz="900" kern="1200"/>
            <a:t>Consideration of all submissions on the proposed Regulations</a:t>
          </a:r>
        </a:p>
      </dsp:txBody>
      <dsp:txXfrm>
        <a:off x="2992209" y="111263"/>
        <a:ext cx="996851" cy="664567"/>
      </dsp:txXfrm>
    </dsp:sp>
    <dsp:sp modelId="{77743359-8A7B-DB44-948B-2A4AD4385BC1}">
      <dsp:nvSpPr>
        <dsp:cNvPr id="0" name=""/>
        <dsp:cNvSpPr/>
      </dsp:nvSpPr>
      <dsp:spPr>
        <a:xfrm>
          <a:off x="3989060" y="111263"/>
          <a:ext cx="1661418" cy="664567"/>
        </a:xfrm>
        <a:prstGeom prst="chevron">
          <a:avLst/>
        </a:prstGeom>
        <a:solidFill>
          <a:schemeClr val="accent1">
            <a:shade val="80000"/>
            <a:hueOff val="798228"/>
            <a:satOff val="-47205"/>
            <a:lumOff val="3620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en-GB" sz="900" kern="1200"/>
            <a:t>Final decision on whether to make Regulations as proposed</a:t>
          </a:r>
        </a:p>
      </dsp:txBody>
      <dsp:txXfrm>
        <a:off x="4321344" y="111263"/>
        <a:ext cx="996851" cy="664567"/>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EDJTR">
      <a:dk1>
        <a:srgbClr val="201547"/>
      </a:dk1>
      <a:lt1>
        <a:srgbClr val="FFFFFF"/>
      </a:lt1>
      <a:dk2>
        <a:srgbClr val="004EA8"/>
      </a:dk2>
      <a:lt2>
        <a:srgbClr val="D9D9D6"/>
      </a:lt2>
      <a:accent1>
        <a:srgbClr val="0072CE"/>
      </a:accent1>
      <a:accent2>
        <a:srgbClr val="0090DA"/>
      </a:accent2>
      <a:accent3>
        <a:srgbClr val="00A9E0"/>
      </a:accent3>
      <a:accent4>
        <a:srgbClr val="71C5E8"/>
      </a:accent4>
      <a:accent5>
        <a:srgbClr val="009CA6"/>
      </a:accent5>
      <a:accent6>
        <a:srgbClr val="201547"/>
      </a:accent6>
      <a:hlink>
        <a:srgbClr val="00B7BD"/>
      </a:hlink>
      <a:folHlink>
        <a:srgbClr val="88DBD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5FC165AE82875408A0B2F87229591E4" ma:contentTypeVersion="13" ma:contentTypeDescription="Create a new document." ma:contentTypeScope="" ma:versionID="0187a74c338048b821f860b7a745ed10">
  <xsd:schema xmlns:xsd="http://www.w3.org/2001/XMLSchema" xmlns:xs="http://www.w3.org/2001/XMLSchema" xmlns:p="http://schemas.microsoft.com/office/2006/metadata/properties" xmlns:ns2="728a4fd0-3879-4942-9170-d0b18ffa1dc9" xmlns:ns3="1a132dbe-c4d7-4bfd-97a5-a113a1b8a699" targetNamespace="http://schemas.microsoft.com/office/2006/metadata/properties" ma:root="true" ma:fieldsID="f67080cb2fb34335201ab72267269883" ns2:_="" ns3:_="">
    <xsd:import namespace="728a4fd0-3879-4942-9170-d0b18ffa1dc9"/>
    <xsd:import namespace="1a132dbe-c4d7-4bfd-97a5-a113a1b8a69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8a4fd0-3879-4942-9170-d0b18ffa1d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132dbe-c4d7-4bfd-97a5-a113a1b8a69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6d3665d-8a73-4b87-8454-f68363f4f8a1}" ma:internalName="TaxCatchAll" ma:showField="CatchAllData" ma:web="1a132dbe-c4d7-4bfd-97a5-a113a1b8a6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a132dbe-c4d7-4bfd-97a5-a113a1b8a699" xsi:nil="true"/>
    <lcf76f155ced4ddcb4097134ff3c332f xmlns="728a4fd0-3879-4942-9170-d0b18ffa1dc9">
      <Terms xmlns="http://schemas.microsoft.com/office/infopath/2007/PartnerControls"/>
    </lcf76f155ced4ddcb4097134ff3c332f>
    <SharedWithUsers xmlns="1a132dbe-c4d7-4bfd-97a5-a113a1b8a699">
      <UserInfo>
        <DisplayName>Michelle X Fisher (DJPR)</DisplayName>
        <AccountId>32</AccountId>
        <AccountType/>
      </UserInfo>
      <UserInfo>
        <DisplayName>Mehnaz M Yoosuf (DJPR)</DisplayName>
        <AccountId>47</AccountId>
        <AccountType/>
      </UserInfo>
      <UserInfo>
        <DisplayName>Preethi Rupanagudi (DJPR)</DisplayName>
        <AccountId>20</AccountId>
        <AccountType/>
      </UserInfo>
      <UserInfo>
        <DisplayName>Nikita Buck (DJPR)</DisplayName>
        <AccountId>38</AccountId>
        <AccountType/>
      </UserInfo>
      <UserInfo>
        <DisplayName>Michael R Dunstan (DJPR)</DisplayName>
        <AccountId>116</AccountId>
        <AccountType/>
      </UserInfo>
      <UserInfo>
        <DisplayName>Dominic Crowley (DTF)</DisplayName>
        <AccountId>36</AccountId>
        <AccountType/>
      </UserInfo>
      <UserInfo>
        <DisplayName>Max Keldoulis (DTF)</DisplayName>
        <AccountId>27</AccountId>
        <AccountType/>
      </UserInfo>
      <UserInfo>
        <DisplayName>Laura M Cronin (DJPR)</DisplayName>
        <AccountId>30</AccountId>
        <AccountType/>
      </UserInfo>
      <UserInfo>
        <DisplayName>David Lawlor (DTF)</DisplayName>
        <AccountId>221</AccountId>
        <AccountType/>
      </UserInfo>
      <UserInfo>
        <DisplayName>Linda Bibby (DJPR)</DisplayName>
        <AccountId>37</AccountId>
        <AccountType/>
      </UserInfo>
      <UserInfo>
        <DisplayName>Brendan Atkinson (DJPR)</DisplayName>
        <AccountId>388</AccountId>
        <AccountType/>
      </UserInfo>
      <UserInfo>
        <DisplayName>Gregory McCallum (DJPR)</DisplayName>
        <AccountId>553</AccountId>
        <AccountType/>
      </UserInfo>
      <UserInfo>
        <DisplayName>John Krbaleski (DJPR)</DisplayName>
        <AccountId>53</AccountId>
        <AccountType/>
      </UserInfo>
      <UserInfo>
        <DisplayName>Anthony M Hurst (DJPR)</DisplayName>
        <AccountId>128</AccountId>
        <AccountType/>
      </UserInfo>
      <UserInfo>
        <DisplayName>Jane E Burton (DJPR)</DisplayName>
        <AccountId>56</AccountId>
        <AccountType/>
      </UserInfo>
      <UserInfo>
        <DisplayName>Ian C Filby (DJPR)</DisplayName>
        <AccountId>558</AccountId>
        <AccountType/>
      </UserInfo>
      <UserInfo>
        <DisplayName>Laura E Helm (DJPR)</DisplayName>
        <AccountId>46</AccountId>
        <AccountType/>
      </UserInfo>
      <UserInfo>
        <DisplayName>Chris V McAuley (DJPR)</DisplayName>
        <AccountId>223</AccountId>
        <AccountType/>
      </UserInfo>
      <UserInfo>
        <DisplayName>Lewis A Hill (DJPR)</DisplayName>
        <AccountId>63</AccountId>
        <AccountType/>
      </UserInfo>
      <UserInfo>
        <DisplayName>Julie C Hawkins (DJPR)</DisplayName>
        <AccountId>601</AccountId>
        <AccountType/>
      </UserInfo>
      <UserInfo>
        <DisplayName>Tony P Ising (DJPR)</DisplayName>
        <AccountId>91</AccountId>
        <AccountType/>
      </UserInfo>
      <UserInfo>
        <DisplayName>Claire E McRae (DJPR)</DisplayName>
        <AccountId>296</AccountId>
        <AccountType/>
      </UserInfo>
      <UserInfo>
        <DisplayName>Lydia M Gifford (DJPR)</DisplayName>
        <AccountId>392</AccountId>
        <AccountType/>
      </UserInfo>
      <UserInfo>
        <DisplayName>Jane M Naughtin (DJPR)</DisplayName>
        <AccountId>623</AccountId>
        <AccountType/>
      </UserInfo>
      <UserInfo>
        <DisplayName>Steven Y Shepherd (DJPR)</DisplayName>
        <AccountId>442</AccountId>
        <AccountType/>
      </UserInfo>
    </SharedWithUsers>
  </documentManagement>
</p:properties>
</file>

<file path=customXml/itemProps1.xml><?xml version="1.0" encoding="utf-8"?>
<ds:datastoreItem xmlns:ds="http://schemas.openxmlformats.org/officeDocument/2006/customXml" ds:itemID="{98F475CA-B645-4F36-968B-51E6AF44A0B8}">
  <ds:schemaRefs>
    <ds:schemaRef ds:uri="http://schemas.openxmlformats.org/officeDocument/2006/bibliography"/>
  </ds:schemaRefs>
</ds:datastoreItem>
</file>

<file path=customXml/itemProps2.xml><?xml version="1.0" encoding="utf-8"?>
<ds:datastoreItem xmlns:ds="http://schemas.openxmlformats.org/officeDocument/2006/customXml" ds:itemID="{FC95CFEB-2ACC-49E1-8753-E9D75BC9AC08}"/>
</file>

<file path=customXml/itemProps3.xml><?xml version="1.0" encoding="utf-8"?>
<ds:datastoreItem xmlns:ds="http://schemas.openxmlformats.org/officeDocument/2006/customXml" ds:itemID="{899D1370-7754-4118-B06E-087D72BB219C}"/>
</file>

<file path=customXml/itemProps4.xml><?xml version="1.0" encoding="utf-8"?>
<ds:datastoreItem xmlns:ds="http://schemas.openxmlformats.org/officeDocument/2006/customXml" ds:itemID="{D80EB6D7-C7B3-4494-9CC9-29BF1DD0B934}"/>
</file>

<file path=docProps/app.xml><?xml version="1.0" encoding="utf-8"?>
<Properties xmlns="http://schemas.openxmlformats.org/officeDocument/2006/extended-properties" xmlns:vt="http://schemas.openxmlformats.org/officeDocument/2006/docPropsVTypes">
  <Template>Normal.dotm</Template>
  <TotalTime>0</TotalTime>
  <Pages>136</Pages>
  <Words>59849</Words>
  <Characters>341143</Characters>
  <Application>Microsoft Office Word</Application>
  <DocSecurity>0</DocSecurity>
  <Lines>2842</Lines>
  <Paragraphs>800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400192</CharactersWithSpaces>
  <SharedDoc>false</SharedDoc>
  <HLinks>
    <vt:vector size="1020" baseType="variant">
      <vt:variant>
        <vt:i4>1441883</vt:i4>
      </vt:variant>
      <vt:variant>
        <vt:i4>1113</vt:i4>
      </vt:variant>
      <vt:variant>
        <vt:i4>0</vt:i4>
      </vt:variant>
      <vt:variant>
        <vt:i4>5</vt:i4>
      </vt:variant>
      <vt:variant>
        <vt:lpwstr>https://www.energy.vic.gov.au/renewable-energy/victorias-renewable-energy-targets</vt:lpwstr>
      </vt:variant>
      <vt:variant>
        <vt:lpwstr/>
      </vt:variant>
      <vt:variant>
        <vt:i4>4390938</vt:i4>
      </vt:variant>
      <vt:variant>
        <vt:i4>1110</vt:i4>
      </vt:variant>
      <vt:variant>
        <vt:i4>0</vt:i4>
      </vt:variant>
      <vt:variant>
        <vt:i4>5</vt:i4>
      </vt:variant>
      <vt:variant>
        <vt:lpwstr>https://www.climatechange.vic.gov.au/reducing-emissions/emissions-targets</vt:lpwstr>
      </vt:variant>
      <vt:variant>
        <vt:lpwstr/>
      </vt:variant>
      <vt:variant>
        <vt:i4>5242971</vt:i4>
      </vt:variant>
      <vt:variant>
        <vt:i4>1107</vt:i4>
      </vt:variant>
      <vt:variant>
        <vt:i4>0</vt:i4>
      </vt:variant>
      <vt:variant>
        <vt:i4>5</vt:i4>
      </vt:variant>
      <vt:variant>
        <vt:lpwstr>http://dx.doi.org/10.11636/1327-1466.2020</vt:lpwstr>
      </vt:variant>
      <vt:variant>
        <vt:lpwstr/>
      </vt:variant>
      <vt:variant>
        <vt:i4>1048668</vt:i4>
      </vt:variant>
      <vt:variant>
        <vt:i4>1104</vt:i4>
      </vt:variant>
      <vt:variant>
        <vt:i4>0</vt:i4>
      </vt:variant>
      <vt:variant>
        <vt:i4>5</vt:i4>
      </vt:variant>
      <vt:variant>
        <vt:lpwstr>https://www.sbs.com.au/news/a-timeline-of-hazelwood-power-station</vt:lpwstr>
      </vt:variant>
      <vt:variant>
        <vt:lpwstr/>
      </vt:variant>
      <vt:variant>
        <vt:i4>1835015</vt:i4>
      </vt:variant>
      <vt:variant>
        <vt:i4>1101</vt:i4>
      </vt:variant>
      <vt:variant>
        <vt:i4>0</vt:i4>
      </vt:variant>
      <vt:variant>
        <vt:i4>5</vt:i4>
      </vt:variant>
      <vt:variant>
        <vt:lpwstr>https://s3.treasury.qld.gov.au/files/better-mine-rehabilitation-in-qld-discussion-paper1.pdf</vt:lpwstr>
      </vt:variant>
      <vt:variant>
        <vt:lpwstr/>
      </vt:variant>
      <vt:variant>
        <vt:i4>4849735</vt:i4>
      </vt:variant>
      <vt:variant>
        <vt:i4>1098</vt:i4>
      </vt:variant>
      <vt:variant>
        <vt:i4>0</vt:i4>
      </vt:variant>
      <vt:variant>
        <vt:i4>5</vt:i4>
      </vt:variant>
      <vt:variant>
        <vt:lpwstr>https://s3.treasury.qld.gov.au/files/review-of-queenslands-financial-assurance-framework.pdf</vt:lpwstr>
      </vt:variant>
      <vt:variant>
        <vt:lpwstr/>
      </vt:variant>
      <vt:variant>
        <vt:i4>5767240</vt:i4>
      </vt:variant>
      <vt:variant>
        <vt:i4>1095</vt:i4>
      </vt:variant>
      <vt:variant>
        <vt:i4>0</vt:i4>
      </vt:variant>
      <vt:variant>
        <vt:i4>5</vt:i4>
      </vt:variant>
      <vt:variant>
        <vt:lpwstr>https://www.business.qld.gov.au/running-business/environment/licences-permits/rehabilitation/residual</vt:lpwstr>
      </vt:variant>
      <vt:variant>
        <vt:lpwstr/>
      </vt:variant>
      <vt:variant>
        <vt:i4>2818110</vt:i4>
      </vt:variant>
      <vt:variant>
        <vt:i4>1092</vt:i4>
      </vt:variant>
      <vt:variant>
        <vt:i4>0</vt:i4>
      </vt:variant>
      <vt:variant>
        <vt:i4>5</vt:i4>
      </vt:variant>
      <vt:variant>
        <vt:lpwstr>https://www.business.qld.gov.au/running-business/environment/licences-permits/rehabilitation/certification</vt:lpwstr>
      </vt:variant>
      <vt:variant>
        <vt:lpwstr/>
      </vt:variant>
      <vt:variant>
        <vt:i4>1638493</vt:i4>
      </vt:variant>
      <vt:variant>
        <vt:i4>1089</vt:i4>
      </vt:variant>
      <vt:variant>
        <vt:i4>0</vt:i4>
      </vt:variant>
      <vt:variant>
        <vt:i4>5</vt:i4>
      </vt:variant>
      <vt:variant>
        <vt:lpwstr>https://environment.des.qld.gov.au/management/policy-regulation/mining-rehab-reforms</vt:lpwstr>
      </vt:variant>
      <vt:variant>
        <vt:lpwstr/>
      </vt:variant>
      <vt:variant>
        <vt:i4>1769525</vt:i4>
      </vt:variant>
      <vt:variant>
        <vt:i4>1086</vt:i4>
      </vt:variant>
      <vt:variant>
        <vt:i4>0</vt:i4>
      </vt:variant>
      <vt:variant>
        <vt:i4>5</vt:i4>
      </vt:variant>
      <vt:variant>
        <vt:lpwstr>https://environment.des.qld.gov.au/__data/assets/pdf_file/0026/95444/rs-gl-prc-plan.pdf</vt:lpwstr>
      </vt:variant>
      <vt:variant>
        <vt:lpwstr/>
      </vt:variant>
      <vt:variant>
        <vt:i4>4259929</vt:i4>
      </vt:variant>
      <vt:variant>
        <vt:i4>1083</vt:i4>
      </vt:variant>
      <vt:variant>
        <vt:i4>0</vt:i4>
      </vt:variant>
      <vt:variant>
        <vt:i4>5</vt:i4>
      </vt:variant>
      <vt:variant>
        <vt:lpwstr>https://www.premier.vic.gov.au/repairing-yallourn-mine-ensure-our-energy-security</vt:lpwstr>
      </vt:variant>
      <vt:variant>
        <vt:lpwstr/>
      </vt:variant>
      <vt:variant>
        <vt:i4>5963779</vt:i4>
      </vt:variant>
      <vt:variant>
        <vt:i4>1080</vt:i4>
      </vt:variant>
      <vt:variant>
        <vt:i4>0</vt:i4>
      </vt:variant>
      <vt:variant>
        <vt:i4>5</vt:i4>
      </vt:variant>
      <vt:variant>
        <vt:lpwstr>https://www.iea.org/reports/world-energy-outlook-2020</vt:lpwstr>
      </vt:variant>
      <vt:variant>
        <vt:lpwstr/>
      </vt:variant>
      <vt:variant>
        <vt:i4>983127</vt:i4>
      </vt:variant>
      <vt:variant>
        <vt:i4>1077</vt:i4>
      </vt:variant>
      <vt:variant>
        <vt:i4>0</vt:i4>
      </vt:variant>
      <vt:variant>
        <vt:i4>5</vt:i4>
      </vt:variant>
      <vt:variant>
        <vt:lpwstr>https://www.iea.org/reports/world-energy-outlook-2020/an-energy-world-in-lockdown</vt:lpwstr>
      </vt:variant>
      <vt:variant>
        <vt:lpwstr>abstract</vt:lpwstr>
      </vt:variant>
      <vt:variant>
        <vt:i4>3997817</vt:i4>
      </vt:variant>
      <vt:variant>
        <vt:i4>1074</vt:i4>
      </vt:variant>
      <vt:variant>
        <vt:i4>0</vt:i4>
      </vt:variant>
      <vt:variant>
        <vt:i4>5</vt:i4>
      </vt:variant>
      <vt:variant>
        <vt:lpwstr>https://www.theage.com.au/national/victoria/from-the-archives-1977-400-battle-giant-morwell-coal-mine-fire-20191031-p5367g.html</vt:lpwstr>
      </vt:variant>
      <vt:variant>
        <vt:lpwstr/>
      </vt:variant>
      <vt:variant>
        <vt:i4>6029336</vt:i4>
      </vt:variant>
      <vt:variant>
        <vt:i4>1071</vt:i4>
      </vt:variant>
      <vt:variant>
        <vt:i4>0</vt:i4>
      </vt:variant>
      <vt:variant>
        <vt:i4>5</vt:i4>
      </vt:variant>
      <vt:variant>
        <vt:lpwstr>https://www.engie.com/en/journalists/press-releases/hazelwood-power-station-australia</vt:lpwstr>
      </vt:variant>
      <vt:variant>
        <vt:lpwstr/>
      </vt:variant>
      <vt:variant>
        <vt:i4>7667834</vt:i4>
      </vt:variant>
      <vt:variant>
        <vt:i4>1068</vt:i4>
      </vt:variant>
      <vt:variant>
        <vt:i4>0</vt:i4>
      </vt:variant>
      <vt:variant>
        <vt:i4>5</vt:i4>
      </vt:variant>
      <vt:variant>
        <vt:lpwstr>https://earthresources.vic.gov.au/legislation-and-regulations/guidelines-and-codes-of-practice/rehabilitation-bonds</vt:lpwstr>
      </vt:variant>
      <vt:variant>
        <vt:lpwstr/>
      </vt:variant>
      <vt:variant>
        <vt:i4>3670108</vt:i4>
      </vt:variant>
      <vt:variant>
        <vt:i4>1065</vt:i4>
      </vt:variant>
      <vt:variant>
        <vt:i4>0</vt:i4>
      </vt:variant>
      <vt:variant>
        <vt:i4>5</vt:i4>
      </vt:variant>
      <vt:variant>
        <vt:lpwstr>https://earthresources.vic.gov.au/__data/assets/pdf_file/0020/461315/Compliance-Strategy-final-published-190321.pdf</vt:lpwstr>
      </vt:variant>
      <vt:variant>
        <vt:lpwstr/>
      </vt:variant>
      <vt:variant>
        <vt:i4>6750269</vt:i4>
      </vt:variant>
      <vt:variant>
        <vt:i4>1062</vt:i4>
      </vt:variant>
      <vt:variant>
        <vt:i4>0</vt:i4>
      </vt:variant>
      <vt:variant>
        <vt:i4>5</vt:i4>
      </vt:variant>
      <vt:variant>
        <vt:lpwstr>http://ncp.ncc.gov.au/</vt:lpwstr>
      </vt:variant>
      <vt:variant>
        <vt:lpwstr/>
      </vt:variant>
      <vt:variant>
        <vt:i4>1769554</vt:i4>
      </vt:variant>
      <vt:variant>
        <vt:i4>1059</vt:i4>
      </vt:variant>
      <vt:variant>
        <vt:i4>0</vt:i4>
      </vt:variant>
      <vt:variant>
        <vt:i4>5</vt:i4>
      </vt:variant>
      <vt:variant>
        <vt:lpwstr>https://www.bp.com/en/global/corporate/energy-economics/statistical-review-of-world-energy/coal.html.html</vt:lpwstr>
      </vt:variant>
      <vt:variant>
        <vt:lpwstr>coal-consumption</vt:lpwstr>
      </vt:variant>
      <vt:variant>
        <vt:i4>1441842</vt:i4>
      </vt:variant>
      <vt:variant>
        <vt:i4>806</vt:i4>
      </vt:variant>
      <vt:variant>
        <vt:i4>0</vt:i4>
      </vt:variant>
      <vt:variant>
        <vt:i4>5</vt:i4>
      </vt:variant>
      <vt:variant>
        <vt:lpwstr/>
      </vt:variant>
      <vt:variant>
        <vt:lpwstr>_Toc104217643</vt:lpwstr>
      </vt:variant>
      <vt:variant>
        <vt:i4>1441842</vt:i4>
      </vt:variant>
      <vt:variant>
        <vt:i4>800</vt:i4>
      </vt:variant>
      <vt:variant>
        <vt:i4>0</vt:i4>
      </vt:variant>
      <vt:variant>
        <vt:i4>5</vt:i4>
      </vt:variant>
      <vt:variant>
        <vt:lpwstr/>
      </vt:variant>
      <vt:variant>
        <vt:lpwstr>_Toc104217642</vt:lpwstr>
      </vt:variant>
      <vt:variant>
        <vt:i4>1441842</vt:i4>
      </vt:variant>
      <vt:variant>
        <vt:i4>794</vt:i4>
      </vt:variant>
      <vt:variant>
        <vt:i4>0</vt:i4>
      </vt:variant>
      <vt:variant>
        <vt:i4>5</vt:i4>
      </vt:variant>
      <vt:variant>
        <vt:lpwstr/>
      </vt:variant>
      <vt:variant>
        <vt:lpwstr>_Toc104217641</vt:lpwstr>
      </vt:variant>
      <vt:variant>
        <vt:i4>1441842</vt:i4>
      </vt:variant>
      <vt:variant>
        <vt:i4>788</vt:i4>
      </vt:variant>
      <vt:variant>
        <vt:i4>0</vt:i4>
      </vt:variant>
      <vt:variant>
        <vt:i4>5</vt:i4>
      </vt:variant>
      <vt:variant>
        <vt:lpwstr/>
      </vt:variant>
      <vt:variant>
        <vt:lpwstr>_Toc104217640</vt:lpwstr>
      </vt:variant>
      <vt:variant>
        <vt:i4>1114162</vt:i4>
      </vt:variant>
      <vt:variant>
        <vt:i4>782</vt:i4>
      </vt:variant>
      <vt:variant>
        <vt:i4>0</vt:i4>
      </vt:variant>
      <vt:variant>
        <vt:i4>5</vt:i4>
      </vt:variant>
      <vt:variant>
        <vt:lpwstr/>
      </vt:variant>
      <vt:variant>
        <vt:lpwstr>_Toc104217639</vt:lpwstr>
      </vt:variant>
      <vt:variant>
        <vt:i4>1114162</vt:i4>
      </vt:variant>
      <vt:variant>
        <vt:i4>776</vt:i4>
      </vt:variant>
      <vt:variant>
        <vt:i4>0</vt:i4>
      </vt:variant>
      <vt:variant>
        <vt:i4>5</vt:i4>
      </vt:variant>
      <vt:variant>
        <vt:lpwstr/>
      </vt:variant>
      <vt:variant>
        <vt:lpwstr>_Toc104217638</vt:lpwstr>
      </vt:variant>
      <vt:variant>
        <vt:i4>1114162</vt:i4>
      </vt:variant>
      <vt:variant>
        <vt:i4>770</vt:i4>
      </vt:variant>
      <vt:variant>
        <vt:i4>0</vt:i4>
      </vt:variant>
      <vt:variant>
        <vt:i4>5</vt:i4>
      </vt:variant>
      <vt:variant>
        <vt:lpwstr/>
      </vt:variant>
      <vt:variant>
        <vt:lpwstr>_Toc104217637</vt:lpwstr>
      </vt:variant>
      <vt:variant>
        <vt:i4>1114162</vt:i4>
      </vt:variant>
      <vt:variant>
        <vt:i4>764</vt:i4>
      </vt:variant>
      <vt:variant>
        <vt:i4>0</vt:i4>
      </vt:variant>
      <vt:variant>
        <vt:i4>5</vt:i4>
      </vt:variant>
      <vt:variant>
        <vt:lpwstr/>
      </vt:variant>
      <vt:variant>
        <vt:lpwstr>_Toc104217636</vt:lpwstr>
      </vt:variant>
      <vt:variant>
        <vt:i4>1114162</vt:i4>
      </vt:variant>
      <vt:variant>
        <vt:i4>758</vt:i4>
      </vt:variant>
      <vt:variant>
        <vt:i4>0</vt:i4>
      </vt:variant>
      <vt:variant>
        <vt:i4>5</vt:i4>
      </vt:variant>
      <vt:variant>
        <vt:lpwstr/>
      </vt:variant>
      <vt:variant>
        <vt:lpwstr>_Toc104217635</vt:lpwstr>
      </vt:variant>
      <vt:variant>
        <vt:i4>1114162</vt:i4>
      </vt:variant>
      <vt:variant>
        <vt:i4>752</vt:i4>
      </vt:variant>
      <vt:variant>
        <vt:i4>0</vt:i4>
      </vt:variant>
      <vt:variant>
        <vt:i4>5</vt:i4>
      </vt:variant>
      <vt:variant>
        <vt:lpwstr/>
      </vt:variant>
      <vt:variant>
        <vt:lpwstr>_Toc104217634</vt:lpwstr>
      </vt:variant>
      <vt:variant>
        <vt:i4>1114162</vt:i4>
      </vt:variant>
      <vt:variant>
        <vt:i4>746</vt:i4>
      </vt:variant>
      <vt:variant>
        <vt:i4>0</vt:i4>
      </vt:variant>
      <vt:variant>
        <vt:i4>5</vt:i4>
      </vt:variant>
      <vt:variant>
        <vt:lpwstr/>
      </vt:variant>
      <vt:variant>
        <vt:lpwstr>_Toc104217633</vt:lpwstr>
      </vt:variant>
      <vt:variant>
        <vt:i4>1114162</vt:i4>
      </vt:variant>
      <vt:variant>
        <vt:i4>740</vt:i4>
      </vt:variant>
      <vt:variant>
        <vt:i4>0</vt:i4>
      </vt:variant>
      <vt:variant>
        <vt:i4>5</vt:i4>
      </vt:variant>
      <vt:variant>
        <vt:lpwstr/>
      </vt:variant>
      <vt:variant>
        <vt:lpwstr>_Toc104217632</vt:lpwstr>
      </vt:variant>
      <vt:variant>
        <vt:i4>1114162</vt:i4>
      </vt:variant>
      <vt:variant>
        <vt:i4>734</vt:i4>
      </vt:variant>
      <vt:variant>
        <vt:i4>0</vt:i4>
      </vt:variant>
      <vt:variant>
        <vt:i4>5</vt:i4>
      </vt:variant>
      <vt:variant>
        <vt:lpwstr/>
      </vt:variant>
      <vt:variant>
        <vt:lpwstr>_Toc104217631</vt:lpwstr>
      </vt:variant>
      <vt:variant>
        <vt:i4>1114162</vt:i4>
      </vt:variant>
      <vt:variant>
        <vt:i4>728</vt:i4>
      </vt:variant>
      <vt:variant>
        <vt:i4>0</vt:i4>
      </vt:variant>
      <vt:variant>
        <vt:i4>5</vt:i4>
      </vt:variant>
      <vt:variant>
        <vt:lpwstr/>
      </vt:variant>
      <vt:variant>
        <vt:lpwstr>_Toc104217630</vt:lpwstr>
      </vt:variant>
      <vt:variant>
        <vt:i4>1048626</vt:i4>
      </vt:variant>
      <vt:variant>
        <vt:i4>722</vt:i4>
      </vt:variant>
      <vt:variant>
        <vt:i4>0</vt:i4>
      </vt:variant>
      <vt:variant>
        <vt:i4>5</vt:i4>
      </vt:variant>
      <vt:variant>
        <vt:lpwstr/>
      </vt:variant>
      <vt:variant>
        <vt:lpwstr>_Toc104217629</vt:lpwstr>
      </vt:variant>
      <vt:variant>
        <vt:i4>1048626</vt:i4>
      </vt:variant>
      <vt:variant>
        <vt:i4>716</vt:i4>
      </vt:variant>
      <vt:variant>
        <vt:i4>0</vt:i4>
      </vt:variant>
      <vt:variant>
        <vt:i4>5</vt:i4>
      </vt:variant>
      <vt:variant>
        <vt:lpwstr/>
      </vt:variant>
      <vt:variant>
        <vt:lpwstr>_Toc104217628</vt:lpwstr>
      </vt:variant>
      <vt:variant>
        <vt:i4>1048626</vt:i4>
      </vt:variant>
      <vt:variant>
        <vt:i4>710</vt:i4>
      </vt:variant>
      <vt:variant>
        <vt:i4>0</vt:i4>
      </vt:variant>
      <vt:variant>
        <vt:i4>5</vt:i4>
      </vt:variant>
      <vt:variant>
        <vt:lpwstr/>
      </vt:variant>
      <vt:variant>
        <vt:lpwstr>_Toc104217627</vt:lpwstr>
      </vt:variant>
      <vt:variant>
        <vt:i4>1048626</vt:i4>
      </vt:variant>
      <vt:variant>
        <vt:i4>704</vt:i4>
      </vt:variant>
      <vt:variant>
        <vt:i4>0</vt:i4>
      </vt:variant>
      <vt:variant>
        <vt:i4>5</vt:i4>
      </vt:variant>
      <vt:variant>
        <vt:lpwstr/>
      </vt:variant>
      <vt:variant>
        <vt:lpwstr>_Toc104217626</vt:lpwstr>
      </vt:variant>
      <vt:variant>
        <vt:i4>1048626</vt:i4>
      </vt:variant>
      <vt:variant>
        <vt:i4>698</vt:i4>
      </vt:variant>
      <vt:variant>
        <vt:i4>0</vt:i4>
      </vt:variant>
      <vt:variant>
        <vt:i4>5</vt:i4>
      </vt:variant>
      <vt:variant>
        <vt:lpwstr/>
      </vt:variant>
      <vt:variant>
        <vt:lpwstr>_Toc104217625</vt:lpwstr>
      </vt:variant>
      <vt:variant>
        <vt:i4>1048626</vt:i4>
      </vt:variant>
      <vt:variant>
        <vt:i4>692</vt:i4>
      </vt:variant>
      <vt:variant>
        <vt:i4>0</vt:i4>
      </vt:variant>
      <vt:variant>
        <vt:i4>5</vt:i4>
      </vt:variant>
      <vt:variant>
        <vt:lpwstr/>
      </vt:variant>
      <vt:variant>
        <vt:lpwstr>_Toc104217624</vt:lpwstr>
      </vt:variant>
      <vt:variant>
        <vt:i4>1048626</vt:i4>
      </vt:variant>
      <vt:variant>
        <vt:i4>686</vt:i4>
      </vt:variant>
      <vt:variant>
        <vt:i4>0</vt:i4>
      </vt:variant>
      <vt:variant>
        <vt:i4>5</vt:i4>
      </vt:variant>
      <vt:variant>
        <vt:lpwstr/>
      </vt:variant>
      <vt:variant>
        <vt:lpwstr>_Toc104217623</vt:lpwstr>
      </vt:variant>
      <vt:variant>
        <vt:i4>1048626</vt:i4>
      </vt:variant>
      <vt:variant>
        <vt:i4>680</vt:i4>
      </vt:variant>
      <vt:variant>
        <vt:i4>0</vt:i4>
      </vt:variant>
      <vt:variant>
        <vt:i4>5</vt:i4>
      </vt:variant>
      <vt:variant>
        <vt:lpwstr/>
      </vt:variant>
      <vt:variant>
        <vt:lpwstr>_Toc104217622</vt:lpwstr>
      </vt:variant>
      <vt:variant>
        <vt:i4>1048626</vt:i4>
      </vt:variant>
      <vt:variant>
        <vt:i4>674</vt:i4>
      </vt:variant>
      <vt:variant>
        <vt:i4>0</vt:i4>
      </vt:variant>
      <vt:variant>
        <vt:i4>5</vt:i4>
      </vt:variant>
      <vt:variant>
        <vt:lpwstr/>
      </vt:variant>
      <vt:variant>
        <vt:lpwstr>_Toc104217621</vt:lpwstr>
      </vt:variant>
      <vt:variant>
        <vt:i4>1048626</vt:i4>
      </vt:variant>
      <vt:variant>
        <vt:i4>668</vt:i4>
      </vt:variant>
      <vt:variant>
        <vt:i4>0</vt:i4>
      </vt:variant>
      <vt:variant>
        <vt:i4>5</vt:i4>
      </vt:variant>
      <vt:variant>
        <vt:lpwstr/>
      </vt:variant>
      <vt:variant>
        <vt:lpwstr>_Toc104217620</vt:lpwstr>
      </vt:variant>
      <vt:variant>
        <vt:i4>1245234</vt:i4>
      </vt:variant>
      <vt:variant>
        <vt:i4>662</vt:i4>
      </vt:variant>
      <vt:variant>
        <vt:i4>0</vt:i4>
      </vt:variant>
      <vt:variant>
        <vt:i4>5</vt:i4>
      </vt:variant>
      <vt:variant>
        <vt:lpwstr/>
      </vt:variant>
      <vt:variant>
        <vt:lpwstr>_Toc104217619</vt:lpwstr>
      </vt:variant>
      <vt:variant>
        <vt:i4>1245234</vt:i4>
      </vt:variant>
      <vt:variant>
        <vt:i4>656</vt:i4>
      </vt:variant>
      <vt:variant>
        <vt:i4>0</vt:i4>
      </vt:variant>
      <vt:variant>
        <vt:i4>5</vt:i4>
      </vt:variant>
      <vt:variant>
        <vt:lpwstr/>
      </vt:variant>
      <vt:variant>
        <vt:lpwstr>_Toc104217618</vt:lpwstr>
      </vt:variant>
      <vt:variant>
        <vt:i4>1245234</vt:i4>
      </vt:variant>
      <vt:variant>
        <vt:i4>650</vt:i4>
      </vt:variant>
      <vt:variant>
        <vt:i4>0</vt:i4>
      </vt:variant>
      <vt:variant>
        <vt:i4>5</vt:i4>
      </vt:variant>
      <vt:variant>
        <vt:lpwstr/>
      </vt:variant>
      <vt:variant>
        <vt:lpwstr>_Toc104217617</vt:lpwstr>
      </vt:variant>
      <vt:variant>
        <vt:i4>1245234</vt:i4>
      </vt:variant>
      <vt:variant>
        <vt:i4>641</vt:i4>
      </vt:variant>
      <vt:variant>
        <vt:i4>0</vt:i4>
      </vt:variant>
      <vt:variant>
        <vt:i4>5</vt:i4>
      </vt:variant>
      <vt:variant>
        <vt:lpwstr/>
      </vt:variant>
      <vt:variant>
        <vt:lpwstr>_Toc104217616</vt:lpwstr>
      </vt:variant>
      <vt:variant>
        <vt:i4>1245234</vt:i4>
      </vt:variant>
      <vt:variant>
        <vt:i4>635</vt:i4>
      </vt:variant>
      <vt:variant>
        <vt:i4>0</vt:i4>
      </vt:variant>
      <vt:variant>
        <vt:i4>5</vt:i4>
      </vt:variant>
      <vt:variant>
        <vt:lpwstr/>
      </vt:variant>
      <vt:variant>
        <vt:lpwstr>_Toc104217615</vt:lpwstr>
      </vt:variant>
      <vt:variant>
        <vt:i4>1245234</vt:i4>
      </vt:variant>
      <vt:variant>
        <vt:i4>629</vt:i4>
      </vt:variant>
      <vt:variant>
        <vt:i4>0</vt:i4>
      </vt:variant>
      <vt:variant>
        <vt:i4>5</vt:i4>
      </vt:variant>
      <vt:variant>
        <vt:lpwstr/>
      </vt:variant>
      <vt:variant>
        <vt:lpwstr>_Toc104217614</vt:lpwstr>
      </vt:variant>
      <vt:variant>
        <vt:i4>1245234</vt:i4>
      </vt:variant>
      <vt:variant>
        <vt:i4>623</vt:i4>
      </vt:variant>
      <vt:variant>
        <vt:i4>0</vt:i4>
      </vt:variant>
      <vt:variant>
        <vt:i4>5</vt:i4>
      </vt:variant>
      <vt:variant>
        <vt:lpwstr/>
      </vt:variant>
      <vt:variant>
        <vt:lpwstr>_Toc104217613</vt:lpwstr>
      </vt:variant>
      <vt:variant>
        <vt:i4>1245234</vt:i4>
      </vt:variant>
      <vt:variant>
        <vt:i4>617</vt:i4>
      </vt:variant>
      <vt:variant>
        <vt:i4>0</vt:i4>
      </vt:variant>
      <vt:variant>
        <vt:i4>5</vt:i4>
      </vt:variant>
      <vt:variant>
        <vt:lpwstr/>
      </vt:variant>
      <vt:variant>
        <vt:lpwstr>_Toc104217612</vt:lpwstr>
      </vt:variant>
      <vt:variant>
        <vt:i4>1245234</vt:i4>
      </vt:variant>
      <vt:variant>
        <vt:i4>611</vt:i4>
      </vt:variant>
      <vt:variant>
        <vt:i4>0</vt:i4>
      </vt:variant>
      <vt:variant>
        <vt:i4>5</vt:i4>
      </vt:variant>
      <vt:variant>
        <vt:lpwstr/>
      </vt:variant>
      <vt:variant>
        <vt:lpwstr>_Toc104217611</vt:lpwstr>
      </vt:variant>
      <vt:variant>
        <vt:i4>1245234</vt:i4>
      </vt:variant>
      <vt:variant>
        <vt:i4>605</vt:i4>
      </vt:variant>
      <vt:variant>
        <vt:i4>0</vt:i4>
      </vt:variant>
      <vt:variant>
        <vt:i4>5</vt:i4>
      </vt:variant>
      <vt:variant>
        <vt:lpwstr/>
      </vt:variant>
      <vt:variant>
        <vt:lpwstr>_Toc104217610</vt:lpwstr>
      </vt:variant>
      <vt:variant>
        <vt:i4>1179698</vt:i4>
      </vt:variant>
      <vt:variant>
        <vt:i4>599</vt:i4>
      </vt:variant>
      <vt:variant>
        <vt:i4>0</vt:i4>
      </vt:variant>
      <vt:variant>
        <vt:i4>5</vt:i4>
      </vt:variant>
      <vt:variant>
        <vt:lpwstr/>
      </vt:variant>
      <vt:variant>
        <vt:lpwstr>_Toc104217609</vt:lpwstr>
      </vt:variant>
      <vt:variant>
        <vt:i4>1179698</vt:i4>
      </vt:variant>
      <vt:variant>
        <vt:i4>593</vt:i4>
      </vt:variant>
      <vt:variant>
        <vt:i4>0</vt:i4>
      </vt:variant>
      <vt:variant>
        <vt:i4>5</vt:i4>
      </vt:variant>
      <vt:variant>
        <vt:lpwstr/>
      </vt:variant>
      <vt:variant>
        <vt:lpwstr>_Toc104217608</vt:lpwstr>
      </vt:variant>
      <vt:variant>
        <vt:i4>1179698</vt:i4>
      </vt:variant>
      <vt:variant>
        <vt:i4>587</vt:i4>
      </vt:variant>
      <vt:variant>
        <vt:i4>0</vt:i4>
      </vt:variant>
      <vt:variant>
        <vt:i4>5</vt:i4>
      </vt:variant>
      <vt:variant>
        <vt:lpwstr/>
      </vt:variant>
      <vt:variant>
        <vt:lpwstr>_Toc104217607</vt:lpwstr>
      </vt:variant>
      <vt:variant>
        <vt:i4>1179698</vt:i4>
      </vt:variant>
      <vt:variant>
        <vt:i4>581</vt:i4>
      </vt:variant>
      <vt:variant>
        <vt:i4>0</vt:i4>
      </vt:variant>
      <vt:variant>
        <vt:i4>5</vt:i4>
      </vt:variant>
      <vt:variant>
        <vt:lpwstr/>
      </vt:variant>
      <vt:variant>
        <vt:lpwstr>_Toc104217606</vt:lpwstr>
      </vt:variant>
      <vt:variant>
        <vt:i4>1179698</vt:i4>
      </vt:variant>
      <vt:variant>
        <vt:i4>575</vt:i4>
      </vt:variant>
      <vt:variant>
        <vt:i4>0</vt:i4>
      </vt:variant>
      <vt:variant>
        <vt:i4>5</vt:i4>
      </vt:variant>
      <vt:variant>
        <vt:lpwstr/>
      </vt:variant>
      <vt:variant>
        <vt:lpwstr>_Toc104217605</vt:lpwstr>
      </vt:variant>
      <vt:variant>
        <vt:i4>1114163</vt:i4>
      </vt:variant>
      <vt:variant>
        <vt:i4>566</vt:i4>
      </vt:variant>
      <vt:variant>
        <vt:i4>0</vt:i4>
      </vt:variant>
      <vt:variant>
        <vt:i4>5</vt:i4>
      </vt:variant>
      <vt:variant>
        <vt:lpwstr/>
      </vt:variant>
      <vt:variant>
        <vt:lpwstr>_Toc104217739</vt:lpwstr>
      </vt:variant>
      <vt:variant>
        <vt:i4>1114163</vt:i4>
      </vt:variant>
      <vt:variant>
        <vt:i4>560</vt:i4>
      </vt:variant>
      <vt:variant>
        <vt:i4>0</vt:i4>
      </vt:variant>
      <vt:variant>
        <vt:i4>5</vt:i4>
      </vt:variant>
      <vt:variant>
        <vt:lpwstr/>
      </vt:variant>
      <vt:variant>
        <vt:lpwstr>_Toc104217738</vt:lpwstr>
      </vt:variant>
      <vt:variant>
        <vt:i4>1114163</vt:i4>
      </vt:variant>
      <vt:variant>
        <vt:i4>554</vt:i4>
      </vt:variant>
      <vt:variant>
        <vt:i4>0</vt:i4>
      </vt:variant>
      <vt:variant>
        <vt:i4>5</vt:i4>
      </vt:variant>
      <vt:variant>
        <vt:lpwstr/>
      </vt:variant>
      <vt:variant>
        <vt:lpwstr>_Toc104217737</vt:lpwstr>
      </vt:variant>
      <vt:variant>
        <vt:i4>1114163</vt:i4>
      </vt:variant>
      <vt:variant>
        <vt:i4>548</vt:i4>
      </vt:variant>
      <vt:variant>
        <vt:i4>0</vt:i4>
      </vt:variant>
      <vt:variant>
        <vt:i4>5</vt:i4>
      </vt:variant>
      <vt:variant>
        <vt:lpwstr/>
      </vt:variant>
      <vt:variant>
        <vt:lpwstr>_Toc104217736</vt:lpwstr>
      </vt:variant>
      <vt:variant>
        <vt:i4>1114163</vt:i4>
      </vt:variant>
      <vt:variant>
        <vt:i4>542</vt:i4>
      </vt:variant>
      <vt:variant>
        <vt:i4>0</vt:i4>
      </vt:variant>
      <vt:variant>
        <vt:i4>5</vt:i4>
      </vt:variant>
      <vt:variant>
        <vt:lpwstr/>
      </vt:variant>
      <vt:variant>
        <vt:lpwstr>_Toc104217735</vt:lpwstr>
      </vt:variant>
      <vt:variant>
        <vt:i4>1114163</vt:i4>
      </vt:variant>
      <vt:variant>
        <vt:i4>536</vt:i4>
      </vt:variant>
      <vt:variant>
        <vt:i4>0</vt:i4>
      </vt:variant>
      <vt:variant>
        <vt:i4>5</vt:i4>
      </vt:variant>
      <vt:variant>
        <vt:lpwstr/>
      </vt:variant>
      <vt:variant>
        <vt:lpwstr>_Toc104217734</vt:lpwstr>
      </vt:variant>
      <vt:variant>
        <vt:i4>1114163</vt:i4>
      </vt:variant>
      <vt:variant>
        <vt:i4>530</vt:i4>
      </vt:variant>
      <vt:variant>
        <vt:i4>0</vt:i4>
      </vt:variant>
      <vt:variant>
        <vt:i4>5</vt:i4>
      </vt:variant>
      <vt:variant>
        <vt:lpwstr/>
      </vt:variant>
      <vt:variant>
        <vt:lpwstr>_Toc104217733</vt:lpwstr>
      </vt:variant>
      <vt:variant>
        <vt:i4>1114163</vt:i4>
      </vt:variant>
      <vt:variant>
        <vt:i4>524</vt:i4>
      </vt:variant>
      <vt:variant>
        <vt:i4>0</vt:i4>
      </vt:variant>
      <vt:variant>
        <vt:i4>5</vt:i4>
      </vt:variant>
      <vt:variant>
        <vt:lpwstr/>
      </vt:variant>
      <vt:variant>
        <vt:lpwstr>_Toc104217732</vt:lpwstr>
      </vt:variant>
      <vt:variant>
        <vt:i4>1114163</vt:i4>
      </vt:variant>
      <vt:variant>
        <vt:i4>518</vt:i4>
      </vt:variant>
      <vt:variant>
        <vt:i4>0</vt:i4>
      </vt:variant>
      <vt:variant>
        <vt:i4>5</vt:i4>
      </vt:variant>
      <vt:variant>
        <vt:lpwstr/>
      </vt:variant>
      <vt:variant>
        <vt:lpwstr>_Toc104217731</vt:lpwstr>
      </vt:variant>
      <vt:variant>
        <vt:i4>1114163</vt:i4>
      </vt:variant>
      <vt:variant>
        <vt:i4>512</vt:i4>
      </vt:variant>
      <vt:variant>
        <vt:i4>0</vt:i4>
      </vt:variant>
      <vt:variant>
        <vt:i4>5</vt:i4>
      </vt:variant>
      <vt:variant>
        <vt:lpwstr/>
      </vt:variant>
      <vt:variant>
        <vt:lpwstr>_Toc104217730</vt:lpwstr>
      </vt:variant>
      <vt:variant>
        <vt:i4>1048627</vt:i4>
      </vt:variant>
      <vt:variant>
        <vt:i4>506</vt:i4>
      </vt:variant>
      <vt:variant>
        <vt:i4>0</vt:i4>
      </vt:variant>
      <vt:variant>
        <vt:i4>5</vt:i4>
      </vt:variant>
      <vt:variant>
        <vt:lpwstr/>
      </vt:variant>
      <vt:variant>
        <vt:lpwstr>_Toc104217729</vt:lpwstr>
      </vt:variant>
      <vt:variant>
        <vt:i4>1048627</vt:i4>
      </vt:variant>
      <vt:variant>
        <vt:i4>500</vt:i4>
      </vt:variant>
      <vt:variant>
        <vt:i4>0</vt:i4>
      </vt:variant>
      <vt:variant>
        <vt:i4>5</vt:i4>
      </vt:variant>
      <vt:variant>
        <vt:lpwstr/>
      </vt:variant>
      <vt:variant>
        <vt:lpwstr>_Toc104217728</vt:lpwstr>
      </vt:variant>
      <vt:variant>
        <vt:i4>1048627</vt:i4>
      </vt:variant>
      <vt:variant>
        <vt:i4>494</vt:i4>
      </vt:variant>
      <vt:variant>
        <vt:i4>0</vt:i4>
      </vt:variant>
      <vt:variant>
        <vt:i4>5</vt:i4>
      </vt:variant>
      <vt:variant>
        <vt:lpwstr/>
      </vt:variant>
      <vt:variant>
        <vt:lpwstr>_Toc104217727</vt:lpwstr>
      </vt:variant>
      <vt:variant>
        <vt:i4>1048627</vt:i4>
      </vt:variant>
      <vt:variant>
        <vt:i4>488</vt:i4>
      </vt:variant>
      <vt:variant>
        <vt:i4>0</vt:i4>
      </vt:variant>
      <vt:variant>
        <vt:i4>5</vt:i4>
      </vt:variant>
      <vt:variant>
        <vt:lpwstr/>
      </vt:variant>
      <vt:variant>
        <vt:lpwstr>_Toc104217726</vt:lpwstr>
      </vt:variant>
      <vt:variant>
        <vt:i4>1048627</vt:i4>
      </vt:variant>
      <vt:variant>
        <vt:i4>482</vt:i4>
      </vt:variant>
      <vt:variant>
        <vt:i4>0</vt:i4>
      </vt:variant>
      <vt:variant>
        <vt:i4>5</vt:i4>
      </vt:variant>
      <vt:variant>
        <vt:lpwstr/>
      </vt:variant>
      <vt:variant>
        <vt:lpwstr>_Toc104217725</vt:lpwstr>
      </vt:variant>
      <vt:variant>
        <vt:i4>1048627</vt:i4>
      </vt:variant>
      <vt:variant>
        <vt:i4>476</vt:i4>
      </vt:variant>
      <vt:variant>
        <vt:i4>0</vt:i4>
      </vt:variant>
      <vt:variant>
        <vt:i4>5</vt:i4>
      </vt:variant>
      <vt:variant>
        <vt:lpwstr/>
      </vt:variant>
      <vt:variant>
        <vt:lpwstr>_Toc104217724</vt:lpwstr>
      </vt:variant>
      <vt:variant>
        <vt:i4>1048627</vt:i4>
      </vt:variant>
      <vt:variant>
        <vt:i4>470</vt:i4>
      </vt:variant>
      <vt:variant>
        <vt:i4>0</vt:i4>
      </vt:variant>
      <vt:variant>
        <vt:i4>5</vt:i4>
      </vt:variant>
      <vt:variant>
        <vt:lpwstr/>
      </vt:variant>
      <vt:variant>
        <vt:lpwstr>_Toc104217723</vt:lpwstr>
      </vt:variant>
      <vt:variant>
        <vt:i4>1048627</vt:i4>
      </vt:variant>
      <vt:variant>
        <vt:i4>464</vt:i4>
      </vt:variant>
      <vt:variant>
        <vt:i4>0</vt:i4>
      </vt:variant>
      <vt:variant>
        <vt:i4>5</vt:i4>
      </vt:variant>
      <vt:variant>
        <vt:lpwstr/>
      </vt:variant>
      <vt:variant>
        <vt:lpwstr>_Toc104217722</vt:lpwstr>
      </vt:variant>
      <vt:variant>
        <vt:i4>1048627</vt:i4>
      </vt:variant>
      <vt:variant>
        <vt:i4>458</vt:i4>
      </vt:variant>
      <vt:variant>
        <vt:i4>0</vt:i4>
      </vt:variant>
      <vt:variant>
        <vt:i4>5</vt:i4>
      </vt:variant>
      <vt:variant>
        <vt:lpwstr/>
      </vt:variant>
      <vt:variant>
        <vt:lpwstr>_Toc104217721</vt:lpwstr>
      </vt:variant>
      <vt:variant>
        <vt:i4>1048627</vt:i4>
      </vt:variant>
      <vt:variant>
        <vt:i4>452</vt:i4>
      </vt:variant>
      <vt:variant>
        <vt:i4>0</vt:i4>
      </vt:variant>
      <vt:variant>
        <vt:i4>5</vt:i4>
      </vt:variant>
      <vt:variant>
        <vt:lpwstr/>
      </vt:variant>
      <vt:variant>
        <vt:lpwstr>_Toc104217720</vt:lpwstr>
      </vt:variant>
      <vt:variant>
        <vt:i4>1245235</vt:i4>
      </vt:variant>
      <vt:variant>
        <vt:i4>446</vt:i4>
      </vt:variant>
      <vt:variant>
        <vt:i4>0</vt:i4>
      </vt:variant>
      <vt:variant>
        <vt:i4>5</vt:i4>
      </vt:variant>
      <vt:variant>
        <vt:lpwstr/>
      </vt:variant>
      <vt:variant>
        <vt:lpwstr>_Toc104217719</vt:lpwstr>
      </vt:variant>
      <vt:variant>
        <vt:i4>1245235</vt:i4>
      </vt:variant>
      <vt:variant>
        <vt:i4>440</vt:i4>
      </vt:variant>
      <vt:variant>
        <vt:i4>0</vt:i4>
      </vt:variant>
      <vt:variant>
        <vt:i4>5</vt:i4>
      </vt:variant>
      <vt:variant>
        <vt:lpwstr/>
      </vt:variant>
      <vt:variant>
        <vt:lpwstr>_Toc104217718</vt:lpwstr>
      </vt:variant>
      <vt:variant>
        <vt:i4>1245235</vt:i4>
      </vt:variant>
      <vt:variant>
        <vt:i4>434</vt:i4>
      </vt:variant>
      <vt:variant>
        <vt:i4>0</vt:i4>
      </vt:variant>
      <vt:variant>
        <vt:i4>5</vt:i4>
      </vt:variant>
      <vt:variant>
        <vt:lpwstr/>
      </vt:variant>
      <vt:variant>
        <vt:lpwstr>_Toc104217717</vt:lpwstr>
      </vt:variant>
      <vt:variant>
        <vt:i4>1245235</vt:i4>
      </vt:variant>
      <vt:variant>
        <vt:i4>428</vt:i4>
      </vt:variant>
      <vt:variant>
        <vt:i4>0</vt:i4>
      </vt:variant>
      <vt:variant>
        <vt:i4>5</vt:i4>
      </vt:variant>
      <vt:variant>
        <vt:lpwstr/>
      </vt:variant>
      <vt:variant>
        <vt:lpwstr>_Toc104217716</vt:lpwstr>
      </vt:variant>
      <vt:variant>
        <vt:i4>1245235</vt:i4>
      </vt:variant>
      <vt:variant>
        <vt:i4>422</vt:i4>
      </vt:variant>
      <vt:variant>
        <vt:i4>0</vt:i4>
      </vt:variant>
      <vt:variant>
        <vt:i4>5</vt:i4>
      </vt:variant>
      <vt:variant>
        <vt:lpwstr/>
      </vt:variant>
      <vt:variant>
        <vt:lpwstr>_Toc104217715</vt:lpwstr>
      </vt:variant>
      <vt:variant>
        <vt:i4>1245235</vt:i4>
      </vt:variant>
      <vt:variant>
        <vt:i4>416</vt:i4>
      </vt:variant>
      <vt:variant>
        <vt:i4>0</vt:i4>
      </vt:variant>
      <vt:variant>
        <vt:i4>5</vt:i4>
      </vt:variant>
      <vt:variant>
        <vt:lpwstr/>
      </vt:variant>
      <vt:variant>
        <vt:lpwstr>_Toc104217714</vt:lpwstr>
      </vt:variant>
      <vt:variant>
        <vt:i4>1245235</vt:i4>
      </vt:variant>
      <vt:variant>
        <vt:i4>410</vt:i4>
      </vt:variant>
      <vt:variant>
        <vt:i4>0</vt:i4>
      </vt:variant>
      <vt:variant>
        <vt:i4>5</vt:i4>
      </vt:variant>
      <vt:variant>
        <vt:lpwstr/>
      </vt:variant>
      <vt:variant>
        <vt:lpwstr>_Toc104217713</vt:lpwstr>
      </vt:variant>
      <vt:variant>
        <vt:i4>1245235</vt:i4>
      </vt:variant>
      <vt:variant>
        <vt:i4>404</vt:i4>
      </vt:variant>
      <vt:variant>
        <vt:i4>0</vt:i4>
      </vt:variant>
      <vt:variant>
        <vt:i4>5</vt:i4>
      </vt:variant>
      <vt:variant>
        <vt:lpwstr/>
      </vt:variant>
      <vt:variant>
        <vt:lpwstr>_Toc104217712</vt:lpwstr>
      </vt:variant>
      <vt:variant>
        <vt:i4>1245235</vt:i4>
      </vt:variant>
      <vt:variant>
        <vt:i4>398</vt:i4>
      </vt:variant>
      <vt:variant>
        <vt:i4>0</vt:i4>
      </vt:variant>
      <vt:variant>
        <vt:i4>5</vt:i4>
      </vt:variant>
      <vt:variant>
        <vt:lpwstr/>
      </vt:variant>
      <vt:variant>
        <vt:lpwstr>_Toc104217711</vt:lpwstr>
      </vt:variant>
      <vt:variant>
        <vt:i4>1245235</vt:i4>
      </vt:variant>
      <vt:variant>
        <vt:i4>392</vt:i4>
      </vt:variant>
      <vt:variant>
        <vt:i4>0</vt:i4>
      </vt:variant>
      <vt:variant>
        <vt:i4>5</vt:i4>
      </vt:variant>
      <vt:variant>
        <vt:lpwstr/>
      </vt:variant>
      <vt:variant>
        <vt:lpwstr>_Toc104217710</vt:lpwstr>
      </vt:variant>
      <vt:variant>
        <vt:i4>1179699</vt:i4>
      </vt:variant>
      <vt:variant>
        <vt:i4>386</vt:i4>
      </vt:variant>
      <vt:variant>
        <vt:i4>0</vt:i4>
      </vt:variant>
      <vt:variant>
        <vt:i4>5</vt:i4>
      </vt:variant>
      <vt:variant>
        <vt:lpwstr/>
      </vt:variant>
      <vt:variant>
        <vt:lpwstr>_Toc104217709</vt:lpwstr>
      </vt:variant>
      <vt:variant>
        <vt:i4>1179699</vt:i4>
      </vt:variant>
      <vt:variant>
        <vt:i4>380</vt:i4>
      </vt:variant>
      <vt:variant>
        <vt:i4>0</vt:i4>
      </vt:variant>
      <vt:variant>
        <vt:i4>5</vt:i4>
      </vt:variant>
      <vt:variant>
        <vt:lpwstr/>
      </vt:variant>
      <vt:variant>
        <vt:lpwstr>_Toc104217708</vt:lpwstr>
      </vt:variant>
      <vt:variant>
        <vt:i4>1179699</vt:i4>
      </vt:variant>
      <vt:variant>
        <vt:i4>374</vt:i4>
      </vt:variant>
      <vt:variant>
        <vt:i4>0</vt:i4>
      </vt:variant>
      <vt:variant>
        <vt:i4>5</vt:i4>
      </vt:variant>
      <vt:variant>
        <vt:lpwstr/>
      </vt:variant>
      <vt:variant>
        <vt:lpwstr>_Toc104217707</vt:lpwstr>
      </vt:variant>
      <vt:variant>
        <vt:i4>1179699</vt:i4>
      </vt:variant>
      <vt:variant>
        <vt:i4>368</vt:i4>
      </vt:variant>
      <vt:variant>
        <vt:i4>0</vt:i4>
      </vt:variant>
      <vt:variant>
        <vt:i4>5</vt:i4>
      </vt:variant>
      <vt:variant>
        <vt:lpwstr/>
      </vt:variant>
      <vt:variant>
        <vt:lpwstr>_Toc104217706</vt:lpwstr>
      </vt:variant>
      <vt:variant>
        <vt:i4>1179699</vt:i4>
      </vt:variant>
      <vt:variant>
        <vt:i4>362</vt:i4>
      </vt:variant>
      <vt:variant>
        <vt:i4>0</vt:i4>
      </vt:variant>
      <vt:variant>
        <vt:i4>5</vt:i4>
      </vt:variant>
      <vt:variant>
        <vt:lpwstr/>
      </vt:variant>
      <vt:variant>
        <vt:lpwstr>_Toc104217705</vt:lpwstr>
      </vt:variant>
      <vt:variant>
        <vt:i4>1179699</vt:i4>
      </vt:variant>
      <vt:variant>
        <vt:i4>356</vt:i4>
      </vt:variant>
      <vt:variant>
        <vt:i4>0</vt:i4>
      </vt:variant>
      <vt:variant>
        <vt:i4>5</vt:i4>
      </vt:variant>
      <vt:variant>
        <vt:lpwstr/>
      </vt:variant>
      <vt:variant>
        <vt:lpwstr>_Toc104217704</vt:lpwstr>
      </vt:variant>
      <vt:variant>
        <vt:i4>1179699</vt:i4>
      </vt:variant>
      <vt:variant>
        <vt:i4>350</vt:i4>
      </vt:variant>
      <vt:variant>
        <vt:i4>0</vt:i4>
      </vt:variant>
      <vt:variant>
        <vt:i4>5</vt:i4>
      </vt:variant>
      <vt:variant>
        <vt:lpwstr/>
      </vt:variant>
      <vt:variant>
        <vt:lpwstr>_Toc104217703</vt:lpwstr>
      </vt:variant>
      <vt:variant>
        <vt:i4>1179699</vt:i4>
      </vt:variant>
      <vt:variant>
        <vt:i4>344</vt:i4>
      </vt:variant>
      <vt:variant>
        <vt:i4>0</vt:i4>
      </vt:variant>
      <vt:variant>
        <vt:i4>5</vt:i4>
      </vt:variant>
      <vt:variant>
        <vt:lpwstr/>
      </vt:variant>
      <vt:variant>
        <vt:lpwstr>_Toc104217702</vt:lpwstr>
      </vt:variant>
      <vt:variant>
        <vt:i4>1179699</vt:i4>
      </vt:variant>
      <vt:variant>
        <vt:i4>338</vt:i4>
      </vt:variant>
      <vt:variant>
        <vt:i4>0</vt:i4>
      </vt:variant>
      <vt:variant>
        <vt:i4>5</vt:i4>
      </vt:variant>
      <vt:variant>
        <vt:lpwstr/>
      </vt:variant>
      <vt:variant>
        <vt:lpwstr>_Toc104217701</vt:lpwstr>
      </vt:variant>
      <vt:variant>
        <vt:i4>1179699</vt:i4>
      </vt:variant>
      <vt:variant>
        <vt:i4>332</vt:i4>
      </vt:variant>
      <vt:variant>
        <vt:i4>0</vt:i4>
      </vt:variant>
      <vt:variant>
        <vt:i4>5</vt:i4>
      </vt:variant>
      <vt:variant>
        <vt:lpwstr/>
      </vt:variant>
      <vt:variant>
        <vt:lpwstr>_Toc104217700</vt:lpwstr>
      </vt:variant>
      <vt:variant>
        <vt:i4>1769522</vt:i4>
      </vt:variant>
      <vt:variant>
        <vt:i4>326</vt:i4>
      </vt:variant>
      <vt:variant>
        <vt:i4>0</vt:i4>
      </vt:variant>
      <vt:variant>
        <vt:i4>5</vt:i4>
      </vt:variant>
      <vt:variant>
        <vt:lpwstr/>
      </vt:variant>
      <vt:variant>
        <vt:lpwstr>_Toc104217699</vt:lpwstr>
      </vt:variant>
      <vt:variant>
        <vt:i4>1769522</vt:i4>
      </vt:variant>
      <vt:variant>
        <vt:i4>320</vt:i4>
      </vt:variant>
      <vt:variant>
        <vt:i4>0</vt:i4>
      </vt:variant>
      <vt:variant>
        <vt:i4>5</vt:i4>
      </vt:variant>
      <vt:variant>
        <vt:lpwstr/>
      </vt:variant>
      <vt:variant>
        <vt:lpwstr>_Toc104217697</vt:lpwstr>
      </vt:variant>
      <vt:variant>
        <vt:i4>1769522</vt:i4>
      </vt:variant>
      <vt:variant>
        <vt:i4>314</vt:i4>
      </vt:variant>
      <vt:variant>
        <vt:i4>0</vt:i4>
      </vt:variant>
      <vt:variant>
        <vt:i4>5</vt:i4>
      </vt:variant>
      <vt:variant>
        <vt:lpwstr/>
      </vt:variant>
      <vt:variant>
        <vt:lpwstr>_Toc104217696</vt:lpwstr>
      </vt:variant>
      <vt:variant>
        <vt:i4>1769522</vt:i4>
      </vt:variant>
      <vt:variant>
        <vt:i4>308</vt:i4>
      </vt:variant>
      <vt:variant>
        <vt:i4>0</vt:i4>
      </vt:variant>
      <vt:variant>
        <vt:i4>5</vt:i4>
      </vt:variant>
      <vt:variant>
        <vt:lpwstr/>
      </vt:variant>
      <vt:variant>
        <vt:lpwstr>_Toc104217695</vt:lpwstr>
      </vt:variant>
      <vt:variant>
        <vt:i4>1769522</vt:i4>
      </vt:variant>
      <vt:variant>
        <vt:i4>302</vt:i4>
      </vt:variant>
      <vt:variant>
        <vt:i4>0</vt:i4>
      </vt:variant>
      <vt:variant>
        <vt:i4>5</vt:i4>
      </vt:variant>
      <vt:variant>
        <vt:lpwstr/>
      </vt:variant>
      <vt:variant>
        <vt:lpwstr>_Toc104217694</vt:lpwstr>
      </vt:variant>
      <vt:variant>
        <vt:i4>1769522</vt:i4>
      </vt:variant>
      <vt:variant>
        <vt:i4>296</vt:i4>
      </vt:variant>
      <vt:variant>
        <vt:i4>0</vt:i4>
      </vt:variant>
      <vt:variant>
        <vt:i4>5</vt:i4>
      </vt:variant>
      <vt:variant>
        <vt:lpwstr/>
      </vt:variant>
      <vt:variant>
        <vt:lpwstr>_Toc104217693</vt:lpwstr>
      </vt:variant>
      <vt:variant>
        <vt:i4>1769522</vt:i4>
      </vt:variant>
      <vt:variant>
        <vt:i4>290</vt:i4>
      </vt:variant>
      <vt:variant>
        <vt:i4>0</vt:i4>
      </vt:variant>
      <vt:variant>
        <vt:i4>5</vt:i4>
      </vt:variant>
      <vt:variant>
        <vt:lpwstr/>
      </vt:variant>
      <vt:variant>
        <vt:lpwstr>_Toc104217692</vt:lpwstr>
      </vt:variant>
      <vt:variant>
        <vt:i4>1769522</vt:i4>
      </vt:variant>
      <vt:variant>
        <vt:i4>284</vt:i4>
      </vt:variant>
      <vt:variant>
        <vt:i4>0</vt:i4>
      </vt:variant>
      <vt:variant>
        <vt:i4>5</vt:i4>
      </vt:variant>
      <vt:variant>
        <vt:lpwstr/>
      </vt:variant>
      <vt:variant>
        <vt:lpwstr>_Toc104217691</vt:lpwstr>
      </vt:variant>
      <vt:variant>
        <vt:i4>1769522</vt:i4>
      </vt:variant>
      <vt:variant>
        <vt:i4>278</vt:i4>
      </vt:variant>
      <vt:variant>
        <vt:i4>0</vt:i4>
      </vt:variant>
      <vt:variant>
        <vt:i4>5</vt:i4>
      </vt:variant>
      <vt:variant>
        <vt:lpwstr/>
      </vt:variant>
      <vt:variant>
        <vt:lpwstr>_Toc104217690</vt:lpwstr>
      </vt:variant>
      <vt:variant>
        <vt:i4>1703986</vt:i4>
      </vt:variant>
      <vt:variant>
        <vt:i4>272</vt:i4>
      </vt:variant>
      <vt:variant>
        <vt:i4>0</vt:i4>
      </vt:variant>
      <vt:variant>
        <vt:i4>5</vt:i4>
      </vt:variant>
      <vt:variant>
        <vt:lpwstr/>
      </vt:variant>
      <vt:variant>
        <vt:lpwstr>_Toc104217689</vt:lpwstr>
      </vt:variant>
      <vt:variant>
        <vt:i4>1703986</vt:i4>
      </vt:variant>
      <vt:variant>
        <vt:i4>266</vt:i4>
      </vt:variant>
      <vt:variant>
        <vt:i4>0</vt:i4>
      </vt:variant>
      <vt:variant>
        <vt:i4>5</vt:i4>
      </vt:variant>
      <vt:variant>
        <vt:lpwstr/>
      </vt:variant>
      <vt:variant>
        <vt:lpwstr>_Toc104217688</vt:lpwstr>
      </vt:variant>
      <vt:variant>
        <vt:i4>1703986</vt:i4>
      </vt:variant>
      <vt:variant>
        <vt:i4>260</vt:i4>
      </vt:variant>
      <vt:variant>
        <vt:i4>0</vt:i4>
      </vt:variant>
      <vt:variant>
        <vt:i4>5</vt:i4>
      </vt:variant>
      <vt:variant>
        <vt:lpwstr/>
      </vt:variant>
      <vt:variant>
        <vt:lpwstr>_Toc104217687</vt:lpwstr>
      </vt:variant>
      <vt:variant>
        <vt:i4>1703986</vt:i4>
      </vt:variant>
      <vt:variant>
        <vt:i4>254</vt:i4>
      </vt:variant>
      <vt:variant>
        <vt:i4>0</vt:i4>
      </vt:variant>
      <vt:variant>
        <vt:i4>5</vt:i4>
      </vt:variant>
      <vt:variant>
        <vt:lpwstr/>
      </vt:variant>
      <vt:variant>
        <vt:lpwstr>_Toc104217686</vt:lpwstr>
      </vt:variant>
      <vt:variant>
        <vt:i4>1703986</vt:i4>
      </vt:variant>
      <vt:variant>
        <vt:i4>248</vt:i4>
      </vt:variant>
      <vt:variant>
        <vt:i4>0</vt:i4>
      </vt:variant>
      <vt:variant>
        <vt:i4>5</vt:i4>
      </vt:variant>
      <vt:variant>
        <vt:lpwstr/>
      </vt:variant>
      <vt:variant>
        <vt:lpwstr>_Toc104217685</vt:lpwstr>
      </vt:variant>
      <vt:variant>
        <vt:i4>1703986</vt:i4>
      </vt:variant>
      <vt:variant>
        <vt:i4>242</vt:i4>
      </vt:variant>
      <vt:variant>
        <vt:i4>0</vt:i4>
      </vt:variant>
      <vt:variant>
        <vt:i4>5</vt:i4>
      </vt:variant>
      <vt:variant>
        <vt:lpwstr/>
      </vt:variant>
      <vt:variant>
        <vt:lpwstr>_Toc104217684</vt:lpwstr>
      </vt:variant>
      <vt:variant>
        <vt:i4>1703986</vt:i4>
      </vt:variant>
      <vt:variant>
        <vt:i4>236</vt:i4>
      </vt:variant>
      <vt:variant>
        <vt:i4>0</vt:i4>
      </vt:variant>
      <vt:variant>
        <vt:i4>5</vt:i4>
      </vt:variant>
      <vt:variant>
        <vt:lpwstr/>
      </vt:variant>
      <vt:variant>
        <vt:lpwstr>_Toc104217683</vt:lpwstr>
      </vt:variant>
      <vt:variant>
        <vt:i4>1703986</vt:i4>
      </vt:variant>
      <vt:variant>
        <vt:i4>230</vt:i4>
      </vt:variant>
      <vt:variant>
        <vt:i4>0</vt:i4>
      </vt:variant>
      <vt:variant>
        <vt:i4>5</vt:i4>
      </vt:variant>
      <vt:variant>
        <vt:lpwstr/>
      </vt:variant>
      <vt:variant>
        <vt:lpwstr>_Toc104217682</vt:lpwstr>
      </vt:variant>
      <vt:variant>
        <vt:i4>1703986</vt:i4>
      </vt:variant>
      <vt:variant>
        <vt:i4>224</vt:i4>
      </vt:variant>
      <vt:variant>
        <vt:i4>0</vt:i4>
      </vt:variant>
      <vt:variant>
        <vt:i4>5</vt:i4>
      </vt:variant>
      <vt:variant>
        <vt:lpwstr/>
      </vt:variant>
      <vt:variant>
        <vt:lpwstr>_Toc104217681</vt:lpwstr>
      </vt:variant>
      <vt:variant>
        <vt:i4>1703986</vt:i4>
      </vt:variant>
      <vt:variant>
        <vt:i4>218</vt:i4>
      </vt:variant>
      <vt:variant>
        <vt:i4>0</vt:i4>
      </vt:variant>
      <vt:variant>
        <vt:i4>5</vt:i4>
      </vt:variant>
      <vt:variant>
        <vt:lpwstr/>
      </vt:variant>
      <vt:variant>
        <vt:lpwstr>_Toc104217680</vt:lpwstr>
      </vt:variant>
      <vt:variant>
        <vt:i4>1376306</vt:i4>
      </vt:variant>
      <vt:variant>
        <vt:i4>212</vt:i4>
      </vt:variant>
      <vt:variant>
        <vt:i4>0</vt:i4>
      </vt:variant>
      <vt:variant>
        <vt:i4>5</vt:i4>
      </vt:variant>
      <vt:variant>
        <vt:lpwstr/>
      </vt:variant>
      <vt:variant>
        <vt:lpwstr>_Toc104217679</vt:lpwstr>
      </vt:variant>
      <vt:variant>
        <vt:i4>1376306</vt:i4>
      </vt:variant>
      <vt:variant>
        <vt:i4>206</vt:i4>
      </vt:variant>
      <vt:variant>
        <vt:i4>0</vt:i4>
      </vt:variant>
      <vt:variant>
        <vt:i4>5</vt:i4>
      </vt:variant>
      <vt:variant>
        <vt:lpwstr/>
      </vt:variant>
      <vt:variant>
        <vt:lpwstr>_Toc104217678</vt:lpwstr>
      </vt:variant>
      <vt:variant>
        <vt:i4>1376306</vt:i4>
      </vt:variant>
      <vt:variant>
        <vt:i4>200</vt:i4>
      </vt:variant>
      <vt:variant>
        <vt:i4>0</vt:i4>
      </vt:variant>
      <vt:variant>
        <vt:i4>5</vt:i4>
      </vt:variant>
      <vt:variant>
        <vt:lpwstr/>
      </vt:variant>
      <vt:variant>
        <vt:lpwstr>_Toc104217677</vt:lpwstr>
      </vt:variant>
      <vt:variant>
        <vt:i4>1376306</vt:i4>
      </vt:variant>
      <vt:variant>
        <vt:i4>194</vt:i4>
      </vt:variant>
      <vt:variant>
        <vt:i4>0</vt:i4>
      </vt:variant>
      <vt:variant>
        <vt:i4>5</vt:i4>
      </vt:variant>
      <vt:variant>
        <vt:lpwstr/>
      </vt:variant>
      <vt:variant>
        <vt:lpwstr>_Toc104217676</vt:lpwstr>
      </vt:variant>
      <vt:variant>
        <vt:i4>1376306</vt:i4>
      </vt:variant>
      <vt:variant>
        <vt:i4>188</vt:i4>
      </vt:variant>
      <vt:variant>
        <vt:i4>0</vt:i4>
      </vt:variant>
      <vt:variant>
        <vt:i4>5</vt:i4>
      </vt:variant>
      <vt:variant>
        <vt:lpwstr/>
      </vt:variant>
      <vt:variant>
        <vt:lpwstr>_Toc104217675</vt:lpwstr>
      </vt:variant>
      <vt:variant>
        <vt:i4>1376306</vt:i4>
      </vt:variant>
      <vt:variant>
        <vt:i4>182</vt:i4>
      </vt:variant>
      <vt:variant>
        <vt:i4>0</vt:i4>
      </vt:variant>
      <vt:variant>
        <vt:i4>5</vt:i4>
      </vt:variant>
      <vt:variant>
        <vt:lpwstr/>
      </vt:variant>
      <vt:variant>
        <vt:lpwstr>_Toc104217674</vt:lpwstr>
      </vt:variant>
      <vt:variant>
        <vt:i4>1376306</vt:i4>
      </vt:variant>
      <vt:variant>
        <vt:i4>176</vt:i4>
      </vt:variant>
      <vt:variant>
        <vt:i4>0</vt:i4>
      </vt:variant>
      <vt:variant>
        <vt:i4>5</vt:i4>
      </vt:variant>
      <vt:variant>
        <vt:lpwstr/>
      </vt:variant>
      <vt:variant>
        <vt:lpwstr>_Toc104217673</vt:lpwstr>
      </vt:variant>
      <vt:variant>
        <vt:i4>1376306</vt:i4>
      </vt:variant>
      <vt:variant>
        <vt:i4>170</vt:i4>
      </vt:variant>
      <vt:variant>
        <vt:i4>0</vt:i4>
      </vt:variant>
      <vt:variant>
        <vt:i4>5</vt:i4>
      </vt:variant>
      <vt:variant>
        <vt:lpwstr/>
      </vt:variant>
      <vt:variant>
        <vt:lpwstr>_Toc104217672</vt:lpwstr>
      </vt:variant>
      <vt:variant>
        <vt:i4>1376306</vt:i4>
      </vt:variant>
      <vt:variant>
        <vt:i4>164</vt:i4>
      </vt:variant>
      <vt:variant>
        <vt:i4>0</vt:i4>
      </vt:variant>
      <vt:variant>
        <vt:i4>5</vt:i4>
      </vt:variant>
      <vt:variant>
        <vt:lpwstr/>
      </vt:variant>
      <vt:variant>
        <vt:lpwstr>_Toc104217671</vt:lpwstr>
      </vt:variant>
      <vt:variant>
        <vt:i4>1376306</vt:i4>
      </vt:variant>
      <vt:variant>
        <vt:i4>158</vt:i4>
      </vt:variant>
      <vt:variant>
        <vt:i4>0</vt:i4>
      </vt:variant>
      <vt:variant>
        <vt:i4>5</vt:i4>
      </vt:variant>
      <vt:variant>
        <vt:lpwstr/>
      </vt:variant>
      <vt:variant>
        <vt:lpwstr>_Toc104217670</vt:lpwstr>
      </vt:variant>
      <vt:variant>
        <vt:i4>1310770</vt:i4>
      </vt:variant>
      <vt:variant>
        <vt:i4>152</vt:i4>
      </vt:variant>
      <vt:variant>
        <vt:i4>0</vt:i4>
      </vt:variant>
      <vt:variant>
        <vt:i4>5</vt:i4>
      </vt:variant>
      <vt:variant>
        <vt:lpwstr/>
      </vt:variant>
      <vt:variant>
        <vt:lpwstr>_Toc104217669</vt:lpwstr>
      </vt:variant>
      <vt:variant>
        <vt:i4>1310770</vt:i4>
      </vt:variant>
      <vt:variant>
        <vt:i4>146</vt:i4>
      </vt:variant>
      <vt:variant>
        <vt:i4>0</vt:i4>
      </vt:variant>
      <vt:variant>
        <vt:i4>5</vt:i4>
      </vt:variant>
      <vt:variant>
        <vt:lpwstr/>
      </vt:variant>
      <vt:variant>
        <vt:lpwstr>_Toc104217668</vt:lpwstr>
      </vt:variant>
      <vt:variant>
        <vt:i4>1310770</vt:i4>
      </vt:variant>
      <vt:variant>
        <vt:i4>140</vt:i4>
      </vt:variant>
      <vt:variant>
        <vt:i4>0</vt:i4>
      </vt:variant>
      <vt:variant>
        <vt:i4>5</vt:i4>
      </vt:variant>
      <vt:variant>
        <vt:lpwstr/>
      </vt:variant>
      <vt:variant>
        <vt:lpwstr>_Toc104217667</vt:lpwstr>
      </vt:variant>
      <vt:variant>
        <vt:i4>1310770</vt:i4>
      </vt:variant>
      <vt:variant>
        <vt:i4>134</vt:i4>
      </vt:variant>
      <vt:variant>
        <vt:i4>0</vt:i4>
      </vt:variant>
      <vt:variant>
        <vt:i4>5</vt:i4>
      </vt:variant>
      <vt:variant>
        <vt:lpwstr/>
      </vt:variant>
      <vt:variant>
        <vt:lpwstr>_Toc104217666</vt:lpwstr>
      </vt:variant>
      <vt:variant>
        <vt:i4>1310770</vt:i4>
      </vt:variant>
      <vt:variant>
        <vt:i4>128</vt:i4>
      </vt:variant>
      <vt:variant>
        <vt:i4>0</vt:i4>
      </vt:variant>
      <vt:variant>
        <vt:i4>5</vt:i4>
      </vt:variant>
      <vt:variant>
        <vt:lpwstr/>
      </vt:variant>
      <vt:variant>
        <vt:lpwstr>_Toc104217665</vt:lpwstr>
      </vt:variant>
      <vt:variant>
        <vt:i4>1310770</vt:i4>
      </vt:variant>
      <vt:variant>
        <vt:i4>122</vt:i4>
      </vt:variant>
      <vt:variant>
        <vt:i4>0</vt:i4>
      </vt:variant>
      <vt:variant>
        <vt:i4>5</vt:i4>
      </vt:variant>
      <vt:variant>
        <vt:lpwstr/>
      </vt:variant>
      <vt:variant>
        <vt:lpwstr>_Toc104217664</vt:lpwstr>
      </vt:variant>
      <vt:variant>
        <vt:i4>1310770</vt:i4>
      </vt:variant>
      <vt:variant>
        <vt:i4>116</vt:i4>
      </vt:variant>
      <vt:variant>
        <vt:i4>0</vt:i4>
      </vt:variant>
      <vt:variant>
        <vt:i4>5</vt:i4>
      </vt:variant>
      <vt:variant>
        <vt:lpwstr/>
      </vt:variant>
      <vt:variant>
        <vt:lpwstr>_Toc104217663</vt:lpwstr>
      </vt:variant>
      <vt:variant>
        <vt:i4>1310770</vt:i4>
      </vt:variant>
      <vt:variant>
        <vt:i4>110</vt:i4>
      </vt:variant>
      <vt:variant>
        <vt:i4>0</vt:i4>
      </vt:variant>
      <vt:variant>
        <vt:i4>5</vt:i4>
      </vt:variant>
      <vt:variant>
        <vt:lpwstr/>
      </vt:variant>
      <vt:variant>
        <vt:lpwstr>_Toc104217662</vt:lpwstr>
      </vt:variant>
      <vt:variant>
        <vt:i4>1310770</vt:i4>
      </vt:variant>
      <vt:variant>
        <vt:i4>104</vt:i4>
      </vt:variant>
      <vt:variant>
        <vt:i4>0</vt:i4>
      </vt:variant>
      <vt:variant>
        <vt:i4>5</vt:i4>
      </vt:variant>
      <vt:variant>
        <vt:lpwstr/>
      </vt:variant>
      <vt:variant>
        <vt:lpwstr>_Toc104217661</vt:lpwstr>
      </vt:variant>
      <vt:variant>
        <vt:i4>1310770</vt:i4>
      </vt:variant>
      <vt:variant>
        <vt:i4>98</vt:i4>
      </vt:variant>
      <vt:variant>
        <vt:i4>0</vt:i4>
      </vt:variant>
      <vt:variant>
        <vt:i4>5</vt:i4>
      </vt:variant>
      <vt:variant>
        <vt:lpwstr/>
      </vt:variant>
      <vt:variant>
        <vt:lpwstr>_Toc104217660</vt:lpwstr>
      </vt:variant>
      <vt:variant>
        <vt:i4>1507378</vt:i4>
      </vt:variant>
      <vt:variant>
        <vt:i4>92</vt:i4>
      </vt:variant>
      <vt:variant>
        <vt:i4>0</vt:i4>
      </vt:variant>
      <vt:variant>
        <vt:i4>5</vt:i4>
      </vt:variant>
      <vt:variant>
        <vt:lpwstr/>
      </vt:variant>
      <vt:variant>
        <vt:lpwstr>_Toc104217659</vt:lpwstr>
      </vt:variant>
      <vt:variant>
        <vt:i4>1507378</vt:i4>
      </vt:variant>
      <vt:variant>
        <vt:i4>86</vt:i4>
      </vt:variant>
      <vt:variant>
        <vt:i4>0</vt:i4>
      </vt:variant>
      <vt:variant>
        <vt:i4>5</vt:i4>
      </vt:variant>
      <vt:variant>
        <vt:lpwstr/>
      </vt:variant>
      <vt:variant>
        <vt:lpwstr>_Toc104217658</vt:lpwstr>
      </vt:variant>
      <vt:variant>
        <vt:i4>1507378</vt:i4>
      </vt:variant>
      <vt:variant>
        <vt:i4>80</vt:i4>
      </vt:variant>
      <vt:variant>
        <vt:i4>0</vt:i4>
      </vt:variant>
      <vt:variant>
        <vt:i4>5</vt:i4>
      </vt:variant>
      <vt:variant>
        <vt:lpwstr/>
      </vt:variant>
      <vt:variant>
        <vt:lpwstr>_Toc104217657</vt:lpwstr>
      </vt:variant>
      <vt:variant>
        <vt:i4>1507378</vt:i4>
      </vt:variant>
      <vt:variant>
        <vt:i4>74</vt:i4>
      </vt:variant>
      <vt:variant>
        <vt:i4>0</vt:i4>
      </vt:variant>
      <vt:variant>
        <vt:i4>5</vt:i4>
      </vt:variant>
      <vt:variant>
        <vt:lpwstr/>
      </vt:variant>
      <vt:variant>
        <vt:lpwstr>_Toc104217656</vt:lpwstr>
      </vt:variant>
      <vt:variant>
        <vt:i4>1507378</vt:i4>
      </vt:variant>
      <vt:variant>
        <vt:i4>68</vt:i4>
      </vt:variant>
      <vt:variant>
        <vt:i4>0</vt:i4>
      </vt:variant>
      <vt:variant>
        <vt:i4>5</vt:i4>
      </vt:variant>
      <vt:variant>
        <vt:lpwstr/>
      </vt:variant>
      <vt:variant>
        <vt:lpwstr>_Toc104217655</vt:lpwstr>
      </vt:variant>
      <vt:variant>
        <vt:i4>1507378</vt:i4>
      </vt:variant>
      <vt:variant>
        <vt:i4>62</vt:i4>
      </vt:variant>
      <vt:variant>
        <vt:i4>0</vt:i4>
      </vt:variant>
      <vt:variant>
        <vt:i4>5</vt:i4>
      </vt:variant>
      <vt:variant>
        <vt:lpwstr/>
      </vt:variant>
      <vt:variant>
        <vt:lpwstr>_Toc104217654</vt:lpwstr>
      </vt:variant>
      <vt:variant>
        <vt:i4>1507378</vt:i4>
      </vt:variant>
      <vt:variant>
        <vt:i4>56</vt:i4>
      </vt:variant>
      <vt:variant>
        <vt:i4>0</vt:i4>
      </vt:variant>
      <vt:variant>
        <vt:i4>5</vt:i4>
      </vt:variant>
      <vt:variant>
        <vt:lpwstr/>
      </vt:variant>
      <vt:variant>
        <vt:lpwstr>_Toc104217653</vt:lpwstr>
      </vt:variant>
      <vt:variant>
        <vt:i4>1507378</vt:i4>
      </vt:variant>
      <vt:variant>
        <vt:i4>50</vt:i4>
      </vt:variant>
      <vt:variant>
        <vt:i4>0</vt:i4>
      </vt:variant>
      <vt:variant>
        <vt:i4>5</vt:i4>
      </vt:variant>
      <vt:variant>
        <vt:lpwstr/>
      </vt:variant>
      <vt:variant>
        <vt:lpwstr>_Toc104217652</vt:lpwstr>
      </vt:variant>
      <vt:variant>
        <vt:i4>1507378</vt:i4>
      </vt:variant>
      <vt:variant>
        <vt:i4>44</vt:i4>
      </vt:variant>
      <vt:variant>
        <vt:i4>0</vt:i4>
      </vt:variant>
      <vt:variant>
        <vt:i4>5</vt:i4>
      </vt:variant>
      <vt:variant>
        <vt:lpwstr/>
      </vt:variant>
      <vt:variant>
        <vt:lpwstr>_Toc104217651</vt:lpwstr>
      </vt:variant>
      <vt:variant>
        <vt:i4>1507378</vt:i4>
      </vt:variant>
      <vt:variant>
        <vt:i4>38</vt:i4>
      </vt:variant>
      <vt:variant>
        <vt:i4>0</vt:i4>
      </vt:variant>
      <vt:variant>
        <vt:i4>5</vt:i4>
      </vt:variant>
      <vt:variant>
        <vt:lpwstr/>
      </vt:variant>
      <vt:variant>
        <vt:lpwstr>_Toc104217650</vt:lpwstr>
      </vt:variant>
      <vt:variant>
        <vt:i4>1441842</vt:i4>
      </vt:variant>
      <vt:variant>
        <vt:i4>32</vt:i4>
      </vt:variant>
      <vt:variant>
        <vt:i4>0</vt:i4>
      </vt:variant>
      <vt:variant>
        <vt:i4>5</vt:i4>
      </vt:variant>
      <vt:variant>
        <vt:lpwstr/>
      </vt:variant>
      <vt:variant>
        <vt:lpwstr>_Toc104217649</vt:lpwstr>
      </vt:variant>
      <vt:variant>
        <vt:i4>1441842</vt:i4>
      </vt:variant>
      <vt:variant>
        <vt:i4>26</vt:i4>
      </vt:variant>
      <vt:variant>
        <vt:i4>0</vt:i4>
      </vt:variant>
      <vt:variant>
        <vt:i4>5</vt:i4>
      </vt:variant>
      <vt:variant>
        <vt:lpwstr/>
      </vt:variant>
      <vt:variant>
        <vt:lpwstr>_Toc104217648</vt:lpwstr>
      </vt:variant>
      <vt:variant>
        <vt:i4>1441842</vt:i4>
      </vt:variant>
      <vt:variant>
        <vt:i4>20</vt:i4>
      </vt:variant>
      <vt:variant>
        <vt:i4>0</vt:i4>
      </vt:variant>
      <vt:variant>
        <vt:i4>5</vt:i4>
      </vt:variant>
      <vt:variant>
        <vt:lpwstr/>
      </vt:variant>
      <vt:variant>
        <vt:lpwstr>_Toc104217647</vt:lpwstr>
      </vt:variant>
      <vt:variant>
        <vt:i4>1441842</vt:i4>
      </vt:variant>
      <vt:variant>
        <vt:i4>14</vt:i4>
      </vt:variant>
      <vt:variant>
        <vt:i4>0</vt:i4>
      </vt:variant>
      <vt:variant>
        <vt:i4>5</vt:i4>
      </vt:variant>
      <vt:variant>
        <vt:lpwstr/>
      </vt:variant>
      <vt:variant>
        <vt:lpwstr>_Toc104217646</vt:lpwstr>
      </vt:variant>
      <vt:variant>
        <vt:i4>1441842</vt:i4>
      </vt:variant>
      <vt:variant>
        <vt:i4>8</vt:i4>
      </vt:variant>
      <vt:variant>
        <vt:i4>0</vt:i4>
      </vt:variant>
      <vt:variant>
        <vt:i4>5</vt:i4>
      </vt:variant>
      <vt:variant>
        <vt:lpwstr/>
      </vt:variant>
      <vt:variant>
        <vt:lpwstr>_Toc104217645</vt:lpwstr>
      </vt:variant>
      <vt:variant>
        <vt:i4>1441842</vt:i4>
      </vt:variant>
      <vt:variant>
        <vt:i4>2</vt:i4>
      </vt:variant>
      <vt:variant>
        <vt:i4>0</vt:i4>
      </vt:variant>
      <vt:variant>
        <vt:i4>5</vt:i4>
      </vt:variant>
      <vt:variant>
        <vt:lpwstr/>
      </vt:variant>
      <vt:variant>
        <vt:lpwstr>_Toc104217644</vt:lpwstr>
      </vt:variant>
      <vt:variant>
        <vt:i4>1769525</vt:i4>
      </vt:variant>
      <vt:variant>
        <vt:i4>48</vt:i4>
      </vt:variant>
      <vt:variant>
        <vt:i4>0</vt:i4>
      </vt:variant>
      <vt:variant>
        <vt:i4>5</vt:i4>
      </vt:variant>
      <vt:variant>
        <vt:lpwstr>https://environment.des.qld.gov.au/__data/assets/pdf_file/0026/95444/rs-gl-prc-plan.pdf</vt:lpwstr>
      </vt:variant>
      <vt:variant>
        <vt:lpwstr/>
      </vt:variant>
      <vt:variant>
        <vt:i4>1769525</vt:i4>
      </vt:variant>
      <vt:variant>
        <vt:i4>45</vt:i4>
      </vt:variant>
      <vt:variant>
        <vt:i4>0</vt:i4>
      </vt:variant>
      <vt:variant>
        <vt:i4>5</vt:i4>
      </vt:variant>
      <vt:variant>
        <vt:lpwstr>https://environment.des.qld.gov.au/__data/assets/pdf_file/0026/95444/rs-gl-prc-plan.pdf</vt:lpwstr>
      </vt:variant>
      <vt:variant>
        <vt:lpwstr/>
      </vt:variant>
      <vt:variant>
        <vt:i4>1769525</vt:i4>
      </vt:variant>
      <vt:variant>
        <vt:i4>42</vt:i4>
      </vt:variant>
      <vt:variant>
        <vt:i4>0</vt:i4>
      </vt:variant>
      <vt:variant>
        <vt:i4>5</vt:i4>
      </vt:variant>
      <vt:variant>
        <vt:lpwstr>https://environment.des.qld.gov.au/__data/assets/pdf_file/0026/95444/rs-gl-prc-plan.pdf</vt:lpwstr>
      </vt:variant>
      <vt:variant>
        <vt:lpwstr/>
      </vt:variant>
      <vt:variant>
        <vt:i4>1769525</vt:i4>
      </vt:variant>
      <vt:variant>
        <vt:i4>39</vt:i4>
      </vt:variant>
      <vt:variant>
        <vt:i4>0</vt:i4>
      </vt:variant>
      <vt:variant>
        <vt:i4>5</vt:i4>
      </vt:variant>
      <vt:variant>
        <vt:lpwstr>https://environment.des.qld.gov.au/__data/assets/pdf_file/0026/95444/rs-gl-prc-plan.pdf</vt:lpwstr>
      </vt:variant>
      <vt:variant>
        <vt:lpwstr/>
      </vt:variant>
      <vt:variant>
        <vt:i4>1769525</vt:i4>
      </vt:variant>
      <vt:variant>
        <vt:i4>36</vt:i4>
      </vt:variant>
      <vt:variant>
        <vt:i4>0</vt:i4>
      </vt:variant>
      <vt:variant>
        <vt:i4>5</vt:i4>
      </vt:variant>
      <vt:variant>
        <vt:lpwstr>https://environment.des.qld.gov.au/__data/assets/pdf_file/0026/95444/rs-gl-prc-plan.pdf</vt:lpwstr>
      </vt:variant>
      <vt:variant>
        <vt:lpwstr/>
      </vt:variant>
      <vt:variant>
        <vt:i4>1769525</vt:i4>
      </vt:variant>
      <vt:variant>
        <vt:i4>33</vt:i4>
      </vt:variant>
      <vt:variant>
        <vt:i4>0</vt:i4>
      </vt:variant>
      <vt:variant>
        <vt:i4>5</vt:i4>
      </vt:variant>
      <vt:variant>
        <vt:lpwstr>https://environment.des.qld.gov.au/__data/assets/pdf_file/0026/95444/rs-gl-prc-plan.pdf</vt:lpwstr>
      </vt:variant>
      <vt:variant>
        <vt:lpwstr/>
      </vt:variant>
      <vt:variant>
        <vt:i4>1769525</vt:i4>
      </vt:variant>
      <vt:variant>
        <vt:i4>30</vt:i4>
      </vt:variant>
      <vt:variant>
        <vt:i4>0</vt:i4>
      </vt:variant>
      <vt:variant>
        <vt:i4>5</vt:i4>
      </vt:variant>
      <vt:variant>
        <vt:lpwstr>https://environment.des.qld.gov.au/__data/assets/pdf_file/0026/95444/rs-gl-prc-plan.pdf</vt:lpwstr>
      </vt:variant>
      <vt:variant>
        <vt:lpwstr/>
      </vt:variant>
      <vt:variant>
        <vt:i4>1769525</vt:i4>
      </vt:variant>
      <vt:variant>
        <vt:i4>27</vt:i4>
      </vt:variant>
      <vt:variant>
        <vt:i4>0</vt:i4>
      </vt:variant>
      <vt:variant>
        <vt:i4>5</vt:i4>
      </vt:variant>
      <vt:variant>
        <vt:lpwstr>https://environment.des.qld.gov.au/__data/assets/pdf_file/0026/95444/rs-gl-prc-plan.pdf</vt:lpwstr>
      </vt:variant>
      <vt:variant>
        <vt:lpwstr/>
      </vt:variant>
      <vt:variant>
        <vt:i4>1769525</vt:i4>
      </vt:variant>
      <vt:variant>
        <vt:i4>24</vt:i4>
      </vt:variant>
      <vt:variant>
        <vt:i4>0</vt:i4>
      </vt:variant>
      <vt:variant>
        <vt:i4>5</vt:i4>
      </vt:variant>
      <vt:variant>
        <vt:lpwstr>https://environment.des.qld.gov.au/__data/assets/pdf_file/0026/95444/rs-gl-prc-plan.pdf</vt:lpwstr>
      </vt:variant>
      <vt:variant>
        <vt:lpwstr/>
      </vt:variant>
      <vt:variant>
        <vt:i4>4849735</vt:i4>
      </vt:variant>
      <vt:variant>
        <vt:i4>21</vt:i4>
      </vt:variant>
      <vt:variant>
        <vt:i4>0</vt:i4>
      </vt:variant>
      <vt:variant>
        <vt:i4>5</vt:i4>
      </vt:variant>
      <vt:variant>
        <vt:lpwstr>https://s3.treasury.qld.gov.au/files/review-of-queenslands-financial-assurance-framework.pdf</vt:lpwstr>
      </vt:variant>
      <vt:variant>
        <vt:lpwstr/>
      </vt:variant>
      <vt:variant>
        <vt:i4>6750269</vt:i4>
      </vt:variant>
      <vt:variant>
        <vt:i4>18</vt:i4>
      </vt:variant>
      <vt:variant>
        <vt:i4>0</vt:i4>
      </vt:variant>
      <vt:variant>
        <vt:i4>5</vt:i4>
      </vt:variant>
      <vt:variant>
        <vt:lpwstr>http://ncp.ncc.gov.au/</vt:lpwstr>
      </vt:variant>
      <vt:variant>
        <vt:lpwstr/>
      </vt:variant>
      <vt:variant>
        <vt:i4>5636223</vt:i4>
      </vt:variant>
      <vt:variant>
        <vt:i4>15</vt:i4>
      </vt:variant>
      <vt:variant>
        <vt:i4>0</vt:i4>
      </vt:variant>
      <vt:variant>
        <vt:i4>5</vt:i4>
      </vt:variant>
      <vt:variant>
        <vt:lpwstr>https://earthresources.vic.gov.au/__data/assets/pdf_file/0018/513342/Preparation-of-rehabilitation-plans-Guideline-for-mining-and-prospecting-projects-February-2020.pdf</vt:lpwstr>
      </vt:variant>
      <vt:variant>
        <vt:lpwstr/>
      </vt:variant>
      <vt:variant>
        <vt:i4>3997817</vt:i4>
      </vt:variant>
      <vt:variant>
        <vt:i4>12</vt:i4>
      </vt:variant>
      <vt:variant>
        <vt:i4>0</vt:i4>
      </vt:variant>
      <vt:variant>
        <vt:i4>5</vt:i4>
      </vt:variant>
      <vt:variant>
        <vt:lpwstr>https://www.theage.com.au/national/victoria/from-the-archives-1977-400-battle-giant-morwell-coal-mine-fire-20191031-p5367g.html</vt:lpwstr>
      </vt:variant>
      <vt:variant>
        <vt:lpwstr/>
      </vt:variant>
      <vt:variant>
        <vt:i4>1048668</vt:i4>
      </vt:variant>
      <vt:variant>
        <vt:i4>9</vt:i4>
      </vt:variant>
      <vt:variant>
        <vt:i4>0</vt:i4>
      </vt:variant>
      <vt:variant>
        <vt:i4>5</vt:i4>
      </vt:variant>
      <vt:variant>
        <vt:lpwstr>https://www.sbs.com.au/news/a-timeline-of-hazelwood-power-station</vt:lpwstr>
      </vt:variant>
      <vt:variant>
        <vt:lpwstr/>
      </vt:variant>
      <vt:variant>
        <vt:i4>2818154</vt:i4>
      </vt:variant>
      <vt:variant>
        <vt:i4>6</vt:i4>
      </vt:variant>
      <vt:variant>
        <vt:i4>0</vt:i4>
      </vt:variant>
      <vt:variant>
        <vt:i4>5</vt:i4>
      </vt:variant>
      <vt:variant>
        <vt:lpwstr>https://earthresources.vic.gov.au/__data/assets/pdf_file/0006/614922/13262-DJPR-RRV-DELWP-Abandoned-and-Legacy-Mines-Joint-Statement_WEB-V1.pdf</vt:lpwstr>
      </vt:variant>
      <vt:variant>
        <vt:lpwstr/>
      </vt:variant>
      <vt:variant>
        <vt:i4>5505039</vt:i4>
      </vt:variant>
      <vt:variant>
        <vt:i4>3</vt:i4>
      </vt:variant>
      <vt:variant>
        <vt:i4>0</vt:i4>
      </vt:variant>
      <vt:variant>
        <vt:i4>5</vt:i4>
      </vt:variant>
      <vt:variant>
        <vt:lpwstr>https://earthresources.vic.gov.au/community-and-land-use/rehabilitation/site-rehabilitation-vago-response</vt:lpwstr>
      </vt:variant>
      <vt:variant>
        <vt:lpwstr/>
      </vt:variant>
      <vt:variant>
        <vt:i4>5046366</vt:i4>
      </vt:variant>
      <vt:variant>
        <vt:i4>0</vt:i4>
      </vt:variant>
      <vt:variant>
        <vt:i4>0</vt:i4>
      </vt:variant>
      <vt:variant>
        <vt:i4>5</vt:i4>
      </vt:variant>
      <vt:variant>
        <vt:lpwstr>https://www.audit.vic.gov.au/report/rehabilitating-mines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2022-07-20T00:51:00Z</dcterms:created>
  <dcterms:modified xsi:type="dcterms:W3CDTF">2022-07-20T00:53:00Z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00a4df9-c942-4b09-b23a-6c1023f6de27_Enabled">
    <vt:lpwstr>true</vt:lpwstr>
  </property>
  <property fmtid="{D5CDD505-2E9C-101B-9397-08002B2CF9AE}" pid="3" name="MSIP_Label_d00a4df9-c942-4b09-b23a-6c1023f6de27_SetDate">
    <vt:lpwstr>2022-07-20T00:52:36Z</vt:lpwstr>
  </property>
  <property fmtid="{D5CDD505-2E9C-101B-9397-08002B2CF9AE}" pid="4" name="MSIP_Label_d00a4df9-c942-4b09-b23a-6c1023f6de27_Method">
    <vt:lpwstr>Privileged</vt:lpwstr>
  </property>
  <property fmtid="{D5CDD505-2E9C-101B-9397-08002B2CF9AE}" pid="5" name="MSIP_Label_d00a4df9-c942-4b09-b23a-6c1023f6de27_Name">
    <vt:lpwstr>Official (DJPR)</vt:lpwstr>
  </property>
  <property fmtid="{D5CDD505-2E9C-101B-9397-08002B2CF9AE}" pid="6" name="MSIP_Label_d00a4df9-c942-4b09-b23a-6c1023f6de27_SiteId">
    <vt:lpwstr>722ea0be-3e1c-4b11-ad6f-9401d6856e24</vt:lpwstr>
  </property>
  <property fmtid="{D5CDD505-2E9C-101B-9397-08002B2CF9AE}" pid="7" name="MSIP_Label_d00a4df9-c942-4b09-b23a-6c1023f6de27_ActionId">
    <vt:lpwstr>144c94f3-0612-43f5-8f12-d945debeec58</vt:lpwstr>
  </property>
  <property fmtid="{D5CDD505-2E9C-101B-9397-08002B2CF9AE}" pid="8" name="MSIP_Label_d00a4df9-c942-4b09-b23a-6c1023f6de27_ContentBits">
    <vt:lpwstr>3</vt:lpwstr>
  </property>
  <property fmtid="{D5CDD505-2E9C-101B-9397-08002B2CF9AE}" pid="9" name="MSIP_Label_7158ebbd-6c5e-441f-bfc9-4eb8c11e3978_Name">
    <vt:lpwstr>OFFICIAL</vt:lpwstr>
  </property>
  <property fmtid="{D5CDD505-2E9C-101B-9397-08002B2CF9AE}" pid="10" name="MediaServiceImageTags">
    <vt:lpwstr/>
  </property>
  <property fmtid="{D5CDD505-2E9C-101B-9397-08002B2CF9AE}" pid="11" name="ContentTypeId">
    <vt:lpwstr>0x01010075FC165AE82875408A0B2F87229591E4</vt:lpwstr>
  </property>
  <property fmtid="{D5CDD505-2E9C-101B-9397-08002B2CF9AE}" pid="12" name="DEDJTRBranch">
    <vt:lpwstr/>
  </property>
  <property fmtid="{D5CDD505-2E9C-101B-9397-08002B2CF9AE}" pid="13" name="DEDJTRSection">
    <vt:lpwstr/>
  </property>
  <property fmtid="{D5CDD505-2E9C-101B-9397-08002B2CF9AE}" pid="14" name="MSIP_Label_7158ebbd-6c5e-441f-bfc9-4eb8c11e3978_SiteId">
    <vt:lpwstr>722ea0be-3e1c-4b11-ad6f-9401d6856e24</vt:lpwstr>
  </property>
  <property fmtid="{D5CDD505-2E9C-101B-9397-08002B2CF9AE}" pid="15" name="MSIP_Label_7158ebbd-6c5e-441f-bfc9-4eb8c11e3978_SetDate">
    <vt:lpwstr>2020-12-23T23:33:07.1247281Z</vt:lpwstr>
  </property>
  <property fmtid="{D5CDD505-2E9C-101B-9397-08002B2CF9AE}" pid="16" name="MSIP_Label_7158ebbd-6c5e-441f-bfc9-4eb8c11e3978_Extended_MSFT_Method">
    <vt:lpwstr>Manual</vt:lpwstr>
  </property>
  <property fmtid="{D5CDD505-2E9C-101B-9397-08002B2CF9AE}" pid="17" name="DEDJTRGroup">
    <vt:lpwstr>2;#Strategy and Planning|0cf017f1-1cbd-486e-a3c6-1c81634bf8fc</vt:lpwstr>
  </property>
  <property fmtid="{D5CDD505-2E9C-101B-9397-08002B2CF9AE}" pid="18" name="MSIP_Label_7158ebbd-6c5e-441f-bfc9-4eb8c11e3978_Application">
    <vt:lpwstr>Microsoft Azure Information Protection</vt:lpwstr>
  </property>
  <property fmtid="{D5CDD505-2E9C-101B-9397-08002B2CF9AE}" pid="19" name="DEDJTRSecurityClassification">
    <vt:lpwstr/>
  </property>
  <property fmtid="{D5CDD505-2E9C-101B-9397-08002B2CF9AE}" pid="20" name="DEDJTRDivision">
    <vt:lpwstr>4;#Stakeholder Communications and Channels|83c7d14a-c7cb-45bb-a228-f81f6acaecb1</vt:lpwstr>
  </property>
  <property fmtid="{D5CDD505-2E9C-101B-9397-08002B2CF9AE}" pid="21" name="MSIP_Label_7158ebbd-6c5e-441f-bfc9-4eb8c11e3978_Enabled">
    <vt:lpwstr>True</vt:lpwstr>
  </property>
  <property fmtid="{D5CDD505-2E9C-101B-9397-08002B2CF9AE}" pid="22" name="MSIP_Label_7158ebbd-6c5e-441f-bfc9-4eb8c11e3978_Owner">
    <vt:lpwstr>david.lawlor@dtf.vic.gov.au</vt:lpwstr>
  </property>
  <property fmtid="{D5CDD505-2E9C-101B-9397-08002B2CF9AE}" pid="23" name="Sensitivity">
    <vt:lpwstr>OFFICIAL</vt:lpwstr>
  </property>
</Properties>
</file>