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F31D9" w14:textId="72DD9CE8" w:rsidR="00047E33" w:rsidRPr="00FA4E5F" w:rsidRDefault="00A01FB1" w:rsidP="00FA4E5F">
      <w:pPr>
        <w:pStyle w:val="Documenttitle"/>
        <w:rPr>
          <w:color w:val="auto"/>
        </w:rPr>
      </w:pPr>
      <w:r w:rsidRPr="00FA4E5F">
        <w:rPr>
          <w:noProof/>
          <w:color w:val="FFFFFF" w:themeColor="background1"/>
        </w:rPr>
        <w:drawing>
          <wp:anchor distT="0" distB="0" distL="114300" distR="114300" simplePos="0" relativeHeight="251658240" behindDoc="1" locked="1" layoutInCell="1" allowOverlap="1" wp14:anchorId="21966DC4" wp14:editId="71181497">
            <wp:simplePos x="0" y="0"/>
            <wp:positionH relativeFrom="page">
              <wp:posOffset>12700</wp:posOffset>
            </wp:positionH>
            <wp:positionV relativeFrom="page">
              <wp:posOffset>0</wp:posOffset>
            </wp:positionV>
            <wp:extent cx="7543800" cy="10662285"/>
            <wp:effectExtent l="0" t="0" r="0" b="571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a:stretch>
                      <a:fillRect/>
                    </a:stretch>
                  </pic:blipFill>
                  <pic:spPr>
                    <a:xfrm>
                      <a:off x="0" y="0"/>
                      <a:ext cx="7543800" cy="10662285"/>
                    </a:xfrm>
                    <a:prstGeom prst="rect">
                      <a:avLst/>
                    </a:prstGeom>
                  </pic:spPr>
                </pic:pic>
              </a:graphicData>
            </a:graphic>
            <wp14:sizeRelH relativeFrom="margin">
              <wp14:pctWidth>0</wp14:pctWidth>
            </wp14:sizeRelH>
            <wp14:sizeRelV relativeFrom="margin">
              <wp14:pctHeight>0</wp14:pctHeight>
            </wp14:sizeRelV>
          </wp:anchor>
        </w:drawing>
      </w:r>
      <w:r w:rsidR="00C5763B">
        <w:rPr>
          <w:color w:val="FFFFFF" w:themeColor="background1"/>
        </w:rPr>
        <w:t xml:space="preserve">DPC’s </w:t>
      </w:r>
      <w:r w:rsidR="00C5763B">
        <w:rPr>
          <w:color w:val="FFFFFF" w:themeColor="background1"/>
        </w:rPr>
        <w:br/>
      </w:r>
      <w:r w:rsidR="00310FF0" w:rsidRPr="00FA4E5F">
        <w:rPr>
          <w:color w:val="FFFFFF" w:themeColor="background1"/>
        </w:rPr>
        <w:t xml:space="preserve">Gender Equality </w:t>
      </w:r>
      <w:r w:rsidR="00F96249">
        <w:rPr>
          <w:color w:val="FFFFFF" w:themeColor="background1"/>
        </w:rPr>
        <w:br/>
      </w:r>
      <w:r w:rsidR="00310FF0" w:rsidRPr="00FA4E5F">
        <w:rPr>
          <w:color w:val="FFFFFF" w:themeColor="background1"/>
        </w:rPr>
        <w:t xml:space="preserve">Action Plan </w:t>
      </w:r>
      <w:r w:rsidR="005F562A">
        <w:rPr>
          <w:color w:val="FFFFFF" w:themeColor="background1"/>
        </w:rPr>
        <w:br/>
      </w:r>
      <w:r w:rsidR="00310FF0" w:rsidRPr="00FA4E5F">
        <w:rPr>
          <w:color w:val="FFFFFF" w:themeColor="background1"/>
        </w:rPr>
        <w:t>2021–2025</w:t>
      </w:r>
    </w:p>
    <w:p w14:paraId="7A280DC5" w14:textId="77777777" w:rsidR="00047E33" w:rsidRPr="00310FF0" w:rsidRDefault="00047E33" w:rsidP="007A4F81">
      <w:pPr>
        <w:pStyle w:val="Documentsubtitle"/>
        <w:rPr>
          <w:color w:val="FFFFFF" w:themeColor="background1"/>
        </w:rPr>
      </w:pPr>
      <w:r w:rsidRPr="00310FF0">
        <w:rPr>
          <w:color w:val="FFFFFF" w:themeColor="background1"/>
        </w:rPr>
        <w:t>Accessible</w:t>
      </w:r>
    </w:p>
    <w:p w14:paraId="36665FAE" w14:textId="77777777" w:rsidR="00FE4081" w:rsidRPr="00023715" w:rsidRDefault="00FE4081" w:rsidP="00FE4081"/>
    <w:p w14:paraId="3B4B7FED" w14:textId="5A778641" w:rsidR="00FE4081" w:rsidRPr="00023715" w:rsidRDefault="00FE4081" w:rsidP="00FE4081">
      <w:pPr>
        <w:sectPr w:rsidR="00FE4081" w:rsidRPr="00023715" w:rsidSect="000101F1">
          <w:footerReference w:type="even" r:id="rId13"/>
          <w:footerReference w:type="default" r:id="rId14"/>
          <w:footerReference w:type="first" r:id="rId15"/>
          <w:type w:val="continuous"/>
          <w:pgSz w:w="11906" w:h="16838" w:code="9"/>
          <w:pgMar w:top="10402" w:right="1304" w:bottom="851" w:left="1304" w:header="680" w:footer="567" w:gutter="0"/>
          <w:cols w:space="340"/>
          <w:titlePg/>
          <w:docGrid w:linePitch="360"/>
        </w:sectPr>
      </w:pPr>
    </w:p>
    <w:p w14:paraId="1E8B4D95" w14:textId="77777777" w:rsidR="0040035C" w:rsidRPr="00CC10B8" w:rsidRDefault="00310FF0" w:rsidP="00CC10B8">
      <w:r w:rsidRPr="00CC10B8">
        <w:lastRenderedPageBreak/>
        <w:t xml:space="preserve">Authorised and published by the Victorian Government </w:t>
      </w:r>
    </w:p>
    <w:p w14:paraId="346632A8" w14:textId="08D2EAED" w:rsidR="00310FF0" w:rsidRPr="00CC10B8" w:rsidRDefault="00310FF0" w:rsidP="00CC10B8">
      <w:r w:rsidRPr="00CC10B8">
        <w:t>1 Treasury Place, Melbourne</w:t>
      </w:r>
    </w:p>
    <w:p w14:paraId="54E0FD59" w14:textId="77777777" w:rsidR="00571CD3" w:rsidRPr="00CC10B8" w:rsidRDefault="00310FF0" w:rsidP="00CC10B8">
      <w:r w:rsidRPr="00CC10B8">
        <w:t>Gender Equality Action Plan 2021–2025</w:t>
      </w:r>
    </w:p>
    <w:p w14:paraId="4FB234FE" w14:textId="4A5C6023" w:rsidR="00310FF0" w:rsidRPr="00CC10B8" w:rsidRDefault="00310FF0" w:rsidP="00CC10B8">
      <w:r w:rsidRPr="00CC10B8">
        <w:t>March 2022</w:t>
      </w:r>
    </w:p>
    <w:p w14:paraId="02A7C593" w14:textId="77777777" w:rsidR="00310FF0" w:rsidRPr="00CC10B8" w:rsidRDefault="00310FF0" w:rsidP="00CC10B8">
      <w:r w:rsidRPr="00CC10B8">
        <w:t>© Copyright State Government of Victoria 2022</w:t>
      </w:r>
    </w:p>
    <w:p w14:paraId="79534EF2" w14:textId="77777777" w:rsidR="00310FF0" w:rsidRPr="00CC10B8" w:rsidRDefault="00310FF0" w:rsidP="00CC10B8">
      <w:r w:rsidRPr="00CC10B8">
        <w:t xml:space="preserve">This publication is copyright. No part may be reproduced by any process except in accordance with provisions of the </w:t>
      </w:r>
      <w:r w:rsidRPr="00D77ECF">
        <w:rPr>
          <w:i/>
          <w:iCs/>
        </w:rPr>
        <w:t>Copyright Act 1968</w:t>
      </w:r>
      <w:r w:rsidRPr="00CC10B8">
        <w:t>.</w:t>
      </w:r>
    </w:p>
    <w:p w14:paraId="0C08A31D" w14:textId="16682DDF" w:rsidR="00310FF0" w:rsidRPr="00CC10B8" w:rsidRDefault="00310FF0" w:rsidP="00CC10B8">
      <w:r w:rsidRPr="00CC10B8">
        <w:t>For an accessible version of this publication, visit the DPC website &lt;</w:t>
      </w:r>
      <w:hyperlink r:id="rId16" w:history="1">
        <w:r w:rsidRPr="00CC10B8">
          <w:rPr>
            <w:rStyle w:val="Hyperlink"/>
          </w:rPr>
          <w:t>https://www.vic.gov.au/dpc-governance-and-reporting</w:t>
        </w:r>
      </w:hyperlink>
      <w:r w:rsidRPr="00CC10B8">
        <w:t>&gt;.</w:t>
      </w:r>
    </w:p>
    <w:p w14:paraId="42664A0E" w14:textId="77777777" w:rsidR="00310FF0" w:rsidRPr="00A1421D" w:rsidRDefault="00310FF0" w:rsidP="00CC10B8">
      <w:pPr>
        <w:rPr>
          <w:b/>
          <w:bCs/>
        </w:rPr>
      </w:pPr>
      <w:r w:rsidRPr="00A1421D">
        <w:rPr>
          <w:b/>
          <w:bCs/>
        </w:rPr>
        <w:t xml:space="preserve">Acknowledgement of Country </w:t>
      </w:r>
    </w:p>
    <w:p w14:paraId="6933CF9A" w14:textId="2C8BB3A9" w:rsidR="00C247B2" w:rsidRPr="00CC10B8" w:rsidRDefault="00310FF0" w:rsidP="00CC10B8">
      <w:r w:rsidRPr="00CC10B8">
        <w:t xml:space="preserve">The Department of Premier and Cabinet (DPC) proudly acknowledges Victoria’s First Nations peoples and their ongoing strength in practising the world’s oldest living culture. We acknowledge the Traditional Custodians of Country throughout Victoria and pay our respects to their cultures and Elders past, </w:t>
      </w:r>
      <w:proofErr w:type="gramStart"/>
      <w:r w:rsidRPr="00CC10B8">
        <w:t>present</w:t>
      </w:r>
      <w:proofErr w:type="gramEnd"/>
      <w:r w:rsidRPr="00CC10B8">
        <w:t xml:space="preserve"> and emerging.</w:t>
      </w:r>
    </w:p>
    <w:p w14:paraId="06781511" w14:textId="77777777" w:rsidR="00C247B2" w:rsidRPr="00CC10B8" w:rsidRDefault="00C247B2" w:rsidP="00CC10B8">
      <w:pPr>
        <w:rPr>
          <w:rFonts w:eastAsiaTheme="minorEastAsia"/>
        </w:rPr>
      </w:pPr>
      <w:r w:rsidRPr="00CC10B8">
        <w:br w:type="page"/>
      </w:r>
    </w:p>
    <w:p w14:paraId="3A3B0222" w14:textId="22F93206" w:rsidR="00C53671" w:rsidRDefault="009D04D7">
      <w:pPr>
        <w:pStyle w:val="TOC2"/>
        <w:rPr>
          <w:rFonts w:asciiTheme="minorHAnsi" w:eastAsiaTheme="minorEastAsia" w:hAnsiTheme="minorHAnsi" w:cstheme="minorBidi"/>
          <w:b w:val="0"/>
          <w:sz w:val="24"/>
          <w:szCs w:val="24"/>
          <w:lang w:eastAsia="en-GB"/>
        </w:rPr>
      </w:pPr>
      <w:r>
        <w:rPr>
          <w:lang w:val="en-US"/>
        </w:rPr>
        <w:lastRenderedPageBreak/>
        <w:fldChar w:fldCharType="begin"/>
      </w:r>
      <w:r>
        <w:rPr>
          <w:lang w:val="en-US"/>
        </w:rPr>
        <w:instrText xml:space="preserve"> TOC \o "1-3" \h \z \u </w:instrText>
      </w:r>
      <w:r>
        <w:rPr>
          <w:lang w:val="en-US"/>
        </w:rPr>
        <w:fldChar w:fldCharType="separate"/>
      </w:r>
      <w:hyperlink w:anchor="_Toc114211264" w:history="1">
        <w:r w:rsidR="00C53671" w:rsidRPr="00877A8E">
          <w:rPr>
            <w:rStyle w:val="Hyperlink"/>
          </w:rPr>
          <w:t>Message from the Secretary</w:t>
        </w:r>
        <w:r w:rsidR="00C53671">
          <w:rPr>
            <w:webHidden/>
          </w:rPr>
          <w:tab/>
        </w:r>
        <w:r w:rsidR="00C53671">
          <w:rPr>
            <w:webHidden/>
          </w:rPr>
          <w:fldChar w:fldCharType="begin"/>
        </w:r>
        <w:r w:rsidR="00C53671">
          <w:rPr>
            <w:webHidden/>
          </w:rPr>
          <w:instrText xml:space="preserve"> PAGEREF _Toc114211264 \h </w:instrText>
        </w:r>
        <w:r w:rsidR="00C53671">
          <w:rPr>
            <w:webHidden/>
          </w:rPr>
        </w:r>
        <w:r w:rsidR="00C53671">
          <w:rPr>
            <w:webHidden/>
          </w:rPr>
          <w:fldChar w:fldCharType="separate"/>
        </w:r>
        <w:r w:rsidR="00C53671">
          <w:rPr>
            <w:webHidden/>
          </w:rPr>
          <w:t>4</w:t>
        </w:r>
        <w:r w:rsidR="00C53671">
          <w:rPr>
            <w:webHidden/>
          </w:rPr>
          <w:fldChar w:fldCharType="end"/>
        </w:r>
      </w:hyperlink>
    </w:p>
    <w:p w14:paraId="04CD933E" w14:textId="4A9EED20" w:rsidR="00C53671" w:rsidRDefault="00000000">
      <w:pPr>
        <w:pStyle w:val="TOC2"/>
        <w:rPr>
          <w:rFonts w:asciiTheme="minorHAnsi" w:eastAsiaTheme="minorEastAsia" w:hAnsiTheme="minorHAnsi" w:cstheme="minorBidi"/>
          <w:b w:val="0"/>
          <w:sz w:val="24"/>
          <w:szCs w:val="24"/>
          <w:lang w:eastAsia="en-GB"/>
        </w:rPr>
      </w:pPr>
      <w:hyperlink w:anchor="_Toc114211265" w:history="1">
        <w:r w:rsidR="00C53671" w:rsidRPr="00877A8E">
          <w:rPr>
            <w:rStyle w:val="Hyperlink"/>
          </w:rPr>
          <w:t>Message from the Gender Equality Champion</w:t>
        </w:r>
        <w:r w:rsidR="00C53671">
          <w:rPr>
            <w:webHidden/>
          </w:rPr>
          <w:tab/>
        </w:r>
        <w:r w:rsidR="00C53671">
          <w:rPr>
            <w:webHidden/>
          </w:rPr>
          <w:fldChar w:fldCharType="begin"/>
        </w:r>
        <w:r w:rsidR="00C53671">
          <w:rPr>
            <w:webHidden/>
          </w:rPr>
          <w:instrText xml:space="preserve"> PAGEREF _Toc114211265 \h </w:instrText>
        </w:r>
        <w:r w:rsidR="00C53671">
          <w:rPr>
            <w:webHidden/>
          </w:rPr>
        </w:r>
        <w:r w:rsidR="00C53671">
          <w:rPr>
            <w:webHidden/>
          </w:rPr>
          <w:fldChar w:fldCharType="separate"/>
        </w:r>
        <w:r w:rsidR="00C53671">
          <w:rPr>
            <w:webHidden/>
          </w:rPr>
          <w:t>5</w:t>
        </w:r>
        <w:r w:rsidR="00C53671">
          <w:rPr>
            <w:webHidden/>
          </w:rPr>
          <w:fldChar w:fldCharType="end"/>
        </w:r>
      </w:hyperlink>
    </w:p>
    <w:p w14:paraId="5D967089" w14:textId="2127A6A1" w:rsidR="00C53671" w:rsidRDefault="00000000">
      <w:pPr>
        <w:pStyle w:val="TOC2"/>
        <w:rPr>
          <w:rFonts w:asciiTheme="minorHAnsi" w:eastAsiaTheme="minorEastAsia" w:hAnsiTheme="minorHAnsi" w:cstheme="minorBidi"/>
          <w:b w:val="0"/>
          <w:sz w:val="24"/>
          <w:szCs w:val="24"/>
          <w:lang w:eastAsia="en-GB"/>
        </w:rPr>
      </w:pPr>
      <w:hyperlink w:anchor="_Toc114211266" w:history="1">
        <w:r w:rsidR="00C53671" w:rsidRPr="00877A8E">
          <w:rPr>
            <w:rStyle w:val="Hyperlink"/>
          </w:rPr>
          <w:t>1.</w:t>
        </w:r>
        <w:r w:rsidR="00C53671">
          <w:rPr>
            <w:rFonts w:asciiTheme="minorHAnsi" w:eastAsiaTheme="minorEastAsia" w:hAnsiTheme="minorHAnsi" w:cstheme="minorBidi"/>
            <w:b w:val="0"/>
            <w:sz w:val="24"/>
            <w:szCs w:val="24"/>
            <w:lang w:eastAsia="en-GB"/>
          </w:rPr>
          <w:tab/>
        </w:r>
        <w:r w:rsidR="00C53671" w:rsidRPr="00877A8E">
          <w:rPr>
            <w:rStyle w:val="Hyperlink"/>
          </w:rPr>
          <w:t>Our vision</w:t>
        </w:r>
        <w:r w:rsidR="00C53671">
          <w:rPr>
            <w:webHidden/>
          </w:rPr>
          <w:tab/>
        </w:r>
        <w:r w:rsidR="00C53671">
          <w:rPr>
            <w:webHidden/>
          </w:rPr>
          <w:fldChar w:fldCharType="begin"/>
        </w:r>
        <w:r w:rsidR="00C53671">
          <w:rPr>
            <w:webHidden/>
          </w:rPr>
          <w:instrText xml:space="preserve"> PAGEREF _Toc114211266 \h </w:instrText>
        </w:r>
        <w:r w:rsidR="00C53671">
          <w:rPr>
            <w:webHidden/>
          </w:rPr>
        </w:r>
        <w:r w:rsidR="00C53671">
          <w:rPr>
            <w:webHidden/>
          </w:rPr>
          <w:fldChar w:fldCharType="separate"/>
        </w:r>
        <w:r w:rsidR="00C53671">
          <w:rPr>
            <w:webHidden/>
          </w:rPr>
          <w:t>6</w:t>
        </w:r>
        <w:r w:rsidR="00C53671">
          <w:rPr>
            <w:webHidden/>
          </w:rPr>
          <w:fldChar w:fldCharType="end"/>
        </w:r>
      </w:hyperlink>
    </w:p>
    <w:p w14:paraId="6F682EC1" w14:textId="420704E5" w:rsidR="00C53671" w:rsidRDefault="00000000">
      <w:pPr>
        <w:pStyle w:val="TOC3"/>
        <w:rPr>
          <w:rFonts w:asciiTheme="minorHAnsi" w:eastAsiaTheme="minorEastAsia" w:hAnsiTheme="minorHAnsi" w:cstheme="minorBidi"/>
          <w:sz w:val="24"/>
          <w:szCs w:val="24"/>
          <w:lang w:eastAsia="en-GB"/>
        </w:rPr>
      </w:pPr>
      <w:hyperlink w:anchor="_Toc114211267" w:history="1">
        <w:r w:rsidR="00C53671" w:rsidRPr="00877A8E">
          <w:rPr>
            <w:rStyle w:val="Hyperlink"/>
            <w:lang w:val="en-US"/>
          </w:rPr>
          <w:t>Legislative Framework:</w:t>
        </w:r>
        <w:r w:rsidR="00C53671" w:rsidRPr="00877A8E">
          <w:rPr>
            <w:rStyle w:val="Hyperlink"/>
          </w:rPr>
          <w:t xml:space="preserve"> </w:t>
        </w:r>
        <w:r w:rsidR="00C53671" w:rsidRPr="00877A8E">
          <w:rPr>
            <w:rStyle w:val="Hyperlink"/>
            <w:i/>
            <w:iCs/>
          </w:rPr>
          <w:t>Gender Equality Act 2020</w:t>
        </w:r>
        <w:r w:rsidR="00C53671">
          <w:rPr>
            <w:webHidden/>
          </w:rPr>
          <w:tab/>
        </w:r>
        <w:r w:rsidR="00C53671">
          <w:rPr>
            <w:webHidden/>
          </w:rPr>
          <w:fldChar w:fldCharType="begin"/>
        </w:r>
        <w:r w:rsidR="00C53671">
          <w:rPr>
            <w:webHidden/>
          </w:rPr>
          <w:instrText xml:space="preserve"> PAGEREF _Toc114211267 \h </w:instrText>
        </w:r>
        <w:r w:rsidR="00C53671">
          <w:rPr>
            <w:webHidden/>
          </w:rPr>
        </w:r>
        <w:r w:rsidR="00C53671">
          <w:rPr>
            <w:webHidden/>
          </w:rPr>
          <w:fldChar w:fldCharType="separate"/>
        </w:r>
        <w:r w:rsidR="00C53671">
          <w:rPr>
            <w:webHidden/>
          </w:rPr>
          <w:t>6</w:t>
        </w:r>
        <w:r w:rsidR="00C53671">
          <w:rPr>
            <w:webHidden/>
          </w:rPr>
          <w:fldChar w:fldCharType="end"/>
        </w:r>
      </w:hyperlink>
    </w:p>
    <w:p w14:paraId="0AD68D0A" w14:textId="6FDD7A42" w:rsidR="00C53671" w:rsidRDefault="00000000">
      <w:pPr>
        <w:pStyle w:val="TOC3"/>
        <w:rPr>
          <w:rFonts w:asciiTheme="minorHAnsi" w:eastAsiaTheme="minorEastAsia" w:hAnsiTheme="minorHAnsi" w:cstheme="minorBidi"/>
          <w:sz w:val="24"/>
          <w:szCs w:val="24"/>
          <w:lang w:eastAsia="en-GB"/>
        </w:rPr>
      </w:pPr>
      <w:hyperlink w:anchor="_Toc114211268" w:history="1">
        <w:r w:rsidR="00C53671" w:rsidRPr="00877A8E">
          <w:rPr>
            <w:rStyle w:val="Hyperlink"/>
            <w:i/>
            <w:iCs/>
          </w:rPr>
          <w:t>Gender Equality Action Plan 2021 – 2025</w:t>
        </w:r>
        <w:r w:rsidR="00C53671">
          <w:rPr>
            <w:webHidden/>
          </w:rPr>
          <w:tab/>
        </w:r>
        <w:r w:rsidR="00C53671">
          <w:rPr>
            <w:webHidden/>
          </w:rPr>
          <w:fldChar w:fldCharType="begin"/>
        </w:r>
        <w:r w:rsidR="00C53671">
          <w:rPr>
            <w:webHidden/>
          </w:rPr>
          <w:instrText xml:space="preserve"> PAGEREF _Toc114211268 \h </w:instrText>
        </w:r>
        <w:r w:rsidR="00C53671">
          <w:rPr>
            <w:webHidden/>
          </w:rPr>
        </w:r>
        <w:r w:rsidR="00C53671">
          <w:rPr>
            <w:webHidden/>
          </w:rPr>
          <w:fldChar w:fldCharType="separate"/>
        </w:r>
        <w:r w:rsidR="00C53671">
          <w:rPr>
            <w:webHidden/>
          </w:rPr>
          <w:t>7</w:t>
        </w:r>
        <w:r w:rsidR="00C53671">
          <w:rPr>
            <w:webHidden/>
          </w:rPr>
          <w:fldChar w:fldCharType="end"/>
        </w:r>
      </w:hyperlink>
    </w:p>
    <w:p w14:paraId="63ED73E6" w14:textId="48954708" w:rsidR="00C53671" w:rsidRDefault="00000000">
      <w:pPr>
        <w:pStyle w:val="TOC2"/>
        <w:rPr>
          <w:rFonts w:asciiTheme="minorHAnsi" w:eastAsiaTheme="minorEastAsia" w:hAnsiTheme="minorHAnsi" w:cstheme="minorBidi"/>
          <w:b w:val="0"/>
          <w:sz w:val="24"/>
          <w:szCs w:val="24"/>
          <w:lang w:eastAsia="en-GB"/>
        </w:rPr>
      </w:pPr>
      <w:hyperlink w:anchor="_Toc114211269" w:history="1">
        <w:r w:rsidR="00C53671" w:rsidRPr="00877A8E">
          <w:rPr>
            <w:rStyle w:val="Hyperlink"/>
          </w:rPr>
          <w:t>2.</w:t>
        </w:r>
        <w:r w:rsidR="00C53671">
          <w:rPr>
            <w:rFonts w:asciiTheme="minorHAnsi" w:eastAsiaTheme="minorEastAsia" w:hAnsiTheme="minorHAnsi" w:cstheme="minorBidi"/>
            <w:b w:val="0"/>
            <w:sz w:val="24"/>
            <w:szCs w:val="24"/>
            <w:lang w:eastAsia="en-GB"/>
          </w:rPr>
          <w:tab/>
        </w:r>
        <w:r w:rsidR="00C53671" w:rsidRPr="00877A8E">
          <w:rPr>
            <w:rStyle w:val="Hyperlink"/>
          </w:rPr>
          <w:t>Strategic context</w:t>
        </w:r>
        <w:r w:rsidR="00C53671">
          <w:rPr>
            <w:webHidden/>
          </w:rPr>
          <w:tab/>
        </w:r>
        <w:r w:rsidR="00C53671">
          <w:rPr>
            <w:webHidden/>
          </w:rPr>
          <w:fldChar w:fldCharType="begin"/>
        </w:r>
        <w:r w:rsidR="00C53671">
          <w:rPr>
            <w:webHidden/>
          </w:rPr>
          <w:instrText xml:space="preserve"> PAGEREF _Toc114211269 \h </w:instrText>
        </w:r>
        <w:r w:rsidR="00C53671">
          <w:rPr>
            <w:webHidden/>
          </w:rPr>
        </w:r>
        <w:r w:rsidR="00C53671">
          <w:rPr>
            <w:webHidden/>
          </w:rPr>
          <w:fldChar w:fldCharType="separate"/>
        </w:r>
        <w:r w:rsidR="00C53671">
          <w:rPr>
            <w:webHidden/>
          </w:rPr>
          <w:t>8</w:t>
        </w:r>
        <w:r w:rsidR="00C53671">
          <w:rPr>
            <w:webHidden/>
          </w:rPr>
          <w:fldChar w:fldCharType="end"/>
        </w:r>
      </w:hyperlink>
    </w:p>
    <w:p w14:paraId="27843265" w14:textId="241FFDDB" w:rsidR="00C53671" w:rsidRDefault="00000000">
      <w:pPr>
        <w:pStyle w:val="TOC2"/>
        <w:rPr>
          <w:rFonts w:asciiTheme="minorHAnsi" w:eastAsiaTheme="minorEastAsia" w:hAnsiTheme="minorHAnsi" w:cstheme="minorBidi"/>
          <w:b w:val="0"/>
          <w:sz w:val="24"/>
          <w:szCs w:val="24"/>
          <w:lang w:eastAsia="en-GB"/>
        </w:rPr>
      </w:pPr>
      <w:hyperlink w:anchor="_Toc114211270" w:history="1">
        <w:r w:rsidR="00C53671" w:rsidRPr="00877A8E">
          <w:rPr>
            <w:rStyle w:val="Hyperlink"/>
          </w:rPr>
          <w:t>3.</w:t>
        </w:r>
        <w:r w:rsidR="00C53671">
          <w:rPr>
            <w:rFonts w:asciiTheme="minorHAnsi" w:eastAsiaTheme="minorEastAsia" w:hAnsiTheme="minorHAnsi" w:cstheme="minorBidi"/>
            <w:b w:val="0"/>
            <w:sz w:val="24"/>
            <w:szCs w:val="24"/>
            <w:lang w:eastAsia="en-GB"/>
          </w:rPr>
          <w:tab/>
        </w:r>
        <w:r w:rsidR="00C53671" w:rsidRPr="00877A8E">
          <w:rPr>
            <w:rStyle w:val="Hyperlink"/>
          </w:rPr>
          <w:t xml:space="preserve">Building on achievements under the </w:t>
        </w:r>
        <w:r w:rsidR="00C53671" w:rsidRPr="00877A8E">
          <w:rPr>
            <w:rStyle w:val="Hyperlink"/>
            <w:i/>
            <w:iCs/>
          </w:rPr>
          <w:t>Gender Equality Action Plan 2018–2021</w:t>
        </w:r>
        <w:r w:rsidR="00C53671">
          <w:rPr>
            <w:webHidden/>
          </w:rPr>
          <w:tab/>
        </w:r>
        <w:r w:rsidR="00C53671">
          <w:rPr>
            <w:webHidden/>
          </w:rPr>
          <w:fldChar w:fldCharType="begin"/>
        </w:r>
        <w:r w:rsidR="00C53671">
          <w:rPr>
            <w:webHidden/>
          </w:rPr>
          <w:instrText xml:space="preserve"> PAGEREF _Toc114211270 \h </w:instrText>
        </w:r>
        <w:r w:rsidR="00C53671">
          <w:rPr>
            <w:webHidden/>
          </w:rPr>
        </w:r>
        <w:r w:rsidR="00C53671">
          <w:rPr>
            <w:webHidden/>
          </w:rPr>
          <w:fldChar w:fldCharType="separate"/>
        </w:r>
        <w:r w:rsidR="00C53671">
          <w:rPr>
            <w:webHidden/>
          </w:rPr>
          <w:t>9</w:t>
        </w:r>
        <w:r w:rsidR="00C53671">
          <w:rPr>
            <w:webHidden/>
          </w:rPr>
          <w:fldChar w:fldCharType="end"/>
        </w:r>
      </w:hyperlink>
    </w:p>
    <w:p w14:paraId="158E1F7D" w14:textId="1EC5D869" w:rsidR="00C53671" w:rsidRDefault="00000000">
      <w:pPr>
        <w:pStyle w:val="TOC2"/>
        <w:rPr>
          <w:rFonts w:asciiTheme="minorHAnsi" w:eastAsiaTheme="minorEastAsia" w:hAnsiTheme="minorHAnsi" w:cstheme="minorBidi"/>
          <w:b w:val="0"/>
          <w:sz w:val="24"/>
          <w:szCs w:val="24"/>
          <w:lang w:eastAsia="en-GB"/>
        </w:rPr>
      </w:pPr>
      <w:hyperlink w:anchor="_Toc114211271" w:history="1">
        <w:r w:rsidR="00C53671" w:rsidRPr="00877A8E">
          <w:rPr>
            <w:rStyle w:val="Hyperlink"/>
          </w:rPr>
          <w:t>4.</w:t>
        </w:r>
        <w:r w:rsidR="00C53671">
          <w:rPr>
            <w:rFonts w:asciiTheme="minorHAnsi" w:eastAsiaTheme="minorEastAsia" w:hAnsiTheme="minorHAnsi" w:cstheme="minorBidi"/>
            <w:b w:val="0"/>
            <w:sz w:val="24"/>
            <w:szCs w:val="24"/>
            <w:lang w:eastAsia="en-GB"/>
          </w:rPr>
          <w:tab/>
        </w:r>
        <w:r w:rsidR="00C53671" w:rsidRPr="00877A8E">
          <w:rPr>
            <w:rStyle w:val="Hyperlink"/>
          </w:rPr>
          <w:t>How we developed this Gender Equality Action Plan</w:t>
        </w:r>
        <w:r w:rsidR="00C53671">
          <w:rPr>
            <w:webHidden/>
          </w:rPr>
          <w:tab/>
        </w:r>
        <w:r w:rsidR="00C53671">
          <w:rPr>
            <w:webHidden/>
          </w:rPr>
          <w:fldChar w:fldCharType="begin"/>
        </w:r>
        <w:r w:rsidR="00C53671">
          <w:rPr>
            <w:webHidden/>
          </w:rPr>
          <w:instrText xml:space="preserve"> PAGEREF _Toc114211271 \h </w:instrText>
        </w:r>
        <w:r w:rsidR="00C53671">
          <w:rPr>
            <w:webHidden/>
          </w:rPr>
        </w:r>
        <w:r w:rsidR="00C53671">
          <w:rPr>
            <w:webHidden/>
          </w:rPr>
          <w:fldChar w:fldCharType="separate"/>
        </w:r>
        <w:r w:rsidR="00C53671">
          <w:rPr>
            <w:webHidden/>
          </w:rPr>
          <w:t>10</w:t>
        </w:r>
        <w:r w:rsidR="00C53671">
          <w:rPr>
            <w:webHidden/>
          </w:rPr>
          <w:fldChar w:fldCharType="end"/>
        </w:r>
      </w:hyperlink>
    </w:p>
    <w:p w14:paraId="085ACD3D" w14:textId="2A28D80B" w:rsidR="00C53671" w:rsidRDefault="00000000">
      <w:pPr>
        <w:pStyle w:val="TOC3"/>
        <w:rPr>
          <w:rFonts w:asciiTheme="minorHAnsi" w:eastAsiaTheme="minorEastAsia" w:hAnsiTheme="minorHAnsi" w:cstheme="minorBidi"/>
          <w:sz w:val="24"/>
          <w:szCs w:val="24"/>
          <w:lang w:eastAsia="en-GB"/>
        </w:rPr>
      </w:pPr>
      <w:hyperlink w:anchor="_Toc114211272" w:history="1">
        <w:r w:rsidR="00C53671" w:rsidRPr="00877A8E">
          <w:rPr>
            <w:rStyle w:val="Hyperlink"/>
            <w:lang w:val="en-US"/>
          </w:rPr>
          <w:t>Gender Equality data analysis</w:t>
        </w:r>
        <w:r w:rsidR="00C53671">
          <w:rPr>
            <w:webHidden/>
          </w:rPr>
          <w:tab/>
        </w:r>
        <w:r w:rsidR="00C53671">
          <w:rPr>
            <w:webHidden/>
          </w:rPr>
          <w:fldChar w:fldCharType="begin"/>
        </w:r>
        <w:r w:rsidR="00C53671">
          <w:rPr>
            <w:webHidden/>
          </w:rPr>
          <w:instrText xml:space="preserve"> PAGEREF _Toc114211272 \h </w:instrText>
        </w:r>
        <w:r w:rsidR="00C53671">
          <w:rPr>
            <w:webHidden/>
          </w:rPr>
        </w:r>
        <w:r w:rsidR="00C53671">
          <w:rPr>
            <w:webHidden/>
          </w:rPr>
          <w:fldChar w:fldCharType="separate"/>
        </w:r>
        <w:r w:rsidR="00C53671">
          <w:rPr>
            <w:webHidden/>
          </w:rPr>
          <w:t>10</w:t>
        </w:r>
        <w:r w:rsidR="00C53671">
          <w:rPr>
            <w:webHidden/>
          </w:rPr>
          <w:fldChar w:fldCharType="end"/>
        </w:r>
      </w:hyperlink>
    </w:p>
    <w:p w14:paraId="1E8053EF" w14:textId="11E85834" w:rsidR="00C53671" w:rsidRDefault="00000000">
      <w:pPr>
        <w:pStyle w:val="TOC3"/>
        <w:rPr>
          <w:rFonts w:asciiTheme="minorHAnsi" w:eastAsiaTheme="minorEastAsia" w:hAnsiTheme="minorHAnsi" w:cstheme="minorBidi"/>
          <w:sz w:val="24"/>
          <w:szCs w:val="24"/>
          <w:lang w:eastAsia="en-GB"/>
        </w:rPr>
      </w:pPr>
      <w:hyperlink w:anchor="_Toc114211273" w:history="1">
        <w:r w:rsidR="00C53671" w:rsidRPr="00877A8E">
          <w:rPr>
            <w:rStyle w:val="Hyperlink"/>
            <w:lang w:val="en-US"/>
          </w:rPr>
          <w:t>Consultation with stakeholders</w:t>
        </w:r>
        <w:r w:rsidR="00C53671">
          <w:rPr>
            <w:webHidden/>
          </w:rPr>
          <w:tab/>
        </w:r>
        <w:r w:rsidR="00C53671">
          <w:rPr>
            <w:webHidden/>
          </w:rPr>
          <w:fldChar w:fldCharType="begin"/>
        </w:r>
        <w:r w:rsidR="00C53671">
          <w:rPr>
            <w:webHidden/>
          </w:rPr>
          <w:instrText xml:space="preserve"> PAGEREF _Toc114211273 \h </w:instrText>
        </w:r>
        <w:r w:rsidR="00C53671">
          <w:rPr>
            <w:webHidden/>
          </w:rPr>
        </w:r>
        <w:r w:rsidR="00C53671">
          <w:rPr>
            <w:webHidden/>
          </w:rPr>
          <w:fldChar w:fldCharType="separate"/>
        </w:r>
        <w:r w:rsidR="00C53671">
          <w:rPr>
            <w:webHidden/>
          </w:rPr>
          <w:t>10</w:t>
        </w:r>
        <w:r w:rsidR="00C53671">
          <w:rPr>
            <w:webHidden/>
          </w:rPr>
          <w:fldChar w:fldCharType="end"/>
        </w:r>
      </w:hyperlink>
    </w:p>
    <w:p w14:paraId="3C20C932" w14:textId="338CA28B" w:rsidR="00C53671" w:rsidRDefault="00000000">
      <w:pPr>
        <w:pStyle w:val="TOC3"/>
        <w:rPr>
          <w:rFonts w:asciiTheme="minorHAnsi" w:eastAsiaTheme="minorEastAsia" w:hAnsiTheme="minorHAnsi" w:cstheme="minorBidi"/>
          <w:sz w:val="24"/>
          <w:szCs w:val="24"/>
          <w:lang w:eastAsia="en-GB"/>
        </w:rPr>
      </w:pPr>
      <w:hyperlink w:anchor="_Toc114211274" w:history="1">
        <w:r w:rsidR="00C53671" w:rsidRPr="00877A8E">
          <w:rPr>
            <w:rStyle w:val="Hyperlink"/>
            <w:lang w:val="en-US"/>
          </w:rPr>
          <w:t>Intersectionality</w:t>
        </w:r>
        <w:r w:rsidR="00C53671">
          <w:rPr>
            <w:webHidden/>
          </w:rPr>
          <w:tab/>
        </w:r>
        <w:r w:rsidR="00C53671">
          <w:rPr>
            <w:webHidden/>
          </w:rPr>
          <w:fldChar w:fldCharType="begin"/>
        </w:r>
        <w:r w:rsidR="00C53671">
          <w:rPr>
            <w:webHidden/>
          </w:rPr>
          <w:instrText xml:space="preserve"> PAGEREF _Toc114211274 \h </w:instrText>
        </w:r>
        <w:r w:rsidR="00C53671">
          <w:rPr>
            <w:webHidden/>
          </w:rPr>
        </w:r>
        <w:r w:rsidR="00C53671">
          <w:rPr>
            <w:webHidden/>
          </w:rPr>
          <w:fldChar w:fldCharType="separate"/>
        </w:r>
        <w:r w:rsidR="00C53671">
          <w:rPr>
            <w:webHidden/>
          </w:rPr>
          <w:t>11</w:t>
        </w:r>
        <w:r w:rsidR="00C53671">
          <w:rPr>
            <w:webHidden/>
          </w:rPr>
          <w:fldChar w:fldCharType="end"/>
        </w:r>
      </w:hyperlink>
    </w:p>
    <w:p w14:paraId="50D3670B" w14:textId="56AA1108" w:rsidR="00C53671" w:rsidRDefault="00000000">
      <w:pPr>
        <w:pStyle w:val="TOC2"/>
        <w:rPr>
          <w:rFonts w:asciiTheme="minorHAnsi" w:eastAsiaTheme="minorEastAsia" w:hAnsiTheme="minorHAnsi" w:cstheme="minorBidi"/>
          <w:b w:val="0"/>
          <w:sz w:val="24"/>
          <w:szCs w:val="24"/>
          <w:lang w:eastAsia="en-GB"/>
        </w:rPr>
      </w:pPr>
      <w:hyperlink w:anchor="_Toc114211275" w:history="1">
        <w:r w:rsidR="00C53671" w:rsidRPr="00877A8E">
          <w:rPr>
            <w:rStyle w:val="Hyperlink"/>
          </w:rPr>
          <w:t>5.</w:t>
        </w:r>
        <w:r w:rsidR="00C53671">
          <w:rPr>
            <w:rFonts w:asciiTheme="minorHAnsi" w:eastAsiaTheme="minorEastAsia" w:hAnsiTheme="minorHAnsi" w:cstheme="minorBidi"/>
            <w:b w:val="0"/>
            <w:sz w:val="24"/>
            <w:szCs w:val="24"/>
            <w:lang w:eastAsia="en-GB"/>
          </w:rPr>
          <w:tab/>
        </w:r>
        <w:r w:rsidR="00C53671" w:rsidRPr="00877A8E">
          <w:rPr>
            <w:rStyle w:val="Hyperlink"/>
          </w:rPr>
          <w:t>Key actions</w:t>
        </w:r>
        <w:r w:rsidR="00C53671">
          <w:rPr>
            <w:webHidden/>
          </w:rPr>
          <w:tab/>
        </w:r>
        <w:r w:rsidR="00C53671">
          <w:rPr>
            <w:webHidden/>
          </w:rPr>
          <w:fldChar w:fldCharType="begin"/>
        </w:r>
        <w:r w:rsidR="00C53671">
          <w:rPr>
            <w:webHidden/>
          </w:rPr>
          <w:instrText xml:space="preserve"> PAGEREF _Toc114211275 \h </w:instrText>
        </w:r>
        <w:r w:rsidR="00C53671">
          <w:rPr>
            <w:webHidden/>
          </w:rPr>
        </w:r>
        <w:r w:rsidR="00C53671">
          <w:rPr>
            <w:webHidden/>
          </w:rPr>
          <w:fldChar w:fldCharType="separate"/>
        </w:r>
        <w:r w:rsidR="00C53671">
          <w:rPr>
            <w:webHidden/>
          </w:rPr>
          <w:t>12</w:t>
        </w:r>
        <w:r w:rsidR="00C53671">
          <w:rPr>
            <w:webHidden/>
          </w:rPr>
          <w:fldChar w:fldCharType="end"/>
        </w:r>
      </w:hyperlink>
    </w:p>
    <w:p w14:paraId="5924EFB4" w14:textId="7ED0FC5A" w:rsidR="00C53671" w:rsidRDefault="00000000">
      <w:pPr>
        <w:pStyle w:val="TOC3"/>
        <w:rPr>
          <w:rFonts w:asciiTheme="minorHAnsi" w:eastAsiaTheme="minorEastAsia" w:hAnsiTheme="minorHAnsi" w:cstheme="minorBidi"/>
          <w:sz w:val="24"/>
          <w:szCs w:val="24"/>
          <w:lang w:eastAsia="en-GB"/>
        </w:rPr>
      </w:pPr>
      <w:hyperlink w:anchor="_Toc114211276" w:history="1">
        <w:r w:rsidR="00C53671" w:rsidRPr="00877A8E">
          <w:rPr>
            <w:rStyle w:val="Hyperlink"/>
            <w:lang w:val="en-US"/>
          </w:rPr>
          <w:t>Action areas</w:t>
        </w:r>
        <w:r w:rsidR="00C53671">
          <w:rPr>
            <w:webHidden/>
          </w:rPr>
          <w:tab/>
        </w:r>
        <w:r w:rsidR="00C53671">
          <w:rPr>
            <w:webHidden/>
          </w:rPr>
          <w:fldChar w:fldCharType="begin"/>
        </w:r>
        <w:r w:rsidR="00C53671">
          <w:rPr>
            <w:webHidden/>
          </w:rPr>
          <w:instrText xml:space="preserve"> PAGEREF _Toc114211276 \h </w:instrText>
        </w:r>
        <w:r w:rsidR="00C53671">
          <w:rPr>
            <w:webHidden/>
          </w:rPr>
        </w:r>
        <w:r w:rsidR="00C53671">
          <w:rPr>
            <w:webHidden/>
          </w:rPr>
          <w:fldChar w:fldCharType="separate"/>
        </w:r>
        <w:r w:rsidR="00C53671">
          <w:rPr>
            <w:webHidden/>
          </w:rPr>
          <w:t>12</w:t>
        </w:r>
        <w:r w:rsidR="00C53671">
          <w:rPr>
            <w:webHidden/>
          </w:rPr>
          <w:fldChar w:fldCharType="end"/>
        </w:r>
      </w:hyperlink>
    </w:p>
    <w:p w14:paraId="790CBD01" w14:textId="03F9CFB2" w:rsidR="00C53671" w:rsidRDefault="00000000">
      <w:pPr>
        <w:pStyle w:val="TOC3"/>
        <w:rPr>
          <w:rFonts w:asciiTheme="minorHAnsi" w:eastAsiaTheme="minorEastAsia" w:hAnsiTheme="minorHAnsi" w:cstheme="minorBidi"/>
          <w:sz w:val="24"/>
          <w:szCs w:val="24"/>
          <w:lang w:eastAsia="en-GB"/>
        </w:rPr>
      </w:pPr>
      <w:hyperlink w:anchor="_Toc114211277" w:history="1">
        <w:r w:rsidR="00C53671" w:rsidRPr="00877A8E">
          <w:rPr>
            <w:rStyle w:val="Hyperlink"/>
          </w:rPr>
          <w:t>Action Area 1: Visible leadership and accountability</w:t>
        </w:r>
        <w:r w:rsidR="00C53671">
          <w:rPr>
            <w:webHidden/>
          </w:rPr>
          <w:tab/>
        </w:r>
        <w:r w:rsidR="00C53671">
          <w:rPr>
            <w:webHidden/>
          </w:rPr>
          <w:fldChar w:fldCharType="begin"/>
        </w:r>
        <w:r w:rsidR="00C53671">
          <w:rPr>
            <w:webHidden/>
          </w:rPr>
          <w:instrText xml:space="preserve"> PAGEREF _Toc114211277 \h </w:instrText>
        </w:r>
        <w:r w:rsidR="00C53671">
          <w:rPr>
            <w:webHidden/>
          </w:rPr>
        </w:r>
        <w:r w:rsidR="00C53671">
          <w:rPr>
            <w:webHidden/>
          </w:rPr>
          <w:fldChar w:fldCharType="separate"/>
        </w:r>
        <w:r w:rsidR="00C53671">
          <w:rPr>
            <w:webHidden/>
          </w:rPr>
          <w:t>13</w:t>
        </w:r>
        <w:r w:rsidR="00C53671">
          <w:rPr>
            <w:webHidden/>
          </w:rPr>
          <w:fldChar w:fldCharType="end"/>
        </w:r>
      </w:hyperlink>
    </w:p>
    <w:p w14:paraId="78BBCFCA" w14:textId="2C194CCD" w:rsidR="00C53671" w:rsidRDefault="00000000">
      <w:pPr>
        <w:pStyle w:val="TOC3"/>
        <w:rPr>
          <w:rFonts w:asciiTheme="minorHAnsi" w:eastAsiaTheme="minorEastAsia" w:hAnsiTheme="minorHAnsi" w:cstheme="minorBidi"/>
          <w:sz w:val="24"/>
          <w:szCs w:val="24"/>
          <w:lang w:eastAsia="en-GB"/>
        </w:rPr>
      </w:pPr>
      <w:hyperlink w:anchor="_Toc114211278" w:history="1">
        <w:r w:rsidR="00C53671" w:rsidRPr="00877A8E">
          <w:rPr>
            <w:rStyle w:val="Hyperlink"/>
          </w:rPr>
          <w:t>Action Area 2: Reducing the gender pay gap</w:t>
        </w:r>
        <w:r w:rsidR="00C53671">
          <w:rPr>
            <w:webHidden/>
          </w:rPr>
          <w:tab/>
        </w:r>
        <w:r w:rsidR="00C53671">
          <w:rPr>
            <w:webHidden/>
          </w:rPr>
          <w:fldChar w:fldCharType="begin"/>
        </w:r>
        <w:r w:rsidR="00C53671">
          <w:rPr>
            <w:webHidden/>
          </w:rPr>
          <w:instrText xml:space="preserve"> PAGEREF _Toc114211278 \h </w:instrText>
        </w:r>
        <w:r w:rsidR="00C53671">
          <w:rPr>
            <w:webHidden/>
          </w:rPr>
        </w:r>
        <w:r w:rsidR="00C53671">
          <w:rPr>
            <w:webHidden/>
          </w:rPr>
          <w:fldChar w:fldCharType="separate"/>
        </w:r>
        <w:r w:rsidR="00C53671">
          <w:rPr>
            <w:webHidden/>
          </w:rPr>
          <w:t>15</w:t>
        </w:r>
        <w:r w:rsidR="00C53671">
          <w:rPr>
            <w:webHidden/>
          </w:rPr>
          <w:fldChar w:fldCharType="end"/>
        </w:r>
      </w:hyperlink>
    </w:p>
    <w:p w14:paraId="581F5F1C" w14:textId="7422E412" w:rsidR="00C53671" w:rsidRDefault="00000000">
      <w:pPr>
        <w:pStyle w:val="TOC3"/>
        <w:rPr>
          <w:rFonts w:asciiTheme="minorHAnsi" w:eastAsiaTheme="minorEastAsia" w:hAnsiTheme="minorHAnsi" w:cstheme="minorBidi"/>
          <w:sz w:val="24"/>
          <w:szCs w:val="24"/>
          <w:lang w:eastAsia="en-GB"/>
        </w:rPr>
      </w:pPr>
      <w:hyperlink w:anchor="_Toc114211279" w:history="1">
        <w:r w:rsidR="00C53671" w:rsidRPr="00877A8E">
          <w:rPr>
            <w:rStyle w:val="Hyperlink"/>
          </w:rPr>
          <w:t>Action Area 3: Attracting, developing, and retaining a gender balanced and talented workforce</w:t>
        </w:r>
        <w:r w:rsidR="00C53671">
          <w:rPr>
            <w:webHidden/>
          </w:rPr>
          <w:tab/>
        </w:r>
        <w:r w:rsidR="00C53671">
          <w:rPr>
            <w:webHidden/>
          </w:rPr>
          <w:fldChar w:fldCharType="begin"/>
        </w:r>
        <w:r w:rsidR="00C53671">
          <w:rPr>
            <w:webHidden/>
          </w:rPr>
          <w:instrText xml:space="preserve"> PAGEREF _Toc114211279 \h </w:instrText>
        </w:r>
        <w:r w:rsidR="00C53671">
          <w:rPr>
            <w:webHidden/>
          </w:rPr>
        </w:r>
        <w:r w:rsidR="00C53671">
          <w:rPr>
            <w:webHidden/>
          </w:rPr>
          <w:fldChar w:fldCharType="separate"/>
        </w:r>
        <w:r w:rsidR="00C53671">
          <w:rPr>
            <w:webHidden/>
          </w:rPr>
          <w:t>16</w:t>
        </w:r>
        <w:r w:rsidR="00C53671">
          <w:rPr>
            <w:webHidden/>
          </w:rPr>
          <w:fldChar w:fldCharType="end"/>
        </w:r>
      </w:hyperlink>
    </w:p>
    <w:p w14:paraId="46909036" w14:textId="255F8C04" w:rsidR="00C53671" w:rsidRDefault="00000000">
      <w:pPr>
        <w:pStyle w:val="TOC3"/>
        <w:rPr>
          <w:rFonts w:asciiTheme="minorHAnsi" w:eastAsiaTheme="minorEastAsia" w:hAnsiTheme="minorHAnsi" w:cstheme="minorBidi"/>
          <w:sz w:val="24"/>
          <w:szCs w:val="24"/>
          <w:lang w:eastAsia="en-GB"/>
        </w:rPr>
      </w:pPr>
      <w:hyperlink w:anchor="_Toc114211280" w:history="1">
        <w:r w:rsidR="00C53671" w:rsidRPr="00877A8E">
          <w:rPr>
            <w:rStyle w:val="Hyperlink"/>
          </w:rPr>
          <w:t>Action Area 4: Creating a safe, respectful, and inclusive workplace</w:t>
        </w:r>
        <w:r w:rsidR="00C53671">
          <w:rPr>
            <w:webHidden/>
          </w:rPr>
          <w:tab/>
        </w:r>
        <w:r w:rsidR="00C53671">
          <w:rPr>
            <w:webHidden/>
          </w:rPr>
          <w:fldChar w:fldCharType="begin"/>
        </w:r>
        <w:r w:rsidR="00C53671">
          <w:rPr>
            <w:webHidden/>
          </w:rPr>
          <w:instrText xml:space="preserve"> PAGEREF _Toc114211280 \h </w:instrText>
        </w:r>
        <w:r w:rsidR="00C53671">
          <w:rPr>
            <w:webHidden/>
          </w:rPr>
        </w:r>
        <w:r w:rsidR="00C53671">
          <w:rPr>
            <w:webHidden/>
          </w:rPr>
          <w:fldChar w:fldCharType="separate"/>
        </w:r>
        <w:r w:rsidR="00C53671">
          <w:rPr>
            <w:webHidden/>
          </w:rPr>
          <w:t>18</w:t>
        </w:r>
        <w:r w:rsidR="00C53671">
          <w:rPr>
            <w:webHidden/>
          </w:rPr>
          <w:fldChar w:fldCharType="end"/>
        </w:r>
      </w:hyperlink>
    </w:p>
    <w:p w14:paraId="32F935B2" w14:textId="314753EE" w:rsidR="00C53671" w:rsidRDefault="00000000">
      <w:pPr>
        <w:pStyle w:val="TOC3"/>
        <w:rPr>
          <w:rFonts w:asciiTheme="minorHAnsi" w:eastAsiaTheme="minorEastAsia" w:hAnsiTheme="minorHAnsi" w:cstheme="minorBidi"/>
          <w:sz w:val="24"/>
          <w:szCs w:val="24"/>
          <w:lang w:eastAsia="en-GB"/>
        </w:rPr>
      </w:pPr>
      <w:hyperlink w:anchor="_Toc114211281" w:history="1">
        <w:r w:rsidR="00C53671" w:rsidRPr="00877A8E">
          <w:rPr>
            <w:rStyle w:val="Hyperlink"/>
          </w:rPr>
          <w:t>Action Area 5: Facilitating and promoting a flexible workplace</w:t>
        </w:r>
        <w:r w:rsidR="00C53671">
          <w:rPr>
            <w:webHidden/>
          </w:rPr>
          <w:tab/>
        </w:r>
        <w:r w:rsidR="00C53671">
          <w:rPr>
            <w:webHidden/>
          </w:rPr>
          <w:fldChar w:fldCharType="begin"/>
        </w:r>
        <w:r w:rsidR="00C53671">
          <w:rPr>
            <w:webHidden/>
          </w:rPr>
          <w:instrText xml:space="preserve"> PAGEREF _Toc114211281 \h </w:instrText>
        </w:r>
        <w:r w:rsidR="00C53671">
          <w:rPr>
            <w:webHidden/>
          </w:rPr>
        </w:r>
        <w:r w:rsidR="00C53671">
          <w:rPr>
            <w:webHidden/>
          </w:rPr>
          <w:fldChar w:fldCharType="separate"/>
        </w:r>
        <w:r w:rsidR="00C53671">
          <w:rPr>
            <w:webHidden/>
          </w:rPr>
          <w:t>20</w:t>
        </w:r>
        <w:r w:rsidR="00C53671">
          <w:rPr>
            <w:webHidden/>
          </w:rPr>
          <w:fldChar w:fldCharType="end"/>
        </w:r>
      </w:hyperlink>
    </w:p>
    <w:p w14:paraId="1D8DAB7B" w14:textId="4CE69BF9" w:rsidR="00C53671" w:rsidRDefault="00000000">
      <w:pPr>
        <w:pStyle w:val="TOC3"/>
        <w:rPr>
          <w:rFonts w:asciiTheme="minorHAnsi" w:eastAsiaTheme="minorEastAsia" w:hAnsiTheme="minorHAnsi" w:cstheme="minorBidi"/>
          <w:sz w:val="24"/>
          <w:szCs w:val="24"/>
          <w:lang w:eastAsia="en-GB"/>
        </w:rPr>
      </w:pPr>
      <w:hyperlink w:anchor="_Toc114211282" w:history="1">
        <w:r w:rsidR="00C53671" w:rsidRPr="00877A8E">
          <w:rPr>
            <w:rStyle w:val="Hyperlink"/>
          </w:rPr>
          <w:t>Action Area 6: Measuring, monitoring, and reporting on gender equality</w:t>
        </w:r>
        <w:r w:rsidR="00C53671">
          <w:rPr>
            <w:webHidden/>
          </w:rPr>
          <w:tab/>
        </w:r>
        <w:r w:rsidR="00C53671">
          <w:rPr>
            <w:webHidden/>
          </w:rPr>
          <w:fldChar w:fldCharType="begin"/>
        </w:r>
        <w:r w:rsidR="00C53671">
          <w:rPr>
            <w:webHidden/>
          </w:rPr>
          <w:instrText xml:space="preserve"> PAGEREF _Toc114211282 \h </w:instrText>
        </w:r>
        <w:r w:rsidR="00C53671">
          <w:rPr>
            <w:webHidden/>
          </w:rPr>
        </w:r>
        <w:r w:rsidR="00C53671">
          <w:rPr>
            <w:webHidden/>
          </w:rPr>
          <w:fldChar w:fldCharType="separate"/>
        </w:r>
        <w:r w:rsidR="00C53671">
          <w:rPr>
            <w:webHidden/>
          </w:rPr>
          <w:t>22</w:t>
        </w:r>
        <w:r w:rsidR="00C53671">
          <w:rPr>
            <w:webHidden/>
          </w:rPr>
          <w:fldChar w:fldCharType="end"/>
        </w:r>
      </w:hyperlink>
    </w:p>
    <w:p w14:paraId="5EF861E7" w14:textId="25566025" w:rsidR="00C53671" w:rsidRDefault="00000000">
      <w:pPr>
        <w:pStyle w:val="TOC2"/>
        <w:rPr>
          <w:rFonts w:asciiTheme="minorHAnsi" w:eastAsiaTheme="minorEastAsia" w:hAnsiTheme="minorHAnsi" w:cstheme="minorBidi"/>
          <w:b w:val="0"/>
          <w:sz w:val="24"/>
          <w:szCs w:val="24"/>
          <w:lang w:eastAsia="en-GB"/>
        </w:rPr>
      </w:pPr>
      <w:hyperlink w:anchor="_Toc114211283" w:history="1">
        <w:r w:rsidR="00C53671" w:rsidRPr="00877A8E">
          <w:rPr>
            <w:rStyle w:val="Hyperlink"/>
          </w:rPr>
          <w:t>6.</w:t>
        </w:r>
        <w:r w:rsidR="00C53671">
          <w:rPr>
            <w:rFonts w:asciiTheme="minorHAnsi" w:eastAsiaTheme="minorEastAsia" w:hAnsiTheme="minorHAnsi" w:cstheme="minorBidi"/>
            <w:b w:val="0"/>
            <w:sz w:val="24"/>
            <w:szCs w:val="24"/>
            <w:lang w:eastAsia="en-GB"/>
          </w:rPr>
          <w:tab/>
        </w:r>
        <w:r w:rsidR="00C53671" w:rsidRPr="00877A8E">
          <w:rPr>
            <w:rStyle w:val="Hyperlink"/>
          </w:rPr>
          <w:t>Leadership and resourcing</w:t>
        </w:r>
        <w:r w:rsidR="00C53671">
          <w:rPr>
            <w:webHidden/>
          </w:rPr>
          <w:tab/>
        </w:r>
        <w:r w:rsidR="00C53671">
          <w:rPr>
            <w:webHidden/>
          </w:rPr>
          <w:fldChar w:fldCharType="begin"/>
        </w:r>
        <w:r w:rsidR="00C53671">
          <w:rPr>
            <w:webHidden/>
          </w:rPr>
          <w:instrText xml:space="preserve"> PAGEREF _Toc114211283 \h </w:instrText>
        </w:r>
        <w:r w:rsidR="00C53671">
          <w:rPr>
            <w:webHidden/>
          </w:rPr>
        </w:r>
        <w:r w:rsidR="00C53671">
          <w:rPr>
            <w:webHidden/>
          </w:rPr>
          <w:fldChar w:fldCharType="separate"/>
        </w:r>
        <w:r w:rsidR="00C53671">
          <w:rPr>
            <w:webHidden/>
          </w:rPr>
          <w:t>23</w:t>
        </w:r>
        <w:r w:rsidR="00C53671">
          <w:rPr>
            <w:webHidden/>
          </w:rPr>
          <w:fldChar w:fldCharType="end"/>
        </w:r>
      </w:hyperlink>
    </w:p>
    <w:p w14:paraId="79D0BB0C" w14:textId="7EE6842E" w:rsidR="00C53671" w:rsidRDefault="00000000">
      <w:pPr>
        <w:pStyle w:val="TOC3"/>
        <w:rPr>
          <w:rFonts w:asciiTheme="minorHAnsi" w:eastAsiaTheme="minorEastAsia" w:hAnsiTheme="minorHAnsi" w:cstheme="minorBidi"/>
          <w:sz w:val="24"/>
          <w:szCs w:val="24"/>
          <w:lang w:eastAsia="en-GB"/>
        </w:rPr>
      </w:pPr>
      <w:hyperlink w:anchor="_Toc114211284" w:history="1">
        <w:r w:rsidR="00C53671" w:rsidRPr="00877A8E">
          <w:rPr>
            <w:rStyle w:val="Hyperlink"/>
            <w:lang w:val="en-US"/>
          </w:rPr>
          <w:t>Leadership and governance</w:t>
        </w:r>
        <w:r w:rsidR="00C53671">
          <w:rPr>
            <w:webHidden/>
          </w:rPr>
          <w:tab/>
        </w:r>
        <w:r w:rsidR="00C53671">
          <w:rPr>
            <w:webHidden/>
          </w:rPr>
          <w:fldChar w:fldCharType="begin"/>
        </w:r>
        <w:r w:rsidR="00C53671">
          <w:rPr>
            <w:webHidden/>
          </w:rPr>
          <w:instrText xml:space="preserve"> PAGEREF _Toc114211284 \h </w:instrText>
        </w:r>
        <w:r w:rsidR="00C53671">
          <w:rPr>
            <w:webHidden/>
          </w:rPr>
        </w:r>
        <w:r w:rsidR="00C53671">
          <w:rPr>
            <w:webHidden/>
          </w:rPr>
          <w:fldChar w:fldCharType="separate"/>
        </w:r>
        <w:r w:rsidR="00C53671">
          <w:rPr>
            <w:webHidden/>
          </w:rPr>
          <w:t>23</w:t>
        </w:r>
        <w:r w:rsidR="00C53671">
          <w:rPr>
            <w:webHidden/>
          </w:rPr>
          <w:fldChar w:fldCharType="end"/>
        </w:r>
      </w:hyperlink>
    </w:p>
    <w:p w14:paraId="57A4BD49" w14:textId="72E50216" w:rsidR="00C53671" w:rsidRDefault="00000000">
      <w:pPr>
        <w:pStyle w:val="TOC3"/>
        <w:rPr>
          <w:rFonts w:asciiTheme="minorHAnsi" w:eastAsiaTheme="minorEastAsia" w:hAnsiTheme="minorHAnsi" w:cstheme="minorBidi"/>
          <w:sz w:val="24"/>
          <w:szCs w:val="24"/>
          <w:lang w:eastAsia="en-GB"/>
        </w:rPr>
      </w:pPr>
      <w:hyperlink w:anchor="_Toc114211285" w:history="1">
        <w:r w:rsidR="00C53671" w:rsidRPr="00877A8E">
          <w:rPr>
            <w:rStyle w:val="Hyperlink"/>
            <w:lang w:val="en-US"/>
          </w:rPr>
          <w:t>Governance and resourcing</w:t>
        </w:r>
        <w:r w:rsidR="00C53671">
          <w:rPr>
            <w:webHidden/>
          </w:rPr>
          <w:tab/>
        </w:r>
        <w:r w:rsidR="00C53671">
          <w:rPr>
            <w:webHidden/>
          </w:rPr>
          <w:fldChar w:fldCharType="begin"/>
        </w:r>
        <w:r w:rsidR="00C53671">
          <w:rPr>
            <w:webHidden/>
          </w:rPr>
          <w:instrText xml:space="preserve"> PAGEREF _Toc114211285 \h </w:instrText>
        </w:r>
        <w:r w:rsidR="00C53671">
          <w:rPr>
            <w:webHidden/>
          </w:rPr>
        </w:r>
        <w:r w:rsidR="00C53671">
          <w:rPr>
            <w:webHidden/>
          </w:rPr>
          <w:fldChar w:fldCharType="separate"/>
        </w:r>
        <w:r w:rsidR="00C53671">
          <w:rPr>
            <w:webHidden/>
          </w:rPr>
          <w:t>23</w:t>
        </w:r>
        <w:r w:rsidR="00C53671">
          <w:rPr>
            <w:webHidden/>
          </w:rPr>
          <w:fldChar w:fldCharType="end"/>
        </w:r>
      </w:hyperlink>
    </w:p>
    <w:p w14:paraId="65FE7228" w14:textId="0773F8AA" w:rsidR="00C53671" w:rsidRDefault="00000000">
      <w:pPr>
        <w:pStyle w:val="TOC2"/>
        <w:rPr>
          <w:rFonts w:asciiTheme="minorHAnsi" w:eastAsiaTheme="minorEastAsia" w:hAnsiTheme="minorHAnsi" w:cstheme="minorBidi"/>
          <w:b w:val="0"/>
          <w:sz w:val="24"/>
          <w:szCs w:val="24"/>
          <w:lang w:eastAsia="en-GB"/>
        </w:rPr>
      </w:pPr>
      <w:hyperlink w:anchor="_Toc114211286" w:history="1">
        <w:r w:rsidR="00C53671" w:rsidRPr="00877A8E">
          <w:rPr>
            <w:rStyle w:val="Hyperlink"/>
          </w:rPr>
          <w:t>7.</w:t>
        </w:r>
        <w:r w:rsidR="00C53671">
          <w:rPr>
            <w:rFonts w:asciiTheme="minorHAnsi" w:eastAsiaTheme="minorEastAsia" w:hAnsiTheme="minorHAnsi" w:cstheme="minorBidi"/>
            <w:b w:val="0"/>
            <w:sz w:val="24"/>
            <w:szCs w:val="24"/>
            <w:lang w:eastAsia="en-GB"/>
          </w:rPr>
          <w:tab/>
        </w:r>
        <w:r w:rsidR="00C53671" w:rsidRPr="00877A8E">
          <w:rPr>
            <w:rStyle w:val="Hyperlink"/>
          </w:rPr>
          <w:t>Measuring progress and reporting</w:t>
        </w:r>
        <w:r w:rsidR="00C53671">
          <w:rPr>
            <w:webHidden/>
          </w:rPr>
          <w:tab/>
        </w:r>
        <w:r w:rsidR="00C53671">
          <w:rPr>
            <w:webHidden/>
          </w:rPr>
          <w:fldChar w:fldCharType="begin"/>
        </w:r>
        <w:r w:rsidR="00C53671">
          <w:rPr>
            <w:webHidden/>
          </w:rPr>
          <w:instrText xml:space="preserve"> PAGEREF _Toc114211286 \h </w:instrText>
        </w:r>
        <w:r w:rsidR="00C53671">
          <w:rPr>
            <w:webHidden/>
          </w:rPr>
        </w:r>
        <w:r w:rsidR="00C53671">
          <w:rPr>
            <w:webHidden/>
          </w:rPr>
          <w:fldChar w:fldCharType="separate"/>
        </w:r>
        <w:r w:rsidR="00C53671">
          <w:rPr>
            <w:webHidden/>
          </w:rPr>
          <w:t>24</w:t>
        </w:r>
        <w:r w:rsidR="00C53671">
          <w:rPr>
            <w:webHidden/>
          </w:rPr>
          <w:fldChar w:fldCharType="end"/>
        </w:r>
      </w:hyperlink>
    </w:p>
    <w:p w14:paraId="6D6E6429" w14:textId="42A182C7" w:rsidR="00C53671" w:rsidRDefault="00000000">
      <w:pPr>
        <w:pStyle w:val="TOC3"/>
        <w:rPr>
          <w:rFonts w:asciiTheme="minorHAnsi" w:eastAsiaTheme="minorEastAsia" w:hAnsiTheme="minorHAnsi" w:cstheme="minorBidi"/>
          <w:sz w:val="24"/>
          <w:szCs w:val="24"/>
          <w:lang w:eastAsia="en-GB"/>
        </w:rPr>
      </w:pPr>
      <w:hyperlink w:anchor="_Toc114211287" w:history="1">
        <w:r w:rsidR="00C53671" w:rsidRPr="00877A8E">
          <w:rPr>
            <w:rStyle w:val="Hyperlink"/>
            <w:lang w:val="en-US"/>
          </w:rPr>
          <w:t>Measuring progress</w:t>
        </w:r>
        <w:r w:rsidR="00C53671">
          <w:rPr>
            <w:webHidden/>
          </w:rPr>
          <w:tab/>
        </w:r>
        <w:r w:rsidR="00C53671">
          <w:rPr>
            <w:webHidden/>
          </w:rPr>
          <w:fldChar w:fldCharType="begin"/>
        </w:r>
        <w:r w:rsidR="00C53671">
          <w:rPr>
            <w:webHidden/>
          </w:rPr>
          <w:instrText xml:space="preserve"> PAGEREF _Toc114211287 \h </w:instrText>
        </w:r>
        <w:r w:rsidR="00C53671">
          <w:rPr>
            <w:webHidden/>
          </w:rPr>
        </w:r>
        <w:r w:rsidR="00C53671">
          <w:rPr>
            <w:webHidden/>
          </w:rPr>
          <w:fldChar w:fldCharType="separate"/>
        </w:r>
        <w:r w:rsidR="00C53671">
          <w:rPr>
            <w:webHidden/>
          </w:rPr>
          <w:t>24</w:t>
        </w:r>
        <w:r w:rsidR="00C53671">
          <w:rPr>
            <w:webHidden/>
          </w:rPr>
          <w:fldChar w:fldCharType="end"/>
        </w:r>
      </w:hyperlink>
    </w:p>
    <w:p w14:paraId="3F056DDC" w14:textId="7A6DFB5D" w:rsidR="00C53671" w:rsidRDefault="00000000">
      <w:pPr>
        <w:pStyle w:val="TOC3"/>
        <w:rPr>
          <w:rFonts w:asciiTheme="minorHAnsi" w:eastAsiaTheme="minorEastAsia" w:hAnsiTheme="minorHAnsi" w:cstheme="minorBidi"/>
          <w:sz w:val="24"/>
          <w:szCs w:val="24"/>
          <w:lang w:eastAsia="en-GB"/>
        </w:rPr>
      </w:pPr>
      <w:hyperlink w:anchor="_Toc114211288" w:history="1">
        <w:r w:rsidR="00C53671" w:rsidRPr="00877A8E">
          <w:rPr>
            <w:rStyle w:val="Hyperlink"/>
            <w:lang w:val="en-US"/>
          </w:rPr>
          <w:t>Reporting</w:t>
        </w:r>
        <w:r w:rsidR="00C53671">
          <w:rPr>
            <w:webHidden/>
          </w:rPr>
          <w:tab/>
        </w:r>
        <w:r w:rsidR="00C53671">
          <w:rPr>
            <w:webHidden/>
          </w:rPr>
          <w:fldChar w:fldCharType="begin"/>
        </w:r>
        <w:r w:rsidR="00C53671">
          <w:rPr>
            <w:webHidden/>
          </w:rPr>
          <w:instrText xml:space="preserve"> PAGEREF _Toc114211288 \h </w:instrText>
        </w:r>
        <w:r w:rsidR="00C53671">
          <w:rPr>
            <w:webHidden/>
          </w:rPr>
        </w:r>
        <w:r w:rsidR="00C53671">
          <w:rPr>
            <w:webHidden/>
          </w:rPr>
          <w:fldChar w:fldCharType="separate"/>
        </w:r>
        <w:r w:rsidR="00C53671">
          <w:rPr>
            <w:webHidden/>
          </w:rPr>
          <w:t>24</w:t>
        </w:r>
        <w:r w:rsidR="00C53671">
          <w:rPr>
            <w:webHidden/>
          </w:rPr>
          <w:fldChar w:fldCharType="end"/>
        </w:r>
      </w:hyperlink>
    </w:p>
    <w:p w14:paraId="4E54593A" w14:textId="5A3B400D" w:rsidR="00C53671" w:rsidRDefault="00000000">
      <w:pPr>
        <w:pStyle w:val="TOC3"/>
        <w:rPr>
          <w:rFonts w:asciiTheme="minorHAnsi" w:eastAsiaTheme="minorEastAsia" w:hAnsiTheme="minorHAnsi" w:cstheme="minorBidi"/>
          <w:sz w:val="24"/>
          <w:szCs w:val="24"/>
          <w:lang w:eastAsia="en-GB"/>
        </w:rPr>
      </w:pPr>
      <w:hyperlink w:anchor="_Toc114211289" w:history="1">
        <w:r w:rsidR="00C53671" w:rsidRPr="00877A8E">
          <w:rPr>
            <w:rStyle w:val="Hyperlink"/>
            <w:lang w:val="en-US"/>
          </w:rPr>
          <w:t>Implementation</w:t>
        </w:r>
        <w:r w:rsidR="00C53671">
          <w:rPr>
            <w:webHidden/>
          </w:rPr>
          <w:tab/>
        </w:r>
        <w:r w:rsidR="00C53671">
          <w:rPr>
            <w:webHidden/>
          </w:rPr>
          <w:fldChar w:fldCharType="begin"/>
        </w:r>
        <w:r w:rsidR="00C53671">
          <w:rPr>
            <w:webHidden/>
          </w:rPr>
          <w:instrText xml:space="preserve"> PAGEREF _Toc114211289 \h </w:instrText>
        </w:r>
        <w:r w:rsidR="00C53671">
          <w:rPr>
            <w:webHidden/>
          </w:rPr>
        </w:r>
        <w:r w:rsidR="00C53671">
          <w:rPr>
            <w:webHidden/>
          </w:rPr>
          <w:fldChar w:fldCharType="separate"/>
        </w:r>
        <w:r w:rsidR="00C53671">
          <w:rPr>
            <w:webHidden/>
          </w:rPr>
          <w:t>24</w:t>
        </w:r>
        <w:r w:rsidR="00C53671">
          <w:rPr>
            <w:webHidden/>
          </w:rPr>
          <w:fldChar w:fldCharType="end"/>
        </w:r>
      </w:hyperlink>
    </w:p>
    <w:p w14:paraId="14EFEAC7" w14:textId="6434085F" w:rsidR="00C53671" w:rsidRDefault="00000000">
      <w:pPr>
        <w:pStyle w:val="TOC2"/>
        <w:rPr>
          <w:rFonts w:asciiTheme="minorHAnsi" w:eastAsiaTheme="minorEastAsia" w:hAnsiTheme="minorHAnsi" w:cstheme="minorBidi"/>
          <w:b w:val="0"/>
          <w:sz w:val="24"/>
          <w:szCs w:val="24"/>
          <w:lang w:eastAsia="en-GB"/>
        </w:rPr>
      </w:pPr>
      <w:hyperlink w:anchor="_Toc114211290" w:history="1">
        <w:r w:rsidR="00C53671" w:rsidRPr="00877A8E">
          <w:rPr>
            <w:rStyle w:val="Hyperlink"/>
          </w:rPr>
          <w:t>Attachment A: Analysing Gender Equality at DPC</w:t>
        </w:r>
        <w:r w:rsidR="00C53671">
          <w:rPr>
            <w:webHidden/>
          </w:rPr>
          <w:tab/>
        </w:r>
        <w:r w:rsidR="00C53671">
          <w:rPr>
            <w:webHidden/>
          </w:rPr>
          <w:fldChar w:fldCharType="begin"/>
        </w:r>
        <w:r w:rsidR="00C53671">
          <w:rPr>
            <w:webHidden/>
          </w:rPr>
          <w:instrText xml:space="preserve"> PAGEREF _Toc114211290 \h </w:instrText>
        </w:r>
        <w:r w:rsidR="00C53671">
          <w:rPr>
            <w:webHidden/>
          </w:rPr>
        </w:r>
        <w:r w:rsidR="00C53671">
          <w:rPr>
            <w:webHidden/>
          </w:rPr>
          <w:fldChar w:fldCharType="separate"/>
        </w:r>
        <w:r w:rsidR="00C53671">
          <w:rPr>
            <w:webHidden/>
          </w:rPr>
          <w:t>25</w:t>
        </w:r>
        <w:r w:rsidR="00C53671">
          <w:rPr>
            <w:webHidden/>
          </w:rPr>
          <w:fldChar w:fldCharType="end"/>
        </w:r>
      </w:hyperlink>
    </w:p>
    <w:p w14:paraId="530E8C90" w14:textId="3C0395DD" w:rsidR="00C53671" w:rsidRDefault="00000000">
      <w:pPr>
        <w:pStyle w:val="TOC3"/>
        <w:rPr>
          <w:rFonts w:asciiTheme="minorHAnsi" w:eastAsiaTheme="minorEastAsia" w:hAnsiTheme="minorHAnsi" w:cstheme="minorBidi"/>
          <w:sz w:val="24"/>
          <w:szCs w:val="24"/>
          <w:lang w:eastAsia="en-GB"/>
        </w:rPr>
      </w:pPr>
      <w:hyperlink w:anchor="_Toc114211291" w:history="1">
        <w:r w:rsidR="00C53671" w:rsidRPr="00877A8E">
          <w:rPr>
            <w:rStyle w:val="Hyperlink"/>
            <w:lang w:val="en-US"/>
          </w:rPr>
          <w:t>Key findings and insights</w:t>
        </w:r>
        <w:r w:rsidR="00C53671">
          <w:rPr>
            <w:webHidden/>
          </w:rPr>
          <w:tab/>
        </w:r>
        <w:r w:rsidR="00C53671">
          <w:rPr>
            <w:webHidden/>
          </w:rPr>
          <w:fldChar w:fldCharType="begin"/>
        </w:r>
        <w:r w:rsidR="00C53671">
          <w:rPr>
            <w:webHidden/>
          </w:rPr>
          <w:instrText xml:space="preserve"> PAGEREF _Toc114211291 \h </w:instrText>
        </w:r>
        <w:r w:rsidR="00C53671">
          <w:rPr>
            <w:webHidden/>
          </w:rPr>
        </w:r>
        <w:r w:rsidR="00C53671">
          <w:rPr>
            <w:webHidden/>
          </w:rPr>
          <w:fldChar w:fldCharType="separate"/>
        </w:r>
        <w:r w:rsidR="00C53671">
          <w:rPr>
            <w:webHidden/>
          </w:rPr>
          <w:t>25</w:t>
        </w:r>
        <w:r w:rsidR="00C53671">
          <w:rPr>
            <w:webHidden/>
          </w:rPr>
          <w:fldChar w:fldCharType="end"/>
        </w:r>
      </w:hyperlink>
    </w:p>
    <w:p w14:paraId="4F6CB27A" w14:textId="703359F5" w:rsidR="00042590" w:rsidRDefault="009D04D7">
      <w:pPr>
        <w:spacing w:after="0" w:line="240" w:lineRule="auto"/>
        <w:rPr>
          <w:b/>
          <w:color w:val="004C97"/>
          <w:sz w:val="36"/>
          <w:szCs w:val="28"/>
          <w:lang w:val="en-US"/>
        </w:rPr>
      </w:pPr>
      <w:r>
        <w:rPr>
          <w:lang w:val="en-US"/>
        </w:rPr>
        <w:fldChar w:fldCharType="end"/>
      </w:r>
      <w:r w:rsidR="00042590">
        <w:rPr>
          <w:lang w:val="en-US"/>
        </w:rPr>
        <w:br w:type="page"/>
      </w:r>
    </w:p>
    <w:p w14:paraId="03B042F5" w14:textId="01E52943" w:rsidR="00310FF0" w:rsidRPr="00C16F87" w:rsidRDefault="00310FF0" w:rsidP="00F96249">
      <w:pPr>
        <w:pStyle w:val="Heading2"/>
        <w:numPr>
          <w:ilvl w:val="0"/>
          <w:numId w:val="0"/>
        </w:numPr>
      </w:pPr>
      <w:bookmarkStart w:id="0" w:name="_Toc114211264"/>
      <w:r w:rsidRPr="00C16F87">
        <w:lastRenderedPageBreak/>
        <w:t>Message from the Secretary</w:t>
      </w:r>
      <w:bookmarkEnd w:id="0"/>
    </w:p>
    <w:p w14:paraId="1C0555B9" w14:textId="467DD3EC" w:rsidR="00310FF0" w:rsidRPr="00CC10B8" w:rsidRDefault="00310FF0" w:rsidP="00CC10B8">
      <w:r w:rsidRPr="00CC10B8">
        <w:t xml:space="preserve">The Department of Premier and Cabinet’s (DPC) </w:t>
      </w:r>
      <w:r w:rsidRPr="00D77ECF">
        <w:rPr>
          <w:i/>
          <w:iCs/>
        </w:rPr>
        <w:t>Gender Equality Action Plan 2021-2025</w:t>
      </w:r>
      <w:r w:rsidRPr="00CC10B8">
        <w:t xml:space="preserve"> (t</w:t>
      </w:r>
      <w:r w:rsidRPr="006238DD">
        <w:t>h</w:t>
      </w:r>
      <w:r w:rsidRPr="00CC10B8">
        <w:t>e Plan) provides us with a clear pathway for establishing a fair and respectful workplace for all staff.</w:t>
      </w:r>
    </w:p>
    <w:p w14:paraId="13B64DD6" w14:textId="4F0EF750" w:rsidR="00310FF0" w:rsidRPr="00CC10B8" w:rsidRDefault="00310FF0" w:rsidP="00CC10B8">
      <w:r w:rsidRPr="00CC10B8">
        <w:t>As a central agency within the Victorian Public Service, our department has an opportunity to be a leader in promoting gender equality in every facet of what we do, including – but not limited to – considering how pay and conditions, recruitment policies, and career development can impact women differently and what we can do to remedy inequality.</w:t>
      </w:r>
    </w:p>
    <w:p w14:paraId="53D4C3FD" w14:textId="77777777" w:rsidR="00310FF0" w:rsidRPr="00CC10B8" w:rsidRDefault="00310FF0" w:rsidP="00CC10B8">
      <w:r w:rsidRPr="00CC10B8">
        <w:t xml:space="preserve">This Plan commits DPC to new and achievable objectives for the next four years. As we transition to a hybrid working model that supports flexibility and gives staff greater autonomy over how they structure their professional lives, the DPC Board of Management are committed to working with you to deliver the changes needed. </w:t>
      </w:r>
    </w:p>
    <w:p w14:paraId="246F920F" w14:textId="0E3338A4" w:rsidR="00310FF0" w:rsidRPr="00CC10B8" w:rsidRDefault="00310FF0" w:rsidP="00CC10B8">
      <w:r w:rsidRPr="00CC10B8">
        <w:t xml:space="preserve">As a member of the Champions of Change Coalition, I also commit to working with leaders across government and industry to accelerate progress and deliver critical reforms. </w:t>
      </w:r>
    </w:p>
    <w:p w14:paraId="6743186C" w14:textId="77777777" w:rsidR="00310FF0" w:rsidRPr="00CC10B8" w:rsidRDefault="00310FF0" w:rsidP="00CC10B8">
      <w:r w:rsidRPr="00CC10B8">
        <w:t xml:space="preserve">The vision and actions set out here are a credit to the work of the Gender Equality Working Group, and the critical contributions from the DPC Enablers Network, Aboriginal Staff Network, LGBTIQ+ Network and VPS5 Network. In many cases, a person experiencing one inequality or disadvantage will also be experiencing another, so it is important such a diverse group of staff have had their voices heard. The comprehensive research underpinning this plan will ensure that it meets the values and expectations of our workforce, while also meeting our obligations under the </w:t>
      </w:r>
      <w:r w:rsidRPr="008F0A32">
        <w:rPr>
          <w:i/>
          <w:iCs/>
        </w:rPr>
        <w:t>Gender Equality Act 2020</w:t>
      </w:r>
      <w:r w:rsidRPr="00CC10B8">
        <w:t>.</w:t>
      </w:r>
    </w:p>
    <w:p w14:paraId="140CD24F" w14:textId="77777777" w:rsidR="00310FF0" w:rsidRPr="00CC10B8" w:rsidRDefault="00310FF0" w:rsidP="00CC10B8">
      <w:r w:rsidRPr="00CC10B8">
        <w:t>I encourage all of you to read this Plan, reflect upon its findings and action items, and take proactive steps in your own work towards building a stronger and more diverse DPC.</w:t>
      </w:r>
    </w:p>
    <w:p w14:paraId="4AECE9D4" w14:textId="06052B3A" w:rsidR="00310FF0" w:rsidRPr="00CC10B8" w:rsidRDefault="00310FF0" w:rsidP="00CC10B8">
      <w:proofErr w:type="spellStart"/>
      <w:r w:rsidRPr="00042590">
        <w:rPr>
          <w:b/>
          <w:bCs/>
        </w:rPr>
        <w:t>Jeremi</w:t>
      </w:r>
      <w:proofErr w:type="spellEnd"/>
      <w:r w:rsidRPr="00042590">
        <w:rPr>
          <w:b/>
          <w:bCs/>
        </w:rPr>
        <w:t xml:space="preserve"> Moule</w:t>
      </w:r>
      <w:r w:rsidR="003F00E7">
        <w:br/>
      </w:r>
      <w:r w:rsidRPr="00CC10B8">
        <w:t>Secretary</w:t>
      </w:r>
    </w:p>
    <w:p w14:paraId="137655A3" w14:textId="77777777" w:rsidR="0040035C" w:rsidRPr="00CC10B8" w:rsidRDefault="0040035C" w:rsidP="00CC10B8">
      <w:r w:rsidRPr="00CC10B8">
        <w:br w:type="page"/>
      </w:r>
    </w:p>
    <w:p w14:paraId="7DD34EA4" w14:textId="39B297CD" w:rsidR="00310FF0" w:rsidRDefault="00310FF0" w:rsidP="00F96249">
      <w:pPr>
        <w:pStyle w:val="Heading2"/>
        <w:numPr>
          <w:ilvl w:val="0"/>
          <w:numId w:val="0"/>
        </w:numPr>
      </w:pPr>
      <w:bookmarkStart w:id="1" w:name="_Toc114211265"/>
      <w:r>
        <w:lastRenderedPageBreak/>
        <w:t>Message from the Gender Equality Champion</w:t>
      </w:r>
      <w:bookmarkEnd w:id="1"/>
    </w:p>
    <w:p w14:paraId="2E7CE79C" w14:textId="77777777" w:rsidR="00310FF0" w:rsidRPr="00CC10B8" w:rsidRDefault="00310FF0" w:rsidP="00CC10B8">
      <w:r w:rsidRPr="00CC10B8">
        <w:t xml:space="preserve">I am pleased to introduce the Department of Premier and Cabinet’s (DPC) </w:t>
      </w:r>
      <w:r w:rsidRPr="00110516">
        <w:rPr>
          <w:i/>
          <w:iCs/>
        </w:rPr>
        <w:t>Gender Equality Action Plan 2021–2025</w:t>
      </w:r>
      <w:r w:rsidRPr="00CC10B8">
        <w:t>. This plan lays the foundation for a range of work over the next four years to ensure everyone at DPC, including women and gender diverse staff, has safe and equal access to resources, opportunities, and leadership roles, and is always treated with dignity, respect, and fairness.</w:t>
      </w:r>
    </w:p>
    <w:p w14:paraId="08CE133B" w14:textId="795B3DDE" w:rsidR="00310FF0" w:rsidRPr="00CC10B8" w:rsidRDefault="00310FF0" w:rsidP="00CC10B8">
      <w:r w:rsidRPr="00CC10B8">
        <w:t>The social, economic and productivity benefits of gender equality are experienced by everyone. In workplaces, gender equality leads to improvements in organisational performance, employee engagement and wellbeing and the attraction and retention of talent and staff.</w:t>
      </w:r>
    </w:p>
    <w:p w14:paraId="64C483D1" w14:textId="77777777" w:rsidR="00310FF0" w:rsidRPr="00CC10B8" w:rsidRDefault="00310FF0" w:rsidP="00CC10B8">
      <w:r w:rsidRPr="00CC10B8">
        <w:t xml:space="preserve">This plan builds on the success of our previous </w:t>
      </w:r>
      <w:r w:rsidRPr="00110516">
        <w:rPr>
          <w:i/>
          <w:iCs/>
        </w:rPr>
        <w:t>Gender Equality Action Plan 2018–2021</w:t>
      </w:r>
      <w:r w:rsidRPr="00CC10B8">
        <w:t xml:space="preserve">, through which we introduced additional paid parental leave for secondary carers, developed a policy to support those affected by family or domestic violence, instituted a program support to employees as they become parents and then become working parents, and ensured at least half of our executive roles are filled by women. These were all major achievements that represented hugely positive steps towards gender equality. </w:t>
      </w:r>
    </w:p>
    <w:p w14:paraId="6201CA68" w14:textId="3C6153DA" w:rsidR="00310FF0" w:rsidRPr="00CC10B8" w:rsidRDefault="00310FF0" w:rsidP="00CC10B8">
      <w:r w:rsidRPr="00CC10B8">
        <w:t xml:space="preserve">This new Plan renews our focus. Over the next four years, we commit to: </w:t>
      </w:r>
    </w:p>
    <w:p w14:paraId="79BEDDAE" w14:textId="77777777" w:rsidR="00310FF0" w:rsidRDefault="00310FF0" w:rsidP="00736EFA">
      <w:pPr>
        <w:pStyle w:val="ListBullet"/>
        <w:rPr>
          <w:lang w:val="en-US"/>
        </w:rPr>
      </w:pPr>
      <w:r>
        <w:rPr>
          <w:lang w:val="en-US"/>
        </w:rPr>
        <w:t xml:space="preserve">recruiting and retaining a diverse, gender-balanced workforce </w:t>
      </w:r>
    </w:p>
    <w:p w14:paraId="2A4B5D9D" w14:textId="77777777" w:rsidR="00310FF0" w:rsidRDefault="00310FF0" w:rsidP="00736EFA">
      <w:pPr>
        <w:pStyle w:val="ListBullet"/>
        <w:rPr>
          <w:lang w:val="en-US"/>
        </w:rPr>
      </w:pPr>
      <w:r>
        <w:rPr>
          <w:lang w:val="en-US"/>
        </w:rPr>
        <w:t xml:space="preserve">supporting the career advancement of women, including into leadership roles </w:t>
      </w:r>
    </w:p>
    <w:p w14:paraId="28531E30" w14:textId="77777777" w:rsidR="00310FF0" w:rsidRDefault="00310FF0" w:rsidP="00736EFA">
      <w:pPr>
        <w:pStyle w:val="ListBullet"/>
        <w:rPr>
          <w:lang w:val="en-US"/>
        </w:rPr>
      </w:pPr>
      <w:r>
        <w:rPr>
          <w:lang w:val="en-US"/>
        </w:rPr>
        <w:t xml:space="preserve">growing a safe, respectful, and inclusive workplace </w:t>
      </w:r>
    </w:p>
    <w:p w14:paraId="17B9DC39" w14:textId="77777777" w:rsidR="00310FF0" w:rsidRDefault="00310FF0" w:rsidP="00736EFA">
      <w:pPr>
        <w:pStyle w:val="ListBullet"/>
        <w:rPr>
          <w:lang w:val="en-US"/>
        </w:rPr>
      </w:pPr>
      <w:r>
        <w:rPr>
          <w:lang w:val="en-US"/>
        </w:rPr>
        <w:t>reducing the gender pay gap</w:t>
      </w:r>
    </w:p>
    <w:p w14:paraId="504246CE" w14:textId="77777777" w:rsidR="00310FF0" w:rsidRDefault="00310FF0" w:rsidP="00736EFA">
      <w:pPr>
        <w:pStyle w:val="ListBullet"/>
        <w:rPr>
          <w:lang w:val="en-US"/>
        </w:rPr>
      </w:pPr>
      <w:r>
        <w:rPr>
          <w:lang w:val="en-US"/>
        </w:rPr>
        <w:t xml:space="preserve">encouraging flexible / new ways of working and </w:t>
      </w:r>
    </w:p>
    <w:p w14:paraId="19A32D59" w14:textId="77777777" w:rsidR="00310FF0" w:rsidRDefault="00310FF0" w:rsidP="00736EFA">
      <w:pPr>
        <w:pStyle w:val="ListBullet"/>
        <w:rPr>
          <w:lang w:val="en-US"/>
        </w:rPr>
      </w:pPr>
      <w:r>
        <w:rPr>
          <w:lang w:val="en-US"/>
        </w:rPr>
        <w:t>supporting employees to balance work, family, and caring responsibilities.</w:t>
      </w:r>
    </w:p>
    <w:p w14:paraId="240F6103" w14:textId="77777777" w:rsidR="00310FF0" w:rsidRPr="00CC10B8" w:rsidRDefault="00310FF0" w:rsidP="00CC10B8">
      <w:pPr>
        <w:rPr>
          <w:rFonts w:eastAsiaTheme="minorEastAsia"/>
        </w:rPr>
      </w:pPr>
      <w:r w:rsidRPr="00CC10B8">
        <w:t>I encourage all DPC staff to take up the challenge set by this plan and discover what opportunities are out there for you and your peers. It is within everyone’s remit to make DPC a more safe, more inclusive, and more equitable workplace.</w:t>
      </w:r>
    </w:p>
    <w:p w14:paraId="6EB30706" w14:textId="407B4D4A" w:rsidR="00310FF0" w:rsidRPr="00CC10B8" w:rsidRDefault="00310FF0" w:rsidP="00CC10B8">
      <w:r w:rsidRPr="00042590">
        <w:rPr>
          <w:b/>
          <w:bCs/>
        </w:rPr>
        <w:t xml:space="preserve">Vivien </w:t>
      </w:r>
      <w:proofErr w:type="spellStart"/>
      <w:r w:rsidRPr="00042590">
        <w:rPr>
          <w:b/>
          <w:bCs/>
        </w:rPr>
        <w:t>Allimonos</w:t>
      </w:r>
      <w:proofErr w:type="spellEnd"/>
      <w:r w:rsidR="003F00E7">
        <w:br/>
      </w:r>
      <w:r w:rsidRPr="00CC10B8">
        <w:t>Deputy Secretary, Cabinet, Communications and Corporate</w:t>
      </w:r>
      <w:r w:rsidR="003F00E7">
        <w:br/>
      </w:r>
      <w:r w:rsidRPr="00CC10B8">
        <w:t>DPC Executive Champion</w:t>
      </w:r>
      <w:r w:rsidR="00736EFA" w:rsidRPr="00CC10B8">
        <w:t xml:space="preserve"> </w:t>
      </w:r>
      <w:r w:rsidRPr="00CC10B8">
        <w:t xml:space="preserve">for Gender Equality </w:t>
      </w:r>
    </w:p>
    <w:p w14:paraId="79B414EB" w14:textId="77777777" w:rsidR="00736EFA" w:rsidRPr="00CC10B8" w:rsidRDefault="00736EFA" w:rsidP="00CC10B8">
      <w:r w:rsidRPr="00CC10B8">
        <w:br w:type="page"/>
      </w:r>
    </w:p>
    <w:p w14:paraId="65215CDA" w14:textId="0A5BAACC" w:rsidR="00310FF0" w:rsidRDefault="00310FF0" w:rsidP="00F96249">
      <w:pPr>
        <w:pStyle w:val="Heading2"/>
      </w:pPr>
      <w:bookmarkStart w:id="2" w:name="_Toc114211266"/>
      <w:r>
        <w:lastRenderedPageBreak/>
        <w:t>Our vision</w:t>
      </w:r>
      <w:bookmarkEnd w:id="2"/>
    </w:p>
    <w:p w14:paraId="4BF3F1C9" w14:textId="77777777" w:rsidR="00310FF0" w:rsidRPr="00CC10B8" w:rsidRDefault="00310FF0" w:rsidP="00CC10B8">
      <w:r w:rsidRPr="00CC10B8">
        <w:t xml:space="preserve">The Department of Premier and Cabinet (the department/DPC) values the diversity of </w:t>
      </w:r>
      <w:r w:rsidRPr="009D04D7">
        <w:t>our</w:t>
      </w:r>
      <w:r w:rsidRPr="00CC10B8">
        <w:t xml:space="preserve"> workforce and is committed to the principles of diversity, inclusion, and equality, so that all our employees, including women and gender diverse staff, have equal access to employment opportunities and outcomes. We are committed to taking positive action towards achieving workplace gender equality and have developed the </w:t>
      </w:r>
      <w:r w:rsidRPr="00110516">
        <w:rPr>
          <w:i/>
          <w:iCs/>
        </w:rPr>
        <w:t>Gender Equality Action Plan 2021–2025</w:t>
      </w:r>
      <w:r w:rsidRPr="00CC10B8">
        <w:t xml:space="preserve"> (the Plan) in partnership with our people to acknowledge and reflect on the challenges and opportunities to achieve gender equality.</w:t>
      </w:r>
    </w:p>
    <w:p w14:paraId="688F76A5" w14:textId="0E56E339" w:rsidR="00310FF0" w:rsidRPr="00AC6412" w:rsidRDefault="00310FF0" w:rsidP="0016727C">
      <w:pPr>
        <w:pStyle w:val="Quote"/>
        <w:rPr>
          <w:color w:val="542682"/>
        </w:rPr>
      </w:pPr>
      <w:r w:rsidRPr="00AC6412">
        <w:rPr>
          <w:rStyle w:val="QuoteChar"/>
          <w:i/>
          <w:iCs/>
          <w:color w:val="542682"/>
        </w:rPr>
        <w:t>Our vision for DPC is a safe, inclusive, and equit</w:t>
      </w:r>
      <w:r w:rsidRPr="00AC6412">
        <w:rPr>
          <w:color w:val="542682"/>
        </w:rPr>
        <w:t xml:space="preserve">able </w:t>
      </w:r>
      <w:r w:rsidRPr="00AC6412">
        <w:rPr>
          <w:rStyle w:val="QuoteChar"/>
          <w:i/>
          <w:iCs/>
          <w:color w:val="542682"/>
        </w:rPr>
        <w:t xml:space="preserve">workplace where all staff, irrespective of gender, </w:t>
      </w:r>
      <w:proofErr w:type="gramStart"/>
      <w:r w:rsidRPr="00AC6412">
        <w:rPr>
          <w:rStyle w:val="QuoteChar"/>
          <w:i/>
          <w:iCs/>
          <w:color w:val="542682"/>
        </w:rPr>
        <w:t>have the opportunity to</w:t>
      </w:r>
      <w:proofErr w:type="gramEnd"/>
      <w:r w:rsidRPr="00AC6412">
        <w:rPr>
          <w:rStyle w:val="QuoteChar"/>
          <w:i/>
          <w:iCs/>
          <w:color w:val="542682"/>
        </w:rPr>
        <w:t xml:space="preserve"> reach their full potential</w:t>
      </w:r>
      <w:r w:rsidRPr="00AC6412">
        <w:rPr>
          <w:color w:val="542682"/>
        </w:rPr>
        <w:t>.</w:t>
      </w:r>
    </w:p>
    <w:p w14:paraId="62C794D8" w14:textId="6163947D" w:rsidR="00310FF0" w:rsidRPr="00CC10B8" w:rsidRDefault="00310FF0" w:rsidP="00CC10B8">
      <w:r w:rsidRPr="00CC10B8">
        <w:t xml:space="preserve">While DPC has made considerable progress in creating a gender balanced, flexible and inclusive workplace, our current workforce data indicates that despite the gender composition of our workforce being 61 per cent women, workplace gender inequality persists. A gender pay gap exists, in part due to the concentration of men within the more senior executive bands compared to women, and due to a degree of occupational segregation, where a higher proportion of women are employed at the VPS 1-5 level. </w:t>
      </w:r>
    </w:p>
    <w:p w14:paraId="1DA61ACE" w14:textId="77777777" w:rsidR="00310FF0" w:rsidRPr="00CC10B8" w:rsidRDefault="00310FF0" w:rsidP="00CC10B8">
      <w:r w:rsidRPr="00CC10B8">
        <w:t xml:space="preserve">Our 2021 People Matter Survey measures also highlight opportunities for improvement to support women to reach their full potential at DPC. Women responded less favourably to questions about flexible working, family/caring responsibilities, and opportunities for promotion. Women also reported experiencing inappropriate workplace behaviours such as bullying, and violence or aggression at a higher rate than men. </w:t>
      </w:r>
    </w:p>
    <w:p w14:paraId="085F1FBD" w14:textId="46EB4A7D" w:rsidR="00310FF0" w:rsidRPr="00CC10B8" w:rsidRDefault="00310FF0" w:rsidP="00CC10B8">
      <w:r w:rsidRPr="00CC10B8">
        <w:t xml:space="preserve">We also acknowledge that we live in a society in which, despite considerable progress, women continue to experience inequality and discrimination in the workplace which limits the opportunities available to them. DPC supports the Victorian Government vision for gender equality under </w:t>
      </w:r>
      <w:r w:rsidRPr="00110516">
        <w:rPr>
          <w:i/>
          <w:iCs/>
        </w:rPr>
        <w:t>Safe and Strong, Victoria’s Gender Equality Strategy</w:t>
      </w:r>
      <w:r w:rsidRPr="00CC10B8">
        <w:t xml:space="preserve"> – that all Victorians live in a safe and equal society, have access to equal power, resources and opportunities and are treated with dignity, respect, and fairness. We understand that gender inequality may also be compounded by other forms of disadvantage or discrimination that a person may experience </w:t>
      </w:r>
      <w:proofErr w:type="gramStart"/>
      <w:r w:rsidRPr="00CC10B8">
        <w:t>on the basis of</w:t>
      </w:r>
      <w:proofErr w:type="gramEnd"/>
      <w:r w:rsidRPr="00CC10B8">
        <w:t xml:space="preserve"> their Aboriginality, age, disability, ethnicity, gender identity, race, religion, sexual orientation, and other attributes. The experience of compounding or overlapping forms of disadvantage or discrimination is referred to as intersectionality.</w:t>
      </w:r>
      <w:hyperlink r:id="rId17" w:anchor="footnote-006" w:history="1">
        <w:r w:rsidRPr="00DF5E47">
          <w:rPr>
            <w:rStyle w:val="Hyperlink"/>
            <w:vertAlign w:val="superscript"/>
          </w:rPr>
          <w:t>1</w:t>
        </w:r>
      </w:hyperlink>
    </w:p>
    <w:p w14:paraId="44515367" w14:textId="77777777" w:rsidR="00310FF0" w:rsidRPr="00CC10B8" w:rsidRDefault="00310FF0" w:rsidP="00CC10B8">
      <w:r w:rsidRPr="00CC10B8">
        <w:rPr>
          <w:rFonts w:eastAsia="MS Mincho"/>
        </w:rPr>
        <w:t xml:space="preserve">In developing the Plan, DPC demonstrates our strong commitment to gender equality, </w:t>
      </w:r>
      <w:proofErr w:type="gramStart"/>
      <w:r w:rsidRPr="00CC10B8">
        <w:rPr>
          <w:rFonts w:eastAsia="MS Mincho"/>
        </w:rPr>
        <w:t>in particular to</w:t>
      </w:r>
      <w:proofErr w:type="gramEnd"/>
      <w:r w:rsidRPr="00CC10B8">
        <w:rPr>
          <w:rFonts w:eastAsia="MS Mincho"/>
        </w:rPr>
        <w:t xml:space="preserve"> providing equal pay for work of equal or comparable value, removing barriers to the equal representation and participation of women in the workplace, offering access to career development opportunities and promotion, including into leadership and non-traditional roles, and providing a flexible, safe, and inclusive workplace.</w:t>
      </w:r>
    </w:p>
    <w:p w14:paraId="7EF963AA" w14:textId="77777777" w:rsidR="00310FF0" w:rsidRDefault="00310FF0" w:rsidP="00736EFA">
      <w:pPr>
        <w:pStyle w:val="Heading3"/>
        <w:rPr>
          <w:lang w:val="en-US"/>
        </w:rPr>
      </w:pPr>
      <w:bookmarkStart w:id="3" w:name="_Toc114211267"/>
      <w:r>
        <w:rPr>
          <w:lang w:val="en-US"/>
        </w:rPr>
        <w:t>Legislative Framework:</w:t>
      </w:r>
      <w:r w:rsidRPr="009D04D7">
        <w:t xml:space="preserve"> </w:t>
      </w:r>
      <w:r w:rsidRPr="0016727C">
        <w:rPr>
          <w:i/>
          <w:iCs/>
        </w:rPr>
        <w:t>Gender Equality Act 2020</w:t>
      </w:r>
      <w:bookmarkEnd w:id="3"/>
      <w:r w:rsidRPr="009D04D7">
        <w:t xml:space="preserve"> </w:t>
      </w:r>
    </w:p>
    <w:p w14:paraId="40717B60" w14:textId="61FC94AB" w:rsidR="00310FF0" w:rsidRPr="00CC10B8" w:rsidRDefault="00310FF0" w:rsidP="00CC10B8">
      <w:r w:rsidRPr="00CC10B8">
        <w:t xml:space="preserve">The </w:t>
      </w:r>
      <w:r w:rsidRPr="00110516">
        <w:rPr>
          <w:i/>
          <w:iCs/>
        </w:rPr>
        <w:t>Gender Equality Act 2020</w:t>
      </w:r>
      <w:r w:rsidRPr="00CC10B8">
        <w:t xml:space="preserve"> (the Act) commenced on 31 March 2021, requiring defined entities to take positive action towards achieving workplace gender equality and to promote gender equality in their policies, programs, and services. Under the Act, DPC is required to:</w:t>
      </w:r>
    </w:p>
    <w:p w14:paraId="5C96ED36" w14:textId="77777777" w:rsidR="00310FF0" w:rsidRDefault="00310FF0" w:rsidP="00736EFA">
      <w:pPr>
        <w:pStyle w:val="ListBullet"/>
        <w:rPr>
          <w:lang w:val="en-US"/>
        </w:rPr>
      </w:pPr>
      <w:r>
        <w:rPr>
          <w:lang w:val="en-US"/>
        </w:rPr>
        <w:t>develop and implement a </w:t>
      </w:r>
      <w:hyperlink r:id="rId18" w:history="1">
        <w:r>
          <w:rPr>
            <w:rStyle w:val="Hyperlink"/>
            <w:lang w:val="en-US"/>
          </w:rPr>
          <w:t>Gender Equality Action Plan</w:t>
        </w:r>
      </w:hyperlink>
      <w:r>
        <w:rPr>
          <w:lang w:val="en-US"/>
        </w:rPr>
        <w:t xml:space="preserve"> </w:t>
      </w:r>
    </w:p>
    <w:p w14:paraId="25171A91" w14:textId="77777777" w:rsidR="00310FF0" w:rsidRDefault="00000000" w:rsidP="00736EFA">
      <w:pPr>
        <w:pStyle w:val="ListBullet"/>
        <w:rPr>
          <w:lang w:val="en-US"/>
        </w:rPr>
      </w:pPr>
      <w:hyperlink r:id="rId19" w:history="1">
        <w:r w:rsidR="00310FF0">
          <w:rPr>
            <w:rStyle w:val="Hyperlink"/>
            <w:lang w:val="en-US"/>
          </w:rPr>
          <w:t>promote gender equality</w:t>
        </w:r>
      </w:hyperlink>
      <w:r w:rsidR="00310FF0">
        <w:rPr>
          <w:lang w:val="en-US"/>
        </w:rPr>
        <w:t> in policies, programs and services that impact the public</w:t>
      </w:r>
    </w:p>
    <w:p w14:paraId="02630060" w14:textId="77777777" w:rsidR="00310FF0" w:rsidRDefault="00310FF0" w:rsidP="00736EFA">
      <w:pPr>
        <w:pStyle w:val="ListBullet"/>
        <w:rPr>
          <w:lang w:val="en-US"/>
        </w:rPr>
      </w:pPr>
      <w:r>
        <w:rPr>
          <w:lang w:val="en-US"/>
        </w:rPr>
        <w:t>publicly </w:t>
      </w:r>
      <w:hyperlink r:id="rId20" w:history="1">
        <w:r>
          <w:rPr>
            <w:rStyle w:val="Hyperlink"/>
            <w:lang w:val="en-US"/>
          </w:rPr>
          <w:t>report on progress</w:t>
        </w:r>
      </w:hyperlink>
      <w:r>
        <w:rPr>
          <w:lang w:val="en-US"/>
        </w:rPr>
        <w:t> in relation to workplace gender equality</w:t>
      </w:r>
    </w:p>
    <w:p w14:paraId="2B12123B" w14:textId="77777777" w:rsidR="00310FF0" w:rsidRDefault="00310FF0" w:rsidP="00736EFA">
      <w:pPr>
        <w:pStyle w:val="ListBullet"/>
        <w:rPr>
          <w:lang w:val="en-US"/>
        </w:rPr>
      </w:pPr>
      <w:r>
        <w:rPr>
          <w:lang w:val="en-US"/>
        </w:rPr>
        <w:t>complete </w:t>
      </w:r>
      <w:hyperlink r:id="rId21" w:history="1">
        <w:r>
          <w:rPr>
            <w:rStyle w:val="Hyperlink"/>
            <w:lang w:val="en-US"/>
          </w:rPr>
          <w:t>gender impact assessments</w:t>
        </w:r>
      </w:hyperlink>
      <w:r>
        <w:rPr>
          <w:lang w:val="en-US"/>
        </w:rPr>
        <w:t>.</w:t>
      </w:r>
    </w:p>
    <w:p w14:paraId="6F52337B" w14:textId="31E05B1C" w:rsidR="00310FF0" w:rsidRPr="00CC10B8" w:rsidRDefault="00310FF0" w:rsidP="00CC10B8">
      <w:pPr>
        <w:rPr>
          <w:rFonts w:eastAsiaTheme="minorEastAsia"/>
        </w:rPr>
      </w:pPr>
      <w:r w:rsidRPr="00CC10B8">
        <w:lastRenderedPageBreak/>
        <w:t xml:space="preserve">The Act also enshrines </w:t>
      </w:r>
      <w:proofErr w:type="gramStart"/>
      <w:r w:rsidRPr="00CC10B8">
        <w:t>a number of</w:t>
      </w:r>
      <w:proofErr w:type="gramEnd"/>
      <w:r w:rsidRPr="00CC10B8">
        <w:t xml:space="preserve"> gender equality principles:</w:t>
      </w:r>
    </w:p>
    <w:p w14:paraId="3F8DE28E" w14:textId="77777777" w:rsidR="00310FF0" w:rsidRDefault="00310FF0" w:rsidP="00736EFA">
      <w:pPr>
        <w:pStyle w:val="ListBullet"/>
        <w:rPr>
          <w:lang w:val="en-US"/>
        </w:rPr>
      </w:pPr>
      <w:r>
        <w:rPr>
          <w:lang w:val="en-US"/>
        </w:rPr>
        <w:t xml:space="preserve">All Victorians should live in a safe and equal society, have access to equal power, resources and opportunities and be treated with dignity, respect, and fairness. </w:t>
      </w:r>
    </w:p>
    <w:p w14:paraId="41393894" w14:textId="77777777" w:rsidR="00310FF0" w:rsidRDefault="00310FF0" w:rsidP="00736EFA">
      <w:pPr>
        <w:pStyle w:val="ListBullet"/>
        <w:rPr>
          <w:lang w:val="en-US"/>
        </w:rPr>
      </w:pPr>
      <w:r>
        <w:rPr>
          <w:lang w:val="en-US"/>
        </w:rPr>
        <w:t xml:space="preserve">Gender equality benefits all Victorians regardless of gender. </w:t>
      </w:r>
    </w:p>
    <w:p w14:paraId="4B3C5B2F" w14:textId="77777777" w:rsidR="00310FF0" w:rsidRDefault="00310FF0" w:rsidP="00736EFA">
      <w:pPr>
        <w:pStyle w:val="ListBullet"/>
        <w:rPr>
          <w:lang w:val="en-US"/>
        </w:rPr>
      </w:pPr>
      <w:r>
        <w:rPr>
          <w:lang w:val="en-US"/>
        </w:rPr>
        <w:t xml:space="preserve">Gender equality is a human right and precondition to social justice. </w:t>
      </w:r>
    </w:p>
    <w:p w14:paraId="6582F69C" w14:textId="77777777" w:rsidR="00310FF0" w:rsidRDefault="00310FF0" w:rsidP="00736EFA">
      <w:pPr>
        <w:pStyle w:val="ListBullet"/>
        <w:rPr>
          <w:lang w:val="en-US"/>
        </w:rPr>
      </w:pPr>
      <w:r>
        <w:rPr>
          <w:lang w:val="en-US"/>
        </w:rPr>
        <w:t xml:space="preserve">Gender equality brings significant economic, social and health benefits for Victoria. </w:t>
      </w:r>
    </w:p>
    <w:p w14:paraId="6C3BA506" w14:textId="071405BC" w:rsidR="00310FF0" w:rsidRDefault="00310FF0" w:rsidP="00736EFA">
      <w:pPr>
        <w:pStyle w:val="ListBullet"/>
        <w:rPr>
          <w:lang w:val="en-US"/>
        </w:rPr>
      </w:pPr>
      <w:r>
        <w:rPr>
          <w:lang w:val="en-US"/>
        </w:rPr>
        <w:t xml:space="preserve">Gender equality is a precondition for the prevention of family violence and other forms of violence against women and girls. </w:t>
      </w:r>
    </w:p>
    <w:p w14:paraId="4736B5AA" w14:textId="77777777" w:rsidR="00310FF0" w:rsidRDefault="00310FF0" w:rsidP="00736EFA">
      <w:pPr>
        <w:pStyle w:val="ListBullet"/>
        <w:rPr>
          <w:lang w:val="en-US"/>
        </w:rPr>
      </w:pPr>
      <w:r>
        <w:rPr>
          <w:lang w:val="en-US"/>
        </w:rPr>
        <w:t xml:space="preserve">Advancing gender equality is a shared responsibility across the Victorian community. </w:t>
      </w:r>
    </w:p>
    <w:p w14:paraId="18E4168C" w14:textId="77777777" w:rsidR="00310FF0" w:rsidRDefault="00310FF0" w:rsidP="00736EFA">
      <w:pPr>
        <w:pStyle w:val="ListBullet"/>
        <w:rPr>
          <w:lang w:val="en-US"/>
        </w:rPr>
      </w:pPr>
      <w:r>
        <w:rPr>
          <w:lang w:val="en-US"/>
        </w:rPr>
        <w:t xml:space="preserve">All human beings, regardless of gender, should be free to develop their personal abilities, pursue their professional careers and make choices about their lives without being limited by gender stereotypes, gender roles or prejudices. </w:t>
      </w:r>
    </w:p>
    <w:p w14:paraId="0141BFE5" w14:textId="77777777" w:rsidR="00310FF0" w:rsidRDefault="00310FF0" w:rsidP="00736EFA">
      <w:pPr>
        <w:pStyle w:val="ListBullet"/>
        <w:rPr>
          <w:lang w:val="en-US"/>
        </w:rPr>
      </w:pPr>
      <w:r>
        <w:rPr>
          <w:lang w:val="en-US"/>
        </w:rPr>
        <w:t xml:space="preserve">Gender inequality may be compounded by other forms of disadvantage or discrimination that a person may experience </w:t>
      </w:r>
      <w:proofErr w:type="gramStart"/>
      <w:r>
        <w:rPr>
          <w:lang w:val="en-US"/>
        </w:rPr>
        <w:t>on the basis of</w:t>
      </w:r>
      <w:proofErr w:type="gramEnd"/>
      <w:r>
        <w:rPr>
          <w:lang w:val="en-US"/>
        </w:rPr>
        <w:t xml:space="preserve"> Aboriginality, age, disability, ethnicity, gender identity, race, religion, sexual orientation, and other attributes. </w:t>
      </w:r>
    </w:p>
    <w:p w14:paraId="526B6F29" w14:textId="77777777" w:rsidR="00310FF0" w:rsidRDefault="00310FF0" w:rsidP="00736EFA">
      <w:pPr>
        <w:pStyle w:val="ListBullet"/>
        <w:rPr>
          <w:lang w:val="en-US"/>
        </w:rPr>
      </w:pPr>
      <w:r>
        <w:rPr>
          <w:lang w:val="en-US"/>
        </w:rPr>
        <w:t xml:space="preserve">Women have historically experienced discrimination and disadvantage </w:t>
      </w:r>
      <w:proofErr w:type="gramStart"/>
      <w:r>
        <w:rPr>
          <w:lang w:val="en-US"/>
        </w:rPr>
        <w:t>on the basis of</w:t>
      </w:r>
      <w:proofErr w:type="gramEnd"/>
      <w:r>
        <w:rPr>
          <w:lang w:val="en-US"/>
        </w:rPr>
        <w:t xml:space="preserve"> sex and gender. </w:t>
      </w:r>
    </w:p>
    <w:p w14:paraId="7E944FDC" w14:textId="77777777" w:rsidR="00310FF0" w:rsidRDefault="00310FF0" w:rsidP="00736EFA">
      <w:pPr>
        <w:pStyle w:val="ListBullet"/>
        <w:rPr>
          <w:lang w:val="en-US"/>
        </w:rPr>
      </w:pPr>
      <w:r>
        <w:rPr>
          <w:lang w:val="en-US"/>
        </w:rPr>
        <w:t>Special measures may be necessary to achieve gender equality.</w:t>
      </w:r>
    </w:p>
    <w:p w14:paraId="1AC899AB" w14:textId="77777777" w:rsidR="00310FF0" w:rsidRPr="0016727C" w:rsidRDefault="00310FF0" w:rsidP="0016727C">
      <w:pPr>
        <w:pStyle w:val="Heading3"/>
        <w:rPr>
          <w:i/>
          <w:iCs/>
        </w:rPr>
      </w:pPr>
      <w:bookmarkStart w:id="4" w:name="_Toc114211268"/>
      <w:r w:rsidRPr="0016727C">
        <w:rPr>
          <w:i/>
          <w:iCs/>
        </w:rPr>
        <w:t>Gender Equality Action Plan 2021 – 2025</w:t>
      </w:r>
      <w:bookmarkEnd w:id="4"/>
      <w:r w:rsidRPr="0016727C">
        <w:rPr>
          <w:i/>
          <w:iCs/>
        </w:rPr>
        <w:t xml:space="preserve"> </w:t>
      </w:r>
    </w:p>
    <w:p w14:paraId="1CBBFA95" w14:textId="77777777" w:rsidR="00310FF0" w:rsidRPr="00CC10B8" w:rsidRDefault="00310FF0" w:rsidP="00CC10B8">
      <w:r w:rsidRPr="00CC10B8">
        <w:t xml:space="preserve">As part of our commitment to gender equality and under the guidance of the Commission for Gender Equality in the Public Sector, DPC has now developed our Gender Equality Action Plan, which is guided by the results of a comprehensive </w:t>
      </w:r>
      <w:hyperlink r:id="rId22" w:history="1">
        <w:r w:rsidRPr="00CC10B8">
          <w:rPr>
            <w:rStyle w:val="Hyperlink"/>
          </w:rPr>
          <w:t>workplace gender audit</w:t>
        </w:r>
      </w:hyperlink>
      <w:r w:rsidRPr="00CC10B8">
        <w:t xml:space="preserve"> and consultation with a variety of stakeholders to develop evidence-based strategies for achieving workplace gender equality over the next four years. </w:t>
      </w:r>
    </w:p>
    <w:p w14:paraId="53A7A84B" w14:textId="77777777" w:rsidR="00736EFA" w:rsidRPr="00CC10B8" w:rsidRDefault="00736EFA" w:rsidP="00CC10B8">
      <w:r w:rsidRPr="00CC10B8">
        <w:br w:type="page"/>
      </w:r>
    </w:p>
    <w:p w14:paraId="7288E837" w14:textId="54F199D7" w:rsidR="00310FF0" w:rsidRDefault="00310FF0" w:rsidP="00F96249">
      <w:pPr>
        <w:pStyle w:val="Heading2"/>
      </w:pPr>
      <w:bookmarkStart w:id="5" w:name="_Toc114211269"/>
      <w:r>
        <w:lastRenderedPageBreak/>
        <w:t>Strategic context</w:t>
      </w:r>
      <w:bookmarkEnd w:id="5"/>
    </w:p>
    <w:p w14:paraId="094167C4" w14:textId="1CAE8049" w:rsidR="00310FF0" w:rsidRPr="00CC10B8" w:rsidRDefault="00310FF0" w:rsidP="00CC10B8">
      <w:r w:rsidRPr="00CC10B8">
        <w:t xml:space="preserve">DPC has developed </w:t>
      </w:r>
      <w:proofErr w:type="gramStart"/>
      <w:r w:rsidRPr="00CC10B8">
        <w:t>a number of</w:t>
      </w:r>
      <w:proofErr w:type="gramEnd"/>
      <w:r w:rsidRPr="00CC10B8">
        <w:t xml:space="preserve"> individual action plans that sit under our </w:t>
      </w:r>
      <w:r w:rsidRPr="00110516">
        <w:rPr>
          <w:i/>
          <w:iCs/>
        </w:rPr>
        <w:t>Diversity and Inclusion Strategy 2019–2021</w:t>
      </w:r>
      <w:r w:rsidRPr="00CC10B8">
        <w:t xml:space="preserve">, which has five priority areas: </w:t>
      </w:r>
    </w:p>
    <w:p w14:paraId="2D367F54" w14:textId="77777777" w:rsidR="00310FF0" w:rsidRDefault="00310FF0" w:rsidP="00736EFA">
      <w:pPr>
        <w:pStyle w:val="ListBullet"/>
        <w:rPr>
          <w:lang w:val="en-US"/>
        </w:rPr>
      </w:pPr>
      <w:r>
        <w:rPr>
          <w:lang w:val="en-US"/>
        </w:rPr>
        <w:t xml:space="preserve">Gender equality </w:t>
      </w:r>
    </w:p>
    <w:p w14:paraId="1EBF8B0A" w14:textId="77777777" w:rsidR="00310FF0" w:rsidRDefault="00310FF0" w:rsidP="00736EFA">
      <w:pPr>
        <w:pStyle w:val="ListBullet"/>
        <w:rPr>
          <w:lang w:val="en-US"/>
        </w:rPr>
      </w:pPr>
      <w:r>
        <w:rPr>
          <w:lang w:val="en-US"/>
        </w:rPr>
        <w:t xml:space="preserve">Aboriginal workforce </w:t>
      </w:r>
    </w:p>
    <w:p w14:paraId="3545CA16" w14:textId="77777777" w:rsidR="00310FF0" w:rsidRDefault="00000000" w:rsidP="00736EFA">
      <w:pPr>
        <w:pStyle w:val="ListBullet"/>
        <w:rPr>
          <w:lang w:val="en-US"/>
        </w:rPr>
      </w:pPr>
      <w:hyperlink r:id="rId23" w:history="1">
        <w:r w:rsidR="00310FF0">
          <w:rPr>
            <w:rStyle w:val="Hyperlink"/>
            <w:lang w:val="en-US"/>
          </w:rPr>
          <w:t xml:space="preserve">Disability access and inclusion </w:t>
        </w:r>
      </w:hyperlink>
    </w:p>
    <w:p w14:paraId="51668475" w14:textId="77777777" w:rsidR="00310FF0" w:rsidRDefault="00310FF0" w:rsidP="00736EFA">
      <w:pPr>
        <w:pStyle w:val="ListBullet"/>
        <w:rPr>
          <w:lang w:val="en-US"/>
        </w:rPr>
      </w:pPr>
      <w:r>
        <w:rPr>
          <w:lang w:val="en-US"/>
        </w:rPr>
        <w:t xml:space="preserve">LGBTIQ+ inclusion </w:t>
      </w:r>
    </w:p>
    <w:p w14:paraId="64F46DDE" w14:textId="77777777" w:rsidR="00310FF0" w:rsidRDefault="00310FF0" w:rsidP="00736EFA">
      <w:pPr>
        <w:pStyle w:val="ListBullet"/>
        <w:rPr>
          <w:lang w:val="en-US"/>
        </w:rPr>
      </w:pPr>
      <w:r>
        <w:rPr>
          <w:lang w:val="en-US"/>
        </w:rPr>
        <w:t xml:space="preserve">Cultural and linguistically diverse (CALD) inclusion </w:t>
      </w:r>
    </w:p>
    <w:p w14:paraId="1027D709" w14:textId="77777777" w:rsidR="00310FF0" w:rsidRPr="00CC10B8" w:rsidRDefault="00310FF0" w:rsidP="00CC10B8">
      <w:pPr>
        <w:rPr>
          <w:rFonts w:eastAsiaTheme="minorEastAsia"/>
        </w:rPr>
      </w:pPr>
      <w:r w:rsidRPr="00CC10B8">
        <w:t>The following diagram shows where the Plan fits into the internal diversity and inclusion framework and how our focus on gender equality complements existing organisational strategies. The diagram also identifies the relevant legislation standards and guidelines considered in developing this plan.</w:t>
      </w:r>
    </w:p>
    <w:p w14:paraId="637131A2" w14:textId="1662BF7E" w:rsidR="00310FF0" w:rsidRDefault="00310FF0" w:rsidP="00CC10B8">
      <w:proofErr w:type="gramStart"/>
      <w:r w:rsidRPr="00CC10B8">
        <w:t>A number of</w:t>
      </w:r>
      <w:proofErr w:type="gramEnd"/>
      <w:r w:rsidRPr="00CC10B8">
        <w:t xml:space="preserve"> strategies contained in the Plan align with the measures outlined in the individual action plans relating to People with Disability and DPC’s Aboriginal, LGBTIQ+, and CALD workforce. The individual plans however contain more focussed strategies to address gender inequality specific to the experiences of each group. </w:t>
      </w:r>
    </w:p>
    <w:p w14:paraId="6A897E17" w14:textId="77777777" w:rsidR="00D03613" w:rsidRPr="00EB5B0D" w:rsidRDefault="00D03613" w:rsidP="003F00E7">
      <w:pPr>
        <w:pStyle w:val="Heading4"/>
      </w:pPr>
      <w:bookmarkStart w:id="6" w:name="_Toc108014405"/>
      <w:r w:rsidRPr="00EB5B0D">
        <w:t>Diversity and Inclusion Strategy</w:t>
      </w:r>
      <w:bookmarkEnd w:id="6"/>
      <w:r w:rsidRPr="00EB5B0D">
        <w:t xml:space="preserve"> </w:t>
      </w:r>
    </w:p>
    <w:p w14:paraId="113E1ADB" w14:textId="540E61DC" w:rsidR="00D03613" w:rsidRDefault="00D03613" w:rsidP="00D03613">
      <w:pPr>
        <w:pStyle w:val="ListBullet"/>
      </w:pPr>
      <w:r w:rsidRPr="007C7E43">
        <w:t>Gender Equality Action Plan 2021–2025</w:t>
      </w:r>
    </w:p>
    <w:p w14:paraId="424F10F0" w14:textId="77777777" w:rsidR="00D03613" w:rsidRPr="00D03613" w:rsidRDefault="00D03613" w:rsidP="00D03613">
      <w:pPr>
        <w:pStyle w:val="ListBullet2"/>
        <w:rPr>
          <w:i/>
          <w:iCs/>
        </w:rPr>
      </w:pPr>
      <w:r w:rsidRPr="00D03613">
        <w:rPr>
          <w:i/>
          <w:iCs/>
        </w:rPr>
        <w:t>Gender Equality Act 2020 (Vic)</w:t>
      </w:r>
    </w:p>
    <w:p w14:paraId="6E4992DD" w14:textId="77777777" w:rsidR="00D03613" w:rsidRPr="00D03613" w:rsidRDefault="00D03613" w:rsidP="00D03613">
      <w:pPr>
        <w:pStyle w:val="ListBullet2"/>
        <w:rPr>
          <w:i/>
          <w:iCs/>
        </w:rPr>
      </w:pPr>
      <w:r w:rsidRPr="00D03613">
        <w:rPr>
          <w:i/>
          <w:iCs/>
        </w:rPr>
        <w:t>Workplace Gender Equality Act 2012 (Cwlth)</w:t>
      </w:r>
    </w:p>
    <w:p w14:paraId="179413A9" w14:textId="77777777" w:rsidR="00D03613" w:rsidRPr="00D03613" w:rsidRDefault="00D03613" w:rsidP="00D03613">
      <w:pPr>
        <w:pStyle w:val="ListBullet2"/>
        <w:rPr>
          <w:i/>
          <w:iCs/>
        </w:rPr>
      </w:pPr>
      <w:r w:rsidRPr="00D03613">
        <w:rPr>
          <w:i/>
          <w:iCs/>
        </w:rPr>
        <w:t xml:space="preserve">Sex Discrimination Act 1984 (Cwlth) </w:t>
      </w:r>
    </w:p>
    <w:p w14:paraId="26C2F91D" w14:textId="77777777" w:rsidR="00D03613" w:rsidRPr="00D03613" w:rsidRDefault="00D03613" w:rsidP="00D03613">
      <w:pPr>
        <w:pStyle w:val="ListBullet2"/>
        <w:rPr>
          <w:i/>
          <w:iCs/>
        </w:rPr>
      </w:pPr>
      <w:r w:rsidRPr="00D03613">
        <w:rPr>
          <w:i/>
          <w:iCs/>
        </w:rPr>
        <w:t>Fair Work Act 2009 (Cwlth)</w:t>
      </w:r>
    </w:p>
    <w:p w14:paraId="20DB8249" w14:textId="77777777" w:rsidR="00D03613" w:rsidRPr="00D03613" w:rsidRDefault="00D03613" w:rsidP="00D03613">
      <w:pPr>
        <w:pStyle w:val="ListBullet2"/>
        <w:rPr>
          <w:i/>
          <w:iCs/>
        </w:rPr>
      </w:pPr>
      <w:r w:rsidRPr="00D03613">
        <w:rPr>
          <w:i/>
          <w:iCs/>
        </w:rPr>
        <w:t>Equal Opportunity Act 2010 (Vic)</w:t>
      </w:r>
    </w:p>
    <w:p w14:paraId="2021FF91" w14:textId="77777777" w:rsidR="00D03613" w:rsidRPr="00D03613" w:rsidRDefault="00D03613" w:rsidP="00D03613">
      <w:pPr>
        <w:pStyle w:val="ListBullet2"/>
        <w:rPr>
          <w:i/>
          <w:iCs/>
        </w:rPr>
      </w:pPr>
      <w:r w:rsidRPr="00D03613">
        <w:rPr>
          <w:i/>
          <w:iCs/>
        </w:rPr>
        <w:t>Charter of Human Rights and Responsibilities Act 2006 (Vic)</w:t>
      </w:r>
    </w:p>
    <w:p w14:paraId="5356175F" w14:textId="77777777" w:rsidR="00D03613" w:rsidRPr="00D03613" w:rsidRDefault="00D03613" w:rsidP="00D03613">
      <w:pPr>
        <w:pStyle w:val="ListBullet2"/>
        <w:rPr>
          <w:i/>
          <w:iCs/>
        </w:rPr>
      </w:pPr>
      <w:r w:rsidRPr="00D03613">
        <w:rPr>
          <w:i/>
          <w:iCs/>
        </w:rPr>
        <w:t>Victorian Public Service Enterprise Agreement 2020</w:t>
      </w:r>
    </w:p>
    <w:p w14:paraId="46CD053F" w14:textId="397E943D" w:rsidR="00D03613" w:rsidRPr="00D03613" w:rsidRDefault="00D03613" w:rsidP="00D03613">
      <w:pPr>
        <w:pStyle w:val="ListBullet2"/>
        <w:rPr>
          <w:i/>
          <w:iCs/>
        </w:rPr>
      </w:pPr>
      <w:r w:rsidRPr="00D03613">
        <w:rPr>
          <w:i/>
          <w:iCs/>
        </w:rPr>
        <w:t>Safe and Strong, A Victorian Gender Equality Strategy 2016</w:t>
      </w:r>
    </w:p>
    <w:p w14:paraId="1698F9F6" w14:textId="77777777" w:rsidR="00D03613" w:rsidRPr="007C7E43" w:rsidRDefault="00D03613" w:rsidP="00D03613">
      <w:pPr>
        <w:pStyle w:val="ListBullet"/>
      </w:pPr>
      <w:r w:rsidRPr="007C7E43">
        <w:t>Aboriginal Workforce Strategy 2022–2026 (in development)</w:t>
      </w:r>
    </w:p>
    <w:p w14:paraId="44692AB7" w14:textId="77777777" w:rsidR="00C16F87" w:rsidRDefault="00D03613" w:rsidP="00C16F87">
      <w:pPr>
        <w:pStyle w:val="ListBullet"/>
      </w:pPr>
      <w:r w:rsidRPr="007C7E43">
        <w:t xml:space="preserve">Disability Access and Inclusion Plan 2021–2025 </w:t>
      </w:r>
    </w:p>
    <w:p w14:paraId="51344EAF" w14:textId="3F33E1C5" w:rsidR="00D03613" w:rsidRPr="007C7E43" w:rsidRDefault="00D03613" w:rsidP="00C16F87">
      <w:pPr>
        <w:pStyle w:val="ListBullet"/>
      </w:pPr>
      <w:r w:rsidRPr="007C7E43">
        <w:t>LGBTIQ+</w:t>
      </w:r>
      <w:r w:rsidR="0016727C">
        <w:t xml:space="preserve"> </w:t>
      </w:r>
      <w:r w:rsidRPr="007C7E43">
        <w:t>Inclusion Plan (for review)</w:t>
      </w:r>
    </w:p>
    <w:p w14:paraId="01746D15" w14:textId="50A3232C" w:rsidR="00D03613" w:rsidRPr="00CC10B8" w:rsidRDefault="00D03613" w:rsidP="00CC10B8">
      <w:pPr>
        <w:pStyle w:val="ListBullet"/>
      </w:pPr>
      <w:r w:rsidRPr="007C7E43">
        <w:t>Cultural Diversity Plan</w:t>
      </w:r>
      <w:r>
        <w:t xml:space="preserve"> </w:t>
      </w:r>
      <w:r w:rsidRPr="007C7E43">
        <w:t>(for review)</w:t>
      </w:r>
    </w:p>
    <w:p w14:paraId="5438BCEA" w14:textId="77777777" w:rsidR="00736EFA" w:rsidRPr="00CC10B8" w:rsidRDefault="00736EFA" w:rsidP="00CC10B8">
      <w:r w:rsidRPr="00CC10B8">
        <w:br w:type="page"/>
      </w:r>
    </w:p>
    <w:p w14:paraId="088A0AFE" w14:textId="61F02142" w:rsidR="00310FF0" w:rsidRPr="00F96249" w:rsidRDefault="00310FF0" w:rsidP="00F96249">
      <w:pPr>
        <w:pStyle w:val="Heading2"/>
      </w:pPr>
      <w:bookmarkStart w:id="7" w:name="_Toc114211270"/>
      <w:r w:rsidRPr="00F96249">
        <w:lastRenderedPageBreak/>
        <w:t xml:space="preserve">Building on achievements under the </w:t>
      </w:r>
      <w:r w:rsidRPr="00E8350A">
        <w:rPr>
          <w:i/>
          <w:iCs/>
        </w:rPr>
        <w:t>Gender Equality Action Plan 2018–2021</w:t>
      </w:r>
      <w:bookmarkEnd w:id="7"/>
    </w:p>
    <w:p w14:paraId="32D45E68" w14:textId="77777777" w:rsidR="00310FF0" w:rsidRPr="00CC10B8" w:rsidRDefault="00310FF0" w:rsidP="00CC10B8">
      <w:r w:rsidRPr="00CC10B8">
        <w:t xml:space="preserve">The development of the Plan provides DPC an opportunity to build on progress made towards achieving gender equality over the period 2018-2021, during which DPC delivered several initiatives to improve gender equality in the workplace: </w:t>
      </w:r>
    </w:p>
    <w:p w14:paraId="18369519" w14:textId="4E0DA45A" w:rsidR="00310FF0" w:rsidRDefault="00310FF0" w:rsidP="00736EFA">
      <w:pPr>
        <w:pStyle w:val="ListBullet"/>
        <w:rPr>
          <w:lang w:val="en-US"/>
        </w:rPr>
      </w:pPr>
      <w:r>
        <w:rPr>
          <w:lang w:val="en-US"/>
        </w:rPr>
        <w:t xml:space="preserve">Maintained and exceeded the overall target of 50 per cent of women in Executive roles. </w:t>
      </w:r>
    </w:p>
    <w:p w14:paraId="0102A758" w14:textId="7C66F16D" w:rsidR="00310FF0" w:rsidRDefault="00310FF0" w:rsidP="00736EFA">
      <w:pPr>
        <w:pStyle w:val="ListBullet"/>
        <w:rPr>
          <w:lang w:val="en-US"/>
        </w:rPr>
      </w:pPr>
      <w:r>
        <w:rPr>
          <w:lang w:val="en-US"/>
        </w:rPr>
        <w:t>Developed a Family Violence Support policy outlining workplace support available to employees experiencing or impacted by family violence.</w:t>
      </w:r>
    </w:p>
    <w:p w14:paraId="5DDA847A" w14:textId="77777777" w:rsidR="00310FF0" w:rsidRDefault="00310FF0" w:rsidP="00736EFA">
      <w:pPr>
        <w:pStyle w:val="ListBullet"/>
        <w:rPr>
          <w:lang w:val="en-US"/>
        </w:rPr>
      </w:pPr>
      <w:r>
        <w:rPr>
          <w:lang w:val="en-US"/>
        </w:rPr>
        <w:t>Delivered mandatory family violence training for all managers and Executives and created the role of Family Violence Contact Officers.</w:t>
      </w:r>
    </w:p>
    <w:p w14:paraId="23192E4A" w14:textId="77777777" w:rsidR="00310FF0" w:rsidRDefault="00310FF0" w:rsidP="00736EFA">
      <w:pPr>
        <w:pStyle w:val="ListBullet"/>
        <w:rPr>
          <w:lang w:val="en-US"/>
        </w:rPr>
      </w:pPr>
      <w:r>
        <w:rPr>
          <w:lang w:val="en-US"/>
        </w:rPr>
        <w:t xml:space="preserve">Implemented the </w:t>
      </w:r>
      <w:r w:rsidRPr="00110516">
        <w:rPr>
          <w:i/>
          <w:iCs/>
        </w:rPr>
        <w:t>Parental Transition Support Program</w:t>
      </w:r>
      <w:r>
        <w:rPr>
          <w:lang w:val="en-US"/>
        </w:rPr>
        <w:t xml:space="preserve"> which offers specialist coaching and on-line assistance to support the transition from worker, to parent, to working parent.</w:t>
      </w:r>
    </w:p>
    <w:p w14:paraId="18119664" w14:textId="424C0E59" w:rsidR="00310FF0" w:rsidRDefault="00310FF0" w:rsidP="00736EFA">
      <w:pPr>
        <w:pStyle w:val="ListBullet"/>
        <w:rPr>
          <w:lang w:val="en-US"/>
        </w:rPr>
      </w:pPr>
      <w:r>
        <w:rPr>
          <w:lang w:val="en-US"/>
        </w:rPr>
        <w:t xml:space="preserve">Implemented a new entitlement of 12 weeks paid parental leave for secondary </w:t>
      </w:r>
      <w:proofErr w:type="spellStart"/>
      <w:r>
        <w:rPr>
          <w:lang w:val="en-US"/>
        </w:rPr>
        <w:t>carers</w:t>
      </w:r>
      <w:proofErr w:type="spellEnd"/>
      <w:r>
        <w:rPr>
          <w:lang w:val="en-US"/>
        </w:rPr>
        <w:t xml:space="preserve"> in addition to the four weeks of paid parental leave already available, under the provisions of the </w:t>
      </w:r>
      <w:r w:rsidRPr="00110516">
        <w:rPr>
          <w:i/>
          <w:iCs/>
        </w:rPr>
        <w:t>VPS Enterprise Agreement 2020</w:t>
      </w:r>
      <w:r>
        <w:rPr>
          <w:lang w:val="en-US"/>
        </w:rPr>
        <w:t>.</w:t>
      </w:r>
    </w:p>
    <w:p w14:paraId="75C33512" w14:textId="15C86AAD" w:rsidR="00310FF0" w:rsidRDefault="00310FF0" w:rsidP="00736EFA">
      <w:pPr>
        <w:pStyle w:val="ListBullet"/>
        <w:rPr>
          <w:lang w:val="en-US"/>
        </w:rPr>
      </w:pPr>
      <w:r>
        <w:rPr>
          <w:lang w:val="en-US"/>
        </w:rPr>
        <w:t xml:space="preserve">Implemented the </w:t>
      </w:r>
      <w:r w:rsidRPr="008B74D8">
        <w:rPr>
          <w:i/>
          <w:iCs/>
        </w:rPr>
        <w:t>DPC In Touch</w:t>
      </w:r>
      <w:r w:rsidRPr="008B74D8">
        <w:rPr>
          <w:i/>
          <w:iCs/>
          <w:lang w:val="en-US"/>
        </w:rPr>
        <w:t xml:space="preserve"> program</w:t>
      </w:r>
      <w:r>
        <w:rPr>
          <w:lang w:val="en-US"/>
        </w:rPr>
        <w:t xml:space="preserve"> to support women on parental leave to maintain contact and relationships with managers and peers. </w:t>
      </w:r>
    </w:p>
    <w:p w14:paraId="5CD7DCF6" w14:textId="5A565DA2" w:rsidR="00310FF0" w:rsidRDefault="00310FF0" w:rsidP="00736EFA">
      <w:pPr>
        <w:pStyle w:val="ListBullet"/>
        <w:rPr>
          <w:lang w:val="en-US"/>
        </w:rPr>
      </w:pPr>
      <w:r>
        <w:rPr>
          <w:lang w:val="en-US"/>
        </w:rPr>
        <w:t xml:space="preserve">Updated the </w:t>
      </w:r>
      <w:r w:rsidRPr="008B74D8">
        <w:rPr>
          <w:i/>
          <w:iCs/>
        </w:rPr>
        <w:t>Prevention of Sexual Harassment in the Workplace</w:t>
      </w:r>
      <w:r w:rsidRPr="009D04D7">
        <w:t> </w:t>
      </w:r>
      <w:r>
        <w:rPr>
          <w:lang w:val="en-US"/>
        </w:rPr>
        <w:t>policy and mandatory eLearning module.</w:t>
      </w:r>
    </w:p>
    <w:p w14:paraId="6044B915" w14:textId="77777777" w:rsidR="00310FF0" w:rsidRDefault="00310FF0" w:rsidP="00736EFA">
      <w:pPr>
        <w:pStyle w:val="ListBullet"/>
        <w:rPr>
          <w:lang w:val="en-US"/>
        </w:rPr>
      </w:pPr>
      <w:r>
        <w:rPr>
          <w:lang w:val="en-US"/>
        </w:rPr>
        <w:t>Continued to support career development for women by participating in and nominating women for leadership programs.</w:t>
      </w:r>
    </w:p>
    <w:p w14:paraId="477D542A" w14:textId="77777777" w:rsidR="00310FF0" w:rsidRDefault="00310FF0" w:rsidP="00736EFA">
      <w:pPr>
        <w:pStyle w:val="ListBullet"/>
        <w:rPr>
          <w:lang w:val="en-US"/>
        </w:rPr>
      </w:pPr>
      <w:r>
        <w:rPr>
          <w:lang w:val="en-US"/>
        </w:rPr>
        <w:t>Developed a Flexible Working policy and form to capture and monitor the uptake of formal flexible working arrangements.</w:t>
      </w:r>
    </w:p>
    <w:p w14:paraId="2E129A90" w14:textId="77777777" w:rsidR="00310FF0" w:rsidRDefault="00310FF0" w:rsidP="00736EFA">
      <w:pPr>
        <w:pStyle w:val="ListBullet"/>
        <w:rPr>
          <w:lang w:val="en-US"/>
        </w:rPr>
      </w:pPr>
      <w:r>
        <w:rPr>
          <w:lang w:val="en-US"/>
        </w:rPr>
        <w:t xml:space="preserve">Completed a comprehensive workplace gender audit to inform the development of the </w:t>
      </w:r>
      <w:r w:rsidRPr="008B74D8">
        <w:rPr>
          <w:i/>
          <w:iCs/>
        </w:rPr>
        <w:t>Gender Equality Action Plan 2021-2025</w:t>
      </w:r>
      <w:r w:rsidRPr="009D04D7">
        <w:t>.</w:t>
      </w:r>
      <w:r>
        <w:rPr>
          <w:lang w:val="en-US"/>
        </w:rPr>
        <w:t xml:space="preserve"> </w:t>
      </w:r>
    </w:p>
    <w:p w14:paraId="1AC04ED8" w14:textId="10B05C63" w:rsidR="00310FF0" w:rsidRDefault="00310FF0" w:rsidP="00736EFA">
      <w:pPr>
        <w:pStyle w:val="ListBullet"/>
        <w:rPr>
          <w:lang w:val="en-US"/>
        </w:rPr>
      </w:pPr>
      <w:r>
        <w:rPr>
          <w:lang w:val="en-US"/>
        </w:rPr>
        <w:t xml:space="preserve">Continued membership and participation in the Champions of Change Coalition, a global initiative in which men of power step up beside women leaders as ‘champions’ because they publicly commit to leading practical, </w:t>
      </w:r>
      <w:proofErr w:type="gramStart"/>
      <w:r>
        <w:rPr>
          <w:lang w:val="en-US"/>
        </w:rPr>
        <w:t>constructive</w:t>
      </w:r>
      <w:proofErr w:type="gramEnd"/>
      <w:r>
        <w:rPr>
          <w:lang w:val="en-US"/>
        </w:rPr>
        <w:t xml:space="preserve"> and disruptive actions to accelerate change to achieve gender equality and build respectful and inclusive workplaces.</w:t>
      </w:r>
    </w:p>
    <w:p w14:paraId="5E9D87B6" w14:textId="77777777" w:rsidR="00310FF0" w:rsidRDefault="00310FF0" w:rsidP="00736EFA">
      <w:pPr>
        <w:pStyle w:val="ListBullet"/>
        <w:rPr>
          <w:lang w:val="en-US"/>
        </w:rPr>
      </w:pPr>
      <w:r>
        <w:rPr>
          <w:lang w:val="en-US"/>
        </w:rPr>
        <w:t xml:space="preserve">Celebrated </w:t>
      </w:r>
      <w:proofErr w:type="gramStart"/>
      <w:r>
        <w:rPr>
          <w:lang w:val="en-US"/>
        </w:rPr>
        <w:t>a number of</w:t>
      </w:r>
      <w:proofErr w:type="gramEnd"/>
      <w:r>
        <w:rPr>
          <w:lang w:val="en-US"/>
        </w:rPr>
        <w:t xml:space="preserve"> events to </w:t>
      </w:r>
      <w:proofErr w:type="spellStart"/>
      <w:r>
        <w:rPr>
          <w:lang w:val="en-US"/>
        </w:rPr>
        <w:t>recognise</w:t>
      </w:r>
      <w:proofErr w:type="spellEnd"/>
      <w:r>
        <w:rPr>
          <w:lang w:val="en-US"/>
        </w:rPr>
        <w:t xml:space="preserve"> and celebrate the achievements of women and our diverse staff including International Women’s Day, International Day of People with Disability, NAIDOC week, IDAHOBIT and Cultural Diversity Week. </w:t>
      </w:r>
    </w:p>
    <w:p w14:paraId="7D8FEE78" w14:textId="77777777" w:rsidR="00042590" w:rsidRPr="00042590" w:rsidRDefault="00042590" w:rsidP="00042590">
      <w:r>
        <w:rPr>
          <w:lang w:val="en-US"/>
        </w:rPr>
        <w:br w:type="page"/>
      </w:r>
    </w:p>
    <w:p w14:paraId="5C6C49C0" w14:textId="7ACF4B7D" w:rsidR="00310FF0" w:rsidRDefault="00310FF0" w:rsidP="00F96249">
      <w:pPr>
        <w:pStyle w:val="Heading2"/>
        <w:rPr>
          <w:rFonts w:eastAsiaTheme="minorEastAsia"/>
        </w:rPr>
      </w:pPr>
      <w:bookmarkStart w:id="8" w:name="_Toc114211271"/>
      <w:r>
        <w:lastRenderedPageBreak/>
        <w:t>How we developed this Gender Equality Action Plan</w:t>
      </w:r>
      <w:bookmarkEnd w:id="8"/>
    </w:p>
    <w:p w14:paraId="41563586" w14:textId="77777777" w:rsidR="00310FF0" w:rsidRDefault="00310FF0" w:rsidP="00736EFA">
      <w:pPr>
        <w:pStyle w:val="Heading3"/>
        <w:rPr>
          <w:lang w:val="en-US"/>
        </w:rPr>
      </w:pPr>
      <w:bookmarkStart w:id="9" w:name="_Toc114211272"/>
      <w:r>
        <w:rPr>
          <w:lang w:val="en-US"/>
        </w:rPr>
        <w:t>Gender Equality data analysis</w:t>
      </w:r>
      <w:bookmarkEnd w:id="9"/>
      <w:r>
        <w:rPr>
          <w:lang w:val="en-US"/>
        </w:rPr>
        <w:t xml:space="preserve"> </w:t>
      </w:r>
    </w:p>
    <w:p w14:paraId="125756AA" w14:textId="77777777" w:rsidR="00DF5E47" w:rsidRDefault="00310FF0" w:rsidP="00CC10B8">
      <w:r w:rsidRPr="00CC10B8">
        <w:t xml:space="preserve">The </w:t>
      </w:r>
      <w:r w:rsidRPr="008B74D8">
        <w:rPr>
          <w:i/>
          <w:iCs/>
        </w:rPr>
        <w:t>Gender Equality Act 2020</w:t>
      </w:r>
      <w:r w:rsidRPr="00CC10B8">
        <w:t xml:space="preserve"> requires DPC to collect and report data on gender equality in the workplace against seven key indicators, which represent the areas where workplace gender inequality persists and where progress towards gender equality must be demonstrated.</w:t>
      </w:r>
    </w:p>
    <w:p w14:paraId="3BA4787F" w14:textId="77777777" w:rsidR="00DF5E47" w:rsidRPr="00CC10B8" w:rsidRDefault="00DF5E47" w:rsidP="00DF5E47">
      <w:pPr>
        <w:pStyle w:val="ListNumber"/>
      </w:pPr>
      <w:r w:rsidRPr="00CC10B8">
        <w:t>Gender composition of the workforce</w:t>
      </w:r>
    </w:p>
    <w:p w14:paraId="2FAF7794" w14:textId="77777777" w:rsidR="00DF5E47" w:rsidRPr="00CC10B8" w:rsidRDefault="00DF5E47" w:rsidP="00DF5E47">
      <w:pPr>
        <w:pStyle w:val="ListNumber"/>
      </w:pPr>
      <w:r w:rsidRPr="00CC10B8">
        <w:t>Gender composition of the Board</w:t>
      </w:r>
    </w:p>
    <w:p w14:paraId="798B41A1" w14:textId="77777777" w:rsidR="00DF5E47" w:rsidRPr="00CC10B8" w:rsidRDefault="00DF5E47" w:rsidP="00DF5E47">
      <w:pPr>
        <w:pStyle w:val="ListNumber"/>
      </w:pPr>
      <w:r w:rsidRPr="00CC10B8">
        <w:t xml:space="preserve">Gender </w:t>
      </w:r>
      <w:proofErr w:type="gramStart"/>
      <w:r w:rsidRPr="00CC10B8">
        <w:t>pay</w:t>
      </w:r>
      <w:proofErr w:type="gramEnd"/>
      <w:r w:rsidRPr="00CC10B8">
        <w:t xml:space="preserve"> equity</w:t>
      </w:r>
    </w:p>
    <w:p w14:paraId="6E61A7A9" w14:textId="77777777" w:rsidR="00DF5E47" w:rsidRPr="00CC10B8" w:rsidRDefault="00DF5E47" w:rsidP="00DF5E47">
      <w:pPr>
        <w:pStyle w:val="ListNumber"/>
      </w:pPr>
      <w:r w:rsidRPr="00CC10B8">
        <w:t xml:space="preserve">Workplace sexual harassment </w:t>
      </w:r>
    </w:p>
    <w:p w14:paraId="3369E712" w14:textId="77777777" w:rsidR="00DF5E47" w:rsidRPr="00CC10B8" w:rsidRDefault="00DF5E47" w:rsidP="00DF5E47">
      <w:pPr>
        <w:pStyle w:val="ListNumber"/>
      </w:pPr>
      <w:r w:rsidRPr="00CC10B8">
        <w:t>Leave and flexibility</w:t>
      </w:r>
    </w:p>
    <w:p w14:paraId="00D26DF1" w14:textId="77777777" w:rsidR="00DF5E47" w:rsidRPr="00CC10B8" w:rsidRDefault="00DF5E47" w:rsidP="00DF5E47">
      <w:pPr>
        <w:pStyle w:val="ListNumber"/>
      </w:pPr>
      <w:r w:rsidRPr="00CC10B8">
        <w:t>Recruitment and promotion</w:t>
      </w:r>
    </w:p>
    <w:p w14:paraId="2350294D" w14:textId="0CEDC6D1" w:rsidR="00310FF0" w:rsidRPr="00CC10B8" w:rsidRDefault="00DF5E47" w:rsidP="00DF5E47">
      <w:pPr>
        <w:pStyle w:val="ListNumber"/>
      </w:pPr>
      <w:r w:rsidRPr="00CC10B8">
        <w:t>Gendered work segregation</w:t>
      </w:r>
      <w:r w:rsidR="00310FF0" w:rsidRPr="00CC10B8">
        <w:t xml:space="preserve"> </w:t>
      </w:r>
    </w:p>
    <w:p w14:paraId="554D3DB9" w14:textId="77777777" w:rsidR="00310FF0" w:rsidRPr="00CC10B8" w:rsidRDefault="00310FF0" w:rsidP="00CC10B8">
      <w:r w:rsidRPr="00CC10B8">
        <w:t xml:space="preserve">DPC’s 2021 workplace gender audit was based on annual workforce data as </w:t>
      </w:r>
      <w:proofErr w:type="gramStart"/>
      <w:r w:rsidRPr="00CC10B8">
        <w:t>at</w:t>
      </w:r>
      <w:proofErr w:type="gramEnd"/>
      <w:r w:rsidRPr="00CC10B8">
        <w:t xml:space="preserve"> 30 June 2021 and included relevant results from the 2021 People Matter Survey. The audit included gender-disaggregated data analysis mapped against the seven </w:t>
      </w:r>
      <w:hyperlink r:id="rId24" w:history="1">
        <w:r w:rsidRPr="00CC10B8">
          <w:rPr>
            <w:rStyle w:val="Hyperlink"/>
          </w:rPr>
          <w:t>workplace gender equality indicators</w:t>
        </w:r>
      </w:hyperlink>
      <w:r w:rsidRPr="00CC10B8">
        <w:t xml:space="preserve">, and considered intersectionality where possible. A summary of the key findings and insights from DPC’s workplace gender audit is presented at </w:t>
      </w:r>
      <w:r w:rsidRPr="008B74D8">
        <w:rPr>
          <w:b/>
          <w:bCs/>
        </w:rPr>
        <w:t>Attachment A</w:t>
      </w:r>
      <w:r w:rsidRPr="00CC10B8">
        <w:t xml:space="preserve">. </w:t>
      </w:r>
    </w:p>
    <w:p w14:paraId="0F45B861" w14:textId="77777777" w:rsidR="00310FF0" w:rsidRDefault="00310FF0" w:rsidP="00736EFA">
      <w:pPr>
        <w:pStyle w:val="Heading3"/>
        <w:rPr>
          <w:lang w:val="en-US"/>
        </w:rPr>
      </w:pPr>
      <w:bookmarkStart w:id="10" w:name="_Toc114211273"/>
      <w:r>
        <w:rPr>
          <w:lang w:val="en-US"/>
        </w:rPr>
        <w:t>Consultation with stakeholders</w:t>
      </w:r>
      <w:bookmarkEnd w:id="10"/>
    </w:p>
    <w:p w14:paraId="00BF105F" w14:textId="77777777" w:rsidR="00310FF0" w:rsidRPr="00CC10B8" w:rsidRDefault="00310FF0" w:rsidP="00CC10B8">
      <w:r w:rsidRPr="00CC10B8">
        <w:t xml:space="preserve">The </w:t>
      </w:r>
      <w:r w:rsidRPr="008B74D8">
        <w:rPr>
          <w:i/>
          <w:iCs/>
        </w:rPr>
        <w:t>Gender Equality Act 2020</w:t>
      </w:r>
      <w:r w:rsidRPr="00CC10B8">
        <w:t xml:space="preserve"> requires defined entities to undertake meaningful consultation and engagement with their governing bodies, employees, employee representatives and other relevant people to inform the development of their Gender Equality Action Plan. </w:t>
      </w:r>
    </w:p>
    <w:p w14:paraId="3CE3C9A7" w14:textId="77777777" w:rsidR="00310FF0" w:rsidRPr="00042590" w:rsidRDefault="00310FF0">
      <w:pPr>
        <w:pStyle w:val="ListNumber"/>
        <w:numPr>
          <w:ilvl w:val="0"/>
          <w:numId w:val="16"/>
        </w:numPr>
      </w:pPr>
      <w:r w:rsidRPr="008B74D8">
        <w:t>DPC’s</w:t>
      </w:r>
      <w:r w:rsidRPr="00AF2DC0">
        <w:rPr>
          <w:b/>
          <w:bCs/>
        </w:rPr>
        <w:t xml:space="preserve"> first round of consultation</w:t>
      </w:r>
      <w:r w:rsidRPr="00042590">
        <w:t xml:space="preserve"> involved briefing the DPC Board of Management, Executive teams, Group Senior Advisers and People &amp; Culture on DPC’s key obligations under the </w:t>
      </w:r>
      <w:r w:rsidRPr="008B74D8">
        <w:rPr>
          <w:i/>
          <w:iCs/>
        </w:rPr>
        <w:t>Gender Equality Act 2020</w:t>
      </w:r>
      <w:r w:rsidRPr="00042590">
        <w:t xml:space="preserve">. </w:t>
      </w:r>
    </w:p>
    <w:p w14:paraId="09BBEDE7" w14:textId="58D4F24B" w:rsidR="00310FF0" w:rsidRPr="00CC10B8" w:rsidRDefault="00310FF0" w:rsidP="00CC10B8">
      <w:r w:rsidRPr="00CC10B8">
        <w:t>DPC also facilitated a series of workshops with People &amp; Culture, the Gender Equality Working Group, DPC managers and staff, Staff Network representatives, and CPSU representatives and delegates to discuss the results of the workplace gender audit and identify strategies and actions for improving workplace gender equality across the department. The staff workshops were supplemented by an anonymous online survey to examine employee perceptions and experiences of gender equality in the workplace.</w:t>
      </w:r>
    </w:p>
    <w:p w14:paraId="09A27AE2" w14:textId="77777777" w:rsidR="00310FF0" w:rsidRPr="00042590" w:rsidRDefault="00310FF0" w:rsidP="00042590">
      <w:pPr>
        <w:pStyle w:val="ListNumber"/>
      </w:pPr>
      <w:r w:rsidRPr="00042590">
        <w:rPr>
          <w:b/>
          <w:bCs/>
        </w:rPr>
        <w:t>The second round of consultation</w:t>
      </w:r>
      <w:r w:rsidRPr="00042590">
        <w:t xml:space="preserve"> focused on seeking feedback on the proposed strategies and actions from the DPC Board of Management, Gender Equality Working Group, the CPSU and key business units responsible for implementing the action plan to seek feedback. </w:t>
      </w:r>
    </w:p>
    <w:p w14:paraId="3950D9EA" w14:textId="34ECE96A" w:rsidR="00310FF0" w:rsidRDefault="00310FF0" w:rsidP="00CC10B8">
      <w:r w:rsidRPr="00CC10B8">
        <w:t xml:space="preserve">The clear priorities that emerged from consultation included workforce diversity, gender pay equity, managing unconscious bias, flexible working practices, career development opportunities and eliminating negative workplace behaviours. </w:t>
      </w:r>
    </w:p>
    <w:p w14:paraId="467F27A4" w14:textId="77777777" w:rsidR="008B74D8" w:rsidRDefault="008B74D8">
      <w:pPr>
        <w:spacing w:after="0" w:line="240" w:lineRule="auto"/>
        <w:rPr>
          <w:rFonts w:eastAsia="MS Mincho"/>
          <w:b/>
          <w:bCs/>
          <w:color w:val="542682"/>
          <w:sz w:val="28"/>
          <w:szCs w:val="22"/>
        </w:rPr>
      </w:pPr>
      <w:r>
        <w:br w:type="page"/>
      </w:r>
    </w:p>
    <w:p w14:paraId="01A3513D" w14:textId="0FC9A9AE" w:rsidR="00AF2DC0" w:rsidRPr="007C7E43" w:rsidRDefault="00AF2DC0" w:rsidP="00AF2DC0">
      <w:pPr>
        <w:pStyle w:val="Heading4"/>
      </w:pPr>
      <w:r w:rsidRPr="007C7E43">
        <w:lastRenderedPageBreak/>
        <w:t>Stakeholder consultation</w:t>
      </w:r>
    </w:p>
    <w:p w14:paraId="5FC1EAB3" w14:textId="4899F43E" w:rsidR="00AF2DC0" w:rsidRPr="001A2C32" w:rsidRDefault="00AF2DC0" w:rsidP="001A2C32">
      <w:pPr>
        <w:pStyle w:val="ListBullet"/>
      </w:pPr>
      <w:r w:rsidRPr="001A2C32">
        <w:t>DPC Board of Management</w:t>
      </w:r>
    </w:p>
    <w:p w14:paraId="4CE2B825" w14:textId="621CA60B" w:rsidR="00AF2DC0" w:rsidRPr="001A2C32" w:rsidRDefault="00AF2DC0" w:rsidP="008F0A32">
      <w:pPr>
        <w:pStyle w:val="ListBullet"/>
      </w:pPr>
      <w:r w:rsidRPr="001A2C32">
        <w:t>DPC Executives</w:t>
      </w:r>
    </w:p>
    <w:p w14:paraId="34F1F592" w14:textId="707FB518" w:rsidR="00AF2DC0" w:rsidRPr="001A2C32" w:rsidRDefault="00AF2DC0" w:rsidP="001A2C32">
      <w:pPr>
        <w:pStyle w:val="ListBullet"/>
      </w:pPr>
      <w:r w:rsidRPr="001A2C32">
        <w:t>DPC People &amp; Culture</w:t>
      </w:r>
    </w:p>
    <w:p w14:paraId="194EA5EF" w14:textId="0CB39B3F" w:rsidR="00AF2DC0" w:rsidRPr="001A2C32" w:rsidRDefault="00AF2DC0" w:rsidP="001A2C32">
      <w:pPr>
        <w:pStyle w:val="ListBullet"/>
      </w:pPr>
      <w:r w:rsidRPr="001A2C32">
        <w:t>DPC Gender Equality Working Group</w:t>
      </w:r>
    </w:p>
    <w:p w14:paraId="3D7B679F" w14:textId="73648348" w:rsidR="00AF2DC0" w:rsidRPr="001A2C32" w:rsidRDefault="00AF2DC0" w:rsidP="001A2C32">
      <w:pPr>
        <w:pStyle w:val="ListBullet"/>
      </w:pPr>
      <w:r w:rsidRPr="001A2C32">
        <w:t>DPC Managers and Staff (including Staff Network representatives)</w:t>
      </w:r>
    </w:p>
    <w:p w14:paraId="7FC347B8" w14:textId="720D5584" w:rsidR="00AF2DC0" w:rsidRPr="001A2C32" w:rsidRDefault="00AF2DC0" w:rsidP="001A2C32">
      <w:pPr>
        <w:pStyle w:val="ListBullet"/>
      </w:pPr>
      <w:r w:rsidRPr="001A2C32">
        <w:t xml:space="preserve">CPSU Representatives and Delegates </w:t>
      </w:r>
    </w:p>
    <w:p w14:paraId="6DC4A71E" w14:textId="77777777" w:rsidR="00310FF0" w:rsidRDefault="00310FF0" w:rsidP="00736EFA">
      <w:pPr>
        <w:pStyle w:val="Heading3"/>
        <w:rPr>
          <w:lang w:val="en-US"/>
        </w:rPr>
      </w:pPr>
      <w:bookmarkStart w:id="11" w:name="_Toc114211274"/>
      <w:r>
        <w:rPr>
          <w:lang w:val="en-US"/>
        </w:rPr>
        <w:t>Intersectionality</w:t>
      </w:r>
      <w:bookmarkEnd w:id="11"/>
      <w:r>
        <w:rPr>
          <w:lang w:val="en-US"/>
        </w:rPr>
        <w:t xml:space="preserve"> </w:t>
      </w:r>
    </w:p>
    <w:p w14:paraId="2C4C242F" w14:textId="77777777" w:rsidR="00310FF0" w:rsidRPr="00CC10B8" w:rsidRDefault="00310FF0" w:rsidP="001A2C32">
      <w:r w:rsidRPr="00CC10B8">
        <w:t xml:space="preserve">DPC mapped and analysed each workplace gender equality indicator, where possible, by Aboriginality, age, disability, cultural background, religion, and sexual orientation. DPC also engaged with members of key staff networks to participate in the consultation process including the DPC Enablers Network, the Aboriginal Staff Network, the LGBTIQ+ Network and the VPS5 Network. </w:t>
      </w:r>
    </w:p>
    <w:p w14:paraId="67ECC3BB" w14:textId="17040983" w:rsidR="00AF2DC0" w:rsidRPr="00CC10B8" w:rsidRDefault="00310FF0" w:rsidP="001A2C32">
      <w:r w:rsidRPr="00CC10B8">
        <w:t>The Plan seeks to improve workforce diversity across all levels of the workforce, establish inclusive recruitment practices, create a safe, respectful, and inclusive workplace, and improve our data collection to better understand and address intersectional gender inequality in the workplace.</w:t>
      </w:r>
    </w:p>
    <w:p w14:paraId="0A19235D" w14:textId="77777777" w:rsidR="0074740E" w:rsidRPr="0074740E" w:rsidRDefault="0074740E" w:rsidP="0074740E">
      <w:r>
        <w:rPr>
          <w:lang w:val="en-US"/>
        </w:rPr>
        <w:br w:type="page"/>
      </w:r>
    </w:p>
    <w:p w14:paraId="3C621FED" w14:textId="10EDB3D8" w:rsidR="00310FF0" w:rsidRDefault="00310FF0" w:rsidP="00F96249">
      <w:pPr>
        <w:pStyle w:val="Heading2"/>
      </w:pPr>
      <w:bookmarkStart w:id="12" w:name="_Toc114211275"/>
      <w:r>
        <w:lastRenderedPageBreak/>
        <w:t>Key actions</w:t>
      </w:r>
      <w:bookmarkEnd w:id="12"/>
    </w:p>
    <w:p w14:paraId="1B6F9E18" w14:textId="77777777" w:rsidR="00310FF0" w:rsidRPr="00CC10B8" w:rsidRDefault="00310FF0" w:rsidP="00CC10B8">
      <w:r w:rsidRPr="00CC10B8">
        <w:t xml:space="preserve">DPC identified six key actions areas for improving gender equality under the Plan based on the key findings of the workplace gender audit and the stakeholder consultation process. </w:t>
      </w:r>
    </w:p>
    <w:p w14:paraId="2410BB6A" w14:textId="77777777" w:rsidR="00310FF0" w:rsidRPr="00CC10B8" w:rsidRDefault="00310FF0" w:rsidP="00CC10B8">
      <w:r w:rsidRPr="00CC10B8">
        <w:t xml:space="preserve">The development of the Plan also considered a review of suggested strategies by the Commission for Gender Equality in the Public Sector and examples of good practice gender equality action plans previously developed by defined entities. </w:t>
      </w:r>
    </w:p>
    <w:p w14:paraId="30F289EE" w14:textId="77777777" w:rsidR="00310FF0" w:rsidRDefault="00310FF0" w:rsidP="00736EFA">
      <w:pPr>
        <w:pStyle w:val="Heading3"/>
        <w:rPr>
          <w:lang w:val="en-US"/>
        </w:rPr>
      </w:pPr>
      <w:bookmarkStart w:id="13" w:name="_Toc114211276"/>
      <w:r>
        <w:rPr>
          <w:lang w:val="en-US"/>
        </w:rPr>
        <w:t>Action areas</w:t>
      </w:r>
      <w:bookmarkEnd w:id="13"/>
    </w:p>
    <w:p w14:paraId="63A240AE" w14:textId="0AFF5031" w:rsidR="00310FF0" w:rsidRPr="00CC10B8" w:rsidRDefault="00310FF0" w:rsidP="00CC10B8">
      <w:r w:rsidRPr="00CC10B8">
        <w:t xml:space="preserve">The Plan outlines the key goals and strategies that underpin each of the six key action areas. DPC will align the Plan with other diversity and inclusion plans as part the implementation plan and apply an intersectional lens to each workplace gender equality indicator where possible. </w:t>
      </w:r>
    </w:p>
    <w:p w14:paraId="62984F84" w14:textId="561BA8CD" w:rsidR="00310FF0" w:rsidRDefault="00310FF0" w:rsidP="00CC10B8">
      <w:r w:rsidRPr="00CC10B8">
        <w:t>Accountabilities and timelines are assigned to each strategy including the relevant business owner(s) responsible for developing and implementing specific strategies. The key workplace gender equality indicators are also mapped against each strategy.</w:t>
      </w:r>
    </w:p>
    <w:p w14:paraId="5012C3D6" w14:textId="77777777" w:rsidR="00FA7FCE" w:rsidRPr="007C7E43" w:rsidRDefault="00FA7FCE" w:rsidP="00FA7FCE">
      <w:pPr>
        <w:pStyle w:val="Heading4"/>
      </w:pPr>
      <w:r w:rsidRPr="007C7E43">
        <w:t xml:space="preserve">Gender Equality Action Plan 2021–2025 </w:t>
      </w:r>
    </w:p>
    <w:p w14:paraId="7AEFD875" w14:textId="77777777" w:rsidR="00FA7FCE" w:rsidRPr="007C7E43" w:rsidRDefault="00FA7FCE">
      <w:pPr>
        <w:pStyle w:val="ListNumber"/>
        <w:numPr>
          <w:ilvl w:val="0"/>
          <w:numId w:val="17"/>
        </w:numPr>
      </w:pPr>
      <w:r w:rsidRPr="008B74D8">
        <w:rPr>
          <w:b/>
          <w:bCs/>
        </w:rPr>
        <w:t>Visible leadership and accountability</w:t>
      </w:r>
      <w:r w:rsidRPr="007C7E43">
        <w:t xml:space="preserve"> – Senior leaders demonstrate commitment to gender equality and visibly champion and drive gender equality strategies.</w:t>
      </w:r>
    </w:p>
    <w:p w14:paraId="5E4FFA09" w14:textId="77777777" w:rsidR="00FA7FCE" w:rsidRPr="007C7E43" w:rsidRDefault="00FA7FCE" w:rsidP="00FA7FCE">
      <w:pPr>
        <w:pStyle w:val="ListNumber"/>
      </w:pPr>
      <w:r w:rsidRPr="008B74D8">
        <w:rPr>
          <w:b/>
          <w:bCs/>
        </w:rPr>
        <w:t>Reducing the gender pay gap</w:t>
      </w:r>
      <w:r w:rsidRPr="007C7E43">
        <w:t xml:space="preserve"> – DPC proactively seeks to better understand the factors that cause the gender pay gap and develops strategies, actions, policies, and processes to achieve gender pay equity. </w:t>
      </w:r>
    </w:p>
    <w:p w14:paraId="3D381D16" w14:textId="77777777" w:rsidR="00FA7FCE" w:rsidRPr="007C7E43" w:rsidRDefault="00FA7FCE" w:rsidP="00FA7FCE">
      <w:pPr>
        <w:pStyle w:val="ListNumber"/>
      </w:pPr>
      <w:r w:rsidRPr="008B74D8">
        <w:rPr>
          <w:b/>
          <w:bCs/>
        </w:rPr>
        <w:t>Attracting, developing, and retaining a diverse, gender balanced and talented workforce</w:t>
      </w:r>
      <w:r w:rsidRPr="007C7E43">
        <w:t xml:space="preserve"> – DPC is committed to recruiting and retaining a diverse, gender balanced and talented workforce and supporting the career advancement of women in the VPS. </w:t>
      </w:r>
    </w:p>
    <w:p w14:paraId="2CC0AB76" w14:textId="77777777" w:rsidR="00FA7FCE" w:rsidRPr="007C7E43" w:rsidRDefault="00FA7FCE" w:rsidP="00FA7FCE">
      <w:pPr>
        <w:pStyle w:val="ListNumber"/>
      </w:pPr>
      <w:r w:rsidRPr="008B74D8">
        <w:rPr>
          <w:b/>
          <w:bCs/>
        </w:rPr>
        <w:t>Creating a safe, respectful, and inclusive workplace</w:t>
      </w:r>
      <w:r w:rsidRPr="007C7E43">
        <w:t xml:space="preserve"> – DPC is committed to creating a safe, respectful, and inclusive workplace that takes a zero-tolerance approach to sexual harassment, violence, bullying and discrimination and supports people experiencing family violence. </w:t>
      </w:r>
    </w:p>
    <w:p w14:paraId="767E98DE" w14:textId="77777777" w:rsidR="00FA7FCE" w:rsidRPr="007C7E43" w:rsidRDefault="00FA7FCE" w:rsidP="00FA7FCE">
      <w:pPr>
        <w:pStyle w:val="ListNumber"/>
      </w:pPr>
      <w:r w:rsidRPr="008B74D8">
        <w:rPr>
          <w:b/>
          <w:bCs/>
        </w:rPr>
        <w:t>Facilitating and promoting a flexible workplace</w:t>
      </w:r>
      <w:r w:rsidRPr="007C7E43">
        <w:t xml:space="preserve"> – DPC is committed to facilitating and promoting a flexible workplace that encourages new ways of working and supports employees to balance work, family, and caring responsibilities.</w:t>
      </w:r>
    </w:p>
    <w:p w14:paraId="7E279883" w14:textId="6A54E964" w:rsidR="00FA7FCE" w:rsidRPr="00CC10B8" w:rsidRDefault="00FA7FCE" w:rsidP="00CC10B8">
      <w:pPr>
        <w:pStyle w:val="ListNumber"/>
      </w:pPr>
      <w:r w:rsidRPr="008B74D8">
        <w:rPr>
          <w:b/>
          <w:bCs/>
        </w:rPr>
        <w:t>Measuring, monitoring, and reporting on gender equality</w:t>
      </w:r>
      <w:r w:rsidRPr="007C7E43">
        <w:t xml:space="preserve"> – DPC demonstrates its commitment to making reasonable and material progress towards achieving workplace gender equality by regularly measuring, monitoring, and reporting on workplace gender equality.</w:t>
      </w:r>
    </w:p>
    <w:p w14:paraId="75ABFB28" w14:textId="77777777" w:rsidR="0016727C" w:rsidRPr="0016727C" w:rsidRDefault="0016727C" w:rsidP="0016727C">
      <w:pPr>
        <w:rPr>
          <w:rFonts w:eastAsia="MS Gothic"/>
        </w:rPr>
      </w:pPr>
      <w:r>
        <w:br w:type="page"/>
      </w:r>
    </w:p>
    <w:p w14:paraId="082F61E9" w14:textId="653D2471" w:rsidR="00310FF0" w:rsidRPr="007C7E43" w:rsidRDefault="00310FF0" w:rsidP="0016727C">
      <w:pPr>
        <w:pStyle w:val="Heading3"/>
      </w:pPr>
      <w:bookmarkStart w:id="14" w:name="_Toc114211277"/>
      <w:r w:rsidRPr="007C7E43">
        <w:lastRenderedPageBreak/>
        <w:t>Action Area 1: Visible leadership and accountability</w:t>
      </w:r>
      <w:bookmarkEnd w:id="14"/>
    </w:p>
    <w:p w14:paraId="1CCBCACA" w14:textId="7FB4265D" w:rsidR="00310FF0" w:rsidRPr="0074740E" w:rsidRDefault="00310FF0" w:rsidP="0074740E">
      <w:r w:rsidRPr="0074740E">
        <w:t xml:space="preserve">Senior leaders demonstrate commitment to gender equality and visibly champion and drive gender equality strategies and initiatives </w:t>
      </w:r>
    </w:p>
    <w:tbl>
      <w:tblPr>
        <w:tblStyle w:val="GridTable1Light"/>
        <w:tblW w:w="0" w:type="auto"/>
        <w:tblLook w:val="04A0" w:firstRow="1" w:lastRow="0" w:firstColumn="1" w:lastColumn="0" w:noHBand="0" w:noVBand="1"/>
      </w:tblPr>
      <w:tblGrid>
        <w:gridCol w:w="1889"/>
        <w:gridCol w:w="2469"/>
        <w:gridCol w:w="1560"/>
        <w:gridCol w:w="1059"/>
        <w:gridCol w:w="2039"/>
      </w:tblGrid>
      <w:tr w:rsidR="00310FF0" w14:paraId="5933FC9A" w14:textId="77777777" w:rsidTr="00C60FA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vAlign w:val="bottom"/>
            <w:hideMark/>
          </w:tcPr>
          <w:p w14:paraId="512F6220" w14:textId="77777777" w:rsidR="00310FF0" w:rsidRPr="00B70C76" w:rsidRDefault="00310FF0" w:rsidP="00B70C76">
            <w:pPr>
              <w:pStyle w:val="Tablecolhead"/>
              <w:rPr>
                <w:b/>
                <w:bCs w:val="0"/>
              </w:rPr>
            </w:pPr>
            <w:r w:rsidRPr="00B70C76">
              <w:rPr>
                <w:b/>
                <w:bCs w:val="0"/>
              </w:rPr>
              <w:t>Goal</w:t>
            </w:r>
          </w:p>
        </w:tc>
        <w:tc>
          <w:tcPr>
            <w:tcW w:w="0" w:type="auto"/>
            <w:vAlign w:val="bottom"/>
            <w:hideMark/>
          </w:tcPr>
          <w:p w14:paraId="21D44F0D" w14:textId="77777777" w:rsidR="00310FF0" w:rsidRPr="00B70C76" w:rsidRDefault="00310FF0" w:rsidP="00B70C76">
            <w:pPr>
              <w:pStyle w:val="Tablecolhead"/>
              <w:cnfStyle w:val="100000000000" w:firstRow="1" w:lastRow="0" w:firstColumn="0" w:lastColumn="0" w:oddVBand="0" w:evenVBand="0" w:oddHBand="0" w:evenHBand="0" w:firstRowFirstColumn="0" w:firstRowLastColumn="0" w:lastRowFirstColumn="0" w:lastRowLastColumn="0"/>
              <w:rPr>
                <w:b/>
                <w:bCs w:val="0"/>
              </w:rPr>
            </w:pPr>
            <w:r w:rsidRPr="00B70C76">
              <w:rPr>
                <w:b/>
                <w:bCs w:val="0"/>
              </w:rPr>
              <w:t>Strategies</w:t>
            </w:r>
          </w:p>
        </w:tc>
        <w:tc>
          <w:tcPr>
            <w:tcW w:w="0" w:type="auto"/>
            <w:vAlign w:val="bottom"/>
            <w:hideMark/>
          </w:tcPr>
          <w:p w14:paraId="68E96F00" w14:textId="77777777" w:rsidR="00310FF0" w:rsidRPr="00B70C76" w:rsidRDefault="00310FF0" w:rsidP="00B70C76">
            <w:pPr>
              <w:pStyle w:val="Tablecolhead"/>
              <w:cnfStyle w:val="100000000000" w:firstRow="1" w:lastRow="0" w:firstColumn="0" w:lastColumn="0" w:oddVBand="0" w:evenVBand="0" w:oddHBand="0" w:evenHBand="0" w:firstRowFirstColumn="0" w:firstRowLastColumn="0" w:lastRowFirstColumn="0" w:lastRowLastColumn="0"/>
              <w:rPr>
                <w:b/>
                <w:bCs w:val="0"/>
              </w:rPr>
            </w:pPr>
            <w:r w:rsidRPr="00B70C76">
              <w:rPr>
                <w:b/>
                <w:bCs w:val="0"/>
              </w:rPr>
              <w:t>Workplace Gender Equality Indicator</w:t>
            </w:r>
          </w:p>
        </w:tc>
        <w:tc>
          <w:tcPr>
            <w:tcW w:w="0" w:type="auto"/>
            <w:vAlign w:val="bottom"/>
            <w:hideMark/>
          </w:tcPr>
          <w:p w14:paraId="5E544590" w14:textId="77777777" w:rsidR="00310FF0" w:rsidRPr="00B70C76" w:rsidRDefault="00310FF0" w:rsidP="00B70C76">
            <w:pPr>
              <w:pStyle w:val="Tablecolhead"/>
              <w:cnfStyle w:val="100000000000" w:firstRow="1" w:lastRow="0" w:firstColumn="0" w:lastColumn="0" w:oddVBand="0" w:evenVBand="0" w:oddHBand="0" w:evenHBand="0" w:firstRowFirstColumn="0" w:firstRowLastColumn="0" w:lastRowFirstColumn="0" w:lastRowLastColumn="0"/>
              <w:rPr>
                <w:b/>
                <w:bCs w:val="0"/>
              </w:rPr>
            </w:pPr>
            <w:r w:rsidRPr="00B70C76">
              <w:rPr>
                <w:b/>
                <w:bCs w:val="0"/>
              </w:rPr>
              <w:t>Timing</w:t>
            </w:r>
          </w:p>
        </w:tc>
        <w:tc>
          <w:tcPr>
            <w:tcW w:w="0" w:type="auto"/>
            <w:vAlign w:val="bottom"/>
            <w:hideMark/>
          </w:tcPr>
          <w:p w14:paraId="61FD9B19" w14:textId="77777777" w:rsidR="00310FF0" w:rsidRPr="00B70C76" w:rsidRDefault="00310FF0" w:rsidP="00B70C76">
            <w:pPr>
              <w:pStyle w:val="Tablecolhead"/>
              <w:cnfStyle w:val="100000000000" w:firstRow="1" w:lastRow="0" w:firstColumn="0" w:lastColumn="0" w:oddVBand="0" w:evenVBand="0" w:oddHBand="0" w:evenHBand="0" w:firstRowFirstColumn="0" w:firstRowLastColumn="0" w:lastRowFirstColumn="0" w:lastRowLastColumn="0"/>
              <w:rPr>
                <w:b/>
                <w:bCs w:val="0"/>
              </w:rPr>
            </w:pPr>
            <w:r w:rsidRPr="00B70C76">
              <w:rPr>
                <w:b/>
                <w:bCs w:val="0"/>
              </w:rPr>
              <w:t>Responsibility</w:t>
            </w:r>
          </w:p>
        </w:tc>
      </w:tr>
      <w:tr w:rsidR="00910A3A" w14:paraId="4E4F98EC" w14:textId="77777777" w:rsidTr="00C60FAD">
        <w:tc>
          <w:tcPr>
            <w:cnfStyle w:val="001000000000" w:firstRow="0" w:lastRow="0" w:firstColumn="1" w:lastColumn="0" w:oddVBand="0" w:evenVBand="0" w:oddHBand="0" w:evenHBand="0" w:firstRowFirstColumn="0" w:firstRowLastColumn="0" w:lastRowFirstColumn="0" w:lastRowLastColumn="0"/>
            <w:tcW w:w="0" w:type="auto"/>
            <w:hideMark/>
          </w:tcPr>
          <w:p w14:paraId="3A6E76B7" w14:textId="77777777" w:rsidR="00910A3A" w:rsidRPr="00CC10B8" w:rsidRDefault="00910A3A" w:rsidP="00CC10B8">
            <w:r w:rsidRPr="00CC10B8">
              <w:t xml:space="preserve">Ensure senior leaders visibly demonstrate commitment to achieving workplace gender equality </w:t>
            </w:r>
          </w:p>
        </w:tc>
        <w:tc>
          <w:tcPr>
            <w:tcW w:w="0" w:type="auto"/>
            <w:hideMark/>
          </w:tcPr>
          <w:p w14:paraId="3ACD0AFF" w14:textId="77777777" w:rsidR="00910A3A" w:rsidRPr="007C7E43" w:rsidRDefault="00910A3A" w:rsidP="007C7E43">
            <w:pPr>
              <w:cnfStyle w:val="000000000000" w:firstRow="0" w:lastRow="0" w:firstColumn="0" w:lastColumn="0" w:oddVBand="0" w:evenVBand="0" w:oddHBand="0" w:evenHBand="0" w:firstRowFirstColumn="0" w:firstRowLastColumn="0" w:lastRowFirstColumn="0" w:lastRowLastColumn="0"/>
            </w:pPr>
            <w:r w:rsidRPr="007C7E43">
              <w:t>Establish the role of an Executive Champion for Gender Equality who takes responsibility for championing and driving gender equality strategies and initiatives at DPC.</w:t>
            </w:r>
          </w:p>
        </w:tc>
        <w:tc>
          <w:tcPr>
            <w:tcW w:w="0" w:type="auto"/>
            <w:hideMark/>
          </w:tcPr>
          <w:p w14:paraId="672B9B2C" w14:textId="77777777" w:rsidR="00910A3A" w:rsidRPr="007C7E43" w:rsidRDefault="00910A3A" w:rsidP="007C7E43">
            <w:pPr>
              <w:cnfStyle w:val="000000000000" w:firstRow="0" w:lastRow="0" w:firstColumn="0" w:lastColumn="0" w:oddVBand="0" w:evenVBand="0" w:oddHBand="0" w:evenHBand="0" w:firstRowFirstColumn="0" w:firstRowLastColumn="0" w:lastRowFirstColumn="0" w:lastRowLastColumn="0"/>
            </w:pPr>
            <w:r w:rsidRPr="007C7E43">
              <w:t>All workplace gender equality indicators</w:t>
            </w:r>
          </w:p>
        </w:tc>
        <w:tc>
          <w:tcPr>
            <w:tcW w:w="0" w:type="auto"/>
            <w:hideMark/>
          </w:tcPr>
          <w:p w14:paraId="0EECCC37" w14:textId="77777777" w:rsidR="00910A3A" w:rsidRPr="007C7E43" w:rsidRDefault="00910A3A" w:rsidP="007C7E43">
            <w:pPr>
              <w:cnfStyle w:val="000000000000" w:firstRow="0" w:lastRow="0" w:firstColumn="0" w:lastColumn="0" w:oddVBand="0" w:evenVBand="0" w:oddHBand="0" w:evenHBand="0" w:firstRowFirstColumn="0" w:firstRowLastColumn="0" w:lastRowFirstColumn="0" w:lastRowLastColumn="0"/>
            </w:pPr>
            <w:r w:rsidRPr="007C7E43">
              <w:t>Year 1</w:t>
            </w:r>
          </w:p>
        </w:tc>
        <w:tc>
          <w:tcPr>
            <w:tcW w:w="0" w:type="auto"/>
            <w:hideMark/>
          </w:tcPr>
          <w:p w14:paraId="2D631CAB" w14:textId="77777777" w:rsidR="00910A3A" w:rsidRPr="007C7E43" w:rsidRDefault="00910A3A" w:rsidP="007C7E43">
            <w:pPr>
              <w:cnfStyle w:val="000000000000" w:firstRow="0" w:lastRow="0" w:firstColumn="0" w:lastColumn="0" w:oddVBand="0" w:evenVBand="0" w:oddHBand="0" w:evenHBand="0" w:firstRowFirstColumn="0" w:firstRowLastColumn="0" w:lastRowFirstColumn="0" w:lastRowLastColumn="0"/>
            </w:pPr>
            <w:r w:rsidRPr="007C7E43">
              <w:t>DPC Board of Management</w:t>
            </w:r>
          </w:p>
        </w:tc>
      </w:tr>
      <w:tr w:rsidR="00910A3A" w14:paraId="21258265" w14:textId="77777777" w:rsidTr="00C60FAD">
        <w:tc>
          <w:tcPr>
            <w:cnfStyle w:val="001000000000" w:firstRow="0" w:lastRow="0" w:firstColumn="1" w:lastColumn="0" w:oddVBand="0" w:evenVBand="0" w:oddHBand="0" w:evenHBand="0" w:firstRowFirstColumn="0" w:firstRowLastColumn="0" w:lastRowFirstColumn="0" w:lastRowLastColumn="0"/>
            <w:tcW w:w="0" w:type="auto"/>
            <w:hideMark/>
          </w:tcPr>
          <w:p w14:paraId="5EAA768A" w14:textId="77777777" w:rsidR="00910A3A" w:rsidRDefault="00910A3A" w:rsidP="00DC3129">
            <w:pPr>
              <w:rPr>
                <w:rFonts w:eastAsiaTheme="minorEastAsia"/>
                <w:sz w:val="24"/>
                <w:szCs w:val="24"/>
              </w:rPr>
            </w:pPr>
          </w:p>
        </w:tc>
        <w:tc>
          <w:tcPr>
            <w:tcW w:w="0" w:type="auto"/>
            <w:hideMark/>
          </w:tcPr>
          <w:p w14:paraId="4C92800C" w14:textId="77777777" w:rsidR="00910A3A" w:rsidRPr="007C7E43" w:rsidRDefault="00910A3A" w:rsidP="007C7E43">
            <w:pPr>
              <w:cnfStyle w:val="000000000000" w:firstRow="0" w:lastRow="0" w:firstColumn="0" w:lastColumn="0" w:oddVBand="0" w:evenVBand="0" w:oddHBand="0" w:evenHBand="0" w:firstRowFirstColumn="0" w:firstRowLastColumn="0" w:lastRowFirstColumn="0" w:lastRowLastColumn="0"/>
            </w:pPr>
            <w:r w:rsidRPr="007C7E43">
              <w:t xml:space="preserve">Establish a Diversity and Inclusion Committee comprising representatives from each Group to drive the implementation of the Gender Equality Action Plan (and Diversity and Inclusion action plans) and to ensure an intersectional approach. </w:t>
            </w:r>
          </w:p>
        </w:tc>
        <w:tc>
          <w:tcPr>
            <w:tcW w:w="0" w:type="auto"/>
            <w:hideMark/>
          </w:tcPr>
          <w:p w14:paraId="2B472620" w14:textId="77777777" w:rsidR="00910A3A" w:rsidRPr="007C7E43" w:rsidRDefault="00910A3A" w:rsidP="007C7E43">
            <w:pPr>
              <w:cnfStyle w:val="000000000000" w:firstRow="0" w:lastRow="0" w:firstColumn="0" w:lastColumn="0" w:oddVBand="0" w:evenVBand="0" w:oddHBand="0" w:evenHBand="0" w:firstRowFirstColumn="0" w:firstRowLastColumn="0" w:lastRowFirstColumn="0" w:lastRowLastColumn="0"/>
            </w:pPr>
            <w:r w:rsidRPr="007C7E43">
              <w:t>All workplace gender equality indicators</w:t>
            </w:r>
          </w:p>
        </w:tc>
        <w:tc>
          <w:tcPr>
            <w:tcW w:w="0" w:type="auto"/>
            <w:hideMark/>
          </w:tcPr>
          <w:p w14:paraId="638E6454" w14:textId="77777777" w:rsidR="00910A3A" w:rsidRPr="007C7E43" w:rsidRDefault="00910A3A" w:rsidP="007C7E43">
            <w:pPr>
              <w:cnfStyle w:val="000000000000" w:firstRow="0" w:lastRow="0" w:firstColumn="0" w:lastColumn="0" w:oddVBand="0" w:evenVBand="0" w:oddHBand="0" w:evenHBand="0" w:firstRowFirstColumn="0" w:firstRowLastColumn="0" w:lastRowFirstColumn="0" w:lastRowLastColumn="0"/>
            </w:pPr>
            <w:r w:rsidRPr="007C7E43">
              <w:t>Year 1</w:t>
            </w:r>
          </w:p>
        </w:tc>
        <w:tc>
          <w:tcPr>
            <w:tcW w:w="0" w:type="auto"/>
            <w:hideMark/>
          </w:tcPr>
          <w:p w14:paraId="68ABC806" w14:textId="32B4221D" w:rsidR="00910A3A" w:rsidRPr="007C7E43" w:rsidRDefault="00910A3A" w:rsidP="007C7E43">
            <w:pPr>
              <w:cnfStyle w:val="000000000000" w:firstRow="0" w:lastRow="0" w:firstColumn="0" w:lastColumn="0" w:oddVBand="0" w:evenVBand="0" w:oddHBand="0" w:evenHBand="0" w:firstRowFirstColumn="0" w:firstRowLastColumn="0" w:lastRowFirstColumn="0" w:lastRowLastColumn="0"/>
            </w:pPr>
            <w:r w:rsidRPr="007C7E43">
              <w:t>People &amp; Culture</w:t>
            </w:r>
            <w:r>
              <w:t xml:space="preserve"> </w:t>
            </w:r>
            <w:r w:rsidRPr="007C7E43">
              <w:t>(Diversity &amp; Inclusion)</w:t>
            </w:r>
          </w:p>
        </w:tc>
      </w:tr>
      <w:tr w:rsidR="00910A3A" w14:paraId="101F771B" w14:textId="77777777" w:rsidTr="00C60FAD">
        <w:tc>
          <w:tcPr>
            <w:cnfStyle w:val="001000000000" w:firstRow="0" w:lastRow="0" w:firstColumn="1" w:lastColumn="0" w:oddVBand="0" w:evenVBand="0" w:oddHBand="0" w:evenHBand="0" w:firstRowFirstColumn="0" w:firstRowLastColumn="0" w:lastRowFirstColumn="0" w:lastRowLastColumn="0"/>
            <w:tcW w:w="0" w:type="auto"/>
            <w:hideMark/>
          </w:tcPr>
          <w:p w14:paraId="37082BF7" w14:textId="77777777" w:rsidR="00910A3A" w:rsidRDefault="00910A3A" w:rsidP="00DC3129">
            <w:pPr>
              <w:rPr>
                <w:rFonts w:eastAsiaTheme="minorEastAsia"/>
                <w:sz w:val="24"/>
                <w:szCs w:val="24"/>
              </w:rPr>
            </w:pPr>
          </w:p>
        </w:tc>
        <w:tc>
          <w:tcPr>
            <w:tcW w:w="0" w:type="auto"/>
            <w:hideMark/>
          </w:tcPr>
          <w:p w14:paraId="4F8B8350" w14:textId="77777777" w:rsidR="00910A3A" w:rsidRPr="007C7E43" w:rsidRDefault="00910A3A" w:rsidP="007C7E43">
            <w:pPr>
              <w:cnfStyle w:val="000000000000" w:firstRow="0" w:lastRow="0" w:firstColumn="0" w:lastColumn="0" w:oddVBand="0" w:evenVBand="0" w:oddHBand="0" w:evenHBand="0" w:firstRowFirstColumn="0" w:firstRowLastColumn="0" w:lastRowFirstColumn="0" w:lastRowLastColumn="0"/>
            </w:pPr>
            <w:r w:rsidRPr="007C7E43">
              <w:t>At least twice per year, communicate DPC’s commitment to gender equality and progress towards achieving workplace gender equality including key issues, challenges, and achievements.</w:t>
            </w:r>
          </w:p>
        </w:tc>
        <w:tc>
          <w:tcPr>
            <w:tcW w:w="0" w:type="auto"/>
            <w:hideMark/>
          </w:tcPr>
          <w:p w14:paraId="36397313" w14:textId="77777777" w:rsidR="00910A3A" w:rsidRPr="007C7E43" w:rsidRDefault="00910A3A" w:rsidP="007C7E43">
            <w:pPr>
              <w:cnfStyle w:val="000000000000" w:firstRow="0" w:lastRow="0" w:firstColumn="0" w:lastColumn="0" w:oddVBand="0" w:evenVBand="0" w:oddHBand="0" w:evenHBand="0" w:firstRowFirstColumn="0" w:firstRowLastColumn="0" w:lastRowFirstColumn="0" w:lastRowLastColumn="0"/>
            </w:pPr>
            <w:r w:rsidRPr="007C7E43">
              <w:t>All workplace gender equality indicators</w:t>
            </w:r>
          </w:p>
        </w:tc>
        <w:tc>
          <w:tcPr>
            <w:tcW w:w="0" w:type="auto"/>
            <w:hideMark/>
          </w:tcPr>
          <w:p w14:paraId="0D69E648" w14:textId="77777777" w:rsidR="00910A3A" w:rsidRDefault="00910A3A" w:rsidP="007C7E43">
            <w:pPr>
              <w:cnfStyle w:val="000000000000" w:firstRow="0" w:lastRow="0" w:firstColumn="0" w:lastColumn="0" w:oddVBand="0" w:evenVBand="0" w:oddHBand="0" w:evenHBand="0" w:firstRowFirstColumn="0" w:firstRowLastColumn="0" w:lastRowFirstColumn="0" w:lastRowLastColumn="0"/>
            </w:pPr>
            <w:r w:rsidRPr="007C7E43">
              <w:t>Ongoing</w:t>
            </w:r>
          </w:p>
          <w:p w14:paraId="55005FAA" w14:textId="6CE7A320" w:rsidR="00910A3A" w:rsidRPr="007C7E43" w:rsidRDefault="00910A3A" w:rsidP="007C7E43">
            <w:pPr>
              <w:cnfStyle w:val="000000000000" w:firstRow="0" w:lastRow="0" w:firstColumn="0" w:lastColumn="0" w:oddVBand="0" w:evenVBand="0" w:oddHBand="0" w:evenHBand="0" w:firstRowFirstColumn="0" w:firstRowLastColumn="0" w:lastRowFirstColumn="0" w:lastRowLastColumn="0"/>
            </w:pPr>
            <w:r w:rsidRPr="007C7E43">
              <w:t xml:space="preserve">(Year 1, 2, 3, 4) </w:t>
            </w:r>
          </w:p>
        </w:tc>
        <w:tc>
          <w:tcPr>
            <w:tcW w:w="0" w:type="auto"/>
            <w:hideMark/>
          </w:tcPr>
          <w:p w14:paraId="0A62ECB4" w14:textId="77777777" w:rsidR="00910A3A" w:rsidRPr="007C7E43" w:rsidRDefault="00910A3A" w:rsidP="007C7E43">
            <w:pPr>
              <w:cnfStyle w:val="000000000000" w:firstRow="0" w:lastRow="0" w:firstColumn="0" w:lastColumn="0" w:oddVBand="0" w:evenVBand="0" w:oddHBand="0" w:evenHBand="0" w:firstRowFirstColumn="0" w:firstRowLastColumn="0" w:lastRowFirstColumn="0" w:lastRowLastColumn="0"/>
            </w:pPr>
            <w:r w:rsidRPr="007C7E43">
              <w:t>Strategic Communications, Engagement and Protocol (Internal Communications)</w:t>
            </w:r>
          </w:p>
        </w:tc>
      </w:tr>
      <w:tr w:rsidR="00310FF0" w14:paraId="00D82326" w14:textId="77777777" w:rsidTr="00C60FAD">
        <w:tc>
          <w:tcPr>
            <w:cnfStyle w:val="001000000000" w:firstRow="0" w:lastRow="0" w:firstColumn="1" w:lastColumn="0" w:oddVBand="0" w:evenVBand="0" w:oddHBand="0" w:evenHBand="0" w:firstRowFirstColumn="0" w:firstRowLastColumn="0" w:lastRowFirstColumn="0" w:lastRowLastColumn="0"/>
            <w:tcW w:w="0" w:type="auto"/>
            <w:hideMark/>
          </w:tcPr>
          <w:p w14:paraId="222905C0" w14:textId="77777777" w:rsidR="00310FF0" w:rsidRPr="00CC10B8" w:rsidRDefault="00310FF0" w:rsidP="00CC10B8">
            <w:r w:rsidRPr="00CC10B8">
              <w:t xml:space="preserve">Build senior leadership and manager capability to drive cultural change to achieve workplace gender equality </w:t>
            </w:r>
          </w:p>
        </w:tc>
        <w:tc>
          <w:tcPr>
            <w:tcW w:w="0" w:type="auto"/>
            <w:hideMark/>
          </w:tcPr>
          <w:p w14:paraId="1ACE6068" w14:textId="77777777" w:rsidR="00310FF0" w:rsidRPr="007C7E43" w:rsidRDefault="00310FF0" w:rsidP="007C7E43">
            <w:pPr>
              <w:cnfStyle w:val="000000000000" w:firstRow="0" w:lastRow="0" w:firstColumn="0" w:lastColumn="0" w:oddVBand="0" w:evenVBand="0" w:oddHBand="0" w:evenHBand="0" w:firstRowFirstColumn="0" w:firstRowLastColumn="0" w:lastRowFirstColumn="0" w:lastRowLastColumn="0"/>
            </w:pPr>
            <w:r w:rsidRPr="007C7E43">
              <w:t>Develop and implement gender equality professional development for Executives and Managers focussing on workplace equality and respect, the effects of intersectionality (or compounding disadvantage), and unconscious bias.</w:t>
            </w:r>
          </w:p>
        </w:tc>
        <w:tc>
          <w:tcPr>
            <w:tcW w:w="0" w:type="auto"/>
            <w:hideMark/>
          </w:tcPr>
          <w:p w14:paraId="7A553E75" w14:textId="77777777" w:rsidR="00310FF0" w:rsidRPr="007C7E43" w:rsidRDefault="00310FF0" w:rsidP="007C7E43">
            <w:pPr>
              <w:cnfStyle w:val="000000000000" w:firstRow="0" w:lastRow="0" w:firstColumn="0" w:lastColumn="0" w:oddVBand="0" w:evenVBand="0" w:oddHBand="0" w:evenHBand="0" w:firstRowFirstColumn="0" w:firstRowLastColumn="0" w:lastRowFirstColumn="0" w:lastRowLastColumn="0"/>
            </w:pPr>
            <w:r w:rsidRPr="007C7E43">
              <w:t>All workplace gender equality indicators</w:t>
            </w:r>
          </w:p>
        </w:tc>
        <w:tc>
          <w:tcPr>
            <w:tcW w:w="0" w:type="auto"/>
            <w:hideMark/>
          </w:tcPr>
          <w:p w14:paraId="334A160D" w14:textId="77777777" w:rsidR="00310FF0" w:rsidRPr="007C7E43" w:rsidRDefault="00310FF0" w:rsidP="007C7E43">
            <w:pPr>
              <w:cnfStyle w:val="000000000000" w:firstRow="0" w:lastRow="0" w:firstColumn="0" w:lastColumn="0" w:oddVBand="0" w:evenVBand="0" w:oddHBand="0" w:evenHBand="0" w:firstRowFirstColumn="0" w:firstRowLastColumn="0" w:lastRowFirstColumn="0" w:lastRowLastColumn="0"/>
            </w:pPr>
            <w:r w:rsidRPr="007C7E43">
              <w:t>Year 2</w:t>
            </w:r>
          </w:p>
        </w:tc>
        <w:tc>
          <w:tcPr>
            <w:tcW w:w="0" w:type="auto"/>
            <w:hideMark/>
          </w:tcPr>
          <w:p w14:paraId="3C3CBAD4" w14:textId="438D70BA" w:rsidR="00310FF0" w:rsidRPr="007C7E43" w:rsidRDefault="00310FF0" w:rsidP="007C7E43">
            <w:pPr>
              <w:cnfStyle w:val="000000000000" w:firstRow="0" w:lastRow="0" w:firstColumn="0" w:lastColumn="0" w:oddVBand="0" w:evenVBand="0" w:oddHBand="0" w:evenHBand="0" w:firstRowFirstColumn="0" w:firstRowLastColumn="0" w:lastRowFirstColumn="0" w:lastRowLastColumn="0"/>
            </w:pPr>
            <w:r w:rsidRPr="007C7E43">
              <w:t>People &amp; Culture</w:t>
            </w:r>
            <w:r w:rsidR="00C60FAD">
              <w:t xml:space="preserve"> </w:t>
            </w:r>
            <w:r w:rsidRPr="007C7E43">
              <w:t>(Diversity &amp; Inclusion)</w:t>
            </w:r>
          </w:p>
        </w:tc>
      </w:tr>
      <w:tr w:rsidR="00310FF0" w14:paraId="51F0F8C2" w14:textId="77777777" w:rsidTr="00C60FAD">
        <w:tc>
          <w:tcPr>
            <w:cnfStyle w:val="001000000000" w:firstRow="0" w:lastRow="0" w:firstColumn="1" w:lastColumn="0" w:oddVBand="0" w:evenVBand="0" w:oddHBand="0" w:evenHBand="0" w:firstRowFirstColumn="0" w:firstRowLastColumn="0" w:lastRowFirstColumn="0" w:lastRowLastColumn="0"/>
            <w:tcW w:w="0" w:type="auto"/>
            <w:hideMark/>
          </w:tcPr>
          <w:p w14:paraId="7EC90AE5" w14:textId="77777777" w:rsidR="00310FF0" w:rsidRDefault="00310FF0" w:rsidP="00DC3129">
            <w:pPr>
              <w:rPr>
                <w:rFonts w:eastAsiaTheme="minorEastAsia"/>
                <w:sz w:val="24"/>
                <w:szCs w:val="24"/>
              </w:rPr>
            </w:pPr>
          </w:p>
        </w:tc>
        <w:tc>
          <w:tcPr>
            <w:tcW w:w="0" w:type="auto"/>
            <w:hideMark/>
          </w:tcPr>
          <w:p w14:paraId="01B3E5D6" w14:textId="3F417B0E" w:rsidR="00310FF0" w:rsidRPr="007C7E43" w:rsidRDefault="00310FF0" w:rsidP="007C7E43">
            <w:pPr>
              <w:cnfStyle w:val="000000000000" w:firstRow="0" w:lastRow="0" w:firstColumn="0" w:lastColumn="0" w:oddVBand="0" w:evenVBand="0" w:oddHBand="0" w:evenHBand="0" w:firstRowFirstColumn="0" w:firstRowLastColumn="0" w:lastRowFirstColumn="0" w:lastRowLastColumn="0"/>
            </w:pPr>
            <w:r w:rsidRPr="007C7E43">
              <w:t xml:space="preserve">Develop a Gender Equality toolkit and resources for Managers that contain a range of strategies on integrating gender equality into workplace policy, processes, and procedures across the employee life cycle. </w:t>
            </w:r>
          </w:p>
        </w:tc>
        <w:tc>
          <w:tcPr>
            <w:tcW w:w="0" w:type="auto"/>
            <w:hideMark/>
          </w:tcPr>
          <w:p w14:paraId="6D84FE4F" w14:textId="77777777" w:rsidR="00310FF0" w:rsidRPr="007C7E43" w:rsidRDefault="00310FF0" w:rsidP="007C7E43">
            <w:pPr>
              <w:cnfStyle w:val="000000000000" w:firstRow="0" w:lastRow="0" w:firstColumn="0" w:lastColumn="0" w:oddVBand="0" w:evenVBand="0" w:oddHBand="0" w:evenHBand="0" w:firstRowFirstColumn="0" w:firstRowLastColumn="0" w:lastRowFirstColumn="0" w:lastRowLastColumn="0"/>
            </w:pPr>
            <w:r w:rsidRPr="007C7E43">
              <w:t>All workplace gender equality indicators</w:t>
            </w:r>
          </w:p>
        </w:tc>
        <w:tc>
          <w:tcPr>
            <w:tcW w:w="0" w:type="auto"/>
            <w:hideMark/>
          </w:tcPr>
          <w:p w14:paraId="221D060E" w14:textId="77777777" w:rsidR="00310FF0" w:rsidRPr="007C7E43" w:rsidRDefault="00310FF0" w:rsidP="007C7E43">
            <w:pPr>
              <w:cnfStyle w:val="000000000000" w:firstRow="0" w:lastRow="0" w:firstColumn="0" w:lastColumn="0" w:oddVBand="0" w:evenVBand="0" w:oddHBand="0" w:evenHBand="0" w:firstRowFirstColumn="0" w:firstRowLastColumn="0" w:lastRowFirstColumn="0" w:lastRowLastColumn="0"/>
            </w:pPr>
            <w:r w:rsidRPr="007C7E43">
              <w:t>Year 3</w:t>
            </w:r>
          </w:p>
        </w:tc>
        <w:tc>
          <w:tcPr>
            <w:tcW w:w="0" w:type="auto"/>
            <w:hideMark/>
          </w:tcPr>
          <w:p w14:paraId="4E7DFA1D" w14:textId="242A6045" w:rsidR="00310FF0" w:rsidRPr="007C7E43" w:rsidRDefault="00310FF0" w:rsidP="007C7E43">
            <w:pPr>
              <w:cnfStyle w:val="000000000000" w:firstRow="0" w:lastRow="0" w:firstColumn="0" w:lastColumn="0" w:oddVBand="0" w:evenVBand="0" w:oddHBand="0" w:evenHBand="0" w:firstRowFirstColumn="0" w:firstRowLastColumn="0" w:lastRowFirstColumn="0" w:lastRowLastColumn="0"/>
            </w:pPr>
            <w:r w:rsidRPr="007C7E43">
              <w:t>People &amp; Culture</w:t>
            </w:r>
            <w:r w:rsidR="00C60FAD">
              <w:t xml:space="preserve"> </w:t>
            </w:r>
            <w:r w:rsidRPr="007C7E43">
              <w:t>(Diversity &amp; Inclusion)</w:t>
            </w:r>
          </w:p>
        </w:tc>
      </w:tr>
      <w:tr w:rsidR="00910A3A" w14:paraId="13DDC668" w14:textId="77777777" w:rsidTr="00C60FAD">
        <w:tc>
          <w:tcPr>
            <w:cnfStyle w:val="001000000000" w:firstRow="0" w:lastRow="0" w:firstColumn="1" w:lastColumn="0" w:oddVBand="0" w:evenVBand="0" w:oddHBand="0" w:evenHBand="0" w:firstRowFirstColumn="0" w:firstRowLastColumn="0" w:lastRowFirstColumn="0" w:lastRowLastColumn="0"/>
            <w:tcW w:w="0" w:type="auto"/>
            <w:hideMark/>
          </w:tcPr>
          <w:p w14:paraId="24841C98" w14:textId="77777777" w:rsidR="00910A3A" w:rsidRPr="00CC10B8" w:rsidRDefault="00910A3A" w:rsidP="00CC10B8">
            <w:r w:rsidRPr="00CC10B8">
              <w:t>Ensure the composition of the Board and Executive roles is diverse and gender balanced</w:t>
            </w:r>
          </w:p>
        </w:tc>
        <w:tc>
          <w:tcPr>
            <w:tcW w:w="0" w:type="auto"/>
            <w:hideMark/>
          </w:tcPr>
          <w:p w14:paraId="7B49BF31" w14:textId="77777777" w:rsidR="00910A3A" w:rsidRPr="007C7E43" w:rsidRDefault="00910A3A" w:rsidP="007C7E43">
            <w:pPr>
              <w:cnfStyle w:val="000000000000" w:firstRow="0" w:lastRow="0" w:firstColumn="0" w:lastColumn="0" w:oddVBand="0" w:evenVBand="0" w:oddHBand="0" w:evenHBand="0" w:firstRowFirstColumn="0" w:firstRowLastColumn="0" w:lastRowFirstColumn="0" w:lastRowLastColumn="0"/>
            </w:pPr>
            <w:r w:rsidRPr="007C7E43">
              <w:t>Strive for a target of 50 per cent of women at the Board, maintain a target of 50 per cent of women at Executive levels, and strive for a diverse and proportional gender balance within Executive bands and at each level of leadership (monitor as part of the annual workplace gender audit).</w:t>
            </w:r>
          </w:p>
        </w:tc>
        <w:tc>
          <w:tcPr>
            <w:tcW w:w="0" w:type="auto"/>
            <w:hideMark/>
          </w:tcPr>
          <w:p w14:paraId="5738C20C" w14:textId="77777777" w:rsidR="00910A3A" w:rsidRPr="007C7E43" w:rsidRDefault="00910A3A" w:rsidP="007C7E43">
            <w:pPr>
              <w:cnfStyle w:val="000000000000" w:firstRow="0" w:lastRow="0" w:firstColumn="0" w:lastColumn="0" w:oddVBand="0" w:evenVBand="0" w:oddHBand="0" w:evenHBand="0" w:firstRowFirstColumn="0" w:firstRowLastColumn="0" w:lastRowFirstColumn="0" w:lastRowLastColumn="0"/>
            </w:pPr>
            <w:r w:rsidRPr="007C7E43">
              <w:t>Indicators 1&amp;2: Gender composition at all levels of the workforce and governing bodies</w:t>
            </w:r>
          </w:p>
        </w:tc>
        <w:tc>
          <w:tcPr>
            <w:tcW w:w="0" w:type="auto"/>
            <w:hideMark/>
          </w:tcPr>
          <w:p w14:paraId="37791AF4" w14:textId="6FB727C6" w:rsidR="00910A3A" w:rsidRPr="007C7E43" w:rsidRDefault="00910A3A" w:rsidP="007C7E43">
            <w:pPr>
              <w:cnfStyle w:val="000000000000" w:firstRow="0" w:lastRow="0" w:firstColumn="0" w:lastColumn="0" w:oddVBand="0" w:evenVBand="0" w:oddHBand="0" w:evenHBand="0" w:firstRowFirstColumn="0" w:firstRowLastColumn="0" w:lastRowFirstColumn="0" w:lastRowLastColumn="0"/>
            </w:pPr>
            <w:r w:rsidRPr="007C7E43">
              <w:t>Annual (Year 1, 2, 3, 4)</w:t>
            </w:r>
          </w:p>
        </w:tc>
        <w:tc>
          <w:tcPr>
            <w:tcW w:w="0" w:type="auto"/>
            <w:hideMark/>
          </w:tcPr>
          <w:p w14:paraId="3C0BDF41" w14:textId="08BC0299" w:rsidR="00910A3A" w:rsidRPr="007C7E43" w:rsidRDefault="00910A3A" w:rsidP="007C7E43">
            <w:pPr>
              <w:cnfStyle w:val="000000000000" w:firstRow="0" w:lastRow="0" w:firstColumn="0" w:lastColumn="0" w:oddVBand="0" w:evenVBand="0" w:oddHBand="0" w:evenHBand="0" w:firstRowFirstColumn="0" w:firstRowLastColumn="0" w:lastRowFirstColumn="0" w:lastRowLastColumn="0"/>
            </w:pPr>
            <w:r w:rsidRPr="007C7E43">
              <w:t>People &amp; Culture</w:t>
            </w:r>
            <w:r>
              <w:t xml:space="preserve"> </w:t>
            </w:r>
            <w:r w:rsidRPr="007C7E43">
              <w:t>(Diversity &amp; Inclusion)</w:t>
            </w:r>
          </w:p>
          <w:p w14:paraId="2E808792" w14:textId="77777777" w:rsidR="00910A3A" w:rsidRPr="007C7E43" w:rsidRDefault="00910A3A" w:rsidP="007C7E43">
            <w:pPr>
              <w:cnfStyle w:val="000000000000" w:firstRow="0" w:lastRow="0" w:firstColumn="0" w:lastColumn="0" w:oddVBand="0" w:evenVBand="0" w:oddHBand="0" w:evenHBand="0" w:firstRowFirstColumn="0" w:firstRowLastColumn="0" w:lastRowFirstColumn="0" w:lastRowLastColumn="0"/>
            </w:pPr>
            <w:r w:rsidRPr="007C7E43">
              <w:t xml:space="preserve">DPC Executives </w:t>
            </w:r>
          </w:p>
        </w:tc>
      </w:tr>
      <w:tr w:rsidR="00910A3A" w14:paraId="44B86C4D" w14:textId="77777777" w:rsidTr="00C60FAD">
        <w:tc>
          <w:tcPr>
            <w:cnfStyle w:val="001000000000" w:firstRow="0" w:lastRow="0" w:firstColumn="1" w:lastColumn="0" w:oddVBand="0" w:evenVBand="0" w:oddHBand="0" w:evenHBand="0" w:firstRowFirstColumn="0" w:firstRowLastColumn="0" w:lastRowFirstColumn="0" w:lastRowLastColumn="0"/>
            <w:tcW w:w="0" w:type="auto"/>
            <w:hideMark/>
          </w:tcPr>
          <w:p w14:paraId="3E113981" w14:textId="77777777" w:rsidR="00910A3A" w:rsidRDefault="00910A3A" w:rsidP="00DC3129">
            <w:pPr>
              <w:rPr>
                <w:rFonts w:eastAsiaTheme="minorEastAsia"/>
                <w:sz w:val="24"/>
                <w:szCs w:val="24"/>
              </w:rPr>
            </w:pPr>
          </w:p>
        </w:tc>
        <w:tc>
          <w:tcPr>
            <w:tcW w:w="0" w:type="auto"/>
            <w:hideMark/>
          </w:tcPr>
          <w:p w14:paraId="35D7ECC5" w14:textId="55E12E9D" w:rsidR="00910A3A" w:rsidRPr="007C7E43" w:rsidRDefault="00910A3A" w:rsidP="007C7E43">
            <w:pPr>
              <w:cnfStyle w:val="000000000000" w:firstRow="0" w:lastRow="0" w:firstColumn="0" w:lastColumn="0" w:oddVBand="0" w:evenVBand="0" w:oddHBand="0" w:evenHBand="0" w:firstRowFirstColumn="0" w:firstRowLastColumn="0" w:lastRowFirstColumn="0" w:lastRowLastColumn="0"/>
            </w:pPr>
            <w:r w:rsidRPr="007C7E43">
              <w:t xml:space="preserve">Review Executive recruitment policies and processes and consider actions to attract a more diverse range of applicants to senior leadership roles. </w:t>
            </w:r>
          </w:p>
        </w:tc>
        <w:tc>
          <w:tcPr>
            <w:tcW w:w="0" w:type="auto"/>
            <w:hideMark/>
          </w:tcPr>
          <w:p w14:paraId="37A3126A" w14:textId="77777777" w:rsidR="00910A3A" w:rsidRPr="007C7E43" w:rsidRDefault="00910A3A" w:rsidP="007C7E43">
            <w:pPr>
              <w:cnfStyle w:val="000000000000" w:firstRow="0" w:lastRow="0" w:firstColumn="0" w:lastColumn="0" w:oddVBand="0" w:evenVBand="0" w:oddHBand="0" w:evenHBand="0" w:firstRowFirstColumn="0" w:firstRowLastColumn="0" w:lastRowFirstColumn="0" w:lastRowLastColumn="0"/>
            </w:pPr>
            <w:r w:rsidRPr="007C7E43">
              <w:t>Indicators 1&amp;2: Gender composition at all levels of the workforce and governing bodies</w:t>
            </w:r>
          </w:p>
        </w:tc>
        <w:tc>
          <w:tcPr>
            <w:tcW w:w="0" w:type="auto"/>
            <w:hideMark/>
          </w:tcPr>
          <w:p w14:paraId="060645FA" w14:textId="77777777" w:rsidR="00910A3A" w:rsidRPr="007C7E43" w:rsidRDefault="00910A3A" w:rsidP="007C7E43">
            <w:pPr>
              <w:cnfStyle w:val="000000000000" w:firstRow="0" w:lastRow="0" w:firstColumn="0" w:lastColumn="0" w:oddVBand="0" w:evenVBand="0" w:oddHBand="0" w:evenHBand="0" w:firstRowFirstColumn="0" w:firstRowLastColumn="0" w:lastRowFirstColumn="0" w:lastRowLastColumn="0"/>
            </w:pPr>
            <w:r w:rsidRPr="007C7E43">
              <w:t>Year 2</w:t>
            </w:r>
          </w:p>
        </w:tc>
        <w:tc>
          <w:tcPr>
            <w:tcW w:w="0" w:type="auto"/>
            <w:hideMark/>
          </w:tcPr>
          <w:p w14:paraId="39B736A7" w14:textId="2FBC5EA8" w:rsidR="00910A3A" w:rsidRPr="007C7E43" w:rsidRDefault="00910A3A" w:rsidP="007C7E43">
            <w:pPr>
              <w:cnfStyle w:val="000000000000" w:firstRow="0" w:lastRow="0" w:firstColumn="0" w:lastColumn="0" w:oddVBand="0" w:evenVBand="0" w:oddHBand="0" w:evenHBand="0" w:firstRowFirstColumn="0" w:firstRowLastColumn="0" w:lastRowFirstColumn="0" w:lastRowLastColumn="0"/>
            </w:pPr>
            <w:r w:rsidRPr="007C7E43">
              <w:t>People &amp; Culture</w:t>
            </w:r>
            <w:r>
              <w:t xml:space="preserve"> </w:t>
            </w:r>
            <w:r w:rsidRPr="007C7E43">
              <w:t>(Recruitment &amp; Workforce Services)</w:t>
            </w:r>
          </w:p>
        </w:tc>
      </w:tr>
      <w:tr w:rsidR="00310FF0" w14:paraId="4C80165D" w14:textId="77777777" w:rsidTr="00C60FAD">
        <w:tc>
          <w:tcPr>
            <w:cnfStyle w:val="001000000000" w:firstRow="0" w:lastRow="0" w:firstColumn="1" w:lastColumn="0" w:oddVBand="0" w:evenVBand="0" w:oddHBand="0" w:evenHBand="0" w:firstRowFirstColumn="0" w:firstRowLastColumn="0" w:lastRowFirstColumn="0" w:lastRowLastColumn="0"/>
            <w:tcW w:w="0" w:type="auto"/>
            <w:hideMark/>
          </w:tcPr>
          <w:p w14:paraId="721F9252" w14:textId="5D84F43E" w:rsidR="00310FF0" w:rsidRPr="007C7E43" w:rsidRDefault="00310FF0" w:rsidP="007C7E43">
            <w:r w:rsidRPr="007C7E43">
              <w:t xml:space="preserve">Promote and celebrate gender equality and intersectional diversity in the workplace </w:t>
            </w:r>
          </w:p>
        </w:tc>
        <w:tc>
          <w:tcPr>
            <w:tcW w:w="0" w:type="auto"/>
            <w:hideMark/>
          </w:tcPr>
          <w:p w14:paraId="403D5783" w14:textId="77777777" w:rsidR="00310FF0" w:rsidRPr="007C7E43" w:rsidRDefault="00310FF0" w:rsidP="007C7E43">
            <w:pPr>
              <w:cnfStyle w:val="000000000000" w:firstRow="0" w:lastRow="0" w:firstColumn="0" w:lastColumn="0" w:oddVBand="0" w:evenVBand="0" w:oddHBand="0" w:evenHBand="0" w:firstRowFirstColumn="0" w:firstRowLastColumn="0" w:lastRowFirstColumn="0" w:lastRowLastColumn="0"/>
            </w:pPr>
            <w:r w:rsidRPr="007C7E43">
              <w:t xml:space="preserve">Develop and promote a program of activities and events championed by the Executive Champion for Gender Equality to raise awareness of gender equality and to showcase the experiences and achievements of women from a diverse range of backgrounds. </w:t>
            </w:r>
          </w:p>
        </w:tc>
        <w:tc>
          <w:tcPr>
            <w:tcW w:w="0" w:type="auto"/>
            <w:hideMark/>
          </w:tcPr>
          <w:p w14:paraId="0C532305" w14:textId="77777777" w:rsidR="00310FF0" w:rsidRPr="007C7E43" w:rsidRDefault="00310FF0" w:rsidP="007C7E43">
            <w:pPr>
              <w:cnfStyle w:val="000000000000" w:firstRow="0" w:lastRow="0" w:firstColumn="0" w:lastColumn="0" w:oddVBand="0" w:evenVBand="0" w:oddHBand="0" w:evenHBand="0" w:firstRowFirstColumn="0" w:firstRowLastColumn="0" w:lastRowFirstColumn="0" w:lastRowLastColumn="0"/>
            </w:pPr>
            <w:r w:rsidRPr="007C7E43">
              <w:t>All workplace gender equality indicators</w:t>
            </w:r>
          </w:p>
        </w:tc>
        <w:tc>
          <w:tcPr>
            <w:tcW w:w="0" w:type="auto"/>
            <w:hideMark/>
          </w:tcPr>
          <w:p w14:paraId="6C7335E7" w14:textId="688819E9" w:rsidR="00310FF0" w:rsidRPr="007C7E43" w:rsidRDefault="00310FF0" w:rsidP="007C7E43">
            <w:pPr>
              <w:cnfStyle w:val="000000000000" w:firstRow="0" w:lastRow="0" w:firstColumn="0" w:lastColumn="0" w:oddVBand="0" w:evenVBand="0" w:oddHBand="0" w:evenHBand="0" w:firstRowFirstColumn="0" w:firstRowLastColumn="0" w:lastRowFirstColumn="0" w:lastRowLastColumn="0"/>
            </w:pPr>
            <w:r w:rsidRPr="007C7E43">
              <w:t>Ongoing</w:t>
            </w:r>
            <w:r w:rsidR="00C60FAD">
              <w:t xml:space="preserve"> </w:t>
            </w:r>
            <w:r w:rsidRPr="007C7E43">
              <w:t>(Year 1, 2, 3, 4)</w:t>
            </w:r>
          </w:p>
        </w:tc>
        <w:tc>
          <w:tcPr>
            <w:tcW w:w="0" w:type="auto"/>
            <w:hideMark/>
          </w:tcPr>
          <w:p w14:paraId="1AE7DCE0" w14:textId="77777777" w:rsidR="00310FF0" w:rsidRPr="007C7E43" w:rsidRDefault="00310FF0" w:rsidP="007C7E43">
            <w:pPr>
              <w:cnfStyle w:val="000000000000" w:firstRow="0" w:lastRow="0" w:firstColumn="0" w:lastColumn="0" w:oddVBand="0" w:evenVBand="0" w:oddHBand="0" w:evenHBand="0" w:firstRowFirstColumn="0" w:firstRowLastColumn="0" w:lastRowFirstColumn="0" w:lastRowLastColumn="0"/>
            </w:pPr>
            <w:r w:rsidRPr="007C7E43">
              <w:t>Executive Champion for Gender Equality</w:t>
            </w:r>
          </w:p>
          <w:p w14:paraId="4C113DE3" w14:textId="77777777" w:rsidR="00310FF0" w:rsidRPr="007C7E43" w:rsidRDefault="00310FF0" w:rsidP="007C7E43">
            <w:pPr>
              <w:cnfStyle w:val="000000000000" w:firstRow="0" w:lastRow="0" w:firstColumn="0" w:lastColumn="0" w:oddVBand="0" w:evenVBand="0" w:oddHBand="0" w:evenHBand="0" w:firstRowFirstColumn="0" w:firstRowLastColumn="0" w:lastRowFirstColumn="0" w:lastRowLastColumn="0"/>
            </w:pPr>
            <w:r w:rsidRPr="007C7E43">
              <w:t>Strategic Communications, Engagement and Protocol (Internal Communications)</w:t>
            </w:r>
          </w:p>
        </w:tc>
      </w:tr>
    </w:tbl>
    <w:p w14:paraId="68E6D303" w14:textId="553BFCE2" w:rsidR="00310FF0" w:rsidRPr="007C7E43" w:rsidRDefault="00310FF0" w:rsidP="0016727C">
      <w:pPr>
        <w:pStyle w:val="Heading3"/>
      </w:pPr>
      <w:bookmarkStart w:id="15" w:name="_Toc114211278"/>
      <w:r w:rsidRPr="007C7E43">
        <w:lastRenderedPageBreak/>
        <w:t>Action Area 2: Reducing the gender pay gap</w:t>
      </w:r>
      <w:bookmarkEnd w:id="15"/>
    </w:p>
    <w:p w14:paraId="7A3A0323" w14:textId="5F0DB20C" w:rsidR="00310FF0" w:rsidRPr="0074740E" w:rsidRDefault="00310FF0" w:rsidP="0074740E">
      <w:r w:rsidRPr="0074740E">
        <w:t xml:space="preserve">DPC proactively seeks to better understand the factors that cause the gender pay gap and develops strategies, actions, policies, and processes to achieve gender pay equity </w:t>
      </w:r>
    </w:p>
    <w:tbl>
      <w:tblPr>
        <w:tblStyle w:val="GridTable1Light"/>
        <w:tblW w:w="0" w:type="auto"/>
        <w:tblLook w:val="04A0" w:firstRow="1" w:lastRow="0" w:firstColumn="1" w:lastColumn="0" w:noHBand="0" w:noVBand="1"/>
      </w:tblPr>
      <w:tblGrid>
        <w:gridCol w:w="1993"/>
        <w:gridCol w:w="2597"/>
        <w:gridCol w:w="1438"/>
        <w:gridCol w:w="996"/>
        <w:gridCol w:w="1992"/>
      </w:tblGrid>
      <w:tr w:rsidR="00310FF0" w14:paraId="34687136" w14:textId="77777777" w:rsidTr="00C60FA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vAlign w:val="bottom"/>
            <w:hideMark/>
          </w:tcPr>
          <w:p w14:paraId="1E9748E2" w14:textId="77777777" w:rsidR="00310FF0" w:rsidRPr="00B70C76" w:rsidRDefault="00310FF0" w:rsidP="00B70C76">
            <w:pPr>
              <w:pStyle w:val="Tablecolhead"/>
              <w:rPr>
                <w:b/>
                <w:bCs w:val="0"/>
              </w:rPr>
            </w:pPr>
            <w:r w:rsidRPr="00B70C76">
              <w:rPr>
                <w:b/>
                <w:bCs w:val="0"/>
              </w:rPr>
              <w:t>Goal</w:t>
            </w:r>
          </w:p>
        </w:tc>
        <w:tc>
          <w:tcPr>
            <w:tcW w:w="0" w:type="auto"/>
            <w:vAlign w:val="bottom"/>
            <w:hideMark/>
          </w:tcPr>
          <w:p w14:paraId="2CD3C09F" w14:textId="77777777" w:rsidR="00310FF0" w:rsidRPr="00B70C76" w:rsidRDefault="00310FF0" w:rsidP="00B70C76">
            <w:pPr>
              <w:pStyle w:val="Tablecolhead"/>
              <w:cnfStyle w:val="100000000000" w:firstRow="1" w:lastRow="0" w:firstColumn="0" w:lastColumn="0" w:oddVBand="0" w:evenVBand="0" w:oddHBand="0" w:evenHBand="0" w:firstRowFirstColumn="0" w:firstRowLastColumn="0" w:lastRowFirstColumn="0" w:lastRowLastColumn="0"/>
              <w:rPr>
                <w:b/>
                <w:bCs w:val="0"/>
              </w:rPr>
            </w:pPr>
            <w:r w:rsidRPr="00B70C76">
              <w:rPr>
                <w:b/>
                <w:bCs w:val="0"/>
              </w:rPr>
              <w:t>Strategies</w:t>
            </w:r>
          </w:p>
        </w:tc>
        <w:tc>
          <w:tcPr>
            <w:tcW w:w="0" w:type="auto"/>
            <w:vAlign w:val="bottom"/>
            <w:hideMark/>
          </w:tcPr>
          <w:p w14:paraId="52916848" w14:textId="77777777" w:rsidR="00310FF0" w:rsidRPr="00B70C76" w:rsidRDefault="00310FF0" w:rsidP="00B70C76">
            <w:pPr>
              <w:pStyle w:val="Tablecolhead"/>
              <w:cnfStyle w:val="100000000000" w:firstRow="1" w:lastRow="0" w:firstColumn="0" w:lastColumn="0" w:oddVBand="0" w:evenVBand="0" w:oddHBand="0" w:evenHBand="0" w:firstRowFirstColumn="0" w:firstRowLastColumn="0" w:lastRowFirstColumn="0" w:lastRowLastColumn="0"/>
              <w:rPr>
                <w:b/>
                <w:bCs w:val="0"/>
              </w:rPr>
            </w:pPr>
            <w:r w:rsidRPr="00B70C76">
              <w:rPr>
                <w:b/>
                <w:bCs w:val="0"/>
              </w:rPr>
              <w:t>Workplace Gender Equality Indicator</w:t>
            </w:r>
          </w:p>
        </w:tc>
        <w:tc>
          <w:tcPr>
            <w:tcW w:w="0" w:type="auto"/>
            <w:vAlign w:val="bottom"/>
            <w:hideMark/>
          </w:tcPr>
          <w:p w14:paraId="2F5A67CD" w14:textId="77777777" w:rsidR="00310FF0" w:rsidRPr="00B70C76" w:rsidRDefault="00310FF0" w:rsidP="00B70C76">
            <w:pPr>
              <w:pStyle w:val="Tablecolhead"/>
              <w:cnfStyle w:val="100000000000" w:firstRow="1" w:lastRow="0" w:firstColumn="0" w:lastColumn="0" w:oddVBand="0" w:evenVBand="0" w:oddHBand="0" w:evenHBand="0" w:firstRowFirstColumn="0" w:firstRowLastColumn="0" w:lastRowFirstColumn="0" w:lastRowLastColumn="0"/>
              <w:rPr>
                <w:b/>
                <w:bCs w:val="0"/>
              </w:rPr>
            </w:pPr>
            <w:r w:rsidRPr="00B70C76">
              <w:rPr>
                <w:b/>
                <w:bCs w:val="0"/>
              </w:rPr>
              <w:t xml:space="preserve">Timing </w:t>
            </w:r>
          </w:p>
        </w:tc>
        <w:tc>
          <w:tcPr>
            <w:tcW w:w="0" w:type="auto"/>
            <w:vAlign w:val="bottom"/>
            <w:hideMark/>
          </w:tcPr>
          <w:p w14:paraId="3A4CEE8D" w14:textId="77777777" w:rsidR="00310FF0" w:rsidRPr="00B70C76" w:rsidRDefault="00310FF0" w:rsidP="00B70C76">
            <w:pPr>
              <w:pStyle w:val="Tablecolhead"/>
              <w:cnfStyle w:val="100000000000" w:firstRow="1" w:lastRow="0" w:firstColumn="0" w:lastColumn="0" w:oddVBand="0" w:evenVBand="0" w:oddHBand="0" w:evenHBand="0" w:firstRowFirstColumn="0" w:firstRowLastColumn="0" w:lastRowFirstColumn="0" w:lastRowLastColumn="0"/>
              <w:rPr>
                <w:b/>
                <w:bCs w:val="0"/>
              </w:rPr>
            </w:pPr>
            <w:r w:rsidRPr="00B70C76">
              <w:rPr>
                <w:b/>
                <w:bCs w:val="0"/>
              </w:rPr>
              <w:t xml:space="preserve">Responsibility </w:t>
            </w:r>
          </w:p>
        </w:tc>
      </w:tr>
      <w:tr w:rsidR="00310FF0" w14:paraId="195F72FE" w14:textId="77777777" w:rsidTr="00C60FAD">
        <w:tc>
          <w:tcPr>
            <w:cnfStyle w:val="001000000000" w:firstRow="0" w:lastRow="0" w:firstColumn="1" w:lastColumn="0" w:oddVBand="0" w:evenVBand="0" w:oddHBand="0" w:evenHBand="0" w:firstRowFirstColumn="0" w:firstRowLastColumn="0" w:lastRowFirstColumn="0" w:lastRowLastColumn="0"/>
            <w:tcW w:w="0" w:type="auto"/>
            <w:hideMark/>
          </w:tcPr>
          <w:p w14:paraId="25CC043A" w14:textId="5EFBCD62" w:rsidR="00310FF0" w:rsidRPr="007C7E43" w:rsidRDefault="00310FF0" w:rsidP="007C7E43">
            <w:r w:rsidRPr="007C7E43">
              <w:t>Develop strategies and actions to better understand and address the gender</w:t>
            </w:r>
            <w:r w:rsidR="00C60FAD">
              <w:t xml:space="preserve"> </w:t>
            </w:r>
            <w:r w:rsidRPr="007C7E43">
              <w:t xml:space="preserve">pay gap </w:t>
            </w:r>
          </w:p>
        </w:tc>
        <w:tc>
          <w:tcPr>
            <w:tcW w:w="0" w:type="auto"/>
            <w:hideMark/>
          </w:tcPr>
          <w:p w14:paraId="1ECAF638" w14:textId="77777777" w:rsidR="00310FF0" w:rsidRPr="007C7E43" w:rsidRDefault="00310FF0" w:rsidP="007C7E43">
            <w:pPr>
              <w:cnfStyle w:val="000000000000" w:firstRow="0" w:lastRow="0" w:firstColumn="0" w:lastColumn="0" w:oddVBand="0" w:evenVBand="0" w:oddHBand="0" w:evenHBand="0" w:firstRowFirstColumn="0" w:firstRowLastColumn="0" w:lastRowFirstColumn="0" w:lastRowLastColumn="0"/>
            </w:pPr>
            <w:r w:rsidRPr="007C7E43">
              <w:t>Conduct an annual gender pay equity audit and develop and implement strategies and actions to reduce the gender pay gap (as part of the annual workplace gender audit).</w:t>
            </w:r>
          </w:p>
        </w:tc>
        <w:tc>
          <w:tcPr>
            <w:tcW w:w="0" w:type="auto"/>
            <w:hideMark/>
          </w:tcPr>
          <w:p w14:paraId="6B549151" w14:textId="2B57821E" w:rsidR="00310FF0" w:rsidRPr="007C7E43" w:rsidRDefault="00310FF0" w:rsidP="007C7E43">
            <w:pPr>
              <w:cnfStyle w:val="000000000000" w:firstRow="0" w:lastRow="0" w:firstColumn="0" w:lastColumn="0" w:oddVBand="0" w:evenVBand="0" w:oddHBand="0" w:evenHBand="0" w:firstRowFirstColumn="0" w:firstRowLastColumn="0" w:lastRowFirstColumn="0" w:lastRowLastColumn="0"/>
            </w:pPr>
            <w:r w:rsidRPr="007C7E43">
              <w:t xml:space="preserve">Indicator 3: Gender </w:t>
            </w:r>
            <w:proofErr w:type="gramStart"/>
            <w:r w:rsidRPr="007C7E43">
              <w:t>pay</w:t>
            </w:r>
            <w:proofErr w:type="gramEnd"/>
            <w:r w:rsidRPr="007C7E43">
              <w:t xml:space="preserve"> equity</w:t>
            </w:r>
          </w:p>
        </w:tc>
        <w:tc>
          <w:tcPr>
            <w:tcW w:w="0" w:type="auto"/>
            <w:hideMark/>
          </w:tcPr>
          <w:p w14:paraId="2657BB80" w14:textId="502AAB43" w:rsidR="00310FF0" w:rsidRPr="007C7E43" w:rsidRDefault="00310FF0" w:rsidP="007C7E43">
            <w:pPr>
              <w:cnfStyle w:val="000000000000" w:firstRow="0" w:lastRow="0" w:firstColumn="0" w:lastColumn="0" w:oddVBand="0" w:evenVBand="0" w:oddHBand="0" w:evenHBand="0" w:firstRowFirstColumn="0" w:firstRowLastColumn="0" w:lastRowFirstColumn="0" w:lastRowLastColumn="0"/>
            </w:pPr>
            <w:r w:rsidRPr="007C7E43">
              <w:t>Annual</w:t>
            </w:r>
            <w:r w:rsidR="00C60FAD">
              <w:t xml:space="preserve"> </w:t>
            </w:r>
            <w:r w:rsidRPr="007C7E43">
              <w:t>(Year 1, 2, 3, 4)</w:t>
            </w:r>
          </w:p>
        </w:tc>
        <w:tc>
          <w:tcPr>
            <w:tcW w:w="0" w:type="auto"/>
            <w:hideMark/>
          </w:tcPr>
          <w:p w14:paraId="0EC0E6B5" w14:textId="0FF9032F" w:rsidR="00310FF0" w:rsidRPr="007C7E43" w:rsidRDefault="00310FF0" w:rsidP="007C7E43">
            <w:pPr>
              <w:cnfStyle w:val="000000000000" w:firstRow="0" w:lastRow="0" w:firstColumn="0" w:lastColumn="0" w:oddVBand="0" w:evenVBand="0" w:oddHBand="0" w:evenHBand="0" w:firstRowFirstColumn="0" w:firstRowLastColumn="0" w:lastRowFirstColumn="0" w:lastRowLastColumn="0"/>
            </w:pPr>
            <w:r w:rsidRPr="007C7E43">
              <w:t>People &amp; Culture</w:t>
            </w:r>
            <w:r w:rsidR="00C60FAD">
              <w:t xml:space="preserve"> </w:t>
            </w:r>
            <w:r w:rsidRPr="007C7E43">
              <w:t>(Diversity &amp; Inclusion)</w:t>
            </w:r>
          </w:p>
        </w:tc>
      </w:tr>
      <w:tr w:rsidR="00310FF0" w14:paraId="13DF65EA" w14:textId="77777777" w:rsidTr="00C60FAD">
        <w:tc>
          <w:tcPr>
            <w:cnfStyle w:val="001000000000" w:firstRow="0" w:lastRow="0" w:firstColumn="1" w:lastColumn="0" w:oddVBand="0" w:evenVBand="0" w:oddHBand="0" w:evenHBand="0" w:firstRowFirstColumn="0" w:firstRowLastColumn="0" w:lastRowFirstColumn="0" w:lastRowLastColumn="0"/>
            <w:tcW w:w="0" w:type="auto"/>
            <w:hideMark/>
          </w:tcPr>
          <w:p w14:paraId="7DCB2774" w14:textId="77777777" w:rsidR="00310FF0" w:rsidRDefault="00310FF0" w:rsidP="00DC3129">
            <w:pPr>
              <w:rPr>
                <w:rFonts w:eastAsiaTheme="minorEastAsia"/>
                <w:sz w:val="24"/>
                <w:szCs w:val="24"/>
              </w:rPr>
            </w:pPr>
          </w:p>
        </w:tc>
        <w:tc>
          <w:tcPr>
            <w:tcW w:w="0" w:type="auto"/>
            <w:hideMark/>
          </w:tcPr>
          <w:p w14:paraId="75B57B48" w14:textId="77777777" w:rsidR="00310FF0" w:rsidRPr="007C7E43" w:rsidRDefault="00310FF0" w:rsidP="007C7E43">
            <w:pPr>
              <w:cnfStyle w:val="000000000000" w:firstRow="0" w:lastRow="0" w:firstColumn="0" w:lastColumn="0" w:oddVBand="0" w:evenVBand="0" w:oddHBand="0" w:evenHBand="0" w:firstRowFirstColumn="0" w:firstRowLastColumn="0" w:lastRowFirstColumn="0" w:lastRowLastColumn="0"/>
            </w:pPr>
            <w:r w:rsidRPr="007C7E43">
              <w:t xml:space="preserve">Engage with women at DPC to examine views on the structural and individual factors that impact gender pay equity and identify actions for reviewing gender bias and discrimination in renumeration decisions. </w:t>
            </w:r>
          </w:p>
        </w:tc>
        <w:tc>
          <w:tcPr>
            <w:tcW w:w="0" w:type="auto"/>
            <w:hideMark/>
          </w:tcPr>
          <w:p w14:paraId="4E4779F5" w14:textId="07B9054A" w:rsidR="00310FF0" w:rsidRPr="007C7E43" w:rsidRDefault="00310FF0" w:rsidP="007C7E43">
            <w:pPr>
              <w:cnfStyle w:val="000000000000" w:firstRow="0" w:lastRow="0" w:firstColumn="0" w:lastColumn="0" w:oddVBand="0" w:evenVBand="0" w:oddHBand="0" w:evenHBand="0" w:firstRowFirstColumn="0" w:firstRowLastColumn="0" w:lastRowFirstColumn="0" w:lastRowLastColumn="0"/>
            </w:pPr>
            <w:r w:rsidRPr="007C7E43">
              <w:t xml:space="preserve">Indicator 3: Gender </w:t>
            </w:r>
            <w:proofErr w:type="gramStart"/>
            <w:r w:rsidRPr="007C7E43">
              <w:t>pay</w:t>
            </w:r>
            <w:proofErr w:type="gramEnd"/>
            <w:r w:rsidRPr="007C7E43">
              <w:t xml:space="preserve"> equity</w:t>
            </w:r>
          </w:p>
        </w:tc>
        <w:tc>
          <w:tcPr>
            <w:tcW w:w="0" w:type="auto"/>
            <w:hideMark/>
          </w:tcPr>
          <w:p w14:paraId="271E8F23" w14:textId="77777777" w:rsidR="00310FF0" w:rsidRPr="007C7E43" w:rsidRDefault="00310FF0" w:rsidP="007C7E43">
            <w:pPr>
              <w:cnfStyle w:val="000000000000" w:firstRow="0" w:lastRow="0" w:firstColumn="0" w:lastColumn="0" w:oddVBand="0" w:evenVBand="0" w:oddHBand="0" w:evenHBand="0" w:firstRowFirstColumn="0" w:firstRowLastColumn="0" w:lastRowFirstColumn="0" w:lastRowLastColumn="0"/>
            </w:pPr>
            <w:r w:rsidRPr="007C7E43">
              <w:t>Year 2, 3</w:t>
            </w:r>
          </w:p>
        </w:tc>
        <w:tc>
          <w:tcPr>
            <w:tcW w:w="0" w:type="auto"/>
            <w:hideMark/>
          </w:tcPr>
          <w:p w14:paraId="5A65F11A" w14:textId="7D0301FD" w:rsidR="00310FF0" w:rsidRPr="007C7E43" w:rsidRDefault="00310FF0" w:rsidP="007C7E43">
            <w:pPr>
              <w:cnfStyle w:val="000000000000" w:firstRow="0" w:lastRow="0" w:firstColumn="0" w:lastColumn="0" w:oddVBand="0" w:evenVBand="0" w:oddHBand="0" w:evenHBand="0" w:firstRowFirstColumn="0" w:firstRowLastColumn="0" w:lastRowFirstColumn="0" w:lastRowLastColumn="0"/>
            </w:pPr>
            <w:r w:rsidRPr="007C7E43">
              <w:t>People &amp; Culture</w:t>
            </w:r>
            <w:r w:rsidR="00C60FAD">
              <w:t xml:space="preserve"> </w:t>
            </w:r>
            <w:r w:rsidRPr="007C7E43">
              <w:t>(Diversity &amp; Inclusion)</w:t>
            </w:r>
          </w:p>
        </w:tc>
      </w:tr>
      <w:tr w:rsidR="00310FF0" w14:paraId="37D53A4B" w14:textId="77777777" w:rsidTr="00C60FAD">
        <w:tc>
          <w:tcPr>
            <w:cnfStyle w:val="001000000000" w:firstRow="0" w:lastRow="0" w:firstColumn="1" w:lastColumn="0" w:oddVBand="0" w:evenVBand="0" w:oddHBand="0" w:evenHBand="0" w:firstRowFirstColumn="0" w:firstRowLastColumn="0" w:lastRowFirstColumn="0" w:lastRowLastColumn="0"/>
            <w:tcW w:w="0" w:type="auto"/>
            <w:hideMark/>
          </w:tcPr>
          <w:p w14:paraId="7C5571F5" w14:textId="5D74B851" w:rsidR="00310FF0" w:rsidRPr="007C7E43" w:rsidRDefault="00310FF0" w:rsidP="007C7E43">
            <w:r w:rsidRPr="007C7E43">
              <w:t>Ensure fair and transparent Executive and VPS renumeration policies and processes</w:t>
            </w:r>
          </w:p>
        </w:tc>
        <w:tc>
          <w:tcPr>
            <w:tcW w:w="0" w:type="auto"/>
            <w:hideMark/>
          </w:tcPr>
          <w:p w14:paraId="7501CDCB" w14:textId="77777777" w:rsidR="00310FF0" w:rsidRPr="007C7E43" w:rsidRDefault="00310FF0" w:rsidP="007C7E43">
            <w:pPr>
              <w:cnfStyle w:val="000000000000" w:firstRow="0" w:lastRow="0" w:firstColumn="0" w:lastColumn="0" w:oddVBand="0" w:evenVBand="0" w:oddHBand="0" w:evenHBand="0" w:firstRowFirstColumn="0" w:firstRowLastColumn="0" w:lastRowFirstColumn="0" w:lastRowLastColumn="0"/>
            </w:pPr>
            <w:r w:rsidRPr="007C7E43">
              <w:t>Develop a set of gender pay equity principles and guidelines to support Executive contract negotiations and remuneration review.</w:t>
            </w:r>
          </w:p>
        </w:tc>
        <w:tc>
          <w:tcPr>
            <w:tcW w:w="0" w:type="auto"/>
            <w:hideMark/>
          </w:tcPr>
          <w:p w14:paraId="6140E672" w14:textId="61CFF422" w:rsidR="00310FF0" w:rsidRPr="007C7E43" w:rsidRDefault="00310FF0" w:rsidP="007C7E43">
            <w:pPr>
              <w:cnfStyle w:val="000000000000" w:firstRow="0" w:lastRow="0" w:firstColumn="0" w:lastColumn="0" w:oddVBand="0" w:evenVBand="0" w:oddHBand="0" w:evenHBand="0" w:firstRowFirstColumn="0" w:firstRowLastColumn="0" w:lastRowFirstColumn="0" w:lastRowLastColumn="0"/>
            </w:pPr>
            <w:r w:rsidRPr="007C7E43">
              <w:t xml:space="preserve">Indicator 3: Gender </w:t>
            </w:r>
            <w:proofErr w:type="gramStart"/>
            <w:r w:rsidRPr="007C7E43">
              <w:t>pay</w:t>
            </w:r>
            <w:proofErr w:type="gramEnd"/>
            <w:r w:rsidRPr="007C7E43">
              <w:t xml:space="preserve"> equity</w:t>
            </w:r>
          </w:p>
        </w:tc>
        <w:tc>
          <w:tcPr>
            <w:tcW w:w="0" w:type="auto"/>
            <w:hideMark/>
          </w:tcPr>
          <w:p w14:paraId="11D58D71" w14:textId="77777777" w:rsidR="00310FF0" w:rsidRPr="007C7E43" w:rsidRDefault="00310FF0" w:rsidP="007C7E43">
            <w:pPr>
              <w:cnfStyle w:val="000000000000" w:firstRow="0" w:lastRow="0" w:firstColumn="0" w:lastColumn="0" w:oddVBand="0" w:evenVBand="0" w:oddHBand="0" w:evenHBand="0" w:firstRowFirstColumn="0" w:firstRowLastColumn="0" w:lastRowFirstColumn="0" w:lastRowLastColumn="0"/>
            </w:pPr>
            <w:r w:rsidRPr="007C7E43">
              <w:t>Year 1</w:t>
            </w:r>
          </w:p>
        </w:tc>
        <w:tc>
          <w:tcPr>
            <w:tcW w:w="0" w:type="auto"/>
            <w:hideMark/>
          </w:tcPr>
          <w:p w14:paraId="489FDC5A" w14:textId="77703B7F" w:rsidR="00310FF0" w:rsidRPr="007C7E43" w:rsidRDefault="00310FF0" w:rsidP="007C7E43">
            <w:pPr>
              <w:cnfStyle w:val="000000000000" w:firstRow="0" w:lastRow="0" w:firstColumn="0" w:lastColumn="0" w:oddVBand="0" w:evenVBand="0" w:oddHBand="0" w:evenHBand="0" w:firstRowFirstColumn="0" w:firstRowLastColumn="0" w:lastRowFirstColumn="0" w:lastRowLastColumn="0"/>
            </w:pPr>
            <w:r w:rsidRPr="007C7E43">
              <w:t>People &amp; Culture</w:t>
            </w:r>
            <w:r w:rsidR="00C60FAD">
              <w:t xml:space="preserve"> </w:t>
            </w:r>
            <w:r w:rsidRPr="007C7E43">
              <w:t>(Recruitment &amp; Workforce Services/ Diversity &amp; Inclusion)</w:t>
            </w:r>
          </w:p>
        </w:tc>
      </w:tr>
      <w:tr w:rsidR="00310FF0" w14:paraId="3FF846A2" w14:textId="77777777" w:rsidTr="00C60FAD">
        <w:tc>
          <w:tcPr>
            <w:cnfStyle w:val="001000000000" w:firstRow="0" w:lastRow="0" w:firstColumn="1" w:lastColumn="0" w:oddVBand="0" w:evenVBand="0" w:oddHBand="0" w:evenHBand="0" w:firstRowFirstColumn="0" w:firstRowLastColumn="0" w:lastRowFirstColumn="0" w:lastRowLastColumn="0"/>
            <w:tcW w:w="0" w:type="auto"/>
            <w:hideMark/>
          </w:tcPr>
          <w:p w14:paraId="0A2A21AC" w14:textId="77777777" w:rsidR="00310FF0" w:rsidRDefault="00310FF0" w:rsidP="00DC3129">
            <w:pPr>
              <w:rPr>
                <w:rFonts w:eastAsiaTheme="minorEastAsia"/>
                <w:sz w:val="24"/>
                <w:szCs w:val="24"/>
              </w:rPr>
            </w:pPr>
          </w:p>
        </w:tc>
        <w:tc>
          <w:tcPr>
            <w:tcW w:w="0" w:type="auto"/>
            <w:hideMark/>
          </w:tcPr>
          <w:p w14:paraId="0D5A6F79" w14:textId="77777777" w:rsidR="00310FF0" w:rsidRPr="007C7E43" w:rsidRDefault="00310FF0" w:rsidP="007C7E43">
            <w:pPr>
              <w:cnfStyle w:val="000000000000" w:firstRow="0" w:lastRow="0" w:firstColumn="0" w:lastColumn="0" w:oddVBand="0" w:evenVBand="0" w:oddHBand="0" w:evenHBand="0" w:firstRowFirstColumn="0" w:firstRowLastColumn="0" w:lastRowFirstColumn="0" w:lastRowLastColumn="0"/>
            </w:pPr>
            <w:r w:rsidRPr="007C7E43">
              <w:t xml:space="preserve">Provide information and support to hiring managers and people managers to apply gender pay equity principles when considering VPS salary negotiations and offers. </w:t>
            </w:r>
          </w:p>
        </w:tc>
        <w:tc>
          <w:tcPr>
            <w:tcW w:w="0" w:type="auto"/>
            <w:hideMark/>
          </w:tcPr>
          <w:p w14:paraId="617319F8" w14:textId="7D849E37" w:rsidR="00310FF0" w:rsidRPr="007C7E43" w:rsidRDefault="00310FF0" w:rsidP="007C7E43">
            <w:pPr>
              <w:cnfStyle w:val="000000000000" w:firstRow="0" w:lastRow="0" w:firstColumn="0" w:lastColumn="0" w:oddVBand="0" w:evenVBand="0" w:oddHBand="0" w:evenHBand="0" w:firstRowFirstColumn="0" w:firstRowLastColumn="0" w:lastRowFirstColumn="0" w:lastRowLastColumn="0"/>
            </w:pPr>
            <w:r w:rsidRPr="007C7E43">
              <w:t xml:space="preserve">Indicator 3: Gender </w:t>
            </w:r>
            <w:proofErr w:type="gramStart"/>
            <w:r w:rsidRPr="007C7E43">
              <w:t>pay</w:t>
            </w:r>
            <w:proofErr w:type="gramEnd"/>
            <w:r w:rsidRPr="007C7E43">
              <w:t xml:space="preserve"> equity</w:t>
            </w:r>
          </w:p>
        </w:tc>
        <w:tc>
          <w:tcPr>
            <w:tcW w:w="0" w:type="auto"/>
            <w:hideMark/>
          </w:tcPr>
          <w:p w14:paraId="17B834F5" w14:textId="77777777" w:rsidR="00310FF0" w:rsidRPr="007C7E43" w:rsidRDefault="00310FF0" w:rsidP="007C7E43">
            <w:pPr>
              <w:cnfStyle w:val="000000000000" w:firstRow="0" w:lastRow="0" w:firstColumn="0" w:lastColumn="0" w:oddVBand="0" w:evenVBand="0" w:oddHBand="0" w:evenHBand="0" w:firstRowFirstColumn="0" w:firstRowLastColumn="0" w:lastRowFirstColumn="0" w:lastRowLastColumn="0"/>
            </w:pPr>
            <w:r w:rsidRPr="007C7E43">
              <w:t>Year 2</w:t>
            </w:r>
          </w:p>
        </w:tc>
        <w:tc>
          <w:tcPr>
            <w:tcW w:w="0" w:type="auto"/>
            <w:hideMark/>
          </w:tcPr>
          <w:p w14:paraId="10D46A22" w14:textId="27A76941" w:rsidR="00310FF0" w:rsidRPr="007C7E43" w:rsidRDefault="00310FF0" w:rsidP="007C7E43">
            <w:pPr>
              <w:cnfStyle w:val="000000000000" w:firstRow="0" w:lastRow="0" w:firstColumn="0" w:lastColumn="0" w:oddVBand="0" w:evenVBand="0" w:oddHBand="0" w:evenHBand="0" w:firstRowFirstColumn="0" w:firstRowLastColumn="0" w:lastRowFirstColumn="0" w:lastRowLastColumn="0"/>
            </w:pPr>
            <w:r w:rsidRPr="007C7E43">
              <w:t>People &amp; Culture</w:t>
            </w:r>
            <w:r w:rsidR="00C60FAD">
              <w:t xml:space="preserve"> </w:t>
            </w:r>
            <w:r w:rsidRPr="007C7E43">
              <w:t xml:space="preserve">(Recruitment &amp; Workforce Services) </w:t>
            </w:r>
          </w:p>
        </w:tc>
      </w:tr>
    </w:tbl>
    <w:p w14:paraId="0E40D77C" w14:textId="77777777" w:rsidR="003D158D" w:rsidRPr="003D158D" w:rsidRDefault="003D158D" w:rsidP="003D158D">
      <w:pPr>
        <w:rPr>
          <w:rFonts w:eastAsia="MS Mincho"/>
        </w:rPr>
      </w:pPr>
      <w:r w:rsidRPr="003D158D">
        <w:br w:type="page"/>
      </w:r>
    </w:p>
    <w:p w14:paraId="32BA9C1B" w14:textId="1CF215F3" w:rsidR="00310FF0" w:rsidRPr="007C7E43" w:rsidRDefault="00310FF0" w:rsidP="0016727C">
      <w:pPr>
        <w:pStyle w:val="Heading3"/>
      </w:pPr>
      <w:bookmarkStart w:id="16" w:name="_Toc114211279"/>
      <w:r w:rsidRPr="007C7E43">
        <w:lastRenderedPageBreak/>
        <w:t>Action Area 3: Attracting, developing, and retaining a gender balanced and talented workforce</w:t>
      </w:r>
      <w:bookmarkEnd w:id="16"/>
      <w:r w:rsidRPr="007C7E43">
        <w:t xml:space="preserve"> </w:t>
      </w:r>
    </w:p>
    <w:p w14:paraId="3C0376D3" w14:textId="6F2A7A51" w:rsidR="00310FF0" w:rsidRPr="0074740E" w:rsidRDefault="00310FF0" w:rsidP="0074740E">
      <w:r w:rsidRPr="0074740E">
        <w:t xml:space="preserve">DPC is committed to recruiting and retaining a gender balanced and talented workforce and supporting the career advancement of women in the VPS </w:t>
      </w:r>
    </w:p>
    <w:tbl>
      <w:tblPr>
        <w:tblStyle w:val="GridTable1Light"/>
        <w:tblW w:w="0" w:type="auto"/>
        <w:tblLook w:val="04A0" w:firstRow="1" w:lastRow="0" w:firstColumn="1" w:lastColumn="0" w:noHBand="0" w:noVBand="1"/>
      </w:tblPr>
      <w:tblGrid>
        <w:gridCol w:w="1738"/>
        <w:gridCol w:w="2717"/>
        <w:gridCol w:w="1467"/>
        <w:gridCol w:w="973"/>
        <w:gridCol w:w="2121"/>
      </w:tblGrid>
      <w:tr w:rsidR="00310FF0" w14:paraId="4608D15E" w14:textId="77777777" w:rsidTr="00C60FA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vAlign w:val="bottom"/>
            <w:hideMark/>
          </w:tcPr>
          <w:p w14:paraId="6BF24D46" w14:textId="77777777" w:rsidR="00310FF0" w:rsidRPr="00B70C76" w:rsidRDefault="00310FF0" w:rsidP="00B70C76">
            <w:pPr>
              <w:pStyle w:val="Tablecolhead"/>
              <w:rPr>
                <w:b/>
                <w:bCs w:val="0"/>
              </w:rPr>
            </w:pPr>
            <w:r w:rsidRPr="00B70C76">
              <w:rPr>
                <w:b/>
                <w:bCs w:val="0"/>
              </w:rPr>
              <w:t>Goal</w:t>
            </w:r>
          </w:p>
        </w:tc>
        <w:tc>
          <w:tcPr>
            <w:tcW w:w="0" w:type="auto"/>
            <w:vAlign w:val="bottom"/>
            <w:hideMark/>
          </w:tcPr>
          <w:p w14:paraId="498B615A" w14:textId="77777777" w:rsidR="00310FF0" w:rsidRPr="00B70C76" w:rsidRDefault="00310FF0" w:rsidP="00B70C76">
            <w:pPr>
              <w:pStyle w:val="Tablecolhead"/>
              <w:cnfStyle w:val="100000000000" w:firstRow="1" w:lastRow="0" w:firstColumn="0" w:lastColumn="0" w:oddVBand="0" w:evenVBand="0" w:oddHBand="0" w:evenHBand="0" w:firstRowFirstColumn="0" w:firstRowLastColumn="0" w:lastRowFirstColumn="0" w:lastRowLastColumn="0"/>
              <w:rPr>
                <w:b/>
                <w:bCs w:val="0"/>
              </w:rPr>
            </w:pPr>
            <w:r w:rsidRPr="00B70C76">
              <w:rPr>
                <w:b/>
                <w:bCs w:val="0"/>
              </w:rPr>
              <w:t>Strategies</w:t>
            </w:r>
          </w:p>
        </w:tc>
        <w:tc>
          <w:tcPr>
            <w:tcW w:w="0" w:type="auto"/>
            <w:vAlign w:val="bottom"/>
            <w:hideMark/>
          </w:tcPr>
          <w:p w14:paraId="03229B55" w14:textId="77777777" w:rsidR="00310FF0" w:rsidRPr="00B70C76" w:rsidRDefault="00310FF0" w:rsidP="00B70C76">
            <w:pPr>
              <w:pStyle w:val="Tablecolhead"/>
              <w:cnfStyle w:val="100000000000" w:firstRow="1" w:lastRow="0" w:firstColumn="0" w:lastColumn="0" w:oddVBand="0" w:evenVBand="0" w:oddHBand="0" w:evenHBand="0" w:firstRowFirstColumn="0" w:firstRowLastColumn="0" w:lastRowFirstColumn="0" w:lastRowLastColumn="0"/>
              <w:rPr>
                <w:b/>
                <w:bCs w:val="0"/>
              </w:rPr>
            </w:pPr>
            <w:r w:rsidRPr="00B70C76">
              <w:rPr>
                <w:b/>
                <w:bCs w:val="0"/>
              </w:rPr>
              <w:t>Workplace Gender Equality Indicator</w:t>
            </w:r>
          </w:p>
        </w:tc>
        <w:tc>
          <w:tcPr>
            <w:tcW w:w="0" w:type="auto"/>
            <w:vAlign w:val="bottom"/>
            <w:hideMark/>
          </w:tcPr>
          <w:p w14:paraId="61ADB2FD" w14:textId="77777777" w:rsidR="00310FF0" w:rsidRPr="00B70C76" w:rsidRDefault="00310FF0" w:rsidP="00B70C76">
            <w:pPr>
              <w:pStyle w:val="Tablecolhead"/>
              <w:cnfStyle w:val="100000000000" w:firstRow="1" w:lastRow="0" w:firstColumn="0" w:lastColumn="0" w:oddVBand="0" w:evenVBand="0" w:oddHBand="0" w:evenHBand="0" w:firstRowFirstColumn="0" w:firstRowLastColumn="0" w:lastRowFirstColumn="0" w:lastRowLastColumn="0"/>
              <w:rPr>
                <w:b/>
                <w:bCs w:val="0"/>
              </w:rPr>
            </w:pPr>
            <w:r w:rsidRPr="00B70C76">
              <w:rPr>
                <w:b/>
                <w:bCs w:val="0"/>
              </w:rPr>
              <w:t>Timing</w:t>
            </w:r>
          </w:p>
        </w:tc>
        <w:tc>
          <w:tcPr>
            <w:tcW w:w="0" w:type="auto"/>
            <w:vAlign w:val="bottom"/>
            <w:hideMark/>
          </w:tcPr>
          <w:p w14:paraId="5FB88D12" w14:textId="77777777" w:rsidR="00310FF0" w:rsidRPr="00B70C76" w:rsidRDefault="00310FF0" w:rsidP="00B70C76">
            <w:pPr>
              <w:pStyle w:val="Tablecolhead"/>
              <w:cnfStyle w:val="100000000000" w:firstRow="1" w:lastRow="0" w:firstColumn="0" w:lastColumn="0" w:oddVBand="0" w:evenVBand="0" w:oddHBand="0" w:evenHBand="0" w:firstRowFirstColumn="0" w:firstRowLastColumn="0" w:lastRowFirstColumn="0" w:lastRowLastColumn="0"/>
              <w:rPr>
                <w:b/>
                <w:bCs w:val="0"/>
              </w:rPr>
            </w:pPr>
            <w:r w:rsidRPr="00B70C76">
              <w:rPr>
                <w:b/>
                <w:bCs w:val="0"/>
              </w:rPr>
              <w:t xml:space="preserve">Responsibility </w:t>
            </w:r>
          </w:p>
        </w:tc>
      </w:tr>
      <w:tr w:rsidR="00310FF0" w14:paraId="676A3794" w14:textId="77777777" w:rsidTr="00C60FAD">
        <w:tc>
          <w:tcPr>
            <w:cnfStyle w:val="001000000000" w:firstRow="0" w:lastRow="0" w:firstColumn="1" w:lastColumn="0" w:oddVBand="0" w:evenVBand="0" w:oddHBand="0" w:evenHBand="0" w:firstRowFirstColumn="0" w:firstRowLastColumn="0" w:lastRowFirstColumn="0" w:lastRowLastColumn="0"/>
            <w:tcW w:w="0" w:type="auto"/>
            <w:hideMark/>
          </w:tcPr>
          <w:p w14:paraId="5B54D737" w14:textId="77777777" w:rsidR="00310FF0" w:rsidRPr="00CC10B8" w:rsidRDefault="00310FF0" w:rsidP="00CC10B8">
            <w:r w:rsidRPr="00CC10B8">
              <w:t xml:space="preserve">Reduce barriers to recruiting a gender balanced and diverse workforce </w:t>
            </w:r>
          </w:p>
        </w:tc>
        <w:tc>
          <w:tcPr>
            <w:tcW w:w="0" w:type="auto"/>
            <w:hideMark/>
          </w:tcPr>
          <w:p w14:paraId="60D1518A" w14:textId="77777777" w:rsidR="00310FF0" w:rsidRPr="007C7E43" w:rsidRDefault="00310FF0" w:rsidP="007C7E43">
            <w:pPr>
              <w:cnfStyle w:val="000000000000" w:firstRow="0" w:lastRow="0" w:firstColumn="0" w:lastColumn="0" w:oddVBand="0" w:evenVBand="0" w:oddHBand="0" w:evenHBand="0" w:firstRowFirstColumn="0" w:firstRowLastColumn="0" w:lastRowFirstColumn="0" w:lastRowLastColumn="0"/>
            </w:pPr>
            <w:r w:rsidRPr="007C7E43">
              <w:t>Review end-to-end recruitment and selection policies and processes and develop actions to ensure hiring practices are inclusive to all staff and free from unconscious bias.</w:t>
            </w:r>
          </w:p>
        </w:tc>
        <w:tc>
          <w:tcPr>
            <w:tcW w:w="0" w:type="auto"/>
            <w:hideMark/>
          </w:tcPr>
          <w:p w14:paraId="5931FEF0" w14:textId="4BA35A94" w:rsidR="00310FF0" w:rsidRPr="007C7E43" w:rsidRDefault="00310FF0" w:rsidP="007C7E43">
            <w:pPr>
              <w:cnfStyle w:val="000000000000" w:firstRow="0" w:lastRow="0" w:firstColumn="0" w:lastColumn="0" w:oddVBand="0" w:evenVBand="0" w:oddHBand="0" w:evenHBand="0" w:firstRowFirstColumn="0" w:firstRowLastColumn="0" w:lastRowFirstColumn="0" w:lastRowLastColumn="0"/>
            </w:pPr>
            <w:r w:rsidRPr="007C7E43">
              <w:t>Indicator 5: Recruitment and promotion</w:t>
            </w:r>
          </w:p>
        </w:tc>
        <w:tc>
          <w:tcPr>
            <w:tcW w:w="0" w:type="auto"/>
            <w:hideMark/>
          </w:tcPr>
          <w:p w14:paraId="6E0E14ED" w14:textId="77777777" w:rsidR="00310FF0" w:rsidRPr="007C7E43" w:rsidRDefault="00310FF0" w:rsidP="007C7E43">
            <w:pPr>
              <w:cnfStyle w:val="000000000000" w:firstRow="0" w:lastRow="0" w:firstColumn="0" w:lastColumn="0" w:oddVBand="0" w:evenVBand="0" w:oddHBand="0" w:evenHBand="0" w:firstRowFirstColumn="0" w:firstRowLastColumn="0" w:lastRowFirstColumn="0" w:lastRowLastColumn="0"/>
            </w:pPr>
            <w:r w:rsidRPr="007C7E43">
              <w:t>Year 2, 3</w:t>
            </w:r>
          </w:p>
        </w:tc>
        <w:tc>
          <w:tcPr>
            <w:tcW w:w="0" w:type="auto"/>
            <w:hideMark/>
          </w:tcPr>
          <w:p w14:paraId="2D45BCD6" w14:textId="41979FE8" w:rsidR="00310FF0" w:rsidRPr="007C7E43" w:rsidRDefault="00310FF0" w:rsidP="007C7E43">
            <w:pPr>
              <w:cnfStyle w:val="000000000000" w:firstRow="0" w:lastRow="0" w:firstColumn="0" w:lastColumn="0" w:oddVBand="0" w:evenVBand="0" w:oddHBand="0" w:evenHBand="0" w:firstRowFirstColumn="0" w:firstRowLastColumn="0" w:lastRowFirstColumn="0" w:lastRowLastColumn="0"/>
            </w:pPr>
            <w:r w:rsidRPr="007C7E43">
              <w:t>People &amp; Culture</w:t>
            </w:r>
            <w:r w:rsidR="0016727C">
              <w:t xml:space="preserve"> </w:t>
            </w:r>
            <w:r w:rsidRPr="007C7E43">
              <w:t>(Recruitment &amp; Workforce Services)</w:t>
            </w:r>
          </w:p>
        </w:tc>
      </w:tr>
      <w:tr w:rsidR="00310FF0" w14:paraId="3210D613" w14:textId="77777777" w:rsidTr="00C60FAD">
        <w:tc>
          <w:tcPr>
            <w:cnfStyle w:val="001000000000" w:firstRow="0" w:lastRow="0" w:firstColumn="1" w:lastColumn="0" w:oddVBand="0" w:evenVBand="0" w:oddHBand="0" w:evenHBand="0" w:firstRowFirstColumn="0" w:firstRowLastColumn="0" w:lastRowFirstColumn="0" w:lastRowLastColumn="0"/>
            <w:tcW w:w="0" w:type="auto"/>
            <w:hideMark/>
          </w:tcPr>
          <w:p w14:paraId="70E320CC" w14:textId="77777777" w:rsidR="00310FF0" w:rsidRDefault="00310FF0" w:rsidP="00DC3129">
            <w:pPr>
              <w:rPr>
                <w:rFonts w:eastAsiaTheme="minorEastAsia"/>
                <w:sz w:val="24"/>
                <w:szCs w:val="24"/>
              </w:rPr>
            </w:pPr>
          </w:p>
        </w:tc>
        <w:tc>
          <w:tcPr>
            <w:tcW w:w="0" w:type="auto"/>
            <w:hideMark/>
          </w:tcPr>
          <w:p w14:paraId="546E31DC" w14:textId="77777777" w:rsidR="00310FF0" w:rsidRPr="007C7E43" w:rsidRDefault="00310FF0" w:rsidP="007C7E43">
            <w:pPr>
              <w:cnfStyle w:val="000000000000" w:firstRow="0" w:lastRow="0" w:firstColumn="0" w:lastColumn="0" w:oddVBand="0" w:evenVBand="0" w:oddHBand="0" w:evenHBand="0" w:firstRowFirstColumn="0" w:firstRowLastColumn="0" w:lastRowFirstColumn="0" w:lastRowLastColumn="0"/>
            </w:pPr>
            <w:r w:rsidRPr="007C7E43">
              <w:t>Implement unconscious bias training for hiring managers and those on interview panels to help mangers better understand and eliminate bias from recruitment and selection processes.</w:t>
            </w:r>
          </w:p>
        </w:tc>
        <w:tc>
          <w:tcPr>
            <w:tcW w:w="0" w:type="auto"/>
            <w:hideMark/>
          </w:tcPr>
          <w:p w14:paraId="227BB996" w14:textId="4DDD327F" w:rsidR="00310FF0" w:rsidRPr="007C7E43" w:rsidRDefault="00310FF0" w:rsidP="007C7E43">
            <w:pPr>
              <w:cnfStyle w:val="000000000000" w:firstRow="0" w:lastRow="0" w:firstColumn="0" w:lastColumn="0" w:oddVBand="0" w:evenVBand="0" w:oddHBand="0" w:evenHBand="0" w:firstRowFirstColumn="0" w:firstRowLastColumn="0" w:lastRowFirstColumn="0" w:lastRowLastColumn="0"/>
            </w:pPr>
            <w:r w:rsidRPr="007C7E43">
              <w:t>Indicator 5: Recruitment and promotion</w:t>
            </w:r>
          </w:p>
        </w:tc>
        <w:tc>
          <w:tcPr>
            <w:tcW w:w="0" w:type="auto"/>
            <w:hideMark/>
          </w:tcPr>
          <w:p w14:paraId="7F8B8236" w14:textId="77777777" w:rsidR="00310FF0" w:rsidRPr="007C7E43" w:rsidRDefault="00310FF0" w:rsidP="007C7E43">
            <w:pPr>
              <w:cnfStyle w:val="000000000000" w:firstRow="0" w:lastRow="0" w:firstColumn="0" w:lastColumn="0" w:oddVBand="0" w:evenVBand="0" w:oddHBand="0" w:evenHBand="0" w:firstRowFirstColumn="0" w:firstRowLastColumn="0" w:lastRowFirstColumn="0" w:lastRowLastColumn="0"/>
            </w:pPr>
            <w:r w:rsidRPr="007C7E43">
              <w:t>Year 2</w:t>
            </w:r>
          </w:p>
        </w:tc>
        <w:tc>
          <w:tcPr>
            <w:tcW w:w="0" w:type="auto"/>
            <w:hideMark/>
          </w:tcPr>
          <w:p w14:paraId="260F3FD7" w14:textId="7492DF90" w:rsidR="00310FF0" w:rsidRPr="007C7E43" w:rsidRDefault="00310FF0" w:rsidP="007C7E43">
            <w:pPr>
              <w:cnfStyle w:val="000000000000" w:firstRow="0" w:lastRow="0" w:firstColumn="0" w:lastColumn="0" w:oddVBand="0" w:evenVBand="0" w:oddHBand="0" w:evenHBand="0" w:firstRowFirstColumn="0" w:firstRowLastColumn="0" w:lastRowFirstColumn="0" w:lastRowLastColumn="0"/>
            </w:pPr>
            <w:r w:rsidRPr="007C7E43">
              <w:t>People &amp; Culture</w:t>
            </w:r>
            <w:r w:rsidR="0016727C">
              <w:t xml:space="preserve"> </w:t>
            </w:r>
            <w:r w:rsidRPr="007C7E43">
              <w:t>(Diversity &amp; Inclusion)</w:t>
            </w:r>
          </w:p>
        </w:tc>
      </w:tr>
      <w:tr w:rsidR="00310FF0" w14:paraId="5AD73430" w14:textId="77777777" w:rsidTr="00C60FAD">
        <w:tc>
          <w:tcPr>
            <w:cnfStyle w:val="001000000000" w:firstRow="0" w:lastRow="0" w:firstColumn="1" w:lastColumn="0" w:oddVBand="0" w:evenVBand="0" w:oddHBand="0" w:evenHBand="0" w:firstRowFirstColumn="0" w:firstRowLastColumn="0" w:lastRowFirstColumn="0" w:lastRowLastColumn="0"/>
            <w:tcW w:w="0" w:type="auto"/>
            <w:hideMark/>
          </w:tcPr>
          <w:p w14:paraId="4AF16EDE" w14:textId="77777777" w:rsidR="00310FF0" w:rsidRPr="00CC10B8" w:rsidRDefault="00310FF0" w:rsidP="00CC10B8">
            <w:r w:rsidRPr="00CC10B8">
              <w:t xml:space="preserve">Support women’s career transition and progression from mid-senior VPS roles </w:t>
            </w:r>
          </w:p>
        </w:tc>
        <w:tc>
          <w:tcPr>
            <w:tcW w:w="0" w:type="auto"/>
            <w:hideMark/>
          </w:tcPr>
          <w:p w14:paraId="2B371DEE" w14:textId="77777777" w:rsidR="00310FF0" w:rsidRPr="007C7E43" w:rsidRDefault="00310FF0" w:rsidP="007C7E43">
            <w:pPr>
              <w:cnfStyle w:val="000000000000" w:firstRow="0" w:lastRow="0" w:firstColumn="0" w:lastColumn="0" w:oddVBand="0" w:evenVBand="0" w:oddHBand="0" w:evenHBand="0" w:firstRowFirstColumn="0" w:firstRowLastColumn="0" w:lastRowFirstColumn="0" w:lastRowLastColumn="0"/>
            </w:pPr>
            <w:r w:rsidRPr="007C7E43">
              <w:t>Monitor career development and promotion data to understand if gender and / or diversity bias exists and consider actions to redress imbalance (as part of the annual workplace gender audit).</w:t>
            </w:r>
          </w:p>
        </w:tc>
        <w:tc>
          <w:tcPr>
            <w:tcW w:w="0" w:type="auto"/>
            <w:hideMark/>
          </w:tcPr>
          <w:p w14:paraId="7C8400C9" w14:textId="6F840A56" w:rsidR="00310FF0" w:rsidRPr="007C7E43" w:rsidRDefault="00310FF0" w:rsidP="007C7E43">
            <w:pPr>
              <w:cnfStyle w:val="000000000000" w:firstRow="0" w:lastRow="0" w:firstColumn="0" w:lastColumn="0" w:oddVBand="0" w:evenVBand="0" w:oddHBand="0" w:evenHBand="0" w:firstRowFirstColumn="0" w:firstRowLastColumn="0" w:lastRowFirstColumn="0" w:lastRowLastColumn="0"/>
            </w:pPr>
            <w:r w:rsidRPr="007C7E43">
              <w:t>Indicator 5: Recruitment and promotion</w:t>
            </w:r>
          </w:p>
        </w:tc>
        <w:tc>
          <w:tcPr>
            <w:tcW w:w="0" w:type="auto"/>
            <w:hideMark/>
          </w:tcPr>
          <w:p w14:paraId="6F1F0A3D" w14:textId="11E40B51" w:rsidR="00310FF0" w:rsidRPr="007C7E43" w:rsidRDefault="00310FF0" w:rsidP="007C7E43">
            <w:pPr>
              <w:cnfStyle w:val="000000000000" w:firstRow="0" w:lastRow="0" w:firstColumn="0" w:lastColumn="0" w:oddVBand="0" w:evenVBand="0" w:oddHBand="0" w:evenHBand="0" w:firstRowFirstColumn="0" w:firstRowLastColumn="0" w:lastRowFirstColumn="0" w:lastRowLastColumn="0"/>
            </w:pPr>
            <w:r w:rsidRPr="007C7E43">
              <w:t>Annual</w:t>
            </w:r>
            <w:r w:rsidR="0016727C">
              <w:t xml:space="preserve"> </w:t>
            </w:r>
            <w:r w:rsidRPr="007C7E43">
              <w:t>(Year 1, 2, 3, 4)</w:t>
            </w:r>
          </w:p>
        </w:tc>
        <w:tc>
          <w:tcPr>
            <w:tcW w:w="0" w:type="auto"/>
            <w:hideMark/>
          </w:tcPr>
          <w:p w14:paraId="14D8C3AB" w14:textId="68FECBF9" w:rsidR="00310FF0" w:rsidRPr="007C7E43" w:rsidRDefault="00310FF0" w:rsidP="007C7E43">
            <w:pPr>
              <w:cnfStyle w:val="000000000000" w:firstRow="0" w:lastRow="0" w:firstColumn="0" w:lastColumn="0" w:oddVBand="0" w:evenVBand="0" w:oddHBand="0" w:evenHBand="0" w:firstRowFirstColumn="0" w:firstRowLastColumn="0" w:lastRowFirstColumn="0" w:lastRowLastColumn="0"/>
            </w:pPr>
            <w:r w:rsidRPr="007C7E43">
              <w:t>People &amp; Culture</w:t>
            </w:r>
            <w:r w:rsidR="0016727C">
              <w:t xml:space="preserve"> </w:t>
            </w:r>
            <w:r w:rsidRPr="007C7E43">
              <w:t>(Diversity &amp; Inclusion)</w:t>
            </w:r>
          </w:p>
        </w:tc>
      </w:tr>
      <w:tr w:rsidR="00310FF0" w14:paraId="754F94F4" w14:textId="77777777" w:rsidTr="00C60FAD">
        <w:tc>
          <w:tcPr>
            <w:cnfStyle w:val="001000000000" w:firstRow="0" w:lastRow="0" w:firstColumn="1" w:lastColumn="0" w:oddVBand="0" w:evenVBand="0" w:oddHBand="0" w:evenHBand="0" w:firstRowFirstColumn="0" w:firstRowLastColumn="0" w:lastRowFirstColumn="0" w:lastRowLastColumn="0"/>
            <w:tcW w:w="0" w:type="auto"/>
            <w:hideMark/>
          </w:tcPr>
          <w:p w14:paraId="0CF9F0B4" w14:textId="77777777" w:rsidR="00310FF0" w:rsidRDefault="00310FF0" w:rsidP="00DC3129">
            <w:pPr>
              <w:rPr>
                <w:rFonts w:eastAsiaTheme="minorEastAsia"/>
                <w:sz w:val="24"/>
                <w:szCs w:val="24"/>
              </w:rPr>
            </w:pPr>
          </w:p>
        </w:tc>
        <w:tc>
          <w:tcPr>
            <w:tcW w:w="0" w:type="auto"/>
            <w:hideMark/>
          </w:tcPr>
          <w:p w14:paraId="6B93E601" w14:textId="77777777" w:rsidR="00310FF0" w:rsidRPr="007C7E43" w:rsidRDefault="00310FF0" w:rsidP="007C7E43">
            <w:pPr>
              <w:cnfStyle w:val="000000000000" w:firstRow="0" w:lastRow="0" w:firstColumn="0" w:lastColumn="0" w:oddVBand="0" w:evenVBand="0" w:oddHBand="0" w:evenHBand="0" w:firstRowFirstColumn="0" w:firstRowLastColumn="0" w:lastRowFirstColumn="0" w:lastRowLastColumn="0"/>
            </w:pPr>
            <w:r w:rsidRPr="007C7E43">
              <w:t xml:space="preserve">Identify and implement mentoring, career progression and leadership development opportunities to support women’s career transition and progression from mid-senior VPS roles. </w:t>
            </w:r>
          </w:p>
        </w:tc>
        <w:tc>
          <w:tcPr>
            <w:tcW w:w="0" w:type="auto"/>
            <w:hideMark/>
          </w:tcPr>
          <w:p w14:paraId="23EBB28B" w14:textId="3637098E" w:rsidR="00310FF0" w:rsidRPr="007C7E43" w:rsidRDefault="00310FF0" w:rsidP="007C7E43">
            <w:pPr>
              <w:cnfStyle w:val="000000000000" w:firstRow="0" w:lastRow="0" w:firstColumn="0" w:lastColumn="0" w:oddVBand="0" w:evenVBand="0" w:oddHBand="0" w:evenHBand="0" w:firstRowFirstColumn="0" w:firstRowLastColumn="0" w:lastRowFirstColumn="0" w:lastRowLastColumn="0"/>
            </w:pPr>
            <w:r w:rsidRPr="007C7E43">
              <w:t>Indicator 5: Recruitment and promotion</w:t>
            </w:r>
          </w:p>
        </w:tc>
        <w:tc>
          <w:tcPr>
            <w:tcW w:w="0" w:type="auto"/>
            <w:hideMark/>
          </w:tcPr>
          <w:p w14:paraId="242D53D7" w14:textId="77777777" w:rsidR="00310FF0" w:rsidRPr="007C7E43" w:rsidRDefault="00310FF0" w:rsidP="007C7E43">
            <w:pPr>
              <w:cnfStyle w:val="000000000000" w:firstRow="0" w:lastRow="0" w:firstColumn="0" w:lastColumn="0" w:oddVBand="0" w:evenVBand="0" w:oddHBand="0" w:evenHBand="0" w:firstRowFirstColumn="0" w:firstRowLastColumn="0" w:lastRowFirstColumn="0" w:lastRowLastColumn="0"/>
            </w:pPr>
            <w:r w:rsidRPr="007C7E43">
              <w:t>Year 2, 3</w:t>
            </w:r>
          </w:p>
        </w:tc>
        <w:tc>
          <w:tcPr>
            <w:tcW w:w="0" w:type="auto"/>
            <w:hideMark/>
          </w:tcPr>
          <w:p w14:paraId="79F634AC" w14:textId="21B2F21B" w:rsidR="00310FF0" w:rsidRPr="007C7E43" w:rsidRDefault="00310FF0" w:rsidP="007C7E43">
            <w:pPr>
              <w:cnfStyle w:val="000000000000" w:firstRow="0" w:lastRow="0" w:firstColumn="0" w:lastColumn="0" w:oddVBand="0" w:evenVBand="0" w:oddHBand="0" w:evenHBand="0" w:firstRowFirstColumn="0" w:firstRowLastColumn="0" w:lastRowFirstColumn="0" w:lastRowLastColumn="0"/>
            </w:pPr>
            <w:r w:rsidRPr="007C7E43">
              <w:t>People &amp; Culture</w:t>
            </w:r>
            <w:r w:rsidR="0016727C">
              <w:t xml:space="preserve"> </w:t>
            </w:r>
            <w:r w:rsidRPr="007C7E43">
              <w:t>(Learning &amp; Development)</w:t>
            </w:r>
          </w:p>
        </w:tc>
      </w:tr>
      <w:tr w:rsidR="00310FF0" w14:paraId="2A4200CA" w14:textId="77777777" w:rsidTr="00C60FAD">
        <w:tc>
          <w:tcPr>
            <w:cnfStyle w:val="001000000000" w:firstRow="0" w:lastRow="0" w:firstColumn="1" w:lastColumn="0" w:oddVBand="0" w:evenVBand="0" w:oddHBand="0" w:evenHBand="0" w:firstRowFirstColumn="0" w:firstRowLastColumn="0" w:lastRowFirstColumn="0" w:lastRowLastColumn="0"/>
            <w:tcW w:w="0" w:type="auto"/>
            <w:hideMark/>
          </w:tcPr>
          <w:p w14:paraId="09125931" w14:textId="77777777" w:rsidR="00310FF0" w:rsidRDefault="00310FF0" w:rsidP="00DC3129">
            <w:pPr>
              <w:rPr>
                <w:rFonts w:eastAsiaTheme="minorEastAsia"/>
                <w:sz w:val="24"/>
                <w:szCs w:val="24"/>
              </w:rPr>
            </w:pPr>
          </w:p>
        </w:tc>
        <w:tc>
          <w:tcPr>
            <w:tcW w:w="0" w:type="auto"/>
            <w:hideMark/>
          </w:tcPr>
          <w:p w14:paraId="1FF46CB8" w14:textId="77777777" w:rsidR="00310FF0" w:rsidRPr="007C7E43" w:rsidRDefault="00310FF0" w:rsidP="007C7E43">
            <w:pPr>
              <w:cnfStyle w:val="000000000000" w:firstRow="0" w:lastRow="0" w:firstColumn="0" w:lastColumn="0" w:oddVBand="0" w:evenVBand="0" w:oddHBand="0" w:evenHBand="0" w:firstRowFirstColumn="0" w:firstRowLastColumn="0" w:lastRowFirstColumn="0" w:lastRowLastColumn="0"/>
            </w:pPr>
            <w:r w:rsidRPr="007C7E43">
              <w:t xml:space="preserve">Ongoing commitment to encourage more women into leadership roles through the continued delivery of external </w:t>
            </w:r>
            <w:r w:rsidRPr="007C7E43">
              <w:lastRenderedPageBreak/>
              <w:t>leadership and development programs.</w:t>
            </w:r>
          </w:p>
        </w:tc>
        <w:tc>
          <w:tcPr>
            <w:tcW w:w="0" w:type="auto"/>
            <w:hideMark/>
          </w:tcPr>
          <w:p w14:paraId="7EFB7FFE" w14:textId="6D842076" w:rsidR="00310FF0" w:rsidRPr="007C7E43" w:rsidRDefault="00310FF0" w:rsidP="007C7E43">
            <w:pPr>
              <w:cnfStyle w:val="000000000000" w:firstRow="0" w:lastRow="0" w:firstColumn="0" w:lastColumn="0" w:oddVBand="0" w:evenVBand="0" w:oddHBand="0" w:evenHBand="0" w:firstRowFirstColumn="0" w:firstRowLastColumn="0" w:lastRowFirstColumn="0" w:lastRowLastColumn="0"/>
            </w:pPr>
            <w:r w:rsidRPr="007C7E43">
              <w:lastRenderedPageBreak/>
              <w:t>Indicator 5: Recruitment and promotion</w:t>
            </w:r>
          </w:p>
        </w:tc>
        <w:tc>
          <w:tcPr>
            <w:tcW w:w="0" w:type="auto"/>
            <w:hideMark/>
          </w:tcPr>
          <w:p w14:paraId="116A3979" w14:textId="7C7CDEE8" w:rsidR="00310FF0" w:rsidRPr="007C7E43" w:rsidRDefault="00310FF0" w:rsidP="007C7E43">
            <w:pPr>
              <w:cnfStyle w:val="000000000000" w:firstRow="0" w:lastRow="0" w:firstColumn="0" w:lastColumn="0" w:oddVBand="0" w:evenVBand="0" w:oddHBand="0" w:evenHBand="0" w:firstRowFirstColumn="0" w:firstRowLastColumn="0" w:lastRowFirstColumn="0" w:lastRowLastColumn="0"/>
            </w:pPr>
            <w:r w:rsidRPr="007C7E43">
              <w:t>Annual</w:t>
            </w:r>
            <w:r w:rsidR="0016727C">
              <w:t xml:space="preserve"> </w:t>
            </w:r>
            <w:r w:rsidRPr="007C7E43">
              <w:t>(Year 1, 2, 3, 4)</w:t>
            </w:r>
          </w:p>
        </w:tc>
        <w:tc>
          <w:tcPr>
            <w:tcW w:w="0" w:type="auto"/>
            <w:hideMark/>
          </w:tcPr>
          <w:p w14:paraId="332B96B9" w14:textId="5D806516" w:rsidR="00310FF0" w:rsidRPr="007C7E43" w:rsidRDefault="00310FF0" w:rsidP="007C7E43">
            <w:pPr>
              <w:cnfStyle w:val="000000000000" w:firstRow="0" w:lastRow="0" w:firstColumn="0" w:lastColumn="0" w:oddVBand="0" w:evenVBand="0" w:oddHBand="0" w:evenHBand="0" w:firstRowFirstColumn="0" w:firstRowLastColumn="0" w:lastRowFirstColumn="0" w:lastRowLastColumn="0"/>
            </w:pPr>
            <w:r w:rsidRPr="007C7E43">
              <w:t>People &amp; Culture</w:t>
            </w:r>
            <w:r w:rsidR="0016727C">
              <w:t xml:space="preserve"> </w:t>
            </w:r>
            <w:r w:rsidRPr="007C7E43">
              <w:t>(Learning &amp; Development)</w:t>
            </w:r>
          </w:p>
        </w:tc>
      </w:tr>
      <w:tr w:rsidR="008A7C27" w14:paraId="10C590E7" w14:textId="77777777" w:rsidTr="00C60FAD">
        <w:tc>
          <w:tcPr>
            <w:cnfStyle w:val="001000000000" w:firstRow="0" w:lastRow="0" w:firstColumn="1" w:lastColumn="0" w:oddVBand="0" w:evenVBand="0" w:oddHBand="0" w:evenHBand="0" w:firstRowFirstColumn="0" w:firstRowLastColumn="0" w:lastRowFirstColumn="0" w:lastRowLastColumn="0"/>
            <w:tcW w:w="0" w:type="auto"/>
            <w:hideMark/>
          </w:tcPr>
          <w:p w14:paraId="41250718" w14:textId="327DAB51" w:rsidR="008A7C27" w:rsidRPr="007C7E43" w:rsidRDefault="008A7C27" w:rsidP="007C7E43">
            <w:r w:rsidRPr="007C7E43">
              <w:t xml:space="preserve">Develop strategies to reduce workplace gendered segregation </w:t>
            </w:r>
          </w:p>
        </w:tc>
        <w:tc>
          <w:tcPr>
            <w:tcW w:w="0" w:type="auto"/>
            <w:hideMark/>
          </w:tcPr>
          <w:p w14:paraId="448E0906" w14:textId="77777777" w:rsidR="008A7C27" w:rsidRPr="007C7E43" w:rsidRDefault="008A7C27" w:rsidP="007C7E43">
            <w:pPr>
              <w:cnfStyle w:val="000000000000" w:firstRow="0" w:lastRow="0" w:firstColumn="0" w:lastColumn="0" w:oddVBand="0" w:evenVBand="0" w:oddHBand="0" w:evenHBand="0" w:firstRowFirstColumn="0" w:firstRowLastColumn="0" w:lastRowFirstColumn="0" w:lastRowLastColumn="0"/>
            </w:pPr>
            <w:r w:rsidRPr="007C7E43">
              <w:t>Identify groups and occupations where there is an under or overrepresentation of women or men and consider strategies to redress this imbalance (as part of the annual workplace gender audit).</w:t>
            </w:r>
          </w:p>
        </w:tc>
        <w:tc>
          <w:tcPr>
            <w:tcW w:w="0" w:type="auto"/>
            <w:hideMark/>
          </w:tcPr>
          <w:p w14:paraId="17FCF4D6" w14:textId="1A21FE99" w:rsidR="008A7C27" w:rsidRPr="007C7E43" w:rsidRDefault="008A7C27" w:rsidP="007C7E43">
            <w:pPr>
              <w:cnfStyle w:val="000000000000" w:firstRow="0" w:lastRow="0" w:firstColumn="0" w:lastColumn="0" w:oddVBand="0" w:evenVBand="0" w:oddHBand="0" w:evenHBand="0" w:firstRowFirstColumn="0" w:firstRowLastColumn="0" w:lastRowFirstColumn="0" w:lastRowLastColumn="0"/>
            </w:pPr>
            <w:r w:rsidRPr="007C7E43">
              <w:t>Indicator 7: Gendered work segregation</w:t>
            </w:r>
          </w:p>
        </w:tc>
        <w:tc>
          <w:tcPr>
            <w:tcW w:w="0" w:type="auto"/>
            <w:hideMark/>
          </w:tcPr>
          <w:p w14:paraId="5E497E6C" w14:textId="2D5FEF97" w:rsidR="008A7C27" w:rsidRPr="007C7E43" w:rsidRDefault="008A7C27" w:rsidP="007C7E43">
            <w:pPr>
              <w:cnfStyle w:val="000000000000" w:firstRow="0" w:lastRow="0" w:firstColumn="0" w:lastColumn="0" w:oddVBand="0" w:evenVBand="0" w:oddHBand="0" w:evenHBand="0" w:firstRowFirstColumn="0" w:firstRowLastColumn="0" w:lastRowFirstColumn="0" w:lastRowLastColumn="0"/>
            </w:pPr>
            <w:r w:rsidRPr="007C7E43">
              <w:t>Annual</w:t>
            </w:r>
            <w:r>
              <w:t xml:space="preserve"> </w:t>
            </w:r>
            <w:r w:rsidRPr="007C7E43">
              <w:t>(Year 1, 2, 3, 4)</w:t>
            </w:r>
          </w:p>
        </w:tc>
        <w:tc>
          <w:tcPr>
            <w:tcW w:w="0" w:type="auto"/>
            <w:hideMark/>
          </w:tcPr>
          <w:p w14:paraId="4483D66B" w14:textId="547736C4" w:rsidR="008A7C27" w:rsidRPr="007C7E43" w:rsidRDefault="008A7C27" w:rsidP="007C7E43">
            <w:pPr>
              <w:cnfStyle w:val="000000000000" w:firstRow="0" w:lastRow="0" w:firstColumn="0" w:lastColumn="0" w:oddVBand="0" w:evenVBand="0" w:oddHBand="0" w:evenHBand="0" w:firstRowFirstColumn="0" w:firstRowLastColumn="0" w:lastRowFirstColumn="0" w:lastRowLastColumn="0"/>
            </w:pPr>
            <w:r w:rsidRPr="007C7E43">
              <w:t>People &amp; Culture</w:t>
            </w:r>
            <w:r>
              <w:t xml:space="preserve"> </w:t>
            </w:r>
            <w:r w:rsidRPr="007C7E43">
              <w:t>(Diversity &amp; Inclusion)</w:t>
            </w:r>
          </w:p>
        </w:tc>
      </w:tr>
      <w:tr w:rsidR="008A7C27" w14:paraId="646DA351" w14:textId="77777777" w:rsidTr="00C60FAD">
        <w:tc>
          <w:tcPr>
            <w:cnfStyle w:val="001000000000" w:firstRow="0" w:lastRow="0" w:firstColumn="1" w:lastColumn="0" w:oddVBand="0" w:evenVBand="0" w:oddHBand="0" w:evenHBand="0" w:firstRowFirstColumn="0" w:firstRowLastColumn="0" w:lastRowFirstColumn="0" w:lastRowLastColumn="0"/>
            <w:tcW w:w="0" w:type="auto"/>
            <w:hideMark/>
          </w:tcPr>
          <w:p w14:paraId="0654B315" w14:textId="77777777" w:rsidR="008A7C27" w:rsidRDefault="008A7C27" w:rsidP="00DC3129">
            <w:pPr>
              <w:rPr>
                <w:rFonts w:eastAsiaTheme="minorEastAsia"/>
                <w:sz w:val="24"/>
                <w:szCs w:val="24"/>
              </w:rPr>
            </w:pPr>
          </w:p>
        </w:tc>
        <w:tc>
          <w:tcPr>
            <w:tcW w:w="0" w:type="auto"/>
            <w:hideMark/>
          </w:tcPr>
          <w:p w14:paraId="7A66D2D7" w14:textId="77777777" w:rsidR="008A7C27" w:rsidRPr="007C7E43" w:rsidRDefault="008A7C27" w:rsidP="007C7E43">
            <w:pPr>
              <w:cnfStyle w:val="000000000000" w:firstRow="0" w:lastRow="0" w:firstColumn="0" w:lastColumn="0" w:oddVBand="0" w:evenVBand="0" w:oddHBand="0" w:evenHBand="0" w:firstRowFirstColumn="0" w:firstRowLastColumn="0" w:lastRowFirstColumn="0" w:lastRowLastColumn="0"/>
            </w:pPr>
            <w:r w:rsidRPr="007C7E43">
              <w:t>Raise awareness of workplace gendered segregation and the impact gender stereotypes can have on women in the workplace.</w:t>
            </w:r>
          </w:p>
        </w:tc>
        <w:tc>
          <w:tcPr>
            <w:tcW w:w="0" w:type="auto"/>
            <w:hideMark/>
          </w:tcPr>
          <w:p w14:paraId="55B3745F" w14:textId="60ECD8A2" w:rsidR="008A7C27" w:rsidRPr="007C7E43" w:rsidRDefault="008A7C27" w:rsidP="007C7E43">
            <w:pPr>
              <w:cnfStyle w:val="000000000000" w:firstRow="0" w:lastRow="0" w:firstColumn="0" w:lastColumn="0" w:oddVBand="0" w:evenVBand="0" w:oddHBand="0" w:evenHBand="0" w:firstRowFirstColumn="0" w:firstRowLastColumn="0" w:lastRowFirstColumn="0" w:lastRowLastColumn="0"/>
            </w:pPr>
            <w:r w:rsidRPr="007C7E43">
              <w:t>Indicator 7: Gendered work segregation</w:t>
            </w:r>
          </w:p>
        </w:tc>
        <w:tc>
          <w:tcPr>
            <w:tcW w:w="0" w:type="auto"/>
            <w:hideMark/>
          </w:tcPr>
          <w:p w14:paraId="60843A80" w14:textId="77777777" w:rsidR="008A7C27" w:rsidRPr="007C7E43" w:rsidRDefault="008A7C27" w:rsidP="007C7E43">
            <w:pPr>
              <w:cnfStyle w:val="000000000000" w:firstRow="0" w:lastRow="0" w:firstColumn="0" w:lastColumn="0" w:oddVBand="0" w:evenVBand="0" w:oddHBand="0" w:evenHBand="0" w:firstRowFirstColumn="0" w:firstRowLastColumn="0" w:lastRowFirstColumn="0" w:lastRowLastColumn="0"/>
            </w:pPr>
            <w:r w:rsidRPr="007C7E43">
              <w:t>Year 2</w:t>
            </w:r>
          </w:p>
        </w:tc>
        <w:tc>
          <w:tcPr>
            <w:tcW w:w="0" w:type="auto"/>
            <w:hideMark/>
          </w:tcPr>
          <w:p w14:paraId="4BC5201C" w14:textId="77777777" w:rsidR="008A7C27" w:rsidRPr="007C7E43" w:rsidRDefault="008A7C27" w:rsidP="007C7E43">
            <w:pPr>
              <w:cnfStyle w:val="000000000000" w:firstRow="0" w:lastRow="0" w:firstColumn="0" w:lastColumn="0" w:oddVBand="0" w:evenVBand="0" w:oddHBand="0" w:evenHBand="0" w:firstRowFirstColumn="0" w:firstRowLastColumn="0" w:lastRowFirstColumn="0" w:lastRowLastColumn="0"/>
            </w:pPr>
            <w:r w:rsidRPr="007C7E43">
              <w:t>Strategic Communications, Engagement and Protocol (Internal Communications)</w:t>
            </w:r>
          </w:p>
        </w:tc>
      </w:tr>
    </w:tbl>
    <w:p w14:paraId="27FC51D8" w14:textId="77777777" w:rsidR="00EB5B0D" w:rsidRDefault="00EB5B0D">
      <w:pPr>
        <w:spacing w:after="0" w:line="240" w:lineRule="auto"/>
        <w:rPr>
          <w:rFonts w:eastAsia="MS Gothic"/>
          <w:bCs/>
          <w:color w:val="542682"/>
          <w:sz w:val="32"/>
          <w:szCs w:val="26"/>
        </w:rPr>
      </w:pPr>
      <w:r>
        <w:br w:type="page"/>
      </w:r>
    </w:p>
    <w:p w14:paraId="5D1F4FC3" w14:textId="395FB700" w:rsidR="00310FF0" w:rsidRPr="007C7E43" w:rsidRDefault="00310FF0" w:rsidP="0016727C">
      <w:pPr>
        <w:pStyle w:val="Heading3"/>
      </w:pPr>
      <w:bookmarkStart w:id="17" w:name="_Toc114211280"/>
      <w:r w:rsidRPr="007C7E43">
        <w:lastRenderedPageBreak/>
        <w:t>Action Area 4: Creating a safe, respectful, and inclusive workplace</w:t>
      </w:r>
      <w:bookmarkEnd w:id="17"/>
    </w:p>
    <w:p w14:paraId="1543D6EA" w14:textId="53C94099" w:rsidR="00310FF0" w:rsidRPr="0074740E" w:rsidRDefault="00310FF0" w:rsidP="0074740E">
      <w:r w:rsidRPr="0074740E">
        <w:t>DPC is committed to creating a safe, respectful, and inclusive workplace that takes a zero-tolerance approach</w:t>
      </w:r>
      <w:r w:rsidR="00C60FAD">
        <w:t xml:space="preserve"> </w:t>
      </w:r>
      <w:r w:rsidRPr="0074740E">
        <w:t xml:space="preserve">to sexual harassment, violence, bullying and discrimination and supports people experiencing family violence </w:t>
      </w:r>
    </w:p>
    <w:tbl>
      <w:tblPr>
        <w:tblStyle w:val="GridTable1Light"/>
        <w:tblW w:w="0" w:type="auto"/>
        <w:tblLook w:val="04A0" w:firstRow="1" w:lastRow="0" w:firstColumn="1" w:lastColumn="0" w:noHBand="0" w:noVBand="1"/>
      </w:tblPr>
      <w:tblGrid>
        <w:gridCol w:w="2040"/>
        <w:gridCol w:w="2425"/>
        <w:gridCol w:w="1437"/>
        <w:gridCol w:w="1062"/>
        <w:gridCol w:w="2052"/>
      </w:tblGrid>
      <w:tr w:rsidR="00310FF0" w14:paraId="401959C3" w14:textId="77777777" w:rsidTr="00C60FA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hideMark/>
          </w:tcPr>
          <w:p w14:paraId="66989823" w14:textId="77777777" w:rsidR="00310FF0" w:rsidRPr="00B70C76" w:rsidRDefault="00310FF0" w:rsidP="00B70C76">
            <w:pPr>
              <w:pStyle w:val="Tablecolhead"/>
              <w:rPr>
                <w:b/>
                <w:bCs w:val="0"/>
              </w:rPr>
            </w:pPr>
            <w:r w:rsidRPr="00B70C76">
              <w:rPr>
                <w:b/>
                <w:bCs w:val="0"/>
              </w:rPr>
              <w:t>Goal</w:t>
            </w:r>
          </w:p>
        </w:tc>
        <w:tc>
          <w:tcPr>
            <w:tcW w:w="0" w:type="auto"/>
            <w:hideMark/>
          </w:tcPr>
          <w:p w14:paraId="07115B59" w14:textId="77777777" w:rsidR="00310FF0" w:rsidRPr="00B70C76" w:rsidRDefault="00310FF0" w:rsidP="00B70C76">
            <w:pPr>
              <w:pStyle w:val="Tablecolhead"/>
              <w:cnfStyle w:val="100000000000" w:firstRow="1" w:lastRow="0" w:firstColumn="0" w:lastColumn="0" w:oddVBand="0" w:evenVBand="0" w:oddHBand="0" w:evenHBand="0" w:firstRowFirstColumn="0" w:firstRowLastColumn="0" w:lastRowFirstColumn="0" w:lastRowLastColumn="0"/>
              <w:rPr>
                <w:b/>
                <w:bCs w:val="0"/>
              </w:rPr>
            </w:pPr>
            <w:r w:rsidRPr="00B70C76">
              <w:rPr>
                <w:b/>
                <w:bCs w:val="0"/>
              </w:rPr>
              <w:t>Strategies</w:t>
            </w:r>
          </w:p>
        </w:tc>
        <w:tc>
          <w:tcPr>
            <w:tcW w:w="0" w:type="auto"/>
            <w:hideMark/>
          </w:tcPr>
          <w:p w14:paraId="3FEA16A3" w14:textId="77777777" w:rsidR="00310FF0" w:rsidRPr="00B70C76" w:rsidRDefault="00310FF0" w:rsidP="00B70C76">
            <w:pPr>
              <w:pStyle w:val="Tablecolhead"/>
              <w:cnfStyle w:val="100000000000" w:firstRow="1" w:lastRow="0" w:firstColumn="0" w:lastColumn="0" w:oddVBand="0" w:evenVBand="0" w:oddHBand="0" w:evenHBand="0" w:firstRowFirstColumn="0" w:firstRowLastColumn="0" w:lastRowFirstColumn="0" w:lastRowLastColumn="0"/>
              <w:rPr>
                <w:b/>
                <w:bCs w:val="0"/>
              </w:rPr>
            </w:pPr>
            <w:r w:rsidRPr="00B70C76">
              <w:rPr>
                <w:b/>
                <w:bCs w:val="0"/>
              </w:rPr>
              <w:t>Workplace Gender Equality Indicator</w:t>
            </w:r>
          </w:p>
        </w:tc>
        <w:tc>
          <w:tcPr>
            <w:tcW w:w="0" w:type="auto"/>
            <w:hideMark/>
          </w:tcPr>
          <w:p w14:paraId="127332A0" w14:textId="77777777" w:rsidR="00310FF0" w:rsidRPr="00B70C76" w:rsidRDefault="00310FF0" w:rsidP="00B70C76">
            <w:pPr>
              <w:pStyle w:val="Tablecolhead"/>
              <w:cnfStyle w:val="100000000000" w:firstRow="1" w:lastRow="0" w:firstColumn="0" w:lastColumn="0" w:oddVBand="0" w:evenVBand="0" w:oddHBand="0" w:evenHBand="0" w:firstRowFirstColumn="0" w:firstRowLastColumn="0" w:lastRowFirstColumn="0" w:lastRowLastColumn="0"/>
              <w:rPr>
                <w:b/>
                <w:bCs w:val="0"/>
              </w:rPr>
            </w:pPr>
            <w:r w:rsidRPr="00B70C76">
              <w:rPr>
                <w:b/>
                <w:bCs w:val="0"/>
              </w:rPr>
              <w:t xml:space="preserve">Timing </w:t>
            </w:r>
          </w:p>
        </w:tc>
        <w:tc>
          <w:tcPr>
            <w:tcW w:w="0" w:type="auto"/>
            <w:hideMark/>
          </w:tcPr>
          <w:p w14:paraId="6869DB92" w14:textId="77777777" w:rsidR="00310FF0" w:rsidRPr="00B70C76" w:rsidRDefault="00310FF0" w:rsidP="00B70C76">
            <w:pPr>
              <w:pStyle w:val="Tablecolhead"/>
              <w:cnfStyle w:val="100000000000" w:firstRow="1" w:lastRow="0" w:firstColumn="0" w:lastColumn="0" w:oddVBand="0" w:evenVBand="0" w:oddHBand="0" w:evenHBand="0" w:firstRowFirstColumn="0" w:firstRowLastColumn="0" w:lastRowFirstColumn="0" w:lastRowLastColumn="0"/>
              <w:rPr>
                <w:b/>
                <w:bCs w:val="0"/>
              </w:rPr>
            </w:pPr>
            <w:r w:rsidRPr="00B70C76">
              <w:rPr>
                <w:b/>
                <w:bCs w:val="0"/>
              </w:rPr>
              <w:t xml:space="preserve">Responsibility </w:t>
            </w:r>
          </w:p>
        </w:tc>
      </w:tr>
      <w:tr w:rsidR="00310FF0" w14:paraId="15662FF7" w14:textId="77777777" w:rsidTr="00C60FAD">
        <w:tc>
          <w:tcPr>
            <w:cnfStyle w:val="001000000000" w:firstRow="0" w:lastRow="0" w:firstColumn="1" w:lastColumn="0" w:oddVBand="0" w:evenVBand="0" w:oddHBand="0" w:evenHBand="0" w:firstRowFirstColumn="0" w:firstRowLastColumn="0" w:lastRowFirstColumn="0" w:lastRowLastColumn="0"/>
            <w:tcW w:w="0" w:type="auto"/>
            <w:hideMark/>
          </w:tcPr>
          <w:p w14:paraId="279572FF" w14:textId="77777777" w:rsidR="00310FF0" w:rsidRPr="00CC10B8" w:rsidRDefault="00310FF0" w:rsidP="00CC10B8">
            <w:r w:rsidRPr="00CC10B8">
              <w:t>Ensure employees experiencing or impacted by family violence feel safe and supported at work</w:t>
            </w:r>
          </w:p>
        </w:tc>
        <w:tc>
          <w:tcPr>
            <w:tcW w:w="0" w:type="auto"/>
            <w:hideMark/>
          </w:tcPr>
          <w:p w14:paraId="2B695C5B" w14:textId="77777777" w:rsidR="00310FF0" w:rsidRPr="007C7E43" w:rsidRDefault="00310FF0" w:rsidP="007C7E43">
            <w:pPr>
              <w:cnfStyle w:val="000000000000" w:firstRow="0" w:lastRow="0" w:firstColumn="0" w:lastColumn="0" w:oddVBand="0" w:evenVBand="0" w:oddHBand="0" w:evenHBand="0" w:firstRowFirstColumn="0" w:firstRowLastColumn="0" w:lastRowFirstColumn="0" w:lastRowLastColumn="0"/>
            </w:pPr>
            <w:r w:rsidRPr="007C7E43">
              <w:t>Review DPC’s Family Violence policies, processes and supports to ensure they are victim-centric and reflect sector best practice.</w:t>
            </w:r>
          </w:p>
        </w:tc>
        <w:tc>
          <w:tcPr>
            <w:tcW w:w="0" w:type="auto"/>
            <w:hideMark/>
          </w:tcPr>
          <w:p w14:paraId="0408DFFC" w14:textId="6B59CDDE" w:rsidR="00310FF0" w:rsidRPr="007C7E43" w:rsidRDefault="00310FF0" w:rsidP="007C7E43">
            <w:pPr>
              <w:cnfStyle w:val="000000000000" w:firstRow="0" w:lastRow="0" w:firstColumn="0" w:lastColumn="0" w:oddVBand="0" w:evenVBand="0" w:oddHBand="0" w:evenHBand="0" w:firstRowFirstColumn="0" w:firstRowLastColumn="0" w:lastRowFirstColumn="0" w:lastRowLastColumn="0"/>
            </w:pPr>
            <w:r w:rsidRPr="007C7E43">
              <w:t>Indicator 6: Flexible working and leave</w:t>
            </w:r>
          </w:p>
        </w:tc>
        <w:tc>
          <w:tcPr>
            <w:tcW w:w="0" w:type="auto"/>
            <w:hideMark/>
          </w:tcPr>
          <w:p w14:paraId="6385809D" w14:textId="77777777" w:rsidR="00310FF0" w:rsidRPr="007C7E43" w:rsidRDefault="00310FF0" w:rsidP="007C7E43">
            <w:pPr>
              <w:cnfStyle w:val="000000000000" w:firstRow="0" w:lastRow="0" w:firstColumn="0" w:lastColumn="0" w:oddVBand="0" w:evenVBand="0" w:oddHBand="0" w:evenHBand="0" w:firstRowFirstColumn="0" w:firstRowLastColumn="0" w:lastRowFirstColumn="0" w:lastRowLastColumn="0"/>
            </w:pPr>
            <w:r w:rsidRPr="007C7E43">
              <w:t>Year 2</w:t>
            </w:r>
          </w:p>
        </w:tc>
        <w:tc>
          <w:tcPr>
            <w:tcW w:w="0" w:type="auto"/>
            <w:hideMark/>
          </w:tcPr>
          <w:p w14:paraId="13A3FE79" w14:textId="3B1C825F" w:rsidR="00310FF0" w:rsidRPr="007C7E43" w:rsidRDefault="00310FF0" w:rsidP="007C7E43">
            <w:pPr>
              <w:cnfStyle w:val="000000000000" w:firstRow="0" w:lastRow="0" w:firstColumn="0" w:lastColumn="0" w:oddVBand="0" w:evenVBand="0" w:oddHBand="0" w:evenHBand="0" w:firstRowFirstColumn="0" w:firstRowLastColumn="0" w:lastRowFirstColumn="0" w:lastRowLastColumn="0"/>
            </w:pPr>
            <w:r w:rsidRPr="007C7E43">
              <w:t>People &amp; Culture</w:t>
            </w:r>
            <w:r w:rsidR="00C60FAD">
              <w:t xml:space="preserve"> </w:t>
            </w:r>
            <w:r w:rsidRPr="007C7E43">
              <w:t xml:space="preserve">(Diversity &amp; Inclusion / Health Safety &amp; Wellbeing) </w:t>
            </w:r>
          </w:p>
        </w:tc>
      </w:tr>
      <w:tr w:rsidR="00310FF0" w14:paraId="730EC384" w14:textId="77777777" w:rsidTr="00C60FAD">
        <w:tc>
          <w:tcPr>
            <w:cnfStyle w:val="001000000000" w:firstRow="0" w:lastRow="0" w:firstColumn="1" w:lastColumn="0" w:oddVBand="0" w:evenVBand="0" w:oddHBand="0" w:evenHBand="0" w:firstRowFirstColumn="0" w:firstRowLastColumn="0" w:lastRowFirstColumn="0" w:lastRowLastColumn="0"/>
            <w:tcW w:w="0" w:type="auto"/>
            <w:hideMark/>
          </w:tcPr>
          <w:p w14:paraId="0C4ADF90" w14:textId="77777777" w:rsidR="00310FF0" w:rsidRDefault="00310FF0" w:rsidP="00DC3129">
            <w:pPr>
              <w:rPr>
                <w:rFonts w:eastAsiaTheme="minorEastAsia"/>
                <w:sz w:val="24"/>
                <w:szCs w:val="24"/>
              </w:rPr>
            </w:pPr>
          </w:p>
        </w:tc>
        <w:tc>
          <w:tcPr>
            <w:tcW w:w="0" w:type="auto"/>
            <w:hideMark/>
          </w:tcPr>
          <w:p w14:paraId="2F6F6012" w14:textId="61D5472E" w:rsidR="00310FF0" w:rsidRPr="007C7E43" w:rsidRDefault="00310FF0" w:rsidP="007C7E43">
            <w:pPr>
              <w:cnfStyle w:val="000000000000" w:firstRow="0" w:lastRow="0" w:firstColumn="0" w:lastColumn="0" w:oddVBand="0" w:evenVBand="0" w:oddHBand="0" w:evenHBand="0" w:firstRowFirstColumn="0" w:firstRowLastColumn="0" w:lastRowFirstColumn="0" w:lastRowLastColumn="0"/>
            </w:pPr>
            <w:r w:rsidRPr="007C7E43">
              <w:t xml:space="preserve">Continue to communicate that family violence is a workplace issue through raising awareness and promoting family violence policies, resources and supports available to employees experiencing family violence. </w:t>
            </w:r>
          </w:p>
        </w:tc>
        <w:tc>
          <w:tcPr>
            <w:tcW w:w="0" w:type="auto"/>
            <w:hideMark/>
          </w:tcPr>
          <w:p w14:paraId="5EC55453" w14:textId="203922B0" w:rsidR="00310FF0" w:rsidRPr="007C7E43" w:rsidRDefault="00310FF0" w:rsidP="007C7E43">
            <w:pPr>
              <w:cnfStyle w:val="000000000000" w:firstRow="0" w:lastRow="0" w:firstColumn="0" w:lastColumn="0" w:oddVBand="0" w:evenVBand="0" w:oddHBand="0" w:evenHBand="0" w:firstRowFirstColumn="0" w:firstRowLastColumn="0" w:lastRowFirstColumn="0" w:lastRowLastColumn="0"/>
            </w:pPr>
            <w:r w:rsidRPr="007C7E43">
              <w:t>Indicator 6: Flexible working and leave</w:t>
            </w:r>
          </w:p>
        </w:tc>
        <w:tc>
          <w:tcPr>
            <w:tcW w:w="0" w:type="auto"/>
            <w:hideMark/>
          </w:tcPr>
          <w:p w14:paraId="7AEE7B21" w14:textId="692785AE" w:rsidR="00310FF0" w:rsidRPr="007C7E43" w:rsidRDefault="00310FF0" w:rsidP="00C60FAD">
            <w:pPr>
              <w:cnfStyle w:val="000000000000" w:firstRow="0" w:lastRow="0" w:firstColumn="0" w:lastColumn="0" w:oddVBand="0" w:evenVBand="0" w:oddHBand="0" w:evenHBand="0" w:firstRowFirstColumn="0" w:firstRowLastColumn="0" w:lastRowFirstColumn="0" w:lastRowLastColumn="0"/>
            </w:pPr>
            <w:r w:rsidRPr="007C7E43">
              <w:t>Ongoing</w:t>
            </w:r>
            <w:r w:rsidR="00C60FAD">
              <w:t xml:space="preserve"> </w:t>
            </w:r>
            <w:r w:rsidRPr="007C7E43">
              <w:t>(Year 1, 2, 3, 4)</w:t>
            </w:r>
          </w:p>
        </w:tc>
        <w:tc>
          <w:tcPr>
            <w:tcW w:w="0" w:type="auto"/>
            <w:hideMark/>
          </w:tcPr>
          <w:p w14:paraId="29F69069" w14:textId="77777777" w:rsidR="00310FF0" w:rsidRPr="007C7E43" w:rsidRDefault="00310FF0" w:rsidP="007C7E43">
            <w:pPr>
              <w:cnfStyle w:val="000000000000" w:firstRow="0" w:lastRow="0" w:firstColumn="0" w:lastColumn="0" w:oddVBand="0" w:evenVBand="0" w:oddHBand="0" w:evenHBand="0" w:firstRowFirstColumn="0" w:firstRowLastColumn="0" w:lastRowFirstColumn="0" w:lastRowLastColumn="0"/>
            </w:pPr>
            <w:r w:rsidRPr="007C7E43">
              <w:t>Strategic Communications, Engagement and Protocol (Internal Communications)</w:t>
            </w:r>
          </w:p>
        </w:tc>
      </w:tr>
      <w:tr w:rsidR="00310FF0" w14:paraId="3308A58B" w14:textId="77777777" w:rsidTr="00C60FAD">
        <w:tc>
          <w:tcPr>
            <w:cnfStyle w:val="001000000000" w:firstRow="0" w:lastRow="0" w:firstColumn="1" w:lastColumn="0" w:oddVBand="0" w:evenVBand="0" w:oddHBand="0" w:evenHBand="0" w:firstRowFirstColumn="0" w:firstRowLastColumn="0" w:lastRowFirstColumn="0" w:lastRowLastColumn="0"/>
            <w:tcW w:w="0" w:type="auto"/>
            <w:hideMark/>
          </w:tcPr>
          <w:p w14:paraId="186F81B6" w14:textId="77777777" w:rsidR="00310FF0" w:rsidRDefault="00310FF0" w:rsidP="00DC3129">
            <w:pPr>
              <w:rPr>
                <w:rFonts w:eastAsiaTheme="minorEastAsia"/>
                <w:sz w:val="24"/>
                <w:szCs w:val="24"/>
              </w:rPr>
            </w:pPr>
          </w:p>
        </w:tc>
        <w:tc>
          <w:tcPr>
            <w:tcW w:w="0" w:type="auto"/>
            <w:hideMark/>
          </w:tcPr>
          <w:p w14:paraId="08CFE62F" w14:textId="77777777" w:rsidR="00310FF0" w:rsidRPr="007C7E43" w:rsidRDefault="00310FF0" w:rsidP="007C7E43">
            <w:pPr>
              <w:cnfStyle w:val="000000000000" w:firstRow="0" w:lastRow="0" w:firstColumn="0" w:lastColumn="0" w:oddVBand="0" w:evenVBand="0" w:oddHBand="0" w:evenHBand="0" w:firstRowFirstColumn="0" w:firstRowLastColumn="0" w:lastRowFirstColumn="0" w:lastRowLastColumn="0"/>
            </w:pPr>
            <w:r w:rsidRPr="007C7E43">
              <w:t>Explore options to review and refresh family violence training for all Executives, managers, and Family Violence Contact Officers to assist them to support employees experiencing or impacted by family violence.</w:t>
            </w:r>
          </w:p>
        </w:tc>
        <w:tc>
          <w:tcPr>
            <w:tcW w:w="0" w:type="auto"/>
            <w:hideMark/>
          </w:tcPr>
          <w:p w14:paraId="2ABE3BFE" w14:textId="3B4DDFB8" w:rsidR="00310FF0" w:rsidRPr="007C7E43" w:rsidRDefault="00310FF0" w:rsidP="007C7E43">
            <w:pPr>
              <w:cnfStyle w:val="000000000000" w:firstRow="0" w:lastRow="0" w:firstColumn="0" w:lastColumn="0" w:oddVBand="0" w:evenVBand="0" w:oddHBand="0" w:evenHBand="0" w:firstRowFirstColumn="0" w:firstRowLastColumn="0" w:lastRowFirstColumn="0" w:lastRowLastColumn="0"/>
            </w:pPr>
            <w:r w:rsidRPr="007C7E43">
              <w:t>Indicator 6: Flexible working</w:t>
            </w:r>
            <w:r w:rsidR="00C60FAD">
              <w:t xml:space="preserve"> </w:t>
            </w:r>
            <w:r w:rsidRPr="007C7E43">
              <w:t>and leave</w:t>
            </w:r>
          </w:p>
        </w:tc>
        <w:tc>
          <w:tcPr>
            <w:tcW w:w="0" w:type="auto"/>
            <w:hideMark/>
          </w:tcPr>
          <w:p w14:paraId="5F104B79" w14:textId="77777777" w:rsidR="00310FF0" w:rsidRPr="007C7E43" w:rsidRDefault="00310FF0" w:rsidP="007C7E43">
            <w:pPr>
              <w:cnfStyle w:val="000000000000" w:firstRow="0" w:lastRow="0" w:firstColumn="0" w:lastColumn="0" w:oddVBand="0" w:evenVBand="0" w:oddHBand="0" w:evenHBand="0" w:firstRowFirstColumn="0" w:firstRowLastColumn="0" w:lastRowFirstColumn="0" w:lastRowLastColumn="0"/>
            </w:pPr>
            <w:r w:rsidRPr="007C7E43">
              <w:t>Year 2, 3</w:t>
            </w:r>
          </w:p>
        </w:tc>
        <w:tc>
          <w:tcPr>
            <w:tcW w:w="0" w:type="auto"/>
            <w:hideMark/>
          </w:tcPr>
          <w:p w14:paraId="0F2C56BF" w14:textId="2C4056C7" w:rsidR="00310FF0" w:rsidRPr="007C7E43" w:rsidRDefault="00310FF0" w:rsidP="007C7E43">
            <w:pPr>
              <w:cnfStyle w:val="000000000000" w:firstRow="0" w:lastRow="0" w:firstColumn="0" w:lastColumn="0" w:oddVBand="0" w:evenVBand="0" w:oddHBand="0" w:evenHBand="0" w:firstRowFirstColumn="0" w:firstRowLastColumn="0" w:lastRowFirstColumn="0" w:lastRowLastColumn="0"/>
            </w:pPr>
            <w:r w:rsidRPr="007C7E43">
              <w:t>People &amp; Culture</w:t>
            </w:r>
            <w:r w:rsidR="00C60FAD">
              <w:t xml:space="preserve"> </w:t>
            </w:r>
            <w:r w:rsidRPr="007C7E43">
              <w:t xml:space="preserve">(Diversity &amp; Inclusion / Health Safety &amp; Wellbeing) </w:t>
            </w:r>
          </w:p>
        </w:tc>
      </w:tr>
      <w:tr w:rsidR="00310FF0" w14:paraId="755F88D4" w14:textId="77777777" w:rsidTr="00C60FAD">
        <w:tc>
          <w:tcPr>
            <w:cnfStyle w:val="001000000000" w:firstRow="0" w:lastRow="0" w:firstColumn="1" w:lastColumn="0" w:oddVBand="0" w:evenVBand="0" w:oddHBand="0" w:evenHBand="0" w:firstRowFirstColumn="0" w:firstRowLastColumn="0" w:lastRowFirstColumn="0" w:lastRowLastColumn="0"/>
            <w:tcW w:w="0" w:type="auto"/>
            <w:hideMark/>
          </w:tcPr>
          <w:p w14:paraId="6DC39C43" w14:textId="77777777" w:rsidR="00310FF0" w:rsidRPr="00CC10B8" w:rsidRDefault="00310FF0" w:rsidP="00CC10B8">
            <w:r w:rsidRPr="00CC10B8">
              <w:t xml:space="preserve">Ensure consistent promotion of a zero-tolerance approach to sexual harassment, violence, bullying </w:t>
            </w:r>
            <w:r w:rsidRPr="00CC10B8">
              <w:lastRenderedPageBreak/>
              <w:t xml:space="preserve">and discrimination </w:t>
            </w:r>
          </w:p>
        </w:tc>
        <w:tc>
          <w:tcPr>
            <w:tcW w:w="0" w:type="auto"/>
            <w:hideMark/>
          </w:tcPr>
          <w:p w14:paraId="044E9D38" w14:textId="77777777" w:rsidR="00310FF0" w:rsidRPr="007C7E43" w:rsidRDefault="00310FF0" w:rsidP="007C7E43">
            <w:pPr>
              <w:cnfStyle w:val="000000000000" w:firstRow="0" w:lastRow="0" w:firstColumn="0" w:lastColumn="0" w:oddVBand="0" w:evenVBand="0" w:oddHBand="0" w:evenHBand="0" w:firstRowFirstColumn="0" w:firstRowLastColumn="0" w:lastRowFirstColumn="0" w:lastRowLastColumn="0"/>
            </w:pPr>
            <w:r w:rsidRPr="007C7E43">
              <w:lastRenderedPageBreak/>
              <w:t xml:space="preserve">Continued promotion of a zero-tolerance approach to sexual harassment, bullying, </w:t>
            </w:r>
            <w:proofErr w:type="gramStart"/>
            <w:r w:rsidRPr="007C7E43">
              <w:t>violence</w:t>
            </w:r>
            <w:proofErr w:type="gramEnd"/>
            <w:r w:rsidRPr="007C7E43">
              <w:t xml:space="preserve"> and discrimination via ongoing reporting of People Matter Survey </w:t>
            </w:r>
            <w:r w:rsidRPr="007C7E43">
              <w:lastRenderedPageBreak/>
              <w:t>results to the DPC Board of Management and consistent and ongoing messaging from the Secretary and Board of Management.</w:t>
            </w:r>
          </w:p>
        </w:tc>
        <w:tc>
          <w:tcPr>
            <w:tcW w:w="0" w:type="auto"/>
            <w:hideMark/>
          </w:tcPr>
          <w:p w14:paraId="56F22FF4" w14:textId="5B6FB532" w:rsidR="00310FF0" w:rsidRPr="007C7E43" w:rsidRDefault="00310FF0" w:rsidP="007C7E43">
            <w:pPr>
              <w:cnfStyle w:val="000000000000" w:firstRow="0" w:lastRow="0" w:firstColumn="0" w:lastColumn="0" w:oddVBand="0" w:evenVBand="0" w:oddHBand="0" w:evenHBand="0" w:firstRowFirstColumn="0" w:firstRowLastColumn="0" w:lastRowFirstColumn="0" w:lastRowLastColumn="0"/>
            </w:pPr>
            <w:r w:rsidRPr="007C7E43">
              <w:lastRenderedPageBreak/>
              <w:t>Indicator 3: Sexual Harassment</w:t>
            </w:r>
          </w:p>
        </w:tc>
        <w:tc>
          <w:tcPr>
            <w:tcW w:w="0" w:type="auto"/>
            <w:hideMark/>
          </w:tcPr>
          <w:p w14:paraId="24268FD7" w14:textId="358C5E00" w:rsidR="00310FF0" w:rsidRPr="007C7E43" w:rsidRDefault="00310FF0" w:rsidP="007C7E43">
            <w:pPr>
              <w:cnfStyle w:val="000000000000" w:firstRow="0" w:lastRow="0" w:firstColumn="0" w:lastColumn="0" w:oddVBand="0" w:evenVBand="0" w:oddHBand="0" w:evenHBand="0" w:firstRowFirstColumn="0" w:firstRowLastColumn="0" w:lastRowFirstColumn="0" w:lastRowLastColumn="0"/>
            </w:pPr>
            <w:r w:rsidRPr="007C7E43">
              <w:t>Ongoing</w:t>
            </w:r>
            <w:r w:rsidR="00C60FAD">
              <w:t xml:space="preserve"> </w:t>
            </w:r>
            <w:r w:rsidRPr="007C7E43">
              <w:t>(Year 1, 2, 3, 4)</w:t>
            </w:r>
          </w:p>
        </w:tc>
        <w:tc>
          <w:tcPr>
            <w:tcW w:w="0" w:type="auto"/>
            <w:hideMark/>
          </w:tcPr>
          <w:p w14:paraId="7668E9AB" w14:textId="77777777" w:rsidR="00310FF0" w:rsidRPr="007C7E43" w:rsidRDefault="00310FF0" w:rsidP="007C7E43">
            <w:pPr>
              <w:cnfStyle w:val="000000000000" w:firstRow="0" w:lastRow="0" w:firstColumn="0" w:lastColumn="0" w:oddVBand="0" w:evenVBand="0" w:oddHBand="0" w:evenHBand="0" w:firstRowFirstColumn="0" w:firstRowLastColumn="0" w:lastRowFirstColumn="0" w:lastRowLastColumn="0"/>
            </w:pPr>
            <w:r w:rsidRPr="007C7E43">
              <w:t>Strategic Communications, Engagement and Protocol (Internal Communications)</w:t>
            </w:r>
          </w:p>
          <w:p w14:paraId="31D938A9" w14:textId="77777777" w:rsidR="00310FF0" w:rsidRPr="007C7E43" w:rsidRDefault="00310FF0" w:rsidP="007C7E43">
            <w:pPr>
              <w:cnfStyle w:val="000000000000" w:firstRow="0" w:lastRow="0" w:firstColumn="0" w:lastColumn="0" w:oddVBand="0" w:evenVBand="0" w:oddHBand="0" w:evenHBand="0" w:firstRowFirstColumn="0" w:firstRowLastColumn="0" w:lastRowFirstColumn="0" w:lastRowLastColumn="0"/>
            </w:pPr>
            <w:r w:rsidRPr="007C7E43">
              <w:t xml:space="preserve">DPC Board of Management </w:t>
            </w:r>
          </w:p>
        </w:tc>
      </w:tr>
      <w:tr w:rsidR="00310FF0" w14:paraId="35CE3CC0" w14:textId="77777777" w:rsidTr="00C60FAD">
        <w:tc>
          <w:tcPr>
            <w:cnfStyle w:val="001000000000" w:firstRow="0" w:lastRow="0" w:firstColumn="1" w:lastColumn="0" w:oddVBand="0" w:evenVBand="0" w:oddHBand="0" w:evenHBand="0" w:firstRowFirstColumn="0" w:firstRowLastColumn="0" w:lastRowFirstColumn="0" w:lastRowLastColumn="0"/>
            <w:tcW w:w="0" w:type="auto"/>
            <w:hideMark/>
          </w:tcPr>
          <w:p w14:paraId="6D111A42" w14:textId="77777777" w:rsidR="00310FF0" w:rsidRDefault="00310FF0" w:rsidP="00DC3129">
            <w:pPr>
              <w:rPr>
                <w:rFonts w:eastAsiaTheme="minorEastAsia"/>
                <w:sz w:val="24"/>
                <w:szCs w:val="24"/>
              </w:rPr>
            </w:pPr>
          </w:p>
        </w:tc>
        <w:tc>
          <w:tcPr>
            <w:tcW w:w="0" w:type="auto"/>
            <w:hideMark/>
          </w:tcPr>
          <w:p w14:paraId="44294FE3" w14:textId="77777777" w:rsidR="00310FF0" w:rsidRPr="007C7E43" w:rsidRDefault="00310FF0" w:rsidP="007C7E43">
            <w:pPr>
              <w:cnfStyle w:val="000000000000" w:firstRow="0" w:lastRow="0" w:firstColumn="0" w:lastColumn="0" w:oddVBand="0" w:evenVBand="0" w:oddHBand="0" w:evenHBand="0" w:firstRowFirstColumn="0" w:firstRowLastColumn="0" w:lastRowFirstColumn="0" w:lastRowLastColumn="0"/>
            </w:pPr>
            <w:r w:rsidRPr="007C7E43">
              <w:t>Senior leaders and managers personally role model appropriate and respectful workplace behaviour and take a lead in respectfully challenging and responding to negative behaviours (as measured via People Matter Survey results).</w:t>
            </w:r>
          </w:p>
        </w:tc>
        <w:tc>
          <w:tcPr>
            <w:tcW w:w="0" w:type="auto"/>
            <w:hideMark/>
          </w:tcPr>
          <w:p w14:paraId="7FEA7F51" w14:textId="45F0C05C" w:rsidR="00310FF0" w:rsidRPr="007C7E43" w:rsidRDefault="00310FF0" w:rsidP="007C7E43">
            <w:pPr>
              <w:cnfStyle w:val="000000000000" w:firstRow="0" w:lastRow="0" w:firstColumn="0" w:lastColumn="0" w:oddVBand="0" w:evenVBand="0" w:oddHBand="0" w:evenHBand="0" w:firstRowFirstColumn="0" w:firstRowLastColumn="0" w:lastRowFirstColumn="0" w:lastRowLastColumn="0"/>
            </w:pPr>
            <w:r w:rsidRPr="007C7E43">
              <w:t>Indicator 3: Sexual Harassment</w:t>
            </w:r>
          </w:p>
        </w:tc>
        <w:tc>
          <w:tcPr>
            <w:tcW w:w="0" w:type="auto"/>
            <w:hideMark/>
          </w:tcPr>
          <w:p w14:paraId="7F75F381" w14:textId="2533D215" w:rsidR="00310FF0" w:rsidRPr="007C7E43" w:rsidRDefault="00310FF0" w:rsidP="007C7E43">
            <w:pPr>
              <w:cnfStyle w:val="000000000000" w:firstRow="0" w:lastRow="0" w:firstColumn="0" w:lastColumn="0" w:oddVBand="0" w:evenVBand="0" w:oddHBand="0" w:evenHBand="0" w:firstRowFirstColumn="0" w:firstRowLastColumn="0" w:lastRowFirstColumn="0" w:lastRowLastColumn="0"/>
            </w:pPr>
            <w:r w:rsidRPr="007C7E43">
              <w:t>Ongoing</w:t>
            </w:r>
            <w:r w:rsidR="00C60FAD">
              <w:t xml:space="preserve"> </w:t>
            </w:r>
            <w:r w:rsidRPr="007C7E43">
              <w:t>(Year 1, 2, 3, 4)</w:t>
            </w:r>
          </w:p>
        </w:tc>
        <w:tc>
          <w:tcPr>
            <w:tcW w:w="0" w:type="auto"/>
            <w:hideMark/>
          </w:tcPr>
          <w:p w14:paraId="6B0B9133" w14:textId="77777777" w:rsidR="00310FF0" w:rsidRPr="007C7E43" w:rsidRDefault="00310FF0" w:rsidP="007C7E43">
            <w:pPr>
              <w:cnfStyle w:val="000000000000" w:firstRow="0" w:lastRow="0" w:firstColumn="0" w:lastColumn="0" w:oddVBand="0" w:evenVBand="0" w:oddHBand="0" w:evenHBand="0" w:firstRowFirstColumn="0" w:firstRowLastColumn="0" w:lastRowFirstColumn="0" w:lastRowLastColumn="0"/>
            </w:pPr>
            <w:r w:rsidRPr="007C7E43">
              <w:t>DPC Executives &amp; Managers</w:t>
            </w:r>
          </w:p>
        </w:tc>
      </w:tr>
      <w:tr w:rsidR="00310FF0" w14:paraId="2182750F" w14:textId="77777777" w:rsidTr="00C60FAD">
        <w:tc>
          <w:tcPr>
            <w:cnfStyle w:val="001000000000" w:firstRow="0" w:lastRow="0" w:firstColumn="1" w:lastColumn="0" w:oddVBand="0" w:evenVBand="0" w:oddHBand="0" w:evenHBand="0" w:firstRowFirstColumn="0" w:firstRowLastColumn="0" w:lastRowFirstColumn="0" w:lastRowLastColumn="0"/>
            <w:tcW w:w="0" w:type="auto"/>
            <w:hideMark/>
          </w:tcPr>
          <w:p w14:paraId="43FD68E4" w14:textId="77777777" w:rsidR="00310FF0" w:rsidRPr="00CC10B8" w:rsidRDefault="00310FF0" w:rsidP="00CC10B8">
            <w:r w:rsidRPr="00CC10B8">
              <w:t>Build employee confidence and capability to raise grievances and appropriately challenge and respond to negative behaviours.</w:t>
            </w:r>
          </w:p>
        </w:tc>
        <w:tc>
          <w:tcPr>
            <w:tcW w:w="0" w:type="auto"/>
            <w:hideMark/>
          </w:tcPr>
          <w:p w14:paraId="6BADD62E" w14:textId="401074F2" w:rsidR="00310FF0" w:rsidRPr="007C7E43" w:rsidRDefault="00310FF0" w:rsidP="007C7E43">
            <w:pPr>
              <w:cnfStyle w:val="000000000000" w:firstRow="0" w:lastRow="0" w:firstColumn="0" w:lastColumn="0" w:oddVBand="0" w:evenVBand="0" w:oddHBand="0" w:evenHBand="0" w:firstRowFirstColumn="0" w:firstRowLastColumn="0" w:lastRowFirstColumn="0" w:lastRowLastColumn="0"/>
            </w:pPr>
            <w:r w:rsidRPr="007C7E43">
              <w:t xml:space="preserve">Build employee confidence to report sexual harassment, violence, bullying and discrimination through ongoing review and evaluation of DPC’s inappropriate workplace behaviour policies, </w:t>
            </w:r>
            <w:proofErr w:type="gramStart"/>
            <w:r w:rsidRPr="007C7E43">
              <w:t>processes</w:t>
            </w:r>
            <w:proofErr w:type="gramEnd"/>
            <w:r w:rsidRPr="007C7E43">
              <w:t xml:space="preserve"> and reporting mechanisms (as measured via People Matter Survey results). </w:t>
            </w:r>
          </w:p>
        </w:tc>
        <w:tc>
          <w:tcPr>
            <w:tcW w:w="0" w:type="auto"/>
            <w:hideMark/>
          </w:tcPr>
          <w:p w14:paraId="06FE9D5F" w14:textId="5263347D" w:rsidR="00310FF0" w:rsidRPr="007C7E43" w:rsidRDefault="00310FF0" w:rsidP="007C7E43">
            <w:pPr>
              <w:cnfStyle w:val="000000000000" w:firstRow="0" w:lastRow="0" w:firstColumn="0" w:lastColumn="0" w:oddVBand="0" w:evenVBand="0" w:oddHBand="0" w:evenHBand="0" w:firstRowFirstColumn="0" w:firstRowLastColumn="0" w:lastRowFirstColumn="0" w:lastRowLastColumn="0"/>
            </w:pPr>
            <w:r w:rsidRPr="007C7E43">
              <w:t>Indicator 3: Sexual Harassment</w:t>
            </w:r>
          </w:p>
        </w:tc>
        <w:tc>
          <w:tcPr>
            <w:tcW w:w="0" w:type="auto"/>
            <w:hideMark/>
          </w:tcPr>
          <w:p w14:paraId="70E80652" w14:textId="77777777" w:rsidR="00310FF0" w:rsidRPr="007C7E43" w:rsidRDefault="00310FF0" w:rsidP="007C7E43">
            <w:pPr>
              <w:cnfStyle w:val="000000000000" w:firstRow="0" w:lastRow="0" w:firstColumn="0" w:lastColumn="0" w:oddVBand="0" w:evenVBand="0" w:oddHBand="0" w:evenHBand="0" w:firstRowFirstColumn="0" w:firstRowLastColumn="0" w:lastRowFirstColumn="0" w:lastRowLastColumn="0"/>
            </w:pPr>
            <w:r w:rsidRPr="007C7E43">
              <w:t>Year 2, 3</w:t>
            </w:r>
          </w:p>
        </w:tc>
        <w:tc>
          <w:tcPr>
            <w:tcW w:w="0" w:type="auto"/>
            <w:hideMark/>
          </w:tcPr>
          <w:p w14:paraId="10477C91" w14:textId="500F322A" w:rsidR="00310FF0" w:rsidRPr="007C7E43" w:rsidRDefault="00310FF0" w:rsidP="007C7E43">
            <w:pPr>
              <w:cnfStyle w:val="000000000000" w:firstRow="0" w:lastRow="0" w:firstColumn="0" w:lastColumn="0" w:oddVBand="0" w:evenVBand="0" w:oddHBand="0" w:evenHBand="0" w:firstRowFirstColumn="0" w:firstRowLastColumn="0" w:lastRowFirstColumn="0" w:lastRowLastColumn="0"/>
            </w:pPr>
            <w:r w:rsidRPr="007C7E43">
              <w:t>People &amp; Culture</w:t>
            </w:r>
            <w:r w:rsidR="00C60FAD">
              <w:t xml:space="preserve"> </w:t>
            </w:r>
            <w:r w:rsidRPr="007C7E43">
              <w:t xml:space="preserve">(Diversity &amp; Inclusion / Health Safety &amp; Wellbeing) </w:t>
            </w:r>
          </w:p>
        </w:tc>
      </w:tr>
      <w:tr w:rsidR="00310FF0" w14:paraId="4D909B8D" w14:textId="77777777" w:rsidTr="00C60FAD">
        <w:tc>
          <w:tcPr>
            <w:cnfStyle w:val="001000000000" w:firstRow="0" w:lastRow="0" w:firstColumn="1" w:lastColumn="0" w:oddVBand="0" w:evenVBand="0" w:oddHBand="0" w:evenHBand="0" w:firstRowFirstColumn="0" w:firstRowLastColumn="0" w:lastRowFirstColumn="0" w:lastRowLastColumn="0"/>
            <w:tcW w:w="0" w:type="auto"/>
            <w:hideMark/>
          </w:tcPr>
          <w:p w14:paraId="24D184A3" w14:textId="77777777" w:rsidR="00310FF0" w:rsidRDefault="00310FF0" w:rsidP="00DC3129">
            <w:pPr>
              <w:rPr>
                <w:rFonts w:eastAsiaTheme="minorEastAsia"/>
                <w:sz w:val="24"/>
                <w:szCs w:val="24"/>
              </w:rPr>
            </w:pPr>
          </w:p>
        </w:tc>
        <w:tc>
          <w:tcPr>
            <w:tcW w:w="0" w:type="auto"/>
            <w:hideMark/>
          </w:tcPr>
          <w:p w14:paraId="14DA1FEF" w14:textId="77777777" w:rsidR="00310FF0" w:rsidRPr="007C7E43" w:rsidRDefault="00310FF0" w:rsidP="007C7E43">
            <w:pPr>
              <w:cnfStyle w:val="000000000000" w:firstRow="0" w:lastRow="0" w:firstColumn="0" w:lastColumn="0" w:oddVBand="0" w:evenVBand="0" w:oddHBand="0" w:evenHBand="0" w:firstRowFirstColumn="0" w:firstRowLastColumn="0" w:lastRowFirstColumn="0" w:lastRowLastColumn="0"/>
            </w:pPr>
            <w:r w:rsidRPr="007C7E43">
              <w:t>Regular DPC training for all staff and contractors around gender equality and appropriate and respectful behaviours in the workplace including sexual harassment, violence, bullying and discrimination.</w:t>
            </w:r>
          </w:p>
        </w:tc>
        <w:tc>
          <w:tcPr>
            <w:tcW w:w="0" w:type="auto"/>
            <w:hideMark/>
          </w:tcPr>
          <w:p w14:paraId="0F07C894" w14:textId="629E73C3" w:rsidR="00310FF0" w:rsidRPr="007C7E43" w:rsidRDefault="00310FF0" w:rsidP="007C7E43">
            <w:pPr>
              <w:cnfStyle w:val="000000000000" w:firstRow="0" w:lastRow="0" w:firstColumn="0" w:lastColumn="0" w:oddVBand="0" w:evenVBand="0" w:oddHBand="0" w:evenHBand="0" w:firstRowFirstColumn="0" w:firstRowLastColumn="0" w:lastRowFirstColumn="0" w:lastRowLastColumn="0"/>
            </w:pPr>
            <w:r w:rsidRPr="007C7E43">
              <w:t>Indicator 7: Gendered work segregation</w:t>
            </w:r>
          </w:p>
        </w:tc>
        <w:tc>
          <w:tcPr>
            <w:tcW w:w="0" w:type="auto"/>
            <w:hideMark/>
          </w:tcPr>
          <w:p w14:paraId="38A68472" w14:textId="73CBD87A" w:rsidR="00310FF0" w:rsidRPr="007C7E43" w:rsidRDefault="00310FF0" w:rsidP="007C7E43">
            <w:pPr>
              <w:cnfStyle w:val="000000000000" w:firstRow="0" w:lastRow="0" w:firstColumn="0" w:lastColumn="0" w:oddVBand="0" w:evenVBand="0" w:oddHBand="0" w:evenHBand="0" w:firstRowFirstColumn="0" w:firstRowLastColumn="0" w:lastRowFirstColumn="0" w:lastRowLastColumn="0"/>
            </w:pPr>
            <w:r w:rsidRPr="007C7E43">
              <w:t>Ongoing (every 2 years)</w:t>
            </w:r>
          </w:p>
        </w:tc>
        <w:tc>
          <w:tcPr>
            <w:tcW w:w="0" w:type="auto"/>
            <w:hideMark/>
          </w:tcPr>
          <w:p w14:paraId="6733E978" w14:textId="72045A7C" w:rsidR="00310FF0" w:rsidRPr="007C7E43" w:rsidRDefault="00310FF0" w:rsidP="007C7E43">
            <w:pPr>
              <w:cnfStyle w:val="000000000000" w:firstRow="0" w:lastRow="0" w:firstColumn="0" w:lastColumn="0" w:oddVBand="0" w:evenVBand="0" w:oddHBand="0" w:evenHBand="0" w:firstRowFirstColumn="0" w:firstRowLastColumn="0" w:lastRowFirstColumn="0" w:lastRowLastColumn="0"/>
            </w:pPr>
            <w:r w:rsidRPr="007C7E43">
              <w:t>People &amp; Culture</w:t>
            </w:r>
            <w:r w:rsidR="00C60FAD">
              <w:t xml:space="preserve"> </w:t>
            </w:r>
            <w:r w:rsidRPr="007C7E43">
              <w:t>(Health Safety &amp; Wellbeing)</w:t>
            </w:r>
          </w:p>
        </w:tc>
      </w:tr>
    </w:tbl>
    <w:p w14:paraId="4F960DFD" w14:textId="77777777" w:rsidR="003D158D" w:rsidRPr="003D158D" w:rsidRDefault="003D158D" w:rsidP="003D158D">
      <w:pPr>
        <w:rPr>
          <w:rFonts w:eastAsia="MS Mincho"/>
        </w:rPr>
      </w:pPr>
      <w:r w:rsidRPr="003D158D">
        <w:br w:type="page"/>
      </w:r>
    </w:p>
    <w:p w14:paraId="3FAC4CD6" w14:textId="0AAAA559" w:rsidR="00310FF0" w:rsidRPr="007C7E43" w:rsidRDefault="00310FF0" w:rsidP="0016727C">
      <w:pPr>
        <w:pStyle w:val="Heading3"/>
      </w:pPr>
      <w:bookmarkStart w:id="18" w:name="_Toc114211281"/>
      <w:r w:rsidRPr="003D158D">
        <w:lastRenderedPageBreak/>
        <w:t>Action</w:t>
      </w:r>
      <w:r w:rsidRPr="007C7E43">
        <w:t xml:space="preserve"> Area 5: Facilitating and promoting a flexible </w:t>
      </w:r>
      <w:r w:rsidRPr="0016727C">
        <w:t>workplace</w:t>
      </w:r>
      <w:bookmarkEnd w:id="18"/>
    </w:p>
    <w:p w14:paraId="500C74B3" w14:textId="2B034E64" w:rsidR="00310FF0" w:rsidRPr="0074740E" w:rsidRDefault="00310FF0" w:rsidP="0074740E">
      <w:r w:rsidRPr="0074740E">
        <w:t xml:space="preserve">DPC is committed to facilitating and promoting a flexible workplace that encourages new ways of working and supports employees to balance work, family, and caring responsibilities </w:t>
      </w:r>
    </w:p>
    <w:tbl>
      <w:tblPr>
        <w:tblStyle w:val="GridTable1Light"/>
        <w:tblW w:w="0" w:type="auto"/>
        <w:tblLook w:val="04A0" w:firstRow="1" w:lastRow="0" w:firstColumn="1" w:lastColumn="0" w:noHBand="0" w:noVBand="1"/>
      </w:tblPr>
      <w:tblGrid>
        <w:gridCol w:w="2057"/>
        <w:gridCol w:w="2588"/>
        <w:gridCol w:w="1479"/>
        <w:gridCol w:w="1087"/>
        <w:gridCol w:w="1805"/>
      </w:tblGrid>
      <w:tr w:rsidR="00310FF0" w14:paraId="2F312EE0" w14:textId="77777777" w:rsidTr="00C60FA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vAlign w:val="bottom"/>
            <w:hideMark/>
          </w:tcPr>
          <w:p w14:paraId="08E5D165" w14:textId="77777777" w:rsidR="00310FF0" w:rsidRPr="00341A90" w:rsidRDefault="00310FF0" w:rsidP="00341A90">
            <w:pPr>
              <w:pStyle w:val="Tablecolhead"/>
              <w:rPr>
                <w:b/>
                <w:bCs w:val="0"/>
              </w:rPr>
            </w:pPr>
            <w:r w:rsidRPr="00341A90">
              <w:rPr>
                <w:b/>
                <w:bCs w:val="0"/>
              </w:rPr>
              <w:t>Goal</w:t>
            </w:r>
          </w:p>
        </w:tc>
        <w:tc>
          <w:tcPr>
            <w:tcW w:w="0" w:type="auto"/>
            <w:vAlign w:val="bottom"/>
            <w:hideMark/>
          </w:tcPr>
          <w:p w14:paraId="739EC56A" w14:textId="77777777" w:rsidR="00310FF0" w:rsidRPr="00341A90" w:rsidRDefault="00310FF0" w:rsidP="00341A90">
            <w:pPr>
              <w:pStyle w:val="Tablecolhead"/>
              <w:cnfStyle w:val="100000000000" w:firstRow="1" w:lastRow="0" w:firstColumn="0" w:lastColumn="0" w:oddVBand="0" w:evenVBand="0" w:oddHBand="0" w:evenHBand="0" w:firstRowFirstColumn="0" w:firstRowLastColumn="0" w:lastRowFirstColumn="0" w:lastRowLastColumn="0"/>
              <w:rPr>
                <w:b/>
                <w:bCs w:val="0"/>
              </w:rPr>
            </w:pPr>
            <w:r w:rsidRPr="00341A90">
              <w:rPr>
                <w:b/>
                <w:bCs w:val="0"/>
              </w:rPr>
              <w:t>Strategies</w:t>
            </w:r>
          </w:p>
        </w:tc>
        <w:tc>
          <w:tcPr>
            <w:tcW w:w="0" w:type="auto"/>
            <w:vAlign w:val="bottom"/>
            <w:hideMark/>
          </w:tcPr>
          <w:p w14:paraId="2D08566A" w14:textId="77777777" w:rsidR="00310FF0" w:rsidRPr="00341A90" w:rsidRDefault="00310FF0" w:rsidP="00341A90">
            <w:pPr>
              <w:pStyle w:val="Tablecolhead"/>
              <w:cnfStyle w:val="100000000000" w:firstRow="1" w:lastRow="0" w:firstColumn="0" w:lastColumn="0" w:oddVBand="0" w:evenVBand="0" w:oddHBand="0" w:evenHBand="0" w:firstRowFirstColumn="0" w:firstRowLastColumn="0" w:lastRowFirstColumn="0" w:lastRowLastColumn="0"/>
              <w:rPr>
                <w:b/>
                <w:bCs w:val="0"/>
              </w:rPr>
            </w:pPr>
            <w:r w:rsidRPr="00341A90">
              <w:rPr>
                <w:b/>
                <w:bCs w:val="0"/>
              </w:rPr>
              <w:t>Workplace Gender Equality Indicator</w:t>
            </w:r>
          </w:p>
        </w:tc>
        <w:tc>
          <w:tcPr>
            <w:tcW w:w="0" w:type="auto"/>
            <w:vAlign w:val="bottom"/>
            <w:hideMark/>
          </w:tcPr>
          <w:p w14:paraId="33E7F15B" w14:textId="77777777" w:rsidR="00310FF0" w:rsidRPr="00341A90" w:rsidRDefault="00310FF0" w:rsidP="00341A90">
            <w:pPr>
              <w:pStyle w:val="Tablecolhead"/>
              <w:cnfStyle w:val="100000000000" w:firstRow="1" w:lastRow="0" w:firstColumn="0" w:lastColumn="0" w:oddVBand="0" w:evenVBand="0" w:oddHBand="0" w:evenHBand="0" w:firstRowFirstColumn="0" w:firstRowLastColumn="0" w:lastRowFirstColumn="0" w:lastRowLastColumn="0"/>
              <w:rPr>
                <w:b/>
                <w:bCs w:val="0"/>
              </w:rPr>
            </w:pPr>
            <w:r w:rsidRPr="00341A90">
              <w:rPr>
                <w:b/>
                <w:bCs w:val="0"/>
              </w:rPr>
              <w:t xml:space="preserve">Timing </w:t>
            </w:r>
          </w:p>
        </w:tc>
        <w:tc>
          <w:tcPr>
            <w:tcW w:w="0" w:type="auto"/>
            <w:vAlign w:val="bottom"/>
            <w:hideMark/>
          </w:tcPr>
          <w:p w14:paraId="64230985" w14:textId="77777777" w:rsidR="00310FF0" w:rsidRPr="00341A90" w:rsidRDefault="00310FF0" w:rsidP="00341A90">
            <w:pPr>
              <w:pStyle w:val="Tablecolhead"/>
              <w:cnfStyle w:val="100000000000" w:firstRow="1" w:lastRow="0" w:firstColumn="0" w:lastColumn="0" w:oddVBand="0" w:evenVBand="0" w:oddHBand="0" w:evenHBand="0" w:firstRowFirstColumn="0" w:firstRowLastColumn="0" w:lastRowFirstColumn="0" w:lastRowLastColumn="0"/>
              <w:rPr>
                <w:b/>
                <w:bCs w:val="0"/>
              </w:rPr>
            </w:pPr>
            <w:r w:rsidRPr="00341A90">
              <w:rPr>
                <w:b/>
                <w:bCs w:val="0"/>
              </w:rPr>
              <w:t xml:space="preserve">Responsibility </w:t>
            </w:r>
          </w:p>
        </w:tc>
      </w:tr>
      <w:tr w:rsidR="008A7C27" w14:paraId="328F96A9" w14:textId="77777777" w:rsidTr="00C60FAD">
        <w:tc>
          <w:tcPr>
            <w:cnfStyle w:val="001000000000" w:firstRow="0" w:lastRow="0" w:firstColumn="1" w:lastColumn="0" w:oddVBand="0" w:evenVBand="0" w:oddHBand="0" w:evenHBand="0" w:firstRowFirstColumn="0" w:firstRowLastColumn="0" w:lastRowFirstColumn="0" w:lastRowLastColumn="0"/>
            <w:tcW w:w="0" w:type="auto"/>
            <w:hideMark/>
          </w:tcPr>
          <w:p w14:paraId="0CE00F03" w14:textId="77777777" w:rsidR="008A7C27" w:rsidRPr="00CC10B8" w:rsidRDefault="008A7C27" w:rsidP="00CC10B8">
            <w:r w:rsidRPr="00CC10B8">
              <w:t xml:space="preserve">Demonstrate commitment to creating and maintaining a flexible workplace </w:t>
            </w:r>
          </w:p>
        </w:tc>
        <w:tc>
          <w:tcPr>
            <w:tcW w:w="0" w:type="auto"/>
            <w:hideMark/>
          </w:tcPr>
          <w:p w14:paraId="0AAC8C15" w14:textId="77777777" w:rsidR="008A7C27" w:rsidRPr="007C7E43" w:rsidRDefault="008A7C27" w:rsidP="007C7E43">
            <w:pPr>
              <w:cnfStyle w:val="000000000000" w:firstRow="0" w:lastRow="0" w:firstColumn="0" w:lastColumn="0" w:oddVBand="0" w:evenVBand="0" w:oddHBand="0" w:evenHBand="0" w:firstRowFirstColumn="0" w:firstRowLastColumn="0" w:lastRowFirstColumn="0" w:lastRowLastColumn="0"/>
            </w:pPr>
            <w:r w:rsidRPr="007C7E43">
              <w:t xml:space="preserve">Ensure senior leaders and people managers visibly role model flexible / hybrid working (including when staff return to workplaces in line with public-health advice). </w:t>
            </w:r>
          </w:p>
        </w:tc>
        <w:tc>
          <w:tcPr>
            <w:tcW w:w="0" w:type="auto"/>
            <w:hideMark/>
          </w:tcPr>
          <w:p w14:paraId="1886B8A1" w14:textId="38E32892" w:rsidR="008A7C27" w:rsidRPr="007C7E43" w:rsidRDefault="008A7C27" w:rsidP="007C7E43">
            <w:pPr>
              <w:cnfStyle w:val="000000000000" w:firstRow="0" w:lastRow="0" w:firstColumn="0" w:lastColumn="0" w:oddVBand="0" w:evenVBand="0" w:oddHBand="0" w:evenHBand="0" w:firstRowFirstColumn="0" w:firstRowLastColumn="0" w:lastRowFirstColumn="0" w:lastRowLastColumn="0"/>
            </w:pPr>
            <w:r w:rsidRPr="007C7E43">
              <w:t>Indicator 6: Flexible working and leave</w:t>
            </w:r>
          </w:p>
        </w:tc>
        <w:tc>
          <w:tcPr>
            <w:tcW w:w="0" w:type="auto"/>
            <w:hideMark/>
          </w:tcPr>
          <w:p w14:paraId="0365B868" w14:textId="7D98457F" w:rsidR="008A7C27" w:rsidRPr="007C7E43" w:rsidRDefault="008A7C27" w:rsidP="007C7E43">
            <w:pPr>
              <w:cnfStyle w:val="000000000000" w:firstRow="0" w:lastRow="0" w:firstColumn="0" w:lastColumn="0" w:oddVBand="0" w:evenVBand="0" w:oddHBand="0" w:evenHBand="0" w:firstRowFirstColumn="0" w:firstRowLastColumn="0" w:lastRowFirstColumn="0" w:lastRowLastColumn="0"/>
            </w:pPr>
            <w:r w:rsidRPr="007C7E43">
              <w:t>Ongoing (Year 1, 2, 3, 4)</w:t>
            </w:r>
          </w:p>
        </w:tc>
        <w:tc>
          <w:tcPr>
            <w:tcW w:w="0" w:type="auto"/>
            <w:hideMark/>
          </w:tcPr>
          <w:p w14:paraId="70601EEE" w14:textId="55AF1EE2" w:rsidR="008A7C27" w:rsidRPr="007C7E43" w:rsidRDefault="008A7C27" w:rsidP="007C7E43">
            <w:pPr>
              <w:cnfStyle w:val="000000000000" w:firstRow="0" w:lastRow="0" w:firstColumn="0" w:lastColumn="0" w:oddVBand="0" w:evenVBand="0" w:oddHBand="0" w:evenHBand="0" w:firstRowFirstColumn="0" w:firstRowLastColumn="0" w:lastRowFirstColumn="0" w:lastRowLastColumn="0"/>
            </w:pPr>
            <w:r w:rsidRPr="007C7E43">
              <w:t>DPC Executives, Managers</w:t>
            </w:r>
          </w:p>
        </w:tc>
      </w:tr>
      <w:tr w:rsidR="008A7C27" w14:paraId="2096981D" w14:textId="77777777" w:rsidTr="00C60FAD">
        <w:tc>
          <w:tcPr>
            <w:cnfStyle w:val="001000000000" w:firstRow="0" w:lastRow="0" w:firstColumn="1" w:lastColumn="0" w:oddVBand="0" w:evenVBand="0" w:oddHBand="0" w:evenHBand="0" w:firstRowFirstColumn="0" w:firstRowLastColumn="0" w:lastRowFirstColumn="0" w:lastRowLastColumn="0"/>
            <w:tcW w:w="0" w:type="auto"/>
            <w:hideMark/>
          </w:tcPr>
          <w:p w14:paraId="49939129" w14:textId="77777777" w:rsidR="008A7C27" w:rsidRDefault="008A7C27" w:rsidP="00DC3129">
            <w:pPr>
              <w:rPr>
                <w:rFonts w:eastAsiaTheme="minorEastAsia"/>
                <w:sz w:val="24"/>
                <w:szCs w:val="24"/>
              </w:rPr>
            </w:pPr>
          </w:p>
        </w:tc>
        <w:tc>
          <w:tcPr>
            <w:tcW w:w="0" w:type="auto"/>
            <w:hideMark/>
          </w:tcPr>
          <w:p w14:paraId="3D349B7A" w14:textId="77777777" w:rsidR="008A7C27" w:rsidRPr="007C7E43" w:rsidRDefault="008A7C27" w:rsidP="007C7E43">
            <w:pPr>
              <w:cnfStyle w:val="000000000000" w:firstRow="0" w:lastRow="0" w:firstColumn="0" w:lastColumn="0" w:oddVBand="0" w:evenVBand="0" w:oddHBand="0" w:evenHBand="0" w:firstRowFirstColumn="0" w:firstRowLastColumn="0" w:lastRowFirstColumn="0" w:lastRowLastColumn="0"/>
            </w:pPr>
            <w:r w:rsidRPr="007C7E43">
              <w:t xml:space="preserve">Roll out DPCs flexible working policy and procedure (including an updated form to capture formal flexible working arrangements) with consideration to embedding an appropriate degree of flexibility into all roles. </w:t>
            </w:r>
          </w:p>
        </w:tc>
        <w:tc>
          <w:tcPr>
            <w:tcW w:w="0" w:type="auto"/>
            <w:hideMark/>
          </w:tcPr>
          <w:p w14:paraId="263D5909" w14:textId="3A40A6C8" w:rsidR="008A7C27" w:rsidRPr="007C7E43" w:rsidRDefault="008A7C27" w:rsidP="007C7E43">
            <w:pPr>
              <w:cnfStyle w:val="000000000000" w:firstRow="0" w:lastRow="0" w:firstColumn="0" w:lastColumn="0" w:oddVBand="0" w:evenVBand="0" w:oddHBand="0" w:evenHBand="0" w:firstRowFirstColumn="0" w:firstRowLastColumn="0" w:lastRowFirstColumn="0" w:lastRowLastColumn="0"/>
            </w:pPr>
            <w:r w:rsidRPr="007C7E43">
              <w:t>Indicator 6: Flexible working and leave</w:t>
            </w:r>
          </w:p>
        </w:tc>
        <w:tc>
          <w:tcPr>
            <w:tcW w:w="0" w:type="auto"/>
            <w:hideMark/>
          </w:tcPr>
          <w:p w14:paraId="1A8D6D36" w14:textId="77777777" w:rsidR="008A7C27" w:rsidRPr="007C7E43" w:rsidRDefault="008A7C27" w:rsidP="007C7E43">
            <w:pPr>
              <w:cnfStyle w:val="000000000000" w:firstRow="0" w:lastRow="0" w:firstColumn="0" w:lastColumn="0" w:oddVBand="0" w:evenVBand="0" w:oddHBand="0" w:evenHBand="0" w:firstRowFirstColumn="0" w:firstRowLastColumn="0" w:lastRowFirstColumn="0" w:lastRowLastColumn="0"/>
            </w:pPr>
            <w:r w:rsidRPr="007C7E43">
              <w:t>Year 1</w:t>
            </w:r>
          </w:p>
        </w:tc>
        <w:tc>
          <w:tcPr>
            <w:tcW w:w="0" w:type="auto"/>
            <w:hideMark/>
          </w:tcPr>
          <w:p w14:paraId="3EA37A46" w14:textId="42DCB650" w:rsidR="008A7C27" w:rsidRPr="007C7E43" w:rsidRDefault="008A7C27" w:rsidP="007C7E43">
            <w:pPr>
              <w:cnfStyle w:val="000000000000" w:firstRow="0" w:lastRow="0" w:firstColumn="0" w:lastColumn="0" w:oddVBand="0" w:evenVBand="0" w:oddHBand="0" w:evenHBand="0" w:firstRowFirstColumn="0" w:firstRowLastColumn="0" w:lastRowFirstColumn="0" w:lastRowLastColumn="0"/>
            </w:pPr>
            <w:r w:rsidRPr="007C7E43">
              <w:t>People &amp; Culture</w:t>
            </w:r>
            <w:r>
              <w:t xml:space="preserve"> </w:t>
            </w:r>
            <w:r w:rsidRPr="007C7E43">
              <w:t>(Organisational Development)</w:t>
            </w:r>
          </w:p>
        </w:tc>
      </w:tr>
      <w:tr w:rsidR="008A7C27" w14:paraId="17607C5B" w14:textId="77777777" w:rsidTr="00C60FAD">
        <w:tc>
          <w:tcPr>
            <w:cnfStyle w:val="001000000000" w:firstRow="0" w:lastRow="0" w:firstColumn="1" w:lastColumn="0" w:oddVBand="0" w:evenVBand="0" w:oddHBand="0" w:evenHBand="0" w:firstRowFirstColumn="0" w:firstRowLastColumn="0" w:lastRowFirstColumn="0" w:lastRowLastColumn="0"/>
            <w:tcW w:w="0" w:type="auto"/>
            <w:hideMark/>
          </w:tcPr>
          <w:p w14:paraId="4C564B5A" w14:textId="77777777" w:rsidR="008A7C27" w:rsidRDefault="008A7C27" w:rsidP="00DC3129">
            <w:pPr>
              <w:rPr>
                <w:rFonts w:eastAsiaTheme="minorEastAsia"/>
                <w:sz w:val="24"/>
                <w:szCs w:val="24"/>
              </w:rPr>
            </w:pPr>
          </w:p>
        </w:tc>
        <w:tc>
          <w:tcPr>
            <w:tcW w:w="0" w:type="auto"/>
            <w:hideMark/>
          </w:tcPr>
          <w:p w14:paraId="2595AC17" w14:textId="276F4B32" w:rsidR="008A7C27" w:rsidRPr="007C7E43" w:rsidRDefault="008A7C27" w:rsidP="007C7E43">
            <w:pPr>
              <w:cnfStyle w:val="000000000000" w:firstRow="0" w:lastRow="0" w:firstColumn="0" w:lastColumn="0" w:oddVBand="0" w:evenVBand="0" w:oddHBand="0" w:evenHBand="0" w:firstRowFirstColumn="0" w:firstRowLastColumn="0" w:lastRowFirstColumn="0" w:lastRowLastColumn="0"/>
            </w:pPr>
            <w:r w:rsidRPr="007C7E43">
              <w:t>Continued provision of education and resources to support Executives and Managers to effectively support the transition from remote working to a flexible/hybrid working model.</w:t>
            </w:r>
          </w:p>
        </w:tc>
        <w:tc>
          <w:tcPr>
            <w:tcW w:w="0" w:type="auto"/>
            <w:hideMark/>
          </w:tcPr>
          <w:p w14:paraId="79F7B383" w14:textId="73A4913B" w:rsidR="008A7C27" w:rsidRPr="007C7E43" w:rsidRDefault="008A7C27" w:rsidP="007C7E43">
            <w:pPr>
              <w:cnfStyle w:val="000000000000" w:firstRow="0" w:lastRow="0" w:firstColumn="0" w:lastColumn="0" w:oddVBand="0" w:evenVBand="0" w:oddHBand="0" w:evenHBand="0" w:firstRowFirstColumn="0" w:firstRowLastColumn="0" w:lastRowFirstColumn="0" w:lastRowLastColumn="0"/>
            </w:pPr>
            <w:r w:rsidRPr="007C7E43">
              <w:t>Indicator 6: Flexible working and leave</w:t>
            </w:r>
          </w:p>
        </w:tc>
        <w:tc>
          <w:tcPr>
            <w:tcW w:w="0" w:type="auto"/>
            <w:hideMark/>
          </w:tcPr>
          <w:p w14:paraId="2EAE9B88" w14:textId="77777777" w:rsidR="008A7C27" w:rsidRPr="007C7E43" w:rsidRDefault="008A7C27" w:rsidP="007C7E43">
            <w:pPr>
              <w:cnfStyle w:val="000000000000" w:firstRow="0" w:lastRow="0" w:firstColumn="0" w:lastColumn="0" w:oddVBand="0" w:evenVBand="0" w:oddHBand="0" w:evenHBand="0" w:firstRowFirstColumn="0" w:firstRowLastColumn="0" w:lastRowFirstColumn="0" w:lastRowLastColumn="0"/>
            </w:pPr>
            <w:r w:rsidRPr="007C7E43">
              <w:t>Year 2, 3</w:t>
            </w:r>
          </w:p>
        </w:tc>
        <w:tc>
          <w:tcPr>
            <w:tcW w:w="0" w:type="auto"/>
            <w:hideMark/>
          </w:tcPr>
          <w:p w14:paraId="7B917C75" w14:textId="284AE58B" w:rsidR="008A7C27" w:rsidRPr="007C7E43" w:rsidRDefault="008A7C27" w:rsidP="007C7E43">
            <w:pPr>
              <w:cnfStyle w:val="000000000000" w:firstRow="0" w:lastRow="0" w:firstColumn="0" w:lastColumn="0" w:oddVBand="0" w:evenVBand="0" w:oddHBand="0" w:evenHBand="0" w:firstRowFirstColumn="0" w:firstRowLastColumn="0" w:lastRowFirstColumn="0" w:lastRowLastColumn="0"/>
            </w:pPr>
            <w:r w:rsidRPr="007C7E43">
              <w:t>People &amp; Culture</w:t>
            </w:r>
            <w:r>
              <w:t xml:space="preserve"> </w:t>
            </w:r>
            <w:r w:rsidRPr="007C7E43">
              <w:t>(Organisational Development)</w:t>
            </w:r>
          </w:p>
        </w:tc>
      </w:tr>
      <w:tr w:rsidR="00310FF0" w14:paraId="2F741BB4" w14:textId="77777777" w:rsidTr="00C60FAD">
        <w:tc>
          <w:tcPr>
            <w:cnfStyle w:val="001000000000" w:firstRow="0" w:lastRow="0" w:firstColumn="1" w:lastColumn="0" w:oddVBand="0" w:evenVBand="0" w:oddHBand="0" w:evenHBand="0" w:firstRowFirstColumn="0" w:firstRowLastColumn="0" w:lastRowFirstColumn="0" w:lastRowLastColumn="0"/>
            <w:tcW w:w="0" w:type="auto"/>
            <w:hideMark/>
          </w:tcPr>
          <w:p w14:paraId="6B8F7F9B" w14:textId="77777777" w:rsidR="00310FF0" w:rsidRPr="00CC10B8" w:rsidRDefault="00310FF0" w:rsidP="00CC10B8">
            <w:r w:rsidRPr="00CC10B8">
              <w:t xml:space="preserve">Monitor and increase uptake of flexible working and leave arrangements </w:t>
            </w:r>
          </w:p>
        </w:tc>
        <w:tc>
          <w:tcPr>
            <w:tcW w:w="0" w:type="auto"/>
            <w:hideMark/>
          </w:tcPr>
          <w:p w14:paraId="7B1F4142" w14:textId="77777777" w:rsidR="00310FF0" w:rsidRPr="007C7E43" w:rsidRDefault="00310FF0" w:rsidP="007C7E43">
            <w:pPr>
              <w:cnfStyle w:val="000000000000" w:firstRow="0" w:lastRow="0" w:firstColumn="0" w:lastColumn="0" w:oddVBand="0" w:evenVBand="0" w:oddHBand="0" w:evenHBand="0" w:firstRowFirstColumn="0" w:firstRowLastColumn="0" w:lastRowFirstColumn="0" w:lastRowLastColumn="0"/>
            </w:pPr>
            <w:r w:rsidRPr="007C7E43">
              <w:t>Monitor the uptake of flexible working and leave arrangements by gender and consider actions to increase uptake where required (as part of the annual workplace gender audit).</w:t>
            </w:r>
          </w:p>
        </w:tc>
        <w:tc>
          <w:tcPr>
            <w:tcW w:w="0" w:type="auto"/>
            <w:hideMark/>
          </w:tcPr>
          <w:p w14:paraId="79178D2A" w14:textId="291C0028" w:rsidR="00310FF0" w:rsidRPr="007C7E43" w:rsidRDefault="00310FF0" w:rsidP="007C7E43">
            <w:pPr>
              <w:cnfStyle w:val="000000000000" w:firstRow="0" w:lastRow="0" w:firstColumn="0" w:lastColumn="0" w:oddVBand="0" w:evenVBand="0" w:oddHBand="0" w:evenHBand="0" w:firstRowFirstColumn="0" w:firstRowLastColumn="0" w:lastRowFirstColumn="0" w:lastRowLastColumn="0"/>
            </w:pPr>
            <w:r w:rsidRPr="007C7E43">
              <w:t>Indicator 6: Flexible working and leave</w:t>
            </w:r>
          </w:p>
        </w:tc>
        <w:tc>
          <w:tcPr>
            <w:tcW w:w="0" w:type="auto"/>
            <w:hideMark/>
          </w:tcPr>
          <w:p w14:paraId="178F7EC5" w14:textId="5C54CE1A" w:rsidR="00310FF0" w:rsidRPr="007C7E43" w:rsidRDefault="00310FF0" w:rsidP="007C7E43">
            <w:pPr>
              <w:cnfStyle w:val="000000000000" w:firstRow="0" w:lastRow="0" w:firstColumn="0" w:lastColumn="0" w:oddVBand="0" w:evenVBand="0" w:oddHBand="0" w:evenHBand="0" w:firstRowFirstColumn="0" w:firstRowLastColumn="0" w:lastRowFirstColumn="0" w:lastRowLastColumn="0"/>
            </w:pPr>
            <w:r w:rsidRPr="007C7E43">
              <w:t>Annual</w:t>
            </w:r>
            <w:r w:rsidR="00C60FAD">
              <w:t xml:space="preserve"> </w:t>
            </w:r>
            <w:r w:rsidRPr="007C7E43">
              <w:t>(Year 2, 3, 4)</w:t>
            </w:r>
          </w:p>
        </w:tc>
        <w:tc>
          <w:tcPr>
            <w:tcW w:w="0" w:type="auto"/>
            <w:hideMark/>
          </w:tcPr>
          <w:p w14:paraId="76FEFE71" w14:textId="3C7395A9" w:rsidR="00310FF0" w:rsidRPr="007C7E43" w:rsidRDefault="00310FF0" w:rsidP="007C7E43">
            <w:pPr>
              <w:cnfStyle w:val="000000000000" w:firstRow="0" w:lastRow="0" w:firstColumn="0" w:lastColumn="0" w:oddVBand="0" w:evenVBand="0" w:oddHBand="0" w:evenHBand="0" w:firstRowFirstColumn="0" w:firstRowLastColumn="0" w:lastRowFirstColumn="0" w:lastRowLastColumn="0"/>
            </w:pPr>
            <w:r w:rsidRPr="007C7E43">
              <w:t>People &amp; Culture</w:t>
            </w:r>
            <w:r w:rsidR="00C60FAD">
              <w:t xml:space="preserve"> </w:t>
            </w:r>
            <w:r w:rsidRPr="007C7E43">
              <w:t>(Diversity &amp; Inclusion)</w:t>
            </w:r>
          </w:p>
        </w:tc>
      </w:tr>
      <w:tr w:rsidR="008A7C27" w14:paraId="508683E8" w14:textId="77777777" w:rsidTr="00C60FAD">
        <w:tc>
          <w:tcPr>
            <w:cnfStyle w:val="001000000000" w:firstRow="0" w:lastRow="0" w:firstColumn="1" w:lastColumn="0" w:oddVBand="0" w:evenVBand="0" w:oddHBand="0" w:evenHBand="0" w:firstRowFirstColumn="0" w:firstRowLastColumn="0" w:lastRowFirstColumn="0" w:lastRowLastColumn="0"/>
            <w:tcW w:w="0" w:type="auto"/>
            <w:hideMark/>
          </w:tcPr>
          <w:p w14:paraId="14579C8A" w14:textId="77777777" w:rsidR="008A7C27" w:rsidRPr="00CC10B8" w:rsidRDefault="008A7C27" w:rsidP="00CC10B8">
            <w:r w:rsidRPr="00CC10B8">
              <w:t xml:space="preserve">Support employees to balance work, </w:t>
            </w:r>
            <w:r w:rsidRPr="00CC10B8">
              <w:lastRenderedPageBreak/>
              <w:t xml:space="preserve">family, and caring responsibilities </w:t>
            </w:r>
          </w:p>
        </w:tc>
        <w:tc>
          <w:tcPr>
            <w:tcW w:w="0" w:type="auto"/>
            <w:hideMark/>
          </w:tcPr>
          <w:p w14:paraId="001D0CF0" w14:textId="77777777" w:rsidR="008A7C27" w:rsidRPr="007C7E43" w:rsidRDefault="008A7C27" w:rsidP="007C7E43">
            <w:pPr>
              <w:cnfStyle w:val="000000000000" w:firstRow="0" w:lastRow="0" w:firstColumn="0" w:lastColumn="0" w:oddVBand="0" w:evenVBand="0" w:oddHBand="0" w:evenHBand="0" w:firstRowFirstColumn="0" w:firstRowLastColumn="0" w:lastRowFirstColumn="0" w:lastRowLastColumn="0"/>
            </w:pPr>
            <w:r w:rsidRPr="007C7E43">
              <w:lastRenderedPageBreak/>
              <w:t xml:space="preserve">Support staff to manage work, family, and caring responsibilities through the ongoing provision of appropriate work/life </w:t>
            </w:r>
            <w:r w:rsidRPr="007C7E43">
              <w:lastRenderedPageBreak/>
              <w:t xml:space="preserve">balance information, resources, and programs. </w:t>
            </w:r>
          </w:p>
        </w:tc>
        <w:tc>
          <w:tcPr>
            <w:tcW w:w="0" w:type="auto"/>
            <w:hideMark/>
          </w:tcPr>
          <w:p w14:paraId="75860C81" w14:textId="6BD8AD56" w:rsidR="008A7C27" w:rsidRPr="007C7E43" w:rsidRDefault="008A7C27" w:rsidP="007C7E43">
            <w:pPr>
              <w:cnfStyle w:val="000000000000" w:firstRow="0" w:lastRow="0" w:firstColumn="0" w:lastColumn="0" w:oddVBand="0" w:evenVBand="0" w:oddHBand="0" w:evenHBand="0" w:firstRowFirstColumn="0" w:firstRowLastColumn="0" w:lastRowFirstColumn="0" w:lastRowLastColumn="0"/>
            </w:pPr>
            <w:r w:rsidRPr="007C7E43">
              <w:lastRenderedPageBreak/>
              <w:t>Indicator 6: Flexible working and leave</w:t>
            </w:r>
          </w:p>
        </w:tc>
        <w:tc>
          <w:tcPr>
            <w:tcW w:w="0" w:type="auto"/>
            <w:hideMark/>
          </w:tcPr>
          <w:p w14:paraId="329AAF58" w14:textId="727EA2D1" w:rsidR="008A7C27" w:rsidRPr="007C7E43" w:rsidRDefault="008A7C27" w:rsidP="007C7E43">
            <w:pPr>
              <w:cnfStyle w:val="000000000000" w:firstRow="0" w:lastRow="0" w:firstColumn="0" w:lastColumn="0" w:oddVBand="0" w:evenVBand="0" w:oddHBand="0" w:evenHBand="0" w:firstRowFirstColumn="0" w:firstRowLastColumn="0" w:lastRowFirstColumn="0" w:lastRowLastColumn="0"/>
            </w:pPr>
            <w:r w:rsidRPr="007C7E43">
              <w:t>Ongoing (Year 1, 2, 3, 4)</w:t>
            </w:r>
          </w:p>
        </w:tc>
        <w:tc>
          <w:tcPr>
            <w:tcW w:w="0" w:type="auto"/>
            <w:hideMark/>
          </w:tcPr>
          <w:p w14:paraId="73459C35" w14:textId="3941428C" w:rsidR="008A7C27" w:rsidRPr="007C7E43" w:rsidRDefault="008A7C27" w:rsidP="007C7E43">
            <w:pPr>
              <w:cnfStyle w:val="000000000000" w:firstRow="0" w:lastRow="0" w:firstColumn="0" w:lastColumn="0" w:oddVBand="0" w:evenVBand="0" w:oddHBand="0" w:evenHBand="0" w:firstRowFirstColumn="0" w:firstRowLastColumn="0" w:lastRowFirstColumn="0" w:lastRowLastColumn="0"/>
            </w:pPr>
            <w:r w:rsidRPr="007C7E43">
              <w:t>People &amp; Culture</w:t>
            </w:r>
            <w:r>
              <w:t xml:space="preserve"> </w:t>
            </w:r>
            <w:r w:rsidRPr="007C7E43">
              <w:t>(Organisational Development)</w:t>
            </w:r>
          </w:p>
        </w:tc>
      </w:tr>
      <w:tr w:rsidR="008A7C27" w14:paraId="10D909D1" w14:textId="77777777" w:rsidTr="00C60FAD">
        <w:tc>
          <w:tcPr>
            <w:cnfStyle w:val="001000000000" w:firstRow="0" w:lastRow="0" w:firstColumn="1" w:lastColumn="0" w:oddVBand="0" w:evenVBand="0" w:oddHBand="0" w:evenHBand="0" w:firstRowFirstColumn="0" w:firstRowLastColumn="0" w:lastRowFirstColumn="0" w:lastRowLastColumn="0"/>
            <w:tcW w:w="0" w:type="auto"/>
            <w:hideMark/>
          </w:tcPr>
          <w:p w14:paraId="537F2F6D" w14:textId="77777777" w:rsidR="008A7C27" w:rsidRDefault="008A7C27" w:rsidP="00DC3129">
            <w:pPr>
              <w:rPr>
                <w:rFonts w:eastAsiaTheme="minorEastAsia"/>
                <w:sz w:val="24"/>
                <w:szCs w:val="24"/>
              </w:rPr>
            </w:pPr>
          </w:p>
        </w:tc>
        <w:tc>
          <w:tcPr>
            <w:tcW w:w="0" w:type="auto"/>
            <w:hideMark/>
          </w:tcPr>
          <w:p w14:paraId="514B41C3" w14:textId="77777777" w:rsidR="008A7C27" w:rsidRPr="007C7E43" w:rsidRDefault="008A7C27" w:rsidP="007C7E43">
            <w:pPr>
              <w:cnfStyle w:val="000000000000" w:firstRow="0" w:lastRow="0" w:firstColumn="0" w:lastColumn="0" w:oddVBand="0" w:evenVBand="0" w:oddHBand="0" w:evenHBand="0" w:firstRowFirstColumn="0" w:firstRowLastColumn="0" w:lastRowFirstColumn="0" w:lastRowLastColumn="0"/>
            </w:pPr>
            <w:r w:rsidRPr="007C7E43">
              <w:t>Identify actions to support women’s equal access to career progression and development opportunities while on any form of extended leave (</w:t>
            </w:r>
            <w:proofErr w:type="gramStart"/>
            <w:r w:rsidRPr="007C7E43">
              <w:t>e.g.</w:t>
            </w:r>
            <w:proofErr w:type="gramEnd"/>
            <w:r w:rsidRPr="007C7E43">
              <w:t xml:space="preserve"> parental, carers, cultural) to help minimise disruptions to advancing their career. </w:t>
            </w:r>
          </w:p>
        </w:tc>
        <w:tc>
          <w:tcPr>
            <w:tcW w:w="0" w:type="auto"/>
            <w:hideMark/>
          </w:tcPr>
          <w:p w14:paraId="4F26B586" w14:textId="2FAA86E7" w:rsidR="008A7C27" w:rsidRPr="007C7E43" w:rsidRDefault="008A7C27" w:rsidP="007C7E43">
            <w:pPr>
              <w:cnfStyle w:val="000000000000" w:firstRow="0" w:lastRow="0" w:firstColumn="0" w:lastColumn="0" w:oddVBand="0" w:evenVBand="0" w:oddHBand="0" w:evenHBand="0" w:firstRowFirstColumn="0" w:firstRowLastColumn="0" w:lastRowFirstColumn="0" w:lastRowLastColumn="0"/>
            </w:pPr>
            <w:r w:rsidRPr="007C7E43">
              <w:t>Indicator 5: Recruitment</w:t>
            </w:r>
            <w:r>
              <w:t xml:space="preserve"> </w:t>
            </w:r>
            <w:r w:rsidRPr="007C7E43">
              <w:t>and promotion</w:t>
            </w:r>
          </w:p>
        </w:tc>
        <w:tc>
          <w:tcPr>
            <w:tcW w:w="0" w:type="auto"/>
            <w:hideMark/>
          </w:tcPr>
          <w:p w14:paraId="1B0EADCC" w14:textId="77777777" w:rsidR="008A7C27" w:rsidRPr="007C7E43" w:rsidRDefault="008A7C27" w:rsidP="007C7E43">
            <w:pPr>
              <w:cnfStyle w:val="000000000000" w:firstRow="0" w:lastRow="0" w:firstColumn="0" w:lastColumn="0" w:oddVBand="0" w:evenVBand="0" w:oddHBand="0" w:evenHBand="0" w:firstRowFirstColumn="0" w:firstRowLastColumn="0" w:lastRowFirstColumn="0" w:lastRowLastColumn="0"/>
            </w:pPr>
            <w:r w:rsidRPr="007C7E43">
              <w:t>Year 2, 3</w:t>
            </w:r>
          </w:p>
        </w:tc>
        <w:tc>
          <w:tcPr>
            <w:tcW w:w="0" w:type="auto"/>
            <w:hideMark/>
          </w:tcPr>
          <w:p w14:paraId="1D2E35F7" w14:textId="3C062B14" w:rsidR="008A7C27" w:rsidRPr="007C7E43" w:rsidRDefault="008A7C27" w:rsidP="007C7E43">
            <w:pPr>
              <w:cnfStyle w:val="000000000000" w:firstRow="0" w:lastRow="0" w:firstColumn="0" w:lastColumn="0" w:oddVBand="0" w:evenVBand="0" w:oddHBand="0" w:evenHBand="0" w:firstRowFirstColumn="0" w:firstRowLastColumn="0" w:lastRowFirstColumn="0" w:lastRowLastColumn="0"/>
            </w:pPr>
            <w:r w:rsidRPr="007C7E43">
              <w:t>People &amp; Culture</w:t>
            </w:r>
            <w:r>
              <w:t xml:space="preserve"> </w:t>
            </w:r>
            <w:r w:rsidRPr="007C7E43">
              <w:t>(Organisational Development)</w:t>
            </w:r>
          </w:p>
        </w:tc>
      </w:tr>
    </w:tbl>
    <w:p w14:paraId="02A34111" w14:textId="77777777" w:rsidR="003F00E7" w:rsidRDefault="003F00E7" w:rsidP="0016727C">
      <w:pPr>
        <w:pStyle w:val="Heading3"/>
      </w:pPr>
      <w:r>
        <w:br w:type="page"/>
      </w:r>
    </w:p>
    <w:p w14:paraId="715A5C88" w14:textId="1A712B9F" w:rsidR="00310FF0" w:rsidRPr="007C7E43" w:rsidRDefault="00310FF0" w:rsidP="0016727C">
      <w:pPr>
        <w:pStyle w:val="Heading3"/>
      </w:pPr>
      <w:bookmarkStart w:id="19" w:name="_Toc114211282"/>
      <w:r w:rsidRPr="007C7E43">
        <w:lastRenderedPageBreak/>
        <w:t xml:space="preserve">Action Area 6: Measuring, monitoring, and reporting on </w:t>
      </w:r>
      <w:r w:rsidRPr="0016727C">
        <w:t>gender</w:t>
      </w:r>
      <w:r w:rsidRPr="007C7E43">
        <w:t xml:space="preserve"> equality</w:t>
      </w:r>
      <w:bookmarkEnd w:id="19"/>
    </w:p>
    <w:p w14:paraId="329CC3CB" w14:textId="36265201" w:rsidR="00310FF0" w:rsidRPr="0074740E" w:rsidRDefault="00310FF0" w:rsidP="0074740E">
      <w:r w:rsidRPr="0074740E">
        <w:t xml:space="preserve">DPC demonstrates its commitment to making reasonable and material progress towards achieving workplace gender equality by regularly measuring, monitoring, and reporting on workplace gender equality </w:t>
      </w:r>
    </w:p>
    <w:tbl>
      <w:tblPr>
        <w:tblStyle w:val="GridTable1Light"/>
        <w:tblW w:w="0" w:type="auto"/>
        <w:tblLook w:val="04A0" w:firstRow="1" w:lastRow="0" w:firstColumn="1" w:lastColumn="0" w:noHBand="0" w:noVBand="1"/>
      </w:tblPr>
      <w:tblGrid>
        <w:gridCol w:w="1473"/>
        <w:gridCol w:w="2948"/>
        <w:gridCol w:w="1475"/>
        <w:gridCol w:w="1056"/>
        <w:gridCol w:w="2064"/>
      </w:tblGrid>
      <w:tr w:rsidR="00310FF0" w14:paraId="2A9F883F" w14:textId="77777777" w:rsidTr="000F5DD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vAlign w:val="bottom"/>
            <w:hideMark/>
          </w:tcPr>
          <w:p w14:paraId="43101C49" w14:textId="77777777" w:rsidR="00310FF0" w:rsidRPr="00341A90" w:rsidRDefault="00310FF0" w:rsidP="00341A90">
            <w:pPr>
              <w:pStyle w:val="Tablecolhead"/>
              <w:rPr>
                <w:b/>
                <w:bCs w:val="0"/>
              </w:rPr>
            </w:pPr>
            <w:r w:rsidRPr="00341A90">
              <w:rPr>
                <w:b/>
                <w:bCs w:val="0"/>
              </w:rPr>
              <w:t>Goal</w:t>
            </w:r>
          </w:p>
        </w:tc>
        <w:tc>
          <w:tcPr>
            <w:tcW w:w="0" w:type="auto"/>
            <w:vAlign w:val="bottom"/>
            <w:hideMark/>
          </w:tcPr>
          <w:p w14:paraId="5C19F8AE" w14:textId="77777777" w:rsidR="00310FF0" w:rsidRPr="00341A90" w:rsidRDefault="00310FF0" w:rsidP="00341A90">
            <w:pPr>
              <w:pStyle w:val="Tablecolhead"/>
              <w:cnfStyle w:val="100000000000" w:firstRow="1" w:lastRow="0" w:firstColumn="0" w:lastColumn="0" w:oddVBand="0" w:evenVBand="0" w:oddHBand="0" w:evenHBand="0" w:firstRowFirstColumn="0" w:firstRowLastColumn="0" w:lastRowFirstColumn="0" w:lastRowLastColumn="0"/>
              <w:rPr>
                <w:b/>
                <w:bCs w:val="0"/>
              </w:rPr>
            </w:pPr>
            <w:r w:rsidRPr="00341A90">
              <w:rPr>
                <w:b/>
                <w:bCs w:val="0"/>
              </w:rPr>
              <w:t>Strategies</w:t>
            </w:r>
          </w:p>
        </w:tc>
        <w:tc>
          <w:tcPr>
            <w:tcW w:w="0" w:type="auto"/>
            <w:vAlign w:val="bottom"/>
            <w:hideMark/>
          </w:tcPr>
          <w:p w14:paraId="6B661515" w14:textId="77777777" w:rsidR="00310FF0" w:rsidRPr="00341A90" w:rsidRDefault="00310FF0" w:rsidP="00341A90">
            <w:pPr>
              <w:pStyle w:val="Tablecolhead"/>
              <w:cnfStyle w:val="100000000000" w:firstRow="1" w:lastRow="0" w:firstColumn="0" w:lastColumn="0" w:oddVBand="0" w:evenVBand="0" w:oddHBand="0" w:evenHBand="0" w:firstRowFirstColumn="0" w:firstRowLastColumn="0" w:lastRowFirstColumn="0" w:lastRowLastColumn="0"/>
              <w:rPr>
                <w:b/>
                <w:bCs w:val="0"/>
              </w:rPr>
            </w:pPr>
            <w:r w:rsidRPr="00341A90">
              <w:rPr>
                <w:b/>
                <w:bCs w:val="0"/>
              </w:rPr>
              <w:t>Workplace Gender Equality Indicator</w:t>
            </w:r>
          </w:p>
        </w:tc>
        <w:tc>
          <w:tcPr>
            <w:tcW w:w="0" w:type="auto"/>
            <w:vAlign w:val="bottom"/>
            <w:hideMark/>
          </w:tcPr>
          <w:p w14:paraId="4643B9B8" w14:textId="77777777" w:rsidR="00310FF0" w:rsidRPr="00341A90" w:rsidRDefault="00310FF0" w:rsidP="00341A90">
            <w:pPr>
              <w:pStyle w:val="Tablecolhead"/>
              <w:cnfStyle w:val="100000000000" w:firstRow="1" w:lastRow="0" w:firstColumn="0" w:lastColumn="0" w:oddVBand="0" w:evenVBand="0" w:oddHBand="0" w:evenHBand="0" w:firstRowFirstColumn="0" w:firstRowLastColumn="0" w:lastRowFirstColumn="0" w:lastRowLastColumn="0"/>
              <w:rPr>
                <w:b/>
                <w:bCs w:val="0"/>
              </w:rPr>
            </w:pPr>
            <w:r w:rsidRPr="00341A90">
              <w:rPr>
                <w:b/>
                <w:bCs w:val="0"/>
              </w:rPr>
              <w:t xml:space="preserve">Timing </w:t>
            </w:r>
          </w:p>
        </w:tc>
        <w:tc>
          <w:tcPr>
            <w:tcW w:w="0" w:type="auto"/>
            <w:vAlign w:val="bottom"/>
            <w:hideMark/>
          </w:tcPr>
          <w:p w14:paraId="2F38A1AF" w14:textId="77777777" w:rsidR="00310FF0" w:rsidRPr="00341A90" w:rsidRDefault="00310FF0" w:rsidP="00341A90">
            <w:pPr>
              <w:pStyle w:val="Tablecolhead"/>
              <w:cnfStyle w:val="100000000000" w:firstRow="1" w:lastRow="0" w:firstColumn="0" w:lastColumn="0" w:oddVBand="0" w:evenVBand="0" w:oddHBand="0" w:evenHBand="0" w:firstRowFirstColumn="0" w:firstRowLastColumn="0" w:lastRowFirstColumn="0" w:lastRowLastColumn="0"/>
              <w:rPr>
                <w:b/>
                <w:bCs w:val="0"/>
              </w:rPr>
            </w:pPr>
            <w:r w:rsidRPr="00341A90">
              <w:rPr>
                <w:b/>
                <w:bCs w:val="0"/>
              </w:rPr>
              <w:t>Responsibility</w:t>
            </w:r>
          </w:p>
        </w:tc>
      </w:tr>
      <w:tr w:rsidR="00310FF0" w14:paraId="0043BB9A" w14:textId="77777777" w:rsidTr="000F5DDA">
        <w:tc>
          <w:tcPr>
            <w:cnfStyle w:val="001000000000" w:firstRow="0" w:lastRow="0" w:firstColumn="1" w:lastColumn="0" w:oddVBand="0" w:evenVBand="0" w:oddHBand="0" w:evenHBand="0" w:firstRowFirstColumn="0" w:firstRowLastColumn="0" w:lastRowFirstColumn="0" w:lastRowLastColumn="0"/>
            <w:tcW w:w="0" w:type="auto"/>
            <w:hideMark/>
          </w:tcPr>
          <w:p w14:paraId="453AB247" w14:textId="77777777" w:rsidR="00310FF0" w:rsidRPr="00CC10B8" w:rsidRDefault="00310FF0" w:rsidP="00CC10B8">
            <w:r w:rsidRPr="00CC10B8">
              <w:t xml:space="preserve">Improve workforce data collection systems and processes </w:t>
            </w:r>
          </w:p>
        </w:tc>
        <w:tc>
          <w:tcPr>
            <w:tcW w:w="0" w:type="auto"/>
            <w:hideMark/>
          </w:tcPr>
          <w:p w14:paraId="77D61C04" w14:textId="77777777" w:rsidR="00310FF0" w:rsidRPr="007C7E43" w:rsidRDefault="00310FF0" w:rsidP="007C7E43">
            <w:pPr>
              <w:cnfStyle w:val="000000000000" w:firstRow="0" w:lastRow="0" w:firstColumn="0" w:lastColumn="0" w:oddVBand="0" w:evenVBand="0" w:oddHBand="0" w:evenHBand="0" w:firstRowFirstColumn="0" w:firstRowLastColumn="0" w:lastRowFirstColumn="0" w:lastRowLastColumn="0"/>
            </w:pPr>
            <w:r w:rsidRPr="007C7E43">
              <w:t xml:space="preserve">Review the workplace gender equality indicators and, where gaps exist, identify actions to establish a more robust dataset to support workplace gender audits (with a particular focus on intersectionality). </w:t>
            </w:r>
          </w:p>
        </w:tc>
        <w:tc>
          <w:tcPr>
            <w:tcW w:w="0" w:type="auto"/>
            <w:hideMark/>
          </w:tcPr>
          <w:p w14:paraId="6BFDB791" w14:textId="77777777" w:rsidR="00310FF0" w:rsidRPr="007C7E43" w:rsidRDefault="00310FF0" w:rsidP="007C7E43">
            <w:pPr>
              <w:cnfStyle w:val="000000000000" w:firstRow="0" w:lastRow="0" w:firstColumn="0" w:lastColumn="0" w:oddVBand="0" w:evenVBand="0" w:oddHBand="0" w:evenHBand="0" w:firstRowFirstColumn="0" w:firstRowLastColumn="0" w:lastRowFirstColumn="0" w:lastRowLastColumn="0"/>
            </w:pPr>
            <w:r w:rsidRPr="007C7E43">
              <w:t>All workplace gender equality indicators</w:t>
            </w:r>
          </w:p>
        </w:tc>
        <w:tc>
          <w:tcPr>
            <w:tcW w:w="0" w:type="auto"/>
            <w:hideMark/>
          </w:tcPr>
          <w:p w14:paraId="7F782816" w14:textId="7724C507" w:rsidR="00310FF0" w:rsidRPr="007C7E43" w:rsidRDefault="00310FF0" w:rsidP="007C7E43">
            <w:pPr>
              <w:cnfStyle w:val="000000000000" w:firstRow="0" w:lastRow="0" w:firstColumn="0" w:lastColumn="0" w:oddVBand="0" w:evenVBand="0" w:oddHBand="0" w:evenHBand="0" w:firstRowFirstColumn="0" w:firstRowLastColumn="0" w:lastRowFirstColumn="0" w:lastRowLastColumn="0"/>
            </w:pPr>
            <w:r w:rsidRPr="007C7E43">
              <w:t>Ongoing (Year 1, 2, 3, 4)</w:t>
            </w:r>
          </w:p>
        </w:tc>
        <w:tc>
          <w:tcPr>
            <w:tcW w:w="0" w:type="auto"/>
            <w:hideMark/>
          </w:tcPr>
          <w:p w14:paraId="3FA6E248" w14:textId="69D1492D" w:rsidR="00310FF0" w:rsidRPr="007C7E43" w:rsidRDefault="00310FF0" w:rsidP="007C7E43">
            <w:pPr>
              <w:cnfStyle w:val="000000000000" w:firstRow="0" w:lastRow="0" w:firstColumn="0" w:lastColumn="0" w:oddVBand="0" w:evenVBand="0" w:oddHBand="0" w:evenHBand="0" w:firstRowFirstColumn="0" w:firstRowLastColumn="0" w:lastRowFirstColumn="0" w:lastRowLastColumn="0"/>
            </w:pPr>
            <w:r w:rsidRPr="007C7E43">
              <w:t>People &amp; Culture</w:t>
            </w:r>
            <w:r w:rsidR="000F5DDA">
              <w:t xml:space="preserve"> </w:t>
            </w:r>
            <w:r w:rsidRPr="007C7E43">
              <w:t>(Diversity &amp; Inclusion)</w:t>
            </w:r>
          </w:p>
        </w:tc>
      </w:tr>
      <w:tr w:rsidR="00310FF0" w14:paraId="72C039EF" w14:textId="77777777" w:rsidTr="000F5DDA">
        <w:tc>
          <w:tcPr>
            <w:cnfStyle w:val="001000000000" w:firstRow="0" w:lastRow="0" w:firstColumn="1" w:lastColumn="0" w:oddVBand="0" w:evenVBand="0" w:oddHBand="0" w:evenHBand="0" w:firstRowFirstColumn="0" w:firstRowLastColumn="0" w:lastRowFirstColumn="0" w:lastRowLastColumn="0"/>
            <w:tcW w:w="0" w:type="auto"/>
            <w:hideMark/>
          </w:tcPr>
          <w:p w14:paraId="4180B572" w14:textId="77777777" w:rsidR="00310FF0" w:rsidRDefault="00310FF0" w:rsidP="00DC3129">
            <w:pPr>
              <w:rPr>
                <w:rFonts w:eastAsiaTheme="minorEastAsia"/>
                <w:sz w:val="24"/>
                <w:szCs w:val="24"/>
              </w:rPr>
            </w:pPr>
          </w:p>
        </w:tc>
        <w:tc>
          <w:tcPr>
            <w:tcW w:w="0" w:type="auto"/>
            <w:hideMark/>
          </w:tcPr>
          <w:p w14:paraId="01BDC098" w14:textId="77777777" w:rsidR="00310FF0" w:rsidRPr="007C7E43" w:rsidRDefault="00310FF0" w:rsidP="007C7E43">
            <w:pPr>
              <w:cnfStyle w:val="000000000000" w:firstRow="0" w:lastRow="0" w:firstColumn="0" w:lastColumn="0" w:oddVBand="0" w:evenVBand="0" w:oddHBand="0" w:evenHBand="0" w:firstRowFirstColumn="0" w:firstRowLastColumn="0" w:lastRowFirstColumn="0" w:lastRowLastColumn="0"/>
            </w:pPr>
            <w:r w:rsidRPr="007C7E43">
              <w:t>Develop a campaign to encourage staff to complete personal/demographic information on relevant forms and surveys to improve DPC’s understanding of workplace diversity including issues and challenges.</w:t>
            </w:r>
          </w:p>
        </w:tc>
        <w:tc>
          <w:tcPr>
            <w:tcW w:w="0" w:type="auto"/>
            <w:hideMark/>
          </w:tcPr>
          <w:p w14:paraId="6792317A" w14:textId="32D12952" w:rsidR="00310FF0" w:rsidRPr="007C7E43" w:rsidRDefault="00310FF0" w:rsidP="007C7E43">
            <w:pPr>
              <w:cnfStyle w:val="000000000000" w:firstRow="0" w:lastRow="0" w:firstColumn="0" w:lastColumn="0" w:oddVBand="0" w:evenVBand="0" w:oddHBand="0" w:evenHBand="0" w:firstRowFirstColumn="0" w:firstRowLastColumn="0" w:lastRowFirstColumn="0" w:lastRowLastColumn="0"/>
            </w:pPr>
            <w:r w:rsidRPr="007C7E43">
              <w:t>Indicator 1: Gender composition at all levels of the workforce</w:t>
            </w:r>
          </w:p>
        </w:tc>
        <w:tc>
          <w:tcPr>
            <w:tcW w:w="0" w:type="auto"/>
            <w:hideMark/>
          </w:tcPr>
          <w:p w14:paraId="6E81003E" w14:textId="77777777" w:rsidR="00310FF0" w:rsidRPr="007C7E43" w:rsidRDefault="00310FF0" w:rsidP="007C7E43">
            <w:pPr>
              <w:cnfStyle w:val="000000000000" w:firstRow="0" w:lastRow="0" w:firstColumn="0" w:lastColumn="0" w:oddVBand="0" w:evenVBand="0" w:oddHBand="0" w:evenHBand="0" w:firstRowFirstColumn="0" w:firstRowLastColumn="0" w:lastRowFirstColumn="0" w:lastRowLastColumn="0"/>
            </w:pPr>
            <w:r w:rsidRPr="007C7E43">
              <w:t xml:space="preserve">Year 2, 3 </w:t>
            </w:r>
          </w:p>
        </w:tc>
        <w:tc>
          <w:tcPr>
            <w:tcW w:w="0" w:type="auto"/>
            <w:hideMark/>
          </w:tcPr>
          <w:p w14:paraId="65F34315" w14:textId="77777777" w:rsidR="00310FF0" w:rsidRPr="007C7E43" w:rsidRDefault="00310FF0" w:rsidP="007C7E43">
            <w:pPr>
              <w:cnfStyle w:val="000000000000" w:firstRow="0" w:lastRow="0" w:firstColumn="0" w:lastColumn="0" w:oddVBand="0" w:evenVBand="0" w:oddHBand="0" w:evenHBand="0" w:firstRowFirstColumn="0" w:firstRowLastColumn="0" w:lastRowFirstColumn="0" w:lastRowLastColumn="0"/>
            </w:pPr>
            <w:r w:rsidRPr="007C7E43">
              <w:t>Strategic Communications, Engagement and Protocol (Internal Communications)</w:t>
            </w:r>
          </w:p>
          <w:p w14:paraId="40616082" w14:textId="1D2B107F" w:rsidR="00310FF0" w:rsidRPr="007C7E43" w:rsidRDefault="00310FF0" w:rsidP="007C7E43">
            <w:pPr>
              <w:cnfStyle w:val="000000000000" w:firstRow="0" w:lastRow="0" w:firstColumn="0" w:lastColumn="0" w:oddVBand="0" w:evenVBand="0" w:oddHBand="0" w:evenHBand="0" w:firstRowFirstColumn="0" w:firstRowLastColumn="0" w:lastRowFirstColumn="0" w:lastRowLastColumn="0"/>
            </w:pPr>
            <w:r w:rsidRPr="007C7E43">
              <w:t>People &amp; Culture (Diversity &amp; Inclusion)</w:t>
            </w:r>
          </w:p>
        </w:tc>
      </w:tr>
      <w:tr w:rsidR="008A7C27" w14:paraId="7070A850" w14:textId="77777777" w:rsidTr="000F5DDA">
        <w:tc>
          <w:tcPr>
            <w:cnfStyle w:val="001000000000" w:firstRow="0" w:lastRow="0" w:firstColumn="1" w:lastColumn="0" w:oddVBand="0" w:evenVBand="0" w:oddHBand="0" w:evenHBand="0" w:firstRowFirstColumn="0" w:firstRowLastColumn="0" w:lastRowFirstColumn="0" w:lastRowLastColumn="0"/>
            <w:tcW w:w="0" w:type="auto"/>
            <w:hideMark/>
          </w:tcPr>
          <w:p w14:paraId="537B7671" w14:textId="77777777" w:rsidR="008A7C27" w:rsidRPr="00CC10B8" w:rsidRDefault="008A7C27" w:rsidP="00CC10B8">
            <w:r w:rsidRPr="00CC10B8">
              <w:t xml:space="preserve">Measure, monitor and report on progress against the Gender Equality Action Plan </w:t>
            </w:r>
          </w:p>
        </w:tc>
        <w:tc>
          <w:tcPr>
            <w:tcW w:w="0" w:type="auto"/>
            <w:hideMark/>
          </w:tcPr>
          <w:p w14:paraId="427BA731" w14:textId="77777777" w:rsidR="008A7C27" w:rsidRPr="007C7E43" w:rsidRDefault="008A7C27" w:rsidP="007C7E43">
            <w:pPr>
              <w:cnfStyle w:val="000000000000" w:firstRow="0" w:lastRow="0" w:firstColumn="0" w:lastColumn="0" w:oddVBand="0" w:evenVBand="0" w:oddHBand="0" w:evenHBand="0" w:firstRowFirstColumn="0" w:firstRowLastColumn="0" w:lastRowFirstColumn="0" w:lastRowLastColumn="0"/>
            </w:pPr>
            <w:r w:rsidRPr="007C7E43">
              <w:t>Undertake a targeted annual workplace gender audit and develop a performance dashboard to support groups to develop strategies and actions to address gender equality and workplace diversity and inclusion gaps.</w:t>
            </w:r>
          </w:p>
        </w:tc>
        <w:tc>
          <w:tcPr>
            <w:tcW w:w="0" w:type="auto"/>
            <w:hideMark/>
          </w:tcPr>
          <w:p w14:paraId="1CC9C9FC" w14:textId="77777777" w:rsidR="008A7C27" w:rsidRPr="007C7E43" w:rsidRDefault="008A7C27" w:rsidP="007C7E43">
            <w:pPr>
              <w:cnfStyle w:val="000000000000" w:firstRow="0" w:lastRow="0" w:firstColumn="0" w:lastColumn="0" w:oddVBand="0" w:evenVBand="0" w:oddHBand="0" w:evenHBand="0" w:firstRowFirstColumn="0" w:firstRowLastColumn="0" w:lastRowFirstColumn="0" w:lastRowLastColumn="0"/>
            </w:pPr>
            <w:r w:rsidRPr="007C7E43">
              <w:t>All workplace gender equality indicators</w:t>
            </w:r>
          </w:p>
        </w:tc>
        <w:tc>
          <w:tcPr>
            <w:tcW w:w="0" w:type="auto"/>
            <w:hideMark/>
          </w:tcPr>
          <w:p w14:paraId="04569175" w14:textId="1824AC95" w:rsidR="008A7C27" w:rsidRPr="007C7E43" w:rsidRDefault="008A7C27" w:rsidP="007C7E43">
            <w:pPr>
              <w:cnfStyle w:val="000000000000" w:firstRow="0" w:lastRow="0" w:firstColumn="0" w:lastColumn="0" w:oddVBand="0" w:evenVBand="0" w:oddHBand="0" w:evenHBand="0" w:firstRowFirstColumn="0" w:firstRowLastColumn="0" w:lastRowFirstColumn="0" w:lastRowLastColumn="0"/>
            </w:pPr>
            <w:r w:rsidRPr="007C7E43">
              <w:t>Annual (Year 1, 2, 3, 4)</w:t>
            </w:r>
          </w:p>
        </w:tc>
        <w:tc>
          <w:tcPr>
            <w:tcW w:w="0" w:type="auto"/>
            <w:hideMark/>
          </w:tcPr>
          <w:p w14:paraId="0816DEDE" w14:textId="77777777" w:rsidR="008A7C27" w:rsidRPr="007C7E43" w:rsidRDefault="008A7C27" w:rsidP="007C7E43">
            <w:pPr>
              <w:cnfStyle w:val="000000000000" w:firstRow="0" w:lastRow="0" w:firstColumn="0" w:lastColumn="0" w:oddVBand="0" w:evenVBand="0" w:oddHBand="0" w:evenHBand="0" w:firstRowFirstColumn="0" w:firstRowLastColumn="0" w:lastRowFirstColumn="0" w:lastRowLastColumn="0"/>
            </w:pPr>
            <w:r w:rsidRPr="007C7E43">
              <w:t>People &amp; Culture (Recruitment &amp; Workforce Services/Diversity &amp; Inclusion)</w:t>
            </w:r>
          </w:p>
        </w:tc>
      </w:tr>
      <w:tr w:rsidR="008A7C27" w14:paraId="7BB7C988" w14:textId="77777777" w:rsidTr="000F5DDA">
        <w:tc>
          <w:tcPr>
            <w:cnfStyle w:val="001000000000" w:firstRow="0" w:lastRow="0" w:firstColumn="1" w:lastColumn="0" w:oddVBand="0" w:evenVBand="0" w:oddHBand="0" w:evenHBand="0" w:firstRowFirstColumn="0" w:firstRowLastColumn="0" w:lastRowFirstColumn="0" w:lastRowLastColumn="0"/>
            <w:tcW w:w="0" w:type="auto"/>
            <w:hideMark/>
          </w:tcPr>
          <w:p w14:paraId="2CF5F1B6" w14:textId="77777777" w:rsidR="008A7C27" w:rsidRDefault="008A7C27" w:rsidP="00DC3129">
            <w:pPr>
              <w:rPr>
                <w:rFonts w:eastAsiaTheme="minorEastAsia"/>
                <w:sz w:val="24"/>
                <w:szCs w:val="24"/>
              </w:rPr>
            </w:pPr>
          </w:p>
        </w:tc>
        <w:tc>
          <w:tcPr>
            <w:tcW w:w="0" w:type="auto"/>
            <w:hideMark/>
          </w:tcPr>
          <w:p w14:paraId="72469547" w14:textId="77777777" w:rsidR="008A7C27" w:rsidRPr="007C7E43" w:rsidRDefault="008A7C27" w:rsidP="007C7E43">
            <w:pPr>
              <w:cnfStyle w:val="000000000000" w:firstRow="0" w:lastRow="0" w:firstColumn="0" w:lastColumn="0" w:oddVBand="0" w:evenVBand="0" w:oddHBand="0" w:evenHBand="0" w:firstRowFirstColumn="0" w:firstRowLastColumn="0" w:lastRowFirstColumn="0" w:lastRowLastColumn="0"/>
            </w:pPr>
            <w:r w:rsidRPr="007C7E43">
              <w:t>Prepare an annual report to the DPC Board of Management outlining progress against the Gender Equality Action Plan including key achievements, areas for improvement and proposed strategies to address areas of gender and intersectional inequality.</w:t>
            </w:r>
          </w:p>
        </w:tc>
        <w:tc>
          <w:tcPr>
            <w:tcW w:w="0" w:type="auto"/>
            <w:hideMark/>
          </w:tcPr>
          <w:p w14:paraId="18D9AD8C" w14:textId="77777777" w:rsidR="008A7C27" w:rsidRPr="007C7E43" w:rsidRDefault="008A7C27" w:rsidP="007C7E43">
            <w:pPr>
              <w:cnfStyle w:val="000000000000" w:firstRow="0" w:lastRow="0" w:firstColumn="0" w:lastColumn="0" w:oddVBand="0" w:evenVBand="0" w:oddHBand="0" w:evenHBand="0" w:firstRowFirstColumn="0" w:firstRowLastColumn="0" w:lastRowFirstColumn="0" w:lastRowLastColumn="0"/>
            </w:pPr>
            <w:r w:rsidRPr="007C7E43">
              <w:t>All workplace gender equality indicators</w:t>
            </w:r>
          </w:p>
        </w:tc>
        <w:tc>
          <w:tcPr>
            <w:tcW w:w="0" w:type="auto"/>
            <w:hideMark/>
          </w:tcPr>
          <w:p w14:paraId="406FC40E" w14:textId="3B7D9EB8" w:rsidR="008A7C27" w:rsidRPr="007C7E43" w:rsidRDefault="008A7C27" w:rsidP="000F5DDA">
            <w:pPr>
              <w:cnfStyle w:val="000000000000" w:firstRow="0" w:lastRow="0" w:firstColumn="0" w:lastColumn="0" w:oddVBand="0" w:evenVBand="0" w:oddHBand="0" w:evenHBand="0" w:firstRowFirstColumn="0" w:firstRowLastColumn="0" w:lastRowFirstColumn="0" w:lastRowLastColumn="0"/>
            </w:pPr>
            <w:r w:rsidRPr="007C7E43">
              <w:t>Annual (Year 2, 3, 4)</w:t>
            </w:r>
          </w:p>
        </w:tc>
        <w:tc>
          <w:tcPr>
            <w:tcW w:w="0" w:type="auto"/>
            <w:hideMark/>
          </w:tcPr>
          <w:p w14:paraId="1AC1110C" w14:textId="1CF13B29" w:rsidR="008A7C27" w:rsidRPr="007C7E43" w:rsidRDefault="008A7C27" w:rsidP="007C7E43">
            <w:pPr>
              <w:cnfStyle w:val="000000000000" w:firstRow="0" w:lastRow="0" w:firstColumn="0" w:lastColumn="0" w:oddVBand="0" w:evenVBand="0" w:oddHBand="0" w:evenHBand="0" w:firstRowFirstColumn="0" w:firstRowLastColumn="0" w:lastRowFirstColumn="0" w:lastRowLastColumn="0"/>
            </w:pPr>
            <w:r w:rsidRPr="007C7E43">
              <w:t>People &amp; Culture</w:t>
            </w:r>
            <w:r>
              <w:t xml:space="preserve"> </w:t>
            </w:r>
            <w:r w:rsidRPr="007C7E43">
              <w:t>(Diversity &amp; Inclusion)</w:t>
            </w:r>
          </w:p>
        </w:tc>
      </w:tr>
    </w:tbl>
    <w:p w14:paraId="1E714C50" w14:textId="77777777" w:rsidR="00C93995" w:rsidRPr="0025543D" w:rsidRDefault="00C93995" w:rsidP="0025543D">
      <w:r>
        <w:rPr>
          <w:lang w:val="en-US"/>
        </w:rPr>
        <w:br w:type="page"/>
      </w:r>
    </w:p>
    <w:p w14:paraId="54BB4DE2" w14:textId="10EAE574" w:rsidR="00310FF0" w:rsidRDefault="00310FF0" w:rsidP="00F96249">
      <w:pPr>
        <w:pStyle w:val="Heading2"/>
        <w:rPr>
          <w:rFonts w:eastAsiaTheme="minorEastAsia"/>
        </w:rPr>
      </w:pPr>
      <w:bookmarkStart w:id="20" w:name="_Toc114211283"/>
      <w:r>
        <w:lastRenderedPageBreak/>
        <w:t>Leadership and resourcing</w:t>
      </w:r>
      <w:bookmarkEnd w:id="20"/>
    </w:p>
    <w:p w14:paraId="30A7AB19" w14:textId="77777777" w:rsidR="00310FF0" w:rsidRDefault="00310FF0" w:rsidP="00736EFA">
      <w:pPr>
        <w:pStyle w:val="Heading3"/>
        <w:rPr>
          <w:lang w:val="en-US"/>
        </w:rPr>
      </w:pPr>
      <w:bookmarkStart w:id="21" w:name="_Toc114211284"/>
      <w:r>
        <w:rPr>
          <w:lang w:val="en-US"/>
        </w:rPr>
        <w:t>Leadership and governance</w:t>
      </w:r>
      <w:bookmarkEnd w:id="21"/>
    </w:p>
    <w:p w14:paraId="2B5BA950" w14:textId="758776E1" w:rsidR="00310FF0" w:rsidRPr="00CC10B8" w:rsidRDefault="00310FF0" w:rsidP="00CC10B8">
      <w:r w:rsidRPr="00CC10B8">
        <w:t xml:space="preserve">DPC is committed to developing and implementing a Gender Equality Action Plan that is underpinned by strong leadership, governance, accountability, and reporting. DPC has established the role of an Executive Champion for Gender Equality at the Deputy Secretary level who is responsible for championing gender equality strategies and initiatives at DPC. The Executive Champion for Gender Equality will play an instrumental role in working with the DPC Board of Management to facilitate an enabling environment to advance gender equality at DPC. </w:t>
      </w:r>
    </w:p>
    <w:p w14:paraId="767B239F" w14:textId="77777777" w:rsidR="00310FF0" w:rsidRPr="00CC10B8" w:rsidRDefault="00310FF0" w:rsidP="00CC10B8">
      <w:r w:rsidRPr="00CC10B8">
        <w:t xml:space="preserve">A cross-functional Diversity and Inclusion Committee will be established to drive the implementation of the plan, comprising the business units responsible for implementing key strategies and actions under the plan and representatives from each Group who can progress and promote gender equality initiatives and report on progress at the Group level. </w:t>
      </w:r>
    </w:p>
    <w:p w14:paraId="6D12887D" w14:textId="69125E68" w:rsidR="00310FF0" w:rsidRPr="00CC10B8" w:rsidRDefault="00310FF0" w:rsidP="00CC10B8">
      <w:r w:rsidRPr="00CC10B8">
        <w:t>The Diversity and Inclusion Committee will also act as a formal consultation framework by ensuring gender equality advocates of all ages, gender identities, cultural backgrounds, sexual orientation, people with a disability, Aboriginal and Torres Strait Islander staff and male allies, are represented to ensure an intersectional approach to consultation when developing and implementing gender equality strategies and actions. It is intended that representatives of the Gender Equality, Enablers, Aboriginal, and LGBTIQ+ staff networks will sit on this group.</w:t>
      </w:r>
    </w:p>
    <w:p w14:paraId="7B0B1BD1" w14:textId="77777777" w:rsidR="00310FF0" w:rsidRDefault="00310FF0" w:rsidP="00736EFA">
      <w:pPr>
        <w:pStyle w:val="Heading3"/>
        <w:rPr>
          <w:lang w:val="en-US"/>
        </w:rPr>
      </w:pPr>
      <w:bookmarkStart w:id="22" w:name="_Toc114211285"/>
      <w:r>
        <w:rPr>
          <w:lang w:val="en-US"/>
        </w:rPr>
        <w:t>Governance and resourcing</w:t>
      </w:r>
      <w:bookmarkEnd w:id="22"/>
      <w:r>
        <w:rPr>
          <w:lang w:val="en-US"/>
        </w:rPr>
        <w:t xml:space="preserve"> </w:t>
      </w:r>
    </w:p>
    <w:p w14:paraId="74371D3B" w14:textId="77777777" w:rsidR="00310FF0" w:rsidRPr="00CC10B8" w:rsidRDefault="00310FF0" w:rsidP="00CC10B8">
      <w:r w:rsidRPr="00CC10B8">
        <w:t>The implementation of the Plan will be coordinated by the Senior Adviser Diversity &amp; Inclusion, within People &amp; Culture. The Manager, Organisational Development will provide day-to-day direction for gender equality strategies. The Chief People &amp; Transformation Officer will provide oversight of gender equality strategies.</w:t>
      </w:r>
    </w:p>
    <w:p w14:paraId="01694777" w14:textId="00BCB458" w:rsidR="00310FF0" w:rsidRPr="00CC10B8" w:rsidRDefault="00310FF0" w:rsidP="00CC10B8">
      <w:r w:rsidRPr="00CC10B8">
        <w:t xml:space="preserve">Responsible business owner(s) have been assigned to lead the development and implementation of key strategies and actions under the plan that are relevant to their respective functions and operation. The budget for funding key strategies and actions in the plan including training and resources will be sourced from the central corporate development budget. </w:t>
      </w:r>
    </w:p>
    <w:p w14:paraId="3EE74A6A" w14:textId="77777777" w:rsidR="00310FF0" w:rsidRPr="00CC10B8" w:rsidRDefault="00310FF0" w:rsidP="00CC10B8">
      <w:r w:rsidRPr="00CC10B8">
        <w:t xml:space="preserve">The table below provides an indicative summary of the annual commitment, resources and time that will be required to implement the gender equality action plan over the next four years. </w:t>
      </w:r>
    </w:p>
    <w:p w14:paraId="4A1EA877" w14:textId="77777777" w:rsidR="00310FF0" w:rsidRPr="00CC10B8" w:rsidRDefault="00310FF0" w:rsidP="00D9008D">
      <w:pPr>
        <w:pStyle w:val="Heading4"/>
      </w:pPr>
      <w:r w:rsidRPr="00CC10B8">
        <w:t xml:space="preserve">Governance and strategic resource plan </w:t>
      </w:r>
    </w:p>
    <w:tbl>
      <w:tblPr>
        <w:tblStyle w:val="GridTable1Light"/>
        <w:tblW w:w="0" w:type="auto"/>
        <w:tblLook w:val="04A0" w:firstRow="1" w:lastRow="0" w:firstColumn="1" w:lastColumn="0" w:noHBand="0" w:noVBand="1"/>
      </w:tblPr>
      <w:tblGrid>
        <w:gridCol w:w="2854"/>
        <w:gridCol w:w="4010"/>
        <w:gridCol w:w="2014"/>
      </w:tblGrid>
      <w:tr w:rsidR="00310FF0" w14:paraId="3C16E632" w14:textId="77777777" w:rsidTr="00D9008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hideMark/>
          </w:tcPr>
          <w:p w14:paraId="1531A803" w14:textId="77777777" w:rsidR="00310FF0" w:rsidRPr="00121FBA" w:rsidRDefault="00310FF0" w:rsidP="00121FBA">
            <w:pPr>
              <w:pStyle w:val="Tablecolhead"/>
              <w:rPr>
                <w:b/>
                <w:bCs w:val="0"/>
              </w:rPr>
            </w:pPr>
            <w:r w:rsidRPr="00121FBA">
              <w:rPr>
                <w:b/>
                <w:bCs w:val="0"/>
              </w:rPr>
              <w:t xml:space="preserve">Function </w:t>
            </w:r>
          </w:p>
        </w:tc>
        <w:tc>
          <w:tcPr>
            <w:tcW w:w="0" w:type="auto"/>
            <w:hideMark/>
          </w:tcPr>
          <w:p w14:paraId="2D073935" w14:textId="77777777" w:rsidR="00310FF0" w:rsidRPr="00121FBA" w:rsidRDefault="00310FF0" w:rsidP="00121FBA">
            <w:pPr>
              <w:pStyle w:val="Tablecolhead"/>
              <w:cnfStyle w:val="100000000000" w:firstRow="1" w:lastRow="0" w:firstColumn="0" w:lastColumn="0" w:oddVBand="0" w:evenVBand="0" w:oddHBand="0" w:evenHBand="0" w:firstRowFirstColumn="0" w:firstRowLastColumn="0" w:lastRowFirstColumn="0" w:lastRowLastColumn="0"/>
              <w:rPr>
                <w:b/>
                <w:bCs w:val="0"/>
              </w:rPr>
            </w:pPr>
            <w:r w:rsidRPr="00121FBA">
              <w:rPr>
                <w:b/>
                <w:bCs w:val="0"/>
              </w:rPr>
              <w:t xml:space="preserve">Accountability </w:t>
            </w:r>
          </w:p>
        </w:tc>
        <w:tc>
          <w:tcPr>
            <w:tcW w:w="0" w:type="auto"/>
            <w:hideMark/>
          </w:tcPr>
          <w:p w14:paraId="092A6FFD" w14:textId="77777777" w:rsidR="00310FF0" w:rsidRPr="00121FBA" w:rsidRDefault="00310FF0" w:rsidP="00121FBA">
            <w:pPr>
              <w:pStyle w:val="Tablecolhead"/>
              <w:cnfStyle w:val="100000000000" w:firstRow="1" w:lastRow="0" w:firstColumn="0" w:lastColumn="0" w:oddVBand="0" w:evenVBand="0" w:oddHBand="0" w:evenHBand="0" w:firstRowFirstColumn="0" w:firstRowLastColumn="0" w:lastRowFirstColumn="0" w:lastRowLastColumn="0"/>
              <w:rPr>
                <w:b/>
                <w:bCs w:val="0"/>
              </w:rPr>
            </w:pPr>
            <w:r w:rsidRPr="00121FBA">
              <w:rPr>
                <w:b/>
                <w:bCs w:val="0"/>
              </w:rPr>
              <w:t xml:space="preserve">Resource/Time </w:t>
            </w:r>
          </w:p>
        </w:tc>
      </w:tr>
      <w:tr w:rsidR="00310FF0" w14:paraId="6A33FA56" w14:textId="77777777" w:rsidTr="00D9008D">
        <w:tc>
          <w:tcPr>
            <w:cnfStyle w:val="001000000000" w:firstRow="0" w:lastRow="0" w:firstColumn="1" w:lastColumn="0" w:oddVBand="0" w:evenVBand="0" w:oddHBand="0" w:evenHBand="0" w:firstRowFirstColumn="0" w:firstRowLastColumn="0" w:lastRowFirstColumn="0" w:lastRowLastColumn="0"/>
            <w:tcW w:w="0" w:type="auto"/>
            <w:hideMark/>
          </w:tcPr>
          <w:p w14:paraId="5589E939" w14:textId="77777777" w:rsidR="00310FF0" w:rsidRPr="00CC10B8" w:rsidRDefault="00310FF0" w:rsidP="00CC10B8">
            <w:r w:rsidRPr="00CC10B8">
              <w:t xml:space="preserve">Governance </w:t>
            </w:r>
          </w:p>
        </w:tc>
        <w:tc>
          <w:tcPr>
            <w:tcW w:w="0" w:type="auto"/>
            <w:hideMark/>
          </w:tcPr>
          <w:p w14:paraId="26C5207A" w14:textId="77777777" w:rsidR="00310FF0" w:rsidRPr="007C7E43" w:rsidRDefault="00310FF0" w:rsidP="007C7E43">
            <w:pPr>
              <w:cnfStyle w:val="000000000000" w:firstRow="0" w:lastRow="0" w:firstColumn="0" w:lastColumn="0" w:oddVBand="0" w:evenVBand="0" w:oddHBand="0" w:evenHBand="0" w:firstRowFirstColumn="0" w:firstRowLastColumn="0" w:lastRowFirstColumn="0" w:lastRowLastColumn="0"/>
            </w:pPr>
            <w:r w:rsidRPr="007C7E43">
              <w:t xml:space="preserve">Board of Management </w:t>
            </w:r>
          </w:p>
        </w:tc>
        <w:tc>
          <w:tcPr>
            <w:tcW w:w="0" w:type="auto"/>
            <w:hideMark/>
          </w:tcPr>
          <w:p w14:paraId="737BA9F4" w14:textId="77777777" w:rsidR="00310FF0" w:rsidRPr="007C7E43" w:rsidRDefault="00310FF0" w:rsidP="007C7E43">
            <w:pPr>
              <w:cnfStyle w:val="000000000000" w:firstRow="0" w:lastRow="0" w:firstColumn="0" w:lastColumn="0" w:oddVBand="0" w:evenVBand="0" w:oddHBand="0" w:evenHBand="0" w:firstRowFirstColumn="0" w:firstRowLastColumn="0" w:lastRowFirstColumn="0" w:lastRowLastColumn="0"/>
            </w:pPr>
            <w:r w:rsidRPr="007C7E43">
              <w:t xml:space="preserve">Annual meetings </w:t>
            </w:r>
          </w:p>
        </w:tc>
      </w:tr>
      <w:tr w:rsidR="00310FF0" w14:paraId="34A8B663" w14:textId="77777777" w:rsidTr="00D9008D">
        <w:tc>
          <w:tcPr>
            <w:cnfStyle w:val="001000000000" w:firstRow="0" w:lastRow="0" w:firstColumn="1" w:lastColumn="0" w:oddVBand="0" w:evenVBand="0" w:oddHBand="0" w:evenHBand="0" w:firstRowFirstColumn="0" w:firstRowLastColumn="0" w:lastRowFirstColumn="0" w:lastRowLastColumn="0"/>
            <w:tcW w:w="0" w:type="auto"/>
            <w:hideMark/>
          </w:tcPr>
          <w:p w14:paraId="6717A974" w14:textId="77777777" w:rsidR="00310FF0" w:rsidRDefault="00310FF0" w:rsidP="00DC3129">
            <w:pPr>
              <w:rPr>
                <w:rFonts w:eastAsiaTheme="minorEastAsia"/>
                <w:sz w:val="24"/>
                <w:szCs w:val="24"/>
              </w:rPr>
            </w:pPr>
          </w:p>
        </w:tc>
        <w:tc>
          <w:tcPr>
            <w:tcW w:w="0" w:type="auto"/>
            <w:hideMark/>
          </w:tcPr>
          <w:p w14:paraId="11CCBCC8" w14:textId="77777777" w:rsidR="00310FF0" w:rsidRPr="007C7E43" w:rsidRDefault="00310FF0" w:rsidP="007C7E43">
            <w:pPr>
              <w:cnfStyle w:val="000000000000" w:firstRow="0" w:lastRow="0" w:firstColumn="0" w:lastColumn="0" w:oddVBand="0" w:evenVBand="0" w:oddHBand="0" w:evenHBand="0" w:firstRowFirstColumn="0" w:firstRowLastColumn="0" w:lastRowFirstColumn="0" w:lastRowLastColumn="0"/>
            </w:pPr>
            <w:r w:rsidRPr="007C7E43">
              <w:t xml:space="preserve">Executive Champion for Gender Equality </w:t>
            </w:r>
          </w:p>
        </w:tc>
        <w:tc>
          <w:tcPr>
            <w:tcW w:w="0" w:type="auto"/>
            <w:hideMark/>
          </w:tcPr>
          <w:p w14:paraId="7672FEDF" w14:textId="77777777" w:rsidR="00310FF0" w:rsidRPr="007C7E43" w:rsidRDefault="00310FF0" w:rsidP="007C7E43">
            <w:pPr>
              <w:cnfStyle w:val="000000000000" w:firstRow="0" w:lastRow="0" w:firstColumn="0" w:lastColumn="0" w:oddVBand="0" w:evenVBand="0" w:oddHBand="0" w:evenHBand="0" w:firstRowFirstColumn="0" w:firstRowLastColumn="0" w:lastRowFirstColumn="0" w:lastRowLastColumn="0"/>
            </w:pPr>
            <w:r w:rsidRPr="007C7E43">
              <w:t xml:space="preserve">Bi-annual meetings </w:t>
            </w:r>
          </w:p>
        </w:tc>
      </w:tr>
      <w:tr w:rsidR="005F562A" w14:paraId="31142A10" w14:textId="77777777" w:rsidTr="00D9008D">
        <w:tc>
          <w:tcPr>
            <w:cnfStyle w:val="001000000000" w:firstRow="0" w:lastRow="0" w:firstColumn="1" w:lastColumn="0" w:oddVBand="0" w:evenVBand="0" w:oddHBand="0" w:evenHBand="0" w:firstRowFirstColumn="0" w:firstRowLastColumn="0" w:lastRowFirstColumn="0" w:lastRowLastColumn="0"/>
            <w:tcW w:w="0" w:type="auto"/>
            <w:hideMark/>
          </w:tcPr>
          <w:p w14:paraId="4769B3BB" w14:textId="77777777" w:rsidR="005F562A" w:rsidRPr="00CC10B8" w:rsidRDefault="005F562A" w:rsidP="00CC10B8">
            <w:r w:rsidRPr="00CC10B8">
              <w:t xml:space="preserve">Coordination </w:t>
            </w:r>
          </w:p>
        </w:tc>
        <w:tc>
          <w:tcPr>
            <w:tcW w:w="0" w:type="auto"/>
            <w:hideMark/>
          </w:tcPr>
          <w:p w14:paraId="3D20D684" w14:textId="77777777" w:rsidR="005F562A" w:rsidRPr="007C7E43" w:rsidRDefault="005F562A" w:rsidP="007C7E43">
            <w:pPr>
              <w:cnfStyle w:val="000000000000" w:firstRow="0" w:lastRow="0" w:firstColumn="0" w:lastColumn="0" w:oddVBand="0" w:evenVBand="0" w:oddHBand="0" w:evenHBand="0" w:firstRowFirstColumn="0" w:firstRowLastColumn="0" w:lastRowFirstColumn="0" w:lastRowLastColumn="0"/>
            </w:pPr>
            <w:r w:rsidRPr="007C7E43">
              <w:t>Senior Adviser Diversity &amp; Inclusion</w:t>
            </w:r>
          </w:p>
        </w:tc>
        <w:tc>
          <w:tcPr>
            <w:tcW w:w="0" w:type="auto"/>
            <w:hideMark/>
          </w:tcPr>
          <w:p w14:paraId="2FD247AB" w14:textId="77777777" w:rsidR="005F562A" w:rsidRPr="007C7E43" w:rsidRDefault="005F562A" w:rsidP="007C7E43">
            <w:pPr>
              <w:cnfStyle w:val="000000000000" w:firstRow="0" w:lastRow="0" w:firstColumn="0" w:lastColumn="0" w:oddVBand="0" w:evenVBand="0" w:oddHBand="0" w:evenHBand="0" w:firstRowFirstColumn="0" w:firstRowLastColumn="0" w:lastRowFirstColumn="0" w:lastRowLastColumn="0"/>
            </w:pPr>
            <w:r w:rsidRPr="007C7E43">
              <w:t xml:space="preserve">0.5 FTE </w:t>
            </w:r>
          </w:p>
        </w:tc>
      </w:tr>
      <w:tr w:rsidR="005F562A" w14:paraId="37D74FE2" w14:textId="77777777" w:rsidTr="00D9008D">
        <w:tc>
          <w:tcPr>
            <w:cnfStyle w:val="001000000000" w:firstRow="0" w:lastRow="0" w:firstColumn="1" w:lastColumn="0" w:oddVBand="0" w:evenVBand="0" w:oddHBand="0" w:evenHBand="0" w:firstRowFirstColumn="0" w:firstRowLastColumn="0" w:lastRowFirstColumn="0" w:lastRowLastColumn="0"/>
            <w:tcW w:w="0" w:type="auto"/>
            <w:hideMark/>
          </w:tcPr>
          <w:p w14:paraId="6D9E7177" w14:textId="77777777" w:rsidR="005F562A" w:rsidRDefault="005F562A" w:rsidP="00DC3129">
            <w:pPr>
              <w:rPr>
                <w:rFonts w:eastAsiaTheme="minorEastAsia"/>
                <w:sz w:val="24"/>
                <w:szCs w:val="24"/>
              </w:rPr>
            </w:pPr>
          </w:p>
        </w:tc>
        <w:tc>
          <w:tcPr>
            <w:tcW w:w="0" w:type="auto"/>
            <w:hideMark/>
          </w:tcPr>
          <w:p w14:paraId="7273D145" w14:textId="77777777" w:rsidR="005F562A" w:rsidRPr="007C7E43" w:rsidRDefault="005F562A" w:rsidP="007C7E43">
            <w:pPr>
              <w:cnfStyle w:val="000000000000" w:firstRow="0" w:lastRow="0" w:firstColumn="0" w:lastColumn="0" w:oddVBand="0" w:evenVBand="0" w:oddHBand="0" w:evenHBand="0" w:firstRowFirstColumn="0" w:firstRowLastColumn="0" w:lastRowFirstColumn="0" w:lastRowLastColumn="0"/>
            </w:pPr>
            <w:r w:rsidRPr="007C7E43">
              <w:t xml:space="preserve">Diversity and Inclusion Committee </w:t>
            </w:r>
          </w:p>
        </w:tc>
        <w:tc>
          <w:tcPr>
            <w:tcW w:w="0" w:type="auto"/>
            <w:hideMark/>
          </w:tcPr>
          <w:p w14:paraId="60304BC3" w14:textId="77777777" w:rsidR="005F562A" w:rsidRPr="007C7E43" w:rsidRDefault="005F562A" w:rsidP="007C7E43">
            <w:pPr>
              <w:cnfStyle w:val="000000000000" w:firstRow="0" w:lastRow="0" w:firstColumn="0" w:lastColumn="0" w:oddVBand="0" w:evenVBand="0" w:oddHBand="0" w:evenHBand="0" w:firstRowFirstColumn="0" w:firstRowLastColumn="0" w:lastRowFirstColumn="0" w:lastRowLastColumn="0"/>
            </w:pPr>
            <w:r w:rsidRPr="007C7E43">
              <w:t>Quarterly meetings</w:t>
            </w:r>
          </w:p>
        </w:tc>
      </w:tr>
      <w:tr w:rsidR="00310FF0" w14:paraId="16A6CEE6" w14:textId="77777777" w:rsidTr="00D9008D">
        <w:tc>
          <w:tcPr>
            <w:cnfStyle w:val="001000000000" w:firstRow="0" w:lastRow="0" w:firstColumn="1" w:lastColumn="0" w:oddVBand="0" w:evenVBand="0" w:oddHBand="0" w:evenHBand="0" w:firstRowFirstColumn="0" w:firstRowLastColumn="0" w:lastRowFirstColumn="0" w:lastRowLastColumn="0"/>
            <w:tcW w:w="0" w:type="auto"/>
            <w:hideMark/>
          </w:tcPr>
          <w:p w14:paraId="5A2054FC" w14:textId="77777777" w:rsidR="00310FF0" w:rsidRPr="00CC10B8" w:rsidRDefault="00310FF0" w:rsidP="00CC10B8">
            <w:r w:rsidRPr="00CC10B8">
              <w:t>Capability Building</w:t>
            </w:r>
          </w:p>
        </w:tc>
        <w:tc>
          <w:tcPr>
            <w:tcW w:w="0" w:type="auto"/>
            <w:hideMark/>
          </w:tcPr>
          <w:p w14:paraId="2569371E" w14:textId="77777777" w:rsidR="00310FF0" w:rsidRPr="007C7E43" w:rsidRDefault="00310FF0" w:rsidP="007C7E43">
            <w:pPr>
              <w:cnfStyle w:val="000000000000" w:firstRow="0" w:lastRow="0" w:firstColumn="0" w:lastColumn="0" w:oddVBand="0" w:evenVBand="0" w:oddHBand="0" w:evenHBand="0" w:firstRowFirstColumn="0" w:firstRowLastColumn="0" w:lastRowFirstColumn="0" w:lastRowLastColumn="0"/>
            </w:pPr>
            <w:r w:rsidRPr="007C7E43">
              <w:t xml:space="preserve">People &amp; Culture </w:t>
            </w:r>
          </w:p>
        </w:tc>
        <w:tc>
          <w:tcPr>
            <w:tcW w:w="0" w:type="auto"/>
            <w:hideMark/>
          </w:tcPr>
          <w:p w14:paraId="50743F22" w14:textId="77777777" w:rsidR="00310FF0" w:rsidRPr="007C7E43" w:rsidRDefault="00310FF0" w:rsidP="007C7E43">
            <w:pPr>
              <w:cnfStyle w:val="000000000000" w:firstRow="0" w:lastRow="0" w:firstColumn="0" w:lastColumn="0" w:oddVBand="0" w:evenVBand="0" w:oddHBand="0" w:evenHBand="0" w:firstRowFirstColumn="0" w:firstRowLastColumn="0" w:lastRowFirstColumn="0" w:lastRowLastColumn="0"/>
            </w:pPr>
            <w:r w:rsidRPr="007C7E43">
              <w:t>0.2 FTE</w:t>
            </w:r>
          </w:p>
        </w:tc>
      </w:tr>
      <w:tr w:rsidR="00310FF0" w14:paraId="682867B4" w14:textId="77777777" w:rsidTr="00D9008D">
        <w:tc>
          <w:tcPr>
            <w:cnfStyle w:val="001000000000" w:firstRow="0" w:lastRow="0" w:firstColumn="1" w:lastColumn="0" w:oddVBand="0" w:evenVBand="0" w:oddHBand="0" w:evenHBand="0" w:firstRowFirstColumn="0" w:firstRowLastColumn="0" w:lastRowFirstColumn="0" w:lastRowLastColumn="0"/>
            <w:tcW w:w="0" w:type="auto"/>
            <w:hideMark/>
          </w:tcPr>
          <w:p w14:paraId="185C1557" w14:textId="77777777" w:rsidR="00310FF0" w:rsidRPr="00CC10B8" w:rsidRDefault="00310FF0" w:rsidP="00CC10B8">
            <w:r w:rsidRPr="00CC10B8">
              <w:t xml:space="preserve">Policy Review </w:t>
            </w:r>
          </w:p>
        </w:tc>
        <w:tc>
          <w:tcPr>
            <w:tcW w:w="0" w:type="auto"/>
            <w:hideMark/>
          </w:tcPr>
          <w:p w14:paraId="1FAB5E88" w14:textId="77777777" w:rsidR="00310FF0" w:rsidRPr="007C7E43" w:rsidRDefault="00310FF0" w:rsidP="007C7E43">
            <w:pPr>
              <w:cnfStyle w:val="000000000000" w:firstRow="0" w:lastRow="0" w:firstColumn="0" w:lastColumn="0" w:oddVBand="0" w:evenVBand="0" w:oddHBand="0" w:evenHBand="0" w:firstRowFirstColumn="0" w:firstRowLastColumn="0" w:lastRowFirstColumn="0" w:lastRowLastColumn="0"/>
            </w:pPr>
            <w:r w:rsidRPr="007C7E43">
              <w:t xml:space="preserve">People &amp; Culture </w:t>
            </w:r>
          </w:p>
        </w:tc>
        <w:tc>
          <w:tcPr>
            <w:tcW w:w="0" w:type="auto"/>
            <w:hideMark/>
          </w:tcPr>
          <w:p w14:paraId="0C565C87" w14:textId="77777777" w:rsidR="00310FF0" w:rsidRPr="007C7E43" w:rsidRDefault="00310FF0" w:rsidP="007C7E43">
            <w:pPr>
              <w:cnfStyle w:val="000000000000" w:firstRow="0" w:lastRow="0" w:firstColumn="0" w:lastColumn="0" w:oddVBand="0" w:evenVBand="0" w:oddHBand="0" w:evenHBand="0" w:firstRowFirstColumn="0" w:firstRowLastColumn="0" w:lastRowFirstColumn="0" w:lastRowLastColumn="0"/>
            </w:pPr>
            <w:r w:rsidRPr="007C7E43">
              <w:t>0.2 FTE</w:t>
            </w:r>
          </w:p>
        </w:tc>
      </w:tr>
      <w:tr w:rsidR="00310FF0" w14:paraId="7F68A917" w14:textId="77777777" w:rsidTr="00D9008D">
        <w:tc>
          <w:tcPr>
            <w:cnfStyle w:val="001000000000" w:firstRow="0" w:lastRow="0" w:firstColumn="1" w:lastColumn="0" w:oddVBand="0" w:evenVBand="0" w:oddHBand="0" w:evenHBand="0" w:firstRowFirstColumn="0" w:firstRowLastColumn="0" w:lastRowFirstColumn="0" w:lastRowLastColumn="0"/>
            <w:tcW w:w="0" w:type="auto"/>
            <w:hideMark/>
          </w:tcPr>
          <w:p w14:paraId="711F5B39" w14:textId="625F5168" w:rsidR="00310FF0" w:rsidRPr="007C7E43" w:rsidRDefault="00310FF0" w:rsidP="007C7E43">
            <w:r w:rsidRPr="007C7E43">
              <w:t xml:space="preserve">Data Analysis &amp; Reporting </w:t>
            </w:r>
          </w:p>
        </w:tc>
        <w:tc>
          <w:tcPr>
            <w:tcW w:w="0" w:type="auto"/>
            <w:hideMark/>
          </w:tcPr>
          <w:p w14:paraId="5AFB9D0E" w14:textId="77777777" w:rsidR="00310FF0" w:rsidRPr="007C7E43" w:rsidRDefault="00310FF0" w:rsidP="007C7E43">
            <w:pPr>
              <w:cnfStyle w:val="000000000000" w:firstRow="0" w:lastRow="0" w:firstColumn="0" w:lastColumn="0" w:oddVBand="0" w:evenVBand="0" w:oddHBand="0" w:evenHBand="0" w:firstRowFirstColumn="0" w:firstRowLastColumn="0" w:lastRowFirstColumn="0" w:lastRowLastColumn="0"/>
            </w:pPr>
            <w:r w:rsidRPr="007C7E43">
              <w:t>People &amp; Culture</w:t>
            </w:r>
          </w:p>
        </w:tc>
        <w:tc>
          <w:tcPr>
            <w:tcW w:w="0" w:type="auto"/>
            <w:hideMark/>
          </w:tcPr>
          <w:p w14:paraId="01C50BF7" w14:textId="77777777" w:rsidR="00310FF0" w:rsidRPr="007C7E43" w:rsidRDefault="00310FF0" w:rsidP="007C7E43">
            <w:pPr>
              <w:cnfStyle w:val="000000000000" w:firstRow="0" w:lastRow="0" w:firstColumn="0" w:lastColumn="0" w:oddVBand="0" w:evenVBand="0" w:oddHBand="0" w:evenHBand="0" w:firstRowFirstColumn="0" w:firstRowLastColumn="0" w:lastRowFirstColumn="0" w:lastRowLastColumn="0"/>
            </w:pPr>
            <w:r w:rsidRPr="007C7E43">
              <w:t>0.2 FTE</w:t>
            </w:r>
          </w:p>
        </w:tc>
      </w:tr>
      <w:tr w:rsidR="00310FF0" w14:paraId="55C105B2" w14:textId="77777777" w:rsidTr="00D9008D">
        <w:tc>
          <w:tcPr>
            <w:cnfStyle w:val="001000000000" w:firstRow="0" w:lastRow="0" w:firstColumn="1" w:lastColumn="0" w:oddVBand="0" w:evenVBand="0" w:oddHBand="0" w:evenHBand="0" w:firstRowFirstColumn="0" w:firstRowLastColumn="0" w:lastRowFirstColumn="0" w:lastRowLastColumn="0"/>
            <w:tcW w:w="0" w:type="auto"/>
            <w:hideMark/>
          </w:tcPr>
          <w:p w14:paraId="6D2BD78F" w14:textId="7DC300E2" w:rsidR="00310FF0" w:rsidRPr="007C7E43" w:rsidRDefault="00310FF0" w:rsidP="007C7E43">
            <w:r w:rsidRPr="007C7E43">
              <w:t xml:space="preserve">Communication &amp; Events </w:t>
            </w:r>
          </w:p>
        </w:tc>
        <w:tc>
          <w:tcPr>
            <w:tcW w:w="0" w:type="auto"/>
            <w:hideMark/>
          </w:tcPr>
          <w:p w14:paraId="45F971A0" w14:textId="77777777" w:rsidR="00310FF0" w:rsidRPr="007C7E43" w:rsidRDefault="00310FF0" w:rsidP="007C7E43">
            <w:pPr>
              <w:cnfStyle w:val="000000000000" w:firstRow="0" w:lastRow="0" w:firstColumn="0" w:lastColumn="0" w:oddVBand="0" w:evenVBand="0" w:oddHBand="0" w:evenHBand="0" w:firstRowFirstColumn="0" w:firstRowLastColumn="0" w:lastRowFirstColumn="0" w:lastRowLastColumn="0"/>
            </w:pPr>
            <w:r w:rsidRPr="007C7E43">
              <w:t>Strategic Communications</w:t>
            </w:r>
          </w:p>
        </w:tc>
        <w:tc>
          <w:tcPr>
            <w:tcW w:w="0" w:type="auto"/>
            <w:hideMark/>
          </w:tcPr>
          <w:p w14:paraId="0D88D787" w14:textId="64C01226" w:rsidR="00310FF0" w:rsidRPr="007C7E43" w:rsidRDefault="00C95E26" w:rsidP="008F0A32">
            <w:pPr>
              <w:cnfStyle w:val="000000000000" w:firstRow="0" w:lastRow="0" w:firstColumn="0" w:lastColumn="0" w:oddVBand="0" w:evenVBand="0" w:oddHBand="0" w:evenHBand="0" w:firstRowFirstColumn="0" w:firstRowLastColumn="0" w:lastRowFirstColumn="0" w:lastRowLastColumn="0"/>
            </w:pPr>
            <w:r>
              <w:t xml:space="preserve">0.1 </w:t>
            </w:r>
            <w:r w:rsidR="00310FF0" w:rsidRPr="007C7E43">
              <w:t>FTE</w:t>
            </w:r>
          </w:p>
        </w:tc>
      </w:tr>
    </w:tbl>
    <w:p w14:paraId="69046B95" w14:textId="19335177" w:rsidR="00310FF0" w:rsidRDefault="00310FF0" w:rsidP="00B95BC8">
      <w:pPr>
        <w:pStyle w:val="Heading2"/>
        <w:rPr>
          <w:rFonts w:eastAsiaTheme="minorEastAsia"/>
        </w:rPr>
      </w:pPr>
      <w:bookmarkStart w:id="23" w:name="_Toc114211286"/>
      <w:r>
        <w:lastRenderedPageBreak/>
        <w:t>Measuring progress and reporting</w:t>
      </w:r>
      <w:bookmarkEnd w:id="23"/>
      <w:r>
        <w:t xml:space="preserve"> </w:t>
      </w:r>
    </w:p>
    <w:p w14:paraId="69A01EE0" w14:textId="77777777" w:rsidR="00310FF0" w:rsidRDefault="00310FF0" w:rsidP="00736EFA">
      <w:pPr>
        <w:pStyle w:val="Heading3"/>
        <w:rPr>
          <w:lang w:val="en-US"/>
        </w:rPr>
      </w:pPr>
      <w:bookmarkStart w:id="24" w:name="_Toc114211287"/>
      <w:r>
        <w:rPr>
          <w:lang w:val="en-US"/>
        </w:rPr>
        <w:t>Measuring progress</w:t>
      </w:r>
      <w:bookmarkEnd w:id="24"/>
      <w:r>
        <w:rPr>
          <w:lang w:val="en-US"/>
        </w:rPr>
        <w:t xml:space="preserve"> </w:t>
      </w:r>
    </w:p>
    <w:p w14:paraId="3ECD58DB" w14:textId="3D05DE4E" w:rsidR="00310FF0" w:rsidRPr="00CC10B8" w:rsidRDefault="00310FF0" w:rsidP="00CC10B8">
      <w:r w:rsidRPr="00CC10B8">
        <w:t xml:space="preserve">DPC will undertake an annual workplace gender audit to help track progress against key actions and measures in the Plan. This will help to monitor key metrics against the seven workplace gender equality indicators. </w:t>
      </w:r>
    </w:p>
    <w:p w14:paraId="66D6AF76" w14:textId="77777777" w:rsidR="00310FF0" w:rsidRPr="00CC10B8" w:rsidRDefault="00310FF0" w:rsidP="00CC10B8">
      <w:r w:rsidRPr="00CC10B8">
        <w:t xml:space="preserve">DPC will also develop a performance dashboard to help monitor and measure progress against the Plan (and other diversity and inclusion plans). All Groups will be encouraged to use the dashboard to identify gender equality initiatives to include in their group’s strategic plan and monitor and report progress. </w:t>
      </w:r>
    </w:p>
    <w:p w14:paraId="55161CE7" w14:textId="77777777" w:rsidR="00310FF0" w:rsidRDefault="00310FF0" w:rsidP="00736EFA">
      <w:pPr>
        <w:pStyle w:val="Heading3"/>
        <w:rPr>
          <w:lang w:val="en-US"/>
        </w:rPr>
      </w:pPr>
      <w:bookmarkStart w:id="25" w:name="_Toc114211288"/>
      <w:r>
        <w:rPr>
          <w:lang w:val="en-US"/>
        </w:rPr>
        <w:t>Reporting</w:t>
      </w:r>
      <w:bookmarkEnd w:id="25"/>
      <w:r>
        <w:rPr>
          <w:lang w:val="en-US"/>
        </w:rPr>
        <w:t xml:space="preserve"> </w:t>
      </w:r>
    </w:p>
    <w:p w14:paraId="4C5FBE5B" w14:textId="252E2816" w:rsidR="00310FF0" w:rsidRPr="00CC10B8" w:rsidRDefault="00310FF0" w:rsidP="00CC10B8">
      <w:r w:rsidRPr="00CC10B8">
        <w:t xml:space="preserve">Progress against the plan, including key achievements, areas for improvement and proposed strategies to address persistent issues, will be reported on annually to the Board of Management via the Executive Champion for Gender Equality. The Diversity and Inclusion Committee will also monitor progress against the implementation of the action plan via quarterly progress meetings. </w:t>
      </w:r>
    </w:p>
    <w:p w14:paraId="10168D3E" w14:textId="6D87ED03" w:rsidR="00310FF0" w:rsidRPr="00CC10B8" w:rsidRDefault="00310FF0" w:rsidP="00CC10B8">
      <w:r w:rsidRPr="00CC10B8">
        <w:t xml:space="preserve">As required under the Act, DPC will also report progress in relation to the strategies and actions set out in our plan to the Commission for Gender Equality in the Public Sector every two years. The reporting process will also include regular communication of progress against the Plan to DPC groups, employees, and employee representatives. </w:t>
      </w:r>
    </w:p>
    <w:p w14:paraId="4C353161" w14:textId="77777777" w:rsidR="00310FF0" w:rsidRDefault="00310FF0" w:rsidP="00736EFA">
      <w:pPr>
        <w:pStyle w:val="Heading3"/>
        <w:rPr>
          <w:lang w:val="en-US"/>
        </w:rPr>
      </w:pPr>
      <w:bookmarkStart w:id="26" w:name="_Toc114211289"/>
      <w:r>
        <w:rPr>
          <w:lang w:val="en-US"/>
        </w:rPr>
        <w:t>Implementation</w:t>
      </w:r>
      <w:bookmarkEnd w:id="26"/>
      <w:r>
        <w:rPr>
          <w:lang w:val="en-US"/>
        </w:rPr>
        <w:t xml:space="preserve"> </w:t>
      </w:r>
    </w:p>
    <w:p w14:paraId="260D05E1" w14:textId="77777777" w:rsidR="00B95BC8" w:rsidRDefault="00310FF0" w:rsidP="00CC10B8">
      <w:r w:rsidRPr="00CC10B8">
        <w:t>All strategies and actions will be set out in an implementation plan, a detailed internal monitoring and tracking document that will assist with monitoring and progress reporting. The implementation plan will outline the key timeframes for communicating, implementing, and reporting progress. The implementation plan will also outline the key measures that will help to report progress and outcomes against each workplace gender equality indicator.</w:t>
      </w:r>
    </w:p>
    <w:p w14:paraId="19923B11" w14:textId="77777777" w:rsidR="00B95BC8" w:rsidRDefault="00B95BC8">
      <w:pPr>
        <w:spacing w:after="0" w:line="240" w:lineRule="auto"/>
      </w:pPr>
      <w:r>
        <w:br w:type="page"/>
      </w:r>
    </w:p>
    <w:p w14:paraId="2F96B613" w14:textId="77777777" w:rsidR="00310FF0" w:rsidRDefault="00310FF0" w:rsidP="00B95BC8">
      <w:pPr>
        <w:pStyle w:val="Heading2"/>
        <w:numPr>
          <w:ilvl w:val="0"/>
          <w:numId w:val="0"/>
        </w:numPr>
      </w:pPr>
      <w:bookmarkStart w:id="27" w:name="_Toc114211290"/>
      <w:r>
        <w:lastRenderedPageBreak/>
        <w:t xml:space="preserve">Attachment A: </w:t>
      </w:r>
      <w:proofErr w:type="spellStart"/>
      <w:r>
        <w:t>Analysing</w:t>
      </w:r>
      <w:proofErr w:type="spellEnd"/>
      <w:r>
        <w:t xml:space="preserve"> Gender Equality at DPC</w:t>
      </w:r>
      <w:bookmarkEnd w:id="27"/>
      <w:r>
        <w:t xml:space="preserve"> </w:t>
      </w:r>
    </w:p>
    <w:p w14:paraId="43D3CF65" w14:textId="1BDEEF15" w:rsidR="00310FF0" w:rsidRDefault="00310FF0" w:rsidP="00CC10B8">
      <w:r w:rsidRPr="00CC10B8">
        <w:t xml:space="preserve">The </w:t>
      </w:r>
      <w:r w:rsidRPr="008B74D8">
        <w:rPr>
          <w:i/>
          <w:iCs/>
        </w:rPr>
        <w:t>Gender Equality Act 2020</w:t>
      </w:r>
      <w:r w:rsidRPr="00CC10B8">
        <w:t xml:space="preserve"> requires DPC to collect and report data on gender equality in the workplace against seven key indicators, which represent the areas where workplace gender inequality persists and where progress towards gender equality must be demonstrated.</w:t>
      </w:r>
    </w:p>
    <w:p w14:paraId="12D32180" w14:textId="77777777" w:rsidR="00B95BC8" w:rsidRPr="00CC10B8" w:rsidRDefault="00B95BC8">
      <w:pPr>
        <w:pStyle w:val="ListNumber"/>
        <w:numPr>
          <w:ilvl w:val="0"/>
          <w:numId w:val="20"/>
        </w:numPr>
      </w:pPr>
      <w:r w:rsidRPr="00CC10B8">
        <w:t>Gender composition of the workforce</w:t>
      </w:r>
    </w:p>
    <w:p w14:paraId="48B8F7DA" w14:textId="77777777" w:rsidR="00B95BC8" w:rsidRPr="00CC10B8" w:rsidRDefault="00B95BC8" w:rsidP="00B95BC8">
      <w:pPr>
        <w:pStyle w:val="ListNumber"/>
      </w:pPr>
      <w:r w:rsidRPr="00CC10B8">
        <w:t>Gender composition of the Board</w:t>
      </w:r>
    </w:p>
    <w:p w14:paraId="7B09438D" w14:textId="77777777" w:rsidR="00B95BC8" w:rsidRPr="00CC10B8" w:rsidRDefault="00B95BC8" w:rsidP="00B95BC8">
      <w:pPr>
        <w:pStyle w:val="ListNumber"/>
      </w:pPr>
      <w:r w:rsidRPr="00CC10B8">
        <w:t xml:space="preserve">Gender </w:t>
      </w:r>
      <w:proofErr w:type="gramStart"/>
      <w:r w:rsidRPr="00CC10B8">
        <w:t>pay</w:t>
      </w:r>
      <w:proofErr w:type="gramEnd"/>
      <w:r w:rsidRPr="00CC10B8">
        <w:t xml:space="preserve"> equity</w:t>
      </w:r>
    </w:p>
    <w:p w14:paraId="2D7184DD" w14:textId="77777777" w:rsidR="00B95BC8" w:rsidRPr="00CC10B8" w:rsidRDefault="00B95BC8" w:rsidP="00B95BC8">
      <w:pPr>
        <w:pStyle w:val="ListNumber"/>
      </w:pPr>
      <w:r w:rsidRPr="00CC10B8">
        <w:t xml:space="preserve">Workplace sexual harassment </w:t>
      </w:r>
    </w:p>
    <w:p w14:paraId="7702E9E0" w14:textId="77777777" w:rsidR="00B95BC8" w:rsidRPr="00CC10B8" w:rsidRDefault="00B95BC8" w:rsidP="00B95BC8">
      <w:pPr>
        <w:pStyle w:val="ListNumber"/>
      </w:pPr>
      <w:r w:rsidRPr="00CC10B8">
        <w:t>Leave and flexibility</w:t>
      </w:r>
    </w:p>
    <w:p w14:paraId="45D31D2D" w14:textId="77777777" w:rsidR="00B95BC8" w:rsidRPr="00CC10B8" w:rsidRDefault="00B95BC8" w:rsidP="00B95BC8">
      <w:pPr>
        <w:pStyle w:val="ListNumber"/>
      </w:pPr>
      <w:r w:rsidRPr="00CC10B8">
        <w:t>Recruitment and promotion</w:t>
      </w:r>
    </w:p>
    <w:p w14:paraId="5286A775" w14:textId="2D237225" w:rsidR="00B95BC8" w:rsidRPr="00CC10B8" w:rsidRDefault="00B95BC8" w:rsidP="00B95BC8">
      <w:pPr>
        <w:pStyle w:val="ListNumber"/>
      </w:pPr>
      <w:r w:rsidRPr="00CC10B8">
        <w:t>Gendered work segregation</w:t>
      </w:r>
    </w:p>
    <w:p w14:paraId="2FC81D06" w14:textId="77777777" w:rsidR="00310FF0" w:rsidRDefault="00310FF0" w:rsidP="00736EFA">
      <w:pPr>
        <w:pStyle w:val="Heading3"/>
        <w:rPr>
          <w:lang w:val="en-US"/>
        </w:rPr>
      </w:pPr>
      <w:bookmarkStart w:id="28" w:name="_Toc114211291"/>
      <w:r>
        <w:rPr>
          <w:lang w:val="en-US"/>
        </w:rPr>
        <w:t>Key findings and insights</w:t>
      </w:r>
      <w:bookmarkEnd w:id="28"/>
      <w:r>
        <w:rPr>
          <w:lang w:val="en-US"/>
        </w:rPr>
        <w:t xml:space="preserve"> </w:t>
      </w:r>
    </w:p>
    <w:p w14:paraId="2B0E4606" w14:textId="77777777" w:rsidR="00310FF0" w:rsidRPr="00CC10B8" w:rsidRDefault="00310FF0" w:rsidP="00CC10B8">
      <w:r w:rsidRPr="00CC10B8">
        <w:t xml:space="preserve">DPC’s 2021 workplace gender audit was based on annual workforce data as </w:t>
      </w:r>
      <w:proofErr w:type="gramStart"/>
      <w:r w:rsidRPr="00CC10B8">
        <w:t>at</w:t>
      </w:r>
      <w:proofErr w:type="gramEnd"/>
      <w:r w:rsidRPr="00CC10B8">
        <w:t xml:space="preserve"> 30 June 2021 and includes relevant results from the 2021 People Matter Survey. The audit included gender-disaggregated data analysis mapped against the seven </w:t>
      </w:r>
      <w:hyperlink r:id="rId25" w:history="1">
        <w:r w:rsidRPr="00CC10B8">
          <w:rPr>
            <w:rStyle w:val="Hyperlink"/>
          </w:rPr>
          <w:t>workplace gender equality indicators</w:t>
        </w:r>
      </w:hyperlink>
      <w:r w:rsidRPr="00CC10B8">
        <w:t xml:space="preserve">, and considered intersectionality where possible. A summary of the key findings and insights from DPC’s workplace gender audit is presented below. </w:t>
      </w:r>
    </w:p>
    <w:p w14:paraId="5DA11BA9" w14:textId="77777777" w:rsidR="00310FF0" w:rsidRDefault="00310FF0" w:rsidP="00AF2DC0">
      <w:pPr>
        <w:pStyle w:val="Heading4"/>
        <w:rPr>
          <w:lang w:val="en-US"/>
        </w:rPr>
      </w:pPr>
      <w:r>
        <w:rPr>
          <w:lang w:val="en-US"/>
        </w:rPr>
        <w:t>Indicator 1: Gender composition of the workforce</w:t>
      </w:r>
    </w:p>
    <w:p w14:paraId="08AF072D" w14:textId="433AAA88" w:rsidR="00310FF0" w:rsidRDefault="00310FF0" w:rsidP="00736EFA">
      <w:pPr>
        <w:pStyle w:val="ListBullet"/>
        <w:rPr>
          <w:lang w:val="en-US"/>
        </w:rPr>
      </w:pPr>
      <w:r>
        <w:rPr>
          <w:lang w:val="en-US"/>
        </w:rPr>
        <w:t>Women are over-represented at DPC with 60.6 per cent of staff identifying as women, 39.2 per cent as men and 0.2 per cent as self-described.</w:t>
      </w:r>
    </w:p>
    <w:p w14:paraId="3DB30896" w14:textId="77777777" w:rsidR="00310FF0" w:rsidRDefault="00310FF0" w:rsidP="00736EFA">
      <w:pPr>
        <w:pStyle w:val="ListBullet"/>
        <w:rPr>
          <w:lang w:val="en-US"/>
        </w:rPr>
      </w:pPr>
      <w:r>
        <w:rPr>
          <w:lang w:val="en-US"/>
        </w:rPr>
        <w:t xml:space="preserve">A higher proportion of men (93 per cent) work full time compared to women (81 per cent), while a higher proportion of women (18 per cent) work part-time compared to men (6 per cent). </w:t>
      </w:r>
    </w:p>
    <w:p w14:paraId="185D4806" w14:textId="77777777" w:rsidR="00310FF0" w:rsidRDefault="00310FF0" w:rsidP="00736EFA">
      <w:pPr>
        <w:pStyle w:val="ListBullet"/>
        <w:rPr>
          <w:lang w:val="en-US"/>
        </w:rPr>
      </w:pPr>
      <w:r>
        <w:rPr>
          <w:lang w:val="en-US"/>
        </w:rPr>
        <w:t xml:space="preserve">There appears to be a gendered difference in the proportion of survey respondents who agreed with the statement: </w:t>
      </w:r>
      <w:r w:rsidRPr="00682666">
        <w:rPr>
          <w:i/>
          <w:iCs/>
          <w:lang w:val="en-US"/>
        </w:rPr>
        <w:t>‘</w:t>
      </w:r>
      <w:r w:rsidRPr="00682666">
        <w:rPr>
          <w:i/>
          <w:iCs/>
        </w:rPr>
        <w:t>There is a positive culture within my organisation in relation to employees of different sexes/genders’</w:t>
      </w:r>
      <w:r>
        <w:rPr>
          <w:lang w:val="en-US"/>
        </w:rPr>
        <w:t xml:space="preserve"> – 90 per cent of men agreed with this statement, compared to 86 per cent of women and 74 per cent of staff who identify as non-binary (or prefer not to say).</w:t>
      </w:r>
    </w:p>
    <w:p w14:paraId="4DA0C660" w14:textId="77777777" w:rsidR="00310FF0" w:rsidRDefault="00310FF0" w:rsidP="00AF2DC0">
      <w:pPr>
        <w:pStyle w:val="Heading4"/>
        <w:rPr>
          <w:rFonts w:eastAsiaTheme="minorEastAsia"/>
          <w:lang w:val="en-US"/>
        </w:rPr>
      </w:pPr>
      <w:r>
        <w:rPr>
          <w:lang w:val="en-US"/>
        </w:rPr>
        <w:t>Indicator 2: Gender composition of the governing body</w:t>
      </w:r>
    </w:p>
    <w:p w14:paraId="2BE7338F" w14:textId="77777777" w:rsidR="00310FF0" w:rsidRDefault="00310FF0" w:rsidP="00736EFA">
      <w:pPr>
        <w:pStyle w:val="ListBullet"/>
        <w:rPr>
          <w:lang w:val="en-US"/>
        </w:rPr>
      </w:pPr>
      <w:r>
        <w:rPr>
          <w:lang w:val="en-US"/>
        </w:rPr>
        <w:t>There is a good representation of women on the DPC Board, with 43 per cent of board members identifying as female and 57 per cent as male.</w:t>
      </w:r>
    </w:p>
    <w:p w14:paraId="5FB1B0E4" w14:textId="77777777" w:rsidR="00310FF0" w:rsidRDefault="00310FF0" w:rsidP="00AF2DC0">
      <w:pPr>
        <w:pStyle w:val="Heading4"/>
        <w:rPr>
          <w:rFonts w:eastAsiaTheme="minorEastAsia"/>
          <w:lang w:val="en-US"/>
        </w:rPr>
      </w:pPr>
      <w:r>
        <w:rPr>
          <w:lang w:val="en-US"/>
        </w:rPr>
        <w:t xml:space="preserve">Indicator 3: Gender </w:t>
      </w:r>
      <w:proofErr w:type="gramStart"/>
      <w:r>
        <w:rPr>
          <w:lang w:val="en-US"/>
        </w:rPr>
        <w:t>pay</w:t>
      </w:r>
      <w:proofErr w:type="gramEnd"/>
      <w:r>
        <w:rPr>
          <w:lang w:val="en-US"/>
        </w:rPr>
        <w:t xml:space="preserve"> equity</w:t>
      </w:r>
    </w:p>
    <w:p w14:paraId="3EDC00A8" w14:textId="115C79CF" w:rsidR="00310FF0" w:rsidRDefault="00310FF0" w:rsidP="00736EFA">
      <w:pPr>
        <w:pStyle w:val="ListBullet"/>
        <w:rPr>
          <w:lang w:val="en-US"/>
        </w:rPr>
      </w:pPr>
      <w:r>
        <w:rPr>
          <w:lang w:val="en-US"/>
        </w:rPr>
        <w:t xml:space="preserve">DPC’s </w:t>
      </w:r>
      <w:proofErr w:type="spellStart"/>
      <w:r>
        <w:rPr>
          <w:lang w:val="en-US"/>
        </w:rPr>
        <w:t>annualised</w:t>
      </w:r>
      <w:proofErr w:type="spellEnd"/>
      <w:r>
        <w:rPr>
          <w:lang w:val="en-US"/>
        </w:rPr>
        <w:t xml:space="preserve"> median</w:t>
      </w:r>
      <w:hyperlink r:id="rId26" w:anchor="footnote-005" w:history="1">
        <w:r w:rsidRPr="001D1726">
          <w:rPr>
            <w:rStyle w:val="Hyperlink"/>
            <w:vertAlign w:val="superscript"/>
            <w:lang w:val="en-US"/>
          </w:rPr>
          <w:t>2</w:t>
        </w:r>
      </w:hyperlink>
      <w:r>
        <w:rPr>
          <w:lang w:val="en-US"/>
        </w:rPr>
        <w:t xml:space="preserve"> base salary pay gap stands at 1.8 per cent, which means women on average earn $1,983 per year less than men. </w:t>
      </w:r>
    </w:p>
    <w:p w14:paraId="1912011A" w14:textId="77777777" w:rsidR="00310FF0" w:rsidRDefault="00310FF0" w:rsidP="00736EFA">
      <w:pPr>
        <w:pStyle w:val="ListBullet"/>
        <w:rPr>
          <w:lang w:val="en-US"/>
        </w:rPr>
      </w:pPr>
      <w:r>
        <w:rPr>
          <w:lang w:val="en-US"/>
        </w:rPr>
        <w:t>DPC’s median total renumeration pay gap stands at -0.2 per cent, meaning women on average earn $194 per year more than men.</w:t>
      </w:r>
    </w:p>
    <w:p w14:paraId="62C114A4" w14:textId="77777777" w:rsidR="00310FF0" w:rsidRDefault="00310FF0" w:rsidP="00AF2DC0">
      <w:pPr>
        <w:pStyle w:val="Heading4"/>
        <w:rPr>
          <w:rFonts w:eastAsiaTheme="minorEastAsia"/>
          <w:lang w:val="en-US"/>
        </w:rPr>
      </w:pPr>
      <w:r>
        <w:rPr>
          <w:lang w:val="en-US"/>
        </w:rPr>
        <w:t>Indicator 4: Workplace sexual harassment</w:t>
      </w:r>
    </w:p>
    <w:p w14:paraId="2441BB62" w14:textId="2DCDA353" w:rsidR="00310FF0" w:rsidRPr="001D1726" w:rsidRDefault="00310FF0" w:rsidP="00736EFA">
      <w:pPr>
        <w:pStyle w:val="ListBullet"/>
        <w:rPr>
          <w:lang w:val="en-US"/>
        </w:rPr>
      </w:pPr>
      <w:r>
        <w:rPr>
          <w:lang w:val="en-US"/>
        </w:rPr>
        <w:t>The 2021 People Matter Survey identified that 2 per cent of men, 2 per cent of women and 1 per cent of people who identify as non-binary (or prefer not to say) experienced sexual harassment in the workplace.</w:t>
      </w:r>
      <w:hyperlink r:id="rId27" w:anchor="footnote-004" w:history="1">
        <w:r w:rsidRPr="001D1726">
          <w:rPr>
            <w:rStyle w:val="Hyperlink"/>
            <w:vertAlign w:val="superscript"/>
            <w:lang w:val="en-US"/>
          </w:rPr>
          <w:t>3</w:t>
        </w:r>
      </w:hyperlink>
    </w:p>
    <w:p w14:paraId="1459531F" w14:textId="1A010EC6" w:rsidR="001D1726" w:rsidRPr="007C7E43" w:rsidRDefault="001D1726" w:rsidP="001D1726">
      <w:pPr>
        <w:pStyle w:val="Heading4"/>
      </w:pPr>
      <w:r w:rsidRPr="00CC10B8">
        <w:lastRenderedPageBreak/>
        <w:t>Workplace sexual haras</w:t>
      </w:r>
      <w:r w:rsidRPr="001D1726">
        <w:t>s</w:t>
      </w:r>
      <w:r w:rsidRPr="00CC10B8">
        <w:t>ment</w:t>
      </w:r>
    </w:p>
    <w:tbl>
      <w:tblPr>
        <w:tblStyle w:val="GridTable1Light"/>
        <w:tblW w:w="9154" w:type="dxa"/>
        <w:tblLayout w:type="fixed"/>
        <w:tblLook w:val="04A0" w:firstRow="1" w:lastRow="0" w:firstColumn="1" w:lastColumn="0" w:noHBand="0" w:noVBand="1"/>
      </w:tblPr>
      <w:tblGrid>
        <w:gridCol w:w="5515"/>
        <w:gridCol w:w="834"/>
        <w:gridCol w:w="1055"/>
        <w:gridCol w:w="1750"/>
      </w:tblGrid>
      <w:tr w:rsidR="00EB5B0D" w14:paraId="64BC2E69" w14:textId="77777777" w:rsidTr="003F00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5" w:type="dxa"/>
          </w:tcPr>
          <w:p w14:paraId="15279262" w14:textId="07C3C0BF" w:rsidR="001D1726" w:rsidRPr="00482580" w:rsidRDefault="001D1726" w:rsidP="00482580">
            <w:pPr>
              <w:pStyle w:val="Tablecolhead"/>
              <w:jc w:val="right"/>
              <w:rPr>
                <w:b/>
                <w:bCs w:val="0"/>
              </w:rPr>
            </w:pPr>
          </w:p>
        </w:tc>
        <w:tc>
          <w:tcPr>
            <w:tcW w:w="834" w:type="dxa"/>
          </w:tcPr>
          <w:p w14:paraId="2A276D9A" w14:textId="0CAAE5FD" w:rsidR="001D1726" w:rsidRPr="00482580" w:rsidRDefault="004F524D" w:rsidP="00482580">
            <w:pPr>
              <w:pStyle w:val="Tablecolhead"/>
              <w:jc w:val="right"/>
              <w:cnfStyle w:val="100000000000" w:firstRow="1" w:lastRow="0" w:firstColumn="0" w:lastColumn="0" w:oddVBand="0" w:evenVBand="0" w:oddHBand="0" w:evenHBand="0" w:firstRowFirstColumn="0" w:firstRowLastColumn="0" w:lastRowFirstColumn="0" w:lastRowLastColumn="0"/>
              <w:rPr>
                <w:b/>
                <w:bCs w:val="0"/>
              </w:rPr>
            </w:pPr>
            <w:r>
              <w:rPr>
                <w:b/>
                <w:bCs w:val="0"/>
              </w:rPr>
              <w:t>Male</w:t>
            </w:r>
          </w:p>
        </w:tc>
        <w:tc>
          <w:tcPr>
            <w:tcW w:w="1055" w:type="dxa"/>
          </w:tcPr>
          <w:p w14:paraId="45A48908" w14:textId="441620E2" w:rsidR="001D1726" w:rsidRPr="00482580" w:rsidRDefault="004F524D" w:rsidP="00482580">
            <w:pPr>
              <w:pStyle w:val="Tablecolhead"/>
              <w:jc w:val="right"/>
              <w:cnfStyle w:val="100000000000" w:firstRow="1" w:lastRow="0" w:firstColumn="0" w:lastColumn="0" w:oddVBand="0" w:evenVBand="0" w:oddHBand="0" w:evenHBand="0" w:firstRowFirstColumn="0" w:firstRowLastColumn="0" w:lastRowFirstColumn="0" w:lastRowLastColumn="0"/>
              <w:rPr>
                <w:b/>
                <w:bCs w:val="0"/>
              </w:rPr>
            </w:pPr>
            <w:r>
              <w:rPr>
                <w:b/>
                <w:bCs w:val="0"/>
              </w:rPr>
              <w:t>Female</w:t>
            </w:r>
          </w:p>
        </w:tc>
        <w:tc>
          <w:tcPr>
            <w:tcW w:w="1750" w:type="dxa"/>
          </w:tcPr>
          <w:p w14:paraId="5429DAD0" w14:textId="023080F2" w:rsidR="001D1726" w:rsidRPr="00482580" w:rsidRDefault="00025075" w:rsidP="00482580">
            <w:pPr>
              <w:pStyle w:val="Tablecolhead"/>
              <w:jc w:val="right"/>
              <w:cnfStyle w:val="100000000000" w:firstRow="1" w:lastRow="0" w:firstColumn="0" w:lastColumn="0" w:oddVBand="0" w:evenVBand="0" w:oddHBand="0" w:evenHBand="0" w:firstRowFirstColumn="0" w:firstRowLastColumn="0" w:lastRowFirstColumn="0" w:lastRowLastColumn="0"/>
              <w:rPr>
                <w:b/>
                <w:bCs w:val="0"/>
              </w:rPr>
            </w:pPr>
            <w:r w:rsidRPr="00482580">
              <w:rPr>
                <w:b/>
                <w:bCs w:val="0"/>
              </w:rPr>
              <w:t>Non-binary/prefer not to say</w:t>
            </w:r>
          </w:p>
        </w:tc>
      </w:tr>
      <w:tr w:rsidR="00EB5B0D" w14:paraId="300C8BB3" w14:textId="77777777" w:rsidTr="003F00E7">
        <w:tc>
          <w:tcPr>
            <w:cnfStyle w:val="001000000000" w:firstRow="0" w:lastRow="0" w:firstColumn="1" w:lastColumn="0" w:oddVBand="0" w:evenVBand="0" w:oddHBand="0" w:evenHBand="0" w:firstRowFirstColumn="0" w:firstRowLastColumn="0" w:lastRowFirstColumn="0" w:lastRowLastColumn="0"/>
            <w:tcW w:w="5515" w:type="dxa"/>
          </w:tcPr>
          <w:p w14:paraId="34191039" w14:textId="7BC613E8" w:rsidR="00025075" w:rsidRPr="007C7E43" w:rsidRDefault="00025075" w:rsidP="00DC3129">
            <w:r w:rsidRPr="007C7E43">
              <w:t>% Agree</w:t>
            </w:r>
          </w:p>
        </w:tc>
        <w:tc>
          <w:tcPr>
            <w:tcW w:w="834" w:type="dxa"/>
          </w:tcPr>
          <w:p w14:paraId="40902C28" w14:textId="161BA4D5" w:rsidR="00025075" w:rsidRPr="007C7E43" w:rsidRDefault="00025075" w:rsidP="00025075">
            <w:pPr>
              <w:jc w:val="right"/>
              <w:cnfStyle w:val="000000000000" w:firstRow="0" w:lastRow="0" w:firstColumn="0" w:lastColumn="0" w:oddVBand="0" w:evenVBand="0" w:oddHBand="0" w:evenHBand="0" w:firstRowFirstColumn="0" w:firstRowLastColumn="0" w:lastRowFirstColumn="0" w:lastRowLastColumn="0"/>
            </w:pPr>
            <w:r>
              <w:t>89%</w:t>
            </w:r>
          </w:p>
        </w:tc>
        <w:tc>
          <w:tcPr>
            <w:tcW w:w="1055" w:type="dxa"/>
          </w:tcPr>
          <w:p w14:paraId="75FABF03" w14:textId="58BE4231" w:rsidR="00025075" w:rsidRPr="007C7E43" w:rsidRDefault="00025075" w:rsidP="00025075">
            <w:pPr>
              <w:jc w:val="right"/>
              <w:cnfStyle w:val="000000000000" w:firstRow="0" w:lastRow="0" w:firstColumn="0" w:lastColumn="0" w:oddVBand="0" w:evenVBand="0" w:oddHBand="0" w:evenHBand="0" w:firstRowFirstColumn="0" w:firstRowLastColumn="0" w:lastRowFirstColumn="0" w:lastRowLastColumn="0"/>
            </w:pPr>
            <w:r>
              <w:t>85%</w:t>
            </w:r>
          </w:p>
        </w:tc>
        <w:tc>
          <w:tcPr>
            <w:tcW w:w="1750" w:type="dxa"/>
          </w:tcPr>
          <w:p w14:paraId="2F7ED70B" w14:textId="5461B165" w:rsidR="00025075" w:rsidRPr="00CC10B8" w:rsidRDefault="00025075" w:rsidP="00025075">
            <w:pPr>
              <w:jc w:val="right"/>
              <w:cnfStyle w:val="000000000000" w:firstRow="0" w:lastRow="0" w:firstColumn="0" w:lastColumn="0" w:oddVBand="0" w:evenVBand="0" w:oddHBand="0" w:evenHBand="0" w:firstRowFirstColumn="0" w:firstRowLastColumn="0" w:lastRowFirstColumn="0" w:lastRowLastColumn="0"/>
            </w:pPr>
            <w:r>
              <w:t>72%</w:t>
            </w:r>
          </w:p>
        </w:tc>
      </w:tr>
      <w:tr w:rsidR="00EB5B0D" w14:paraId="58AEF97B" w14:textId="77777777" w:rsidTr="003F00E7">
        <w:tc>
          <w:tcPr>
            <w:cnfStyle w:val="001000000000" w:firstRow="0" w:lastRow="0" w:firstColumn="1" w:lastColumn="0" w:oddVBand="0" w:evenVBand="0" w:oddHBand="0" w:evenHBand="0" w:firstRowFirstColumn="0" w:firstRowLastColumn="0" w:lastRowFirstColumn="0" w:lastRowLastColumn="0"/>
            <w:tcW w:w="5515" w:type="dxa"/>
            <w:hideMark/>
          </w:tcPr>
          <w:p w14:paraId="41D695C4" w14:textId="77777777" w:rsidR="001D1726" w:rsidRPr="001D1726" w:rsidRDefault="001D1726" w:rsidP="00DC3129">
            <w:pPr>
              <w:rPr>
                <w:b w:val="0"/>
                <w:bCs w:val="0"/>
              </w:rPr>
            </w:pPr>
            <w:r w:rsidRPr="001D1726">
              <w:rPr>
                <w:b w:val="0"/>
                <w:bCs w:val="0"/>
              </w:rPr>
              <w:t>“My organisation encourages respectful workplace behaviours.”</w:t>
            </w:r>
          </w:p>
        </w:tc>
        <w:tc>
          <w:tcPr>
            <w:tcW w:w="834" w:type="dxa"/>
            <w:hideMark/>
          </w:tcPr>
          <w:p w14:paraId="603C614F" w14:textId="77777777" w:rsidR="001D1726" w:rsidRPr="007C7E43" w:rsidRDefault="001D1726" w:rsidP="00025075">
            <w:pPr>
              <w:jc w:val="right"/>
              <w:cnfStyle w:val="000000000000" w:firstRow="0" w:lastRow="0" w:firstColumn="0" w:lastColumn="0" w:oddVBand="0" w:evenVBand="0" w:oddHBand="0" w:evenHBand="0" w:firstRowFirstColumn="0" w:firstRowLastColumn="0" w:lastRowFirstColumn="0" w:lastRowLastColumn="0"/>
            </w:pPr>
            <w:r w:rsidRPr="007C7E43">
              <w:t>92%</w:t>
            </w:r>
          </w:p>
        </w:tc>
        <w:tc>
          <w:tcPr>
            <w:tcW w:w="1055" w:type="dxa"/>
            <w:hideMark/>
          </w:tcPr>
          <w:p w14:paraId="076DFD21" w14:textId="77777777" w:rsidR="001D1726" w:rsidRPr="007C7E43" w:rsidRDefault="001D1726" w:rsidP="00025075">
            <w:pPr>
              <w:jc w:val="right"/>
              <w:cnfStyle w:val="000000000000" w:firstRow="0" w:lastRow="0" w:firstColumn="0" w:lastColumn="0" w:oddVBand="0" w:evenVBand="0" w:oddHBand="0" w:evenHBand="0" w:firstRowFirstColumn="0" w:firstRowLastColumn="0" w:lastRowFirstColumn="0" w:lastRowLastColumn="0"/>
            </w:pPr>
            <w:r w:rsidRPr="007C7E43">
              <w:t>90%</w:t>
            </w:r>
          </w:p>
        </w:tc>
        <w:tc>
          <w:tcPr>
            <w:tcW w:w="1750" w:type="dxa"/>
            <w:hideMark/>
          </w:tcPr>
          <w:p w14:paraId="21947DE8" w14:textId="77777777" w:rsidR="001D1726" w:rsidRPr="007C7E43" w:rsidRDefault="001D1726" w:rsidP="00025075">
            <w:pPr>
              <w:jc w:val="right"/>
              <w:cnfStyle w:val="000000000000" w:firstRow="0" w:lastRow="0" w:firstColumn="0" w:lastColumn="0" w:oddVBand="0" w:evenVBand="0" w:oddHBand="0" w:evenHBand="0" w:firstRowFirstColumn="0" w:firstRowLastColumn="0" w:lastRowFirstColumn="0" w:lastRowLastColumn="0"/>
            </w:pPr>
            <w:r w:rsidRPr="007C7E43">
              <w:t>72%</w:t>
            </w:r>
          </w:p>
        </w:tc>
      </w:tr>
      <w:tr w:rsidR="00EB5B0D" w14:paraId="3DFEBFBB" w14:textId="77777777" w:rsidTr="003F00E7">
        <w:tc>
          <w:tcPr>
            <w:cnfStyle w:val="001000000000" w:firstRow="0" w:lastRow="0" w:firstColumn="1" w:lastColumn="0" w:oddVBand="0" w:evenVBand="0" w:oddHBand="0" w:evenHBand="0" w:firstRowFirstColumn="0" w:firstRowLastColumn="0" w:lastRowFirstColumn="0" w:lastRowLastColumn="0"/>
            <w:tcW w:w="5515" w:type="dxa"/>
            <w:hideMark/>
          </w:tcPr>
          <w:p w14:paraId="4BA5D978" w14:textId="77777777" w:rsidR="001D1726" w:rsidRPr="001D1726" w:rsidRDefault="001D1726" w:rsidP="00DC3129">
            <w:pPr>
              <w:rPr>
                <w:b w:val="0"/>
                <w:bCs w:val="0"/>
              </w:rPr>
            </w:pPr>
            <w:r w:rsidRPr="001D1726">
              <w:rPr>
                <w:b w:val="0"/>
                <w:bCs w:val="0"/>
              </w:rPr>
              <w:t>“My organisation takes steps to eliminate bullying, harassment and discrimination.”</w:t>
            </w:r>
          </w:p>
        </w:tc>
        <w:tc>
          <w:tcPr>
            <w:tcW w:w="834" w:type="dxa"/>
            <w:hideMark/>
          </w:tcPr>
          <w:p w14:paraId="3494BF1D" w14:textId="77777777" w:rsidR="001D1726" w:rsidRPr="007C7E43" w:rsidRDefault="001D1726" w:rsidP="00025075">
            <w:pPr>
              <w:jc w:val="right"/>
              <w:cnfStyle w:val="000000000000" w:firstRow="0" w:lastRow="0" w:firstColumn="0" w:lastColumn="0" w:oddVBand="0" w:evenVBand="0" w:oddHBand="0" w:evenHBand="0" w:firstRowFirstColumn="0" w:firstRowLastColumn="0" w:lastRowFirstColumn="0" w:lastRowLastColumn="0"/>
            </w:pPr>
            <w:r w:rsidRPr="007C7E43">
              <w:t>82%</w:t>
            </w:r>
          </w:p>
        </w:tc>
        <w:tc>
          <w:tcPr>
            <w:tcW w:w="1055" w:type="dxa"/>
            <w:hideMark/>
          </w:tcPr>
          <w:p w14:paraId="4974924D" w14:textId="77777777" w:rsidR="001D1726" w:rsidRPr="007C7E43" w:rsidRDefault="001D1726" w:rsidP="00025075">
            <w:pPr>
              <w:jc w:val="right"/>
              <w:cnfStyle w:val="000000000000" w:firstRow="0" w:lastRow="0" w:firstColumn="0" w:lastColumn="0" w:oddVBand="0" w:evenVBand="0" w:oddHBand="0" w:evenHBand="0" w:firstRowFirstColumn="0" w:firstRowLastColumn="0" w:lastRowFirstColumn="0" w:lastRowLastColumn="0"/>
            </w:pPr>
            <w:r w:rsidRPr="007C7E43">
              <w:t>76%</w:t>
            </w:r>
          </w:p>
        </w:tc>
        <w:tc>
          <w:tcPr>
            <w:tcW w:w="1750" w:type="dxa"/>
            <w:hideMark/>
          </w:tcPr>
          <w:p w14:paraId="181D7ADA" w14:textId="77777777" w:rsidR="001D1726" w:rsidRPr="007C7E43" w:rsidRDefault="001D1726" w:rsidP="00025075">
            <w:pPr>
              <w:jc w:val="right"/>
              <w:cnfStyle w:val="000000000000" w:firstRow="0" w:lastRow="0" w:firstColumn="0" w:lastColumn="0" w:oddVBand="0" w:evenVBand="0" w:oddHBand="0" w:evenHBand="0" w:firstRowFirstColumn="0" w:firstRowLastColumn="0" w:lastRowFirstColumn="0" w:lastRowLastColumn="0"/>
            </w:pPr>
            <w:r w:rsidRPr="007C7E43">
              <w:t>62%</w:t>
            </w:r>
          </w:p>
        </w:tc>
      </w:tr>
      <w:tr w:rsidR="00EB5B0D" w14:paraId="41A33037" w14:textId="77777777" w:rsidTr="003F00E7">
        <w:tc>
          <w:tcPr>
            <w:cnfStyle w:val="001000000000" w:firstRow="0" w:lastRow="0" w:firstColumn="1" w:lastColumn="0" w:oddVBand="0" w:evenVBand="0" w:oddHBand="0" w:evenHBand="0" w:firstRowFirstColumn="0" w:firstRowLastColumn="0" w:lastRowFirstColumn="0" w:lastRowLastColumn="0"/>
            <w:tcW w:w="5515" w:type="dxa"/>
            <w:hideMark/>
          </w:tcPr>
          <w:p w14:paraId="710E4E29" w14:textId="77777777" w:rsidR="001D1726" w:rsidRPr="001D1726" w:rsidRDefault="001D1726" w:rsidP="00DC3129">
            <w:pPr>
              <w:rPr>
                <w:b w:val="0"/>
                <w:bCs w:val="0"/>
              </w:rPr>
            </w:pPr>
            <w:r w:rsidRPr="001D1726">
              <w:rPr>
                <w:b w:val="0"/>
                <w:bCs w:val="0"/>
              </w:rPr>
              <w:t>“I feel safe to challenge inappropriate behaviour at work.”</w:t>
            </w:r>
          </w:p>
        </w:tc>
        <w:tc>
          <w:tcPr>
            <w:tcW w:w="834" w:type="dxa"/>
            <w:hideMark/>
          </w:tcPr>
          <w:p w14:paraId="4CD963F2" w14:textId="77777777" w:rsidR="001D1726" w:rsidRPr="007C7E43" w:rsidRDefault="001D1726" w:rsidP="00025075">
            <w:pPr>
              <w:jc w:val="right"/>
              <w:cnfStyle w:val="000000000000" w:firstRow="0" w:lastRow="0" w:firstColumn="0" w:lastColumn="0" w:oddVBand="0" w:evenVBand="0" w:oddHBand="0" w:evenHBand="0" w:firstRowFirstColumn="0" w:firstRowLastColumn="0" w:lastRowFirstColumn="0" w:lastRowLastColumn="0"/>
            </w:pPr>
            <w:r w:rsidRPr="007C7E43">
              <w:t>86%</w:t>
            </w:r>
          </w:p>
        </w:tc>
        <w:tc>
          <w:tcPr>
            <w:tcW w:w="1055" w:type="dxa"/>
            <w:hideMark/>
          </w:tcPr>
          <w:p w14:paraId="4ADC07DD" w14:textId="77777777" w:rsidR="001D1726" w:rsidRPr="007C7E43" w:rsidRDefault="001D1726" w:rsidP="00025075">
            <w:pPr>
              <w:jc w:val="right"/>
              <w:cnfStyle w:val="000000000000" w:firstRow="0" w:lastRow="0" w:firstColumn="0" w:lastColumn="0" w:oddVBand="0" w:evenVBand="0" w:oddHBand="0" w:evenHBand="0" w:firstRowFirstColumn="0" w:firstRowLastColumn="0" w:lastRowFirstColumn="0" w:lastRowLastColumn="0"/>
            </w:pPr>
            <w:r w:rsidRPr="007C7E43">
              <w:t>75%</w:t>
            </w:r>
          </w:p>
        </w:tc>
        <w:tc>
          <w:tcPr>
            <w:tcW w:w="1750" w:type="dxa"/>
            <w:hideMark/>
          </w:tcPr>
          <w:p w14:paraId="76269807" w14:textId="77777777" w:rsidR="001D1726" w:rsidRPr="007C7E43" w:rsidRDefault="001D1726" w:rsidP="00025075">
            <w:pPr>
              <w:jc w:val="right"/>
              <w:cnfStyle w:val="000000000000" w:firstRow="0" w:lastRow="0" w:firstColumn="0" w:lastColumn="0" w:oddVBand="0" w:evenVBand="0" w:oddHBand="0" w:evenHBand="0" w:firstRowFirstColumn="0" w:firstRowLastColumn="0" w:lastRowFirstColumn="0" w:lastRowLastColumn="0"/>
            </w:pPr>
            <w:r w:rsidRPr="007C7E43">
              <w:t>49%</w:t>
            </w:r>
          </w:p>
        </w:tc>
      </w:tr>
    </w:tbl>
    <w:p w14:paraId="08BE7659" w14:textId="304C8324" w:rsidR="00310FF0" w:rsidRDefault="00310FF0">
      <w:pPr>
        <w:pStyle w:val="ListBullet"/>
        <w:numPr>
          <w:ilvl w:val="0"/>
          <w:numId w:val="21"/>
        </w:numPr>
        <w:rPr>
          <w:lang w:val="en-US"/>
        </w:rPr>
      </w:pPr>
      <w:r>
        <w:rPr>
          <w:lang w:val="en-US"/>
        </w:rPr>
        <w:t xml:space="preserve">Women and staff who identify as non-binary (or prefer not to say) were less </w:t>
      </w:r>
      <w:proofErr w:type="spellStart"/>
      <w:r>
        <w:rPr>
          <w:lang w:val="en-US"/>
        </w:rPr>
        <w:t>favourable</w:t>
      </w:r>
      <w:proofErr w:type="spellEnd"/>
      <w:r>
        <w:rPr>
          <w:lang w:val="en-US"/>
        </w:rPr>
        <w:t xml:space="preserve"> to the following statements: </w:t>
      </w:r>
    </w:p>
    <w:p w14:paraId="0DCEDC59" w14:textId="77777777" w:rsidR="00310FF0" w:rsidRPr="00025075" w:rsidRDefault="00310FF0" w:rsidP="00025075">
      <w:pPr>
        <w:pStyle w:val="ListBullet2"/>
        <w:rPr>
          <w:i/>
          <w:iCs/>
        </w:rPr>
      </w:pPr>
      <w:r w:rsidRPr="00025075">
        <w:rPr>
          <w:i/>
          <w:iCs/>
        </w:rPr>
        <w:t>‘My organisation encourages respectful workplace behaviours’</w:t>
      </w:r>
    </w:p>
    <w:p w14:paraId="53E7F5A8" w14:textId="77777777" w:rsidR="00310FF0" w:rsidRPr="00025075" w:rsidRDefault="00310FF0" w:rsidP="00025075">
      <w:pPr>
        <w:pStyle w:val="ListBullet2"/>
        <w:rPr>
          <w:i/>
          <w:iCs/>
        </w:rPr>
      </w:pPr>
      <w:r w:rsidRPr="00025075">
        <w:rPr>
          <w:i/>
          <w:iCs/>
        </w:rPr>
        <w:t>‘My organisation takes steps to eliminate bullying, harassment and discrimination’</w:t>
      </w:r>
    </w:p>
    <w:p w14:paraId="04C81822" w14:textId="77777777" w:rsidR="00310FF0" w:rsidRPr="00025075" w:rsidRDefault="00310FF0" w:rsidP="00025075">
      <w:pPr>
        <w:pStyle w:val="ListBullet2"/>
        <w:rPr>
          <w:i/>
          <w:iCs/>
          <w:lang w:val="en-US"/>
        </w:rPr>
      </w:pPr>
      <w:r w:rsidRPr="00025075">
        <w:rPr>
          <w:i/>
          <w:iCs/>
          <w:lang w:val="en-US"/>
        </w:rPr>
        <w:t>‘</w:t>
      </w:r>
      <w:r w:rsidRPr="00025075">
        <w:rPr>
          <w:i/>
          <w:iCs/>
        </w:rPr>
        <w:t>I feel safe to challenge inappropriate behaviour at work.’</w:t>
      </w:r>
    </w:p>
    <w:p w14:paraId="0B528BA0" w14:textId="77777777" w:rsidR="00310FF0" w:rsidRDefault="00310FF0" w:rsidP="00AF2DC0">
      <w:pPr>
        <w:pStyle w:val="Heading4"/>
        <w:rPr>
          <w:rFonts w:eastAsiaTheme="minorEastAsia"/>
          <w:lang w:val="en-US"/>
        </w:rPr>
      </w:pPr>
      <w:r>
        <w:rPr>
          <w:lang w:val="en-US"/>
        </w:rPr>
        <w:t>Indicator 5: Recruitment and promotion</w:t>
      </w:r>
    </w:p>
    <w:p w14:paraId="78C3203C" w14:textId="526837F9" w:rsidR="00310FF0" w:rsidRDefault="00310FF0" w:rsidP="00736EFA">
      <w:pPr>
        <w:pStyle w:val="ListBullet"/>
        <w:rPr>
          <w:lang w:val="en-US"/>
        </w:rPr>
      </w:pPr>
      <w:r>
        <w:rPr>
          <w:lang w:val="en-US"/>
        </w:rPr>
        <w:t xml:space="preserve">Women and staff who identify as non-binary (or prefer not to say) were less </w:t>
      </w:r>
      <w:proofErr w:type="spellStart"/>
      <w:r>
        <w:rPr>
          <w:lang w:val="en-US"/>
        </w:rPr>
        <w:t>favourable</w:t>
      </w:r>
      <w:proofErr w:type="spellEnd"/>
      <w:r>
        <w:rPr>
          <w:lang w:val="en-US"/>
        </w:rPr>
        <w:t xml:space="preserve"> to the following statements:</w:t>
      </w:r>
    </w:p>
    <w:p w14:paraId="70B896F4" w14:textId="77777777" w:rsidR="00310FF0" w:rsidRPr="00025075" w:rsidRDefault="00310FF0" w:rsidP="00025075">
      <w:pPr>
        <w:pStyle w:val="ListBullet2"/>
      </w:pPr>
      <w:r w:rsidRPr="00682666">
        <w:rPr>
          <w:i/>
          <w:iCs/>
        </w:rPr>
        <w:t>‘My organisation makes fair recruitment and promotion decisions, based on merit’</w:t>
      </w:r>
      <w:r w:rsidRPr="00025075">
        <w:t xml:space="preserve"> – 62 per cent of women and 45 per cent of staff who identify as non-binary (or prefer not to say) agreed with this statement compared to 72 per cent of men. </w:t>
      </w:r>
    </w:p>
    <w:p w14:paraId="748403E7" w14:textId="457C08A0" w:rsidR="00310FF0" w:rsidRPr="00025075" w:rsidRDefault="00310FF0" w:rsidP="00025075">
      <w:pPr>
        <w:pStyle w:val="ListBullet2"/>
      </w:pPr>
      <w:r w:rsidRPr="00682666">
        <w:rPr>
          <w:i/>
          <w:iCs/>
        </w:rPr>
        <w:t>‘I feel I have an equal chance at promotion in my organisation’</w:t>
      </w:r>
      <w:r w:rsidRPr="00025075">
        <w:t xml:space="preserve"> – 45 per cent of women and 23 per cent of staff who identify as non-binary (or prefer not to say) agreed with this statement compared to 58 per cent of men. </w:t>
      </w:r>
    </w:p>
    <w:p w14:paraId="0796991A" w14:textId="4263BC1D" w:rsidR="00310FF0" w:rsidRPr="00025075" w:rsidRDefault="00310FF0" w:rsidP="00025075">
      <w:pPr>
        <w:pStyle w:val="ListBullet2"/>
      </w:pPr>
      <w:r w:rsidRPr="00025075">
        <w:t xml:space="preserve">There appears to be a gendered difference in how people responded to the statement: </w:t>
      </w:r>
      <w:r w:rsidRPr="00682666">
        <w:rPr>
          <w:i/>
          <w:iCs/>
        </w:rPr>
        <w:t>‘Gender, Aboriginality, cultural background, sexual orientation, disability and age is not a barrier to success in my organisation’</w:t>
      </w:r>
      <w:r w:rsidRPr="00025075">
        <w:t xml:space="preserve"> – a higher proportion of women and staff who identify as non-binary (or prefer not to say) were largely less favourable than men that these factors were not a barrier to success in their organisation.</w:t>
      </w:r>
    </w:p>
    <w:p w14:paraId="377C2861" w14:textId="1DB6525E" w:rsidR="00310FF0" w:rsidRPr="00CC10B8" w:rsidRDefault="00310FF0" w:rsidP="00025075">
      <w:pPr>
        <w:pStyle w:val="Heading4"/>
      </w:pPr>
      <w:r w:rsidRPr="00CC10B8">
        <w:t>[Factor] is not a barrier to success in my organisation</w:t>
      </w:r>
    </w:p>
    <w:tbl>
      <w:tblPr>
        <w:tblStyle w:val="GridTable1Light"/>
        <w:tblW w:w="9067" w:type="dxa"/>
        <w:tblLayout w:type="fixed"/>
        <w:tblLook w:val="04A0" w:firstRow="1" w:lastRow="0" w:firstColumn="1" w:lastColumn="0" w:noHBand="0" w:noVBand="1"/>
      </w:tblPr>
      <w:tblGrid>
        <w:gridCol w:w="2830"/>
        <w:gridCol w:w="1470"/>
        <w:gridCol w:w="1471"/>
        <w:gridCol w:w="3296"/>
      </w:tblGrid>
      <w:tr w:rsidR="00025075" w14:paraId="529C8129" w14:textId="77777777" w:rsidTr="00E84F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75CEAF08" w14:textId="516B5E6C" w:rsidR="00025075" w:rsidRPr="00E84F52" w:rsidRDefault="00025075" w:rsidP="00E84F52">
            <w:pPr>
              <w:pStyle w:val="Tablecolhead"/>
              <w:rPr>
                <w:b/>
                <w:bCs w:val="0"/>
              </w:rPr>
            </w:pPr>
            <w:r w:rsidRPr="00E84F52">
              <w:rPr>
                <w:b/>
                <w:bCs w:val="0"/>
              </w:rPr>
              <w:t>% Agree</w:t>
            </w:r>
          </w:p>
        </w:tc>
        <w:tc>
          <w:tcPr>
            <w:tcW w:w="1470" w:type="dxa"/>
          </w:tcPr>
          <w:p w14:paraId="151DB939" w14:textId="476AFE41" w:rsidR="00025075" w:rsidRPr="00E84F52" w:rsidRDefault="004F524D" w:rsidP="00E84F52">
            <w:pPr>
              <w:pStyle w:val="Tablecolhead"/>
              <w:jc w:val="right"/>
              <w:cnfStyle w:val="100000000000" w:firstRow="1" w:lastRow="0" w:firstColumn="0" w:lastColumn="0" w:oddVBand="0" w:evenVBand="0" w:oddHBand="0" w:evenHBand="0" w:firstRowFirstColumn="0" w:firstRowLastColumn="0" w:lastRowFirstColumn="0" w:lastRowLastColumn="0"/>
              <w:rPr>
                <w:b/>
                <w:bCs w:val="0"/>
              </w:rPr>
            </w:pPr>
            <w:r>
              <w:rPr>
                <w:b/>
                <w:bCs w:val="0"/>
              </w:rPr>
              <w:t>Male</w:t>
            </w:r>
          </w:p>
        </w:tc>
        <w:tc>
          <w:tcPr>
            <w:tcW w:w="1471" w:type="dxa"/>
          </w:tcPr>
          <w:p w14:paraId="3057882A" w14:textId="0A145F94" w:rsidR="00025075" w:rsidRPr="00E84F52" w:rsidRDefault="004F524D" w:rsidP="00E84F52">
            <w:pPr>
              <w:pStyle w:val="Tablecolhead"/>
              <w:jc w:val="right"/>
              <w:cnfStyle w:val="100000000000" w:firstRow="1" w:lastRow="0" w:firstColumn="0" w:lastColumn="0" w:oddVBand="0" w:evenVBand="0" w:oddHBand="0" w:evenHBand="0" w:firstRowFirstColumn="0" w:firstRowLastColumn="0" w:lastRowFirstColumn="0" w:lastRowLastColumn="0"/>
              <w:rPr>
                <w:b/>
                <w:bCs w:val="0"/>
              </w:rPr>
            </w:pPr>
            <w:r>
              <w:rPr>
                <w:b/>
                <w:bCs w:val="0"/>
              </w:rPr>
              <w:t>Female</w:t>
            </w:r>
          </w:p>
        </w:tc>
        <w:tc>
          <w:tcPr>
            <w:tcW w:w="3296" w:type="dxa"/>
          </w:tcPr>
          <w:p w14:paraId="290F7F89" w14:textId="2764DAC6" w:rsidR="00025075" w:rsidRPr="00E84F52" w:rsidRDefault="00DD35D4" w:rsidP="00E84F52">
            <w:pPr>
              <w:pStyle w:val="Tablecolhead"/>
              <w:jc w:val="right"/>
              <w:cnfStyle w:val="100000000000" w:firstRow="1" w:lastRow="0" w:firstColumn="0" w:lastColumn="0" w:oddVBand="0" w:evenVBand="0" w:oddHBand="0" w:evenHBand="0" w:firstRowFirstColumn="0" w:firstRowLastColumn="0" w:lastRowFirstColumn="0" w:lastRowLastColumn="0"/>
              <w:rPr>
                <w:b/>
                <w:bCs w:val="0"/>
              </w:rPr>
            </w:pPr>
            <w:r w:rsidRPr="00E84F52">
              <w:rPr>
                <w:b/>
                <w:bCs w:val="0"/>
              </w:rPr>
              <w:t>Non-binary/prefer not to say</w:t>
            </w:r>
          </w:p>
        </w:tc>
      </w:tr>
      <w:tr w:rsidR="00310FF0" w14:paraId="21E4716A" w14:textId="77777777" w:rsidTr="00E84F52">
        <w:tc>
          <w:tcPr>
            <w:cnfStyle w:val="001000000000" w:firstRow="0" w:lastRow="0" w:firstColumn="1" w:lastColumn="0" w:oddVBand="0" w:evenVBand="0" w:oddHBand="0" w:evenHBand="0" w:firstRowFirstColumn="0" w:firstRowLastColumn="0" w:lastRowFirstColumn="0" w:lastRowLastColumn="0"/>
            <w:tcW w:w="2830" w:type="dxa"/>
            <w:hideMark/>
          </w:tcPr>
          <w:p w14:paraId="3125D1FA" w14:textId="77777777" w:rsidR="00310FF0" w:rsidRPr="00CC10B8" w:rsidRDefault="00310FF0" w:rsidP="00CC10B8">
            <w:r w:rsidRPr="00CC10B8">
              <w:t xml:space="preserve">Age </w:t>
            </w:r>
          </w:p>
        </w:tc>
        <w:tc>
          <w:tcPr>
            <w:tcW w:w="1470" w:type="dxa"/>
            <w:hideMark/>
          </w:tcPr>
          <w:p w14:paraId="12F53B44" w14:textId="77777777" w:rsidR="00310FF0" w:rsidRPr="007C7E43" w:rsidRDefault="00310FF0" w:rsidP="00E84F52">
            <w:pPr>
              <w:jc w:val="right"/>
              <w:cnfStyle w:val="000000000000" w:firstRow="0" w:lastRow="0" w:firstColumn="0" w:lastColumn="0" w:oddVBand="0" w:evenVBand="0" w:oddHBand="0" w:evenHBand="0" w:firstRowFirstColumn="0" w:firstRowLastColumn="0" w:lastRowFirstColumn="0" w:lastRowLastColumn="0"/>
            </w:pPr>
            <w:r w:rsidRPr="007C7E43">
              <w:t>69%</w:t>
            </w:r>
          </w:p>
        </w:tc>
        <w:tc>
          <w:tcPr>
            <w:tcW w:w="1471" w:type="dxa"/>
            <w:hideMark/>
          </w:tcPr>
          <w:p w14:paraId="64EF5234" w14:textId="77777777" w:rsidR="00310FF0" w:rsidRPr="007C7E43" w:rsidRDefault="00310FF0" w:rsidP="00E84F52">
            <w:pPr>
              <w:jc w:val="right"/>
              <w:cnfStyle w:val="000000000000" w:firstRow="0" w:lastRow="0" w:firstColumn="0" w:lastColumn="0" w:oddVBand="0" w:evenVBand="0" w:oddHBand="0" w:evenHBand="0" w:firstRowFirstColumn="0" w:firstRowLastColumn="0" w:lastRowFirstColumn="0" w:lastRowLastColumn="0"/>
            </w:pPr>
            <w:r w:rsidRPr="007C7E43">
              <w:t>65%</w:t>
            </w:r>
          </w:p>
        </w:tc>
        <w:tc>
          <w:tcPr>
            <w:tcW w:w="3296" w:type="dxa"/>
            <w:hideMark/>
          </w:tcPr>
          <w:p w14:paraId="4C317F10" w14:textId="77777777" w:rsidR="00310FF0" w:rsidRPr="007C7E43" w:rsidRDefault="00310FF0" w:rsidP="00E84F52">
            <w:pPr>
              <w:jc w:val="right"/>
              <w:cnfStyle w:val="000000000000" w:firstRow="0" w:lastRow="0" w:firstColumn="0" w:lastColumn="0" w:oddVBand="0" w:evenVBand="0" w:oddHBand="0" w:evenHBand="0" w:firstRowFirstColumn="0" w:firstRowLastColumn="0" w:lastRowFirstColumn="0" w:lastRowLastColumn="0"/>
            </w:pPr>
            <w:r w:rsidRPr="007C7E43">
              <w:t>53%</w:t>
            </w:r>
          </w:p>
        </w:tc>
      </w:tr>
      <w:tr w:rsidR="00310FF0" w14:paraId="21716A2E" w14:textId="77777777" w:rsidTr="00E84F52">
        <w:trPr>
          <w:trHeight w:val="317"/>
        </w:trPr>
        <w:tc>
          <w:tcPr>
            <w:cnfStyle w:val="001000000000" w:firstRow="0" w:lastRow="0" w:firstColumn="1" w:lastColumn="0" w:oddVBand="0" w:evenVBand="0" w:oddHBand="0" w:evenHBand="0" w:firstRowFirstColumn="0" w:firstRowLastColumn="0" w:lastRowFirstColumn="0" w:lastRowLastColumn="0"/>
            <w:tcW w:w="2830" w:type="dxa"/>
            <w:hideMark/>
          </w:tcPr>
          <w:p w14:paraId="53DFB8DD" w14:textId="77777777" w:rsidR="00310FF0" w:rsidRPr="00CC10B8" w:rsidRDefault="00310FF0" w:rsidP="00CC10B8">
            <w:r w:rsidRPr="00CC10B8">
              <w:t xml:space="preserve">Gender </w:t>
            </w:r>
          </w:p>
        </w:tc>
        <w:tc>
          <w:tcPr>
            <w:tcW w:w="1470" w:type="dxa"/>
            <w:hideMark/>
          </w:tcPr>
          <w:p w14:paraId="48C3C975" w14:textId="77777777" w:rsidR="00310FF0" w:rsidRPr="007C7E43" w:rsidRDefault="00310FF0" w:rsidP="00E84F52">
            <w:pPr>
              <w:jc w:val="right"/>
              <w:cnfStyle w:val="000000000000" w:firstRow="0" w:lastRow="0" w:firstColumn="0" w:lastColumn="0" w:oddVBand="0" w:evenVBand="0" w:oddHBand="0" w:evenHBand="0" w:firstRowFirstColumn="0" w:firstRowLastColumn="0" w:lastRowFirstColumn="0" w:lastRowLastColumn="0"/>
            </w:pPr>
            <w:r w:rsidRPr="007C7E43">
              <w:t>83%</w:t>
            </w:r>
          </w:p>
        </w:tc>
        <w:tc>
          <w:tcPr>
            <w:tcW w:w="1471" w:type="dxa"/>
            <w:hideMark/>
          </w:tcPr>
          <w:p w14:paraId="1A1458CF" w14:textId="77777777" w:rsidR="00310FF0" w:rsidRPr="007C7E43" w:rsidRDefault="00310FF0" w:rsidP="00E84F52">
            <w:pPr>
              <w:jc w:val="right"/>
              <w:cnfStyle w:val="000000000000" w:firstRow="0" w:lastRow="0" w:firstColumn="0" w:lastColumn="0" w:oddVBand="0" w:evenVBand="0" w:oddHBand="0" w:evenHBand="0" w:firstRowFirstColumn="0" w:firstRowLastColumn="0" w:lastRowFirstColumn="0" w:lastRowLastColumn="0"/>
            </w:pPr>
            <w:r w:rsidRPr="007C7E43">
              <w:t>82%</w:t>
            </w:r>
          </w:p>
        </w:tc>
        <w:tc>
          <w:tcPr>
            <w:tcW w:w="3296" w:type="dxa"/>
            <w:hideMark/>
          </w:tcPr>
          <w:p w14:paraId="199FC5BC" w14:textId="77777777" w:rsidR="00310FF0" w:rsidRPr="007C7E43" w:rsidRDefault="00310FF0" w:rsidP="00E84F52">
            <w:pPr>
              <w:jc w:val="right"/>
              <w:cnfStyle w:val="000000000000" w:firstRow="0" w:lastRow="0" w:firstColumn="0" w:lastColumn="0" w:oddVBand="0" w:evenVBand="0" w:oddHBand="0" w:evenHBand="0" w:firstRowFirstColumn="0" w:firstRowLastColumn="0" w:lastRowFirstColumn="0" w:lastRowLastColumn="0"/>
            </w:pPr>
            <w:r w:rsidRPr="007C7E43">
              <w:t>65%</w:t>
            </w:r>
          </w:p>
        </w:tc>
      </w:tr>
      <w:tr w:rsidR="00310FF0" w14:paraId="2B9FC48B" w14:textId="77777777" w:rsidTr="00E84F52">
        <w:tc>
          <w:tcPr>
            <w:cnfStyle w:val="001000000000" w:firstRow="0" w:lastRow="0" w:firstColumn="1" w:lastColumn="0" w:oddVBand="0" w:evenVBand="0" w:oddHBand="0" w:evenHBand="0" w:firstRowFirstColumn="0" w:firstRowLastColumn="0" w:lastRowFirstColumn="0" w:lastRowLastColumn="0"/>
            <w:tcW w:w="2830" w:type="dxa"/>
            <w:hideMark/>
          </w:tcPr>
          <w:p w14:paraId="170338FC" w14:textId="77777777" w:rsidR="00310FF0" w:rsidRPr="00CC10B8" w:rsidRDefault="00310FF0" w:rsidP="00CC10B8">
            <w:r w:rsidRPr="00CC10B8">
              <w:t>Sexual orientation</w:t>
            </w:r>
          </w:p>
        </w:tc>
        <w:tc>
          <w:tcPr>
            <w:tcW w:w="1470" w:type="dxa"/>
            <w:hideMark/>
          </w:tcPr>
          <w:p w14:paraId="71ADDFF4" w14:textId="77777777" w:rsidR="00310FF0" w:rsidRPr="007C7E43" w:rsidRDefault="00310FF0" w:rsidP="00E84F52">
            <w:pPr>
              <w:jc w:val="right"/>
              <w:cnfStyle w:val="000000000000" w:firstRow="0" w:lastRow="0" w:firstColumn="0" w:lastColumn="0" w:oddVBand="0" w:evenVBand="0" w:oddHBand="0" w:evenHBand="0" w:firstRowFirstColumn="0" w:firstRowLastColumn="0" w:lastRowFirstColumn="0" w:lastRowLastColumn="0"/>
            </w:pPr>
            <w:r w:rsidRPr="007C7E43">
              <w:t>81%</w:t>
            </w:r>
          </w:p>
        </w:tc>
        <w:tc>
          <w:tcPr>
            <w:tcW w:w="1471" w:type="dxa"/>
            <w:hideMark/>
          </w:tcPr>
          <w:p w14:paraId="36758DA0" w14:textId="77777777" w:rsidR="00310FF0" w:rsidRPr="007C7E43" w:rsidRDefault="00310FF0" w:rsidP="00E84F52">
            <w:pPr>
              <w:jc w:val="right"/>
              <w:cnfStyle w:val="000000000000" w:firstRow="0" w:lastRow="0" w:firstColumn="0" w:lastColumn="0" w:oddVBand="0" w:evenVBand="0" w:oddHBand="0" w:evenHBand="0" w:firstRowFirstColumn="0" w:firstRowLastColumn="0" w:lastRowFirstColumn="0" w:lastRowLastColumn="0"/>
            </w:pPr>
            <w:r w:rsidRPr="007C7E43">
              <w:t>82%</w:t>
            </w:r>
          </w:p>
        </w:tc>
        <w:tc>
          <w:tcPr>
            <w:tcW w:w="3296" w:type="dxa"/>
            <w:hideMark/>
          </w:tcPr>
          <w:p w14:paraId="56C701E0" w14:textId="77777777" w:rsidR="00310FF0" w:rsidRPr="007C7E43" w:rsidRDefault="00310FF0" w:rsidP="00E84F52">
            <w:pPr>
              <w:jc w:val="right"/>
              <w:cnfStyle w:val="000000000000" w:firstRow="0" w:lastRow="0" w:firstColumn="0" w:lastColumn="0" w:oddVBand="0" w:evenVBand="0" w:oddHBand="0" w:evenHBand="0" w:firstRowFirstColumn="0" w:firstRowLastColumn="0" w:lastRowFirstColumn="0" w:lastRowLastColumn="0"/>
            </w:pPr>
            <w:r w:rsidRPr="007C7E43">
              <w:t>71%</w:t>
            </w:r>
          </w:p>
        </w:tc>
      </w:tr>
      <w:tr w:rsidR="00310FF0" w14:paraId="481FE5A8" w14:textId="77777777" w:rsidTr="00E84F52">
        <w:tc>
          <w:tcPr>
            <w:cnfStyle w:val="001000000000" w:firstRow="0" w:lastRow="0" w:firstColumn="1" w:lastColumn="0" w:oddVBand="0" w:evenVBand="0" w:oddHBand="0" w:evenHBand="0" w:firstRowFirstColumn="0" w:firstRowLastColumn="0" w:lastRowFirstColumn="0" w:lastRowLastColumn="0"/>
            <w:tcW w:w="2830" w:type="dxa"/>
            <w:hideMark/>
          </w:tcPr>
          <w:p w14:paraId="2B43DDFE" w14:textId="77777777" w:rsidR="00310FF0" w:rsidRPr="00CC10B8" w:rsidRDefault="00310FF0" w:rsidP="00CC10B8">
            <w:r w:rsidRPr="00CC10B8">
              <w:t xml:space="preserve">Cultural background </w:t>
            </w:r>
          </w:p>
        </w:tc>
        <w:tc>
          <w:tcPr>
            <w:tcW w:w="1470" w:type="dxa"/>
            <w:hideMark/>
          </w:tcPr>
          <w:p w14:paraId="65A8166A" w14:textId="77777777" w:rsidR="00310FF0" w:rsidRPr="007C7E43" w:rsidRDefault="00310FF0" w:rsidP="00E84F52">
            <w:pPr>
              <w:jc w:val="right"/>
              <w:cnfStyle w:val="000000000000" w:firstRow="0" w:lastRow="0" w:firstColumn="0" w:lastColumn="0" w:oddVBand="0" w:evenVBand="0" w:oddHBand="0" w:evenHBand="0" w:firstRowFirstColumn="0" w:firstRowLastColumn="0" w:lastRowFirstColumn="0" w:lastRowLastColumn="0"/>
            </w:pPr>
            <w:r w:rsidRPr="007C7E43">
              <w:t>73%</w:t>
            </w:r>
          </w:p>
        </w:tc>
        <w:tc>
          <w:tcPr>
            <w:tcW w:w="1471" w:type="dxa"/>
            <w:hideMark/>
          </w:tcPr>
          <w:p w14:paraId="7C70C2BC" w14:textId="77777777" w:rsidR="00310FF0" w:rsidRPr="007C7E43" w:rsidRDefault="00310FF0" w:rsidP="00E84F52">
            <w:pPr>
              <w:jc w:val="right"/>
              <w:cnfStyle w:val="000000000000" w:firstRow="0" w:lastRow="0" w:firstColumn="0" w:lastColumn="0" w:oddVBand="0" w:evenVBand="0" w:oddHBand="0" w:evenHBand="0" w:firstRowFirstColumn="0" w:firstRowLastColumn="0" w:lastRowFirstColumn="0" w:lastRowLastColumn="0"/>
            </w:pPr>
            <w:r w:rsidRPr="007C7E43">
              <w:t>69%</w:t>
            </w:r>
          </w:p>
        </w:tc>
        <w:tc>
          <w:tcPr>
            <w:tcW w:w="3296" w:type="dxa"/>
            <w:hideMark/>
          </w:tcPr>
          <w:p w14:paraId="0CEBAB86" w14:textId="77777777" w:rsidR="00310FF0" w:rsidRPr="007C7E43" w:rsidRDefault="00310FF0" w:rsidP="00E84F52">
            <w:pPr>
              <w:jc w:val="right"/>
              <w:cnfStyle w:val="000000000000" w:firstRow="0" w:lastRow="0" w:firstColumn="0" w:lastColumn="0" w:oddVBand="0" w:evenVBand="0" w:oddHBand="0" w:evenHBand="0" w:firstRowFirstColumn="0" w:firstRowLastColumn="0" w:lastRowFirstColumn="0" w:lastRowLastColumn="0"/>
            </w:pPr>
            <w:r w:rsidRPr="007C7E43">
              <w:t>59%</w:t>
            </w:r>
          </w:p>
        </w:tc>
      </w:tr>
      <w:tr w:rsidR="00310FF0" w14:paraId="2DD91AE9" w14:textId="77777777" w:rsidTr="00E84F52">
        <w:tc>
          <w:tcPr>
            <w:cnfStyle w:val="001000000000" w:firstRow="0" w:lastRow="0" w:firstColumn="1" w:lastColumn="0" w:oddVBand="0" w:evenVBand="0" w:oddHBand="0" w:evenHBand="0" w:firstRowFirstColumn="0" w:firstRowLastColumn="0" w:lastRowFirstColumn="0" w:lastRowLastColumn="0"/>
            <w:tcW w:w="2830" w:type="dxa"/>
            <w:hideMark/>
          </w:tcPr>
          <w:p w14:paraId="0ABA3DCB" w14:textId="77777777" w:rsidR="00310FF0" w:rsidRPr="00CC10B8" w:rsidRDefault="00310FF0" w:rsidP="00CC10B8">
            <w:r w:rsidRPr="00CC10B8">
              <w:t xml:space="preserve">Aboriginality </w:t>
            </w:r>
          </w:p>
        </w:tc>
        <w:tc>
          <w:tcPr>
            <w:tcW w:w="1470" w:type="dxa"/>
            <w:hideMark/>
          </w:tcPr>
          <w:p w14:paraId="25E14D78" w14:textId="77777777" w:rsidR="00310FF0" w:rsidRPr="007C7E43" w:rsidRDefault="00310FF0" w:rsidP="00E84F52">
            <w:pPr>
              <w:jc w:val="right"/>
              <w:cnfStyle w:val="000000000000" w:firstRow="0" w:lastRow="0" w:firstColumn="0" w:lastColumn="0" w:oddVBand="0" w:evenVBand="0" w:oddHBand="0" w:evenHBand="0" w:firstRowFirstColumn="0" w:firstRowLastColumn="0" w:lastRowFirstColumn="0" w:lastRowLastColumn="0"/>
            </w:pPr>
            <w:r w:rsidRPr="007C7E43">
              <w:t>66%</w:t>
            </w:r>
          </w:p>
        </w:tc>
        <w:tc>
          <w:tcPr>
            <w:tcW w:w="1471" w:type="dxa"/>
            <w:hideMark/>
          </w:tcPr>
          <w:p w14:paraId="4F65BB53" w14:textId="77777777" w:rsidR="00310FF0" w:rsidRPr="007C7E43" w:rsidRDefault="00310FF0" w:rsidP="00E84F52">
            <w:pPr>
              <w:jc w:val="right"/>
              <w:cnfStyle w:val="000000000000" w:firstRow="0" w:lastRow="0" w:firstColumn="0" w:lastColumn="0" w:oddVBand="0" w:evenVBand="0" w:oddHBand="0" w:evenHBand="0" w:firstRowFirstColumn="0" w:firstRowLastColumn="0" w:lastRowFirstColumn="0" w:lastRowLastColumn="0"/>
            </w:pPr>
            <w:r w:rsidRPr="007C7E43">
              <w:t>64%</w:t>
            </w:r>
          </w:p>
        </w:tc>
        <w:tc>
          <w:tcPr>
            <w:tcW w:w="3296" w:type="dxa"/>
            <w:hideMark/>
          </w:tcPr>
          <w:p w14:paraId="0CD04AFA" w14:textId="77777777" w:rsidR="00310FF0" w:rsidRPr="007C7E43" w:rsidRDefault="00310FF0" w:rsidP="00E84F52">
            <w:pPr>
              <w:jc w:val="right"/>
              <w:cnfStyle w:val="000000000000" w:firstRow="0" w:lastRow="0" w:firstColumn="0" w:lastColumn="0" w:oddVBand="0" w:evenVBand="0" w:oddHBand="0" w:evenHBand="0" w:firstRowFirstColumn="0" w:firstRowLastColumn="0" w:lastRowFirstColumn="0" w:lastRowLastColumn="0"/>
            </w:pPr>
            <w:r w:rsidRPr="007C7E43">
              <w:t>51%</w:t>
            </w:r>
          </w:p>
        </w:tc>
      </w:tr>
      <w:tr w:rsidR="00310FF0" w14:paraId="01E11E20" w14:textId="77777777" w:rsidTr="00E84F52">
        <w:tc>
          <w:tcPr>
            <w:cnfStyle w:val="001000000000" w:firstRow="0" w:lastRow="0" w:firstColumn="1" w:lastColumn="0" w:oddVBand="0" w:evenVBand="0" w:oddHBand="0" w:evenHBand="0" w:firstRowFirstColumn="0" w:firstRowLastColumn="0" w:lastRowFirstColumn="0" w:lastRowLastColumn="0"/>
            <w:tcW w:w="2830" w:type="dxa"/>
            <w:hideMark/>
          </w:tcPr>
          <w:p w14:paraId="7CEA180F" w14:textId="77777777" w:rsidR="00310FF0" w:rsidRPr="00CC10B8" w:rsidRDefault="00310FF0" w:rsidP="00CC10B8">
            <w:r w:rsidRPr="00CC10B8">
              <w:t xml:space="preserve">Disability </w:t>
            </w:r>
          </w:p>
        </w:tc>
        <w:tc>
          <w:tcPr>
            <w:tcW w:w="1470" w:type="dxa"/>
            <w:hideMark/>
          </w:tcPr>
          <w:p w14:paraId="3BA9F93A" w14:textId="77777777" w:rsidR="00310FF0" w:rsidRPr="007C7E43" w:rsidRDefault="00310FF0" w:rsidP="00E84F52">
            <w:pPr>
              <w:jc w:val="right"/>
              <w:cnfStyle w:val="000000000000" w:firstRow="0" w:lastRow="0" w:firstColumn="0" w:lastColumn="0" w:oddVBand="0" w:evenVBand="0" w:oddHBand="0" w:evenHBand="0" w:firstRowFirstColumn="0" w:firstRowLastColumn="0" w:lastRowFirstColumn="0" w:lastRowLastColumn="0"/>
            </w:pPr>
            <w:r w:rsidRPr="007C7E43">
              <w:t>65%</w:t>
            </w:r>
          </w:p>
        </w:tc>
        <w:tc>
          <w:tcPr>
            <w:tcW w:w="1471" w:type="dxa"/>
            <w:hideMark/>
          </w:tcPr>
          <w:p w14:paraId="02CAF0A1" w14:textId="77777777" w:rsidR="00310FF0" w:rsidRPr="007C7E43" w:rsidRDefault="00310FF0" w:rsidP="00E84F52">
            <w:pPr>
              <w:jc w:val="right"/>
              <w:cnfStyle w:val="000000000000" w:firstRow="0" w:lastRow="0" w:firstColumn="0" w:lastColumn="0" w:oddVBand="0" w:evenVBand="0" w:oddHBand="0" w:evenHBand="0" w:firstRowFirstColumn="0" w:firstRowLastColumn="0" w:lastRowFirstColumn="0" w:lastRowLastColumn="0"/>
            </w:pPr>
            <w:r w:rsidRPr="007C7E43">
              <w:t>55%</w:t>
            </w:r>
          </w:p>
        </w:tc>
        <w:tc>
          <w:tcPr>
            <w:tcW w:w="3296" w:type="dxa"/>
            <w:hideMark/>
          </w:tcPr>
          <w:p w14:paraId="3E7DF9B3" w14:textId="77777777" w:rsidR="00310FF0" w:rsidRPr="007C7E43" w:rsidRDefault="00310FF0" w:rsidP="00E84F52">
            <w:pPr>
              <w:jc w:val="right"/>
              <w:cnfStyle w:val="000000000000" w:firstRow="0" w:lastRow="0" w:firstColumn="0" w:lastColumn="0" w:oddVBand="0" w:evenVBand="0" w:oddHBand="0" w:evenHBand="0" w:firstRowFirstColumn="0" w:firstRowLastColumn="0" w:lastRowFirstColumn="0" w:lastRowLastColumn="0"/>
            </w:pPr>
            <w:r w:rsidRPr="007C7E43">
              <w:t>56%</w:t>
            </w:r>
          </w:p>
        </w:tc>
      </w:tr>
    </w:tbl>
    <w:p w14:paraId="344D70CA" w14:textId="77777777" w:rsidR="00310FF0" w:rsidRDefault="00310FF0" w:rsidP="00AF2DC0">
      <w:pPr>
        <w:pStyle w:val="Heading4"/>
        <w:rPr>
          <w:rFonts w:eastAsiaTheme="minorEastAsia"/>
          <w:lang w:val="en-US"/>
        </w:rPr>
      </w:pPr>
      <w:r>
        <w:rPr>
          <w:lang w:val="en-US"/>
        </w:rPr>
        <w:lastRenderedPageBreak/>
        <w:t xml:space="preserve">Indicator 6: Leave and flexibility </w:t>
      </w:r>
    </w:p>
    <w:p w14:paraId="19ECD3F3" w14:textId="6A2DAA9F" w:rsidR="00310FF0" w:rsidRDefault="00310FF0" w:rsidP="00736EFA">
      <w:pPr>
        <w:pStyle w:val="ListBullet"/>
        <w:rPr>
          <w:lang w:val="en-US"/>
        </w:rPr>
      </w:pPr>
      <w:r>
        <w:rPr>
          <w:lang w:val="en-US"/>
        </w:rPr>
        <w:t>The main types of formal flexible working arrangements accessed by staff at DPC include flexible start and finish times, working part time and working more hours over fewer days. A higher proportion of women and staff who identify as non-binary (or prefer not to say) reported using these flexible working arrangements compared to men.</w:t>
      </w:r>
      <w:hyperlink r:id="rId28" w:anchor="footnote-003" w:history="1">
        <w:r w:rsidRPr="00B95F59">
          <w:rPr>
            <w:rStyle w:val="Hyperlink"/>
            <w:vertAlign w:val="superscript"/>
            <w:lang w:val="en-US"/>
          </w:rPr>
          <w:t>4</w:t>
        </w:r>
      </w:hyperlink>
    </w:p>
    <w:p w14:paraId="2D8BBE3C" w14:textId="41D95FD4" w:rsidR="00310FF0" w:rsidRDefault="00310FF0" w:rsidP="00736EFA">
      <w:pPr>
        <w:pStyle w:val="ListBullet"/>
        <w:rPr>
          <w:lang w:val="en-US"/>
        </w:rPr>
      </w:pPr>
      <w:r>
        <w:rPr>
          <w:lang w:val="en-US"/>
        </w:rPr>
        <w:t>A higher proportion of men (38 per cent) and staff who identify as non-binary (or prefer not to say) (34 per cent), reported using no flexible working arrangements compared to women (29 per cent).</w:t>
      </w:r>
    </w:p>
    <w:p w14:paraId="16021A66" w14:textId="77777777" w:rsidR="00B95F59" w:rsidRPr="00CC10B8" w:rsidRDefault="00B95F59" w:rsidP="00B95F59">
      <w:pPr>
        <w:pStyle w:val="Heading4"/>
      </w:pPr>
      <w:r w:rsidRPr="00CC10B8">
        <w:t xml:space="preserve">Flexible </w:t>
      </w:r>
      <w:r w:rsidRPr="00B95F59">
        <w:t>working</w:t>
      </w:r>
      <w:r w:rsidRPr="00CC10B8">
        <w:t xml:space="preserve"> arrangement</w:t>
      </w:r>
    </w:p>
    <w:tbl>
      <w:tblPr>
        <w:tblStyle w:val="GridTable1Light"/>
        <w:tblW w:w="9209" w:type="dxa"/>
        <w:tblLook w:val="04A0" w:firstRow="1" w:lastRow="0" w:firstColumn="1" w:lastColumn="0" w:noHBand="0" w:noVBand="1"/>
      </w:tblPr>
      <w:tblGrid>
        <w:gridCol w:w="1841"/>
        <w:gridCol w:w="1842"/>
        <w:gridCol w:w="1842"/>
        <w:gridCol w:w="1842"/>
        <w:gridCol w:w="1842"/>
      </w:tblGrid>
      <w:tr w:rsidR="00160D91" w14:paraId="329D185F" w14:textId="77777777" w:rsidTr="00A67EC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41" w:type="dxa"/>
          </w:tcPr>
          <w:p w14:paraId="7B031C44" w14:textId="77777777" w:rsidR="00160D91" w:rsidRPr="00E84F52" w:rsidRDefault="00160D91" w:rsidP="00E84F52">
            <w:pPr>
              <w:pStyle w:val="Tablecolhead"/>
              <w:rPr>
                <w:b/>
                <w:bCs w:val="0"/>
              </w:rPr>
            </w:pPr>
          </w:p>
        </w:tc>
        <w:tc>
          <w:tcPr>
            <w:tcW w:w="1842" w:type="dxa"/>
          </w:tcPr>
          <w:p w14:paraId="41604F1E" w14:textId="5C2C4B14" w:rsidR="00160D91" w:rsidRPr="00E84F52" w:rsidRDefault="00160D91" w:rsidP="00E84F52">
            <w:pPr>
              <w:pStyle w:val="Tablecolhead"/>
              <w:cnfStyle w:val="100000000000" w:firstRow="1" w:lastRow="0" w:firstColumn="0" w:lastColumn="0" w:oddVBand="0" w:evenVBand="0" w:oddHBand="0" w:evenHBand="0" w:firstRowFirstColumn="0" w:firstRowLastColumn="0" w:lastRowFirstColumn="0" w:lastRowLastColumn="0"/>
              <w:rPr>
                <w:b/>
                <w:bCs w:val="0"/>
              </w:rPr>
            </w:pPr>
            <w:r w:rsidRPr="00E84F52">
              <w:rPr>
                <w:b/>
                <w:bCs w:val="0"/>
              </w:rPr>
              <w:t>Working more hours over fewer days</w:t>
            </w:r>
          </w:p>
        </w:tc>
        <w:tc>
          <w:tcPr>
            <w:tcW w:w="1842" w:type="dxa"/>
          </w:tcPr>
          <w:p w14:paraId="26C819D3" w14:textId="3464BD14" w:rsidR="00160D91" w:rsidRPr="00E84F52" w:rsidRDefault="00160D91" w:rsidP="00E84F52">
            <w:pPr>
              <w:pStyle w:val="Tablecolhead"/>
              <w:cnfStyle w:val="100000000000" w:firstRow="1" w:lastRow="0" w:firstColumn="0" w:lastColumn="0" w:oddVBand="0" w:evenVBand="0" w:oddHBand="0" w:evenHBand="0" w:firstRowFirstColumn="0" w:firstRowLastColumn="0" w:lastRowFirstColumn="0" w:lastRowLastColumn="0"/>
              <w:rPr>
                <w:b/>
                <w:bCs w:val="0"/>
              </w:rPr>
            </w:pPr>
            <w:r w:rsidRPr="00E84F52">
              <w:rPr>
                <w:b/>
                <w:bCs w:val="0"/>
              </w:rPr>
              <w:t>Flexible start and finish times</w:t>
            </w:r>
          </w:p>
        </w:tc>
        <w:tc>
          <w:tcPr>
            <w:tcW w:w="1842" w:type="dxa"/>
          </w:tcPr>
          <w:p w14:paraId="65938B04" w14:textId="3CD70F6F" w:rsidR="00160D91" w:rsidRPr="00E84F52" w:rsidRDefault="00160D91" w:rsidP="00E84F52">
            <w:pPr>
              <w:pStyle w:val="Tablecolhead"/>
              <w:cnfStyle w:val="100000000000" w:firstRow="1" w:lastRow="0" w:firstColumn="0" w:lastColumn="0" w:oddVBand="0" w:evenVBand="0" w:oddHBand="0" w:evenHBand="0" w:firstRowFirstColumn="0" w:firstRowLastColumn="0" w:lastRowFirstColumn="0" w:lastRowLastColumn="0"/>
              <w:rPr>
                <w:b/>
                <w:bCs w:val="0"/>
              </w:rPr>
            </w:pPr>
            <w:r w:rsidRPr="00E84F52">
              <w:rPr>
                <w:b/>
                <w:bCs w:val="0"/>
              </w:rPr>
              <w:t>Working part-time</w:t>
            </w:r>
          </w:p>
        </w:tc>
        <w:tc>
          <w:tcPr>
            <w:tcW w:w="1842" w:type="dxa"/>
          </w:tcPr>
          <w:p w14:paraId="684910B6" w14:textId="0CD0AF05" w:rsidR="00160D91" w:rsidRPr="00E84F52" w:rsidRDefault="00160D91" w:rsidP="00E84F52">
            <w:pPr>
              <w:pStyle w:val="Tablecolhead"/>
              <w:cnfStyle w:val="100000000000" w:firstRow="1" w:lastRow="0" w:firstColumn="0" w:lastColumn="0" w:oddVBand="0" w:evenVBand="0" w:oddHBand="0" w:evenHBand="0" w:firstRowFirstColumn="0" w:firstRowLastColumn="0" w:lastRowFirstColumn="0" w:lastRowLastColumn="0"/>
              <w:rPr>
                <w:b/>
                <w:bCs w:val="0"/>
              </w:rPr>
            </w:pPr>
            <w:r w:rsidRPr="00E84F52">
              <w:rPr>
                <w:b/>
                <w:bCs w:val="0"/>
              </w:rPr>
              <w:t>Don’t use any flexible work arrangement</w:t>
            </w:r>
          </w:p>
        </w:tc>
      </w:tr>
      <w:tr w:rsidR="00160D91" w14:paraId="1CAE340F" w14:textId="77777777" w:rsidTr="00A67EC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41" w:type="dxa"/>
          </w:tcPr>
          <w:p w14:paraId="4FBCC163" w14:textId="497A2BCD" w:rsidR="00160D91" w:rsidRDefault="00160D91" w:rsidP="00B95F59">
            <w:pPr>
              <w:pStyle w:val="ListBullet"/>
              <w:numPr>
                <w:ilvl w:val="0"/>
                <w:numId w:val="0"/>
              </w:numPr>
            </w:pPr>
            <w:r>
              <w:t>Men</w:t>
            </w:r>
          </w:p>
        </w:tc>
        <w:tc>
          <w:tcPr>
            <w:tcW w:w="1842" w:type="dxa"/>
          </w:tcPr>
          <w:p w14:paraId="1753DABE" w14:textId="403CDDF8" w:rsidR="00160D91" w:rsidRPr="00160D91" w:rsidRDefault="00160D91" w:rsidP="00B95F59">
            <w:pPr>
              <w:pStyle w:val="ListBullet"/>
              <w:numPr>
                <w:ilvl w:val="0"/>
                <w:numId w:val="0"/>
              </w:numPr>
              <w:cnfStyle w:val="100000000000" w:firstRow="1" w:lastRow="0" w:firstColumn="0" w:lastColumn="0" w:oddVBand="0" w:evenVBand="0" w:oddHBand="0" w:evenHBand="0" w:firstRowFirstColumn="0" w:firstRowLastColumn="0" w:lastRowFirstColumn="0" w:lastRowLastColumn="0"/>
              <w:rPr>
                <w:b w:val="0"/>
                <w:bCs w:val="0"/>
              </w:rPr>
            </w:pPr>
            <w:r w:rsidRPr="00160D91">
              <w:rPr>
                <w:b w:val="0"/>
                <w:bCs w:val="0"/>
              </w:rPr>
              <w:t>5%</w:t>
            </w:r>
          </w:p>
        </w:tc>
        <w:tc>
          <w:tcPr>
            <w:tcW w:w="1842" w:type="dxa"/>
          </w:tcPr>
          <w:p w14:paraId="06FB7475" w14:textId="2C551817" w:rsidR="00160D91" w:rsidRPr="00160D91" w:rsidRDefault="00160D91" w:rsidP="00B95F59">
            <w:pPr>
              <w:pStyle w:val="ListBullet"/>
              <w:numPr>
                <w:ilvl w:val="0"/>
                <w:numId w:val="0"/>
              </w:numPr>
              <w:cnfStyle w:val="100000000000" w:firstRow="1" w:lastRow="0" w:firstColumn="0" w:lastColumn="0" w:oddVBand="0" w:evenVBand="0" w:oddHBand="0" w:evenHBand="0" w:firstRowFirstColumn="0" w:firstRowLastColumn="0" w:lastRowFirstColumn="0" w:lastRowLastColumn="0"/>
              <w:rPr>
                <w:b w:val="0"/>
                <w:bCs w:val="0"/>
              </w:rPr>
            </w:pPr>
            <w:r w:rsidRPr="00160D91">
              <w:rPr>
                <w:b w:val="0"/>
                <w:bCs w:val="0"/>
              </w:rPr>
              <w:t>31%</w:t>
            </w:r>
          </w:p>
        </w:tc>
        <w:tc>
          <w:tcPr>
            <w:tcW w:w="1842" w:type="dxa"/>
          </w:tcPr>
          <w:p w14:paraId="77AF6047" w14:textId="69185FC1" w:rsidR="00160D91" w:rsidRPr="00160D91" w:rsidRDefault="00160D91" w:rsidP="00B95F59">
            <w:pPr>
              <w:pStyle w:val="ListBullet"/>
              <w:numPr>
                <w:ilvl w:val="0"/>
                <w:numId w:val="0"/>
              </w:numPr>
              <w:cnfStyle w:val="100000000000" w:firstRow="1" w:lastRow="0" w:firstColumn="0" w:lastColumn="0" w:oddVBand="0" w:evenVBand="0" w:oddHBand="0" w:evenHBand="0" w:firstRowFirstColumn="0" w:firstRowLastColumn="0" w:lastRowFirstColumn="0" w:lastRowLastColumn="0"/>
              <w:rPr>
                <w:b w:val="0"/>
                <w:bCs w:val="0"/>
              </w:rPr>
            </w:pPr>
            <w:r w:rsidRPr="00160D91">
              <w:rPr>
                <w:b w:val="0"/>
                <w:bCs w:val="0"/>
              </w:rPr>
              <w:t>4%</w:t>
            </w:r>
          </w:p>
        </w:tc>
        <w:tc>
          <w:tcPr>
            <w:tcW w:w="1842" w:type="dxa"/>
          </w:tcPr>
          <w:p w14:paraId="1E0D7157" w14:textId="3AB5BCCA" w:rsidR="00160D91" w:rsidRPr="00160D91" w:rsidRDefault="00160D91" w:rsidP="00B95F59">
            <w:pPr>
              <w:pStyle w:val="ListBullet"/>
              <w:numPr>
                <w:ilvl w:val="0"/>
                <w:numId w:val="0"/>
              </w:numPr>
              <w:cnfStyle w:val="100000000000" w:firstRow="1" w:lastRow="0" w:firstColumn="0" w:lastColumn="0" w:oddVBand="0" w:evenVBand="0" w:oddHBand="0" w:evenHBand="0" w:firstRowFirstColumn="0" w:firstRowLastColumn="0" w:lastRowFirstColumn="0" w:lastRowLastColumn="0"/>
              <w:rPr>
                <w:b w:val="0"/>
                <w:bCs w:val="0"/>
              </w:rPr>
            </w:pPr>
            <w:r w:rsidRPr="00160D91">
              <w:rPr>
                <w:b w:val="0"/>
                <w:bCs w:val="0"/>
              </w:rPr>
              <w:t>38%</w:t>
            </w:r>
          </w:p>
        </w:tc>
      </w:tr>
      <w:tr w:rsidR="00160D91" w14:paraId="233C1968" w14:textId="77777777" w:rsidTr="00A67EC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41" w:type="dxa"/>
          </w:tcPr>
          <w:p w14:paraId="620FD8DF" w14:textId="7FF064CC" w:rsidR="00160D91" w:rsidRDefault="00160D91" w:rsidP="00B95F59">
            <w:pPr>
              <w:pStyle w:val="ListBullet"/>
              <w:numPr>
                <w:ilvl w:val="0"/>
                <w:numId w:val="0"/>
              </w:numPr>
            </w:pPr>
            <w:r>
              <w:t>Women</w:t>
            </w:r>
          </w:p>
        </w:tc>
        <w:tc>
          <w:tcPr>
            <w:tcW w:w="1842" w:type="dxa"/>
          </w:tcPr>
          <w:p w14:paraId="14FFD069" w14:textId="2A4D43AC" w:rsidR="00160D91" w:rsidRPr="00160D91" w:rsidRDefault="00160D91" w:rsidP="00B95F59">
            <w:pPr>
              <w:pStyle w:val="ListBullet"/>
              <w:numPr>
                <w:ilvl w:val="0"/>
                <w:numId w:val="0"/>
              </w:numPr>
              <w:cnfStyle w:val="100000000000" w:firstRow="1" w:lastRow="0" w:firstColumn="0" w:lastColumn="0" w:oddVBand="0" w:evenVBand="0" w:oddHBand="0" w:evenHBand="0" w:firstRowFirstColumn="0" w:firstRowLastColumn="0" w:lastRowFirstColumn="0" w:lastRowLastColumn="0"/>
              <w:rPr>
                <w:b w:val="0"/>
                <w:bCs w:val="0"/>
              </w:rPr>
            </w:pPr>
            <w:r w:rsidRPr="00160D91">
              <w:rPr>
                <w:b w:val="0"/>
                <w:bCs w:val="0"/>
              </w:rPr>
              <w:t>8%</w:t>
            </w:r>
          </w:p>
        </w:tc>
        <w:tc>
          <w:tcPr>
            <w:tcW w:w="1842" w:type="dxa"/>
          </w:tcPr>
          <w:p w14:paraId="34EB071D" w14:textId="25E70FC7" w:rsidR="00160D91" w:rsidRPr="00160D91" w:rsidRDefault="00160D91" w:rsidP="00B95F59">
            <w:pPr>
              <w:pStyle w:val="ListBullet"/>
              <w:numPr>
                <w:ilvl w:val="0"/>
                <w:numId w:val="0"/>
              </w:numPr>
              <w:cnfStyle w:val="100000000000" w:firstRow="1" w:lastRow="0" w:firstColumn="0" w:lastColumn="0" w:oddVBand="0" w:evenVBand="0" w:oddHBand="0" w:evenHBand="0" w:firstRowFirstColumn="0" w:firstRowLastColumn="0" w:lastRowFirstColumn="0" w:lastRowLastColumn="0"/>
              <w:rPr>
                <w:b w:val="0"/>
                <w:bCs w:val="0"/>
              </w:rPr>
            </w:pPr>
            <w:r w:rsidRPr="00160D91">
              <w:rPr>
                <w:b w:val="0"/>
                <w:bCs w:val="0"/>
              </w:rPr>
              <w:t>39%</w:t>
            </w:r>
          </w:p>
        </w:tc>
        <w:tc>
          <w:tcPr>
            <w:tcW w:w="1842" w:type="dxa"/>
          </w:tcPr>
          <w:p w14:paraId="377CBB80" w14:textId="671E6F2A" w:rsidR="00160D91" w:rsidRPr="00160D91" w:rsidRDefault="00160D91" w:rsidP="00B95F59">
            <w:pPr>
              <w:pStyle w:val="ListBullet"/>
              <w:numPr>
                <w:ilvl w:val="0"/>
                <w:numId w:val="0"/>
              </w:numPr>
              <w:cnfStyle w:val="100000000000" w:firstRow="1" w:lastRow="0" w:firstColumn="0" w:lastColumn="0" w:oddVBand="0" w:evenVBand="0" w:oddHBand="0" w:evenHBand="0" w:firstRowFirstColumn="0" w:firstRowLastColumn="0" w:lastRowFirstColumn="0" w:lastRowLastColumn="0"/>
              <w:rPr>
                <w:b w:val="0"/>
                <w:bCs w:val="0"/>
              </w:rPr>
            </w:pPr>
            <w:r w:rsidRPr="00160D91">
              <w:rPr>
                <w:b w:val="0"/>
                <w:bCs w:val="0"/>
              </w:rPr>
              <w:t>14%</w:t>
            </w:r>
          </w:p>
        </w:tc>
        <w:tc>
          <w:tcPr>
            <w:tcW w:w="1842" w:type="dxa"/>
          </w:tcPr>
          <w:p w14:paraId="473200C8" w14:textId="4DEA907C" w:rsidR="00160D91" w:rsidRPr="00160D91" w:rsidRDefault="00160D91" w:rsidP="00B95F59">
            <w:pPr>
              <w:pStyle w:val="ListBullet"/>
              <w:numPr>
                <w:ilvl w:val="0"/>
                <w:numId w:val="0"/>
              </w:numPr>
              <w:cnfStyle w:val="100000000000" w:firstRow="1" w:lastRow="0" w:firstColumn="0" w:lastColumn="0" w:oddVBand="0" w:evenVBand="0" w:oddHBand="0" w:evenHBand="0" w:firstRowFirstColumn="0" w:firstRowLastColumn="0" w:lastRowFirstColumn="0" w:lastRowLastColumn="0"/>
              <w:rPr>
                <w:b w:val="0"/>
                <w:bCs w:val="0"/>
              </w:rPr>
            </w:pPr>
            <w:r w:rsidRPr="00160D91">
              <w:rPr>
                <w:b w:val="0"/>
                <w:bCs w:val="0"/>
              </w:rPr>
              <w:t>29%</w:t>
            </w:r>
          </w:p>
        </w:tc>
      </w:tr>
      <w:tr w:rsidR="00160D91" w14:paraId="438B660F" w14:textId="77777777" w:rsidTr="00A67EC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41" w:type="dxa"/>
          </w:tcPr>
          <w:p w14:paraId="53A781D9" w14:textId="4F390075" w:rsidR="00160D91" w:rsidRDefault="00160D91" w:rsidP="00B95F59">
            <w:pPr>
              <w:pStyle w:val="ListBullet"/>
              <w:numPr>
                <w:ilvl w:val="0"/>
                <w:numId w:val="0"/>
              </w:numPr>
            </w:pPr>
            <w:r w:rsidRPr="00CC10B8">
              <w:t>Non-binary/prefer not to say</w:t>
            </w:r>
          </w:p>
        </w:tc>
        <w:tc>
          <w:tcPr>
            <w:tcW w:w="1842" w:type="dxa"/>
          </w:tcPr>
          <w:p w14:paraId="5C2D3E38" w14:textId="6DEBABE5" w:rsidR="00160D91" w:rsidRPr="00160D91" w:rsidRDefault="00160D91" w:rsidP="00B95F59">
            <w:pPr>
              <w:pStyle w:val="ListBullet"/>
              <w:numPr>
                <w:ilvl w:val="0"/>
                <w:numId w:val="0"/>
              </w:numPr>
              <w:cnfStyle w:val="100000000000" w:firstRow="1" w:lastRow="0" w:firstColumn="0" w:lastColumn="0" w:oddVBand="0" w:evenVBand="0" w:oddHBand="0" w:evenHBand="0" w:firstRowFirstColumn="0" w:firstRowLastColumn="0" w:lastRowFirstColumn="0" w:lastRowLastColumn="0"/>
              <w:rPr>
                <w:b w:val="0"/>
                <w:bCs w:val="0"/>
              </w:rPr>
            </w:pPr>
            <w:r w:rsidRPr="00160D91">
              <w:rPr>
                <w:b w:val="0"/>
                <w:bCs w:val="0"/>
              </w:rPr>
              <w:t>8%</w:t>
            </w:r>
          </w:p>
        </w:tc>
        <w:tc>
          <w:tcPr>
            <w:tcW w:w="1842" w:type="dxa"/>
          </w:tcPr>
          <w:p w14:paraId="4EB8C2C2" w14:textId="0ACAECB2" w:rsidR="00160D91" w:rsidRPr="00160D91" w:rsidRDefault="00160D91" w:rsidP="00B95F59">
            <w:pPr>
              <w:pStyle w:val="ListBullet"/>
              <w:numPr>
                <w:ilvl w:val="0"/>
                <w:numId w:val="0"/>
              </w:numPr>
              <w:cnfStyle w:val="100000000000" w:firstRow="1" w:lastRow="0" w:firstColumn="0" w:lastColumn="0" w:oddVBand="0" w:evenVBand="0" w:oddHBand="0" w:evenHBand="0" w:firstRowFirstColumn="0" w:firstRowLastColumn="0" w:lastRowFirstColumn="0" w:lastRowLastColumn="0"/>
              <w:rPr>
                <w:b w:val="0"/>
                <w:bCs w:val="0"/>
              </w:rPr>
            </w:pPr>
            <w:r w:rsidRPr="00160D91">
              <w:rPr>
                <w:b w:val="0"/>
                <w:bCs w:val="0"/>
              </w:rPr>
              <w:t>33%</w:t>
            </w:r>
          </w:p>
        </w:tc>
        <w:tc>
          <w:tcPr>
            <w:tcW w:w="1842" w:type="dxa"/>
          </w:tcPr>
          <w:p w14:paraId="21147335" w14:textId="159B885C" w:rsidR="00160D91" w:rsidRPr="00160D91" w:rsidRDefault="00160D91" w:rsidP="00B95F59">
            <w:pPr>
              <w:pStyle w:val="ListBullet"/>
              <w:numPr>
                <w:ilvl w:val="0"/>
                <w:numId w:val="0"/>
              </w:numPr>
              <w:cnfStyle w:val="100000000000" w:firstRow="1" w:lastRow="0" w:firstColumn="0" w:lastColumn="0" w:oddVBand="0" w:evenVBand="0" w:oddHBand="0" w:evenHBand="0" w:firstRowFirstColumn="0" w:firstRowLastColumn="0" w:lastRowFirstColumn="0" w:lastRowLastColumn="0"/>
              <w:rPr>
                <w:b w:val="0"/>
                <w:bCs w:val="0"/>
              </w:rPr>
            </w:pPr>
            <w:r w:rsidRPr="00160D91">
              <w:rPr>
                <w:b w:val="0"/>
                <w:bCs w:val="0"/>
              </w:rPr>
              <w:t>9%</w:t>
            </w:r>
          </w:p>
        </w:tc>
        <w:tc>
          <w:tcPr>
            <w:tcW w:w="1842" w:type="dxa"/>
          </w:tcPr>
          <w:p w14:paraId="28946CDB" w14:textId="3B267886" w:rsidR="00160D91" w:rsidRPr="00160D91" w:rsidRDefault="00160D91" w:rsidP="00B95F59">
            <w:pPr>
              <w:pStyle w:val="ListBullet"/>
              <w:numPr>
                <w:ilvl w:val="0"/>
                <w:numId w:val="0"/>
              </w:numPr>
              <w:cnfStyle w:val="100000000000" w:firstRow="1" w:lastRow="0" w:firstColumn="0" w:lastColumn="0" w:oddVBand="0" w:evenVBand="0" w:oddHBand="0" w:evenHBand="0" w:firstRowFirstColumn="0" w:firstRowLastColumn="0" w:lastRowFirstColumn="0" w:lastRowLastColumn="0"/>
              <w:rPr>
                <w:b w:val="0"/>
                <w:bCs w:val="0"/>
              </w:rPr>
            </w:pPr>
            <w:r w:rsidRPr="00160D91">
              <w:rPr>
                <w:b w:val="0"/>
                <w:bCs w:val="0"/>
              </w:rPr>
              <w:t>34%</w:t>
            </w:r>
          </w:p>
        </w:tc>
      </w:tr>
    </w:tbl>
    <w:p w14:paraId="650DDD09" w14:textId="2354803E" w:rsidR="00310FF0" w:rsidRPr="00A67EC1" w:rsidRDefault="00310FF0">
      <w:pPr>
        <w:pStyle w:val="ListBullet"/>
        <w:ind w:left="360" w:hanging="360"/>
        <w:rPr>
          <w:lang w:val="en-US"/>
        </w:rPr>
      </w:pPr>
      <w:r w:rsidRPr="00A67EC1">
        <w:rPr>
          <w:lang w:val="en-US"/>
        </w:rPr>
        <w:t>A higher proportion of women (78 per cent) than men (22 per cent) took parental leave during the reporting period.</w:t>
      </w:r>
      <w:hyperlink r:id="rId29" w:anchor="footnote-002" w:history="1">
        <w:r w:rsidRPr="00A67EC1">
          <w:rPr>
            <w:rStyle w:val="Hyperlink"/>
            <w:vertAlign w:val="superscript"/>
            <w:lang w:val="en-US"/>
          </w:rPr>
          <w:t>5</w:t>
        </w:r>
      </w:hyperlink>
    </w:p>
    <w:p w14:paraId="5FE588EB" w14:textId="77777777" w:rsidR="00310FF0" w:rsidRDefault="00310FF0" w:rsidP="00736EFA">
      <w:pPr>
        <w:pStyle w:val="ListBullet"/>
        <w:rPr>
          <w:lang w:val="en-US"/>
        </w:rPr>
      </w:pPr>
      <w:r>
        <w:rPr>
          <w:lang w:val="en-US"/>
        </w:rPr>
        <w:t>There appears to be a gendered difference in how people feel about flexible working arrangements, family and caring responsibilities, and support for taking family violence leave at DPC.</w:t>
      </w:r>
    </w:p>
    <w:p w14:paraId="03C299BC" w14:textId="77777777" w:rsidR="00310FF0" w:rsidRDefault="00310FF0" w:rsidP="00B95F59">
      <w:pPr>
        <w:pStyle w:val="ListBullet2"/>
        <w:rPr>
          <w:lang w:val="en-US"/>
        </w:rPr>
      </w:pPr>
      <w:r>
        <w:rPr>
          <w:lang w:val="en-US"/>
        </w:rPr>
        <w:t>A higher proportion of women (87 per cent) agreed with the statement:</w:t>
      </w:r>
      <w:r w:rsidRPr="007C7E43">
        <w:t xml:space="preserve"> </w:t>
      </w:r>
      <w:r w:rsidRPr="00E84F52">
        <w:rPr>
          <w:i/>
          <w:iCs/>
        </w:rPr>
        <w:t xml:space="preserve">‘My organisation would support me if I needed to take family violence leave’ </w:t>
      </w:r>
      <w:r>
        <w:rPr>
          <w:lang w:val="en-US"/>
        </w:rPr>
        <w:t xml:space="preserve">compared to men (84 per cent) and staff who identify as non-binary (or prefer not to say) (76 per cent). </w:t>
      </w:r>
    </w:p>
    <w:p w14:paraId="5B906629" w14:textId="77777777" w:rsidR="00310FF0" w:rsidRDefault="00310FF0" w:rsidP="00B95F59">
      <w:pPr>
        <w:pStyle w:val="ListBullet2"/>
        <w:rPr>
          <w:lang w:val="en-US"/>
        </w:rPr>
      </w:pPr>
      <w:r>
        <w:rPr>
          <w:lang w:val="en-US"/>
        </w:rPr>
        <w:t xml:space="preserve">Staff who identify as non-binary (or prefer not to say) (84 per cent) were less </w:t>
      </w:r>
      <w:proofErr w:type="spellStart"/>
      <w:r>
        <w:rPr>
          <w:lang w:val="en-US"/>
        </w:rPr>
        <w:t>favourable</w:t>
      </w:r>
      <w:proofErr w:type="spellEnd"/>
      <w:r>
        <w:rPr>
          <w:lang w:val="en-US"/>
        </w:rPr>
        <w:t xml:space="preserve"> than men or women (90 per cent) with regards to the statement </w:t>
      </w:r>
      <w:r w:rsidRPr="00E84F52">
        <w:rPr>
          <w:i/>
          <w:iCs/>
        </w:rPr>
        <w:t>‘I am confident that if I requested a flexible work arrangement, it would be given due consideration.’</w:t>
      </w:r>
      <w:r>
        <w:rPr>
          <w:lang w:val="en-US"/>
        </w:rPr>
        <w:t xml:space="preserve"> </w:t>
      </w:r>
    </w:p>
    <w:p w14:paraId="4DAC1AD2" w14:textId="77777777" w:rsidR="00310FF0" w:rsidRDefault="00310FF0" w:rsidP="00B95F59">
      <w:pPr>
        <w:pStyle w:val="ListBullet2"/>
        <w:rPr>
          <w:lang w:val="en-US"/>
        </w:rPr>
      </w:pPr>
      <w:r>
        <w:rPr>
          <w:lang w:val="en-US"/>
        </w:rPr>
        <w:t xml:space="preserve">Staff who identify as non-binary (or prefer not to say) (77 per cent) were less </w:t>
      </w:r>
      <w:proofErr w:type="spellStart"/>
      <w:r>
        <w:rPr>
          <w:lang w:val="en-US"/>
        </w:rPr>
        <w:t>favourable</w:t>
      </w:r>
      <w:proofErr w:type="spellEnd"/>
      <w:r>
        <w:rPr>
          <w:lang w:val="en-US"/>
        </w:rPr>
        <w:t xml:space="preserve"> than men (89 per cent) and women (90 per cent) with regards to the statement </w:t>
      </w:r>
      <w:r w:rsidRPr="00E84F52">
        <w:rPr>
          <w:i/>
          <w:iCs/>
          <w:lang w:val="en-US"/>
        </w:rPr>
        <w:t>‘</w:t>
      </w:r>
      <w:r w:rsidRPr="00E84F52">
        <w:rPr>
          <w:i/>
          <w:iCs/>
        </w:rPr>
        <w:t xml:space="preserve">My organisation supports employees with family or other caring responsibilities, regardless of </w:t>
      </w:r>
      <w:proofErr w:type="spellStart"/>
      <w:r w:rsidRPr="00E84F52">
        <w:rPr>
          <w:i/>
          <w:iCs/>
        </w:rPr>
        <w:t>gend</w:t>
      </w:r>
      <w:proofErr w:type="spellEnd"/>
      <w:r w:rsidRPr="00E84F52">
        <w:rPr>
          <w:i/>
          <w:iCs/>
          <w:lang w:val="en-US"/>
        </w:rPr>
        <w:t>er.’</w:t>
      </w:r>
      <w:r>
        <w:rPr>
          <w:lang w:val="en-US"/>
        </w:rPr>
        <w:t xml:space="preserve"> </w:t>
      </w:r>
    </w:p>
    <w:p w14:paraId="5E8DC1A7" w14:textId="77777777" w:rsidR="00310FF0" w:rsidRDefault="00310FF0" w:rsidP="00AF2DC0">
      <w:pPr>
        <w:pStyle w:val="Heading4"/>
        <w:rPr>
          <w:rFonts w:eastAsiaTheme="minorEastAsia"/>
          <w:lang w:val="en-US"/>
        </w:rPr>
      </w:pPr>
      <w:r>
        <w:rPr>
          <w:lang w:val="en-US"/>
        </w:rPr>
        <w:t>Indicator 7: Gendered work segregation</w:t>
      </w:r>
    </w:p>
    <w:p w14:paraId="7F4B1BED" w14:textId="02FB85B2" w:rsidR="00310FF0" w:rsidRDefault="00310FF0" w:rsidP="00736EFA">
      <w:pPr>
        <w:pStyle w:val="ListBullet"/>
        <w:rPr>
          <w:lang w:val="en-US"/>
        </w:rPr>
      </w:pPr>
      <w:r>
        <w:rPr>
          <w:lang w:val="en-US"/>
        </w:rPr>
        <w:t>The gender composition of ANZSCO code</w:t>
      </w:r>
      <w:hyperlink r:id="rId30" w:anchor="footnote-001" w:history="1">
        <w:r w:rsidRPr="00A67EC1">
          <w:rPr>
            <w:rStyle w:val="Hyperlink"/>
            <w:vertAlign w:val="superscript"/>
            <w:lang w:val="en-US"/>
          </w:rPr>
          <w:t>6</w:t>
        </w:r>
      </w:hyperlink>
      <w:r>
        <w:rPr>
          <w:lang w:val="en-US"/>
        </w:rPr>
        <w:t xml:space="preserve"> major groups</w:t>
      </w:r>
      <w:hyperlink r:id="rId31" w:anchor="footnote-000" w:history="1">
        <w:r w:rsidRPr="00A67EC1">
          <w:rPr>
            <w:rStyle w:val="Hyperlink"/>
            <w:vertAlign w:val="superscript"/>
            <w:lang w:val="en-US"/>
          </w:rPr>
          <w:t>7</w:t>
        </w:r>
      </w:hyperlink>
      <w:r>
        <w:rPr>
          <w:lang w:val="en-US"/>
        </w:rPr>
        <w:t xml:space="preserve"> indicates that a higher proportion of men (24 per cent) occupy </w:t>
      </w:r>
      <w:r w:rsidRPr="009D04D7">
        <w:rPr>
          <w:b/>
          <w:bCs/>
          <w:lang w:val="en-US"/>
        </w:rPr>
        <w:t>Management</w:t>
      </w:r>
      <w:r>
        <w:rPr>
          <w:lang w:val="en-US"/>
        </w:rPr>
        <w:t xml:space="preserve"> roles than women (21 per cent). </w:t>
      </w:r>
    </w:p>
    <w:p w14:paraId="7F7B4163" w14:textId="47E05CF1" w:rsidR="00310FF0" w:rsidRDefault="00310FF0" w:rsidP="00736EFA">
      <w:pPr>
        <w:pStyle w:val="ListBullet"/>
        <w:rPr>
          <w:lang w:val="en-US"/>
        </w:rPr>
      </w:pPr>
      <w:r>
        <w:rPr>
          <w:lang w:val="en-US"/>
        </w:rPr>
        <w:t xml:space="preserve">A relatively equal proportion of men (50 per cent) and women (49 per cent) occupy </w:t>
      </w:r>
      <w:r w:rsidRPr="009D04D7">
        <w:rPr>
          <w:b/>
          <w:bCs/>
          <w:lang w:val="en-US"/>
        </w:rPr>
        <w:t xml:space="preserve">Professional </w:t>
      </w:r>
      <w:r>
        <w:rPr>
          <w:lang w:val="en-US"/>
        </w:rPr>
        <w:t xml:space="preserve">roles; </w:t>
      </w:r>
      <w:proofErr w:type="gramStart"/>
      <w:r>
        <w:rPr>
          <w:lang w:val="en-US"/>
        </w:rPr>
        <w:t>however</w:t>
      </w:r>
      <w:proofErr w:type="gramEnd"/>
      <w:r>
        <w:rPr>
          <w:lang w:val="en-US"/>
        </w:rPr>
        <w:t xml:space="preserve"> men dominate ICT professions (19 per cent men, compared to 10 per cent women) and women are over-represented in Business, HR and Marketing roles (74 per cent women, compared to 64 per cent men).</w:t>
      </w:r>
    </w:p>
    <w:p w14:paraId="3688818E" w14:textId="77777777" w:rsidR="00310FF0" w:rsidRDefault="00310FF0" w:rsidP="00736EFA">
      <w:pPr>
        <w:pStyle w:val="ListBullet"/>
        <w:rPr>
          <w:lang w:val="en-US"/>
        </w:rPr>
      </w:pPr>
      <w:r>
        <w:rPr>
          <w:lang w:val="en-US"/>
        </w:rPr>
        <w:t xml:space="preserve">A higher proportion of women are employed in </w:t>
      </w:r>
      <w:r w:rsidRPr="009D04D7">
        <w:rPr>
          <w:b/>
          <w:bCs/>
          <w:lang w:val="en-US"/>
        </w:rPr>
        <w:t>Clerical and Administrative</w:t>
      </w:r>
      <w:r>
        <w:rPr>
          <w:lang w:val="en-US"/>
        </w:rPr>
        <w:t xml:space="preserve"> roles (29 per cent) compared to men (18 per cent).</w:t>
      </w:r>
    </w:p>
    <w:p w14:paraId="2DDEF18A" w14:textId="77777777" w:rsidR="00310FF0" w:rsidRDefault="00310FF0" w:rsidP="00736EFA">
      <w:pPr>
        <w:pStyle w:val="ListBullet"/>
        <w:rPr>
          <w:lang w:val="en-US"/>
        </w:rPr>
      </w:pPr>
      <w:r>
        <w:rPr>
          <w:lang w:val="en-US"/>
        </w:rPr>
        <w:t xml:space="preserve">There is an overrepresentation of men (8 per cent) who work as </w:t>
      </w:r>
      <w:r w:rsidRPr="009D04D7">
        <w:rPr>
          <w:b/>
          <w:bCs/>
          <w:lang w:val="en-US"/>
        </w:rPr>
        <w:t>Machinery Operators and Drivers</w:t>
      </w:r>
      <w:r>
        <w:rPr>
          <w:lang w:val="en-US"/>
        </w:rPr>
        <w:t xml:space="preserve"> compared to women (1 per cent). </w:t>
      </w:r>
    </w:p>
    <w:tbl>
      <w:tblPr>
        <w:tblStyle w:val="GridTable1Light"/>
        <w:tblW w:w="9067" w:type="dxa"/>
        <w:tblLook w:val="04A0" w:firstRow="1" w:lastRow="0" w:firstColumn="1" w:lastColumn="0" w:noHBand="0" w:noVBand="1"/>
      </w:tblPr>
      <w:tblGrid>
        <w:gridCol w:w="3823"/>
        <w:gridCol w:w="1748"/>
        <w:gridCol w:w="1748"/>
        <w:gridCol w:w="1748"/>
      </w:tblGrid>
      <w:tr w:rsidR="00310FF0" w14:paraId="0E069803" w14:textId="77777777" w:rsidTr="00A67EC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hideMark/>
          </w:tcPr>
          <w:p w14:paraId="5CE50383" w14:textId="77777777" w:rsidR="00310FF0" w:rsidRPr="00E84F52" w:rsidRDefault="00310FF0" w:rsidP="00E84F52">
            <w:pPr>
              <w:pStyle w:val="Tablecolhead"/>
              <w:rPr>
                <w:rFonts w:eastAsiaTheme="minorEastAsia"/>
                <w:b/>
                <w:bCs w:val="0"/>
              </w:rPr>
            </w:pPr>
            <w:r w:rsidRPr="00E84F52">
              <w:rPr>
                <w:b/>
                <w:bCs w:val="0"/>
              </w:rPr>
              <w:lastRenderedPageBreak/>
              <w:t>ANZCO Major Group</w:t>
            </w:r>
          </w:p>
        </w:tc>
        <w:tc>
          <w:tcPr>
            <w:tcW w:w="1748" w:type="dxa"/>
            <w:hideMark/>
          </w:tcPr>
          <w:p w14:paraId="58C4A443" w14:textId="77777777" w:rsidR="00310FF0" w:rsidRPr="00E84F52" w:rsidRDefault="00310FF0" w:rsidP="00E84F52">
            <w:pPr>
              <w:pStyle w:val="Tablecolhead"/>
              <w:jc w:val="right"/>
              <w:cnfStyle w:val="100000000000" w:firstRow="1" w:lastRow="0" w:firstColumn="0" w:lastColumn="0" w:oddVBand="0" w:evenVBand="0" w:oddHBand="0" w:evenHBand="0" w:firstRowFirstColumn="0" w:firstRowLastColumn="0" w:lastRowFirstColumn="0" w:lastRowLastColumn="0"/>
              <w:rPr>
                <w:b/>
                <w:bCs w:val="0"/>
              </w:rPr>
            </w:pPr>
            <w:r w:rsidRPr="00E84F52">
              <w:rPr>
                <w:b/>
                <w:bCs w:val="0"/>
              </w:rPr>
              <w:t>Men</w:t>
            </w:r>
          </w:p>
        </w:tc>
        <w:tc>
          <w:tcPr>
            <w:tcW w:w="1748" w:type="dxa"/>
            <w:hideMark/>
          </w:tcPr>
          <w:p w14:paraId="0ADE78DB" w14:textId="77777777" w:rsidR="00310FF0" w:rsidRPr="00E84F52" w:rsidRDefault="00310FF0" w:rsidP="00E84F52">
            <w:pPr>
              <w:pStyle w:val="Tablecolhead"/>
              <w:jc w:val="right"/>
              <w:cnfStyle w:val="100000000000" w:firstRow="1" w:lastRow="0" w:firstColumn="0" w:lastColumn="0" w:oddVBand="0" w:evenVBand="0" w:oddHBand="0" w:evenHBand="0" w:firstRowFirstColumn="0" w:firstRowLastColumn="0" w:lastRowFirstColumn="0" w:lastRowLastColumn="0"/>
              <w:rPr>
                <w:b/>
                <w:bCs w:val="0"/>
              </w:rPr>
            </w:pPr>
            <w:r w:rsidRPr="00E84F52">
              <w:rPr>
                <w:b/>
                <w:bCs w:val="0"/>
              </w:rPr>
              <w:t>Women</w:t>
            </w:r>
          </w:p>
        </w:tc>
        <w:tc>
          <w:tcPr>
            <w:tcW w:w="1748" w:type="dxa"/>
            <w:hideMark/>
          </w:tcPr>
          <w:p w14:paraId="13CF2D39" w14:textId="77777777" w:rsidR="00310FF0" w:rsidRPr="00E84F52" w:rsidRDefault="00310FF0" w:rsidP="00E84F52">
            <w:pPr>
              <w:pStyle w:val="Tablecolhead"/>
              <w:jc w:val="right"/>
              <w:cnfStyle w:val="100000000000" w:firstRow="1" w:lastRow="0" w:firstColumn="0" w:lastColumn="0" w:oddVBand="0" w:evenVBand="0" w:oddHBand="0" w:evenHBand="0" w:firstRowFirstColumn="0" w:firstRowLastColumn="0" w:lastRowFirstColumn="0" w:lastRowLastColumn="0"/>
              <w:rPr>
                <w:b/>
                <w:bCs w:val="0"/>
              </w:rPr>
            </w:pPr>
            <w:r w:rsidRPr="00E84F52">
              <w:rPr>
                <w:b/>
                <w:bCs w:val="0"/>
              </w:rPr>
              <w:t>Total</w:t>
            </w:r>
          </w:p>
        </w:tc>
      </w:tr>
      <w:tr w:rsidR="00310FF0" w14:paraId="7DD34F7C" w14:textId="77777777" w:rsidTr="00A67EC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hideMark/>
          </w:tcPr>
          <w:p w14:paraId="2E025653" w14:textId="77777777" w:rsidR="00310FF0" w:rsidRPr="00CC10B8" w:rsidRDefault="00310FF0" w:rsidP="00CC10B8">
            <w:r w:rsidRPr="00CC10B8">
              <w:t>Managers</w:t>
            </w:r>
          </w:p>
        </w:tc>
        <w:tc>
          <w:tcPr>
            <w:tcW w:w="1748" w:type="dxa"/>
            <w:hideMark/>
          </w:tcPr>
          <w:p w14:paraId="2AB68093" w14:textId="77777777" w:rsidR="00310FF0" w:rsidRPr="00A67EC1" w:rsidRDefault="00310FF0" w:rsidP="00985AE4">
            <w:pPr>
              <w:jc w:val="right"/>
              <w:cnfStyle w:val="100000000000" w:firstRow="1" w:lastRow="0" w:firstColumn="0" w:lastColumn="0" w:oddVBand="0" w:evenVBand="0" w:oddHBand="0" w:evenHBand="0" w:firstRowFirstColumn="0" w:firstRowLastColumn="0" w:lastRowFirstColumn="0" w:lastRowLastColumn="0"/>
              <w:rPr>
                <w:b w:val="0"/>
                <w:bCs w:val="0"/>
              </w:rPr>
            </w:pPr>
            <w:r w:rsidRPr="00A67EC1">
              <w:rPr>
                <w:b w:val="0"/>
                <w:bCs w:val="0"/>
              </w:rPr>
              <w:t>24%</w:t>
            </w:r>
          </w:p>
        </w:tc>
        <w:tc>
          <w:tcPr>
            <w:tcW w:w="1748" w:type="dxa"/>
            <w:hideMark/>
          </w:tcPr>
          <w:p w14:paraId="366F59C0" w14:textId="77777777" w:rsidR="00310FF0" w:rsidRPr="00A67EC1" w:rsidRDefault="00310FF0" w:rsidP="00985AE4">
            <w:pPr>
              <w:jc w:val="right"/>
              <w:cnfStyle w:val="100000000000" w:firstRow="1" w:lastRow="0" w:firstColumn="0" w:lastColumn="0" w:oddVBand="0" w:evenVBand="0" w:oddHBand="0" w:evenHBand="0" w:firstRowFirstColumn="0" w:firstRowLastColumn="0" w:lastRowFirstColumn="0" w:lastRowLastColumn="0"/>
              <w:rPr>
                <w:b w:val="0"/>
                <w:bCs w:val="0"/>
              </w:rPr>
            </w:pPr>
            <w:r w:rsidRPr="00A67EC1">
              <w:rPr>
                <w:b w:val="0"/>
                <w:bCs w:val="0"/>
              </w:rPr>
              <w:t>21%</w:t>
            </w:r>
          </w:p>
        </w:tc>
        <w:tc>
          <w:tcPr>
            <w:tcW w:w="1748" w:type="dxa"/>
            <w:hideMark/>
          </w:tcPr>
          <w:p w14:paraId="68D2E620" w14:textId="77777777" w:rsidR="00310FF0" w:rsidRPr="00A67EC1" w:rsidRDefault="00310FF0" w:rsidP="00985AE4">
            <w:pPr>
              <w:jc w:val="right"/>
              <w:cnfStyle w:val="100000000000" w:firstRow="1" w:lastRow="0" w:firstColumn="0" w:lastColumn="0" w:oddVBand="0" w:evenVBand="0" w:oddHBand="0" w:evenHBand="0" w:firstRowFirstColumn="0" w:firstRowLastColumn="0" w:lastRowFirstColumn="0" w:lastRowLastColumn="0"/>
              <w:rPr>
                <w:b w:val="0"/>
                <w:bCs w:val="0"/>
              </w:rPr>
            </w:pPr>
            <w:r w:rsidRPr="00A67EC1">
              <w:rPr>
                <w:b w:val="0"/>
                <w:bCs w:val="0"/>
              </w:rPr>
              <w:t>22%</w:t>
            </w:r>
          </w:p>
        </w:tc>
      </w:tr>
      <w:tr w:rsidR="00310FF0" w14:paraId="6AF5BD2E" w14:textId="77777777" w:rsidTr="00A67EC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hideMark/>
          </w:tcPr>
          <w:p w14:paraId="2E9D3D89" w14:textId="77777777" w:rsidR="00310FF0" w:rsidRPr="00CC10B8" w:rsidRDefault="00310FF0" w:rsidP="00CC10B8">
            <w:r w:rsidRPr="00CC10B8">
              <w:t>Professionals</w:t>
            </w:r>
          </w:p>
        </w:tc>
        <w:tc>
          <w:tcPr>
            <w:tcW w:w="1748" w:type="dxa"/>
            <w:hideMark/>
          </w:tcPr>
          <w:p w14:paraId="614E836A" w14:textId="77777777" w:rsidR="00310FF0" w:rsidRPr="00A67EC1" w:rsidRDefault="00310FF0" w:rsidP="00985AE4">
            <w:pPr>
              <w:jc w:val="right"/>
              <w:cnfStyle w:val="100000000000" w:firstRow="1" w:lastRow="0" w:firstColumn="0" w:lastColumn="0" w:oddVBand="0" w:evenVBand="0" w:oddHBand="0" w:evenHBand="0" w:firstRowFirstColumn="0" w:firstRowLastColumn="0" w:lastRowFirstColumn="0" w:lastRowLastColumn="0"/>
              <w:rPr>
                <w:b w:val="0"/>
                <w:bCs w:val="0"/>
              </w:rPr>
            </w:pPr>
            <w:r w:rsidRPr="00A67EC1">
              <w:rPr>
                <w:b w:val="0"/>
                <w:bCs w:val="0"/>
              </w:rPr>
              <w:t>50%</w:t>
            </w:r>
          </w:p>
        </w:tc>
        <w:tc>
          <w:tcPr>
            <w:tcW w:w="1748" w:type="dxa"/>
            <w:hideMark/>
          </w:tcPr>
          <w:p w14:paraId="1C1460C3" w14:textId="77777777" w:rsidR="00310FF0" w:rsidRPr="00A67EC1" w:rsidRDefault="00310FF0" w:rsidP="00985AE4">
            <w:pPr>
              <w:jc w:val="right"/>
              <w:cnfStyle w:val="100000000000" w:firstRow="1" w:lastRow="0" w:firstColumn="0" w:lastColumn="0" w:oddVBand="0" w:evenVBand="0" w:oddHBand="0" w:evenHBand="0" w:firstRowFirstColumn="0" w:firstRowLastColumn="0" w:lastRowFirstColumn="0" w:lastRowLastColumn="0"/>
              <w:rPr>
                <w:b w:val="0"/>
                <w:bCs w:val="0"/>
              </w:rPr>
            </w:pPr>
            <w:r w:rsidRPr="00A67EC1">
              <w:rPr>
                <w:b w:val="0"/>
                <w:bCs w:val="0"/>
              </w:rPr>
              <w:t>49%</w:t>
            </w:r>
          </w:p>
        </w:tc>
        <w:tc>
          <w:tcPr>
            <w:tcW w:w="1748" w:type="dxa"/>
            <w:hideMark/>
          </w:tcPr>
          <w:p w14:paraId="54D0D7DB" w14:textId="77777777" w:rsidR="00310FF0" w:rsidRPr="00A67EC1" w:rsidRDefault="00310FF0" w:rsidP="00985AE4">
            <w:pPr>
              <w:jc w:val="right"/>
              <w:cnfStyle w:val="100000000000" w:firstRow="1" w:lastRow="0" w:firstColumn="0" w:lastColumn="0" w:oddVBand="0" w:evenVBand="0" w:oddHBand="0" w:evenHBand="0" w:firstRowFirstColumn="0" w:firstRowLastColumn="0" w:lastRowFirstColumn="0" w:lastRowLastColumn="0"/>
              <w:rPr>
                <w:b w:val="0"/>
                <w:bCs w:val="0"/>
              </w:rPr>
            </w:pPr>
            <w:r w:rsidRPr="00A67EC1">
              <w:rPr>
                <w:b w:val="0"/>
                <w:bCs w:val="0"/>
              </w:rPr>
              <w:t>49%</w:t>
            </w:r>
          </w:p>
        </w:tc>
      </w:tr>
      <w:tr w:rsidR="00310FF0" w14:paraId="485C1E09" w14:textId="77777777" w:rsidTr="00A67EC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hideMark/>
          </w:tcPr>
          <w:p w14:paraId="706778A2" w14:textId="055A6844" w:rsidR="00310FF0" w:rsidRPr="007C7E43" w:rsidRDefault="00310FF0" w:rsidP="007C7E43">
            <w:r w:rsidRPr="007C7E43">
              <w:t>Technicians and Trades Workers</w:t>
            </w:r>
          </w:p>
        </w:tc>
        <w:tc>
          <w:tcPr>
            <w:tcW w:w="1748" w:type="dxa"/>
            <w:hideMark/>
          </w:tcPr>
          <w:p w14:paraId="4C8BC07C" w14:textId="77777777" w:rsidR="00310FF0" w:rsidRPr="00A67EC1" w:rsidRDefault="00310FF0" w:rsidP="00985AE4">
            <w:pPr>
              <w:jc w:val="right"/>
              <w:cnfStyle w:val="100000000000" w:firstRow="1" w:lastRow="0" w:firstColumn="0" w:lastColumn="0" w:oddVBand="0" w:evenVBand="0" w:oddHBand="0" w:evenHBand="0" w:firstRowFirstColumn="0" w:firstRowLastColumn="0" w:lastRowFirstColumn="0" w:lastRowLastColumn="0"/>
              <w:rPr>
                <w:b w:val="0"/>
                <w:bCs w:val="0"/>
              </w:rPr>
            </w:pPr>
            <w:r w:rsidRPr="00A67EC1">
              <w:rPr>
                <w:b w:val="0"/>
                <w:bCs w:val="0"/>
              </w:rPr>
              <w:t>1%</w:t>
            </w:r>
          </w:p>
        </w:tc>
        <w:tc>
          <w:tcPr>
            <w:tcW w:w="1748" w:type="dxa"/>
            <w:hideMark/>
          </w:tcPr>
          <w:p w14:paraId="28642299" w14:textId="77777777" w:rsidR="00310FF0" w:rsidRPr="00A67EC1" w:rsidRDefault="00310FF0" w:rsidP="00985AE4">
            <w:pPr>
              <w:jc w:val="right"/>
              <w:cnfStyle w:val="100000000000" w:firstRow="1" w:lastRow="0" w:firstColumn="0" w:lastColumn="0" w:oddVBand="0" w:evenVBand="0" w:oddHBand="0" w:evenHBand="0" w:firstRowFirstColumn="0" w:firstRowLastColumn="0" w:lastRowFirstColumn="0" w:lastRowLastColumn="0"/>
              <w:rPr>
                <w:b w:val="0"/>
                <w:bCs w:val="0"/>
              </w:rPr>
            </w:pPr>
            <w:r w:rsidRPr="00A67EC1">
              <w:rPr>
                <w:b w:val="0"/>
                <w:bCs w:val="0"/>
              </w:rPr>
              <w:t>0.2%</w:t>
            </w:r>
          </w:p>
        </w:tc>
        <w:tc>
          <w:tcPr>
            <w:tcW w:w="1748" w:type="dxa"/>
            <w:hideMark/>
          </w:tcPr>
          <w:p w14:paraId="24902159" w14:textId="77777777" w:rsidR="00310FF0" w:rsidRPr="00A67EC1" w:rsidRDefault="00310FF0" w:rsidP="00985AE4">
            <w:pPr>
              <w:jc w:val="right"/>
              <w:cnfStyle w:val="100000000000" w:firstRow="1" w:lastRow="0" w:firstColumn="0" w:lastColumn="0" w:oddVBand="0" w:evenVBand="0" w:oddHBand="0" w:evenHBand="0" w:firstRowFirstColumn="0" w:firstRowLastColumn="0" w:lastRowFirstColumn="0" w:lastRowLastColumn="0"/>
              <w:rPr>
                <w:b w:val="0"/>
                <w:bCs w:val="0"/>
              </w:rPr>
            </w:pPr>
            <w:r w:rsidRPr="00A67EC1">
              <w:rPr>
                <w:b w:val="0"/>
                <w:bCs w:val="0"/>
              </w:rPr>
              <w:t>1%</w:t>
            </w:r>
          </w:p>
        </w:tc>
      </w:tr>
      <w:tr w:rsidR="00310FF0" w14:paraId="4B154BB6" w14:textId="77777777" w:rsidTr="00A67EC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hideMark/>
          </w:tcPr>
          <w:p w14:paraId="10F91CC9" w14:textId="77777777" w:rsidR="00310FF0" w:rsidRPr="00CC10B8" w:rsidRDefault="00310FF0" w:rsidP="00CC10B8">
            <w:r w:rsidRPr="00CC10B8">
              <w:t>Clerical and Administrative Workers</w:t>
            </w:r>
          </w:p>
        </w:tc>
        <w:tc>
          <w:tcPr>
            <w:tcW w:w="1748" w:type="dxa"/>
            <w:hideMark/>
          </w:tcPr>
          <w:p w14:paraId="3FD1F282" w14:textId="77777777" w:rsidR="00310FF0" w:rsidRPr="00A67EC1" w:rsidRDefault="00310FF0" w:rsidP="00985AE4">
            <w:pPr>
              <w:jc w:val="right"/>
              <w:cnfStyle w:val="100000000000" w:firstRow="1" w:lastRow="0" w:firstColumn="0" w:lastColumn="0" w:oddVBand="0" w:evenVBand="0" w:oddHBand="0" w:evenHBand="0" w:firstRowFirstColumn="0" w:firstRowLastColumn="0" w:lastRowFirstColumn="0" w:lastRowLastColumn="0"/>
              <w:rPr>
                <w:b w:val="0"/>
                <w:bCs w:val="0"/>
              </w:rPr>
            </w:pPr>
            <w:r w:rsidRPr="00A67EC1">
              <w:rPr>
                <w:b w:val="0"/>
                <w:bCs w:val="0"/>
              </w:rPr>
              <w:t>18%</w:t>
            </w:r>
          </w:p>
        </w:tc>
        <w:tc>
          <w:tcPr>
            <w:tcW w:w="1748" w:type="dxa"/>
            <w:hideMark/>
          </w:tcPr>
          <w:p w14:paraId="7451347F" w14:textId="77777777" w:rsidR="00310FF0" w:rsidRPr="00A67EC1" w:rsidRDefault="00310FF0" w:rsidP="00985AE4">
            <w:pPr>
              <w:jc w:val="right"/>
              <w:cnfStyle w:val="100000000000" w:firstRow="1" w:lastRow="0" w:firstColumn="0" w:lastColumn="0" w:oddVBand="0" w:evenVBand="0" w:oddHBand="0" w:evenHBand="0" w:firstRowFirstColumn="0" w:firstRowLastColumn="0" w:lastRowFirstColumn="0" w:lastRowLastColumn="0"/>
              <w:rPr>
                <w:b w:val="0"/>
                <w:bCs w:val="0"/>
              </w:rPr>
            </w:pPr>
            <w:r w:rsidRPr="00A67EC1">
              <w:rPr>
                <w:b w:val="0"/>
                <w:bCs w:val="0"/>
              </w:rPr>
              <w:t>29%</w:t>
            </w:r>
          </w:p>
        </w:tc>
        <w:tc>
          <w:tcPr>
            <w:tcW w:w="1748" w:type="dxa"/>
            <w:hideMark/>
          </w:tcPr>
          <w:p w14:paraId="6A57F315" w14:textId="77777777" w:rsidR="00310FF0" w:rsidRPr="00A67EC1" w:rsidRDefault="00310FF0" w:rsidP="00985AE4">
            <w:pPr>
              <w:jc w:val="right"/>
              <w:cnfStyle w:val="100000000000" w:firstRow="1" w:lastRow="0" w:firstColumn="0" w:lastColumn="0" w:oddVBand="0" w:evenVBand="0" w:oddHBand="0" w:evenHBand="0" w:firstRowFirstColumn="0" w:firstRowLastColumn="0" w:lastRowFirstColumn="0" w:lastRowLastColumn="0"/>
              <w:rPr>
                <w:b w:val="0"/>
                <w:bCs w:val="0"/>
              </w:rPr>
            </w:pPr>
            <w:r w:rsidRPr="00A67EC1">
              <w:rPr>
                <w:b w:val="0"/>
                <w:bCs w:val="0"/>
              </w:rPr>
              <w:t>24%</w:t>
            </w:r>
          </w:p>
        </w:tc>
      </w:tr>
      <w:tr w:rsidR="00310FF0" w14:paraId="29549D8D" w14:textId="77777777" w:rsidTr="00A67EC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hideMark/>
          </w:tcPr>
          <w:p w14:paraId="0B067237" w14:textId="785E9C97" w:rsidR="00310FF0" w:rsidRPr="007C7E43" w:rsidRDefault="00310FF0" w:rsidP="007C7E43">
            <w:r w:rsidRPr="007C7E43">
              <w:t>Machinery Operators and Drivers</w:t>
            </w:r>
          </w:p>
        </w:tc>
        <w:tc>
          <w:tcPr>
            <w:tcW w:w="1748" w:type="dxa"/>
            <w:hideMark/>
          </w:tcPr>
          <w:p w14:paraId="11586D71" w14:textId="77777777" w:rsidR="00310FF0" w:rsidRPr="00A67EC1" w:rsidRDefault="00310FF0" w:rsidP="00985AE4">
            <w:pPr>
              <w:jc w:val="right"/>
              <w:cnfStyle w:val="100000000000" w:firstRow="1" w:lastRow="0" w:firstColumn="0" w:lastColumn="0" w:oddVBand="0" w:evenVBand="0" w:oddHBand="0" w:evenHBand="0" w:firstRowFirstColumn="0" w:firstRowLastColumn="0" w:lastRowFirstColumn="0" w:lastRowLastColumn="0"/>
              <w:rPr>
                <w:b w:val="0"/>
                <w:bCs w:val="0"/>
              </w:rPr>
            </w:pPr>
            <w:r w:rsidRPr="00A67EC1">
              <w:rPr>
                <w:b w:val="0"/>
                <w:bCs w:val="0"/>
              </w:rPr>
              <w:t>8%</w:t>
            </w:r>
          </w:p>
        </w:tc>
        <w:tc>
          <w:tcPr>
            <w:tcW w:w="1748" w:type="dxa"/>
            <w:hideMark/>
          </w:tcPr>
          <w:p w14:paraId="086B4A24" w14:textId="77777777" w:rsidR="00310FF0" w:rsidRPr="00A67EC1" w:rsidRDefault="00310FF0" w:rsidP="00985AE4">
            <w:pPr>
              <w:jc w:val="right"/>
              <w:cnfStyle w:val="100000000000" w:firstRow="1" w:lastRow="0" w:firstColumn="0" w:lastColumn="0" w:oddVBand="0" w:evenVBand="0" w:oddHBand="0" w:evenHBand="0" w:firstRowFirstColumn="0" w:firstRowLastColumn="0" w:lastRowFirstColumn="0" w:lastRowLastColumn="0"/>
              <w:rPr>
                <w:b w:val="0"/>
                <w:bCs w:val="0"/>
              </w:rPr>
            </w:pPr>
            <w:r w:rsidRPr="00A67EC1">
              <w:rPr>
                <w:b w:val="0"/>
                <w:bCs w:val="0"/>
              </w:rPr>
              <w:t>1%</w:t>
            </w:r>
          </w:p>
        </w:tc>
        <w:tc>
          <w:tcPr>
            <w:tcW w:w="1748" w:type="dxa"/>
            <w:hideMark/>
          </w:tcPr>
          <w:p w14:paraId="17080280" w14:textId="77777777" w:rsidR="00310FF0" w:rsidRPr="00A67EC1" w:rsidRDefault="00310FF0" w:rsidP="00985AE4">
            <w:pPr>
              <w:jc w:val="right"/>
              <w:cnfStyle w:val="100000000000" w:firstRow="1" w:lastRow="0" w:firstColumn="0" w:lastColumn="0" w:oddVBand="0" w:evenVBand="0" w:oddHBand="0" w:evenHBand="0" w:firstRowFirstColumn="0" w:firstRowLastColumn="0" w:lastRowFirstColumn="0" w:lastRowLastColumn="0"/>
              <w:rPr>
                <w:b w:val="0"/>
                <w:bCs w:val="0"/>
              </w:rPr>
            </w:pPr>
            <w:r w:rsidRPr="00A67EC1">
              <w:rPr>
                <w:b w:val="0"/>
                <w:bCs w:val="0"/>
              </w:rPr>
              <w:t>4%</w:t>
            </w:r>
          </w:p>
        </w:tc>
      </w:tr>
      <w:tr w:rsidR="00310FF0" w14:paraId="318B707D" w14:textId="77777777" w:rsidTr="00A67EC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hideMark/>
          </w:tcPr>
          <w:p w14:paraId="2E2CF4C7" w14:textId="77777777" w:rsidR="00310FF0" w:rsidRPr="007C7E43" w:rsidRDefault="00310FF0" w:rsidP="007C7E43">
            <w:r w:rsidRPr="007C7E43">
              <w:t xml:space="preserve">Total </w:t>
            </w:r>
          </w:p>
        </w:tc>
        <w:tc>
          <w:tcPr>
            <w:tcW w:w="1748" w:type="dxa"/>
            <w:hideMark/>
          </w:tcPr>
          <w:p w14:paraId="0DB745DF" w14:textId="77777777" w:rsidR="00310FF0" w:rsidRPr="00985AE4" w:rsidRDefault="00310FF0" w:rsidP="00985AE4">
            <w:pPr>
              <w:jc w:val="right"/>
              <w:cnfStyle w:val="100000000000" w:firstRow="1" w:lastRow="0" w:firstColumn="0" w:lastColumn="0" w:oddVBand="0" w:evenVBand="0" w:oddHBand="0" w:evenHBand="0" w:firstRowFirstColumn="0" w:firstRowLastColumn="0" w:lastRowFirstColumn="0" w:lastRowLastColumn="0"/>
            </w:pPr>
            <w:r w:rsidRPr="00985AE4">
              <w:t>100%</w:t>
            </w:r>
          </w:p>
        </w:tc>
        <w:tc>
          <w:tcPr>
            <w:tcW w:w="1748" w:type="dxa"/>
            <w:hideMark/>
          </w:tcPr>
          <w:p w14:paraId="4B002BBE" w14:textId="77777777" w:rsidR="00310FF0" w:rsidRPr="00985AE4" w:rsidRDefault="00310FF0" w:rsidP="00985AE4">
            <w:pPr>
              <w:jc w:val="right"/>
              <w:cnfStyle w:val="100000000000" w:firstRow="1" w:lastRow="0" w:firstColumn="0" w:lastColumn="0" w:oddVBand="0" w:evenVBand="0" w:oddHBand="0" w:evenHBand="0" w:firstRowFirstColumn="0" w:firstRowLastColumn="0" w:lastRowFirstColumn="0" w:lastRowLastColumn="0"/>
            </w:pPr>
            <w:r w:rsidRPr="00985AE4">
              <w:t>100%</w:t>
            </w:r>
          </w:p>
        </w:tc>
        <w:tc>
          <w:tcPr>
            <w:tcW w:w="1748" w:type="dxa"/>
            <w:hideMark/>
          </w:tcPr>
          <w:p w14:paraId="609AE68C" w14:textId="77777777" w:rsidR="00310FF0" w:rsidRPr="00985AE4" w:rsidRDefault="00310FF0" w:rsidP="00985AE4">
            <w:pPr>
              <w:jc w:val="right"/>
              <w:cnfStyle w:val="100000000000" w:firstRow="1" w:lastRow="0" w:firstColumn="0" w:lastColumn="0" w:oddVBand="0" w:evenVBand="0" w:oddHBand="0" w:evenHBand="0" w:firstRowFirstColumn="0" w:firstRowLastColumn="0" w:lastRowFirstColumn="0" w:lastRowLastColumn="0"/>
            </w:pPr>
            <w:r w:rsidRPr="00985AE4">
              <w:t>100%</w:t>
            </w:r>
          </w:p>
        </w:tc>
      </w:tr>
    </w:tbl>
    <w:p w14:paraId="4D6726E7" w14:textId="7808D7B5" w:rsidR="00310FF0" w:rsidRPr="00CC10B8" w:rsidRDefault="00310FF0" w:rsidP="00CC10B8"/>
    <w:p w14:paraId="094C4E4D" w14:textId="55CF37AB" w:rsidR="00310FF0" w:rsidRPr="00DF5E47" w:rsidRDefault="00000000" w:rsidP="00DF5E47">
      <w:pPr>
        <w:pStyle w:val="FootnoteText"/>
      </w:pPr>
      <w:hyperlink r:id="rId32" w:anchor="footnote-006-backlink" w:history="1">
        <w:r w:rsidR="00310FF0" w:rsidRPr="00DF5E47">
          <w:rPr>
            <w:rStyle w:val="Hyperlink"/>
            <w:color w:val="auto"/>
            <w:u w:val="none"/>
          </w:rPr>
          <w:t>1</w:t>
        </w:r>
      </w:hyperlink>
      <w:r w:rsidR="00310FF0" w:rsidRPr="00DF5E47">
        <w:tab/>
        <w:t>Commission for Gender Equality in the Public Sector</w:t>
      </w:r>
      <w:r w:rsidR="00985AE4">
        <w:t>.</w:t>
      </w:r>
    </w:p>
    <w:p w14:paraId="4F64A668" w14:textId="483A6B12" w:rsidR="00310FF0" w:rsidRPr="00DF5E47" w:rsidRDefault="00000000" w:rsidP="00DF5E47">
      <w:pPr>
        <w:pStyle w:val="FootnoteText"/>
      </w:pPr>
      <w:hyperlink r:id="rId33" w:anchor="footnote-005-backlink" w:history="1">
        <w:r w:rsidR="00310FF0" w:rsidRPr="00DF5E47">
          <w:rPr>
            <w:rStyle w:val="Hyperlink"/>
            <w:color w:val="auto"/>
            <w:u w:val="none"/>
          </w:rPr>
          <w:t>2</w:t>
        </w:r>
      </w:hyperlink>
      <w:r w:rsidR="00310FF0" w:rsidRPr="00DF5E47">
        <w:tab/>
        <w:t>The median is considered to be a more accurate measure of the gender pay as it is not skewed by the lowest and highest rates of pay or ‘</w:t>
      </w:r>
      <w:proofErr w:type="gramStart"/>
      <w:r w:rsidR="00310FF0" w:rsidRPr="00DF5E47">
        <w:t>outliers’</w:t>
      </w:r>
      <w:proofErr w:type="gramEnd"/>
      <w:r w:rsidR="00310FF0" w:rsidRPr="00DF5E47">
        <w:t xml:space="preserve">. </w:t>
      </w:r>
    </w:p>
    <w:p w14:paraId="6350B3BA" w14:textId="3F3CF2CF" w:rsidR="00310FF0" w:rsidRPr="00DF5E47" w:rsidRDefault="00000000" w:rsidP="00DF5E47">
      <w:pPr>
        <w:pStyle w:val="FootnoteText"/>
      </w:pPr>
      <w:hyperlink r:id="rId34" w:anchor="footnote-004-backlink" w:history="1">
        <w:r w:rsidR="00310FF0" w:rsidRPr="00DF5E47">
          <w:rPr>
            <w:rStyle w:val="Hyperlink"/>
            <w:color w:val="auto"/>
            <w:u w:val="none"/>
          </w:rPr>
          <w:t>3</w:t>
        </w:r>
      </w:hyperlink>
      <w:r w:rsidR="00310FF0" w:rsidRPr="00DF5E47">
        <w:tab/>
        <w:t>DPC is unable to provide the number of formal sexual harassment complaints made (&lt;10) to protect privacy and confidentiality of complainants.</w:t>
      </w:r>
    </w:p>
    <w:p w14:paraId="2A0BDF82" w14:textId="568C3BE5" w:rsidR="00310FF0" w:rsidRPr="00DF5E47" w:rsidRDefault="00000000" w:rsidP="00DF5E47">
      <w:pPr>
        <w:pStyle w:val="FootnoteText"/>
      </w:pPr>
      <w:hyperlink r:id="rId35" w:anchor="footnote-003-backlink" w:history="1">
        <w:r w:rsidR="00310FF0" w:rsidRPr="00DF5E47">
          <w:rPr>
            <w:rStyle w:val="Hyperlink"/>
            <w:color w:val="auto"/>
            <w:u w:val="none"/>
          </w:rPr>
          <w:t>4</w:t>
        </w:r>
      </w:hyperlink>
      <w:r w:rsidR="00310FF0" w:rsidRPr="00DF5E47">
        <w:tab/>
        <w:t>DPC does not currently collect workforce data on formal flexible working arrangements. The different types of formal flexible working arrangements utilised by staff are captured in the People Matter survey.</w:t>
      </w:r>
    </w:p>
    <w:p w14:paraId="248A3826" w14:textId="5F183B44" w:rsidR="00310FF0" w:rsidRPr="00DF5E47" w:rsidRDefault="00000000" w:rsidP="00DF5E47">
      <w:pPr>
        <w:pStyle w:val="FootnoteText"/>
      </w:pPr>
      <w:hyperlink r:id="rId36" w:anchor="footnote-002-backlink" w:history="1">
        <w:r w:rsidR="00310FF0" w:rsidRPr="00DF5E47">
          <w:rPr>
            <w:rStyle w:val="Hyperlink"/>
            <w:color w:val="auto"/>
            <w:u w:val="none"/>
          </w:rPr>
          <w:t>5</w:t>
        </w:r>
      </w:hyperlink>
      <w:r w:rsidR="00310FF0" w:rsidRPr="00DF5E47">
        <w:tab/>
        <w:t>DPC is unable to provide the number of people who exited the organisation during parental leave (&lt;10) to protect privacy and confidentiality of staff who took parental leave.</w:t>
      </w:r>
    </w:p>
    <w:p w14:paraId="6598CCF0" w14:textId="781776E6" w:rsidR="00310FF0" w:rsidRPr="00DF5E47" w:rsidRDefault="00000000" w:rsidP="00DF5E47">
      <w:pPr>
        <w:pStyle w:val="FootnoteText"/>
      </w:pPr>
      <w:hyperlink r:id="rId37" w:anchor="footnote-001-backlink" w:history="1">
        <w:r w:rsidR="00310FF0" w:rsidRPr="00DF5E47">
          <w:rPr>
            <w:rStyle w:val="Hyperlink"/>
            <w:color w:val="auto"/>
            <w:u w:val="none"/>
          </w:rPr>
          <w:t>6</w:t>
        </w:r>
      </w:hyperlink>
      <w:r w:rsidR="00310FF0" w:rsidRPr="00DF5E47">
        <w:tab/>
        <w:t>ANZSCO is the skill-based classification used to categorise all occupations and jobs undertaken for profit in the Australian and New Zealand labour markets.</w:t>
      </w:r>
    </w:p>
    <w:p w14:paraId="371454A8" w14:textId="16D3C718" w:rsidR="00310FF0" w:rsidRPr="00CC10B8" w:rsidRDefault="00000000" w:rsidP="00B95F59">
      <w:pPr>
        <w:pStyle w:val="FootnoteText"/>
      </w:pPr>
      <w:hyperlink r:id="rId38" w:anchor="footnote-000-backlink" w:history="1">
        <w:r w:rsidR="00310FF0" w:rsidRPr="00DF5E47">
          <w:rPr>
            <w:rStyle w:val="Hyperlink"/>
            <w:color w:val="auto"/>
            <w:u w:val="none"/>
          </w:rPr>
          <w:t>7</w:t>
        </w:r>
      </w:hyperlink>
      <w:r w:rsidR="00310FF0" w:rsidRPr="00DF5E47">
        <w:tab/>
        <w:t>DPC employs very few or no Technicians and trades workers, Community and personal service workers, Sales workers, and Labourers.</w:t>
      </w:r>
    </w:p>
    <w:sectPr w:rsidR="00310FF0" w:rsidRPr="00CC10B8" w:rsidSect="003F00E7">
      <w:pgSz w:w="11906" w:h="16838"/>
      <w:pgMar w:top="1440" w:right="1440" w:bottom="1247"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054E1" w14:textId="77777777" w:rsidR="00EB6852" w:rsidRDefault="00EB6852">
      <w:r>
        <w:separator/>
      </w:r>
    </w:p>
    <w:p w14:paraId="06A50ACB" w14:textId="77777777" w:rsidR="00EB6852" w:rsidRDefault="00EB6852"/>
  </w:endnote>
  <w:endnote w:type="continuationSeparator" w:id="0">
    <w:p w14:paraId="643131D2" w14:textId="77777777" w:rsidR="00EB6852" w:rsidRDefault="00EB6852">
      <w:r>
        <w:continuationSeparator/>
      </w:r>
    </w:p>
    <w:p w14:paraId="4E512A4B" w14:textId="77777777" w:rsidR="00EB6852" w:rsidRDefault="00EB6852"/>
  </w:endnote>
  <w:endnote w:type="continuationNotice" w:id="1">
    <w:p w14:paraId="451BFC7E" w14:textId="77777777" w:rsidR="00EB6852" w:rsidRDefault="00EB68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IC-SemiBold">
    <w:altName w:val="VIC"/>
    <w:panose1 w:val="00000700000000000000"/>
    <w:charset w:val="4D"/>
    <w:family w:val="auto"/>
    <w:notTrueType/>
    <w:pitch w:val="variable"/>
    <w:sig w:usb0="00000007" w:usb1="00000000" w:usb2="00000000" w:usb3="00000000" w:csb0="00000093" w:csb1="00000000"/>
  </w:font>
  <w:font w:name="VIC">
    <w:panose1 w:val="00000500000000000000"/>
    <w:charset w:val="00"/>
    <w:family w:val="auto"/>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16630909"/>
      <w:docPartObj>
        <w:docPartGallery w:val="Page Numbers (Bottom of Page)"/>
        <w:docPartUnique/>
      </w:docPartObj>
    </w:sdtPr>
    <w:sdtContent>
      <w:p w14:paraId="68BA4FD0" w14:textId="1BC46FB3" w:rsidR="00A27B26" w:rsidRDefault="00A27B26" w:rsidP="00AD70AC">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p>
    </w:sdtContent>
  </w:sdt>
  <w:p w14:paraId="21E06AB0" w14:textId="5E80E034" w:rsidR="00EB4BC7" w:rsidRDefault="00EB4BC7" w:rsidP="00A27B26">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19BCE" w14:textId="4FC0AFC4" w:rsidR="00A27B26" w:rsidRDefault="00A27B26" w:rsidP="009264A4">
    <w:pPr>
      <w:pStyle w:val="Footer"/>
      <w:tabs>
        <w:tab w:val="left" w:pos="3544"/>
        <w:tab w:val="left" w:pos="6237"/>
      </w:tabs>
      <w:ind w:right="-613"/>
    </w:pPr>
    <w:r w:rsidRPr="00A27B26">
      <w:t xml:space="preserve">Page </w:t>
    </w:r>
    <w:r w:rsidRPr="00A27B26">
      <w:fldChar w:fldCharType="begin"/>
    </w:r>
    <w:r w:rsidRPr="00A27B26">
      <w:instrText xml:space="preserve"> PAGE </w:instrText>
    </w:r>
    <w:r w:rsidRPr="00A27B26">
      <w:fldChar w:fldCharType="separate"/>
    </w:r>
    <w:r w:rsidRPr="00A27B26">
      <w:t>2</w:t>
    </w:r>
    <w:r w:rsidRPr="00A27B26">
      <w:fldChar w:fldCharType="end"/>
    </w:r>
    <w:r w:rsidRPr="00A27B26">
      <w:t xml:space="preserve"> of </w:t>
    </w:r>
    <w:fldSimple w:instr=" NUMPAGES ">
      <w:r w:rsidRPr="00A27B26">
        <w:t>28</w:t>
      </w:r>
    </w:fldSimple>
    <w:r w:rsidR="009264A4">
      <w:tab/>
      <w:t>Official</w:t>
    </w:r>
    <w:r w:rsidRPr="00A27B26">
      <w:tab/>
      <w:t>Gender Equality Action Plan</w:t>
    </w:r>
    <w:r>
      <w:t xml:space="preserve"> 202</w:t>
    </w:r>
    <w:r w:rsidR="006B5A2F">
      <w:t>1</w:t>
    </w:r>
    <w:r>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3CF9E" w14:textId="608D6360" w:rsidR="00B6730C" w:rsidRDefault="00B6730C">
    <w:pPr>
      <w:pStyle w:val="Footer"/>
    </w:pPr>
    <w:r>
      <w:rPr>
        <w:noProof/>
      </w:rPr>
      <mc:AlternateContent>
        <mc:Choice Requires="wps">
          <w:drawing>
            <wp:anchor distT="0" distB="0" distL="114300" distR="114300" simplePos="0" relativeHeight="251660288" behindDoc="0" locked="0" layoutInCell="0" allowOverlap="1" wp14:anchorId="2B2A5429" wp14:editId="666833D1">
              <wp:simplePos x="0" y="0"/>
              <wp:positionH relativeFrom="page">
                <wp:posOffset>0</wp:posOffset>
              </wp:positionH>
              <wp:positionV relativeFrom="page">
                <wp:posOffset>10227945</wp:posOffset>
              </wp:positionV>
              <wp:extent cx="7560310" cy="273050"/>
              <wp:effectExtent l="0" t="0" r="0" b="12700"/>
              <wp:wrapNone/>
              <wp:docPr id="3" name="MSIPCM8308401ba1f2b9a6e2269d80" descr="{&quot;HashCode&quot;:-1267603503,&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4FDDF8" w14:textId="738AC18D" w:rsidR="00B6730C" w:rsidRPr="00B6730C" w:rsidRDefault="00B6730C" w:rsidP="00B6730C">
                          <w:pPr>
                            <w:spacing w:after="0"/>
                            <w:rPr>
                              <w:rFonts w:ascii="Calibri" w:hAnsi="Calibri" w:cs="Calibri"/>
                              <w:color w:val="000000"/>
                              <w:sz w:val="22"/>
                            </w:rPr>
                          </w:pPr>
                          <w:r w:rsidRPr="00B6730C">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B2A5429" id="_x0000_t202" coordsize="21600,21600" o:spt="202" path="m,l,21600r21600,l21600,xe">
              <v:stroke joinstyle="miter"/>
              <v:path gradientshapeok="t" o:connecttype="rect"/>
            </v:shapetype>
            <v:shape id="MSIPCM8308401ba1f2b9a6e2269d80" o:spid="_x0000_s1026" type="#_x0000_t202" alt="{&quot;HashCode&quot;:-1267603503,&quot;Height&quot;:841.0,&quot;Width&quot;:595.0,&quot;Placement&quot;:&quot;Footer&quot;,&quot;Index&quot;:&quot;FirstPage&quot;,&quot;Section&quot;:1,&quot;Top&quot;:0.0,&quot;Left&quot;:0.0}" style="position:absolute;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" o:allowincell="f" filled="f" stroked="f" strokeweight=".5pt">
              <v:textbox inset="20pt,0,,0">
                <w:txbxContent>
                  <w:p w14:paraId="6E4FDDF8" w14:textId="738AC18D" w:rsidR="00B6730C" w:rsidRPr="00B6730C" w:rsidRDefault="00B6730C" w:rsidP="00B6730C">
                    <w:pPr>
                      <w:spacing w:after="0"/>
                      <w:rPr>
                        <w:rFonts w:ascii="Calibri" w:hAnsi="Calibri" w:cs="Calibri"/>
                        <w:color w:val="000000"/>
                        <w:sz w:val="22"/>
                      </w:rPr>
                    </w:pPr>
                    <w:r w:rsidRPr="00B6730C">
                      <w:rPr>
                        <w:rFonts w:ascii="Calibri" w:hAnsi="Calibri" w:cs="Calibri"/>
                        <w:color w:val="000000"/>
                        <w:sz w:val="22"/>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CA8E1" w14:textId="77777777" w:rsidR="00EB6852" w:rsidRDefault="00EB6852" w:rsidP="00207717">
      <w:pPr>
        <w:spacing w:before="120"/>
      </w:pPr>
      <w:r>
        <w:separator/>
      </w:r>
    </w:p>
  </w:footnote>
  <w:footnote w:type="continuationSeparator" w:id="0">
    <w:p w14:paraId="06E5A931" w14:textId="77777777" w:rsidR="00EB6852" w:rsidRDefault="00EB6852">
      <w:r>
        <w:continuationSeparator/>
      </w:r>
    </w:p>
    <w:p w14:paraId="33986291" w14:textId="77777777" w:rsidR="00EB6852" w:rsidRDefault="00EB6852"/>
  </w:footnote>
  <w:footnote w:type="continuationNotice" w:id="1">
    <w:p w14:paraId="370C6DA1" w14:textId="77777777" w:rsidR="00EB6852" w:rsidRDefault="00EB685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D3281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114BCE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C88D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28C4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3CBB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6A420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2A643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8E763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6EEE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AA87C6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A50056"/>
    <w:multiLevelType w:val="multilevel"/>
    <w:tmpl w:val="D42E96E8"/>
    <w:numStyleLink w:val="ZZNumbersloweralpha"/>
  </w:abstractNum>
  <w:abstractNum w:abstractNumId="11" w15:restartNumberingAfterBreak="0">
    <w:nsid w:val="0B8D43DB"/>
    <w:multiLevelType w:val="multilevel"/>
    <w:tmpl w:val="18F25BDE"/>
    <w:numStyleLink w:val="ZZNumbersdigit"/>
  </w:abstractNum>
  <w:abstractNum w:abstractNumId="12" w15:restartNumberingAfterBreak="0">
    <w:nsid w:val="0BAD2E30"/>
    <w:multiLevelType w:val="multilevel"/>
    <w:tmpl w:val="D42E96E8"/>
    <w:styleLink w:val="ZZNumbersloweralpha"/>
    <w:lvl w:ilvl="0">
      <w:start w:val="1"/>
      <w:numFmt w:val="lowerLetter"/>
      <w:pStyle w:val="Numberloweralpha"/>
      <w:lvlText w:val="(%1)"/>
      <w:lvlJc w:val="left"/>
      <w:pPr>
        <w:tabs>
          <w:tab w:val="num" w:pos="454"/>
        </w:tabs>
        <w:ind w:left="454" w:hanging="454"/>
      </w:pPr>
      <w:rPr>
        <w:rFonts w:hint="default"/>
      </w:rPr>
    </w:lvl>
    <w:lvl w:ilvl="1">
      <w:start w:val="1"/>
      <w:numFmt w:val="lowerLetter"/>
      <w:pStyle w:val="Numberloweralphaindent"/>
      <w:lvlText w:val="(%2)"/>
      <w:lvlJc w:val="left"/>
      <w:pPr>
        <w:tabs>
          <w:tab w:val="num" w:pos="907"/>
        </w:tabs>
        <w:ind w:left="907" w:hanging="453"/>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0F682E83"/>
    <w:multiLevelType w:val="multilevel"/>
    <w:tmpl w:val="DBFA7E9C"/>
    <w:lvl w:ilvl="0">
      <w:start w:val="3"/>
      <w:numFmt w:val="decimal"/>
      <w:lvlText w:val="%1"/>
      <w:lvlJc w:val="left"/>
      <w:pPr>
        <w:ind w:left="1573" w:hanging="720"/>
      </w:pPr>
      <w:rPr>
        <w:rFonts w:hint="default"/>
        <w:lang w:val="en-US" w:eastAsia="en-US" w:bidi="ar-SA"/>
      </w:rPr>
    </w:lvl>
    <w:lvl w:ilvl="1">
      <w:start w:val="1"/>
      <w:numFmt w:val="decimal"/>
      <w:pStyle w:val="Heading4-numbered3"/>
      <w:lvlText w:val="%1.%2"/>
      <w:lvlJc w:val="left"/>
      <w:pPr>
        <w:ind w:left="1573" w:hanging="720"/>
        <w:jc w:val="right"/>
      </w:pPr>
      <w:rPr>
        <w:rFonts w:ascii="Arial" w:eastAsia="VIC-SemiBold" w:hAnsi="Arial" w:cs="Arial" w:hint="default"/>
        <w:b/>
        <w:bCs/>
        <w:i w:val="0"/>
        <w:iCs w:val="0"/>
        <w:color w:val="201547"/>
        <w:spacing w:val="-20"/>
        <w:w w:val="100"/>
        <w:sz w:val="28"/>
        <w:szCs w:val="28"/>
        <w:lang w:val="en-US" w:eastAsia="en-US" w:bidi="ar-SA"/>
      </w:rPr>
    </w:lvl>
    <w:lvl w:ilvl="2">
      <w:start w:val="1"/>
      <w:numFmt w:val="decimal"/>
      <w:lvlText w:val="%1.%2.%3"/>
      <w:lvlJc w:val="left"/>
      <w:pPr>
        <w:ind w:left="1534" w:hanging="681"/>
      </w:pPr>
      <w:rPr>
        <w:rFonts w:ascii="Arial" w:eastAsia="VIC" w:hAnsi="Arial" w:cs="Arial" w:hint="default"/>
        <w:b w:val="0"/>
        <w:bCs w:val="0"/>
        <w:i w:val="0"/>
        <w:iCs w:val="0"/>
        <w:color w:val="231F20"/>
        <w:spacing w:val="-15"/>
        <w:w w:val="100"/>
        <w:sz w:val="24"/>
        <w:szCs w:val="24"/>
        <w:lang w:val="en-US" w:eastAsia="en-US" w:bidi="ar-SA"/>
      </w:rPr>
    </w:lvl>
    <w:lvl w:ilvl="3">
      <w:numFmt w:val="bullet"/>
      <w:lvlText w:val="•"/>
      <w:lvlJc w:val="left"/>
      <w:pPr>
        <w:ind w:left="3478" w:hanging="681"/>
      </w:pPr>
      <w:rPr>
        <w:rFonts w:hint="default"/>
        <w:lang w:val="en-US" w:eastAsia="en-US" w:bidi="ar-SA"/>
      </w:rPr>
    </w:lvl>
    <w:lvl w:ilvl="4">
      <w:numFmt w:val="bullet"/>
      <w:lvlText w:val="•"/>
      <w:lvlJc w:val="left"/>
      <w:pPr>
        <w:ind w:left="4576" w:hanging="681"/>
      </w:pPr>
      <w:rPr>
        <w:rFonts w:hint="default"/>
        <w:lang w:val="en-US" w:eastAsia="en-US" w:bidi="ar-SA"/>
      </w:rPr>
    </w:lvl>
    <w:lvl w:ilvl="5">
      <w:numFmt w:val="bullet"/>
      <w:lvlText w:val="•"/>
      <w:lvlJc w:val="left"/>
      <w:pPr>
        <w:ind w:left="5674" w:hanging="681"/>
      </w:pPr>
      <w:rPr>
        <w:rFonts w:hint="default"/>
        <w:lang w:val="en-US" w:eastAsia="en-US" w:bidi="ar-SA"/>
      </w:rPr>
    </w:lvl>
    <w:lvl w:ilvl="6">
      <w:numFmt w:val="bullet"/>
      <w:lvlText w:val="•"/>
      <w:lvlJc w:val="left"/>
      <w:pPr>
        <w:ind w:left="6772" w:hanging="681"/>
      </w:pPr>
      <w:rPr>
        <w:rFonts w:hint="default"/>
        <w:lang w:val="en-US" w:eastAsia="en-US" w:bidi="ar-SA"/>
      </w:rPr>
    </w:lvl>
    <w:lvl w:ilvl="7">
      <w:numFmt w:val="bullet"/>
      <w:lvlText w:val="•"/>
      <w:lvlJc w:val="left"/>
      <w:pPr>
        <w:ind w:left="7870" w:hanging="681"/>
      </w:pPr>
      <w:rPr>
        <w:rFonts w:hint="default"/>
        <w:lang w:val="en-US" w:eastAsia="en-US" w:bidi="ar-SA"/>
      </w:rPr>
    </w:lvl>
    <w:lvl w:ilvl="8">
      <w:numFmt w:val="bullet"/>
      <w:lvlText w:val="•"/>
      <w:lvlJc w:val="left"/>
      <w:pPr>
        <w:ind w:left="8969" w:hanging="681"/>
      </w:pPr>
      <w:rPr>
        <w:rFonts w:hint="default"/>
        <w:lang w:val="en-US" w:eastAsia="en-US" w:bidi="ar-SA"/>
      </w:rPr>
    </w:lvl>
  </w:abstractNum>
  <w:abstractNum w:abstractNumId="14" w15:restartNumberingAfterBreak="0">
    <w:nsid w:val="13F60A01"/>
    <w:multiLevelType w:val="hybridMultilevel"/>
    <w:tmpl w:val="00484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3F52A3"/>
    <w:multiLevelType w:val="hybridMultilevel"/>
    <w:tmpl w:val="224AF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6410FB0"/>
    <w:multiLevelType w:val="multilevel"/>
    <w:tmpl w:val="4230A496"/>
    <w:lvl w:ilvl="0">
      <w:start w:val="2"/>
      <w:numFmt w:val="decimal"/>
      <w:lvlText w:val="%1"/>
      <w:lvlJc w:val="left"/>
      <w:pPr>
        <w:ind w:left="1573" w:hanging="720"/>
      </w:pPr>
      <w:rPr>
        <w:rFonts w:hint="default"/>
        <w:lang w:val="en-US" w:eastAsia="en-US" w:bidi="ar-SA"/>
      </w:rPr>
    </w:lvl>
    <w:lvl w:ilvl="1">
      <w:start w:val="1"/>
      <w:numFmt w:val="decimal"/>
      <w:pStyle w:val="Heading4-numbered2"/>
      <w:lvlText w:val="%1.%2"/>
      <w:lvlJc w:val="left"/>
      <w:pPr>
        <w:ind w:left="1573" w:hanging="720"/>
        <w:jc w:val="right"/>
      </w:pPr>
      <w:rPr>
        <w:rFonts w:ascii="Arial" w:eastAsia="VIC-SemiBold" w:hAnsi="Arial" w:cs="Arial" w:hint="default"/>
        <w:b/>
        <w:bCs/>
        <w:i w:val="0"/>
        <w:iCs w:val="0"/>
        <w:color w:val="201547"/>
        <w:spacing w:val="-20"/>
        <w:w w:val="100"/>
        <w:sz w:val="28"/>
        <w:szCs w:val="28"/>
        <w:lang w:val="en-US" w:eastAsia="en-US" w:bidi="ar-SA"/>
      </w:rPr>
    </w:lvl>
    <w:lvl w:ilvl="2">
      <w:start w:val="1"/>
      <w:numFmt w:val="decimal"/>
      <w:lvlText w:val="%1.%2.%3"/>
      <w:lvlJc w:val="left"/>
      <w:pPr>
        <w:ind w:left="1534" w:hanging="681"/>
        <w:jc w:val="right"/>
      </w:pPr>
      <w:rPr>
        <w:rFonts w:ascii="Arial" w:eastAsia="VIC" w:hAnsi="Arial" w:cs="Arial" w:hint="default"/>
        <w:b w:val="0"/>
        <w:bCs w:val="0"/>
        <w:i w:val="0"/>
        <w:iCs w:val="0"/>
        <w:color w:val="231F20"/>
        <w:spacing w:val="-15"/>
        <w:w w:val="100"/>
        <w:sz w:val="24"/>
        <w:szCs w:val="24"/>
        <w:lang w:val="en-US" w:eastAsia="en-US" w:bidi="ar-SA"/>
      </w:rPr>
    </w:lvl>
    <w:lvl w:ilvl="3">
      <w:numFmt w:val="bullet"/>
      <w:lvlText w:val="•"/>
      <w:lvlJc w:val="left"/>
      <w:pPr>
        <w:ind w:left="2668" w:hanging="284"/>
      </w:pPr>
      <w:rPr>
        <w:rFonts w:ascii="VIC" w:eastAsia="VIC" w:hAnsi="VIC" w:cs="VIC" w:hint="default"/>
        <w:b w:val="0"/>
        <w:bCs w:val="0"/>
        <w:i w:val="0"/>
        <w:iCs w:val="0"/>
        <w:color w:val="231F20"/>
        <w:w w:val="100"/>
        <w:sz w:val="24"/>
        <w:szCs w:val="24"/>
        <w:lang w:val="en-US" w:eastAsia="en-US" w:bidi="ar-SA"/>
      </w:rPr>
    </w:lvl>
    <w:lvl w:ilvl="4">
      <w:numFmt w:val="bullet"/>
      <w:lvlText w:val="•"/>
      <w:lvlJc w:val="left"/>
      <w:pPr>
        <w:ind w:left="2660" w:hanging="284"/>
      </w:pPr>
      <w:rPr>
        <w:rFonts w:hint="default"/>
        <w:lang w:val="en-US" w:eastAsia="en-US" w:bidi="ar-SA"/>
      </w:rPr>
    </w:lvl>
    <w:lvl w:ilvl="5">
      <w:numFmt w:val="bullet"/>
      <w:lvlText w:val="•"/>
      <w:lvlJc w:val="left"/>
      <w:pPr>
        <w:ind w:left="4077" w:hanging="284"/>
      </w:pPr>
      <w:rPr>
        <w:rFonts w:hint="default"/>
        <w:lang w:val="en-US" w:eastAsia="en-US" w:bidi="ar-SA"/>
      </w:rPr>
    </w:lvl>
    <w:lvl w:ilvl="6">
      <w:numFmt w:val="bullet"/>
      <w:lvlText w:val="•"/>
      <w:lvlJc w:val="left"/>
      <w:pPr>
        <w:ind w:left="5495" w:hanging="284"/>
      </w:pPr>
      <w:rPr>
        <w:rFonts w:hint="default"/>
        <w:lang w:val="en-US" w:eastAsia="en-US" w:bidi="ar-SA"/>
      </w:rPr>
    </w:lvl>
    <w:lvl w:ilvl="7">
      <w:numFmt w:val="bullet"/>
      <w:lvlText w:val="•"/>
      <w:lvlJc w:val="left"/>
      <w:pPr>
        <w:ind w:left="6912" w:hanging="284"/>
      </w:pPr>
      <w:rPr>
        <w:rFonts w:hint="default"/>
        <w:lang w:val="en-US" w:eastAsia="en-US" w:bidi="ar-SA"/>
      </w:rPr>
    </w:lvl>
    <w:lvl w:ilvl="8">
      <w:numFmt w:val="bullet"/>
      <w:lvlText w:val="•"/>
      <w:lvlJc w:val="left"/>
      <w:pPr>
        <w:ind w:left="8330" w:hanging="284"/>
      </w:pPr>
      <w:rPr>
        <w:rFonts w:hint="default"/>
        <w:lang w:val="en-US" w:eastAsia="en-US" w:bidi="ar-SA"/>
      </w:rPr>
    </w:lvl>
  </w:abstractNum>
  <w:abstractNum w:abstractNumId="17" w15:restartNumberingAfterBreak="0">
    <w:nsid w:val="3E6C68D4"/>
    <w:multiLevelType w:val="multilevel"/>
    <w:tmpl w:val="18F25BDE"/>
    <w:styleLink w:val="ZZNumbersdigit"/>
    <w:lvl w:ilvl="0">
      <w:start w:val="1"/>
      <w:numFmt w:val="decimal"/>
      <w:pStyle w:val="Numberdigit"/>
      <w:lvlText w:val="%1."/>
      <w:lvlJc w:val="left"/>
      <w:pPr>
        <w:tabs>
          <w:tab w:val="num" w:pos="454"/>
        </w:tabs>
        <w:ind w:left="454" w:hanging="454"/>
      </w:pPr>
      <w:rPr>
        <w:rFonts w:hint="default"/>
      </w:rPr>
    </w:lvl>
    <w:lvl w:ilvl="1">
      <w:start w:val="1"/>
      <w:numFmt w:val="decimal"/>
      <w:pStyle w:val="Numberdigitindent"/>
      <w:lvlText w:val="%2."/>
      <w:lvlJc w:val="left"/>
      <w:pPr>
        <w:tabs>
          <w:tab w:val="num" w:pos="907"/>
        </w:tabs>
        <w:ind w:left="907" w:hanging="453"/>
      </w:pPr>
      <w:rPr>
        <w:rFonts w:hint="default"/>
      </w:rPr>
    </w:lvl>
    <w:lvl w:ilvl="2">
      <w:start w:val="1"/>
      <w:numFmt w:val="bullet"/>
      <w:lvlRestart w:val="0"/>
      <w:lvlText w:val="•"/>
      <w:lvlJc w:val="left"/>
      <w:pPr>
        <w:ind w:left="907" w:hanging="453"/>
      </w:pPr>
      <w:rPr>
        <w:rFonts w:ascii="Calibri" w:hAnsi="Calibri" w:hint="default"/>
        <w:color w:val="auto"/>
      </w:rPr>
    </w:lvl>
    <w:lvl w:ilvl="3">
      <w:start w:val="1"/>
      <w:numFmt w:val="bullet"/>
      <w:lvlRestart w:val="0"/>
      <w:lvlText w:val="–"/>
      <w:lvlJc w:val="left"/>
      <w:pPr>
        <w:ind w:left="1361" w:hanging="454"/>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A2645FEA"/>
    <w:styleLink w:val="ZZNumberslowerroman"/>
    <w:lvl w:ilvl="0">
      <w:start w:val="1"/>
      <w:numFmt w:val="lowerRoman"/>
      <w:pStyle w:val="Numberlowerroman"/>
      <w:lvlText w:val="(%1)"/>
      <w:lvlJc w:val="left"/>
      <w:pPr>
        <w:tabs>
          <w:tab w:val="num" w:pos="454"/>
        </w:tabs>
        <w:ind w:left="454" w:hanging="454"/>
      </w:pPr>
      <w:rPr>
        <w:rFonts w:hint="default"/>
      </w:rPr>
    </w:lvl>
    <w:lvl w:ilvl="1">
      <w:start w:val="1"/>
      <w:numFmt w:val="lowerRoman"/>
      <w:pStyle w:val="Numberlowerromanindent"/>
      <w:lvlText w:val="(%2)"/>
      <w:lvlJc w:val="left"/>
      <w:pPr>
        <w:tabs>
          <w:tab w:val="num" w:pos="907"/>
        </w:tabs>
        <w:ind w:left="907" w:hanging="453"/>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28D50C7"/>
    <w:multiLevelType w:val="multilevel"/>
    <w:tmpl w:val="B7441FBA"/>
    <w:lvl w:ilvl="0">
      <w:start w:val="4"/>
      <w:numFmt w:val="decimal"/>
      <w:lvlText w:val="%1"/>
      <w:lvlJc w:val="left"/>
      <w:pPr>
        <w:ind w:left="1573" w:hanging="720"/>
      </w:pPr>
      <w:rPr>
        <w:rFonts w:hint="default"/>
        <w:lang w:val="en-US" w:eastAsia="en-US" w:bidi="ar-SA"/>
      </w:rPr>
    </w:lvl>
    <w:lvl w:ilvl="1">
      <w:start w:val="1"/>
      <w:numFmt w:val="decimal"/>
      <w:pStyle w:val="Heading4-numbered4"/>
      <w:lvlText w:val="%1.%2"/>
      <w:lvlJc w:val="left"/>
      <w:pPr>
        <w:ind w:left="1573" w:hanging="720"/>
        <w:jc w:val="right"/>
      </w:pPr>
      <w:rPr>
        <w:rFonts w:ascii="Arial" w:eastAsia="VIC-SemiBold" w:hAnsi="Arial" w:cs="Arial" w:hint="default"/>
        <w:b/>
        <w:bCs/>
        <w:i w:val="0"/>
        <w:iCs w:val="0"/>
        <w:color w:val="004C97"/>
        <w:spacing w:val="-20"/>
        <w:w w:val="100"/>
        <w:sz w:val="28"/>
        <w:szCs w:val="28"/>
        <w:lang w:val="en-US" w:eastAsia="en-US" w:bidi="ar-SA"/>
      </w:rPr>
    </w:lvl>
    <w:lvl w:ilvl="2">
      <w:start w:val="1"/>
      <w:numFmt w:val="decimal"/>
      <w:lvlText w:val="%1.%2.%3"/>
      <w:lvlJc w:val="left"/>
      <w:pPr>
        <w:ind w:left="1534" w:hanging="681"/>
        <w:jc w:val="right"/>
      </w:pPr>
      <w:rPr>
        <w:rFonts w:ascii="Arial" w:eastAsia="VIC" w:hAnsi="Arial" w:cs="Arial" w:hint="default"/>
        <w:b w:val="0"/>
        <w:bCs w:val="0"/>
        <w:i w:val="0"/>
        <w:iCs w:val="0"/>
        <w:color w:val="231F20"/>
        <w:spacing w:val="-15"/>
        <w:w w:val="100"/>
        <w:sz w:val="24"/>
        <w:szCs w:val="24"/>
        <w:lang w:val="en-US" w:eastAsia="en-US" w:bidi="ar-SA"/>
      </w:rPr>
    </w:lvl>
    <w:lvl w:ilvl="3">
      <w:numFmt w:val="bullet"/>
      <w:lvlText w:val="•"/>
      <w:lvlJc w:val="left"/>
      <w:pPr>
        <w:ind w:left="1817" w:hanging="284"/>
      </w:pPr>
      <w:rPr>
        <w:rFonts w:ascii="VIC" w:eastAsia="VIC" w:hAnsi="VIC" w:cs="VIC" w:hint="default"/>
        <w:b w:val="0"/>
        <w:bCs w:val="0"/>
        <w:i w:val="0"/>
        <w:iCs w:val="0"/>
        <w:color w:val="231F20"/>
        <w:w w:val="100"/>
        <w:sz w:val="24"/>
        <w:szCs w:val="24"/>
        <w:lang w:val="en-US" w:eastAsia="en-US" w:bidi="ar-SA"/>
      </w:rPr>
    </w:lvl>
    <w:lvl w:ilvl="4">
      <w:numFmt w:val="bullet"/>
      <w:lvlText w:val="•"/>
      <w:lvlJc w:val="left"/>
      <w:pPr>
        <w:ind w:left="2660" w:hanging="284"/>
      </w:pPr>
      <w:rPr>
        <w:rFonts w:hint="default"/>
        <w:lang w:val="en-US" w:eastAsia="en-US" w:bidi="ar-SA"/>
      </w:rPr>
    </w:lvl>
    <w:lvl w:ilvl="5">
      <w:numFmt w:val="bullet"/>
      <w:lvlText w:val="•"/>
      <w:lvlJc w:val="left"/>
      <w:pPr>
        <w:ind w:left="4077" w:hanging="284"/>
      </w:pPr>
      <w:rPr>
        <w:rFonts w:hint="default"/>
        <w:lang w:val="en-US" w:eastAsia="en-US" w:bidi="ar-SA"/>
      </w:rPr>
    </w:lvl>
    <w:lvl w:ilvl="6">
      <w:numFmt w:val="bullet"/>
      <w:lvlText w:val="•"/>
      <w:lvlJc w:val="left"/>
      <w:pPr>
        <w:ind w:left="5495" w:hanging="284"/>
      </w:pPr>
      <w:rPr>
        <w:rFonts w:hint="default"/>
        <w:lang w:val="en-US" w:eastAsia="en-US" w:bidi="ar-SA"/>
      </w:rPr>
    </w:lvl>
    <w:lvl w:ilvl="7">
      <w:numFmt w:val="bullet"/>
      <w:lvlText w:val="•"/>
      <w:lvlJc w:val="left"/>
      <w:pPr>
        <w:ind w:left="6912" w:hanging="284"/>
      </w:pPr>
      <w:rPr>
        <w:rFonts w:hint="default"/>
        <w:lang w:val="en-US" w:eastAsia="en-US" w:bidi="ar-SA"/>
      </w:rPr>
    </w:lvl>
    <w:lvl w:ilvl="8">
      <w:numFmt w:val="bullet"/>
      <w:lvlText w:val="•"/>
      <w:lvlJc w:val="left"/>
      <w:pPr>
        <w:ind w:left="8330" w:hanging="284"/>
      </w:pPr>
      <w:rPr>
        <w:rFonts w:hint="default"/>
        <w:lang w:val="en-US" w:eastAsia="en-US" w:bidi="ar-SA"/>
      </w:rPr>
    </w:lvl>
  </w:abstractNum>
  <w:abstractNum w:abstractNumId="20" w15:restartNumberingAfterBreak="0">
    <w:nsid w:val="4A212324"/>
    <w:multiLevelType w:val="hybridMultilevel"/>
    <w:tmpl w:val="63680A96"/>
    <w:lvl w:ilvl="0" w:tplc="8B64266E">
      <w:start w:val="1"/>
      <w:numFmt w:val="decimal"/>
      <w:pStyle w:val="Heading2"/>
      <w:lvlText w:val="%1."/>
      <w:lvlJc w:val="left"/>
      <w:pPr>
        <w:tabs>
          <w:tab w:val="num" w:pos="284"/>
        </w:tabs>
        <w:ind w:left="284" w:hanging="284"/>
      </w:pPr>
      <w:rPr>
        <w:rFonts w:hint="default"/>
        <w:caps w:val="0"/>
        <w:strike w:val="0"/>
        <w:dstrike w:val="0"/>
        <w:vanish w:val="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DE4455"/>
    <w:multiLevelType w:val="hybridMultilevel"/>
    <w:tmpl w:val="ED86B9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4BA1E5A"/>
    <w:multiLevelType w:val="multilevel"/>
    <w:tmpl w:val="F05C78C0"/>
    <w:styleLink w:val="ZZBullets"/>
    <w:lvl w:ilvl="0">
      <w:start w:val="1"/>
      <w:numFmt w:val="bullet"/>
      <w:lvlText w:val="•"/>
      <w:lvlJc w:val="left"/>
      <w:pPr>
        <w:ind w:left="284" w:hanging="284"/>
      </w:pPr>
      <w:rPr>
        <w:rFonts w:ascii="Calibri" w:hAnsi="Calibri"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592D5A1D"/>
    <w:multiLevelType w:val="hybridMultilevel"/>
    <w:tmpl w:val="947E13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69134A3E"/>
    <w:multiLevelType w:val="hybridMultilevel"/>
    <w:tmpl w:val="E962D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EF70EB"/>
    <w:multiLevelType w:val="multilevel"/>
    <w:tmpl w:val="F508EEE6"/>
    <w:lvl w:ilvl="0">
      <w:start w:val="1"/>
      <w:numFmt w:val="decimal"/>
      <w:lvlText w:val="%1"/>
      <w:lvlJc w:val="left"/>
      <w:pPr>
        <w:ind w:left="1573" w:hanging="720"/>
      </w:pPr>
      <w:rPr>
        <w:rFonts w:hint="default"/>
        <w:lang w:val="en-US" w:eastAsia="en-US" w:bidi="ar-SA"/>
      </w:rPr>
    </w:lvl>
    <w:lvl w:ilvl="1">
      <w:start w:val="1"/>
      <w:numFmt w:val="decimal"/>
      <w:pStyle w:val="Heading4-numbered1"/>
      <w:lvlText w:val="%1.%2"/>
      <w:lvlJc w:val="left"/>
      <w:pPr>
        <w:ind w:left="1573" w:hanging="720"/>
        <w:jc w:val="right"/>
      </w:pPr>
      <w:rPr>
        <w:rFonts w:ascii="Arial" w:eastAsia="VIC-SemiBold" w:hAnsi="Arial" w:cs="Arial" w:hint="default"/>
        <w:b/>
        <w:bCs/>
        <w:i w:val="0"/>
        <w:iCs w:val="0"/>
        <w:color w:val="201547"/>
        <w:spacing w:val="-20"/>
        <w:w w:val="100"/>
        <w:sz w:val="28"/>
        <w:szCs w:val="28"/>
        <w:lang w:val="en-US" w:eastAsia="en-US" w:bidi="ar-SA"/>
      </w:rPr>
    </w:lvl>
    <w:lvl w:ilvl="2">
      <w:start w:val="1"/>
      <w:numFmt w:val="decimal"/>
      <w:pStyle w:val="ListParagraph"/>
      <w:lvlText w:val="%1.%2.%3"/>
      <w:lvlJc w:val="left"/>
      <w:pPr>
        <w:ind w:left="1534" w:hanging="681"/>
      </w:pPr>
      <w:rPr>
        <w:rFonts w:ascii="Arial" w:eastAsia="VIC" w:hAnsi="Arial" w:cs="Arial" w:hint="default"/>
        <w:b w:val="0"/>
        <w:bCs w:val="0"/>
        <w:i w:val="0"/>
        <w:iCs w:val="0"/>
        <w:color w:val="231F20"/>
        <w:spacing w:val="-15"/>
        <w:w w:val="100"/>
        <w:sz w:val="24"/>
        <w:szCs w:val="24"/>
        <w:lang w:val="en-US" w:eastAsia="en-US" w:bidi="ar-SA"/>
      </w:rPr>
    </w:lvl>
    <w:lvl w:ilvl="3">
      <w:numFmt w:val="bullet"/>
      <w:lvlText w:val="•"/>
      <w:lvlJc w:val="left"/>
      <w:pPr>
        <w:ind w:left="3478" w:hanging="681"/>
      </w:pPr>
      <w:rPr>
        <w:rFonts w:hint="default"/>
        <w:lang w:val="en-US" w:eastAsia="en-US" w:bidi="ar-SA"/>
      </w:rPr>
    </w:lvl>
    <w:lvl w:ilvl="4">
      <w:numFmt w:val="bullet"/>
      <w:lvlText w:val="•"/>
      <w:lvlJc w:val="left"/>
      <w:pPr>
        <w:ind w:left="4576" w:hanging="681"/>
      </w:pPr>
      <w:rPr>
        <w:rFonts w:hint="default"/>
        <w:lang w:val="en-US" w:eastAsia="en-US" w:bidi="ar-SA"/>
      </w:rPr>
    </w:lvl>
    <w:lvl w:ilvl="5">
      <w:numFmt w:val="bullet"/>
      <w:lvlText w:val="•"/>
      <w:lvlJc w:val="left"/>
      <w:pPr>
        <w:ind w:left="5674" w:hanging="681"/>
      </w:pPr>
      <w:rPr>
        <w:rFonts w:hint="default"/>
        <w:lang w:val="en-US" w:eastAsia="en-US" w:bidi="ar-SA"/>
      </w:rPr>
    </w:lvl>
    <w:lvl w:ilvl="6">
      <w:numFmt w:val="bullet"/>
      <w:lvlText w:val="•"/>
      <w:lvlJc w:val="left"/>
      <w:pPr>
        <w:ind w:left="6772" w:hanging="681"/>
      </w:pPr>
      <w:rPr>
        <w:rFonts w:hint="default"/>
        <w:lang w:val="en-US" w:eastAsia="en-US" w:bidi="ar-SA"/>
      </w:rPr>
    </w:lvl>
    <w:lvl w:ilvl="7">
      <w:numFmt w:val="bullet"/>
      <w:lvlText w:val="•"/>
      <w:lvlJc w:val="left"/>
      <w:pPr>
        <w:ind w:left="7870" w:hanging="681"/>
      </w:pPr>
      <w:rPr>
        <w:rFonts w:hint="default"/>
        <w:lang w:val="en-US" w:eastAsia="en-US" w:bidi="ar-SA"/>
      </w:rPr>
    </w:lvl>
    <w:lvl w:ilvl="8">
      <w:numFmt w:val="bullet"/>
      <w:lvlText w:val="•"/>
      <w:lvlJc w:val="left"/>
      <w:pPr>
        <w:ind w:left="8969" w:hanging="681"/>
      </w:pPr>
      <w:rPr>
        <w:rFonts w:hint="default"/>
        <w:lang w:val="en-US" w:eastAsia="en-US" w:bidi="ar-SA"/>
      </w:rPr>
    </w:lvl>
  </w:abstractNum>
  <w:abstractNum w:abstractNumId="28" w15:restartNumberingAfterBreak="0">
    <w:nsid w:val="77140E6E"/>
    <w:multiLevelType w:val="multilevel"/>
    <w:tmpl w:val="A73E9312"/>
    <w:lvl w:ilvl="0">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num w:numId="1" w16cid:durableId="262886694">
    <w:abstractNumId w:val="17"/>
  </w:num>
  <w:num w:numId="2" w16cid:durableId="6939255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99081468">
    <w:abstractNumId w:val="23"/>
  </w:num>
  <w:num w:numId="4" w16cid:durableId="30155783">
    <w:abstractNumId w:val="22"/>
  </w:num>
  <w:num w:numId="5" w16cid:durableId="84157660">
    <w:abstractNumId w:val="25"/>
  </w:num>
  <w:num w:numId="6" w16cid:durableId="1473210272">
    <w:abstractNumId w:val="18"/>
  </w:num>
  <w:num w:numId="7" w16cid:durableId="1372338191">
    <w:abstractNumId w:val="12"/>
  </w:num>
  <w:num w:numId="8" w16cid:durableId="20196998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59967495">
    <w:abstractNumId w:val="9"/>
  </w:num>
  <w:num w:numId="10" w16cid:durableId="174926220">
    <w:abstractNumId w:val="7"/>
  </w:num>
  <w:num w:numId="11" w16cid:durableId="1696804751">
    <w:abstractNumId w:val="8"/>
  </w:num>
  <w:num w:numId="12" w16cid:durableId="1230922495">
    <w:abstractNumId w:val="19"/>
  </w:num>
  <w:num w:numId="13" w16cid:durableId="1555778104">
    <w:abstractNumId w:val="13"/>
  </w:num>
  <w:num w:numId="14" w16cid:durableId="43527437">
    <w:abstractNumId w:val="16"/>
  </w:num>
  <w:num w:numId="15" w16cid:durableId="1681850570">
    <w:abstractNumId w:val="27"/>
  </w:num>
  <w:num w:numId="16" w16cid:durableId="828449043">
    <w:abstractNumId w:val="8"/>
    <w:lvlOverride w:ilvl="0">
      <w:startOverride w:val="1"/>
    </w:lvlOverride>
  </w:num>
  <w:num w:numId="17" w16cid:durableId="1291665548">
    <w:abstractNumId w:val="8"/>
    <w:lvlOverride w:ilvl="0">
      <w:startOverride w:val="1"/>
    </w:lvlOverride>
  </w:num>
  <w:num w:numId="18" w16cid:durableId="200170370">
    <w:abstractNumId w:val="20"/>
  </w:num>
  <w:num w:numId="19" w16cid:durableId="1744444857">
    <w:abstractNumId w:val="28"/>
  </w:num>
  <w:num w:numId="20" w16cid:durableId="730496471">
    <w:abstractNumId w:val="8"/>
    <w:lvlOverride w:ilvl="0">
      <w:startOverride w:val="1"/>
    </w:lvlOverride>
  </w:num>
  <w:num w:numId="21" w16cid:durableId="1753547268">
    <w:abstractNumId w:val="21"/>
  </w:num>
  <w:num w:numId="22" w16cid:durableId="977807088">
    <w:abstractNumId w:val="0"/>
  </w:num>
  <w:num w:numId="23" w16cid:durableId="1558585426">
    <w:abstractNumId w:val="1"/>
  </w:num>
  <w:num w:numId="24" w16cid:durableId="1082293749">
    <w:abstractNumId w:val="2"/>
  </w:num>
  <w:num w:numId="25" w16cid:durableId="352537424">
    <w:abstractNumId w:val="3"/>
  </w:num>
  <w:num w:numId="26" w16cid:durableId="1844851670">
    <w:abstractNumId w:val="4"/>
  </w:num>
  <w:num w:numId="27" w16cid:durableId="1213233747">
    <w:abstractNumId w:val="5"/>
  </w:num>
  <w:num w:numId="28" w16cid:durableId="1267692711">
    <w:abstractNumId w:val="6"/>
  </w:num>
  <w:num w:numId="29" w16cid:durableId="316879719">
    <w:abstractNumId w:val="26"/>
  </w:num>
  <w:num w:numId="30" w16cid:durableId="1667632179">
    <w:abstractNumId w:val="15"/>
  </w:num>
  <w:num w:numId="31" w16cid:durableId="1301155052">
    <w:abstractNumId w:val="24"/>
  </w:num>
  <w:num w:numId="32" w16cid:durableId="361518425">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isplayBackgroundShape/>
  <w:mirrorMargin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272"/>
    <w:rsid w:val="00000719"/>
    <w:rsid w:val="00002D68"/>
    <w:rsid w:val="000033F7"/>
    <w:rsid w:val="00003403"/>
    <w:rsid w:val="00005347"/>
    <w:rsid w:val="000072B6"/>
    <w:rsid w:val="000101F1"/>
    <w:rsid w:val="0001021B"/>
    <w:rsid w:val="00011D89"/>
    <w:rsid w:val="000154FD"/>
    <w:rsid w:val="00020678"/>
    <w:rsid w:val="00022271"/>
    <w:rsid w:val="000235E8"/>
    <w:rsid w:val="00023715"/>
    <w:rsid w:val="00024D89"/>
    <w:rsid w:val="00025075"/>
    <w:rsid w:val="000250B6"/>
    <w:rsid w:val="000259D3"/>
    <w:rsid w:val="00033D81"/>
    <w:rsid w:val="00033DC9"/>
    <w:rsid w:val="00037366"/>
    <w:rsid w:val="00037DE3"/>
    <w:rsid w:val="00040047"/>
    <w:rsid w:val="00041BF0"/>
    <w:rsid w:val="00042590"/>
    <w:rsid w:val="00042C8A"/>
    <w:rsid w:val="0004536B"/>
    <w:rsid w:val="00046B68"/>
    <w:rsid w:val="00047E33"/>
    <w:rsid w:val="00051F05"/>
    <w:rsid w:val="000527DD"/>
    <w:rsid w:val="00056EC4"/>
    <w:rsid w:val="000578B2"/>
    <w:rsid w:val="00060959"/>
    <w:rsid w:val="00060C8F"/>
    <w:rsid w:val="00061546"/>
    <w:rsid w:val="0006298A"/>
    <w:rsid w:val="00064F68"/>
    <w:rsid w:val="000663CD"/>
    <w:rsid w:val="000733FE"/>
    <w:rsid w:val="00074219"/>
    <w:rsid w:val="00074ED5"/>
    <w:rsid w:val="0008170F"/>
    <w:rsid w:val="0008204A"/>
    <w:rsid w:val="0008508E"/>
    <w:rsid w:val="00087951"/>
    <w:rsid w:val="0009113B"/>
    <w:rsid w:val="00093402"/>
    <w:rsid w:val="000939ED"/>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02EC"/>
    <w:rsid w:val="000D1242"/>
    <w:rsid w:val="000D2333"/>
    <w:rsid w:val="000D2ABA"/>
    <w:rsid w:val="000E0846"/>
    <w:rsid w:val="000E0970"/>
    <w:rsid w:val="000E3CC7"/>
    <w:rsid w:val="000E6BD4"/>
    <w:rsid w:val="000E6D6D"/>
    <w:rsid w:val="000F1F1E"/>
    <w:rsid w:val="000F2259"/>
    <w:rsid w:val="000F2DDA"/>
    <w:rsid w:val="000F2EA0"/>
    <w:rsid w:val="000F5213"/>
    <w:rsid w:val="000F5DDA"/>
    <w:rsid w:val="00101001"/>
    <w:rsid w:val="00103276"/>
    <w:rsid w:val="0010392D"/>
    <w:rsid w:val="0010447F"/>
    <w:rsid w:val="00104FE3"/>
    <w:rsid w:val="0010714F"/>
    <w:rsid w:val="00110516"/>
    <w:rsid w:val="001120C5"/>
    <w:rsid w:val="00120BD3"/>
    <w:rsid w:val="00121FBA"/>
    <w:rsid w:val="00122FEA"/>
    <w:rsid w:val="001232BD"/>
    <w:rsid w:val="00124ED5"/>
    <w:rsid w:val="001276FA"/>
    <w:rsid w:val="001447B3"/>
    <w:rsid w:val="00152073"/>
    <w:rsid w:val="00152329"/>
    <w:rsid w:val="00156598"/>
    <w:rsid w:val="00156FC9"/>
    <w:rsid w:val="00160B71"/>
    <w:rsid w:val="00160D91"/>
    <w:rsid w:val="00161939"/>
    <w:rsid w:val="00161AA0"/>
    <w:rsid w:val="00161D2E"/>
    <w:rsid w:val="00161F3E"/>
    <w:rsid w:val="00162093"/>
    <w:rsid w:val="00162CA9"/>
    <w:rsid w:val="00165459"/>
    <w:rsid w:val="00165A57"/>
    <w:rsid w:val="0016727C"/>
    <w:rsid w:val="001708A9"/>
    <w:rsid w:val="001712C2"/>
    <w:rsid w:val="001728C9"/>
    <w:rsid w:val="00172BAF"/>
    <w:rsid w:val="00172ED0"/>
    <w:rsid w:val="0017674D"/>
    <w:rsid w:val="001771DD"/>
    <w:rsid w:val="00177995"/>
    <w:rsid w:val="00177A8C"/>
    <w:rsid w:val="00181013"/>
    <w:rsid w:val="0018244E"/>
    <w:rsid w:val="00183CF2"/>
    <w:rsid w:val="00186B33"/>
    <w:rsid w:val="00192F9D"/>
    <w:rsid w:val="00196EB8"/>
    <w:rsid w:val="00196EFB"/>
    <w:rsid w:val="001979FF"/>
    <w:rsid w:val="00197B17"/>
    <w:rsid w:val="001A1950"/>
    <w:rsid w:val="001A1C54"/>
    <w:rsid w:val="001A2C32"/>
    <w:rsid w:val="001A3ACE"/>
    <w:rsid w:val="001A6272"/>
    <w:rsid w:val="001B058F"/>
    <w:rsid w:val="001B6B96"/>
    <w:rsid w:val="001B738B"/>
    <w:rsid w:val="001C09DB"/>
    <w:rsid w:val="001C277E"/>
    <w:rsid w:val="001C2A72"/>
    <w:rsid w:val="001C31B7"/>
    <w:rsid w:val="001C5E46"/>
    <w:rsid w:val="001C7128"/>
    <w:rsid w:val="001D0B75"/>
    <w:rsid w:val="001D1726"/>
    <w:rsid w:val="001D39A5"/>
    <w:rsid w:val="001D3C09"/>
    <w:rsid w:val="001D44E8"/>
    <w:rsid w:val="001D5B14"/>
    <w:rsid w:val="001D60EC"/>
    <w:rsid w:val="001D6F59"/>
    <w:rsid w:val="001E44DB"/>
    <w:rsid w:val="001E44DF"/>
    <w:rsid w:val="001E68A5"/>
    <w:rsid w:val="001E6BB0"/>
    <w:rsid w:val="001E7282"/>
    <w:rsid w:val="001F3826"/>
    <w:rsid w:val="001F6E46"/>
    <w:rsid w:val="001F7C91"/>
    <w:rsid w:val="002033B7"/>
    <w:rsid w:val="00206463"/>
    <w:rsid w:val="00206F2F"/>
    <w:rsid w:val="00207717"/>
    <w:rsid w:val="002079A4"/>
    <w:rsid w:val="0021053D"/>
    <w:rsid w:val="00210A92"/>
    <w:rsid w:val="00212B95"/>
    <w:rsid w:val="00215834"/>
    <w:rsid w:val="002159DB"/>
    <w:rsid w:val="00215CC8"/>
    <w:rsid w:val="00216C03"/>
    <w:rsid w:val="00220A1A"/>
    <w:rsid w:val="00220C04"/>
    <w:rsid w:val="0022278D"/>
    <w:rsid w:val="0022701F"/>
    <w:rsid w:val="00227C68"/>
    <w:rsid w:val="002333F5"/>
    <w:rsid w:val="00233724"/>
    <w:rsid w:val="0023563B"/>
    <w:rsid w:val="002365B4"/>
    <w:rsid w:val="002432E1"/>
    <w:rsid w:val="00246207"/>
    <w:rsid w:val="00246C5E"/>
    <w:rsid w:val="00250960"/>
    <w:rsid w:val="00251343"/>
    <w:rsid w:val="002536A4"/>
    <w:rsid w:val="00253A3E"/>
    <w:rsid w:val="00254F58"/>
    <w:rsid w:val="0025543D"/>
    <w:rsid w:val="002600BD"/>
    <w:rsid w:val="002620BC"/>
    <w:rsid w:val="00262802"/>
    <w:rsid w:val="00263A90"/>
    <w:rsid w:val="0026408B"/>
    <w:rsid w:val="00267C3E"/>
    <w:rsid w:val="002709BB"/>
    <w:rsid w:val="0027131C"/>
    <w:rsid w:val="00273BAC"/>
    <w:rsid w:val="002763B3"/>
    <w:rsid w:val="002802E3"/>
    <w:rsid w:val="0028213D"/>
    <w:rsid w:val="00282A7F"/>
    <w:rsid w:val="002862F1"/>
    <w:rsid w:val="00291373"/>
    <w:rsid w:val="00293AED"/>
    <w:rsid w:val="0029597D"/>
    <w:rsid w:val="002962C3"/>
    <w:rsid w:val="0029752B"/>
    <w:rsid w:val="002A027B"/>
    <w:rsid w:val="002A0A9C"/>
    <w:rsid w:val="002A0AA4"/>
    <w:rsid w:val="002A30B8"/>
    <w:rsid w:val="002A483C"/>
    <w:rsid w:val="002B0A79"/>
    <w:rsid w:val="002B0C7C"/>
    <w:rsid w:val="002B1729"/>
    <w:rsid w:val="002B36C7"/>
    <w:rsid w:val="002B4DD4"/>
    <w:rsid w:val="002B5277"/>
    <w:rsid w:val="002B5375"/>
    <w:rsid w:val="002B77C1"/>
    <w:rsid w:val="002C0ED7"/>
    <w:rsid w:val="002C2728"/>
    <w:rsid w:val="002C5B7C"/>
    <w:rsid w:val="002D1E0D"/>
    <w:rsid w:val="002D5006"/>
    <w:rsid w:val="002D7C61"/>
    <w:rsid w:val="002E01D0"/>
    <w:rsid w:val="002E161D"/>
    <w:rsid w:val="002E28A2"/>
    <w:rsid w:val="002E3100"/>
    <w:rsid w:val="002E6C95"/>
    <w:rsid w:val="002E7C36"/>
    <w:rsid w:val="002F3D32"/>
    <w:rsid w:val="002F5F31"/>
    <w:rsid w:val="002F5F46"/>
    <w:rsid w:val="002F7486"/>
    <w:rsid w:val="00302216"/>
    <w:rsid w:val="00303257"/>
    <w:rsid w:val="00303E53"/>
    <w:rsid w:val="00305CC1"/>
    <w:rsid w:val="00306E5F"/>
    <w:rsid w:val="00307E14"/>
    <w:rsid w:val="00310FF0"/>
    <w:rsid w:val="0031281E"/>
    <w:rsid w:val="00314054"/>
    <w:rsid w:val="00316F27"/>
    <w:rsid w:val="003214F1"/>
    <w:rsid w:val="00322E4B"/>
    <w:rsid w:val="00327870"/>
    <w:rsid w:val="0033259D"/>
    <w:rsid w:val="003333D2"/>
    <w:rsid w:val="00334679"/>
    <w:rsid w:val="00334686"/>
    <w:rsid w:val="00337339"/>
    <w:rsid w:val="00337885"/>
    <w:rsid w:val="00340345"/>
    <w:rsid w:val="003406C6"/>
    <w:rsid w:val="003418CC"/>
    <w:rsid w:val="00341A90"/>
    <w:rsid w:val="00342B5E"/>
    <w:rsid w:val="003434EE"/>
    <w:rsid w:val="003459BD"/>
    <w:rsid w:val="00350D38"/>
    <w:rsid w:val="00351B36"/>
    <w:rsid w:val="00354282"/>
    <w:rsid w:val="00357B4E"/>
    <w:rsid w:val="00367883"/>
    <w:rsid w:val="003716FD"/>
    <w:rsid w:val="0037204B"/>
    <w:rsid w:val="003744CF"/>
    <w:rsid w:val="00374717"/>
    <w:rsid w:val="0037627D"/>
    <w:rsid w:val="0037676C"/>
    <w:rsid w:val="003805DC"/>
    <w:rsid w:val="00381043"/>
    <w:rsid w:val="003829E5"/>
    <w:rsid w:val="00386109"/>
    <w:rsid w:val="00386944"/>
    <w:rsid w:val="003956CC"/>
    <w:rsid w:val="00395C9A"/>
    <w:rsid w:val="003A0853"/>
    <w:rsid w:val="003A6B67"/>
    <w:rsid w:val="003B13B6"/>
    <w:rsid w:val="003B14C3"/>
    <w:rsid w:val="003B15E6"/>
    <w:rsid w:val="003B22EF"/>
    <w:rsid w:val="003B408A"/>
    <w:rsid w:val="003C08A2"/>
    <w:rsid w:val="003C10C5"/>
    <w:rsid w:val="003C2045"/>
    <w:rsid w:val="003C43A1"/>
    <w:rsid w:val="003C4FC0"/>
    <w:rsid w:val="003C55F4"/>
    <w:rsid w:val="003C7897"/>
    <w:rsid w:val="003C7A3F"/>
    <w:rsid w:val="003D158D"/>
    <w:rsid w:val="003D2766"/>
    <w:rsid w:val="003D2A74"/>
    <w:rsid w:val="003D3D88"/>
    <w:rsid w:val="003D3E8F"/>
    <w:rsid w:val="003D6475"/>
    <w:rsid w:val="003D6EE6"/>
    <w:rsid w:val="003E375C"/>
    <w:rsid w:val="003E4086"/>
    <w:rsid w:val="003E639E"/>
    <w:rsid w:val="003E71E5"/>
    <w:rsid w:val="003F00E7"/>
    <w:rsid w:val="003F0445"/>
    <w:rsid w:val="003F0CF0"/>
    <w:rsid w:val="003F14B1"/>
    <w:rsid w:val="003F2B20"/>
    <w:rsid w:val="003F3289"/>
    <w:rsid w:val="003F3C62"/>
    <w:rsid w:val="003F5CB9"/>
    <w:rsid w:val="0040035C"/>
    <w:rsid w:val="004013C7"/>
    <w:rsid w:val="00401FCF"/>
    <w:rsid w:val="00406285"/>
    <w:rsid w:val="004115A2"/>
    <w:rsid w:val="00413B07"/>
    <w:rsid w:val="004148F9"/>
    <w:rsid w:val="00417BF4"/>
    <w:rsid w:val="0042084E"/>
    <w:rsid w:val="00421EEF"/>
    <w:rsid w:val="00424D65"/>
    <w:rsid w:val="0042526D"/>
    <w:rsid w:val="00430393"/>
    <w:rsid w:val="00431806"/>
    <w:rsid w:val="00431A70"/>
    <w:rsid w:val="00431F42"/>
    <w:rsid w:val="00442C6C"/>
    <w:rsid w:val="00443CBE"/>
    <w:rsid w:val="00443E8A"/>
    <w:rsid w:val="004441BC"/>
    <w:rsid w:val="004468B4"/>
    <w:rsid w:val="00446D86"/>
    <w:rsid w:val="0045230A"/>
    <w:rsid w:val="00454AD0"/>
    <w:rsid w:val="0045720C"/>
    <w:rsid w:val="00457337"/>
    <w:rsid w:val="00462E3D"/>
    <w:rsid w:val="00466E79"/>
    <w:rsid w:val="00467542"/>
    <w:rsid w:val="00470D7D"/>
    <w:rsid w:val="0047372D"/>
    <w:rsid w:val="00473BA3"/>
    <w:rsid w:val="004743DD"/>
    <w:rsid w:val="00474CEA"/>
    <w:rsid w:val="00482580"/>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0974"/>
    <w:rsid w:val="004B4185"/>
    <w:rsid w:val="004C014B"/>
    <w:rsid w:val="004C5541"/>
    <w:rsid w:val="004C6EEE"/>
    <w:rsid w:val="004C702B"/>
    <w:rsid w:val="004D0033"/>
    <w:rsid w:val="004D016B"/>
    <w:rsid w:val="004D1B22"/>
    <w:rsid w:val="004D23CC"/>
    <w:rsid w:val="004D36F2"/>
    <w:rsid w:val="004E1106"/>
    <w:rsid w:val="004E138F"/>
    <w:rsid w:val="004E22D9"/>
    <w:rsid w:val="004E4649"/>
    <w:rsid w:val="004E5C2B"/>
    <w:rsid w:val="004F00DD"/>
    <w:rsid w:val="004F2133"/>
    <w:rsid w:val="004F524D"/>
    <w:rsid w:val="004F5398"/>
    <w:rsid w:val="004F55F1"/>
    <w:rsid w:val="004F6936"/>
    <w:rsid w:val="005015BD"/>
    <w:rsid w:val="00503DC6"/>
    <w:rsid w:val="00506F5D"/>
    <w:rsid w:val="00510C37"/>
    <w:rsid w:val="005126D0"/>
    <w:rsid w:val="00514667"/>
    <w:rsid w:val="0051568D"/>
    <w:rsid w:val="00526AC7"/>
    <w:rsid w:val="00526C15"/>
    <w:rsid w:val="00536499"/>
    <w:rsid w:val="00542A03"/>
    <w:rsid w:val="00543903"/>
    <w:rsid w:val="00543BCC"/>
    <w:rsid w:val="00543F11"/>
    <w:rsid w:val="005441F9"/>
    <w:rsid w:val="00546305"/>
    <w:rsid w:val="00547A95"/>
    <w:rsid w:val="0055119B"/>
    <w:rsid w:val="00561202"/>
    <w:rsid w:val="00562507"/>
    <w:rsid w:val="00562811"/>
    <w:rsid w:val="00566D51"/>
    <w:rsid w:val="00567BA2"/>
    <w:rsid w:val="00571CD3"/>
    <w:rsid w:val="00572031"/>
    <w:rsid w:val="00572282"/>
    <w:rsid w:val="00573CE3"/>
    <w:rsid w:val="00576E84"/>
    <w:rsid w:val="00580394"/>
    <w:rsid w:val="005809CD"/>
    <w:rsid w:val="005815F2"/>
    <w:rsid w:val="00582B8C"/>
    <w:rsid w:val="0058757E"/>
    <w:rsid w:val="00594586"/>
    <w:rsid w:val="00596A4B"/>
    <w:rsid w:val="00597507"/>
    <w:rsid w:val="005A479D"/>
    <w:rsid w:val="005B1C6D"/>
    <w:rsid w:val="005B21B6"/>
    <w:rsid w:val="005B3A08"/>
    <w:rsid w:val="005B65A3"/>
    <w:rsid w:val="005B6AB9"/>
    <w:rsid w:val="005B7A63"/>
    <w:rsid w:val="005C0955"/>
    <w:rsid w:val="005C49DA"/>
    <w:rsid w:val="005C50F3"/>
    <w:rsid w:val="005C54B5"/>
    <w:rsid w:val="005C5D80"/>
    <w:rsid w:val="005C5D91"/>
    <w:rsid w:val="005C776E"/>
    <w:rsid w:val="005D07B8"/>
    <w:rsid w:val="005D6597"/>
    <w:rsid w:val="005E14E7"/>
    <w:rsid w:val="005E26A3"/>
    <w:rsid w:val="005E2ECB"/>
    <w:rsid w:val="005E447E"/>
    <w:rsid w:val="005E4FD1"/>
    <w:rsid w:val="005F0775"/>
    <w:rsid w:val="005F0CF5"/>
    <w:rsid w:val="005F21EB"/>
    <w:rsid w:val="005F562A"/>
    <w:rsid w:val="005F64CF"/>
    <w:rsid w:val="006041AD"/>
    <w:rsid w:val="00605908"/>
    <w:rsid w:val="00607850"/>
    <w:rsid w:val="00607EF7"/>
    <w:rsid w:val="00610D7C"/>
    <w:rsid w:val="00613414"/>
    <w:rsid w:val="00620154"/>
    <w:rsid w:val="006238DD"/>
    <w:rsid w:val="0062408D"/>
    <w:rsid w:val="006240CC"/>
    <w:rsid w:val="0062441B"/>
    <w:rsid w:val="00624940"/>
    <w:rsid w:val="006254F8"/>
    <w:rsid w:val="00626B39"/>
    <w:rsid w:val="00627DA7"/>
    <w:rsid w:val="00630DA4"/>
    <w:rsid w:val="00631CD4"/>
    <w:rsid w:val="00632597"/>
    <w:rsid w:val="00634600"/>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12ED"/>
    <w:rsid w:val="00682666"/>
    <w:rsid w:val="00683878"/>
    <w:rsid w:val="00684380"/>
    <w:rsid w:val="0068454C"/>
    <w:rsid w:val="00687E5D"/>
    <w:rsid w:val="00691B62"/>
    <w:rsid w:val="006933B5"/>
    <w:rsid w:val="00693546"/>
    <w:rsid w:val="00693D14"/>
    <w:rsid w:val="00696F27"/>
    <w:rsid w:val="006A18C2"/>
    <w:rsid w:val="006A2717"/>
    <w:rsid w:val="006A3383"/>
    <w:rsid w:val="006B077C"/>
    <w:rsid w:val="006B0C81"/>
    <w:rsid w:val="006B5A2F"/>
    <w:rsid w:val="006B6803"/>
    <w:rsid w:val="006D0F16"/>
    <w:rsid w:val="006D1992"/>
    <w:rsid w:val="006D29B1"/>
    <w:rsid w:val="006D2A3F"/>
    <w:rsid w:val="006D2FBC"/>
    <w:rsid w:val="006D3EF9"/>
    <w:rsid w:val="006D563C"/>
    <w:rsid w:val="006D6E34"/>
    <w:rsid w:val="006E138B"/>
    <w:rsid w:val="006E1867"/>
    <w:rsid w:val="006F0330"/>
    <w:rsid w:val="006F1FDC"/>
    <w:rsid w:val="006F2C13"/>
    <w:rsid w:val="006F6B76"/>
    <w:rsid w:val="006F6B8C"/>
    <w:rsid w:val="007013EF"/>
    <w:rsid w:val="00701C3A"/>
    <w:rsid w:val="007055BD"/>
    <w:rsid w:val="007059FD"/>
    <w:rsid w:val="007173CA"/>
    <w:rsid w:val="0072101E"/>
    <w:rsid w:val="007216AA"/>
    <w:rsid w:val="00721AB5"/>
    <w:rsid w:val="00721CFB"/>
    <w:rsid w:val="00721DEF"/>
    <w:rsid w:val="00724A43"/>
    <w:rsid w:val="007273AC"/>
    <w:rsid w:val="00731AD4"/>
    <w:rsid w:val="007346E4"/>
    <w:rsid w:val="00735564"/>
    <w:rsid w:val="00736EFA"/>
    <w:rsid w:val="00740F22"/>
    <w:rsid w:val="00741CF0"/>
    <w:rsid w:val="00741F1A"/>
    <w:rsid w:val="007447DA"/>
    <w:rsid w:val="007450F8"/>
    <w:rsid w:val="0074696E"/>
    <w:rsid w:val="0074740E"/>
    <w:rsid w:val="00750135"/>
    <w:rsid w:val="00750EC2"/>
    <w:rsid w:val="00752B28"/>
    <w:rsid w:val="007536BC"/>
    <w:rsid w:val="007541A9"/>
    <w:rsid w:val="00754E36"/>
    <w:rsid w:val="00756FE0"/>
    <w:rsid w:val="00763139"/>
    <w:rsid w:val="00770F37"/>
    <w:rsid w:val="007711A0"/>
    <w:rsid w:val="00772D5E"/>
    <w:rsid w:val="0077463E"/>
    <w:rsid w:val="00776928"/>
    <w:rsid w:val="00776D56"/>
    <w:rsid w:val="00776E0F"/>
    <w:rsid w:val="007774B1"/>
    <w:rsid w:val="00777BE1"/>
    <w:rsid w:val="00782222"/>
    <w:rsid w:val="00783238"/>
    <w:rsid w:val="007833D8"/>
    <w:rsid w:val="007840BB"/>
    <w:rsid w:val="00785677"/>
    <w:rsid w:val="00786F16"/>
    <w:rsid w:val="00791BD7"/>
    <w:rsid w:val="007933F7"/>
    <w:rsid w:val="00796E20"/>
    <w:rsid w:val="00797C32"/>
    <w:rsid w:val="007A11E8"/>
    <w:rsid w:val="007A4F81"/>
    <w:rsid w:val="007A736A"/>
    <w:rsid w:val="007B0914"/>
    <w:rsid w:val="007B1374"/>
    <w:rsid w:val="007B32E5"/>
    <w:rsid w:val="007B3DB9"/>
    <w:rsid w:val="007B4B8E"/>
    <w:rsid w:val="007B589F"/>
    <w:rsid w:val="007B6186"/>
    <w:rsid w:val="007B73BC"/>
    <w:rsid w:val="007C1367"/>
    <w:rsid w:val="007C1838"/>
    <w:rsid w:val="007C20B9"/>
    <w:rsid w:val="007C7301"/>
    <w:rsid w:val="007C7859"/>
    <w:rsid w:val="007C7E43"/>
    <w:rsid w:val="007C7F28"/>
    <w:rsid w:val="007D1466"/>
    <w:rsid w:val="007D2BDE"/>
    <w:rsid w:val="007D2FB6"/>
    <w:rsid w:val="007D49EB"/>
    <w:rsid w:val="007D4BA1"/>
    <w:rsid w:val="007D5E1C"/>
    <w:rsid w:val="007D72D5"/>
    <w:rsid w:val="007E0DE2"/>
    <w:rsid w:val="007E3667"/>
    <w:rsid w:val="007E3B98"/>
    <w:rsid w:val="007E417A"/>
    <w:rsid w:val="007F31B6"/>
    <w:rsid w:val="007F546C"/>
    <w:rsid w:val="007F625F"/>
    <w:rsid w:val="007F665E"/>
    <w:rsid w:val="00800412"/>
    <w:rsid w:val="008031FB"/>
    <w:rsid w:val="0080587B"/>
    <w:rsid w:val="00806468"/>
    <w:rsid w:val="008119CA"/>
    <w:rsid w:val="008130C4"/>
    <w:rsid w:val="008155F0"/>
    <w:rsid w:val="008166A1"/>
    <w:rsid w:val="00816735"/>
    <w:rsid w:val="00816760"/>
    <w:rsid w:val="00820141"/>
    <w:rsid w:val="00820E0C"/>
    <w:rsid w:val="00823275"/>
    <w:rsid w:val="0082366F"/>
    <w:rsid w:val="00830CA0"/>
    <w:rsid w:val="00831B47"/>
    <w:rsid w:val="008338A2"/>
    <w:rsid w:val="00841AA9"/>
    <w:rsid w:val="00841DCC"/>
    <w:rsid w:val="00843B9F"/>
    <w:rsid w:val="008474FE"/>
    <w:rsid w:val="008477A9"/>
    <w:rsid w:val="00853EE4"/>
    <w:rsid w:val="00855535"/>
    <w:rsid w:val="00857C5A"/>
    <w:rsid w:val="0086255E"/>
    <w:rsid w:val="008633F0"/>
    <w:rsid w:val="00867D9D"/>
    <w:rsid w:val="00872E0A"/>
    <w:rsid w:val="00873594"/>
    <w:rsid w:val="00875285"/>
    <w:rsid w:val="00877635"/>
    <w:rsid w:val="00884B62"/>
    <w:rsid w:val="0088529C"/>
    <w:rsid w:val="00886906"/>
    <w:rsid w:val="00887903"/>
    <w:rsid w:val="00890183"/>
    <w:rsid w:val="0089270A"/>
    <w:rsid w:val="0089298C"/>
    <w:rsid w:val="00893AF6"/>
    <w:rsid w:val="00894BC4"/>
    <w:rsid w:val="00896890"/>
    <w:rsid w:val="008A28A8"/>
    <w:rsid w:val="008A5B32"/>
    <w:rsid w:val="008A7C27"/>
    <w:rsid w:val="008B2029"/>
    <w:rsid w:val="008B2EE4"/>
    <w:rsid w:val="008B3821"/>
    <w:rsid w:val="008B4D3D"/>
    <w:rsid w:val="008B57C7"/>
    <w:rsid w:val="008B74D8"/>
    <w:rsid w:val="008C2F92"/>
    <w:rsid w:val="008C3546"/>
    <w:rsid w:val="008C589D"/>
    <w:rsid w:val="008C6D51"/>
    <w:rsid w:val="008D2846"/>
    <w:rsid w:val="008D4236"/>
    <w:rsid w:val="008D462F"/>
    <w:rsid w:val="008D6DCF"/>
    <w:rsid w:val="008E4376"/>
    <w:rsid w:val="008E7A0A"/>
    <w:rsid w:val="008E7B49"/>
    <w:rsid w:val="008F0A32"/>
    <w:rsid w:val="008F59F6"/>
    <w:rsid w:val="00900719"/>
    <w:rsid w:val="009017AC"/>
    <w:rsid w:val="00902A9A"/>
    <w:rsid w:val="00904A1C"/>
    <w:rsid w:val="00905030"/>
    <w:rsid w:val="009062D1"/>
    <w:rsid w:val="009062E3"/>
    <w:rsid w:val="00906490"/>
    <w:rsid w:val="0091048A"/>
    <w:rsid w:val="00910A3A"/>
    <w:rsid w:val="009111B2"/>
    <w:rsid w:val="009151F5"/>
    <w:rsid w:val="0092090D"/>
    <w:rsid w:val="00924AE1"/>
    <w:rsid w:val="00924B57"/>
    <w:rsid w:val="009264A4"/>
    <w:rsid w:val="00926588"/>
    <w:rsid w:val="009269B1"/>
    <w:rsid w:val="00926C94"/>
    <w:rsid w:val="0092724D"/>
    <w:rsid w:val="009272B3"/>
    <w:rsid w:val="009315BE"/>
    <w:rsid w:val="009326DD"/>
    <w:rsid w:val="0093338F"/>
    <w:rsid w:val="00937BD9"/>
    <w:rsid w:val="00942F9D"/>
    <w:rsid w:val="00950E2C"/>
    <w:rsid w:val="00951D50"/>
    <w:rsid w:val="009525EB"/>
    <w:rsid w:val="0095470B"/>
    <w:rsid w:val="00954874"/>
    <w:rsid w:val="0095615A"/>
    <w:rsid w:val="00961400"/>
    <w:rsid w:val="00963646"/>
    <w:rsid w:val="0096506F"/>
    <w:rsid w:val="0096632D"/>
    <w:rsid w:val="00967124"/>
    <w:rsid w:val="00970C0B"/>
    <w:rsid w:val="0097166C"/>
    <w:rsid w:val="009718C7"/>
    <w:rsid w:val="00972487"/>
    <w:rsid w:val="0097559F"/>
    <w:rsid w:val="009761EA"/>
    <w:rsid w:val="0097761E"/>
    <w:rsid w:val="00982454"/>
    <w:rsid w:val="00982CF0"/>
    <w:rsid w:val="009853E1"/>
    <w:rsid w:val="00985AE4"/>
    <w:rsid w:val="00986E6B"/>
    <w:rsid w:val="00990032"/>
    <w:rsid w:val="00990B19"/>
    <w:rsid w:val="0099153B"/>
    <w:rsid w:val="00991769"/>
    <w:rsid w:val="0099232C"/>
    <w:rsid w:val="009929C4"/>
    <w:rsid w:val="00994386"/>
    <w:rsid w:val="009A13D8"/>
    <w:rsid w:val="009A279E"/>
    <w:rsid w:val="009A2DBC"/>
    <w:rsid w:val="009A3015"/>
    <w:rsid w:val="009A3490"/>
    <w:rsid w:val="009A55E5"/>
    <w:rsid w:val="009A6D96"/>
    <w:rsid w:val="009B05FD"/>
    <w:rsid w:val="009B0A6F"/>
    <w:rsid w:val="009B0A94"/>
    <w:rsid w:val="009B0C62"/>
    <w:rsid w:val="009B2AE8"/>
    <w:rsid w:val="009B5622"/>
    <w:rsid w:val="009B59E9"/>
    <w:rsid w:val="009B70AA"/>
    <w:rsid w:val="009C245E"/>
    <w:rsid w:val="009C4A53"/>
    <w:rsid w:val="009C5E77"/>
    <w:rsid w:val="009C7A7E"/>
    <w:rsid w:val="009D02E8"/>
    <w:rsid w:val="009D04D7"/>
    <w:rsid w:val="009D2F55"/>
    <w:rsid w:val="009D51D0"/>
    <w:rsid w:val="009D70A4"/>
    <w:rsid w:val="009D7B14"/>
    <w:rsid w:val="009E08D1"/>
    <w:rsid w:val="009E0D96"/>
    <w:rsid w:val="009E1B95"/>
    <w:rsid w:val="009E496F"/>
    <w:rsid w:val="009E4B0D"/>
    <w:rsid w:val="009E5250"/>
    <w:rsid w:val="009E7A69"/>
    <w:rsid w:val="009E7F92"/>
    <w:rsid w:val="009F02A3"/>
    <w:rsid w:val="009F2182"/>
    <w:rsid w:val="009F2F27"/>
    <w:rsid w:val="009F2F2A"/>
    <w:rsid w:val="009F34AA"/>
    <w:rsid w:val="009F6BCB"/>
    <w:rsid w:val="009F7B78"/>
    <w:rsid w:val="00A0057A"/>
    <w:rsid w:val="00A01FB1"/>
    <w:rsid w:val="00A02FA1"/>
    <w:rsid w:val="00A04559"/>
    <w:rsid w:val="00A04CCE"/>
    <w:rsid w:val="00A07421"/>
    <w:rsid w:val="00A0776B"/>
    <w:rsid w:val="00A10FB9"/>
    <w:rsid w:val="00A11421"/>
    <w:rsid w:val="00A1389F"/>
    <w:rsid w:val="00A1421D"/>
    <w:rsid w:val="00A157B1"/>
    <w:rsid w:val="00A22229"/>
    <w:rsid w:val="00A24442"/>
    <w:rsid w:val="00A24ADA"/>
    <w:rsid w:val="00A27B26"/>
    <w:rsid w:val="00A30E7C"/>
    <w:rsid w:val="00A32577"/>
    <w:rsid w:val="00A330BB"/>
    <w:rsid w:val="00A36903"/>
    <w:rsid w:val="00A42EE7"/>
    <w:rsid w:val="00A446F5"/>
    <w:rsid w:val="00A44882"/>
    <w:rsid w:val="00A45125"/>
    <w:rsid w:val="00A54715"/>
    <w:rsid w:val="00A6061C"/>
    <w:rsid w:val="00A62D44"/>
    <w:rsid w:val="00A67263"/>
    <w:rsid w:val="00A67EC1"/>
    <w:rsid w:val="00A7161C"/>
    <w:rsid w:val="00A71CE4"/>
    <w:rsid w:val="00A77AA3"/>
    <w:rsid w:val="00A8236D"/>
    <w:rsid w:val="00A854EB"/>
    <w:rsid w:val="00A872E5"/>
    <w:rsid w:val="00A91406"/>
    <w:rsid w:val="00A94E18"/>
    <w:rsid w:val="00A969B0"/>
    <w:rsid w:val="00A96E65"/>
    <w:rsid w:val="00A96ECE"/>
    <w:rsid w:val="00A97C72"/>
    <w:rsid w:val="00AA310B"/>
    <w:rsid w:val="00AA63D4"/>
    <w:rsid w:val="00AB06E8"/>
    <w:rsid w:val="00AB14C7"/>
    <w:rsid w:val="00AB1CD3"/>
    <w:rsid w:val="00AB352F"/>
    <w:rsid w:val="00AC274B"/>
    <w:rsid w:val="00AC4764"/>
    <w:rsid w:val="00AC6412"/>
    <w:rsid w:val="00AC6D36"/>
    <w:rsid w:val="00AD0633"/>
    <w:rsid w:val="00AD0CBA"/>
    <w:rsid w:val="00AD26E2"/>
    <w:rsid w:val="00AD59B2"/>
    <w:rsid w:val="00AD784C"/>
    <w:rsid w:val="00AE126A"/>
    <w:rsid w:val="00AE1BAE"/>
    <w:rsid w:val="00AE3005"/>
    <w:rsid w:val="00AE3BD5"/>
    <w:rsid w:val="00AE59A0"/>
    <w:rsid w:val="00AF0C57"/>
    <w:rsid w:val="00AF26F3"/>
    <w:rsid w:val="00AF2DC0"/>
    <w:rsid w:val="00AF5F04"/>
    <w:rsid w:val="00B00672"/>
    <w:rsid w:val="00B01B4D"/>
    <w:rsid w:val="00B02F05"/>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412D"/>
    <w:rsid w:val="00B57329"/>
    <w:rsid w:val="00B60E61"/>
    <w:rsid w:val="00B62B50"/>
    <w:rsid w:val="00B635B7"/>
    <w:rsid w:val="00B63AE8"/>
    <w:rsid w:val="00B65950"/>
    <w:rsid w:val="00B66D83"/>
    <w:rsid w:val="00B672C0"/>
    <w:rsid w:val="00B6730C"/>
    <w:rsid w:val="00B676FD"/>
    <w:rsid w:val="00B678B6"/>
    <w:rsid w:val="00B67A82"/>
    <w:rsid w:val="00B70C76"/>
    <w:rsid w:val="00B75646"/>
    <w:rsid w:val="00B7629E"/>
    <w:rsid w:val="00B87FF2"/>
    <w:rsid w:val="00B90729"/>
    <w:rsid w:val="00B907DA"/>
    <w:rsid w:val="00B94C5E"/>
    <w:rsid w:val="00B950BC"/>
    <w:rsid w:val="00B95BC8"/>
    <w:rsid w:val="00B95F59"/>
    <w:rsid w:val="00B9714C"/>
    <w:rsid w:val="00BA29AD"/>
    <w:rsid w:val="00BA33CF"/>
    <w:rsid w:val="00BA3F8D"/>
    <w:rsid w:val="00BA6ED4"/>
    <w:rsid w:val="00BB7A10"/>
    <w:rsid w:val="00BC60BE"/>
    <w:rsid w:val="00BC7468"/>
    <w:rsid w:val="00BC7D4F"/>
    <w:rsid w:val="00BC7ED7"/>
    <w:rsid w:val="00BD2850"/>
    <w:rsid w:val="00BE1D0C"/>
    <w:rsid w:val="00BE28D2"/>
    <w:rsid w:val="00BE4A64"/>
    <w:rsid w:val="00BE5E43"/>
    <w:rsid w:val="00BF557D"/>
    <w:rsid w:val="00BF658D"/>
    <w:rsid w:val="00BF7F58"/>
    <w:rsid w:val="00C01381"/>
    <w:rsid w:val="00C01AB1"/>
    <w:rsid w:val="00C026A0"/>
    <w:rsid w:val="00C06137"/>
    <w:rsid w:val="00C06929"/>
    <w:rsid w:val="00C079B8"/>
    <w:rsid w:val="00C10037"/>
    <w:rsid w:val="00C115E1"/>
    <w:rsid w:val="00C123EA"/>
    <w:rsid w:val="00C12A49"/>
    <w:rsid w:val="00C133EE"/>
    <w:rsid w:val="00C149D0"/>
    <w:rsid w:val="00C15D95"/>
    <w:rsid w:val="00C16F87"/>
    <w:rsid w:val="00C247B2"/>
    <w:rsid w:val="00C26588"/>
    <w:rsid w:val="00C27DE9"/>
    <w:rsid w:val="00C32989"/>
    <w:rsid w:val="00C33388"/>
    <w:rsid w:val="00C35484"/>
    <w:rsid w:val="00C4173A"/>
    <w:rsid w:val="00C50DED"/>
    <w:rsid w:val="00C52217"/>
    <w:rsid w:val="00C53671"/>
    <w:rsid w:val="00C5763B"/>
    <w:rsid w:val="00C602FF"/>
    <w:rsid w:val="00C60411"/>
    <w:rsid w:val="00C60FAD"/>
    <w:rsid w:val="00C61174"/>
    <w:rsid w:val="00C6148F"/>
    <w:rsid w:val="00C621B1"/>
    <w:rsid w:val="00C62F7A"/>
    <w:rsid w:val="00C63B9C"/>
    <w:rsid w:val="00C6674B"/>
    <w:rsid w:val="00C6682F"/>
    <w:rsid w:val="00C67BF4"/>
    <w:rsid w:val="00C7275E"/>
    <w:rsid w:val="00C731AF"/>
    <w:rsid w:val="00C74C5D"/>
    <w:rsid w:val="00C8502D"/>
    <w:rsid w:val="00C863C4"/>
    <w:rsid w:val="00C90794"/>
    <w:rsid w:val="00C90DAB"/>
    <w:rsid w:val="00C920EA"/>
    <w:rsid w:val="00C93995"/>
    <w:rsid w:val="00C93C3E"/>
    <w:rsid w:val="00C95E26"/>
    <w:rsid w:val="00CA12E3"/>
    <w:rsid w:val="00CA1476"/>
    <w:rsid w:val="00CA6611"/>
    <w:rsid w:val="00CA6AE6"/>
    <w:rsid w:val="00CA782F"/>
    <w:rsid w:val="00CB0C47"/>
    <w:rsid w:val="00CB187B"/>
    <w:rsid w:val="00CB2835"/>
    <w:rsid w:val="00CB3285"/>
    <w:rsid w:val="00CB4500"/>
    <w:rsid w:val="00CB5EA8"/>
    <w:rsid w:val="00CC0C72"/>
    <w:rsid w:val="00CC10B8"/>
    <w:rsid w:val="00CC2BFD"/>
    <w:rsid w:val="00CC6F40"/>
    <w:rsid w:val="00CD3476"/>
    <w:rsid w:val="00CD64DF"/>
    <w:rsid w:val="00CE225F"/>
    <w:rsid w:val="00CF0FE8"/>
    <w:rsid w:val="00CF230C"/>
    <w:rsid w:val="00CF2F50"/>
    <w:rsid w:val="00CF6198"/>
    <w:rsid w:val="00D02919"/>
    <w:rsid w:val="00D03613"/>
    <w:rsid w:val="00D04C61"/>
    <w:rsid w:val="00D05B8D"/>
    <w:rsid w:val="00D05B9B"/>
    <w:rsid w:val="00D065A2"/>
    <w:rsid w:val="00D079AA"/>
    <w:rsid w:val="00D07F00"/>
    <w:rsid w:val="00D1130F"/>
    <w:rsid w:val="00D1571F"/>
    <w:rsid w:val="00D17B72"/>
    <w:rsid w:val="00D211B5"/>
    <w:rsid w:val="00D24BDF"/>
    <w:rsid w:val="00D3185C"/>
    <w:rsid w:val="00D3200A"/>
    <w:rsid w:val="00D3205F"/>
    <w:rsid w:val="00D32B71"/>
    <w:rsid w:val="00D3318E"/>
    <w:rsid w:val="00D33E72"/>
    <w:rsid w:val="00D35BD6"/>
    <w:rsid w:val="00D361B5"/>
    <w:rsid w:val="00D378DB"/>
    <w:rsid w:val="00D411A2"/>
    <w:rsid w:val="00D4606D"/>
    <w:rsid w:val="00D46AD9"/>
    <w:rsid w:val="00D50B9C"/>
    <w:rsid w:val="00D50C4E"/>
    <w:rsid w:val="00D513AF"/>
    <w:rsid w:val="00D52D73"/>
    <w:rsid w:val="00D52E58"/>
    <w:rsid w:val="00D56B20"/>
    <w:rsid w:val="00D578B3"/>
    <w:rsid w:val="00D618F4"/>
    <w:rsid w:val="00D622FC"/>
    <w:rsid w:val="00D63636"/>
    <w:rsid w:val="00D640AD"/>
    <w:rsid w:val="00D714CC"/>
    <w:rsid w:val="00D75EA7"/>
    <w:rsid w:val="00D77252"/>
    <w:rsid w:val="00D77ECF"/>
    <w:rsid w:val="00D81ADF"/>
    <w:rsid w:val="00D81F21"/>
    <w:rsid w:val="00D83D06"/>
    <w:rsid w:val="00D864F2"/>
    <w:rsid w:val="00D9008D"/>
    <w:rsid w:val="00D943F8"/>
    <w:rsid w:val="00D95470"/>
    <w:rsid w:val="00D96B55"/>
    <w:rsid w:val="00DA2619"/>
    <w:rsid w:val="00DA4239"/>
    <w:rsid w:val="00DA588C"/>
    <w:rsid w:val="00DA65DE"/>
    <w:rsid w:val="00DA72AC"/>
    <w:rsid w:val="00DB0B61"/>
    <w:rsid w:val="00DB1474"/>
    <w:rsid w:val="00DB2962"/>
    <w:rsid w:val="00DB52FB"/>
    <w:rsid w:val="00DC00C1"/>
    <w:rsid w:val="00DC013B"/>
    <w:rsid w:val="00DC090B"/>
    <w:rsid w:val="00DC1679"/>
    <w:rsid w:val="00DC219B"/>
    <w:rsid w:val="00DC2CF1"/>
    <w:rsid w:val="00DC2DC7"/>
    <w:rsid w:val="00DC3A7C"/>
    <w:rsid w:val="00DC4FCF"/>
    <w:rsid w:val="00DC50E0"/>
    <w:rsid w:val="00DC6386"/>
    <w:rsid w:val="00DD1130"/>
    <w:rsid w:val="00DD1951"/>
    <w:rsid w:val="00DD35D4"/>
    <w:rsid w:val="00DD487D"/>
    <w:rsid w:val="00DD4E83"/>
    <w:rsid w:val="00DD6010"/>
    <w:rsid w:val="00DD6628"/>
    <w:rsid w:val="00DD6945"/>
    <w:rsid w:val="00DE2D04"/>
    <w:rsid w:val="00DE3250"/>
    <w:rsid w:val="00DE6028"/>
    <w:rsid w:val="00DE6C85"/>
    <w:rsid w:val="00DE78A3"/>
    <w:rsid w:val="00DF1A71"/>
    <w:rsid w:val="00DF50FC"/>
    <w:rsid w:val="00DF5E47"/>
    <w:rsid w:val="00DF68C7"/>
    <w:rsid w:val="00DF731A"/>
    <w:rsid w:val="00E04BBB"/>
    <w:rsid w:val="00E06B75"/>
    <w:rsid w:val="00E11332"/>
    <w:rsid w:val="00E11352"/>
    <w:rsid w:val="00E133D9"/>
    <w:rsid w:val="00E170DC"/>
    <w:rsid w:val="00E17546"/>
    <w:rsid w:val="00E20EF0"/>
    <w:rsid w:val="00E210B5"/>
    <w:rsid w:val="00E261B3"/>
    <w:rsid w:val="00E26818"/>
    <w:rsid w:val="00E27FFC"/>
    <w:rsid w:val="00E30B15"/>
    <w:rsid w:val="00E31BC7"/>
    <w:rsid w:val="00E33237"/>
    <w:rsid w:val="00E40181"/>
    <w:rsid w:val="00E43484"/>
    <w:rsid w:val="00E54950"/>
    <w:rsid w:val="00E55FB3"/>
    <w:rsid w:val="00E56A01"/>
    <w:rsid w:val="00E629A1"/>
    <w:rsid w:val="00E63715"/>
    <w:rsid w:val="00E66670"/>
    <w:rsid w:val="00E6794C"/>
    <w:rsid w:val="00E71591"/>
    <w:rsid w:val="00E71CEB"/>
    <w:rsid w:val="00E7474F"/>
    <w:rsid w:val="00E80DE3"/>
    <w:rsid w:val="00E82C55"/>
    <w:rsid w:val="00E8350A"/>
    <w:rsid w:val="00E84F52"/>
    <w:rsid w:val="00E8787E"/>
    <w:rsid w:val="00E92AC3"/>
    <w:rsid w:val="00EA2F6A"/>
    <w:rsid w:val="00EA5F68"/>
    <w:rsid w:val="00EB00E0"/>
    <w:rsid w:val="00EB05D5"/>
    <w:rsid w:val="00EB4BC7"/>
    <w:rsid w:val="00EB5B0D"/>
    <w:rsid w:val="00EB660D"/>
    <w:rsid w:val="00EB6852"/>
    <w:rsid w:val="00EC059F"/>
    <w:rsid w:val="00EC1F24"/>
    <w:rsid w:val="00EC22F6"/>
    <w:rsid w:val="00EC3DB9"/>
    <w:rsid w:val="00ED5B9B"/>
    <w:rsid w:val="00ED6BAD"/>
    <w:rsid w:val="00ED7447"/>
    <w:rsid w:val="00ED7762"/>
    <w:rsid w:val="00EE00D6"/>
    <w:rsid w:val="00EE11E7"/>
    <w:rsid w:val="00EE1488"/>
    <w:rsid w:val="00EE29AD"/>
    <w:rsid w:val="00EE3E24"/>
    <w:rsid w:val="00EE4D5D"/>
    <w:rsid w:val="00EE5131"/>
    <w:rsid w:val="00EE65E3"/>
    <w:rsid w:val="00EF109B"/>
    <w:rsid w:val="00EF201C"/>
    <w:rsid w:val="00EF2C72"/>
    <w:rsid w:val="00EF31F5"/>
    <w:rsid w:val="00EF36AF"/>
    <w:rsid w:val="00EF59A3"/>
    <w:rsid w:val="00EF6675"/>
    <w:rsid w:val="00F0063D"/>
    <w:rsid w:val="00F00F9C"/>
    <w:rsid w:val="00F01E5F"/>
    <w:rsid w:val="00F024F3"/>
    <w:rsid w:val="00F02ABA"/>
    <w:rsid w:val="00F0437A"/>
    <w:rsid w:val="00F101B8"/>
    <w:rsid w:val="00F11037"/>
    <w:rsid w:val="00F15144"/>
    <w:rsid w:val="00F16F1B"/>
    <w:rsid w:val="00F250A9"/>
    <w:rsid w:val="00F267AF"/>
    <w:rsid w:val="00F27BD5"/>
    <w:rsid w:val="00F30FF4"/>
    <w:rsid w:val="00F3122E"/>
    <w:rsid w:val="00F32368"/>
    <w:rsid w:val="00F331AD"/>
    <w:rsid w:val="00F3466D"/>
    <w:rsid w:val="00F35287"/>
    <w:rsid w:val="00F36753"/>
    <w:rsid w:val="00F40A70"/>
    <w:rsid w:val="00F43A37"/>
    <w:rsid w:val="00F4641B"/>
    <w:rsid w:val="00F46EB8"/>
    <w:rsid w:val="00F50CD1"/>
    <w:rsid w:val="00F511E4"/>
    <w:rsid w:val="00F52D09"/>
    <w:rsid w:val="00F52E08"/>
    <w:rsid w:val="00F53A66"/>
    <w:rsid w:val="00F5462D"/>
    <w:rsid w:val="00F55B21"/>
    <w:rsid w:val="00F56C9D"/>
    <w:rsid w:val="00F56EF6"/>
    <w:rsid w:val="00F60082"/>
    <w:rsid w:val="00F61A9F"/>
    <w:rsid w:val="00F61B5F"/>
    <w:rsid w:val="00F62A51"/>
    <w:rsid w:val="00F64696"/>
    <w:rsid w:val="00F65AA9"/>
    <w:rsid w:val="00F6768F"/>
    <w:rsid w:val="00F72C2C"/>
    <w:rsid w:val="00F741F2"/>
    <w:rsid w:val="00F76CAB"/>
    <w:rsid w:val="00F772C6"/>
    <w:rsid w:val="00F815B5"/>
    <w:rsid w:val="00F85195"/>
    <w:rsid w:val="00F857D4"/>
    <w:rsid w:val="00F868E3"/>
    <w:rsid w:val="00F938BA"/>
    <w:rsid w:val="00F96249"/>
    <w:rsid w:val="00F97919"/>
    <w:rsid w:val="00FA230B"/>
    <w:rsid w:val="00FA2C46"/>
    <w:rsid w:val="00FA3525"/>
    <w:rsid w:val="00FA4E5F"/>
    <w:rsid w:val="00FA558C"/>
    <w:rsid w:val="00FA5A53"/>
    <w:rsid w:val="00FA7FCE"/>
    <w:rsid w:val="00FA7FD9"/>
    <w:rsid w:val="00FB1F6E"/>
    <w:rsid w:val="00FB4769"/>
    <w:rsid w:val="00FB4CDA"/>
    <w:rsid w:val="00FB6481"/>
    <w:rsid w:val="00FB6D36"/>
    <w:rsid w:val="00FC0965"/>
    <w:rsid w:val="00FC0F81"/>
    <w:rsid w:val="00FC252F"/>
    <w:rsid w:val="00FC395C"/>
    <w:rsid w:val="00FC5E8E"/>
    <w:rsid w:val="00FD3766"/>
    <w:rsid w:val="00FD3D05"/>
    <w:rsid w:val="00FD47C4"/>
    <w:rsid w:val="00FE2DCF"/>
    <w:rsid w:val="00FE331E"/>
    <w:rsid w:val="00FE3FA7"/>
    <w:rsid w:val="00FE4081"/>
    <w:rsid w:val="00FF2A4E"/>
    <w:rsid w:val="00FF2FCE"/>
    <w:rsid w:val="00FF4F7D"/>
    <w:rsid w:val="00FF6D9D"/>
    <w:rsid w:val="00FF7620"/>
    <w:rsid w:val="00FF7DD5"/>
    <w:rsid w:val="4ECCF45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659081"/>
  <w15:docId w15:val="{380A8E44-9027-4027-81E5-1CAE9655C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1"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1728C9"/>
    <w:pPr>
      <w:spacing w:after="120" w:line="280" w:lineRule="atLeast"/>
    </w:pPr>
    <w:rPr>
      <w:rFonts w:ascii="Arial" w:hAnsi="Arial"/>
      <w:sz w:val="21"/>
      <w:lang w:eastAsia="en-US"/>
    </w:rPr>
  </w:style>
  <w:style w:type="paragraph" w:styleId="Heading1">
    <w:name w:val="heading 1"/>
    <w:next w:val="Normal"/>
    <w:link w:val="Heading1Char"/>
    <w:uiPriority w:val="9"/>
    <w:qFormat/>
    <w:rsid w:val="00C16F87"/>
    <w:pPr>
      <w:keepNext/>
      <w:keepLines/>
      <w:spacing w:before="520" w:after="240" w:line="480" w:lineRule="atLeast"/>
      <w:outlineLvl w:val="0"/>
    </w:pPr>
    <w:rPr>
      <w:rFonts w:ascii="Arial" w:eastAsia="MS Gothic" w:hAnsi="Arial" w:cs="Arial"/>
      <w:bCs/>
      <w:color w:val="542682"/>
      <w:kern w:val="32"/>
      <w:sz w:val="44"/>
      <w:szCs w:val="44"/>
      <w:lang w:eastAsia="en-US"/>
    </w:rPr>
  </w:style>
  <w:style w:type="paragraph" w:styleId="Heading2">
    <w:name w:val="heading 2"/>
    <w:next w:val="Normal"/>
    <w:link w:val="Heading2Char"/>
    <w:uiPriority w:val="9"/>
    <w:qFormat/>
    <w:rsid w:val="00C16F87"/>
    <w:pPr>
      <w:keepNext/>
      <w:keepLines/>
      <w:numPr>
        <w:numId w:val="18"/>
      </w:numPr>
      <w:tabs>
        <w:tab w:val="clear" w:pos="284"/>
      </w:tabs>
      <w:spacing w:before="360" w:after="120" w:line="400" w:lineRule="atLeast"/>
      <w:ind w:left="567" w:hanging="567"/>
      <w:outlineLvl w:val="1"/>
    </w:pPr>
    <w:rPr>
      <w:rFonts w:ascii="Arial" w:hAnsi="Arial"/>
      <w:b/>
      <w:color w:val="542682"/>
      <w:sz w:val="36"/>
      <w:szCs w:val="28"/>
      <w:lang w:val="en-US" w:eastAsia="en-US"/>
    </w:rPr>
  </w:style>
  <w:style w:type="paragraph" w:styleId="Heading3">
    <w:name w:val="heading 3"/>
    <w:next w:val="Normal"/>
    <w:link w:val="Heading3Char"/>
    <w:uiPriority w:val="9"/>
    <w:qFormat/>
    <w:rsid w:val="00C16F87"/>
    <w:pPr>
      <w:keepNext/>
      <w:keepLines/>
      <w:spacing w:before="280" w:after="120" w:line="360" w:lineRule="atLeast"/>
      <w:outlineLvl w:val="2"/>
    </w:pPr>
    <w:rPr>
      <w:rFonts w:ascii="Arial" w:eastAsia="MS Gothic" w:hAnsi="Arial"/>
      <w:bCs/>
      <w:color w:val="542682"/>
      <w:sz w:val="32"/>
      <w:szCs w:val="26"/>
      <w:lang w:eastAsia="en-US"/>
    </w:rPr>
  </w:style>
  <w:style w:type="paragraph" w:styleId="Heading4">
    <w:name w:val="heading 4"/>
    <w:next w:val="Normal"/>
    <w:link w:val="Heading4Char"/>
    <w:uiPriority w:val="9"/>
    <w:qFormat/>
    <w:rsid w:val="00C16F87"/>
    <w:pPr>
      <w:keepNext/>
      <w:keepLines/>
      <w:spacing w:before="240" w:after="80" w:line="320" w:lineRule="atLeast"/>
      <w:outlineLvl w:val="3"/>
    </w:pPr>
    <w:rPr>
      <w:rFonts w:ascii="Arial" w:eastAsia="MS Mincho" w:hAnsi="Arial"/>
      <w:b/>
      <w:bCs/>
      <w:color w:val="542682"/>
      <w:sz w:val="28"/>
      <w:szCs w:val="22"/>
      <w:lang w:eastAsia="en-US"/>
    </w:rPr>
  </w:style>
  <w:style w:type="paragraph" w:styleId="Heading5">
    <w:name w:val="heading 5"/>
    <w:next w:val="Normal"/>
    <w:link w:val="Heading5Char"/>
    <w:uiPriority w:val="9"/>
    <w:qFormat/>
    <w:rsid w:val="00040047"/>
    <w:pPr>
      <w:keepNext/>
      <w:keepLines/>
      <w:spacing w:before="240" w:after="80" w:line="280" w:lineRule="atLeast"/>
      <w:outlineLvl w:val="4"/>
    </w:pPr>
    <w:rPr>
      <w:rFonts w:ascii="Arial" w:eastAsia="MS Mincho" w:hAnsi="Arial"/>
      <w:b/>
      <w:bCs/>
      <w:iCs/>
      <w:color w:val="004C97"/>
      <w:sz w:val="24"/>
      <w:szCs w:val="26"/>
      <w:lang w:eastAsia="en-US"/>
    </w:rPr>
  </w:style>
  <w:style w:type="paragraph" w:styleId="Heading6">
    <w:name w:val="heading 6"/>
    <w:basedOn w:val="Normal"/>
    <w:link w:val="Heading6Char"/>
    <w:uiPriority w:val="9"/>
    <w:unhideWhenUsed/>
    <w:qFormat/>
    <w:rsid w:val="00047E33"/>
    <w:pPr>
      <w:widowControl w:val="0"/>
      <w:autoSpaceDE w:val="0"/>
      <w:autoSpaceDN w:val="0"/>
      <w:spacing w:before="118" w:after="0" w:line="240" w:lineRule="auto"/>
      <w:ind w:left="749" w:right="2341"/>
      <w:outlineLvl w:val="5"/>
    </w:pPr>
    <w:rPr>
      <w:rFonts w:ascii="VIC-SemiBold" w:eastAsia="VIC-SemiBold" w:hAnsi="VIC-SemiBold" w:cs="VIC-SemiBold"/>
      <w:b/>
      <w:bCs/>
      <w:sz w:val="27"/>
      <w:szCs w:val="27"/>
      <w:lang w:val="en-US"/>
    </w:rPr>
  </w:style>
  <w:style w:type="paragraph" w:styleId="Heading7">
    <w:name w:val="heading 7"/>
    <w:basedOn w:val="Normal"/>
    <w:link w:val="Heading7Char"/>
    <w:uiPriority w:val="1"/>
    <w:qFormat/>
    <w:rsid w:val="00047E33"/>
    <w:pPr>
      <w:widowControl w:val="0"/>
      <w:autoSpaceDE w:val="0"/>
      <w:autoSpaceDN w:val="0"/>
      <w:spacing w:before="105" w:after="0" w:line="240" w:lineRule="auto"/>
      <w:ind w:left="1659" w:hanging="181"/>
      <w:outlineLvl w:val="6"/>
    </w:pPr>
    <w:rPr>
      <w:rFonts w:ascii="VIC-SemiBold" w:eastAsia="VIC-SemiBold" w:hAnsi="VIC-SemiBold" w:cs="VIC-SemiBold"/>
      <w:b/>
      <w:bCs/>
      <w:sz w:val="26"/>
      <w:szCs w:val="26"/>
      <w:lang w:val="en-US"/>
    </w:rPr>
  </w:style>
  <w:style w:type="paragraph" w:styleId="Heading8">
    <w:name w:val="heading 8"/>
    <w:basedOn w:val="Normal"/>
    <w:next w:val="Normal"/>
    <w:link w:val="Heading8Char"/>
    <w:uiPriority w:val="1"/>
    <w:unhideWhenUsed/>
    <w:qFormat/>
    <w:rsid w:val="00047E33"/>
    <w:pPr>
      <w:keepNext/>
      <w:keepLines/>
      <w:spacing w:before="40" w:after="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16F87"/>
    <w:rPr>
      <w:rFonts w:ascii="Arial" w:eastAsia="MS Gothic" w:hAnsi="Arial" w:cs="Arial"/>
      <w:bCs/>
      <w:color w:val="542682"/>
      <w:kern w:val="32"/>
      <w:sz w:val="44"/>
      <w:szCs w:val="44"/>
      <w:lang w:eastAsia="en-US"/>
    </w:rPr>
  </w:style>
  <w:style w:type="character" w:customStyle="1" w:styleId="Heading2Char">
    <w:name w:val="Heading 2 Char"/>
    <w:link w:val="Heading2"/>
    <w:uiPriority w:val="9"/>
    <w:rsid w:val="00C16F87"/>
    <w:rPr>
      <w:rFonts w:ascii="Arial" w:hAnsi="Arial"/>
      <w:b/>
      <w:color w:val="542682"/>
      <w:sz w:val="36"/>
      <w:szCs w:val="28"/>
      <w:lang w:val="en-US" w:eastAsia="en-US"/>
    </w:rPr>
  </w:style>
  <w:style w:type="character" w:customStyle="1" w:styleId="Heading3Char">
    <w:name w:val="Heading 3 Char"/>
    <w:link w:val="Heading3"/>
    <w:uiPriority w:val="9"/>
    <w:rsid w:val="00C16F87"/>
    <w:rPr>
      <w:rFonts w:ascii="Arial" w:eastAsia="MS Gothic" w:hAnsi="Arial"/>
      <w:bCs/>
      <w:color w:val="542682"/>
      <w:sz w:val="32"/>
      <w:szCs w:val="26"/>
      <w:lang w:eastAsia="en-US"/>
    </w:rPr>
  </w:style>
  <w:style w:type="character" w:customStyle="1" w:styleId="Heading4Char">
    <w:name w:val="Heading 4 Char"/>
    <w:link w:val="Heading4"/>
    <w:uiPriority w:val="9"/>
    <w:rsid w:val="00C16F87"/>
    <w:rPr>
      <w:rFonts w:ascii="Arial" w:eastAsia="MS Mincho" w:hAnsi="Arial"/>
      <w:b/>
      <w:bCs/>
      <w:color w:val="542682"/>
      <w:sz w:val="28"/>
      <w:szCs w:val="22"/>
      <w:lang w:eastAsia="en-US"/>
    </w:rPr>
  </w:style>
  <w:style w:type="paragraph" w:styleId="Header">
    <w:name w:val="header"/>
    <w:link w:val="HeaderChar"/>
    <w:uiPriority w:val="99"/>
    <w:rsid w:val="0092090D"/>
    <w:rPr>
      <w:rFonts w:ascii="Arial" w:hAnsi="Arial" w:cs="Arial"/>
      <w:b/>
      <w:color w:val="004C97"/>
      <w:sz w:val="24"/>
      <w:szCs w:val="24"/>
      <w:lang w:eastAsia="en-US"/>
    </w:rPr>
  </w:style>
  <w:style w:type="paragraph" w:styleId="Footer">
    <w:name w:val="footer"/>
    <w:link w:val="FooterChar"/>
    <w:uiPriority w:val="99"/>
    <w:rsid w:val="00A27B26"/>
    <w:rPr>
      <w:rFonts w:ascii="Arial" w:hAnsi="Arial" w:cs="Arial"/>
      <w:sz w:val="16"/>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qFormat/>
    <w:rsid w:val="007D72D5"/>
    <w:pPr>
      <w:keepNext/>
      <w:keepLines/>
      <w:tabs>
        <w:tab w:val="right" w:leader="dot" w:pos="9299"/>
      </w:tabs>
      <w:spacing w:before="160" w:after="240" w:line="240" w:lineRule="auto"/>
    </w:pPr>
    <w:rPr>
      <w:b/>
      <w:noProof/>
      <w:sz w:val="20"/>
    </w:rPr>
  </w:style>
  <w:style w:type="character" w:customStyle="1" w:styleId="Heading5Char">
    <w:name w:val="Heading 5 Char"/>
    <w:link w:val="Heading5"/>
    <w:uiPriority w:val="9"/>
    <w:rsid w:val="00040047"/>
    <w:rPr>
      <w:rFonts w:ascii="Arial" w:eastAsia="MS Mincho" w:hAnsi="Arial"/>
      <w:b/>
      <w:bCs/>
      <w:iCs/>
      <w:color w:val="004C97"/>
      <w:sz w:val="24"/>
      <w:szCs w:val="26"/>
      <w:lang w:eastAsia="en-US"/>
    </w:rPr>
  </w:style>
  <w:style w:type="character" w:styleId="Strong">
    <w:name w:val="Strong"/>
    <w:basedOn w:val="DefaultParagraphFont"/>
    <w:uiPriority w:val="22"/>
    <w:qFormat/>
    <w:rsid w:val="006238DD"/>
    <w:rPr>
      <w:b/>
      <w:bCs/>
    </w:rPr>
  </w:style>
  <w:style w:type="paragraph" w:customStyle="1" w:styleId="TOCheadingreport">
    <w:name w:val="TOC heading report"/>
    <w:basedOn w:val="Heading1"/>
    <w:next w:val="Normal"/>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qFormat/>
    <w:rsid w:val="00890183"/>
    <w:pPr>
      <w:keepLines/>
      <w:tabs>
        <w:tab w:val="left" w:pos="567"/>
        <w:tab w:val="left" w:pos="8789"/>
      </w:tabs>
      <w:spacing w:after="80" w:line="240" w:lineRule="auto"/>
      <w:ind w:left="454" w:hanging="454"/>
    </w:pPr>
    <w:rPr>
      <w:b/>
      <w:noProof/>
      <w:sz w:val="20"/>
    </w:rPr>
  </w:style>
  <w:style w:type="paragraph" w:styleId="TOC3">
    <w:name w:val="toc 3"/>
    <w:basedOn w:val="Normal"/>
    <w:next w:val="Normal"/>
    <w:uiPriority w:val="39"/>
    <w:qFormat/>
    <w:rsid w:val="00890183"/>
    <w:pPr>
      <w:keepLines/>
      <w:tabs>
        <w:tab w:val="left" w:pos="8789"/>
      </w:tabs>
      <w:spacing w:after="80" w:line="240" w:lineRule="auto"/>
      <w:ind w:left="454"/>
    </w:pPr>
    <w:rPr>
      <w:rFonts w:cs="Arial"/>
      <w:noProof/>
      <w:sz w:val="20"/>
    </w:rPr>
  </w:style>
  <w:style w:type="paragraph" w:styleId="TOC4">
    <w:name w:val="toc 4"/>
    <w:basedOn w:val="TOC3"/>
    <w:uiPriority w:val="1"/>
    <w:qFormat/>
    <w:rsid w:val="000033F7"/>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Tabletext">
    <w:name w:val="Table text"/>
    <w:uiPriority w:val="3"/>
    <w:qFormat/>
    <w:rsid w:val="001728C9"/>
    <w:pPr>
      <w:spacing w:before="100" w:after="80"/>
    </w:pPr>
    <w:rPr>
      <w:rFonts w:ascii="Arial" w:hAnsi="Arial"/>
      <w:sz w:val="24"/>
      <w:lang w:eastAsia="en-US"/>
    </w:rPr>
  </w:style>
  <w:style w:type="paragraph" w:customStyle="1" w:styleId="Tablecaption">
    <w:name w:val="Table caption"/>
    <w:next w:val="Normal"/>
    <w:uiPriority w:val="3"/>
    <w:qFormat/>
    <w:rsid w:val="007A4F81"/>
    <w:pPr>
      <w:keepNext/>
      <w:keepLines/>
      <w:spacing w:before="300" w:after="120" w:line="280" w:lineRule="atLeast"/>
    </w:pPr>
    <w:rPr>
      <w:rFonts w:ascii="Arial" w:hAnsi="Arial"/>
      <w:b/>
      <w:sz w:val="28"/>
      <w:lang w:eastAsia="en-US"/>
    </w:rPr>
  </w:style>
  <w:style w:type="paragraph" w:customStyle="1" w:styleId="Documenttitle">
    <w:name w:val="Document title"/>
    <w:uiPriority w:val="8"/>
    <w:rsid w:val="00040047"/>
    <w:pPr>
      <w:spacing w:after="240" w:line="560" w:lineRule="atLeast"/>
    </w:pPr>
    <w:rPr>
      <w:rFonts w:ascii="Arial" w:hAnsi="Arial"/>
      <w:b/>
      <w:color w:val="004C97"/>
      <w:sz w:val="48"/>
      <w:szCs w:val="50"/>
      <w:lang w:eastAsia="en-US"/>
    </w:rPr>
  </w:style>
  <w:style w:type="character" w:styleId="FootnoteReference">
    <w:name w:val="footnote reference"/>
    <w:uiPriority w:val="8"/>
    <w:rsid w:val="00BC7ED7"/>
    <w:rPr>
      <w:vertAlign w:val="superscript"/>
    </w:rPr>
  </w:style>
  <w:style w:type="paragraph" w:customStyle="1" w:styleId="Figurecaption">
    <w:name w:val="Figure caption"/>
    <w:next w:val="Normal"/>
    <w:rsid w:val="007A4F81"/>
    <w:pPr>
      <w:keepNext/>
      <w:keepLines/>
      <w:spacing w:before="300" w:after="120" w:line="280" w:lineRule="atLeast"/>
    </w:pPr>
    <w:rPr>
      <w:rFonts w:ascii="Arial" w:hAnsi="Arial"/>
      <w:b/>
      <w:sz w:val="24"/>
      <w:lang w:eastAsia="en-US"/>
    </w:rPr>
  </w:style>
  <w:style w:type="paragraph" w:customStyle="1" w:styleId="Tablebullet2">
    <w:name w:val="Table bullet 2"/>
    <w:basedOn w:val="Tabletext"/>
    <w:uiPriority w:val="11"/>
    <w:rsid w:val="00C60411"/>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4"/>
      </w:numPr>
    </w:pPr>
  </w:style>
  <w:style w:type="numbering" w:customStyle="1" w:styleId="ZZTablebullets">
    <w:name w:val="ZZ Table bullets"/>
    <w:basedOn w:val="NoList"/>
    <w:rsid w:val="00C60411"/>
    <w:pPr>
      <w:numPr>
        <w:numId w:val="4"/>
      </w:numPr>
    </w:pPr>
  </w:style>
  <w:style w:type="paragraph" w:customStyle="1" w:styleId="Tablecolhead">
    <w:name w:val="Table col head"/>
    <w:uiPriority w:val="3"/>
    <w:qFormat/>
    <w:rsid w:val="00E84F52"/>
    <w:pPr>
      <w:spacing w:before="80" w:after="60"/>
    </w:pPr>
    <w:rPr>
      <w:rFonts w:ascii="Arial" w:hAnsi="Arial"/>
      <w:b/>
      <w:color w:val="542682"/>
      <w:sz w:val="21"/>
      <w:lang w:eastAsia="en-US"/>
    </w:rPr>
  </w:style>
  <w:style w:type="character" w:styleId="Hyperlink">
    <w:name w:val="Hyperlink"/>
    <w:uiPriority w:val="99"/>
    <w:rsid w:val="009E7A69"/>
    <w:rPr>
      <w:color w:val="004C97"/>
      <w:u w:val="dotted"/>
    </w:rPr>
  </w:style>
  <w:style w:type="paragraph" w:customStyle="1" w:styleId="Documentsubtitle">
    <w:name w:val="Document subtitle"/>
    <w:uiPriority w:val="8"/>
    <w:rsid w:val="00EF31F5"/>
    <w:pPr>
      <w:spacing w:after="120"/>
    </w:pPr>
    <w:rPr>
      <w:rFonts w:ascii="Arial" w:hAnsi="Arial"/>
      <w:color w:val="004C97"/>
      <w:sz w:val="32"/>
      <w:szCs w:val="32"/>
      <w:lang w:eastAsia="en-US"/>
    </w:rPr>
  </w:style>
  <w:style w:type="paragraph" w:styleId="FootnoteText">
    <w:name w:val="footnote text"/>
    <w:basedOn w:val="Normal"/>
    <w:link w:val="FootnoteTextChar"/>
    <w:uiPriority w:val="8"/>
    <w:rsid w:val="00985AE4"/>
    <w:pPr>
      <w:spacing w:after="60" w:line="240" w:lineRule="auto"/>
      <w:ind w:left="425" w:hanging="425"/>
    </w:pPr>
    <w:rPr>
      <w:rFonts w:eastAsia="MS Gothic" w:cs="Arial"/>
      <w:sz w:val="20"/>
      <w:szCs w:val="16"/>
    </w:rPr>
  </w:style>
  <w:style w:type="character" w:customStyle="1" w:styleId="FootnoteTextChar">
    <w:name w:val="Footnote Text Char"/>
    <w:link w:val="FootnoteText"/>
    <w:uiPriority w:val="8"/>
    <w:rsid w:val="00985AE4"/>
    <w:rPr>
      <w:rFonts w:ascii="Arial" w:eastAsia="MS Gothic" w:hAnsi="Arial" w:cs="Arial"/>
      <w:szCs w:val="16"/>
      <w:lang w:eastAsia="en-US"/>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3"/>
      </w:numPr>
    </w:pPr>
  </w:style>
  <w:style w:type="numbering" w:customStyle="1" w:styleId="ZZNumbersdigit">
    <w:name w:val="ZZ Numbers digit"/>
    <w:rsid w:val="001728C9"/>
    <w:pPr>
      <w:numPr>
        <w:numId w:val="1"/>
      </w:numPr>
    </w:pPr>
  </w:style>
  <w:style w:type="numbering" w:customStyle="1" w:styleId="ZZQuotebullets">
    <w:name w:val="ZZ Quote bullets"/>
    <w:basedOn w:val="ZZNumbersdigit"/>
    <w:rsid w:val="00C60411"/>
    <w:pPr>
      <w:numPr>
        <w:numId w:val="5"/>
      </w:numPr>
    </w:pPr>
  </w:style>
  <w:style w:type="paragraph" w:customStyle="1" w:styleId="Numberdigit">
    <w:name w:val="Number digit"/>
    <w:basedOn w:val="Normal"/>
    <w:uiPriority w:val="2"/>
    <w:rsid w:val="006238DD"/>
    <w:pPr>
      <w:numPr>
        <w:numId w:val="2"/>
      </w:numPr>
      <w:tabs>
        <w:tab w:val="num" w:pos="397"/>
      </w:tabs>
      <w:spacing w:after="160" w:line="320" w:lineRule="atLeast"/>
    </w:pPr>
    <w:rPr>
      <w:rFonts w:eastAsia="Times"/>
      <w:sz w:val="24"/>
    </w:rPr>
  </w:style>
  <w:style w:type="paragraph" w:customStyle="1" w:styleId="Numberloweralphaindent">
    <w:name w:val="Number lower alpha indent"/>
    <w:basedOn w:val="Normal"/>
    <w:uiPriority w:val="3"/>
    <w:rsid w:val="006238DD"/>
    <w:pPr>
      <w:numPr>
        <w:ilvl w:val="1"/>
        <w:numId w:val="8"/>
      </w:numPr>
      <w:spacing w:after="160" w:line="320" w:lineRule="atLeast"/>
    </w:pPr>
    <w:rPr>
      <w:rFonts w:eastAsia="Times"/>
      <w:sz w:val="24"/>
    </w:rPr>
  </w:style>
  <w:style w:type="paragraph" w:customStyle="1" w:styleId="Numberdigitindent">
    <w:name w:val="Number digit indent"/>
    <w:basedOn w:val="Normal"/>
    <w:uiPriority w:val="3"/>
    <w:rsid w:val="006238DD"/>
    <w:pPr>
      <w:numPr>
        <w:ilvl w:val="1"/>
        <w:numId w:val="2"/>
      </w:numPr>
      <w:spacing w:after="160" w:line="320" w:lineRule="atLeast"/>
    </w:pPr>
    <w:rPr>
      <w:rFonts w:eastAsia="Times"/>
      <w:sz w:val="24"/>
    </w:rPr>
  </w:style>
  <w:style w:type="paragraph" w:customStyle="1" w:styleId="Numberloweralpha">
    <w:name w:val="Number lower alpha"/>
    <w:basedOn w:val="Normal"/>
    <w:uiPriority w:val="3"/>
    <w:rsid w:val="006238DD"/>
    <w:pPr>
      <w:numPr>
        <w:numId w:val="8"/>
      </w:numPr>
      <w:spacing w:after="160" w:line="320" w:lineRule="atLeast"/>
    </w:pPr>
    <w:rPr>
      <w:rFonts w:eastAsia="Times"/>
      <w:sz w:val="24"/>
    </w:rPr>
  </w:style>
  <w:style w:type="paragraph" w:customStyle="1" w:styleId="Numberlowerroman">
    <w:name w:val="Number lower roman"/>
    <w:basedOn w:val="Normal"/>
    <w:uiPriority w:val="3"/>
    <w:rsid w:val="006238DD"/>
    <w:pPr>
      <w:numPr>
        <w:numId w:val="6"/>
      </w:numPr>
      <w:spacing w:after="160" w:line="320" w:lineRule="atLeast"/>
    </w:pPr>
    <w:rPr>
      <w:rFonts w:eastAsia="Times"/>
      <w:sz w:val="24"/>
    </w:rPr>
  </w:style>
  <w:style w:type="paragraph" w:customStyle="1" w:styleId="Numberlowerromanindent">
    <w:name w:val="Number lower roman indent"/>
    <w:basedOn w:val="Normal"/>
    <w:uiPriority w:val="3"/>
    <w:rsid w:val="006238DD"/>
    <w:pPr>
      <w:numPr>
        <w:ilvl w:val="1"/>
        <w:numId w:val="6"/>
      </w:numPr>
      <w:spacing w:after="160" w:line="320" w:lineRule="atLeast"/>
    </w:pPr>
    <w:rPr>
      <w:rFonts w:eastAsia="Times"/>
      <w:sz w:val="24"/>
    </w:rPr>
  </w:style>
  <w:style w:type="paragraph" w:customStyle="1" w:styleId="Quotetext">
    <w:name w:val="Quote text"/>
    <w:basedOn w:val="Normal"/>
    <w:uiPriority w:val="4"/>
    <w:rsid w:val="006238DD"/>
    <w:pPr>
      <w:spacing w:after="160" w:line="320" w:lineRule="atLeast"/>
      <w:ind w:left="397"/>
    </w:pPr>
    <w:rPr>
      <w:rFonts w:eastAsia="Times"/>
      <w:sz w:val="24"/>
      <w:szCs w:val="18"/>
    </w:rPr>
  </w:style>
  <w:style w:type="paragraph" w:customStyle="1" w:styleId="Tablefigurenote">
    <w:name w:val="Table/figure note"/>
    <w:uiPriority w:val="4"/>
    <w:rsid w:val="0092090D"/>
    <w:pPr>
      <w:spacing w:before="80" w:after="80"/>
    </w:pPr>
    <w:rPr>
      <w:rFonts w:ascii="Arial" w:hAnsi="Arial"/>
      <w:sz w:val="24"/>
      <w:szCs w:val="22"/>
      <w:lang w:eastAsia="en-US"/>
    </w:rPr>
  </w:style>
  <w:style w:type="numbering" w:customStyle="1" w:styleId="ZZNumberslowerroman">
    <w:name w:val="ZZ Numbers lower roman"/>
    <w:basedOn w:val="ZZQuotebullets"/>
    <w:rsid w:val="001728C9"/>
    <w:pPr>
      <w:numPr>
        <w:numId w:val="6"/>
      </w:numPr>
    </w:pPr>
  </w:style>
  <w:style w:type="numbering" w:customStyle="1" w:styleId="ZZNumbersloweralpha">
    <w:name w:val="ZZ Numbers lower alpha"/>
    <w:basedOn w:val="NoList"/>
    <w:rsid w:val="001728C9"/>
    <w:pPr>
      <w:numPr>
        <w:numId w:val="7"/>
      </w:numPr>
    </w:pPr>
  </w:style>
  <w:style w:type="paragraph" w:customStyle="1" w:styleId="Quotebullet1">
    <w:name w:val="Quote bullet 1"/>
    <w:basedOn w:val="Quotetext"/>
    <w:rsid w:val="00C60411"/>
    <w:pPr>
      <w:numPr>
        <w:numId w:val="5"/>
      </w:numPr>
    </w:pPr>
  </w:style>
  <w:style w:type="paragraph" w:customStyle="1" w:styleId="Quotebullet2">
    <w:name w:val="Quote bullet 2"/>
    <w:basedOn w:val="Quotetext"/>
    <w:rsid w:val="00C60411"/>
    <w:pPr>
      <w:numPr>
        <w:ilvl w:val="1"/>
        <w:numId w:val="5"/>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paragraph" w:customStyle="1" w:styleId="Imprint">
    <w:name w:val="Imprint"/>
    <w:basedOn w:val="Normal"/>
    <w:uiPriority w:val="11"/>
    <w:rsid w:val="006238DD"/>
    <w:pPr>
      <w:spacing w:after="80" w:line="320" w:lineRule="atLeast"/>
    </w:pPr>
    <w:rPr>
      <w:rFonts w:eastAsia="Times"/>
      <w:sz w:val="24"/>
    </w:rPr>
  </w:style>
  <w:style w:type="paragraph" w:customStyle="1" w:styleId="Introtext">
    <w:name w:val="Intro text"/>
    <w:basedOn w:val="Normal"/>
    <w:uiPriority w:val="11"/>
    <w:rsid w:val="006238DD"/>
    <w:pPr>
      <w:spacing w:after="160" w:line="360" w:lineRule="atLeast"/>
    </w:pPr>
    <w:rPr>
      <w:rFonts w:eastAsia="Times"/>
      <w:color w:val="004C97"/>
      <w:sz w:val="24"/>
    </w:rPr>
  </w:style>
  <w:style w:type="character" w:customStyle="1" w:styleId="HeaderChar">
    <w:name w:val="Header Char"/>
    <w:basedOn w:val="DefaultParagraphFont"/>
    <w:link w:val="Header"/>
    <w:uiPriority w:val="99"/>
    <w:rsid w:val="0092090D"/>
    <w:rPr>
      <w:rFonts w:ascii="Arial" w:hAnsi="Arial" w:cs="Arial"/>
      <w:b/>
      <w:color w:val="004C97"/>
      <w:sz w:val="24"/>
      <w:szCs w:val="24"/>
      <w:lang w:eastAsia="en-US"/>
    </w:rPr>
  </w:style>
  <w:style w:type="paragraph" w:customStyle="1" w:styleId="Heading4-numbered4">
    <w:name w:val="Heading 4 - numbered 4"/>
    <w:basedOn w:val="Heading4"/>
    <w:uiPriority w:val="11"/>
    <w:rsid w:val="00047E33"/>
    <w:pPr>
      <w:numPr>
        <w:ilvl w:val="1"/>
        <w:numId w:val="12"/>
      </w:numPr>
      <w:spacing w:line="280" w:lineRule="atLeast"/>
      <w:ind w:left="720"/>
      <w:jc w:val="left"/>
    </w:pPr>
    <w:rPr>
      <w:bCs w:val="0"/>
    </w:rPr>
  </w:style>
  <w:style w:type="character" w:customStyle="1" w:styleId="Heading6Char">
    <w:name w:val="Heading 6 Char"/>
    <w:basedOn w:val="DefaultParagraphFont"/>
    <w:link w:val="Heading6"/>
    <w:uiPriority w:val="9"/>
    <w:rsid w:val="00047E33"/>
    <w:rPr>
      <w:rFonts w:ascii="VIC-SemiBold" w:eastAsia="VIC-SemiBold" w:hAnsi="VIC-SemiBold" w:cs="VIC-SemiBold"/>
      <w:b/>
      <w:bCs/>
      <w:sz w:val="27"/>
      <w:szCs w:val="27"/>
      <w:lang w:val="en-US" w:eastAsia="en-US"/>
    </w:rPr>
  </w:style>
  <w:style w:type="character" w:customStyle="1" w:styleId="Heading7Char">
    <w:name w:val="Heading 7 Char"/>
    <w:basedOn w:val="DefaultParagraphFont"/>
    <w:link w:val="Heading7"/>
    <w:uiPriority w:val="1"/>
    <w:rsid w:val="00047E33"/>
    <w:rPr>
      <w:rFonts w:ascii="VIC-SemiBold" w:eastAsia="VIC-SemiBold" w:hAnsi="VIC-SemiBold" w:cs="VIC-SemiBold"/>
      <w:b/>
      <w:bCs/>
      <w:sz w:val="26"/>
      <w:szCs w:val="26"/>
      <w:lang w:val="en-US" w:eastAsia="en-US"/>
    </w:rPr>
  </w:style>
  <w:style w:type="character" w:customStyle="1" w:styleId="Heading8Char">
    <w:name w:val="Heading 8 Char"/>
    <w:basedOn w:val="DefaultParagraphFont"/>
    <w:link w:val="Heading8"/>
    <w:uiPriority w:val="1"/>
    <w:rsid w:val="00047E33"/>
    <w:rPr>
      <w:rFonts w:asciiTheme="majorHAnsi" w:eastAsiaTheme="majorEastAsia" w:hAnsiTheme="majorHAnsi" w:cstheme="majorBidi"/>
      <w:color w:val="272727" w:themeColor="text1" w:themeTint="D8"/>
      <w:sz w:val="21"/>
      <w:szCs w:val="21"/>
      <w:lang w:eastAsia="en-US"/>
    </w:rPr>
  </w:style>
  <w:style w:type="paragraph" w:styleId="ListParagraph">
    <w:name w:val="List Paragraph"/>
    <w:basedOn w:val="Normal"/>
    <w:uiPriority w:val="1"/>
    <w:qFormat/>
    <w:rsid w:val="00047E33"/>
    <w:pPr>
      <w:widowControl w:val="0"/>
      <w:numPr>
        <w:ilvl w:val="2"/>
        <w:numId w:val="15"/>
      </w:numPr>
      <w:autoSpaceDE w:val="0"/>
      <w:autoSpaceDN w:val="0"/>
      <w:spacing w:before="120" w:line="320" w:lineRule="atLeast"/>
      <w:ind w:left="1527" w:right="29" w:hanging="677"/>
    </w:pPr>
    <w:rPr>
      <w:rFonts w:eastAsia="VIC" w:cs="Arial"/>
      <w:color w:val="231F20"/>
      <w:sz w:val="24"/>
      <w:szCs w:val="22"/>
      <w:lang w:val="en-US"/>
    </w:rPr>
  </w:style>
  <w:style w:type="character" w:customStyle="1" w:styleId="FooterChar">
    <w:name w:val="Footer Char"/>
    <w:basedOn w:val="DefaultParagraphFont"/>
    <w:link w:val="Footer"/>
    <w:uiPriority w:val="99"/>
    <w:rsid w:val="00A27B26"/>
    <w:rPr>
      <w:rFonts w:ascii="Arial" w:hAnsi="Arial" w:cs="Arial"/>
      <w:sz w:val="16"/>
      <w:szCs w:val="18"/>
      <w:lang w:eastAsia="en-US"/>
    </w:rPr>
  </w:style>
  <w:style w:type="paragraph" w:customStyle="1" w:styleId="Heading4-numbered1">
    <w:name w:val="Heading 4 - numbered 1"/>
    <w:basedOn w:val="Heading4"/>
    <w:uiPriority w:val="11"/>
    <w:rsid w:val="00047E33"/>
    <w:pPr>
      <w:numPr>
        <w:ilvl w:val="1"/>
        <w:numId w:val="15"/>
      </w:numPr>
      <w:spacing w:line="280" w:lineRule="atLeast"/>
      <w:ind w:left="720"/>
      <w:jc w:val="left"/>
    </w:pPr>
    <w:rPr>
      <w:szCs w:val="40"/>
    </w:rPr>
  </w:style>
  <w:style w:type="paragraph" w:customStyle="1" w:styleId="Heading4-numbered2">
    <w:name w:val="Heading 4 - numbered 2"/>
    <w:basedOn w:val="Heading4"/>
    <w:uiPriority w:val="11"/>
    <w:rsid w:val="00047E33"/>
    <w:pPr>
      <w:numPr>
        <w:ilvl w:val="1"/>
        <w:numId w:val="14"/>
      </w:numPr>
      <w:spacing w:line="280" w:lineRule="atLeast"/>
      <w:ind w:left="720"/>
      <w:jc w:val="left"/>
    </w:pPr>
    <w:rPr>
      <w:bCs w:val="0"/>
    </w:rPr>
  </w:style>
  <w:style w:type="paragraph" w:customStyle="1" w:styleId="Heading4-numbered3">
    <w:name w:val="Heading 4 - numbered 3"/>
    <w:basedOn w:val="Heading4"/>
    <w:uiPriority w:val="11"/>
    <w:rsid w:val="00047E33"/>
    <w:pPr>
      <w:numPr>
        <w:ilvl w:val="1"/>
        <w:numId w:val="13"/>
      </w:numPr>
      <w:spacing w:line="280" w:lineRule="atLeast"/>
      <w:ind w:left="720"/>
      <w:jc w:val="left"/>
    </w:pPr>
    <w:rPr>
      <w:bCs w:val="0"/>
    </w:rPr>
  </w:style>
  <w:style w:type="paragraph" w:customStyle="1" w:styleId="msonormal0">
    <w:name w:val="msonormal"/>
    <w:basedOn w:val="Normal"/>
    <w:rsid w:val="00310FF0"/>
    <w:pPr>
      <w:spacing w:before="100" w:beforeAutospacing="1" w:after="100" w:afterAutospacing="1" w:line="240" w:lineRule="auto"/>
    </w:pPr>
    <w:rPr>
      <w:rFonts w:ascii="Times New Roman" w:eastAsiaTheme="minorEastAsia" w:hAnsi="Times New Roman"/>
      <w:sz w:val="24"/>
      <w:szCs w:val="24"/>
      <w:lang w:eastAsia="en-GB"/>
    </w:rPr>
  </w:style>
  <w:style w:type="character" w:customStyle="1" w:styleId="annotation-reference">
    <w:name w:val="annotation-reference"/>
    <w:basedOn w:val="DefaultParagraphFont"/>
    <w:rsid w:val="00310FF0"/>
  </w:style>
  <w:style w:type="paragraph" w:customStyle="1" w:styleId="large-text">
    <w:name w:val="large-text"/>
    <w:basedOn w:val="Normal"/>
    <w:rsid w:val="00310FF0"/>
    <w:pPr>
      <w:spacing w:before="100" w:beforeAutospacing="1" w:after="100" w:afterAutospacing="1" w:line="240" w:lineRule="auto"/>
    </w:pPr>
    <w:rPr>
      <w:rFonts w:ascii="Times New Roman" w:eastAsiaTheme="minorEastAsia" w:hAnsi="Times New Roman"/>
      <w:sz w:val="24"/>
      <w:szCs w:val="24"/>
      <w:lang w:eastAsia="en-GB"/>
    </w:rPr>
  </w:style>
  <w:style w:type="character" w:customStyle="1" w:styleId="superscript">
    <w:name w:val="superscript"/>
    <w:basedOn w:val="DefaultParagraphFont"/>
    <w:rsid w:val="00310FF0"/>
  </w:style>
  <w:style w:type="paragraph" w:styleId="ListBullet">
    <w:name w:val="List Bullet"/>
    <w:basedOn w:val="Normal"/>
    <w:uiPriority w:val="99"/>
    <w:unhideWhenUsed/>
    <w:rsid w:val="00C16F87"/>
    <w:pPr>
      <w:numPr>
        <w:numId w:val="9"/>
      </w:numPr>
      <w:spacing w:before="60" w:after="60" w:line="240" w:lineRule="auto"/>
      <w:ind w:left="284" w:hanging="284"/>
    </w:pPr>
  </w:style>
  <w:style w:type="paragraph" w:styleId="Quote">
    <w:name w:val="Quote"/>
    <w:basedOn w:val="Normal"/>
    <w:next w:val="Normal"/>
    <w:link w:val="QuoteChar"/>
    <w:uiPriority w:val="73"/>
    <w:semiHidden/>
    <w:qFormat/>
    <w:rsid w:val="00736EF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73"/>
    <w:semiHidden/>
    <w:rsid w:val="00736EFA"/>
    <w:rPr>
      <w:rFonts w:ascii="Arial" w:hAnsi="Arial"/>
      <w:i/>
      <w:iCs/>
      <w:color w:val="404040" w:themeColor="text1" w:themeTint="BF"/>
      <w:sz w:val="21"/>
      <w:lang w:eastAsia="en-US"/>
    </w:rPr>
  </w:style>
  <w:style w:type="paragraph" w:styleId="ListNumber">
    <w:name w:val="List Number"/>
    <w:basedOn w:val="Normal"/>
    <w:uiPriority w:val="99"/>
    <w:unhideWhenUsed/>
    <w:rsid w:val="007C7E43"/>
    <w:pPr>
      <w:numPr>
        <w:numId w:val="11"/>
      </w:numPr>
      <w:contextualSpacing/>
    </w:pPr>
  </w:style>
  <w:style w:type="paragraph" w:styleId="ListBullet2">
    <w:name w:val="List Bullet 2"/>
    <w:basedOn w:val="Normal"/>
    <w:uiPriority w:val="99"/>
    <w:unhideWhenUsed/>
    <w:rsid w:val="00C16F87"/>
    <w:pPr>
      <w:numPr>
        <w:numId w:val="10"/>
      </w:numPr>
      <w:spacing w:line="240" w:lineRule="auto"/>
      <w:ind w:left="568" w:hanging="284"/>
    </w:pPr>
  </w:style>
  <w:style w:type="table" w:styleId="GridTable1Light">
    <w:name w:val="Grid Table 1 Light"/>
    <w:basedOn w:val="TableNormal"/>
    <w:uiPriority w:val="46"/>
    <w:rsid w:val="00C60FA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357000339">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genderequalitycommission.vic.gov.au/gender-equality-action-plans" TargetMode="External"/><Relationship Id="rId26" Type="http://schemas.openxmlformats.org/officeDocument/2006/relationships/hyperlink" Target="file:///C:\Users\vicpkcf\AppData\Local\Microsoft\Windows\INetCache\Content.Outlook\I3FH7KK1\DPC_Gender_Equality_Action_Plan_2021&#8211;2025_V4.html" TargetMode="External"/><Relationship Id="rId39" Type="http://schemas.openxmlformats.org/officeDocument/2006/relationships/fontTable" Target="fontTable.xml"/><Relationship Id="rId21" Type="http://schemas.openxmlformats.org/officeDocument/2006/relationships/hyperlink" Target="https://www.genderequalitycommission.vic.gov.au/gender-impact-assessments" TargetMode="External"/><Relationship Id="rId34" Type="http://schemas.openxmlformats.org/officeDocument/2006/relationships/hyperlink" Target="file:///C:\Users\vicpkcf\AppData\Local\Microsoft\Windows\INetCache\Content.Outlook\I3FH7KK1\DPC_Gender_Equality_Action_Plan_2021&#8211;2025_V4.html" TargetMode="Externa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file:///C:\Users\vicpkcf\AppData\Local\Microsoft\Windows\INetCache\Content.Outlook\I3FH7KK1\DPC_Gender_Equality_Action_Plan_2021&#8211;2025_V4.html" TargetMode="External"/><Relationship Id="rId25" Type="http://schemas.openxmlformats.org/officeDocument/2006/relationships/hyperlink" Target="https://www.genderequalitycommission.vic.gov.au/workplace-gender-equality-indicators" TargetMode="External"/><Relationship Id="rId33" Type="http://schemas.openxmlformats.org/officeDocument/2006/relationships/hyperlink" Target="file:///C:\Users\vicpkcf\AppData\Local\Microsoft\Windows\INetCache\Content.Outlook\I3FH7KK1\DPC_Gender_Equality_Action_Plan_2021&#8211;2025_V4.html" TargetMode="External"/><Relationship Id="rId38" Type="http://schemas.openxmlformats.org/officeDocument/2006/relationships/hyperlink" Target="file:///C:\Users\vicpkcf\AppData\Local\Microsoft\Windows\INetCache\Content.Outlook\I3FH7KK1\DPC_Gender_Equality_Action_Plan_2021&#8211;2025_V4.html" TargetMode="External"/><Relationship Id="rId2" Type="http://schemas.openxmlformats.org/officeDocument/2006/relationships/customXml" Target="../customXml/item2.xml"/><Relationship Id="rId16" Type="http://schemas.openxmlformats.org/officeDocument/2006/relationships/hyperlink" Target="https://www.vic.gov.au/dpc-governance-and-reporting" TargetMode="External"/><Relationship Id="rId20" Type="http://schemas.openxmlformats.org/officeDocument/2006/relationships/hyperlink" Target="https://www.genderequalitycommission.vic.gov.au/reporting-progress" TargetMode="External"/><Relationship Id="rId29" Type="http://schemas.openxmlformats.org/officeDocument/2006/relationships/hyperlink" Target="file:///C:\Users\vicpkcf\AppData\Local\Microsoft\Windows\INetCache\Content.Outlook\I3FH7KK1\DPC_Gender_Equality_Action_Plan_2021&#8211;2025_V4.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enderequalitycommission.vic.gov.au/workplace-gender-equality-indicators" TargetMode="External"/><Relationship Id="rId32" Type="http://schemas.openxmlformats.org/officeDocument/2006/relationships/hyperlink" Target="file:///C:\Users\vicpkcf\AppData\Local\Microsoft\Windows\INetCache\Content.Outlook\I3FH7KK1\DPC_Gender_Equality_Action_Plan_2021&#8211;2025_V4.html" TargetMode="External"/><Relationship Id="rId37" Type="http://schemas.openxmlformats.org/officeDocument/2006/relationships/hyperlink" Target="file:///C:\Users\vicpkcf\AppData\Local\Microsoft\Windows\INetCache\Content.Outlook\I3FH7KK1\DPC_Gender_Equality_Action_Plan_2021&#8211;2025_V4.html" TargetMode="Externa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3.xml"/><Relationship Id="rId23" Type="http://schemas.openxmlformats.org/officeDocument/2006/relationships/hyperlink" Target="https://internal.dpc.vic.gov.au/documents/disability-access-and-inclusion-plan-2021-25" TargetMode="External"/><Relationship Id="rId28" Type="http://schemas.openxmlformats.org/officeDocument/2006/relationships/hyperlink" Target="file:///C:\Users\vicpkcf\AppData\Local\Microsoft\Windows\INetCache\Content.Outlook\I3FH7KK1\DPC_Gender_Equality_Action_Plan_2021&#8211;2025_V4.html" TargetMode="External"/><Relationship Id="rId36" Type="http://schemas.openxmlformats.org/officeDocument/2006/relationships/hyperlink" Target="file:///C:\Users\vicpkcf\AppData\Local\Microsoft\Windows\INetCache\Content.Outlook\I3FH7KK1\DPC_Gender_Equality_Action_Plan_2021&#8211;2025_V4.html" TargetMode="External"/><Relationship Id="rId10" Type="http://schemas.openxmlformats.org/officeDocument/2006/relationships/footnotes" Target="footnotes.xml"/><Relationship Id="rId19" Type="http://schemas.openxmlformats.org/officeDocument/2006/relationships/hyperlink" Target="https://www.genderequalitycommission.vic.gov.au/promoting-gender-equality" TargetMode="External"/><Relationship Id="rId31" Type="http://schemas.openxmlformats.org/officeDocument/2006/relationships/hyperlink" Target="file:///C:\Users\vicpkcf\AppData\Local\Microsoft\Windows\INetCache\Content.Outlook\I3FH7KK1\DPC_Gender_Equality_Action_Plan_2021&#8211;2025_V4.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https://www.genderequalitycommission.vic.gov.au/workplace-gender-auditing" TargetMode="External"/><Relationship Id="rId27" Type="http://schemas.openxmlformats.org/officeDocument/2006/relationships/hyperlink" Target="file:///C:\Users\vicpkcf\AppData\Local\Microsoft\Windows\INetCache\Content.Outlook\I3FH7KK1\DPC_Gender_Equality_Action_Plan_2021&#8211;2025_V4.html" TargetMode="External"/><Relationship Id="rId30" Type="http://schemas.openxmlformats.org/officeDocument/2006/relationships/hyperlink" Target="file:///C:\Users\vicpkcf\AppData\Local\Microsoft\Windows\INetCache\Content.Outlook\I3FH7KK1\DPC_Gender_Equality_Action_Plan_2021&#8211;2025_V4.html" TargetMode="External"/><Relationship Id="rId35" Type="http://schemas.openxmlformats.org/officeDocument/2006/relationships/hyperlink" Target="file:///C:\Users\vicpkcf\AppData\Local\Microsoft\Windows\INetCache\Content.Outlook\I3FH7KK1\DPC_Gender_Equality_Action_Plan_2021&#8211;2025_V4.html"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D179483B3A4E458E2DA955233B6DD4" ma:contentTypeVersion="13" ma:contentTypeDescription="Create a new document." ma:contentTypeScope="" ma:versionID="9d77f2fd259e752b2e4e3c6175536561">
  <xsd:schema xmlns:xsd="http://www.w3.org/2001/XMLSchema" xmlns:xs="http://www.w3.org/2001/XMLSchema" xmlns:p="http://schemas.microsoft.com/office/2006/metadata/properties" xmlns:ns2="31b2e4f9-c376-4e2f-bd2e-796d1bcd5746" xmlns:ns3="7ee2ad8a-2b33-419f-875c-ac0e4cfc6b7f" targetNamespace="http://schemas.microsoft.com/office/2006/metadata/properties" ma:root="true" ma:fieldsID="5ebfb7f4edac0d05264232404c228171" ns2:_="" ns3:_="">
    <xsd:import namespace="31b2e4f9-c376-4e2f-bd2e-796d1bcd5746"/>
    <xsd:import namespace="7ee2ad8a-2b33-419f-875c-ac0e4cfc6b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b2e4f9-c376-4e2f-bd2e-796d1bcd57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e2ad8a-2b33-419f-875c-ac0e4cfc6b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57A560D-4A0B-4D6E-B3FB-13A2A9AA04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b2e4f9-c376-4e2f-bd2e-796d1bcd5746"/>
    <ds:schemaRef ds:uri="7ee2ad8a-2b33-419f-875c-ac0e4cfc6b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5.xml><?xml version="1.0" encoding="utf-8"?>
<ds:datastoreItem xmlns:ds="http://schemas.openxmlformats.org/officeDocument/2006/customXml" ds:itemID="{5ACAC3F8-7629-4D69-8D2B-C4905BA104BA}">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28</Pages>
  <Words>7984</Words>
  <Characters>45513</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Inclusive Victoria - State disability plan 2022–2026</vt:lpstr>
    </vt:vector>
  </TitlesOfParts>
  <Company>Victoria State Government, Department of Families, Fairness and Housing</Company>
  <LinksUpToDate>false</LinksUpToDate>
  <CharactersWithSpaces>53391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Inclusive Victoria - State disability plan 2022–2026</dc:title>
  <dc:subject>State disability plan 2022–2026</dc:subject>
  <dc:creator>Office for Disability</dc:creator>
  <cp:keywords>disability, state plan, inclusive, victoria, accessible</cp:keywords>
  <cp:lastModifiedBy>Claire Ho</cp:lastModifiedBy>
  <cp:revision>11</cp:revision>
  <cp:lastPrinted>2022-09-15T02:30:00Z</cp:lastPrinted>
  <dcterms:created xsi:type="dcterms:W3CDTF">2022-09-15T02:17:00Z</dcterms:created>
  <dcterms:modified xsi:type="dcterms:W3CDTF">2022-09-19T23:59:00Z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0x01010026D179483B3A4E458E2DA955233B6DD4</vt:lpwstr>
  </property>
  <property fmtid="{D5CDD505-2E9C-101B-9397-08002B2CF9AE}" pid="4" name="version">
    <vt:lpwstr>v9 15022022 SBV1 16022022</vt:lpwstr>
  </property>
  <property fmtid="{D5CDD505-2E9C-101B-9397-08002B2CF9AE}" pid="5" name="MSIP_Label_efdf5488-3066-4b6c-8fea-9472b8a1f34c_Enabled">
    <vt:lpwstr>true</vt:lpwstr>
  </property>
  <property fmtid="{D5CDD505-2E9C-101B-9397-08002B2CF9AE}" pid="6" name="MSIP_Label_efdf5488-3066-4b6c-8fea-9472b8a1f34c_SetDate">
    <vt:lpwstr>2022-02-16T06:16:26Z</vt:lpwstr>
  </property>
  <property fmtid="{D5CDD505-2E9C-101B-9397-08002B2CF9AE}" pid="7" name="MSIP_Label_efdf5488-3066-4b6c-8fea-9472b8a1f34c_Method">
    <vt:lpwstr>Privileged</vt:lpwstr>
  </property>
  <property fmtid="{D5CDD505-2E9C-101B-9397-08002B2CF9AE}" pid="8" name="MSIP_Label_efdf5488-3066-4b6c-8fea-9472b8a1f34c_Name">
    <vt:lpwstr>efdf5488-3066-4b6c-8fea-9472b8a1f34c</vt:lpwstr>
  </property>
  <property fmtid="{D5CDD505-2E9C-101B-9397-08002B2CF9AE}" pid="9" name="MSIP_Label_efdf5488-3066-4b6c-8fea-9472b8a1f34c_SiteId">
    <vt:lpwstr>c0e0601f-0fac-449c-9c88-a104c4eb9f28</vt:lpwstr>
  </property>
  <property fmtid="{D5CDD505-2E9C-101B-9397-08002B2CF9AE}" pid="10" name="MSIP_Label_efdf5488-3066-4b6c-8fea-9472b8a1f34c_ActionId">
    <vt:lpwstr>355be22d-f994-4ddf-8baf-74cea319d7de</vt:lpwstr>
  </property>
  <property fmtid="{D5CDD505-2E9C-101B-9397-08002B2CF9AE}" pid="11" name="MSIP_Label_efdf5488-3066-4b6c-8fea-9472b8a1f34c_ContentBits">
    <vt:lpwstr>0</vt:lpwstr>
  </property>
  <property fmtid="{D5CDD505-2E9C-101B-9397-08002B2CF9AE}" pid="12" name="MSIP_Label_7158ebbd-6c5e-441f-bfc9-4eb8c11e3978_Enabled">
    <vt:lpwstr>true</vt:lpwstr>
  </property>
  <property fmtid="{D5CDD505-2E9C-101B-9397-08002B2CF9AE}" pid="13" name="MSIP_Label_7158ebbd-6c5e-441f-bfc9-4eb8c11e3978_SetDate">
    <vt:lpwstr>2022-09-15T05:13:28Z</vt:lpwstr>
  </property>
  <property fmtid="{D5CDD505-2E9C-101B-9397-08002B2CF9AE}" pid="14" name="MSIP_Label_7158ebbd-6c5e-441f-bfc9-4eb8c11e3978_Method">
    <vt:lpwstr>Privileged</vt:lpwstr>
  </property>
  <property fmtid="{D5CDD505-2E9C-101B-9397-08002B2CF9AE}" pid="15" name="MSIP_Label_7158ebbd-6c5e-441f-bfc9-4eb8c11e3978_Name">
    <vt:lpwstr>7158ebbd-6c5e-441f-bfc9-4eb8c11e3978</vt:lpwstr>
  </property>
  <property fmtid="{D5CDD505-2E9C-101B-9397-08002B2CF9AE}" pid="16" name="MSIP_Label_7158ebbd-6c5e-441f-bfc9-4eb8c11e3978_SiteId">
    <vt:lpwstr>722ea0be-3e1c-4b11-ad6f-9401d6856e24</vt:lpwstr>
  </property>
  <property fmtid="{D5CDD505-2E9C-101B-9397-08002B2CF9AE}" pid="17" name="MSIP_Label_7158ebbd-6c5e-441f-bfc9-4eb8c11e3978_ActionId">
    <vt:lpwstr>fd4bd5b4-d1bf-4bd0-a570-8aa70ed9972d</vt:lpwstr>
  </property>
  <property fmtid="{D5CDD505-2E9C-101B-9397-08002B2CF9AE}" pid="18" name="MSIP_Label_7158ebbd-6c5e-441f-bfc9-4eb8c11e3978_ContentBits">
    <vt:lpwstr>2</vt:lpwstr>
  </property>
</Properties>
</file>