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EB95" w14:textId="4B0CC77B" w:rsidR="006E4A93" w:rsidRPr="00615803" w:rsidRDefault="00BD7CEE" w:rsidP="00BD7CEE">
      <w:pPr>
        <w:pStyle w:val="Title"/>
        <w:rPr>
          <w:color w:val="FFFFFF" w:themeColor="background1"/>
        </w:rPr>
      </w:pPr>
      <w:r w:rsidRPr="00615803">
        <w:rPr>
          <w:color w:val="FFFFFF" w:themeColor="background1"/>
          <w:lang w:val="en-US"/>
        </w:rPr>
        <w:t>Supporting</w:t>
      </w:r>
      <w:r w:rsidRPr="00615803">
        <w:rPr>
          <w:color w:val="FFFFFF" w:themeColor="background1"/>
        </w:rPr>
        <w:t xml:space="preserve"> Best Practice</w:t>
      </w:r>
    </w:p>
    <w:p w14:paraId="5B41681A" w14:textId="63F238F9" w:rsidR="00E00B5C" w:rsidRPr="00615803" w:rsidRDefault="00BD7CEE" w:rsidP="00BD7CEE">
      <w:pPr>
        <w:pStyle w:val="Subtitle"/>
        <w:rPr>
          <w:color w:val="FFFFFF" w:themeColor="background1"/>
        </w:rPr>
      </w:pPr>
      <w:r w:rsidRPr="00615803">
        <w:rPr>
          <w:color w:val="FFFFFF" w:themeColor="background1"/>
        </w:rPr>
        <w:t>A companion paper for regulator boards and chairs</w:t>
      </w:r>
    </w:p>
    <w:p w14:paraId="77439764" w14:textId="77777777" w:rsidR="00160595" w:rsidRPr="00160595" w:rsidRDefault="00160595" w:rsidP="00160595">
      <w:pPr>
        <w:sectPr w:rsidR="00160595" w:rsidRPr="00160595" w:rsidSect="00C75370">
          <w:headerReference w:type="default" r:id="rId12"/>
          <w:footerReference w:type="even" r:id="rId13"/>
          <w:footerReference w:type="default" r:id="rId14"/>
          <w:headerReference w:type="first" r:id="rId15"/>
          <w:footerReference w:type="first" r:id="rId16"/>
          <w:pgSz w:w="11906" w:h="16838" w:code="9"/>
          <w:pgMar w:top="2592" w:right="1138" w:bottom="1138" w:left="1138" w:header="1138" w:footer="648" w:gutter="0"/>
          <w:cols w:space="708"/>
          <w:titlePg/>
          <w:docGrid w:linePitch="360"/>
        </w:sectPr>
      </w:pPr>
    </w:p>
    <w:p w14:paraId="7713D162" w14:textId="77777777" w:rsidR="00D35CF3" w:rsidRDefault="00D35CF3" w:rsidP="00D35CF3"/>
    <w:p w14:paraId="603302DE" w14:textId="77777777" w:rsidR="00FE3140" w:rsidRPr="00C92338" w:rsidRDefault="00FE3140" w:rsidP="00746E84">
      <w:pPr>
        <w:pStyle w:val="Insidecoverspacer"/>
        <w:spacing w:before="4400"/>
      </w:pPr>
    </w:p>
    <w:p w14:paraId="1E752392" w14:textId="77777777" w:rsidR="00746E84" w:rsidRDefault="00746E84" w:rsidP="00746E84">
      <w:pPr>
        <w:pStyle w:val="NormalTight"/>
      </w:pPr>
      <w:r>
        <w:t>Better Regulation Victoria</w:t>
      </w:r>
    </w:p>
    <w:p w14:paraId="0EE24A65" w14:textId="77777777" w:rsidR="00746E84" w:rsidRDefault="00746E84" w:rsidP="00746E84">
      <w:pPr>
        <w:pStyle w:val="NormalTight"/>
      </w:pPr>
      <w:r>
        <w:t>GPO Box 4379</w:t>
      </w:r>
    </w:p>
    <w:p w14:paraId="1A4CBA91" w14:textId="77777777" w:rsidR="00746E84" w:rsidRDefault="00746E84" w:rsidP="00746E84">
      <w:pPr>
        <w:pStyle w:val="NormalTight"/>
      </w:pPr>
      <w:r>
        <w:t>Melbourne Victoria 3001 Australia</w:t>
      </w:r>
    </w:p>
    <w:p w14:paraId="0C9E1728" w14:textId="77777777" w:rsidR="00746E84" w:rsidRDefault="00746E84" w:rsidP="00746E84">
      <w:pPr>
        <w:pStyle w:val="NormalTight"/>
      </w:pPr>
      <w:r>
        <w:t>Telephone: 03 7005 9772</w:t>
      </w:r>
    </w:p>
    <w:p w14:paraId="59281E67" w14:textId="77777777" w:rsidR="00C06E5C" w:rsidRDefault="00C06E5C" w:rsidP="00C06E5C">
      <w:pPr>
        <w:pStyle w:val="NormalTight"/>
      </w:pPr>
      <w:r>
        <w:t xml:space="preserve">Email: </w:t>
      </w:r>
      <w:hyperlink r:id="rId17" w:history="1">
        <w:r w:rsidRPr="00457651">
          <w:rPr>
            <w:rStyle w:val="Hyperlink"/>
          </w:rPr>
          <w:t>contact@betterreg.vic.gov.au</w:t>
        </w:r>
      </w:hyperlink>
    </w:p>
    <w:p w14:paraId="73234A14" w14:textId="77777777" w:rsidR="00C06E5C" w:rsidRDefault="00C06E5C" w:rsidP="00C06E5C">
      <w:pPr>
        <w:pStyle w:val="NormalTight"/>
      </w:pPr>
      <w:r>
        <w:t xml:space="preserve">Webpage: </w:t>
      </w:r>
      <w:hyperlink r:id="rId18" w:history="1">
        <w:r w:rsidRPr="00457651">
          <w:rPr>
            <w:rStyle w:val="Hyperlink"/>
          </w:rPr>
          <w:t>www.betterregulation.vic.gov.au</w:t>
        </w:r>
      </w:hyperlink>
      <w:r>
        <w:t xml:space="preserve"> </w:t>
      </w:r>
    </w:p>
    <w:p w14:paraId="2BDDDA5A" w14:textId="77777777" w:rsidR="00C06E5C" w:rsidRDefault="00C06E5C" w:rsidP="00C06E5C">
      <w:pPr>
        <w:pStyle w:val="NormalTight"/>
      </w:pPr>
    </w:p>
    <w:p w14:paraId="790E768C" w14:textId="77777777" w:rsidR="00C06E5C" w:rsidRPr="00C92338" w:rsidRDefault="00C06E5C" w:rsidP="00C06E5C">
      <w:pPr>
        <w:pStyle w:val="NormalTight"/>
      </w:pPr>
      <w:r w:rsidRPr="00C92338">
        <w:t>Authorised by the Victorian Government</w:t>
      </w:r>
    </w:p>
    <w:p w14:paraId="3AE6E07B" w14:textId="77777777" w:rsidR="00C06E5C" w:rsidRPr="00C92338" w:rsidRDefault="00C06E5C" w:rsidP="00C06E5C">
      <w:pPr>
        <w:pStyle w:val="NormalTight"/>
      </w:pPr>
      <w:r w:rsidRPr="00C92338">
        <w:t>1 Treasury Place, Melbourne, 3002</w:t>
      </w:r>
    </w:p>
    <w:p w14:paraId="463E9FD5" w14:textId="77777777" w:rsidR="00C06E5C" w:rsidRDefault="00C06E5C" w:rsidP="00C06E5C">
      <w:pPr>
        <w:pStyle w:val="NormalTight"/>
      </w:pPr>
    </w:p>
    <w:p w14:paraId="6B867D5A" w14:textId="77777777" w:rsidR="00C06E5C" w:rsidRDefault="00C06E5C" w:rsidP="00C06E5C">
      <w:pPr>
        <w:pStyle w:val="NormalTight"/>
      </w:pPr>
      <w:r>
        <w:t>© State of Victoria 2022</w:t>
      </w:r>
    </w:p>
    <w:p w14:paraId="2183D0C5" w14:textId="77777777" w:rsidR="00C06E5C" w:rsidRDefault="00C06E5C" w:rsidP="00C06E5C">
      <w:r w:rsidRPr="00C92338">
        <w:rPr>
          <w:noProof/>
        </w:rPr>
        <w:drawing>
          <wp:inline distT="0" distB="0" distL="0" distR="0" wp14:anchorId="0887F30F" wp14:editId="6284471C">
            <wp:extent cx="1117460" cy="390972"/>
            <wp:effectExtent l="0" t="0" r="6985" b="9525"/>
            <wp:docPr id="5" name="Picture 5">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58ECDEC5" w14:textId="77777777" w:rsidR="00C06E5C" w:rsidRDefault="00C06E5C" w:rsidP="00C06E5C">
      <w:pPr>
        <w:pStyle w:val="NormalTight"/>
        <w:spacing w:before="60" w:afterLines="60" w:after="144"/>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122B172B" w14:textId="77777777" w:rsidR="00C06E5C" w:rsidRDefault="00C06E5C" w:rsidP="00C06E5C">
      <w:pPr>
        <w:pStyle w:val="NormalTight"/>
        <w:spacing w:before="60" w:afterLines="60" w:after="144"/>
      </w:pPr>
      <w:r>
        <w:t xml:space="preserve">Copyright queries may be directed to </w:t>
      </w:r>
      <w:hyperlink r:id="rId21" w:history="1">
        <w:r w:rsidRPr="00457651">
          <w:rPr>
            <w:rStyle w:val="Hyperlink"/>
          </w:rPr>
          <w:t>IPpolicy@dtf.vic.gov.au</w:t>
        </w:r>
      </w:hyperlink>
    </w:p>
    <w:p w14:paraId="1A2479CE" w14:textId="2A1B0EAD" w:rsidR="00C06E5C" w:rsidRDefault="00AF4C74" w:rsidP="00C06E5C">
      <w:pPr>
        <w:pStyle w:val="NormalTight"/>
        <w:spacing w:before="60" w:afterLines="60" w:after="144"/>
      </w:pPr>
      <w:r>
        <w:t xml:space="preserve">Published </w:t>
      </w:r>
      <w:r w:rsidR="00083C3B" w:rsidRPr="008D0915">
        <w:t>September</w:t>
      </w:r>
      <w:r w:rsidR="00C06E5C" w:rsidRPr="008D0915">
        <w:t xml:space="preserve"> 202</w:t>
      </w:r>
      <w:r w:rsidR="008D0915" w:rsidRPr="008D0915">
        <w:t>2</w:t>
      </w:r>
    </w:p>
    <w:p w14:paraId="04619B9F" w14:textId="77777777" w:rsidR="00C06E5C" w:rsidRDefault="00C06E5C" w:rsidP="00C06E5C">
      <w:pPr>
        <w:pStyle w:val="NormalTight"/>
        <w:spacing w:before="60" w:afterLines="60" w:after="144"/>
      </w:pPr>
      <w:r>
        <w:t xml:space="preserve">If you would like to receive this publication in a different format please email </w:t>
      </w:r>
      <w:hyperlink r:id="rId22" w:history="1">
        <w:r w:rsidRPr="00457651">
          <w:rPr>
            <w:rStyle w:val="Hyperlink"/>
          </w:rPr>
          <w:t>contact@betterreg.vic.gov.au</w:t>
        </w:r>
      </w:hyperlink>
    </w:p>
    <w:p w14:paraId="2F9BD6B0" w14:textId="77777777" w:rsidR="00C06E5C" w:rsidRDefault="00C06E5C" w:rsidP="00C06E5C">
      <w:pPr>
        <w:pStyle w:val="NormalTight"/>
        <w:spacing w:before="60" w:afterLines="60" w:after="144"/>
      </w:pPr>
      <w:r>
        <w:t xml:space="preserve">This document is also available in Word and PDF formats at </w:t>
      </w:r>
      <w:hyperlink r:id="rId23" w:history="1">
        <w:r w:rsidRPr="00457651">
          <w:rPr>
            <w:rStyle w:val="Hyperlink"/>
          </w:rPr>
          <w:t>www.betterregulation.vic.gov.au</w:t>
        </w:r>
      </w:hyperlink>
    </w:p>
    <w:p w14:paraId="74D1A07C" w14:textId="049BD056" w:rsidR="00AF4C74" w:rsidRDefault="00AF4C74" w:rsidP="00C06E5C">
      <w:pPr>
        <w:pStyle w:val="NormalTight"/>
        <w:sectPr w:rsidR="00AF4C74" w:rsidSect="007F29C2">
          <w:headerReference w:type="default" r:id="rId24"/>
          <w:pgSz w:w="11906" w:h="16838"/>
          <w:pgMar w:top="1134" w:right="1134" w:bottom="1134" w:left="1701" w:header="1701" w:footer="1134" w:gutter="0"/>
          <w:cols w:space="708"/>
          <w:docGrid w:linePitch="360"/>
        </w:sectPr>
      </w:pPr>
    </w:p>
    <w:p w14:paraId="2906A956" w14:textId="77777777" w:rsidR="00A35FBA" w:rsidRDefault="00A35FBA" w:rsidP="00A53658">
      <w:pPr>
        <w:pStyle w:val="TOCHeading"/>
        <w:spacing w:before="0"/>
      </w:pPr>
      <w:r>
        <w:t>Contents</w:t>
      </w:r>
    </w:p>
    <w:p w14:paraId="7CDFDB18" w14:textId="170341AF" w:rsidR="00EC3744" w:rsidRPr="00AD16D9" w:rsidRDefault="00EC3744" w:rsidP="00AD16D9">
      <w:pPr>
        <w:pStyle w:val="TOC1"/>
      </w:pPr>
      <w:r>
        <w:rPr>
          <w:color w:val="auto"/>
          <w:lang w:eastAsia="en-US"/>
        </w:rPr>
        <w:fldChar w:fldCharType="begin"/>
      </w:r>
      <w:r>
        <w:rPr>
          <w:lang w:eastAsia="en-US"/>
        </w:rPr>
        <w:instrText xml:space="preserve"> TOC \h \z \t "Heading 1,1,Heading 2,2,Principle,3 " </w:instrText>
      </w:r>
      <w:r>
        <w:rPr>
          <w:color w:val="auto"/>
          <w:lang w:eastAsia="en-US"/>
        </w:rPr>
        <w:fldChar w:fldCharType="separate"/>
      </w:r>
      <w:hyperlink w:anchor="_Toc121997857" w:history="1">
        <w:r w:rsidRPr="00AD16D9">
          <w:rPr>
            <w:rStyle w:val="Hyperlink"/>
            <w:color w:val="000000" w:themeColor="text1"/>
          </w:rPr>
          <w:t>Supporting regulator board members</w:t>
        </w:r>
        <w:r w:rsidRPr="00AD16D9">
          <w:rPr>
            <w:webHidden/>
          </w:rPr>
          <w:tab/>
        </w:r>
        <w:r w:rsidRPr="00AD16D9">
          <w:rPr>
            <w:webHidden/>
          </w:rPr>
          <w:fldChar w:fldCharType="begin"/>
        </w:r>
        <w:r w:rsidRPr="00AD16D9">
          <w:rPr>
            <w:webHidden/>
          </w:rPr>
          <w:instrText xml:space="preserve"> PAGEREF _Toc121997857 \h </w:instrText>
        </w:r>
        <w:r w:rsidRPr="00AD16D9">
          <w:rPr>
            <w:webHidden/>
          </w:rPr>
        </w:r>
        <w:r w:rsidRPr="00AD16D9">
          <w:rPr>
            <w:webHidden/>
          </w:rPr>
          <w:fldChar w:fldCharType="separate"/>
        </w:r>
        <w:r w:rsidR="00EC6C3E">
          <w:rPr>
            <w:webHidden/>
          </w:rPr>
          <w:t>1</w:t>
        </w:r>
        <w:r w:rsidRPr="00AD16D9">
          <w:rPr>
            <w:webHidden/>
          </w:rPr>
          <w:fldChar w:fldCharType="end"/>
        </w:r>
      </w:hyperlink>
    </w:p>
    <w:p w14:paraId="32E5162A" w14:textId="7DC55933" w:rsidR="00EC3744" w:rsidRPr="00AD16D9" w:rsidRDefault="00243C69" w:rsidP="00AD16D9">
      <w:pPr>
        <w:pStyle w:val="TOC1"/>
      </w:pPr>
      <w:hyperlink w:anchor="_Toc121997858" w:history="1">
        <w:r w:rsidR="00EC3744" w:rsidRPr="00AD16D9">
          <w:rPr>
            <w:rStyle w:val="Hyperlink"/>
            <w:color w:val="000000" w:themeColor="text1"/>
          </w:rPr>
          <w:t>The differences for a Regulatory Board</w:t>
        </w:r>
        <w:r w:rsidR="00EC3744" w:rsidRPr="00AD16D9">
          <w:rPr>
            <w:webHidden/>
          </w:rPr>
          <w:tab/>
        </w:r>
        <w:r w:rsidR="00EC3744" w:rsidRPr="00AD16D9">
          <w:rPr>
            <w:webHidden/>
          </w:rPr>
          <w:fldChar w:fldCharType="begin"/>
        </w:r>
        <w:r w:rsidR="00EC3744" w:rsidRPr="00AD16D9">
          <w:rPr>
            <w:webHidden/>
          </w:rPr>
          <w:instrText xml:space="preserve"> PAGEREF _Toc121997858 \h </w:instrText>
        </w:r>
        <w:r w:rsidR="00EC3744" w:rsidRPr="00AD16D9">
          <w:rPr>
            <w:webHidden/>
          </w:rPr>
        </w:r>
        <w:r w:rsidR="00EC3744" w:rsidRPr="00AD16D9">
          <w:rPr>
            <w:webHidden/>
          </w:rPr>
          <w:fldChar w:fldCharType="separate"/>
        </w:r>
        <w:r w:rsidR="00EC6C3E">
          <w:rPr>
            <w:webHidden/>
          </w:rPr>
          <w:t>2</w:t>
        </w:r>
        <w:r w:rsidR="00EC3744" w:rsidRPr="00AD16D9">
          <w:rPr>
            <w:webHidden/>
          </w:rPr>
          <w:fldChar w:fldCharType="end"/>
        </w:r>
      </w:hyperlink>
    </w:p>
    <w:p w14:paraId="19901935" w14:textId="2AA4D424" w:rsidR="00EC3744" w:rsidRDefault="00243C69">
      <w:pPr>
        <w:pStyle w:val="TOC2"/>
        <w:rPr>
          <w:spacing w:val="0"/>
          <w:sz w:val="22"/>
          <w:szCs w:val="22"/>
        </w:rPr>
      </w:pPr>
      <w:hyperlink w:anchor="_Toc121997859" w:history="1">
        <w:r w:rsidR="00EC3744" w:rsidRPr="00AA06F0">
          <w:rPr>
            <w:rStyle w:val="Hyperlink"/>
          </w:rPr>
          <w:t>Regulatory principles and regulator board considerations</w:t>
        </w:r>
        <w:r w:rsidR="00EC3744">
          <w:rPr>
            <w:webHidden/>
          </w:rPr>
          <w:tab/>
        </w:r>
        <w:r w:rsidR="00EC3744">
          <w:rPr>
            <w:webHidden/>
          </w:rPr>
          <w:fldChar w:fldCharType="begin"/>
        </w:r>
        <w:r w:rsidR="00EC3744">
          <w:rPr>
            <w:webHidden/>
          </w:rPr>
          <w:instrText xml:space="preserve"> PAGEREF _Toc121997859 \h </w:instrText>
        </w:r>
        <w:r w:rsidR="00EC3744">
          <w:rPr>
            <w:webHidden/>
          </w:rPr>
        </w:r>
        <w:r>
          <w:rPr>
            <w:webHidden/>
          </w:rPr>
          <w:fldChar w:fldCharType="separate"/>
        </w:r>
        <w:r w:rsidR="00EC3744">
          <w:rPr>
            <w:webHidden/>
          </w:rPr>
          <w:fldChar w:fldCharType="end"/>
        </w:r>
      </w:hyperlink>
    </w:p>
    <w:p w14:paraId="4823D8D3" w14:textId="106B3189" w:rsidR="00EC3744" w:rsidRDefault="00243C69" w:rsidP="00AD16D9">
      <w:pPr>
        <w:pStyle w:val="TOC1"/>
        <w:rPr>
          <w:color w:val="auto"/>
          <w:sz w:val="22"/>
          <w:szCs w:val="22"/>
        </w:rPr>
      </w:pPr>
      <w:hyperlink w:anchor="_Toc121997860" w:history="1">
        <w:r w:rsidR="00EC3744" w:rsidRPr="00AA06F0">
          <w:rPr>
            <w:rStyle w:val="Hyperlink"/>
          </w:rPr>
          <w:t>Supporting good regulatory practice</w:t>
        </w:r>
        <w:r w:rsidR="00EC3744">
          <w:rPr>
            <w:webHidden/>
          </w:rPr>
          <w:tab/>
        </w:r>
        <w:r w:rsidR="00EC3744">
          <w:rPr>
            <w:webHidden/>
          </w:rPr>
          <w:fldChar w:fldCharType="begin"/>
        </w:r>
        <w:r w:rsidR="00EC3744">
          <w:rPr>
            <w:webHidden/>
          </w:rPr>
          <w:instrText xml:space="preserve"> PAGEREF _Toc121997860 \h </w:instrText>
        </w:r>
        <w:r w:rsidR="00EC3744">
          <w:rPr>
            <w:webHidden/>
          </w:rPr>
        </w:r>
        <w:r>
          <w:rPr>
            <w:webHidden/>
          </w:rPr>
          <w:fldChar w:fldCharType="separate"/>
        </w:r>
        <w:r w:rsidR="00EC3744">
          <w:rPr>
            <w:webHidden/>
          </w:rPr>
          <w:fldChar w:fldCharType="end"/>
        </w:r>
      </w:hyperlink>
    </w:p>
    <w:p w14:paraId="2241F6F0" w14:textId="7B58210B" w:rsidR="00EC3744" w:rsidRDefault="00243C69" w:rsidP="00EC3744">
      <w:pPr>
        <w:pStyle w:val="TOC3"/>
        <w:rPr>
          <w:color w:val="auto"/>
          <w:sz w:val="22"/>
          <w:szCs w:val="22"/>
        </w:rPr>
      </w:pPr>
      <w:hyperlink w:anchor="_Toc121997861" w:history="1">
        <w:r w:rsidR="00EC3744" w:rsidRPr="00AA06F0">
          <w:rPr>
            <w:rStyle w:val="Hyperlink"/>
          </w:rPr>
          <w:t>Principle 1</w:t>
        </w:r>
        <w:r w:rsidR="00EC3744">
          <w:rPr>
            <w:color w:val="auto"/>
            <w:sz w:val="22"/>
            <w:szCs w:val="22"/>
          </w:rPr>
          <w:tab/>
        </w:r>
        <w:r w:rsidR="00EC3744" w:rsidRPr="00AA06F0">
          <w:rPr>
            <w:rStyle w:val="Hyperlink"/>
          </w:rPr>
          <w:t>Be clear on your regulatory outcome and the harms you are trying to minimise</w:t>
        </w:r>
        <w:r w:rsidR="00EC3744">
          <w:rPr>
            <w:webHidden/>
          </w:rPr>
          <w:tab/>
        </w:r>
        <w:r w:rsidR="00EC3744">
          <w:rPr>
            <w:webHidden/>
          </w:rPr>
          <w:fldChar w:fldCharType="begin"/>
        </w:r>
        <w:r w:rsidR="00EC3744">
          <w:rPr>
            <w:webHidden/>
          </w:rPr>
          <w:instrText xml:space="preserve"> PAGEREF _Toc121997861 \h </w:instrText>
        </w:r>
        <w:r w:rsidR="00EC3744">
          <w:rPr>
            <w:webHidden/>
          </w:rPr>
        </w:r>
        <w:r>
          <w:rPr>
            <w:webHidden/>
          </w:rPr>
          <w:fldChar w:fldCharType="separate"/>
        </w:r>
        <w:r w:rsidR="00EC3744">
          <w:rPr>
            <w:webHidden/>
          </w:rPr>
          <w:fldChar w:fldCharType="end"/>
        </w:r>
      </w:hyperlink>
    </w:p>
    <w:p w14:paraId="57AB1852" w14:textId="7EF89FC0" w:rsidR="00EC3744" w:rsidRDefault="00243C69" w:rsidP="00EC3744">
      <w:pPr>
        <w:pStyle w:val="TOC3"/>
        <w:rPr>
          <w:color w:val="auto"/>
          <w:sz w:val="22"/>
          <w:szCs w:val="22"/>
        </w:rPr>
      </w:pPr>
      <w:hyperlink w:anchor="_Toc121997862" w:history="1">
        <w:r w:rsidR="00EC3744" w:rsidRPr="00AA06F0">
          <w:rPr>
            <w:rStyle w:val="Hyperlink"/>
          </w:rPr>
          <w:t>Principle 2</w:t>
        </w:r>
        <w:r w:rsidR="00EC3744">
          <w:rPr>
            <w:color w:val="auto"/>
            <w:sz w:val="22"/>
            <w:szCs w:val="22"/>
          </w:rPr>
          <w:tab/>
        </w:r>
        <w:r w:rsidR="00EC3744" w:rsidRPr="00AA06F0">
          <w:rPr>
            <w:rStyle w:val="Hyperlink"/>
          </w:rPr>
          <w:t>Establish and refine your approach to minimising harms</w:t>
        </w:r>
        <w:r w:rsidR="00EC3744">
          <w:rPr>
            <w:webHidden/>
          </w:rPr>
          <w:tab/>
        </w:r>
        <w:r w:rsidR="00EC3744">
          <w:rPr>
            <w:webHidden/>
          </w:rPr>
          <w:fldChar w:fldCharType="begin"/>
        </w:r>
        <w:r w:rsidR="00EC3744">
          <w:rPr>
            <w:webHidden/>
          </w:rPr>
          <w:instrText xml:space="preserve"> PAGEREF _Toc121997862 \h </w:instrText>
        </w:r>
        <w:r w:rsidR="00EC3744">
          <w:rPr>
            <w:webHidden/>
          </w:rPr>
        </w:r>
        <w:r>
          <w:rPr>
            <w:webHidden/>
          </w:rPr>
          <w:fldChar w:fldCharType="separate"/>
        </w:r>
        <w:r w:rsidR="00EC3744">
          <w:rPr>
            <w:webHidden/>
          </w:rPr>
          <w:fldChar w:fldCharType="end"/>
        </w:r>
      </w:hyperlink>
    </w:p>
    <w:p w14:paraId="59D0F866" w14:textId="2315733A" w:rsidR="00EC3744" w:rsidRDefault="00243C69" w:rsidP="00EC3744">
      <w:pPr>
        <w:pStyle w:val="TOC3"/>
        <w:rPr>
          <w:color w:val="auto"/>
          <w:sz w:val="22"/>
          <w:szCs w:val="22"/>
        </w:rPr>
      </w:pPr>
      <w:hyperlink w:anchor="_Toc121997863" w:history="1">
        <w:r w:rsidR="00EC3744" w:rsidRPr="00AA06F0">
          <w:rPr>
            <w:rStyle w:val="Hyperlink"/>
          </w:rPr>
          <w:t>Principle 3</w:t>
        </w:r>
        <w:r w:rsidR="00EC3744">
          <w:rPr>
            <w:color w:val="auto"/>
            <w:sz w:val="22"/>
            <w:szCs w:val="22"/>
          </w:rPr>
          <w:tab/>
        </w:r>
        <w:r w:rsidR="00EC3744" w:rsidRPr="00AA06F0">
          <w:rPr>
            <w:rStyle w:val="Hyperlink"/>
          </w:rPr>
          <w:t>Ensure your regulatory regime is fit for purpose</w:t>
        </w:r>
        <w:r w:rsidR="00EC3744">
          <w:rPr>
            <w:webHidden/>
          </w:rPr>
          <w:tab/>
        </w:r>
        <w:r w:rsidR="00EC3744">
          <w:rPr>
            <w:webHidden/>
          </w:rPr>
          <w:fldChar w:fldCharType="begin"/>
        </w:r>
        <w:r w:rsidR="00EC3744">
          <w:rPr>
            <w:webHidden/>
          </w:rPr>
          <w:instrText xml:space="preserve"> PAGEREF _Toc121997863 \h </w:instrText>
        </w:r>
        <w:r w:rsidR="00EC3744">
          <w:rPr>
            <w:webHidden/>
          </w:rPr>
        </w:r>
        <w:r>
          <w:rPr>
            <w:webHidden/>
          </w:rPr>
          <w:fldChar w:fldCharType="separate"/>
        </w:r>
        <w:r w:rsidR="00EC3744">
          <w:rPr>
            <w:webHidden/>
          </w:rPr>
          <w:fldChar w:fldCharType="end"/>
        </w:r>
      </w:hyperlink>
    </w:p>
    <w:p w14:paraId="40D64F80" w14:textId="08F22FE5" w:rsidR="00EC3744" w:rsidRDefault="00243C69" w:rsidP="00EC3744">
      <w:pPr>
        <w:pStyle w:val="TOC3"/>
        <w:rPr>
          <w:color w:val="auto"/>
          <w:sz w:val="22"/>
          <w:szCs w:val="22"/>
        </w:rPr>
      </w:pPr>
      <w:hyperlink w:anchor="_Toc121997864" w:history="1">
        <w:r w:rsidR="00EC3744" w:rsidRPr="00AA06F0">
          <w:rPr>
            <w:rStyle w:val="Hyperlink"/>
          </w:rPr>
          <w:t>Principle 4</w:t>
        </w:r>
        <w:r w:rsidR="00EC3744">
          <w:rPr>
            <w:color w:val="auto"/>
            <w:sz w:val="22"/>
            <w:szCs w:val="22"/>
          </w:rPr>
          <w:tab/>
        </w:r>
        <w:r w:rsidR="00EC3744" w:rsidRPr="00AA06F0">
          <w:rPr>
            <w:rStyle w:val="Hyperlink"/>
          </w:rPr>
          <w:t>Support duty holders to understand the value of compliance and harm reduction</w:t>
        </w:r>
        <w:r w:rsidR="00EC3744">
          <w:rPr>
            <w:webHidden/>
          </w:rPr>
          <w:tab/>
        </w:r>
        <w:r w:rsidR="00EC3744">
          <w:rPr>
            <w:webHidden/>
          </w:rPr>
          <w:fldChar w:fldCharType="begin"/>
        </w:r>
        <w:r w:rsidR="00EC3744">
          <w:rPr>
            <w:webHidden/>
          </w:rPr>
          <w:instrText xml:space="preserve"> PAGEREF _Toc121997864 \h </w:instrText>
        </w:r>
        <w:r w:rsidR="00EC3744">
          <w:rPr>
            <w:webHidden/>
          </w:rPr>
        </w:r>
        <w:r>
          <w:rPr>
            <w:webHidden/>
          </w:rPr>
          <w:fldChar w:fldCharType="separate"/>
        </w:r>
        <w:r w:rsidR="00EC3744">
          <w:rPr>
            <w:webHidden/>
          </w:rPr>
          <w:fldChar w:fldCharType="end"/>
        </w:r>
      </w:hyperlink>
    </w:p>
    <w:p w14:paraId="78B4B14C" w14:textId="4E242408" w:rsidR="00EC3744" w:rsidRDefault="00243C69" w:rsidP="00EC3744">
      <w:pPr>
        <w:pStyle w:val="TOC3"/>
        <w:rPr>
          <w:color w:val="auto"/>
          <w:sz w:val="22"/>
          <w:szCs w:val="22"/>
        </w:rPr>
      </w:pPr>
      <w:hyperlink w:anchor="_Toc121997865" w:history="1">
        <w:r w:rsidR="00EC3744" w:rsidRPr="00AA06F0">
          <w:rPr>
            <w:rStyle w:val="Hyperlink"/>
          </w:rPr>
          <w:t>Principle 5</w:t>
        </w:r>
        <w:r w:rsidR="00EC3744">
          <w:rPr>
            <w:color w:val="auto"/>
            <w:sz w:val="22"/>
            <w:szCs w:val="22"/>
          </w:rPr>
          <w:tab/>
        </w:r>
        <w:r w:rsidR="00EC3744" w:rsidRPr="00AA06F0">
          <w:rPr>
            <w:rStyle w:val="Hyperlink"/>
          </w:rPr>
          <w:t>Support duty holders to comply</w:t>
        </w:r>
        <w:r w:rsidR="00EC3744">
          <w:rPr>
            <w:webHidden/>
          </w:rPr>
          <w:tab/>
        </w:r>
        <w:r w:rsidR="00EC3744">
          <w:rPr>
            <w:webHidden/>
          </w:rPr>
          <w:fldChar w:fldCharType="begin"/>
        </w:r>
        <w:r w:rsidR="00EC3744">
          <w:rPr>
            <w:webHidden/>
          </w:rPr>
          <w:instrText xml:space="preserve"> PAGEREF _Toc121997865 \h </w:instrText>
        </w:r>
        <w:r w:rsidR="00EC3744">
          <w:rPr>
            <w:webHidden/>
          </w:rPr>
        </w:r>
        <w:r>
          <w:rPr>
            <w:webHidden/>
          </w:rPr>
          <w:fldChar w:fldCharType="separate"/>
        </w:r>
        <w:r w:rsidR="00EC3744">
          <w:rPr>
            <w:webHidden/>
          </w:rPr>
          <w:fldChar w:fldCharType="end"/>
        </w:r>
      </w:hyperlink>
    </w:p>
    <w:p w14:paraId="47029B9B" w14:textId="5B871774" w:rsidR="00EC3744" w:rsidRDefault="00243C69" w:rsidP="00EC3744">
      <w:pPr>
        <w:pStyle w:val="TOC3"/>
        <w:rPr>
          <w:color w:val="auto"/>
          <w:sz w:val="22"/>
          <w:szCs w:val="22"/>
        </w:rPr>
      </w:pPr>
      <w:hyperlink w:anchor="_Toc121997866" w:history="1">
        <w:r w:rsidR="00EC3744" w:rsidRPr="00AA06F0">
          <w:rPr>
            <w:rStyle w:val="Hyperlink"/>
          </w:rPr>
          <w:t>Principle 6</w:t>
        </w:r>
        <w:r w:rsidR="00EC3744">
          <w:rPr>
            <w:color w:val="auto"/>
            <w:sz w:val="22"/>
            <w:szCs w:val="22"/>
          </w:rPr>
          <w:tab/>
        </w:r>
        <w:r w:rsidR="00EC3744" w:rsidRPr="00AA06F0">
          <w:rPr>
            <w:rStyle w:val="Hyperlink"/>
          </w:rPr>
          <w:t>Target regulatory effort based on risk of harm</w:t>
        </w:r>
        <w:r w:rsidR="00EC3744">
          <w:rPr>
            <w:webHidden/>
          </w:rPr>
          <w:tab/>
        </w:r>
        <w:r w:rsidR="00EC3744">
          <w:rPr>
            <w:webHidden/>
          </w:rPr>
          <w:fldChar w:fldCharType="begin"/>
        </w:r>
        <w:r w:rsidR="00EC3744">
          <w:rPr>
            <w:webHidden/>
          </w:rPr>
          <w:instrText xml:space="preserve"> PAGEREF _Toc121997866 \h </w:instrText>
        </w:r>
        <w:r w:rsidR="00EC3744">
          <w:rPr>
            <w:webHidden/>
          </w:rPr>
        </w:r>
        <w:r>
          <w:rPr>
            <w:webHidden/>
          </w:rPr>
          <w:fldChar w:fldCharType="separate"/>
        </w:r>
        <w:r w:rsidR="00EC3744">
          <w:rPr>
            <w:webHidden/>
          </w:rPr>
          <w:fldChar w:fldCharType="end"/>
        </w:r>
      </w:hyperlink>
    </w:p>
    <w:p w14:paraId="4A1871D5" w14:textId="689BA118" w:rsidR="00EC3744" w:rsidRDefault="00243C69" w:rsidP="00EC3744">
      <w:pPr>
        <w:pStyle w:val="TOC3"/>
        <w:rPr>
          <w:color w:val="auto"/>
          <w:sz w:val="22"/>
          <w:szCs w:val="22"/>
        </w:rPr>
      </w:pPr>
      <w:hyperlink w:anchor="_Toc121997867" w:history="1">
        <w:r w:rsidR="00EC3744" w:rsidRPr="00AA06F0">
          <w:rPr>
            <w:rStyle w:val="Hyperlink"/>
          </w:rPr>
          <w:t>Principle 7</w:t>
        </w:r>
        <w:r w:rsidR="00EC3744">
          <w:rPr>
            <w:color w:val="auto"/>
            <w:sz w:val="22"/>
            <w:szCs w:val="22"/>
          </w:rPr>
          <w:tab/>
        </w:r>
        <w:r w:rsidR="00EC3744" w:rsidRPr="00AA06F0">
          <w:rPr>
            <w:rStyle w:val="Hyperlink"/>
          </w:rPr>
          <w:t>Evaluate and communicate your efforts and their impact on your regulatory outcomes</w:t>
        </w:r>
        <w:r w:rsidR="00EC3744">
          <w:rPr>
            <w:webHidden/>
          </w:rPr>
          <w:tab/>
        </w:r>
        <w:r w:rsidR="00EC3744">
          <w:rPr>
            <w:webHidden/>
          </w:rPr>
          <w:fldChar w:fldCharType="begin"/>
        </w:r>
        <w:r w:rsidR="00EC3744">
          <w:rPr>
            <w:webHidden/>
          </w:rPr>
          <w:instrText xml:space="preserve"> PAGEREF _Toc121997867 \h </w:instrText>
        </w:r>
        <w:r w:rsidR="00EC3744">
          <w:rPr>
            <w:webHidden/>
          </w:rPr>
        </w:r>
        <w:r>
          <w:rPr>
            <w:webHidden/>
          </w:rPr>
          <w:fldChar w:fldCharType="separate"/>
        </w:r>
        <w:r w:rsidR="00EC3744">
          <w:rPr>
            <w:webHidden/>
          </w:rPr>
          <w:fldChar w:fldCharType="end"/>
        </w:r>
      </w:hyperlink>
    </w:p>
    <w:p w14:paraId="26D3E121" w14:textId="357FFB66" w:rsidR="00EC3744" w:rsidRDefault="00243C69" w:rsidP="00EC3744">
      <w:pPr>
        <w:pStyle w:val="TOC3"/>
        <w:rPr>
          <w:color w:val="auto"/>
          <w:sz w:val="22"/>
          <w:szCs w:val="22"/>
        </w:rPr>
      </w:pPr>
      <w:hyperlink w:anchor="_Toc121997868" w:history="1">
        <w:r w:rsidR="00EC3744" w:rsidRPr="00AA06F0">
          <w:rPr>
            <w:rStyle w:val="Hyperlink"/>
          </w:rPr>
          <w:t>Principle 8</w:t>
        </w:r>
        <w:r w:rsidR="00EC3744">
          <w:rPr>
            <w:color w:val="auto"/>
            <w:sz w:val="22"/>
            <w:szCs w:val="22"/>
          </w:rPr>
          <w:tab/>
        </w:r>
        <w:r w:rsidR="00EC3744" w:rsidRPr="00AA06F0">
          <w:rPr>
            <w:rStyle w:val="Hyperlink"/>
          </w:rPr>
          <w:t>Work with regulatory peers and partners on shared harms and risks</w:t>
        </w:r>
        <w:r w:rsidR="00EC3744">
          <w:rPr>
            <w:webHidden/>
          </w:rPr>
          <w:tab/>
        </w:r>
        <w:r w:rsidR="00EC3744">
          <w:rPr>
            <w:webHidden/>
          </w:rPr>
          <w:fldChar w:fldCharType="begin"/>
        </w:r>
        <w:r w:rsidR="00EC3744">
          <w:rPr>
            <w:webHidden/>
          </w:rPr>
          <w:instrText xml:space="preserve"> PAGEREF _Toc121997868 \h </w:instrText>
        </w:r>
        <w:r w:rsidR="00EC3744">
          <w:rPr>
            <w:webHidden/>
          </w:rPr>
        </w:r>
        <w:r>
          <w:rPr>
            <w:webHidden/>
          </w:rPr>
          <w:fldChar w:fldCharType="separate"/>
        </w:r>
        <w:r w:rsidR="00EC3744">
          <w:rPr>
            <w:webHidden/>
          </w:rPr>
          <w:fldChar w:fldCharType="end"/>
        </w:r>
      </w:hyperlink>
    </w:p>
    <w:p w14:paraId="29708648" w14:textId="09DC3E31" w:rsidR="00EC3744" w:rsidRDefault="00243C69" w:rsidP="00EC3744">
      <w:pPr>
        <w:pStyle w:val="TOC3"/>
        <w:rPr>
          <w:color w:val="auto"/>
          <w:sz w:val="22"/>
          <w:szCs w:val="22"/>
        </w:rPr>
      </w:pPr>
      <w:hyperlink w:anchor="_Toc121997869" w:history="1">
        <w:r w:rsidR="00EC3744" w:rsidRPr="00AA06F0">
          <w:rPr>
            <w:rStyle w:val="Hyperlink"/>
          </w:rPr>
          <w:t>Principle 9</w:t>
        </w:r>
        <w:r w:rsidR="00EC3744">
          <w:rPr>
            <w:color w:val="auto"/>
            <w:sz w:val="22"/>
            <w:szCs w:val="22"/>
          </w:rPr>
          <w:tab/>
        </w:r>
        <w:r w:rsidR="00EC3744" w:rsidRPr="00AA06F0">
          <w:rPr>
            <w:rStyle w:val="Hyperlink"/>
          </w:rPr>
          <w:t>Be transparent and accountable for how you perform your activities</w:t>
        </w:r>
        <w:r w:rsidR="00EC3744">
          <w:rPr>
            <w:webHidden/>
          </w:rPr>
          <w:tab/>
        </w:r>
        <w:r w:rsidR="00EC3744">
          <w:rPr>
            <w:webHidden/>
          </w:rPr>
          <w:fldChar w:fldCharType="begin"/>
        </w:r>
        <w:r w:rsidR="00EC3744">
          <w:rPr>
            <w:webHidden/>
          </w:rPr>
          <w:instrText xml:space="preserve"> PAGEREF _Toc121997869 \h </w:instrText>
        </w:r>
        <w:r w:rsidR="00EC3744">
          <w:rPr>
            <w:webHidden/>
          </w:rPr>
        </w:r>
        <w:r>
          <w:rPr>
            <w:webHidden/>
          </w:rPr>
          <w:fldChar w:fldCharType="separate"/>
        </w:r>
        <w:r w:rsidR="00EC3744">
          <w:rPr>
            <w:webHidden/>
          </w:rPr>
          <w:fldChar w:fldCharType="end"/>
        </w:r>
      </w:hyperlink>
    </w:p>
    <w:p w14:paraId="5CDC4315" w14:textId="614A91E0" w:rsidR="00EC3744" w:rsidRDefault="00243C69" w:rsidP="00EC3744">
      <w:pPr>
        <w:pStyle w:val="TOC3"/>
        <w:rPr>
          <w:color w:val="auto"/>
          <w:sz w:val="22"/>
          <w:szCs w:val="22"/>
        </w:rPr>
      </w:pPr>
      <w:hyperlink w:anchor="_Toc121997870" w:history="1">
        <w:r w:rsidR="00EC3744" w:rsidRPr="00AA06F0">
          <w:rPr>
            <w:rStyle w:val="Hyperlink"/>
          </w:rPr>
          <w:t>Principle 10</w:t>
        </w:r>
        <w:r w:rsidR="00EC3744">
          <w:rPr>
            <w:color w:val="auto"/>
            <w:sz w:val="22"/>
            <w:szCs w:val="22"/>
          </w:rPr>
          <w:tab/>
        </w:r>
        <w:r w:rsidR="00EC3744" w:rsidRPr="00AA06F0">
          <w:rPr>
            <w:rStyle w:val="Hyperlink"/>
          </w:rPr>
          <w:t>Continuously improve your regulatory operations</w:t>
        </w:r>
        <w:r w:rsidR="00EC3744">
          <w:rPr>
            <w:webHidden/>
          </w:rPr>
          <w:tab/>
        </w:r>
        <w:r w:rsidR="00EC3744">
          <w:rPr>
            <w:webHidden/>
          </w:rPr>
          <w:fldChar w:fldCharType="begin"/>
        </w:r>
        <w:r w:rsidR="00EC3744">
          <w:rPr>
            <w:webHidden/>
          </w:rPr>
          <w:instrText xml:space="preserve"> PAGEREF _Toc121997870 \h </w:instrText>
        </w:r>
        <w:r w:rsidR="00EC3744">
          <w:rPr>
            <w:webHidden/>
          </w:rPr>
        </w:r>
        <w:r>
          <w:rPr>
            <w:webHidden/>
          </w:rPr>
          <w:fldChar w:fldCharType="separate"/>
        </w:r>
        <w:r w:rsidR="00EC3744">
          <w:rPr>
            <w:webHidden/>
          </w:rPr>
          <w:fldChar w:fldCharType="end"/>
        </w:r>
      </w:hyperlink>
    </w:p>
    <w:p w14:paraId="1C38E6C9" w14:textId="09066F0C" w:rsidR="00A35FBA" w:rsidRPr="00A35FBA" w:rsidRDefault="00EC3744" w:rsidP="00EC3744">
      <w:r>
        <w:rPr>
          <w:noProof/>
          <w:lang w:eastAsia="en-US"/>
        </w:rPr>
        <w:fldChar w:fldCharType="end"/>
      </w:r>
    </w:p>
    <w:p w14:paraId="4DFA6D62" w14:textId="77777777" w:rsidR="00A35FBA" w:rsidRPr="00A35FBA" w:rsidRDefault="00A35FBA" w:rsidP="00A35FBA">
      <w:pPr>
        <w:sectPr w:rsidR="00A35FBA" w:rsidRPr="00A35FBA" w:rsidSect="00CD7B88">
          <w:headerReference w:type="even" r:id="rId25"/>
          <w:headerReference w:type="default" r:id="rId26"/>
          <w:footerReference w:type="even" r:id="rId27"/>
          <w:footerReference w:type="default" r:id="rId28"/>
          <w:pgSz w:w="11906" w:h="16838" w:code="9"/>
          <w:pgMar w:top="1440" w:right="1440" w:bottom="1728" w:left="1440" w:header="562" w:footer="461" w:gutter="0"/>
          <w:pgNumType w:fmt="lowerRoman" w:start="1"/>
          <w:cols w:space="708"/>
          <w:docGrid w:linePitch="360"/>
        </w:sectPr>
      </w:pPr>
    </w:p>
    <w:p w14:paraId="4C34A36B" w14:textId="77777777" w:rsidR="00BD7CEE" w:rsidRPr="009B2709" w:rsidRDefault="00BD7CEE" w:rsidP="00A53658">
      <w:pPr>
        <w:pStyle w:val="Heading1"/>
        <w:spacing w:before="0" w:after="160" w:line="254" w:lineRule="auto"/>
      </w:pPr>
      <w:bookmarkStart w:id="0" w:name="_Toc121997743"/>
      <w:bookmarkStart w:id="1" w:name="_Toc121997857"/>
      <w:bookmarkStart w:id="2" w:name="_Hlk53049320"/>
      <w:r>
        <w:t>Supporting regulator board members</w:t>
      </w:r>
      <w:bookmarkEnd w:id="0"/>
      <w:bookmarkEnd w:id="1"/>
    </w:p>
    <w:p w14:paraId="1A6E1D02" w14:textId="77777777" w:rsidR="00BD7CEE" w:rsidRDefault="00BD7CEE" w:rsidP="00BD7CEE">
      <w:pPr>
        <w:spacing w:line="254" w:lineRule="auto"/>
      </w:pPr>
      <w:r w:rsidRPr="007A1A04">
        <w:t>Regulators play a critical role in protecting communities and our environment from risks of harm. They have a specific status in government, with powers and functions that exercise control or place responsibilities on individuals, businesses, the public, and government bodies</w:t>
      </w:r>
      <w:r>
        <w:t>,</w:t>
      </w:r>
      <w:r w:rsidRPr="007A1A04">
        <w:t xml:space="preserve"> </w:t>
      </w:r>
      <w:r>
        <w:t xml:space="preserve">and they </w:t>
      </w:r>
      <w:r w:rsidRPr="007A1A04">
        <w:t>are expected to maintain the highest standards of conduct and integrity.</w:t>
      </w:r>
    </w:p>
    <w:p w14:paraId="0D5BA71A" w14:textId="77777777" w:rsidR="00BD7CEE" w:rsidRDefault="00BD7CEE" w:rsidP="00BD7CEE">
      <w:pPr>
        <w:spacing w:line="254" w:lineRule="auto"/>
      </w:pPr>
      <w:r w:rsidRPr="007A1A04">
        <w:t>Many Victorian regulators</w:t>
      </w:r>
      <w:r>
        <w:t xml:space="preserve"> are comprised of, or governed by, boards. Board members bring </w:t>
      </w:r>
      <w:r w:rsidRPr="04257D65">
        <w:t xml:space="preserve">specific </w:t>
      </w:r>
      <w:r>
        <w:t>expertise, industry insights and judgement to guide regulator strategy, industry engagement and integrity in operations.</w:t>
      </w:r>
    </w:p>
    <w:p w14:paraId="10264DF7" w14:textId="77777777" w:rsidR="00BD7CEE" w:rsidRDefault="00BD7CEE" w:rsidP="00BD7CEE">
      <w:pPr>
        <w:spacing w:line="254" w:lineRule="auto"/>
      </w:pPr>
      <w:r>
        <w:t xml:space="preserve">This Paper is an adaptation from the Towards Best Practice Guide for Regulators (the Guide) published by Better Regulation Victoria (BRV). The Guide is available at: </w:t>
      </w:r>
      <w:hyperlink r:id="rId29">
        <w:r w:rsidRPr="04257D65">
          <w:rPr>
            <w:rStyle w:val="Hyperlink"/>
          </w:rPr>
          <w:t>https://www.vic.gov.au/towards-best-practice-guide-regulators</w:t>
        </w:r>
      </w:hyperlink>
      <w:r>
        <w:rPr>
          <w:rStyle w:val="Hyperlink"/>
        </w:rPr>
        <w:t>.</w:t>
      </w:r>
      <w:r>
        <w:t xml:space="preserve"> </w:t>
      </w:r>
    </w:p>
    <w:p w14:paraId="2889B514" w14:textId="77777777" w:rsidR="00BD7CEE" w:rsidRDefault="00BD7CEE" w:rsidP="00BD7CEE">
      <w:pPr>
        <w:spacing w:line="254" w:lineRule="auto"/>
        <w:rPr>
          <w:i/>
        </w:rPr>
      </w:pPr>
      <w:r>
        <w:t xml:space="preserve">At the request of regulator chairs, BRV has based this Paper on the 10 principles of best practice in the Guide.  In developing this Paper, BRV has benefitted from the input of many regulator chairs and boards to ensure that we understand the challenges they face in translating their expertise to a regulatory context, and in applying </w:t>
      </w:r>
      <w:r w:rsidRPr="04257D65">
        <w:t xml:space="preserve">high standards of governance </w:t>
      </w:r>
      <w:r>
        <w:t xml:space="preserve">to their regulatory role. </w:t>
      </w:r>
    </w:p>
    <w:p w14:paraId="45F48A85" w14:textId="77777777" w:rsidR="00BD7CEE" w:rsidRDefault="00BD7CEE" w:rsidP="00BD7CEE">
      <w:pPr>
        <w:spacing w:line="254" w:lineRule="auto"/>
      </w:pPr>
      <w:r>
        <w:t xml:space="preserve">The Guide </w:t>
      </w:r>
      <w:r w:rsidRPr="5DE78E53">
        <w:t xml:space="preserve">sets out </w:t>
      </w:r>
      <w:r>
        <w:t xml:space="preserve">the </w:t>
      </w:r>
      <w:r w:rsidRPr="5DE78E53">
        <w:t>10 principles which are the key to ‘best practice’ regulation</w:t>
      </w:r>
      <w:r>
        <w:t xml:space="preserve"> and, in this Paper,</w:t>
      </w:r>
      <w:r w:rsidRPr="5DE78E53">
        <w:t xml:space="preserve"> we have set out these principles and then set them in context for chairs and board members</w:t>
      </w:r>
      <w:r>
        <w:t xml:space="preserve">: in particular we have outlined </w:t>
      </w:r>
      <w:r w:rsidRPr="5DE78E53">
        <w:t xml:space="preserve">relevant questions </w:t>
      </w:r>
      <w:r>
        <w:t xml:space="preserve">based on the principles </w:t>
      </w:r>
      <w:r w:rsidRPr="5DE78E53">
        <w:t xml:space="preserve">which may be useful for chairs and board members to </w:t>
      </w:r>
      <w:r>
        <w:t xml:space="preserve">consider. </w:t>
      </w:r>
    </w:p>
    <w:p w14:paraId="5172EA61" w14:textId="77777777" w:rsidR="00BD7CEE" w:rsidRDefault="00BD7CEE" w:rsidP="00BD7CEE">
      <w:pPr>
        <w:spacing w:line="254" w:lineRule="auto"/>
      </w:pPr>
      <w:r w:rsidRPr="4A921D0D">
        <w:t xml:space="preserve">I hope that you will find this Paper useful. I would particularly like to thank the chairs and board members of regulators who provided input as well as Eliot Palmer, Manager, Regulatory Improvement, BRV, and Adam Beaumont of With Purpose Solutions for their work in developing the Paper. </w:t>
      </w:r>
    </w:p>
    <w:p w14:paraId="409671D1" w14:textId="77777777" w:rsidR="00BD7CEE" w:rsidRDefault="00BD7CEE" w:rsidP="00BD7CEE">
      <w:pPr>
        <w:spacing w:line="254" w:lineRule="auto"/>
      </w:pPr>
    </w:p>
    <w:p w14:paraId="66992BF3" w14:textId="77777777" w:rsidR="00BD7CEE" w:rsidRDefault="00BD7CEE" w:rsidP="00BD7CEE">
      <w:pPr>
        <w:spacing w:line="254" w:lineRule="auto"/>
      </w:pPr>
      <w:r>
        <w:rPr>
          <w:noProof/>
        </w:rPr>
        <w:drawing>
          <wp:inline distT="0" distB="0" distL="0" distR="0" wp14:anchorId="5116E4C1" wp14:editId="4B7BB199">
            <wp:extent cx="1354347" cy="391067"/>
            <wp:effectExtent l="0" t="0" r="0" b="9525"/>
            <wp:docPr id="7" name="Picture 7" descr="Anna Cron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na Cronin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56362" cy="391649"/>
                    </a:xfrm>
                    <a:prstGeom prst="rect">
                      <a:avLst/>
                    </a:prstGeom>
                    <a:noFill/>
                    <a:ln>
                      <a:noFill/>
                    </a:ln>
                  </pic:spPr>
                </pic:pic>
              </a:graphicData>
            </a:graphic>
          </wp:inline>
        </w:drawing>
      </w:r>
    </w:p>
    <w:p w14:paraId="1D37FEFE" w14:textId="77777777" w:rsidR="00BD7CEE" w:rsidRDefault="00BD7CEE" w:rsidP="00BD7CEE">
      <w:pPr>
        <w:spacing w:after="0" w:line="254" w:lineRule="auto"/>
      </w:pPr>
      <w:r>
        <w:t>Anna Cronin</w:t>
      </w:r>
    </w:p>
    <w:p w14:paraId="083E1777" w14:textId="77777777" w:rsidR="00BD7CEE" w:rsidRPr="005870E7" w:rsidRDefault="00BD7CEE" w:rsidP="00BD7CEE">
      <w:pPr>
        <w:spacing w:line="254" w:lineRule="auto"/>
        <w:rPr>
          <w:b/>
          <w:bCs/>
        </w:rPr>
      </w:pPr>
      <w:r w:rsidRPr="005870E7">
        <w:rPr>
          <w:b/>
          <w:bCs/>
        </w:rPr>
        <w:t>Commissioner for Better Regulation</w:t>
      </w:r>
    </w:p>
    <w:p w14:paraId="5547756C" w14:textId="2A2F55DD" w:rsidR="00BD7CEE" w:rsidRDefault="00BD7CEE">
      <w:pPr>
        <w:keepLines w:val="0"/>
        <w:spacing w:before="0" w:after="160" w:line="259" w:lineRule="auto"/>
      </w:pPr>
      <w:r>
        <w:br w:type="page"/>
      </w:r>
    </w:p>
    <w:p w14:paraId="5F979F66" w14:textId="77777777" w:rsidR="00BD7CEE" w:rsidRPr="00D35C4A" w:rsidRDefault="00BD7CEE" w:rsidP="00D35C4A">
      <w:pPr>
        <w:pStyle w:val="Heading1"/>
      </w:pPr>
      <w:bookmarkStart w:id="3" w:name="_Toc121997744"/>
      <w:bookmarkStart w:id="4" w:name="_Toc121997858"/>
      <w:r w:rsidRPr="00D35C4A">
        <w:t>The differences for a Regulatory Board</w:t>
      </w:r>
      <w:bookmarkEnd w:id="3"/>
      <w:bookmarkEnd w:id="4"/>
    </w:p>
    <w:p w14:paraId="7FC4AC13" w14:textId="22395907" w:rsidR="00B5330D" w:rsidRPr="008C714E" w:rsidRDefault="00BD7CEE" w:rsidP="008C714E">
      <w:pPr>
        <w:spacing w:line="254" w:lineRule="auto"/>
      </w:pPr>
      <w:r>
        <w:t xml:space="preserve">BRV’s </w:t>
      </w:r>
      <w:r w:rsidRPr="005F47E1">
        <w:rPr>
          <w:i/>
        </w:rPr>
        <w:t xml:space="preserve">Towards Best Practice </w:t>
      </w:r>
      <w:r w:rsidRPr="00B76E3E">
        <w:t xml:space="preserve">Guide </w:t>
      </w:r>
      <w:r>
        <w:t xml:space="preserve">(the Guide) sets out principles for regulators covering </w:t>
      </w:r>
      <w:r w:rsidRPr="001B18B8">
        <w:rPr>
          <w:i/>
        </w:rPr>
        <w:t>strategy</w:t>
      </w:r>
      <w:r>
        <w:t xml:space="preserve">, </w:t>
      </w:r>
      <w:r w:rsidRPr="001B18B8">
        <w:rPr>
          <w:i/>
        </w:rPr>
        <w:t xml:space="preserve">operations </w:t>
      </w:r>
      <w:r>
        <w:t xml:space="preserve">and </w:t>
      </w:r>
      <w:r w:rsidRPr="001B18B8">
        <w:rPr>
          <w:i/>
        </w:rPr>
        <w:t>enabling practices</w:t>
      </w:r>
      <w:r>
        <w:t xml:space="preserve">. These principles provide a framework for interpreting and applying good governance practice. </w:t>
      </w:r>
    </w:p>
    <w:p w14:paraId="415B0E6F" w14:textId="75BD71D3" w:rsidR="00BD7CEE" w:rsidRDefault="00BD7CEE" w:rsidP="00BD7CEE">
      <w:pPr>
        <w:spacing w:line="254" w:lineRule="auto"/>
      </w:pPr>
      <w:r>
        <w:t xml:space="preserve">Resources relating to ‘being a Board Member’ are available from the </w:t>
      </w:r>
      <w:r w:rsidRPr="007A1A04">
        <w:t>Victorian Public Sector Commission (</w:t>
      </w:r>
      <w:r>
        <w:t xml:space="preserve">at </w:t>
      </w:r>
      <w:hyperlink r:id="rId31" w:history="1">
        <w:r w:rsidRPr="007C4ABF">
          <w:rPr>
            <w:rStyle w:val="Hyperlink"/>
          </w:rPr>
          <w:t>boards.vic.gov.au</w:t>
        </w:r>
      </w:hyperlink>
      <w:r w:rsidRPr="007A1A04">
        <w:t>)</w:t>
      </w:r>
      <w:r>
        <w:t>, and other public sector bodies</w:t>
      </w:r>
      <w:r w:rsidRPr="007A1A04">
        <w:t>.</w:t>
      </w:r>
      <w:r>
        <w:rPr>
          <w:rStyle w:val="FootnoteReference"/>
        </w:rPr>
        <w:footnoteReference w:id="2"/>
      </w:r>
      <w:r>
        <w:t xml:space="preserve"> These cover </w:t>
      </w:r>
      <w:r w:rsidRPr="007A1A04">
        <w:t xml:space="preserve">good </w:t>
      </w:r>
      <w:r>
        <w:t>b</w:t>
      </w:r>
      <w:r w:rsidRPr="007A1A04">
        <w:t xml:space="preserve">oard practice, </w:t>
      </w:r>
      <w:r>
        <w:t>m</w:t>
      </w:r>
      <w:r w:rsidRPr="007A1A04">
        <w:t xml:space="preserve">ember codes of </w:t>
      </w:r>
      <w:r>
        <w:t>c</w:t>
      </w:r>
      <w:r w:rsidRPr="007A1A04">
        <w:t xml:space="preserve">onduct, obligations of members or directors, </w:t>
      </w:r>
      <w:r>
        <w:t xml:space="preserve">and </w:t>
      </w:r>
      <w:r w:rsidRPr="007A1A04">
        <w:t>s</w:t>
      </w:r>
      <w:r>
        <w:t>pecific requirements on members.</w:t>
      </w:r>
      <w:r w:rsidRPr="007A1A04">
        <w:t xml:space="preserve"> </w:t>
      </w:r>
    </w:p>
    <w:p w14:paraId="6C801D9B" w14:textId="4C92E7D3" w:rsidR="00A44A5C" w:rsidRDefault="00BD7CEE" w:rsidP="7BA9EBCE">
      <w:pPr>
        <w:keepLines w:val="0"/>
        <w:spacing w:before="0" w:after="160" w:line="254" w:lineRule="auto"/>
      </w:pPr>
      <w:r>
        <w:t>Applying these best practice principles in a regulatory context may involve additional considerations, reflecting the powers of regulatory bodies and their harm reduction purpose.</w:t>
      </w:r>
    </w:p>
    <w:p w14:paraId="7F534D9B" w14:textId="6674B7C6" w:rsidR="00BD7CEE" w:rsidRPr="00BD7CEE" w:rsidRDefault="00BD7CEE" w:rsidP="00BD7CEE">
      <w:pPr>
        <w:pStyle w:val="Highlightboxheading"/>
      </w:pPr>
      <w:r w:rsidRPr="00BD7CEE">
        <w:t>Regulatory bodies</w:t>
      </w:r>
    </w:p>
    <w:p w14:paraId="13386D0A" w14:textId="732870DA" w:rsidR="00BD7CEE" w:rsidRDefault="00BD7CEE" w:rsidP="00BD7CEE">
      <w:pPr>
        <w:pStyle w:val="Highlightboxtext"/>
      </w:pPr>
      <w:r w:rsidRPr="007368C4">
        <w:t xml:space="preserve">For the purposes of this </w:t>
      </w:r>
      <w:r>
        <w:t>Paper</w:t>
      </w:r>
      <w:r w:rsidRPr="007368C4">
        <w:t xml:space="preserve">, </w:t>
      </w:r>
      <w:r>
        <w:t>r</w:t>
      </w:r>
      <w:r w:rsidRPr="007368C4">
        <w:t xml:space="preserve">egulatory </w:t>
      </w:r>
      <w:r>
        <w:t>b</w:t>
      </w:r>
      <w:r w:rsidRPr="007368C4">
        <w:t xml:space="preserve">odies (including </w:t>
      </w:r>
      <w:r>
        <w:t>r</w:t>
      </w:r>
      <w:r w:rsidRPr="007368C4">
        <w:t xml:space="preserve">egistration </w:t>
      </w:r>
      <w:r>
        <w:t>b</w:t>
      </w:r>
      <w:r w:rsidRPr="007368C4">
        <w:t xml:space="preserve">oards) are </w:t>
      </w:r>
      <w:r w:rsidRPr="5E2FD493">
        <w:t>public</w:t>
      </w:r>
      <w:r>
        <w:t xml:space="preserve"> </w:t>
      </w:r>
      <w:r w:rsidRPr="007368C4">
        <w:t>entities that may do any of the following:</w:t>
      </w:r>
    </w:p>
    <w:p w14:paraId="7FC3AC17" w14:textId="77777777" w:rsidR="00BD7CEE" w:rsidRPr="007368C4" w:rsidRDefault="00BD7CEE" w:rsidP="00BD7CEE">
      <w:pPr>
        <w:pStyle w:val="Highlightboxbullet"/>
      </w:pPr>
      <w:r w:rsidRPr="51D2DE55">
        <w:t>undertake significant statutory functions</w:t>
      </w:r>
    </w:p>
    <w:p w14:paraId="10ADDC94" w14:textId="77777777" w:rsidR="00BD7CEE" w:rsidRPr="007368C4" w:rsidRDefault="00BD7CEE" w:rsidP="00BD7CEE">
      <w:pPr>
        <w:pStyle w:val="Highlightboxbullet"/>
      </w:pPr>
      <w:r w:rsidRPr="007368C4">
        <w:t>determine standards and monitor and regulate practice</w:t>
      </w:r>
    </w:p>
    <w:p w14:paraId="78F3D4BB" w14:textId="77777777" w:rsidR="00BD7CEE" w:rsidRPr="007368C4" w:rsidRDefault="00BD7CEE" w:rsidP="00BD7CEE">
      <w:pPr>
        <w:pStyle w:val="Highlightboxbullet"/>
      </w:pPr>
      <w:r w:rsidRPr="007368C4">
        <w:t>regulate organisations, individuals, professional</w:t>
      </w:r>
      <w:r>
        <w:t>s</w:t>
      </w:r>
      <w:r w:rsidRPr="007368C4">
        <w:t>, practitioners</w:t>
      </w:r>
      <w:r>
        <w:t xml:space="preserve"> or </w:t>
      </w:r>
      <w:r w:rsidRPr="007368C4">
        <w:t xml:space="preserve">trades </w:t>
      </w:r>
    </w:p>
    <w:p w14:paraId="3D350843" w14:textId="77777777" w:rsidR="00BD7CEE" w:rsidRPr="007368C4" w:rsidRDefault="00BD7CEE" w:rsidP="00BD7CEE">
      <w:pPr>
        <w:pStyle w:val="Highlightboxbullet"/>
      </w:pPr>
      <w:r w:rsidRPr="007368C4">
        <w:t>grant licences or permissions</w:t>
      </w:r>
    </w:p>
    <w:p w14:paraId="368AD5C5" w14:textId="77777777" w:rsidR="00BD7CEE" w:rsidRPr="007368C4" w:rsidRDefault="00BD7CEE" w:rsidP="00BD7CEE">
      <w:pPr>
        <w:pStyle w:val="Highlightboxbullet"/>
      </w:pPr>
      <w:r w:rsidRPr="5E2FD493">
        <w:t>make</w:t>
      </w:r>
      <w:r w:rsidRPr="007368C4" w:rsidDel="001B18B8">
        <w:t xml:space="preserve"> </w:t>
      </w:r>
      <w:r w:rsidRPr="007368C4">
        <w:t>decisions affecting large groups</w:t>
      </w:r>
      <w:r>
        <w:t xml:space="preserve"> or significant sectors of the economy</w:t>
      </w:r>
    </w:p>
    <w:p w14:paraId="0737C1D5" w14:textId="77777777" w:rsidR="00BD7CEE" w:rsidRPr="007368C4" w:rsidRDefault="00BD7CEE" w:rsidP="00BD7CEE">
      <w:pPr>
        <w:pStyle w:val="Highlightboxbullet"/>
      </w:pPr>
      <w:r w:rsidRPr="007368C4">
        <w:t xml:space="preserve">investigate complaints, review decisions and make </w:t>
      </w:r>
      <w:r>
        <w:t>enforceable decisions</w:t>
      </w:r>
    </w:p>
    <w:p w14:paraId="0113C500" w14:textId="77777777" w:rsidR="00BD7CEE" w:rsidRPr="00142746" w:rsidRDefault="00BD7CEE" w:rsidP="00A402BE">
      <w:pPr>
        <w:pStyle w:val="Highlightboxbullet"/>
        <w:spacing w:after="0"/>
      </w:pPr>
      <w:r w:rsidRPr="007368C4">
        <w:t>determine matters of importance within a regulatory or registration role</w:t>
      </w:r>
    </w:p>
    <w:p w14:paraId="0D2B61F2" w14:textId="71970DAD" w:rsidR="00BD7CEE" w:rsidRPr="00230737" w:rsidRDefault="00BD7CEE" w:rsidP="00BD7CEE">
      <w:pPr>
        <w:pStyle w:val="Spacer"/>
        <w:rPr>
          <w:rFonts w:eastAsiaTheme="minorEastAsia"/>
        </w:rPr>
      </w:pPr>
    </w:p>
    <w:p w14:paraId="4C2EFCC1" w14:textId="60FF4AD6" w:rsidR="00BD7CEE" w:rsidRPr="003F7D29" w:rsidRDefault="00BD7CEE" w:rsidP="00BD7CEE">
      <w:r>
        <w:t xml:space="preserve">Best practice for regulator boards draws heavily from principles for good governance that apply to all boards. Applying BRV’s best practice regulatory principles provides a foundation from which we draw important aspects of regulator governance. The figures overleaf provide examples of this alignment. </w:t>
      </w:r>
    </w:p>
    <w:p w14:paraId="6B94108C" w14:textId="4625536E" w:rsidR="00BD7CEE" w:rsidRPr="003F7D29" w:rsidRDefault="00BD7CEE" w:rsidP="00BD7CEE">
      <w:r>
        <w:t>The following section identifies how board members can support their organisation to move towards best practice. It identifies what board members could reasonably expect of their management under each principle from the Guide</w:t>
      </w:r>
      <w:r w:rsidRPr="7BA9EBCE">
        <w:rPr>
          <w:i/>
          <w:iCs/>
        </w:rPr>
        <w:t xml:space="preserve"> </w:t>
      </w:r>
      <w:r>
        <w:t>(where appropriate to their scale, scope and functions). These include common products to look for, and questions to ask to understand organisational performance. Regulators are often seeking continuous improvement, so where there are gaps, boards may inquire about the regulator’s context, and fit-for-purpose plans to address these.</w:t>
      </w:r>
    </w:p>
    <w:p w14:paraId="74FDBCB9" w14:textId="05F8A0C7" w:rsidR="00492553" w:rsidRDefault="00BD7CEE" w:rsidP="00BD7CEE">
      <w:pPr>
        <w:pStyle w:val="Heading2"/>
        <w:pageBreakBefore/>
      </w:pPr>
      <w:bookmarkStart w:id="5" w:name="_Toc121997745"/>
      <w:bookmarkStart w:id="6" w:name="_Toc121997859"/>
      <w:r>
        <w:t>Regulatory principles and regulator board considerations</w:t>
      </w:r>
      <w:bookmarkEnd w:id="5"/>
      <w:bookmarkEnd w:id="6"/>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489"/>
        <w:gridCol w:w="275"/>
        <w:gridCol w:w="2630"/>
        <w:gridCol w:w="275"/>
        <w:gridCol w:w="3511"/>
      </w:tblGrid>
      <w:tr w:rsidR="00BD7CEE" w:rsidRPr="002109F1" w14:paraId="51D8B966" w14:textId="77777777" w:rsidTr="00824127">
        <w:tc>
          <w:tcPr>
            <w:tcW w:w="2489" w:type="dxa"/>
            <w:shd w:val="clear" w:color="auto" w:fill="71C5E8" w:themeFill="accent1"/>
          </w:tcPr>
          <w:p w14:paraId="1713D5BB" w14:textId="77777777" w:rsidR="00BD7CEE" w:rsidRPr="00960767" w:rsidRDefault="00BD7CEE" w:rsidP="00BD7CEE">
            <w:pPr>
              <w:spacing w:before="60" w:after="60"/>
              <w:jc w:val="center"/>
              <w:rPr>
                <w:rFonts w:cstheme="majorBidi"/>
                <w:b/>
                <w:bCs/>
                <w:color w:val="FFFFFF" w:themeColor="background1"/>
                <w:sz w:val="18"/>
                <w:szCs w:val="18"/>
                <w:lang w:val="en-US"/>
              </w:rPr>
            </w:pPr>
            <w:r w:rsidRPr="00960767">
              <w:rPr>
                <w:rFonts w:cstheme="majorBidi"/>
                <w:b/>
                <w:bCs/>
                <w:color w:val="FFFFFF" w:themeColor="background1"/>
                <w:sz w:val="18"/>
                <w:szCs w:val="18"/>
                <w:lang w:val="en-US"/>
              </w:rPr>
              <w:t>Towards Best Practice strategy principles</w:t>
            </w:r>
          </w:p>
        </w:tc>
        <w:tc>
          <w:tcPr>
            <w:tcW w:w="275" w:type="dxa"/>
            <w:shd w:val="clear" w:color="auto" w:fill="auto"/>
          </w:tcPr>
          <w:p w14:paraId="6EFB33CF" w14:textId="77777777" w:rsidR="00BD7CEE" w:rsidRPr="00960767" w:rsidRDefault="00BD7CEE" w:rsidP="002109F1">
            <w:pPr>
              <w:pStyle w:val="Spacer"/>
              <w:rPr>
                <w:rFonts w:eastAsiaTheme="minorEastAsia"/>
                <w:sz w:val="18"/>
                <w:szCs w:val="18"/>
              </w:rPr>
            </w:pPr>
          </w:p>
        </w:tc>
        <w:tc>
          <w:tcPr>
            <w:tcW w:w="2630" w:type="dxa"/>
            <w:shd w:val="clear" w:color="auto" w:fill="71C5E8" w:themeFill="accent1"/>
          </w:tcPr>
          <w:p w14:paraId="35FF73FA" w14:textId="77777777" w:rsidR="00BD7CEE" w:rsidRPr="00960767" w:rsidRDefault="00BD7CEE" w:rsidP="00BD7CEE">
            <w:pPr>
              <w:spacing w:before="60" w:after="60"/>
              <w:jc w:val="center"/>
              <w:rPr>
                <w:rFonts w:cstheme="majorBidi"/>
                <w:b/>
                <w:bCs/>
                <w:color w:val="FFFFFF" w:themeColor="background1"/>
                <w:sz w:val="18"/>
                <w:szCs w:val="18"/>
                <w:lang w:val="en-US"/>
              </w:rPr>
            </w:pPr>
            <w:r w:rsidRPr="00960767">
              <w:rPr>
                <w:rFonts w:cstheme="majorBidi"/>
                <w:b/>
                <w:bCs/>
                <w:color w:val="FFFFFF" w:themeColor="background1"/>
                <w:sz w:val="18"/>
                <w:szCs w:val="18"/>
                <w:lang w:val="en-US"/>
              </w:rPr>
              <w:t>Common expectations for Board Members</w:t>
            </w:r>
          </w:p>
        </w:tc>
        <w:tc>
          <w:tcPr>
            <w:tcW w:w="275" w:type="dxa"/>
            <w:shd w:val="clear" w:color="auto" w:fill="auto"/>
          </w:tcPr>
          <w:p w14:paraId="24110754" w14:textId="77777777" w:rsidR="00BD7CEE" w:rsidRPr="00960767" w:rsidRDefault="00BD7CEE" w:rsidP="002109F1">
            <w:pPr>
              <w:pStyle w:val="Spacer"/>
              <w:rPr>
                <w:rFonts w:eastAsiaTheme="minorEastAsia"/>
                <w:sz w:val="18"/>
                <w:szCs w:val="18"/>
              </w:rPr>
            </w:pPr>
          </w:p>
        </w:tc>
        <w:tc>
          <w:tcPr>
            <w:tcW w:w="3511" w:type="dxa"/>
            <w:shd w:val="clear" w:color="auto" w:fill="71C5E8" w:themeFill="accent1"/>
          </w:tcPr>
          <w:p w14:paraId="3C52DC43" w14:textId="77777777" w:rsidR="00BD7CEE" w:rsidRPr="00960767" w:rsidRDefault="00BD7CEE" w:rsidP="00BD7CEE">
            <w:pPr>
              <w:spacing w:before="60" w:after="60"/>
              <w:jc w:val="center"/>
              <w:rPr>
                <w:rFonts w:cstheme="majorBidi"/>
                <w:b/>
                <w:bCs/>
                <w:color w:val="FFFFFF" w:themeColor="background1"/>
                <w:sz w:val="18"/>
                <w:szCs w:val="18"/>
                <w:lang w:val="en-US"/>
              </w:rPr>
            </w:pPr>
            <w:r w:rsidRPr="00960767">
              <w:rPr>
                <w:rFonts w:cstheme="majorBidi"/>
                <w:b/>
                <w:bCs/>
                <w:color w:val="FFFFFF" w:themeColor="background1"/>
                <w:sz w:val="18"/>
                <w:szCs w:val="18"/>
                <w:lang w:val="en-US"/>
              </w:rPr>
              <w:t>Applying in a regulatory context</w:t>
            </w:r>
          </w:p>
        </w:tc>
      </w:tr>
      <w:tr w:rsidR="00D35C4A" w:rsidRPr="002109F1" w14:paraId="1C59CB5F" w14:textId="77777777" w:rsidTr="00824127">
        <w:tc>
          <w:tcPr>
            <w:tcW w:w="2489" w:type="dxa"/>
            <w:shd w:val="clear" w:color="auto" w:fill="E2F3FA" w:themeFill="accent1" w:themeFillTint="33"/>
          </w:tcPr>
          <w:p w14:paraId="024D6DB4" w14:textId="77777777" w:rsidR="00BD7CEE" w:rsidRPr="002109F1" w:rsidRDefault="00BD7CEE" w:rsidP="00D35C4A">
            <w:pPr>
              <w:pStyle w:val="Tablebullet"/>
              <w:spacing w:before="30" w:after="30"/>
              <w:ind w:left="216" w:hanging="216"/>
              <w:rPr>
                <w:sz w:val="15"/>
                <w:szCs w:val="15"/>
              </w:rPr>
            </w:pPr>
            <w:r w:rsidRPr="002109F1">
              <w:rPr>
                <w:b/>
                <w:bCs/>
                <w:sz w:val="15"/>
                <w:szCs w:val="15"/>
              </w:rPr>
              <w:t xml:space="preserve">Principle 1. </w:t>
            </w:r>
            <w:r w:rsidRPr="002109F1">
              <w:rPr>
                <w:sz w:val="15"/>
                <w:szCs w:val="15"/>
              </w:rPr>
              <w:t>Be clear on your regulatory outcome and the harms you are trying to minimise</w:t>
            </w:r>
          </w:p>
          <w:p w14:paraId="6F76383A"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2.</w:t>
            </w:r>
            <w:r w:rsidRPr="002109F1">
              <w:rPr>
                <w:sz w:val="15"/>
                <w:szCs w:val="15"/>
              </w:rPr>
              <w:t xml:space="preserve"> Establish and refine your approach to minimising harms</w:t>
            </w:r>
          </w:p>
          <w:p w14:paraId="2557FEDD"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3.</w:t>
            </w:r>
            <w:r w:rsidRPr="002109F1">
              <w:rPr>
                <w:sz w:val="15"/>
                <w:szCs w:val="15"/>
              </w:rPr>
              <w:t xml:space="preserve"> Ensure your regulatory regime is fit for purpose</w:t>
            </w:r>
          </w:p>
        </w:tc>
        <w:tc>
          <w:tcPr>
            <w:tcW w:w="275" w:type="dxa"/>
          </w:tcPr>
          <w:p w14:paraId="3BD91D28" w14:textId="77777777" w:rsidR="00BD7CEE" w:rsidRPr="002109F1" w:rsidRDefault="00BD7CEE" w:rsidP="002109F1">
            <w:pPr>
              <w:pStyle w:val="Spacer"/>
              <w:spacing w:before="30" w:after="30"/>
              <w:rPr>
                <w:rFonts w:eastAsiaTheme="minorEastAsia"/>
                <w:sz w:val="15"/>
                <w:szCs w:val="15"/>
              </w:rPr>
            </w:pPr>
          </w:p>
        </w:tc>
        <w:tc>
          <w:tcPr>
            <w:tcW w:w="2630" w:type="dxa"/>
            <w:shd w:val="clear" w:color="auto" w:fill="E2F3FA" w:themeFill="accent1" w:themeFillTint="33"/>
          </w:tcPr>
          <w:p w14:paraId="13405C34" w14:textId="77777777" w:rsidR="00BD7CEE" w:rsidRPr="002109F1" w:rsidRDefault="00BD7CEE" w:rsidP="00D35C4A">
            <w:pPr>
              <w:pStyle w:val="Tablebullet"/>
              <w:spacing w:before="30" w:after="30"/>
              <w:ind w:left="216" w:hanging="216"/>
              <w:rPr>
                <w:sz w:val="15"/>
                <w:szCs w:val="15"/>
              </w:rPr>
            </w:pPr>
            <w:r w:rsidRPr="002109F1">
              <w:rPr>
                <w:sz w:val="15"/>
                <w:szCs w:val="15"/>
                <w:lang w:val="en-US"/>
              </w:rPr>
              <w:t>Supporting</w:t>
            </w:r>
            <w:r w:rsidRPr="002109F1">
              <w:rPr>
                <w:sz w:val="15"/>
                <w:szCs w:val="15"/>
              </w:rPr>
              <w:t xml:space="preserve"> development of organisational strategy and clear direction</w:t>
            </w:r>
          </w:p>
          <w:p w14:paraId="271DF41C" w14:textId="77777777" w:rsidR="00BD7CEE" w:rsidRPr="002109F1" w:rsidRDefault="00BD7CEE" w:rsidP="00D35C4A">
            <w:pPr>
              <w:pStyle w:val="Tablebullet"/>
              <w:spacing w:before="30" w:after="30"/>
              <w:ind w:left="216" w:hanging="216"/>
              <w:rPr>
                <w:sz w:val="15"/>
                <w:szCs w:val="15"/>
              </w:rPr>
            </w:pPr>
            <w:r w:rsidRPr="002109F1">
              <w:rPr>
                <w:sz w:val="15"/>
                <w:szCs w:val="15"/>
              </w:rPr>
              <w:t>Acting with reasonable care and diligence</w:t>
            </w:r>
          </w:p>
          <w:p w14:paraId="432A9902" w14:textId="77777777" w:rsidR="00BD7CEE" w:rsidRPr="002109F1" w:rsidRDefault="00BD7CEE" w:rsidP="00D35C4A">
            <w:pPr>
              <w:pStyle w:val="Tablebullet"/>
              <w:spacing w:before="30" w:after="30"/>
              <w:ind w:left="216" w:hanging="216"/>
              <w:rPr>
                <w:sz w:val="15"/>
                <w:szCs w:val="15"/>
              </w:rPr>
            </w:pPr>
            <w:r w:rsidRPr="002109F1">
              <w:rPr>
                <w:sz w:val="15"/>
                <w:szCs w:val="15"/>
              </w:rPr>
              <w:t>Acting in the best interests of the organisation and its purpose</w:t>
            </w:r>
          </w:p>
          <w:p w14:paraId="543CBC77" w14:textId="77777777" w:rsidR="00BD7CEE" w:rsidRPr="002109F1" w:rsidRDefault="00BD7CEE" w:rsidP="00D35C4A">
            <w:pPr>
              <w:pStyle w:val="Tablebullet"/>
              <w:spacing w:before="30" w:after="30"/>
              <w:ind w:left="216" w:hanging="216"/>
              <w:rPr>
                <w:sz w:val="15"/>
                <w:szCs w:val="15"/>
              </w:rPr>
            </w:pPr>
            <w:r w:rsidRPr="002109F1">
              <w:rPr>
                <w:sz w:val="15"/>
                <w:szCs w:val="15"/>
              </w:rPr>
              <w:t>Understanding the operating environment</w:t>
            </w:r>
          </w:p>
          <w:p w14:paraId="3916F9CC" w14:textId="77777777" w:rsidR="00BD7CEE" w:rsidRPr="002109F1" w:rsidRDefault="00BD7CEE" w:rsidP="00D35C4A">
            <w:pPr>
              <w:pStyle w:val="Tablebullet"/>
              <w:spacing w:before="30" w:after="30"/>
              <w:ind w:left="216" w:hanging="216"/>
              <w:rPr>
                <w:sz w:val="15"/>
                <w:szCs w:val="15"/>
              </w:rPr>
            </w:pPr>
            <w:r w:rsidRPr="002109F1">
              <w:rPr>
                <w:sz w:val="15"/>
                <w:szCs w:val="15"/>
              </w:rPr>
              <w:t>Complying with establishing legislation or its equivalent, and acting within your powers and functions</w:t>
            </w:r>
          </w:p>
          <w:p w14:paraId="4179D569" w14:textId="77777777" w:rsidR="00BD7CEE" w:rsidRPr="002109F1" w:rsidRDefault="00BD7CEE" w:rsidP="00D35C4A">
            <w:pPr>
              <w:pStyle w:val="Tablebullet"/>
              <w:spacing w:before="30" w:after="30"/>
              <w:ind w:left="216" w:hanging="216"/>
              <w:rPr>
                <w:sz w:val="15"/>
                <w:szCs w:val="15"/>
                <w:lang w:val="en-US"/>
              </w:rPr>
            </w:pPr>
            <w:r w:rsidRPr="002109F1">
              <w:rPr>
                <w:sz w:val="15"/>
                <w:szCs w:val="15"/>
              </w:rPr>
              <w:t>Demonstrating leadership and stewardship</w:t>
            </w:r>
          </w:p>
        </w:tc>
        <w:tc>
          <w:tcPr>
            <w:tcW w:w="275" w:type="dxa"/>
          </w:tcPr>
          <w:p w14:paraId="79FCEFDD" w14:textId="77777777" w:rsidR="00BD7CEE" w:rsidRPr="002109F1" w:rsidRDefault="00BD7CEE" w:rsidP="002109F1">
            <w:pPr>
              <w:pStyle w:val="Spacer"/>
              <w:spacing w:before="30" w:after="30"/>
              <w:rPr>
                <w:rFonts w:eastAsiaTheme="minorEastAsia"/>
                <w:sz w:val="15"/>
                <w:szCs w:val="15"/>
              </w:rPr>
            </w:pPr>
          </w:p>
        </w:tc>
        <w:tc>
          <w:tcPr>
            <w:tcW w:w="3511" w:type="dxa"/>
            <w:shd w:val="clear" w:color="auto" w:fill="E2F3FA" w:themeFill="accent1" w:themeFillTint="33"/>
          </w:tcPr>
          <w:p w14:paraId="778ADF80" w14:textId="77777777" w:rsidR="00BD7CEE" w:rsidRPr="002109F1" w:rsidRDefault="00BD7CEE" w:rsidP="00D35C4A">
            <w:pPr>
              <w:pStyle w:val="Tablebullet"/>
              <w:spacing w:before="30" w:after="30"/>
              <w:ind w:left="216" w:hanging="216"/>
              <w:rPr>
                <w:sz w:val="15"/>
                <w:szCs w:val="15"/>
              </w:rPr>
            </w:pPr>
            <w:r w:rsidRPr="002109F1">
              <w:rPr>
                <w:sz w:val="15"/>
                <w:szCs w:val="15"/>
              </w:rPr>
              <w:t>Enquire as to key harms we need to minimise and the desired outcome</w:t>
            </w:r>
          </w:p>
          <w:p w14:paraId="25AD3932" w14:textId="77777777" w:rsidR="00BD7CEE" w:rsidRPr="002109F1" w:rsidRDefault="00BD7CEE" w:rsidP="00D35C4A">
            <w:pPr>
              <w:pStyle w:val="Tablebullet"/>
              <w:spacing w:before="30" w:after="30"/>
              <w:ind w:left="216" w:hanging="216"/>
              <w:rPr>
                <w:sz w:val="15"/>
                <w:szCs w:val="15"/>
              </w:rPr>
            </w:pPr>
            <w:r w:rsidRPr="002109F1">
              <w:rPr>
                <w:sz w:val="15"/>
                <w:szCs w:val="15"/>
              </w:rPr>
              <w:t>Act in the public interest to protect the community and environment, aligned to your regulatory objectives and outcomes</w:t>
            </w:r>
          </w:p>
          <w:p w14:paraId="01780B35" w14:textId="77777777" w:rsidR="00BD7CEE" w:rsidRPr="002109F1" w:rsidRDefault="00BD7CEE" w:rsidP="00D35C4A">
            <w:pPr>
              <w:pStyle w:val="Tablebullet"/>
              <w:spacing w:before="30" w:after="30"/>
              <w:ind w:left="216" w:hanging="216"/>
              <w:rPr>
                <w:sz w:val="15"/>
                <w:szCs w:val="15"/>
              </w:rPr>
            </w:pPr>
            <w:r w:rsidRPr="002109F1">
              <w:rPr>
                <w:sz w:val="15"/>
                <w:szCs w:val="15"/>
              </w:rPr>
              <w:t>The primary purpose of our regulatory actions, interventions and responses is to protect the public, minimise harm and deliver our stated regulatory outcomes</w:t>
            </w:r>
          </w:p>
          <w:p w14:paraId="7552B423" w14:textId="77777777" w:rsidR="00BD7CEE" w:rsidRPr="002109F1" w:rsidRDefault="00BD7CEE" w:rsidP="00D35C4A">
            <w:pPr>
              <w:pStyle w:val="Tablebullet"/>
              <w:spacing w:before="30" w:after="30"/>
              <w:ind w:left="216" w:hanging="216"/>
              <w:rPr>
                <w:sz w:val="15"/>
                <w:szCs w:val="15"/>
                <w:lang w:val="en-GB"/>
              </w:rPr>
            </w:pPr>
            <w:r w:rsidRPr="002109F1">
              <w:rPr>
                <w:sz w:val="15"/>
                <w:szCs w:val="15"/>
                <w:lang w:val="en-GB"/>
              </w:rPr>
              <w:t>Understand the regulatory culture of the organisation and its alignment to actively delivering regulatory outcomes</w:t>
            </w:r>
          </w:p>
          <w:p w14:paraId="00D5924A" w14:textId="77777777" w:rsidR="00BD7CEE" w:rsidRPr="002109F1" w:rsidRDefault="00BD7CEE" w:rsidP="00D35C4A">
            <w:pPr>
              <w:pStyle w:val="Tablebullet"/>
              <w:spacing w:before="30" w:after="30"/>
              <w:ind w:left="216" w:hanging="216"/>
              <w:rPr>
                <w:sz w:val="15"/>
                <w:szCs w:val="15"/>
                <w:lang w:val="en-GB"/>
              </w:rPr>
            </w:pPr>
            <w:r w:rsidRPr="002109F1">
              <w:rPr>
                <w:sz w:val="15"/>
                <w:szCs w:val="15"/>
              </w:rPr>
              <w:t>Gain a clear understanding of the role or purpose of the Board, and the statutory and regulatory requirements of members carrying out their public duties</w:t>
            </w:r>
          </w:p>
        </w:tc>
      </w:tr>
      <w:tr w:rsidR="00BD7CEE" w:rsidRPr="002109F1" w14:paraId="1A4CBDF1" w14:textId="77777777" w:rsidTr="00D35C4A">
        <w:trPr>
          <w:trHeight w:val="70"/>
        </w:trPr>
        <w:tc>
          <w:tcPr>
            <w:tcW w:w="2489" w:type="dxa"/>
          </w:tcPr>
          <w:p w14:paraId="3BDBAE9D" w14:textId="77777777" w:rsidR="00BD7CEE" w:rsidRPr="002109F1" w:rsidRDefault="00BD7CEE" w:rsidP="00BD7CEE">
            <w:pPr>
              <w:pStyle w:val="Spacer"/>
              <w:rPr>
                <w:rFonts w:eastAsiaTheme="minorEastAsia"/>
                <w:sz w:val="15"/>
                <w:szCs w:val="15"/>
              </w:rPr>
            </w:pPr>
          </w:p>
        </w:tc>
        <w:tc>
          <w:tcPr>
            <w:tcW w:w="275" w:type="dxa"/>
          </w:tcPr>
          <w:p w14:paraId="75C69DBA" w14:textId="77777777" w:rsidR="00BD7CEE" w:rsidRPr="002109F1" w:rsidRDefault="00BD7CEE" w:rsidP="002109F1">
            <w:pPr>
              <w:pStyle w:val="Spacer"/>
              <w:rPr>
                <w:rFonts w:eastAsiaTheme="minorEastAsia"/>
                <w:sz w:val="15"/>
                <w:szCs w:val="15"/>
              </w:rPr>
            </w:pPr>
          </w:p>
        </w:tc>
        <w:tc>
          <w:tcPr>
            <w:tcW w:w="2630" w:type="dxa"/>
          </w:tcPr>
          <w:p w14:paraId="5F9DE540" w14:textId="77777777" w:rsidR="00BD7CEE" w:rsidRPr="002109F1" w:rsidRDefault="00BD7CEE" w:rsidP="00BD7CEE">
            <w:pPr>
              <w:pStyle w:val="Spacer"/>
              <w:rPr>
                <w:rFonts w:eastAsiaTheme="minorEastAsia"/>
                <w:sz w:val="15"/>
                <w:szCs w:val="15"/>
              </w:rPr>
            </w:pPr>
          </w:p>
        </w:tc>
        <w:tc>
          <w:tcPr>
            <w:tcW w:w="275" w:type="dxa"/>
          </w:tcPr>
          <w:p w14:paraId="4770ABAE" w14:textId="77777777" w:rsidR="00BD7CEE" w:rsidRPr="002109F1" w:rsidRDefault="00BD7CEE" w:rsidP="002109F1">
            <w:pPr>
              <w:pStyle w:val="Spacer"/>
              <w:rPr>
                <w:rFonts w:eastAsiaTheme="minorEastAsia"/>
                <w:sz w:val="15"/>
                <w:szCs w:val="15"/>
              </w:rPr>
            </w:pPr>
          </w:p>
        </w:tc>
        <w:tc>
          <w:tcPr>
            <w:tcW w:w="3511" w:type="dxa"/>
          </w:tcPr>
          <w:p w14:paraId="48770D79" w14:textId="77777777" w:rsidR="00BD7CEE" w:rsidRPr="002109F1" w:rsidRDefault="00BD7CEE" w:rsidP="00BD7CEE">
            <w:pPr>
              <w:pStyle w:val="Spacer"/>
              <w:rPr>
                <w:rFonts w:eastAsiaTheme="minorEastAsia"/>
                <w:sz w:val="15"/>
                <w:szCs w:val="15"/>
              </w:rPr>
            </w:pPr>
          </w:p>
        </w:tc>
      </w:tr>
      <w:tr w:rsidR="00BD7CEE" w:rsidRPr="00D35C4A" w14:paraId="3618E2E2" w14:textId="77777777" w:rsidTr="00824127">
        <w:tc>
          <w:tcPr>
            <w:tcW w:w="2489" w:type="dxa"/>
            <w:shd w:val="clear" w:color="auto" w:fill="00B2A9" w:themeFill="accent2"/>
          </w:tcPr>
          <w:p w14:paraId="0D1F7802" w14:textId="77777777" w:rsidR="00BD7CEE" w:rsidRPr="00960767" w:rsidRDefault="00BD7CEE" w:rsidP="00BD7CEE">
            <w:pPr>
              <w:spacing w:before="60" w:after="60"/>
              <w:jc w:val="center"/>
              <w:rPr>
                <w:rFonts w:cstheme="majorBidi"/>
                <w:b/>
                <w:bCs/>
                <w:color w:val="FFFFFF" w:themeColor="background1"/>
                <w:sz w:val="18"/>
                <w:szCs w:val="18"/>
              </w:rPr>
            </w:pPr>
            <w:r w:rsidRPr="00960767">
              <w:rPr>
                <w:rFonts w:cstheme="majorBidi"/>
                <w:b/>
                <w:bCs/>
                <w:color w:val="FFFFFF" w:themeColor="background1"/>
                <w:sz w:val="18"/>
                <w:szCs w:val="18"/>
                <w:lang w:val="en-US"/>
              </w:rPr>
              <w:t>Towards Best Practice operations principles</w:t>
            </w:r>
          </w:p>
        </w:tc>
        <w:tc>
          <w:tcPr>
            <w:tcW w:w="275" w:type="dxa"/>
          </w:tcPr>
          <w:p w14:paraId="0B4B93B6" w14:textId="77777777" w:rsidR="00BD7CEE" w:rsidRPr="00960767" w:rsidRDefault="00BD7CEE" w:rsidP="002109F1">
            <w:pPr>
              <w:pStyle w:val="Spacer"/>
              <w:rPr>
                <w:rFonts w:eastAsiaTheme="minorEastAsia"/>
                <w:sz w:val="18"/>
                <w:szCs w:val="18"/>
              </w:rPr>
            </w:pPr>
          </w:p>
        </w:tc>
        <w:tc>
          <w:tcPr>
            <w:tcW w:w="2630" w:type="dxa"/>
            <w:shd w:val="clear" w:color="auto" w:fill="00B2A9" w:themeFill="accent2"/>
          </w:tcPr>
          <w:p w14:paraId="6D6E5C52" w14:textId="77777777" w:rsidR="00BD7CEE" w:rsidRPr="00960767" w:rsidRDefault="00BD7CEE" w:rsidP="00BD7CEE">
            <w:pPr>
              <w:spacing w:before="60" w:after="60"/>
              <w:jc w:val="center"/>
              <w:rPr>
                <w:rFonts w:cstheme="majorBidi"/>
                <w:b/>
                <w:bCs/>
                <w:color w:val="FFFFFF" w:themeColor="background1"/>
                <w:sz w:val="18"/>
                <w:szCs w:val="18"/>
              </w:rPr>
            </w:pPr>
            <w:r w:rsidRPr="00960767">
              <w:rPr>
                <w:rFonts w:cstheme="majorBidi"/>
                <w:b/>
                <w:bCs/>
                <w:color w:val="FFFFFF" w:themeColor="background1"/>
                <w:sz w:val="18"/>
                <w:szCs w:val="18"/>
                <w:lang w:val="en-US"/>
              </w:rPr>
              <w:t>Common expectations for Board Members</w:t>
            </w:r>
          </w:p>
        </w:tc>
        <w:tc>
          <w:tcPr>
            <w:tcW w:w="275" w:type="dxa"/>
          </w:tcPr>
          <w:p w14:paraId="3DD8A043" w14:textId="77777777" w:rsidR="00BD7CEE" w:rsidRPr="00960767" w:rsidRDefault="00BD7CEE" w:rsidP="002109F1">
            <w:pPr>
              <w:pStyle w:val="Spacer"/>
              <w:rPr>
                <w:rFonts w:eastAsiaTheme="minorEastAsia"/>
                <w:sz w:val="18"/>
                <w:szCs w:val="18"/>
              </w:rPr>
            </w:pPr>
          </w:p>
        </w:tc>
        <w:tc>
          <w:tcPr>
            <w:tcW w:w="3511" w:type="dxa"/>
            <w:shd w:val="clear" w:color="auto" w:fill="00B2A9" w:themeFill="accent2"/>
          </w:tcPr>
          <w:p w14:paraId="3A890886" w14:textId="77777777" w:rsidR="00BD7CEE" w:rsidRPr="00960767" w:rsidRDefault="00BD7CEE" w:rsidP="00BD7CEE">
            <w:pPr>
              <w:spacing w:before="60" w:after="60"/>
              <w:jc w:val="center"/>
              <w:rPr>
                <w:rFonts w:cstheme="majorBidi"/>
                <w:b/>
                <w:bCs/>
                <w:color w:val="FFFFFF" w:themeColor="background1"/>
                <w:sz w:val="18"/>
                <w:szCs w:val="18"/>
              </w:rPr>
            </w:pPr>
            <w:r w:rsidRPr="00960767">
              <w:rPr>
                <w:rFonts w:cstheme="majorBidi"/>
                <w:b/>
                <w:bCs/>
                <w:color w:val="FFFFFF" w:themeColor="background1"/>
                <w:sz w:val="18"/>
                <w:szCs w:val="18"/>
                <w:lang w:val="en-US"/>
              </w:rPr>
              <w:t>Applying in a regulatory context</w:t>
            </w:r>
          </w:p>
        </w:tc>
      </w:tr>
      <w:tr w:rsidR="00BD7CEE" w:rsidRPr="002109F1" w14:paraId="43ECCA15" w14:textId="77777777" w:rsidTr="003955DE">
        <w:tc>
          <w:tcPr>
            <w:tcW w:w="2489" w:type="dxa"/>
            <w:shd w:val="clear" w:color="auto" w:fill="ADF5F2"/>
          </w:tcPr>
          <w:p w14:paraId="73C4C8A6"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4.</w:t>
            </w:r>
            <w:r w:rsidRPr="002109F1">
              <w:rPr>
                <w:sz w:val="15"/>
                <w:szCs w:val="15"/>
              </w:rPr>
              <w:t xml:space="preserve"> Support duty holders to understand the value of compliance and harm reduction</w:t>
            </w:r>
          </w:p>
          <w:p w14:paraId="5F526C42"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5.</w:t>
            </w:r>
            <w:r w:rsidRPr="002109F1">
              <w:rPr>
                <w:sz w:val="15"/>
                <w:szCs w:val="15"/>
              </w:rPr>
              <w:t xml:space="preserve"> Support duty holders to comply </w:t>
            </w:r>
          </w:p>
          <w:p w14:paraId="781005CD"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6.</w:t>
            </w:r>
            <w:r w:rsidRPr="002109F1">
              <w:rPr>
                <w:sz w:val="15"/>
                <w:szCs w:val="15"/>
              </w:rPr>
              <w:t xml:space="preserve"> Target regulatory effort based on risk of harm</w:t>
            </w:r>
          </w:p>
          <w:p w14:paraId="49C02DA1" w14:textId="3369BCA7" w:rsidR="00BD7CEE" w:rsidRPr="002109F1" w:rsidRDefault="00BD7CEE" w:rsidP="00D35C4A">
            <w:pPr>
              <w:pStyle w:val="Tablebullet"/>
              <w:spacing w:before="30" w:after="30"/>
              <w:ind w:left="216" w:hanging="216"/>
              <w:rPr>
                <w:sz w:val="15"/>
                <w:szCs w:val="15"/>
              </w:rPr>
            </w:pPr>
            <w:r w:rsidRPr="002109F1">
              <w:rPr>
                <w:b/>
                <w:bCs/>
                <w:sz w:val="15"/>
                <w:szCs w:val="15"/>
              </w:rPr>
              <w:t>Principle 7.</w:t>
            </w:r>
            <w:r w:rsidRPr="002109F1">
              <w:rPr>
                <w:sz w:val="15"/>
                <w:szCs w:val="15"/>
              </w:rPr>
              <w:t xml:space="preserve"> Evaluate and communicate your efforts and their impact on your regulatory outcomes </w:t>
            </w:r>
          </w:p>
        </w:tc>
        <w:tc>
          <w:tcPr>
            <w:tcW w:w="275" w:type="dxa"/>
            <w:shd w:val="clear" w:color="auto" w:fill="auto"/>
          </w:tcPr>
          <w:p w14:paraId="6CA344DD" w14:textId="77777777" w:rsidR="00BD7CEE" w:rsidRPr="002109F1" w:rsidRDefault="00BD7CEE" w:rsidP="002109F1">
            <w:pPr>
              <w:pStyle w:val="Spacer"/>
              <w:spacing w:before="30" w:after="30"/>
              <w:rPr>
                <w:rFonts w:eastAsiaTheme="minorEastAsia"/>
                <w:color w:val="71C5E8" w:themeColor="accent1"/>
                <w:sz w:val="15"/>
                <w:szCs w:val="15"/>
              </w:rPr>
            </w:pPr>
          </w:p>
        </w:tc>
        <w:tc>
          <w:tcPr>
            <w:tcW w:w="2630" w:type="dxa"/>
            <w:shd w:val="clear" w:color="auto" w:fill="ADF5F2"/>
          </w:tcPr>
          <w:p w14:paraId="4E95C826" w14:textId="77777777" w:rsidR="00BD7CEE" w:rsidRPr="002109F1" w:rsidRDefault="00BD7CEE" w:rsidP="00D35C4A">
            <w:pPr>
              <w:pStyle w:val="Tablebullet"/>
              <w:spacing w:before="30" w:after="30"/>
              <w:ind w:left="216" w:hanging="216"/>
              <w:rPr>
                <w:sz w:val="15"/>
                <w:szCs w:val="15"/>
              </w:rPr>
            </w:pPr>
            <w:r w:rsidRPr="002109F1">
              <w:rPr>
                <w:sz w:val="15"/>
                <w:szCs w:val="15"/>
              </w:rPr>
              <w:t>Operating strategically and monitoring progress against strategic outcomes</w:t>
            </w:r>
          </w:p>
          <w:p w14:paraId="302DE4FB" w14:textId="7DB4F44A" w:rsidR="00BD7CEE" w:rsidRPr="002109F1" w:rsidRDefault="00BD7CEE" w:rsidP="00D35C4A">
            <w:pPr>
              <w:pStyle w:val="Tablebullet"/>
              <w:spacing w:before="30" w:after="30"/>
              <w:ind w:left="216" w:hanging="216"/>
              <w:rPr>
                <w:sz w:val="15"/>
                <w:szCs w:val="15"/>
              </w:rPr>
            </w:pPr>
            <w:r w:rsidRPr="002109F1">
              <w:rPr>
                <w:sz w:val="15"/>
                <w:szCs w:val="15"/>
              </w:rPr>
              <w:t>Delegating day-to-day management to the CEO</w:t>
            </w:r>
          </w:p>
        </w:tc>
        <w:tc>
          <w:tcPr>
            <w:tcW w:w="275" w:type="dxa"/>
            <w:shd w:val="clear" w:color="auto" w:fill="auto"/>
          </w:tcPr>
          <w:p w14:paraId="6BB62DF3" w14:textId="77777777" w:rsidR="00BD7CEE" w:rsidRPr="002109F1" w:rsidRDefault="00BD7CEE" w:rsidP="002109F1">
            <w:pPr>
              <w:pStyle w:val="Spacer"/>
              <w:spacing w:before="30" w:after="30"/>
              <w:rPr>
                <w:rFonts w:eastAsiaTheme="minorEastAsia"/>
                <w:color w:val="71C5E8" w:themeColor="accent1"/>
                <w:sz w:val="15"/>
                <w:szCs w:val="15"/>
              </w:rPr>
            </w:pPr>
          </w:p>
        </w:tc>
        <w:tc>
          <w:tcPr>
            <w:tcW w:w="3511" w:type="dxa"/>
            <w:shd w:val="clear" w:color="auto" w:fill="ADF5F2"/>
          </w:tcPr>
          <w:p w14:paraId="470DA908" w14:textId="77777777" w:rsidR="00BD7CEE" w:rsidRPr="002109F1" w:rsidRDefault="00BD7CEE" w:rsidP="00D35C4A">
            <w:pPr>
              <w:pStyle w:val="Tablebullet"/>
              <w:spacing w:before="30" w:after="30"/>
              <w:ind w:left="216" w:hanging="216"/>
              <w:rPr>
                <w:sz w:val="15"/>
                <w:szCs w:val="15"/>
              </w:rPr>
            </w:pPr>
            <w:r w:rsidRPr="002109F1">
              <w:rPr>
                <w:sz w:val="15"/>
                <w:szCs w:val="15"/>
              </w:rPr>
              <w:t xml:space="preserve">Understand how to organise and direct regulatory activities as a whole to drive strategic change </w:t>
            </w:r>
          </w:p>
          <w:p w14:paraId="721A6528" w14:textId="77777777" w:rsidR="00BD7CEE" w:rsidRPr="002109F1" w:rsidRDefault="00BD7CEE" w:rsidP="00D35C4A">
            <w:pPr>
              <w:pStyle w:val="Tablebullet"/>
              <w:spacing w:before="30" w:after="30"/>
              <w:ind w:left="216" w:hanging="216"/>
              <w:rPr>
                <w:sz w:val="15"/>
                <w:szCs w:val="15"/>
              </w:rPr>
            </w:pPr>
            <w:r w:rsidRPr="002109F1">
              <w:rPr>
                <w:sz w:val="15"/>
                <w:szCs w:val="15"/>
              </w:rPr>
              <w:t xml:space="preserve">Consider the importance of maintaining community confidence through demonstrable harm prevention and minimisation </w:t>
            </w:r>
          </w:p>
          <w:p w14:paraId="79A793C8" w14:textId="77777777" w:rsidR="00BD7CEE" w:rsidRPr="002109F1" w:rsidRDefault="00BD7CEE" w:rsidP="00D35C4A">
            <w:pPr>
              <w:pStyle w:val="Tablebullet"/>
              <w:spacing w:before="30" w:after="30"/>
              <w:ind w:left="216" w:hanging="216"/>
              <w:rPr>
                <w:sz w:val="15"/>
                <w:szCs w:val="15"/>
              </w:rPr>
            </w:pPr>
            <w:r w:rsidRPr="002109F1">
              <w:rPr>
                <w:sz w:val="15"/>
                <w:szCs w:val="15"/>
              </w:rPr>
              <w:t>Avoid becoming involved in the day-to-day administrative functions of the entity and its staff whilst empowering teams to minimise harm</w:t>
            </w:r>
          </w:p>
          <w:p w14:paraId="2CDD615C" w14:textId="77777777" w:rsidR="00BD7CEE" w:rsidRPr="002109F1" w:rsidRDefault="00BD7CEE" w:rsidP="00D35C4A">
            <w:pPr>
              <w:pStyle w:val="Tablebullet"/>
              <w:spacing w:before="30" w:after="30"/>
              <w:ind w:left="216" w:hanging="216"/>
              <w:rPr>
                <w:sz w:val="15"/>
                <w:szCs w:val="15"/>
              </w:rPr>
            </w:pPr>
            <w:r w:rsidRPr="002109F1">
              <w:rPr>
                <w:sz w:val="15"/>
                <w:szCs w:val="15"/>
              </w:rPr>
              <w:t>Board members are seen as representatives of the regulator, you should not ordinarily appear to speak for the regulator unless specifically authorised to do so</w:t>
            </w:r>
          </w:p>
        </w:tc>
      </w:tr>
      <w:tr w:rsidR="00BD7CEE" w:rsidRPr="002109F1" w14:paraId="5E488145" w14:textId="77777777" w:rsidTr="00D35C4A">
        <w:tc>
          <w:tcPr>
            <w:tcW w:w="2489" w:type="dxa"/>
          </w:tcPr>
          <w:p w14:paraId="6E11624A" w14:textId="77777777" w:rsidR="00BD7CEE" w:rsidRPr="002109F1" w:rsidRDefault="00BD7CEE" w:rsidP="00BD7CEE">
            <w:pPr>
              <w:pStyle w:val="Spacer"/>
              <w:rPr>
                <w:rFonts w:eastAsiaTheme="minorEastAsia"/>
                <w:sz w:val="15"/>
                <w:szCs w:val="15"/>
              </w:rPr>
            </w:pPr>
          </w:p>
        </w:tc>
        <w:tc>
          <w:tcPr>
            <w:tcW w:w="275" w:type="dxa"/>
          </w:tcPr>
          <w:p w14:paraId="2BF4A8D8" w14:textId="77777777" w:rsidR="00BD7CEE" w:rsidRPr="002109F1" w:rsidRDefault="00BD7CEE" w:rsidP="002109F1">
            <w:pPr>
              <w:pStyle w:val="Spacer"/>
              <w:rPr>
                <w:rFonts w:eastAsiaTheme="minorEastAsia"/>
                <w:sz w:val="15"/>
                <w:szCs w:val="15"/>
              </w:rPr>
            </w:pPr>
          </w:p>
        </w:tc>
        <w:tc>
          <w:tcPr>
            <w:tcW w:w="2630" w:type="dxa"/>
          </w:tcPr>
          <w:p w14:paraId="63FE38F7" w14:textId="77777777" w:rsidR="00BD7CEE" w:rsidRPr="002109F1" w:rsidRDefault="00BD7CEE" w:rsidP="00BD7CEE">
            <w:pPr>
              <w:pStyle w:val="Spacer"/>
              <w:rPr>
                <w:rFonts w:eastAsiaTheme="minorEastAsia"/>
                <w:sz w:val="15"/>
                <w:szCs w:val="15"/>
              </w:rPr>
            </w:pPr>
          </w:p>
        </w:tc>
        <w:tc>
          <w:tcPr>
            <w:tcW w:w="275" w:type="dxa"/>
          </w:tcPr>
          <w:p w14:paraId="2ADC350C" w14:textId="77777777" w:rsidR="00BD7CEE" w:rsidRPr="002109F1" w:rsidRDefault="00BD7CEE" w:rsidP="002109F1">
            <w:pPr>
              <w:pStyle w:val="Spacer"/>
              <w:rPr>
                <w:rFonts w:eastAsiaTheme="minorEastAsia"/>
                <w:sz w:val="15"/>
                <w:szCs w:val="15"/>
              </w:rPr>
            </w:pPr>
          </w:p>
        </w:tc>
        <w:tc>
          <w:tcPr>
            <w:tcW w:w="3511" w:type="dxa"/>
          </w:tcPr>
          <w:p w14:paraId="5CEBD49D" w14:textId="77777777" w:rsidR="00BD7CEE" w:rsidRPr="002109F1" w:rsidRDefault="00BD7CEE" w:rsidP="00BD7CEE">
            <w:pPr>
              <w:pStyle w:val="Spacer"/>
              <w:rPr>
                <w:rFonts w:eastAsiaTheme="minorEastAsia"/>
                <w:sz w:val="15"/>
                <w:szCs w:val="15"/>
              </w:rPr>
            </w:pPr>
          </w:p>
        </w:tc>
      </w:tr>
      <w:tr w:rsidR="00BD7CEE" w:rsidRPr="00D35C4A" w14:paraId="52F35CA9" w14:textId="77777777" w:rsidTr="003955DE">
        <w:tc>
          <w:tcPr>
            <w:tcW w:w="2489" w:type="dxa"/>
            <w:shd w:val="clear" w:color="auto" w:fill="87189D" w:themeFill="accent4"/>
          </w:tcPr>
          <w:p w14:paraId="1E942609" w14:textId="77777777" w:rsidR="00BD7CEE" w:rsidRPr="00960767" w:rsidRDefault="00BD7CEE" w:rsidP="00BD7CEE">
            <w:pPr>
              <w:spacing w:before="60" w:after="60"/>
              <w:jc w:val="center"/>
              <w:rPr>
                <w:rFonts w:cstheme="majorBidi"/>
                <w:b/>
                <w:bCs/>
                <w:color w:val="FFFFFF" w:themeColor="background1"/>
                <w:spacing w:val="-4"/>
                <w:sz w:val="18"/>
                <w:szCs w:val="18"/>
              </w:rPr>
            </w:pPr>
            <w:r w:rsidRPr="00960767">
              <w:rPr>
                <w:rFonts w:cstheme="majorBidi"/>
                <w:b/>
                <w:bCs/>
                <w:color w:val="FFFFFF" w:themeColor="background1"/>
                <w:spacing w:val="-4"/>
                <w:sz w:val="18"/>
                <w:szCs w:val="18"/>
                <w:lang w:val="en-US"/>
              </w:rPr>
              <w:t>Towards Best Practice enabling practices principles</w:t>
            </w:r>
          </w:p>
        </w:tc>
        <w:tc>
          <w:tcPr>
            <w:tcW w:w="275" w:type="dxa"/>
          </w:tcPr>
          <w:p w14:paraId="3483E550" w14:textId="77777777" w:rsidR="00BD7CEE" w:rsidRPr="00960767" w:rsidRDefault="00BD7CEE" w:rsidP="002109F1">
            <w:pPr>
              <w:pStyle w:val="Spacer"/>
              <w:rPr>
                <w:rFonts w:eastAsiaTheme="minorEastAsia"/>
                <w:sz w:val="18"/>
                <w:szCs w:val="18"/>
              </w:rPr>
            </w:pPr>
          </w:p>
        </w:tc>
        <w:tc>
          <w:tcPr>
            <w:tcW w:w="2630" w:type="dxa"/>
            <w:shd w:val="clear" w:color="auto" w:fill="87189D" w:themeFill="accent4"/>
          </w:tcPr>
          <w:p w14:paraId="4300F0D3" w14:textId="77777777" w:rsidR="00BD7CEE" w:rsidRPr="00960767" w:rsidRDefault="00BD7CEE" w:rsidP="00BD7CEE">
            <w:pPr>
              <w:spacing w:before="60" w:after="60"/>
              <w:jc w:val="center"/>
              <w:rPr>
                <w:rFonts w:cstheme="majorBidi"/>
                <w:b/>
                <w:bCs/>
                <w:color w:val="FFFFFF" w:themeColor="background1"/>
                <w:sz w:val="18"/>
                <w:szCs w:val="18"/>
              </w:rPr>
            </w:pPr>
            <w:r w:rsidRPr="00960767">
              <w:rPr>
                <w:rFonts w:cstheme="majorBidi"/>
                <w:b/>
                <w:bCs/>
                <w:color w:val="FFFFFF" w:themeColor="background1"/>
                <w:sz w:val="18"/>
                <w:szCs w:val="18"/>
                <w:lang w:val="en-US"/>
              </w:rPr>
              <w:t>Common expectations for Board Members</w:t>
            </w:r>
          </w:p>
        </w:tc>
        <w:tc>
          <w:tcPr>
            <w:tcW w:w="275" w:type="dxa"/>
          </w:tcPr>
          <w:p w14:paraId="1623A26D" w14:textId="77777777" w:rsidR="00BD7CEE" w:rsidRPr="00960767" w:rsidRDefault="00BD7CEE" w:rsidP="002109F1">
            <w:pPr>
              <w:pStyle w:val="Spacer"/>
              <w:rPr>
                <w:rFonts w:eastAsiaTheme="minorEastAsia"/>
                <w:sz w:val="18"/>
                <w:szCs w:val="18"/>
              </w:rPr>
            </w:pPr>
          </w:p>
        </w:tc>
        <w:tc>
          <w:tcPr>
            <w:tcW w:w="3511" w:type="dxa"/>
            <w:shd w:val="clear" w:color="auto" w:fill="87189D" w:themeFill="accent4"/>
          </w:tcPr>
          <w:p w14:paraId="701AE5EB" w14:textId="77777777" w:rsidR="00BD7CEE" w:rsidRPr="00960767" w:rsidRDefault="00BD7CEE" w:rsidP="00BD7CEE">
            <w:pPr>
              <w:spacing w:before="60" w:after="60"/>
              <w:jc w:val="center"/>
              <w:rPr>
                <w:rFonts w:cstheme="majorBidi"/>
                <w:b/>
                <w:bCs/>
                <w:color w:val="FFFFFF" w:themeColor="background1"/>
                <w:sz w:val="18"/>
                <w:szCs w:val="18"/>
              </w:rPr>
            </w:pPr>
            <w:r w:rsidRPr="00960767">
              <w:rPr>
                <w:rFonts w:cstheme="majorBidi"/>
                <w:b/>
                <w:bCs/>
                <w:color w:val="FFFFFF" w:themeColor="background1"/>
                <w:sz w:val="18"/>
                <w:szCs w:val="18"/>
                <w:lang w:val="en-US"/>
              </w:rPr>
              <w:t>Applying in a regulatory context</w:t>
            </w:r>
          </w:p>
        </w:tc>
      </w:tr>
      <w:tr w:rsidR="00BD7CEE" w:rsidRPr="002109F1" w14:paraId="41E14B66" w14:textId="77777777" w:rsidTr="003955DE">
        <w:tc>
          <w:tcPr>
            <w:tcW w:w="2489" w:type="dxa"/>
            <w:shd w:val="clear" w:color="auto" w:fill="EEC5F6" w:themeFill="accent4" w:themeFillTint="33"/>
          </w:tcPr>
          <w:p w14:paraId="5D3695A3"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8.</w:t>
            </w:r>
            <w:r w:rsidRPr="002109F1">
              <w:rPr>
                <w:sz w:val="15"/>
                <w:szCs w:val="15"/>
              </w:rPr>
              <w:t xml:space="preserve"> Work with regulatory peers and partners on shared harms and risks</w:t>
            </w:r>
          </w:p>
          <w:p w14:paraId="12176AAE" w14:textId="77777777" w:rsidR="00BD7CEE" w:rsidRPr="002109F1" w:rsidRDefault="00BD7CEE" w:rsidP="00D35C4A">
            <w:pPr>
              <w:pStyle w:val="Tablebullet"/>
              <w:spacing w:before="30" w:after="30"/>
              <w:ind w:left="216" w:hanging="216"/>
              <w:rPr>
                <w:sz w:val="15"/>
                <w:szCs w:val="15"/>
              </w:rPr>
            </w:pPr>
            <w:r w:rsidRPr="002109F1">
              <w:rPr>
                <w:b/>
                <w:bCs/>
                <w:sz w:val="15"/>
                <w:szCs w:val="15"/>
              </w:rPr>
              <w:t>Principle 9.</w:t>
            </w:r>
            <w:r w:rsidRPr="002109F1">
              <w:rPr>
                <w:sz w:val="15"/>
                <w:szCs w:val="15"/>
              </w:rPr>
              <w:t xml:space="preserve"> Be transparent and accountable for how you perform your activities</w:t>
            </w:r>
          </w:p>
          <w:p w14:paraId="4E1A100A" w14:textId="798AC805" w:rsidR="00BD7CEE" w:rsidRPr="002109F1" w:rsidRDefault="00BD7CEE" w:rsidP="00D35C4A">
            <w:pPr>
              <w:pStyle w:val="Tablebullet"/>
              <w:spacing w:before="30" w:after="30"/>
              <w:ind w:left="216" w:hanging="216"/>
              <w:rPr>
                <w:sz w:val="15"/>
                <w:szCs w:val="15"/>
              </w:rPr>
            </w:pPr>
            <w:r w:rsidRPr="002109F1">
              <w:rPr>
                <w:b/>
                <w:bCs/>
                <w:sz w:val="15"/>
                <w:szCs w:val="15"/>
              </w:rPr>
              <w:t>Principle 10.</w:t>
            </w:r>
            <w:r w:rsidRPr="002109F1">
              <w:rPr>
                <w:sz w:val="15"/>
                <w:szCs w:val="15"/>
              </w:rPr>
              <w:t xml:space="preserve"> Continuously improve your regulatory operations</w:t>
            </w:r>
          </w:p>
        </w:tc>
        <w:tc>
          <w:tcPr>
            <w:tcW w:w="275" w:type="dxa"/>
          </w:tcPr>
          <w:p w14:paraId="58E62AF8" w14:textId="77777777" w:rsidR="00BD7CEE" w:rsidRPr="002109F1" w:rsidRDefault="00BD7CEE" w:rsidP="002109F1">
            <w:pPr>
              <w:pStyle w:val="Spacer"/>
              <w:spacing w:before="30" w:after="30"/>
              <w:rPr>
                <w:rFonts w:eastAsiaTheme="minorEastAsia"/>
                <w:color w:val="71C5E8" w:themeColor="accent1"/>
                <w:sz w:val="15"/>
                <w:szCs w:val="15"/>
              </w:rPr>
            </w:pPr>
          </w:p>
        </w:tc>
        <w:tc>
          <w:tcPr>
            <w:tcW w:w="2630" w:type="dxa"/>
            <w:shd w:val="clear" w:color="auto" w:fill="EEC5F6" w:themeFill="accent4" w:themeFillTint="33"/>
          </w:tcPr>
          <w:p w14:paraId="110B560C" w14:textId="77777777" w:rsidR="00BD7CEE" w:rsidRPr="002109F1" w:rsidRDefault="00BD7CEE" w:rsidP="00D35C4A">
            <w:pPr>
              <w:pStyle w:val="Tablebullet"/>
              <w:spacing w:before="30" w:after="30"/>
              <w:ind w:left="216" w:hanging="216"/>
              <w:rPr>
                <w:sz w:val="15"/>
                <w:szCs w:val="15"/>
              </w:rPr>
            </w:pPr>
            <w:r w:rsidRPr="002109F1">
              <w:rPr>
                <w:sz w:val="15"/>
                <w:szCs w:val="15"/>
              </w:rPr>
              <w:t>Acting honestly and exercising powers for their proper purposes</w:t>
            </w:r>
          </w:p>
          <w:p w14:paraId="7AF0B7B0" w14:textId="77777777" w:rsidR="00BD7CEE" w:rsidRPr="002109F1" w:rsidRDefault="00BD7CEE" w:rsidP="00D35C4A">
            <w:pPr>
              <w:pStyle w:val="Tablebullet"/>
              <w:spacing w:before="30" w:after="30"/>
              <w:ind w:left="216" w:hanging="216"/>
              <w:rPr>
                <w:sz w:val="15"/>
                <w:szCs w:val="15"/>
              </w:rPr>
            </w:pPr>
            <w:r w:rsidRPr="002109F1">
              <w:rPr>
                <w:sz w:val="15"/>
                <w:szCs w:val="15"/>
              </w:rPr>
              <w:t>Not improperly using information or their position</w:t>
            </w:r>
          </w:p>
          <w:p w14:paraId="7FC3D704" w14:textId="77777777" w:rsidR="00BD7CEE" w:rsidRPr="002109F1" w:rsidRDefault="00BD7CEE" w:rsidP="00D35C4A">
            <w:pPr>
              <w:pStyle w:val="Tablebullet"/>
              <w:spacing w:before="30" w:after="30"/>
              <w:ind w:left="216" w:hanging="216"/>
              <w:rPr>
                <w:sz w:val="15"/>
                <w:szCs w:val="15"/>
              </w:rPr>
            </w:pPr>
            <w:r w:rsidRPr="002109F1">
              <w:rPr>
                <w:sz w:val="15"/>
                <w:szCs w:val="15"/>
              </w:rPr>
              <w:t>Managing financial affairs responsibly</w:t>
            </w:r>
          </w:p>
          <w:p w14:paraId="171CACDE" w14:textId="77777777" w:rsidR="00BD7CEE" w:rsidRPr="002109F1" w:rsidRDefault="00BD7CEE" w:rsidP="00D35C4A">
            <w:pPr>
              <w:pStyle w:val="Tablebullet"/>
              <w:spacing w:before="30" w:after="30"/>
              <w:ind w:left="216" w:hanging="216"/>
              <w:rPr>
                <w:sz w:val="15"/>
                <w:szCs w:val="15"/>
              </w:rPr>
            </w:pPr>
            <w:r w:rsidRPr="002109F1">
              <w:rPr>
                <w:sz w:val="15"/>
                <w:szCs w:val="15"/>
              </w:rPr>
              <w:t>Acting fairly and impartially</w:t>
            </w:r>
          </w:p>
          <w:p w14:paraId="717E4805" w14:textId="5E8958C9" w:rsidR="00BD7CEE" w:rsidRPr="002109F1" w:rsidRDefault="00BD7CEE" w:rsidP="00D35C4A">
            <w:pPr>
              <w:pStyle w:val="Tablebullet"/>
              <w:spacing w:before="30" w:after="30"/>
              <w:ind w:left="216" w:hanging="216"/>
              <w:rPr>
                <w:sz w:val="15"/>
                <w:szCs w:val="15"/>
              </w:rPr>
            </w:pPr>
            <w:r w:rsidRPr="002109F1">
              <w:rPr>
                <w:sz w:val="15"/>
                <w:szCs w:val="15"/>
              </w:rPr>
              <w:t>Disclosing and managing conflicts of interest</w:t>
            </w:r>
          </w:p>
        </w:tc>
        <w:tc>
          <w:tcPr>
            <w:tcW w:w="275" w:type="dxa"/>
          </w:tcPr>
          <w:p w14:paraId="149DD7B0" w14:textId="77777777" w:rsidR="00BD7CEE" w:rsidRPr="002109F1" w:rsidRDefault="00BD7CEE" w:rsidP="002109F1">
            <w:pPr>
              <w:pStyle w:val="Spacer"/>
              <w:spacing w:before="30" w:after="30"/>
              <w:rPr>
                <w:rFonts w:eastAsiaTheme="minorEastAsia"/>
                <w:color w:val="71C5E8" w:themeColor="accent1"/>
                <w:sz w:val="15"/>
                <w:szCs w:val="15"/>
              </w:rPr>
            </w:pPr>
          </w:p>
        </w:tc>
        <w:tc>
          <w:tcPr>
            <w:tcW w:w="3511" w:type="dxa"/>
            <w:shd w:val="clear" w:color="auto" w:fill="EEC5F6" w:themeFill="accent4" w:themeFillTint="33"/>
          </w:tcPr>
          <w:p w14:paraId="066835C3" w14:textId="77777777" w:rsidR="00BD7CEE" w:rsidRPr="002109F1" w:rsidRDefault="00BD7CEE" w:rsidP="00D35C4A">
            <w:pPr>
              <w:pStyle w:val="Tablebullet"/>
              <w:spacing w:before="30" w:after="30"/>
              <w:ind w:left="216" w:hanging="216"/>
              <w:rPr>
                <w:sz w:val="15"/>
                <w:szCs w:val="15"/>
              </w:rPr>
            </w:pPr>
            <w:r w:rsidRPr="002109F1">
              <w:rPr>
                <w:sz w:val="15"/>
                <w:szCs w:val="15"/>
              </w:rPr>
              <w:t>Understand who can make regulatory decisions and the importance of independent decision-making</w:t>
            </w:r>
          </w:p>
          <w:p w14:paraId="66E31D81" w14:textId="77777777" w:rsidR="00BD7CEE" w:rsidRPr="002109F1" w:rsidRDefault="00BD7CEE" w:rsidP="00D35C4A">
            <w:pPr>
              <w:pStyle w:val="Tablebullet"/>
              <w:spacing w:before="30" w:after="30"/>
              <w:ind w:left="216" w:hanging="216"/>
              <w:rPr>
                <w:sz w:val="15"/>
                <w:szCs w:val="15"/>
              </w:rPr>
            </w:pPr>
            <w:r w:rsidRPr="002109F1">
              <w:rPr>
                <w:sz w:val="15"/>
                <w:szCs w:val="15"/>
              </w:rPr>
              <w:t>Recognise that regulatory decision-making authority is granted to the board, as a whole, not any member individually</w:t>
            </w:r>
          </w:p>
          <w:p w14:paraId="31EFC963" w14:textId="77777777" w:rsidR="00BD7CEE" w:rsidRPr="002109F1" w:rsidRDefault="00BD7CEE" w:rsidP="00D35C4A">
            <w:pPr>
              <w:pStyle w:val="Tablebullet"/>
              <w:spacing w:before="30" w:after="30"/>
              <w:ind w:left="216" w:hanging="216"/>
              <w:rPr>
                <w:sz w:val="15"/>
                <w:szCs w:val="15"/>
              </w:rPr>
            </w:pPr>
            <w:r w:rsidRPr="002109F1">
              <w:rPr>
                <w:sz w:val="15"/>
                <w:szCs w:val="15"/>
              </w:rPr>
              <w:t>When deciding on regulatory responses we are fair and transparent</w:t>
            </w:r>
          </w:p>
          <w:p w14:paraId="570DA78A" w14:textId="2394710F" w:rsidR="00BD7CEE" w:rsidRPr="002109F1" w:rsidRDefault="00BD7CEE" w:rsidP="00D35C4A">
            <w:pPr>
              <w:pStyle w:val="Tablebullet"/>
              <w:spacing w:before="30" w:after="30"/>
              <w:ind w:left="216" w:hanging="216"/>
              <w:rPr>
                <w:sz w:val="15"/>
                <w:szCs w:val="15"/>
              </w:rPr>
            </w:pPr>
            <w:r w:rsidRPr="002109F1">
              <w:rPr>
                <w:sz w:val="15"/>
                <w:szCs w:val="15"/>
              </w:rPr>
              <w:t>Work with regulator peers, partners and stakeholders to protect the public (</w:t>
            </w:r>
            <w:r w:rsidRPr="002109F1">
              <w:rPr>
                <w:i/>
                <w:iCs/>
                <w:sz w:val="15"/>
                <w:szCs w:val="15"/>
              </w:rPr>
              <w:t>e.g.</w:t>
            </w:r>
            <w:r w:rsidR="00770252">
              <w:rPr>
                <w:i/>
                <w:iCs/>
                <w:sz w:val="15"/>
                <w:szCs w:val="15"/>
              </w:rPr>
              <w:t>,</w:t>
            </w:r>
            <w:r w:rsidR="002109F1">
              <w:rPr>
                <w:rFonts w:ascii="Calibri" w:hAnsi="Calibri" w:cs="Calibri"/>
                <w:i/>
                <w:iCs/>
                <w:sz w:val="15"/>
                <w:szCs w:val="15"/>
              </w:rPr>
              <w:t> </w:t>
            </w:r>
            <w:r w:rsidRPr="002109F1">
              <w:rPr>
                <w:i/>
                <w:iCs/>
                <w:sz w:val="15"/>
                <w:szCs w:val="15"/>
              </w:rPr>
              <w:t>through harm reduction, market and professional assurance etc.</w:t>
            </w:r>
            <w:r w:rsidRPr="002109F1">
              <w:rPr>
                <w:sz w:val="15"/>
                <w:szCs w:val="15"/>
              </w:rPr>
              <w:t>) and deliver our regulatory mission</w:t>
            </w:r>
          </w:p>
        </w:tc>
      </w:tr>
    </w:tbl>
    <w:p w14:paraId="3D563F96" w14:textId="77777777" w:rsidR="00BD7CEE" w:rsidRPr="00BD7CEE" w:rsidRDefault="00BD7CEE" w:rsidP="00BD7CEE"/>
    <w:p w14:paraId="54450C5E" w14:textId="77777777" w:rsidR="002109F1" w:rsidRPr="00352E85" w:rsidRDefault="002109F1" w:rsidP="002109F1">
      <w:pPr>
        <w:pStyle w:val="Heading1"/>
        <w:rPr>
          <w:rFonts w:eastAsiaTheme="minorEastAsia"/>
        </w:rPr>
      </w:pPr>
      <w:bookmarkStart w:id="7" w:name="_Toc121997746"/>
      <w:bookmarkStart w:id="8" w:name="_Toc121997860"/>
      <w:bookmarkEnd w:id="2"/>
      <w:r w:rsidRPr="00352E85">
        <w:t>Supporting good regulatory practice</w:t>
      </w:r>
      <w:bookmarkEnd w:id="7"/>
      <w:bookmarkEnd w:id="8"/>
    </w:p>
    <w:p w14:paraId="77F84325" w14:textId="77777777" w:rsidR="002109F1" w:rsidRDefault="002109F1" w:rsidP="002109F1">
      <w:r w:rsidRPr="004A377C">
        <w:t>Documents you might expect, questions you might ask, and relationships to your role.</w:t>
      </w:r>
    </w:p>
    <w:p w14:paraId="613038B5" w14:textId="77777777" w:rsidR="00460217" w:rsidRPr="004A377C" w:rsidRDefault="00460217" w:rsidP="002109F1"/>
    <w:p w14:paraId="0A34C9D9" w14:textId="402F0AC5" w:rsidR="002109F1" w:rsidRPr="00554B10" w:rsidRDefault="002109F1" w:rsidP="00D35C4A">
      <w:pPr>
        <w:pStyle w:val="Principle"/>
        <w:pageBreakBefore w:val="0"/>
      </w:pPr>
      <w:bookmarkStart w:id="9" w:name="_Toc121997861"/>
      <w:r w:rsidRPr="00554B10">
        <w:t>Be clear on your regulatory outcome and the harms you are trying to minimise</w:t>
      </w:r>
      <w:bookmarkEnd w:id="9"/>
    </w:p>
    <w:tbl>
      <w:tblPr>
        <w:tblStyle w:val="Texttable"/>
        <w:tblW w:w="0" w:type="auto"/>
        <w:tblLook w:val="0420" w:firstRow="1" w:lastRow="0" w:firstColumn="0" w:lastColumn="0" w:noHBand="0" w:noVBand="1"/>
      </w:tblPr>
      <w:tblGrid>
        <w:gridCol w:w="9026"/>
      </w:tblGrid>
      <w:tr w:rsidR="002109F1" w14:paraId="21BE679E" w14:textId="77777777" w:rsidTr="002109F1">
        <w:trPr>
          <w:cnfStyle w:val="100000000000" w:firstRow="1" w:lastRow="0" w:firstColumn="0" w:lastColumn="0" w:oddVBand="0" w:evenVBand="0" w:oddHBand="0" w:evenHBand="0" w:firstRowFirstColumn="0" w:firstRowLastColumn="0" w:lastRowFirstColumn="0" w:lastRowLastColumn="0"/>
        </w:trPr>
        <w:tc>
          <w:tcPr>
            <w:tcW w:w="9242" w:type="dxa"/>
          </w:tcPr>
          <w:p w14:paraId="2630306C" w14:textId="77777777" w:rsidR="002109F1" w:rsidRPr="005E6B19" w:rsidRDefault="002109F1" w:rsidP="002109F1">
            <w:pPr>
              <w:pStyle w:val="Tableheader"/>
            </w:pPr>
            <w:r w:rsidRPr="005E6B19">
              <w:t>What you might expect to see</w:t>
            </w:r>
          </w:p>
        </w:tc>
      </w:tr>
      <w:tr w:rsidR="002109F1" w14:paraId="1BA36AE3" w14:textId="77777777" w:rsidTr="002109F1">
        <w:tc>
          <w:tcPr>
            <w:tcW w:w="9242" w:type="dxa"/>
          </w:tcPr>
          <w:p w14:paraId="2099DDB6" w14:textId="77777777" w:rsidR="002109F1" w:rsidRPr="005E6B19" w:rsidRDefault="002109F1" w:rsidP="002109F1">
            <w:pPr>
              <w:pStyle w:val="Tabletext"/>
              <w:rPr>
                <w:sz w:val="20"/>
                <w:szCs w:val="18"/>
              </w:rPr>
            </w:pPr>
            <w:r w:rsidRPr="005E6B19">
              <w:rPr>
                <w:sz w:val="20"/>
                <w:szCs w:val="18"/>
              </w:rPr>
              <w:t>Documents outlining:</w:t>
            </w:r>
          </w:p>
          <w:p w14:paraId="49DB4344" w14:textId="24DAB5BA" w:rsidR="002109F1" w:rsidRPr="005E6B19" w:rsidRDefault="00D35C4A" w:rsidP="002109F1">
            <w:pPr>
              <w:pStyle w:val="Tablebullet"/>
              <w:rPr>
                <w:sz w:val="20"/>
                <w:szCs w:val="18"/>
              </w:rPr>
            </w:pPr>
            <w:r w:rsidRPr="005E6B19">
              <w:rPr>
                <w:sz w:val="20"/>
                <w:szCs w:val="18"/>
              </w:rPr>
              <w:t xml:space="preserve">regulatory </w:t>
            </w:r>
            <w:r w:rsidR="002109F1" w:rsidRPr="005E6B19">
              <w:rPr>
                <w:sz w:val="20"/>
                <w:szCs w:val="18"/>
              </w:rPr>
              <w:t>outcomes, objectives and priority harms</w:t>
            </w:r>
          </w:p>
          <w:p w14:paraId="7BB071B9" w14:textId="7DEE33AD" w:rsidR="002109F1" w:rsidRPr="005E6B19" w:rsidRDefault="00D35C4A" w:rsidP="002109F1">
            <w:pPr>
              <w:pStyle w:val="Tablebullet"/>
              <w:rPr>
                <w:sz w:val="20"/>
                <w:szCs w:val="18"/>
              </w:rPr>
            </w:pPr>
            <w:r w:rsidRPr="005E6B19">
              <w:rPr>
                <w:sz w:val="20"/>
                <w:szCs w:val="18"/>
              </w:rPr>
              <w:t xml:space="preserve">your </w:t>
            </w:r>
            <w:r w:rsidR="002109F1" w:rsidRPr="005E6B19">
              <w:rPr>
                <w:sz w:val="20"/>
                <w:szCs w:val="18"/>
              </w:rPr>
              <w:t>role, in contrast to other regulators and government, in minimising those harms</w:t>
            </w:r>
          </w:p>
          <w:p w14:paraId="3B07C73C" w14:textId="2DA4ABA6" w:rsidR="002109F1" w:rsidRPr="005E6B19" w:rsidRDefault="00D35C4A" w:rsidP="002109F1">
            <w:pPr>
              <w:pStyle w:val="Tablebullet"/>
              <w:rPr>
                <w:sz w:val="20"/>
                <w:szCs w:val="18"/>
              </w:rPr>
            </w:pPr>
            <w:r w:rsidRPr="005E6B19">
              <w:rPr>
                <w:sz w:val="20"/>
                <w:szCs w:val="18"/>
              </w:rPr>
              <w:t xml:space="preserve">the </w:t>
            </w:r>
            <w:r w:rsidR="002109F1" w:rsidRPr="005E6B19">
              <w:rPr>
                <w:sz w:val="20"/>
                <w:szCs w:val="18"/>
              </w:rPr>
              <w:t>duty holder</w:t>
            </w:r>
            <w:r w:rsidR="002109F1" w:rsidRPr="005E6B19">
              <w:rPr>
                <w:rStyle w:val="FootnoteReference"/>
                <w:sz w:val="20"/>
                <w:szCs w:val="18"/>
              </w:rPr>
              <w:footnoteReference w:id="3"/>
            </w:r>
            <w:r w:rsidR="002109F1" w:rsidRPr="005E6B19">
              <w:rPr>
                <w:sz w:val="20"/>
                <w:szCs w:val="18"/>
              </w:rPr>
              <w:t xml:space="preserve"> group(s) responsible for those harms, to guide regulatory effort.</w:t>
            </w:r>
          </w:p>
          <w:p w14:paraId="34731A8B" w14:textId="77777777" w:rsidR="002109F1" w:rsidRPr="005E6B19" w:rsidRDefault="002109F1" w:rsidP="002109F1">
            <w:pPr>
              <w:pStyle w:val="Tabletext"/>
              <w:rPr>
                <w:sz w:val="20"/>
                <w:szCs w:val="18"/>
              </w:rPr>
            </w:pPr>
            <w:r w:rsidRPr="005E6B19">
              <w:rPr>
                <w:sz w:val="20"/>
                <w:szCs w:val="18"/>
              </w:rPr>
              <w:t>Measures or dashboards that:</w:t>
            </w:r>
          </w:p>
          <w:p w14:paraId="3ECE26DB" w14:textId="1E3CC51C" w:rsidR="002109F1" w:rsidRPr="005E6B19" w:rsidRDefault="00D35C4A" w:rsidP="002109F1">
            <w:pPr>
              <w:pStyle w:val="Tablebullet"/>
              <w:rPr>
                <w:sz w:val="20"/>
                <w:szCs w:val="18"/>
              </w:rPr>
            </w:pPr>
            <w:r w:rsidRPr="005E6B19">
              <w:rPr>
                <w:sz w:val="20"/>
                <w:szCs w:val="18"/>
              </w:rPr>
              <w:t xml:space="preserve">set </w:t>
            </w:r>
            <w:r w:rsidR="002109F1" w:rsidRPr="005E6B19">
              <w:rPr>
                <w:sz w:val="20"/>
                <w:szCs w:val="18"/>
              </w:rPr>
              <w:t>out a suitable variety of measures to indicate performance in achieving regulatory outcomes.</w:t>
            </w:r>
          </w:p>
          <w:p w14:paraId="05B569AB" w14:textId="4487AB08" w:rsidR="002109F1" w:rsidRPr="005E6B19" w:rsidRDefault="00D35C4A" w:rsidP="002109F1">
            <w:pPr>
              <w:pStyle w:val="Tablebullet"/>
              <w:rPr>
                <w:sz w:val="20"/>
                <w:szCs w:val="18"/>
              </w:rPr>
            </w:pPr>
            <w:r w:rsidRPr="005E6B19">
              <w:rPr>
                <w:sz w:val="20"/>
                <w:szCs w:val="18"/>
              </w:rPr>
              <w:t xml:space="preserve">infer </w:t>
            </w:r>
            <w:r w:rsidR="002109F1" w:rsidRPr="005E6B19">
              <w:rPr>
                <w:sz w:val="20"/>
                <w:szCs w:val="18"/>
              </w:rPr>
              <w:t>or account for changes in the significance of key harms to evaluate your regulatory effort.</w:t>
            </w:r>
          </w:p>
        </w:tc>
      </w:tr>
      <w:tr w:rsidR="002109F1" w:rsidRPr="00D35C4A" w14:paraId="5C088003" w14:textId="77777777" w:rsidTr="00D35C4A">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67484EEB" w14:textId="77777777" w:rsidR="002109F1" w:rsidRPr="005E6B19" w:rsidRDefault="002109F1" w:rsidP="00D35C4A">
            <w:pPr>
              <w:pStyle w:val="Tableheader"/>
              <w:rPr>
                <w:rFonts w:asciiTheme="majorHAnsi" w:hAnsiTheme="majorHAnsi"/>
              </w:rPr>
            </w:pPr>
            <w:r w:rsidRPr="005E6B19">
              <w:rPr>
                <w:rFonts w:asciiTheme="majorHAnsi" w:hAnsiTheme="majorHAnsi"/>
              </w:rPr>
              <w:t>What questions you could ask</w:t>
            </w:r>
          </w:p>
        </w:tc>
      </w:tr>
      <w:tr w:rsidR="002109F1" w14:paraId="35DE8BE6" w14:textId="77777777" w:rsidTr="002109F1">
        <w:tc>
          <w:tcPr>
            <w:tcW w:w="9242" w:type="dxa"/>
          </w:tcPr>
          <w:p w14:paraId="4D23C97B" w14:textId="77777777" w:rsidR="002109F1" w:rsidRPr="005E6B19" w:rsidRDefault="002109F1" w:rsidP="002109F1">
            <w:pPr>
              <w:pStyle w:val="Tablebullet"/>
              <w:rPr>
                <w:sz w:val="20"/>
                <w:szCs w:val="18"/>
              </w:rPr>
            </w:pPr>
            <w:r w:rsidRPr="005E6B19">
              <w:rPr>
                <w:sz w:val="20"/>
                <w:szCs w:val="18"/>
              </w:rPr>
              <w:t>What are the harms we are charged to reduce and the outcomes we want to achieve in the short, medium and long-term?</w:t>
            </w:r>
          </w:p>
          <w:p w14:paraId="70F55E14" w14:textId="77777777" w:rsidR="002109F1" w:rsidRPr="005E6B19" w:rsidRDefault="002109F1" w:rsidP="002109F1">
            <w:pPr>
              <w:pStyle w:val="Tablebullet"/>
              <w:rPr>
                <w:sz w:val="20"/>
                <w:szCs w:val="18"/>
              </w:rPr>
            </w:pPr>
            <w:r w:rsidRPr="005E6B19">
              <w:rPr>
                <w:sz w:val="20"/>
                <w:szCs w:val="18"/>
              </w:rPr>
              <w:t>How are these harms or desired outcomes linked to the reason for our existence? Are we tackling the right things?</w:t>
            </w:r>
          </w:p>
          <w:p w14:paraId="102722C6" w14:textId="77777777" w:rsidR="002109F1" w:rsidRPr="005E6B19" w:rsidRDefault="002109F1" w:rsidP="002109F1">
            <w:pPr>
              <w:pStyle w:val="Tablebullet"/>
              <w:rPr>
                <w:sz w:val="20"/>
                <w:szCs w:val="18"/>
              </w:rPr>
            </w:pPr>
            <w:r w:rsidRPr="005E6B19">
              <w:rPr>
                <w:sz w:val="20"/>
                <w:szCs w:val="18"/>
              </w:rPr>
              <w:t>How are we making choices to prioritise between these harms and is our role in minimising them clear?</w:t>
            </w:r>
          </w:p>
          <w:p w14:paraId="486DC2FF" w14:textId="77777777" w:rsidR="002109F1" w:rsidRPr="005E6B19" w:rsidRDefault="002109F1" w:rsidP="002109F1">
            <w:pPr>
              <w:pStyle w:val="Tablebullet"/>
              <w:rPr>
                <w:sz w:val="20"/>
                <w:szCs w:val="18"/>
              </w:rPr>
            </w:pPr>
            <w:r w:rsidRPr="005E6B19">
              <w:rPr>
                <w:sz w:val="20"/>
                <w:szCs w:val="18"/>
              </w:rPr>
              <w:t>Do we understand the primary drivers of these harms and associated behaviour of duty holders to act effectively?</w:t>
            </w:r>
          </w:p>
        </w:tc>
      </w:tr>
      <w:tr w:rsidR="002109F1" w:rsidRPr="00D35C4A" w14:paraId="500B3496" w14:textId="77777777" w:rsidTr="00D35C4A">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35A9D989" w14:textId="77777777" w:rsidR="002109F1" w:rsidRPr="005E6B19" w:rsidRDefault="002109F1" w:rsidP="00D35C4A">
            <w:pPr>
              <w:pStyle w:val="Tableheader"/>
              <w:rPr>
                <w:rFonts w:asciiTheme="majorHAnsi" w:hAnsiTheme="majorHAnsi"/>
              </w:rPr>
            </w:pPr>
            <w:r w:rsidRPr="005E6B19">
              <w:rPr>
                <w:rFonts w:asciiTheme="majorHAnsi" w:hAnsiTheme="majorHAnsi"/>
              </w:rPr>
              <w:t>Linkages to Board Member good practice</w:t>
            </w:r>
          </w:p>
        </w:tc>
      </w:tr>
      <w:tr w:rsidR="002109F1" w14:paraId="0AFDF119" w14:textId="77777777" w:rsidTr="002109F1">
        <w:tc>
          <w:tcPr>
            <w:tcW w:w="9242" w:type="dxa"/>
          </w:tcPr>
          <w:p w14:paraId="58ED33D6" w14:textId="77777777" w:rsidR="002109F1" w:rsidRPr="005E6B19" w:rsidRDefault="002109F1" w:rsidP="002109F1">
            <w:pPr>
              <w:pStyle w:val="Tablebullet"/>
              <w:rPr>
                <w:sz w:val="20"/>
                <w:szCs w:val="18"/>
              </w:rPr>
            </w:pPr>
            <w:r w:rsidRPr="005E6B19">
              <w:rPr>
                <w:sz w:val="20"/>
                <w:szCs w:val="18"/>
              </w:rPr>
              <w:t>Be familiar with the Minister’s Statement of Expectations for the regulator, and its response.</w:t>
            </w:r>
          </w:p>
          <w:p w14:paraId="1EEA6E50" w14:textId="77777777" w:rsidR="002109F1" w:rsidRPr="005E6B19" w:rsidRDefault="002109F1" w:rsidP="002109F1">
            <w:pPr>
              <w:pStyle w:val="Tablebullet"/>
              <w:rPr>
                <w:sz w:val="20"/>
                <w:szCs w:val="18"/>
              </w:rPr>
            </w:pPr>
            <w:r w:rsidRPr="005E6B19">
              <w:rPr>
                <w:sz w:val="20"/>
                <w:szCs w:val="18"/>
              </w:rPr>
              <w:t>Understand the relevant enabling legislation, the context why it was made, and the environment in which it is applied.</w:t>
            </w:r>
          </w:p>
          <w:p w14:paraId="2296B72D" w14:textId="77777777" w:rsidR="002109F1" w:rsidRPr="005E6B19" w:rsidRDefault="002109F1" w:rsidP="002109F1">
            <w:pPr>
              <w:pStyle w:val="Tablebullet"/>
              <w:rPr>
                <w:sz w:val="20"/>
                <w:szCs w:val="18"/>
              </w:rPr>
            </w:pPr>
            <w:r w:rsidRPr="005E6B19">
              <w:rPr>
                <w:sz w:val="20"/>
                <w:szCs w:val="18"/>
              </w:rPr>
              <w:t>Understand emerging harms and consequential expectations on the regulator to address these harms, and input to the positions on their response.</w:t>
            </w:r>
          </w:p>
        </w:tc>
      </w:tr>
    </w:tbl>
    <w:p w14:paraId="439A10CC" w14:textId="7CBFA4AF" w:rsidR="009A6494" w:rsidRDefault="009A6494" w:rsidP="00D35C4A"/>
    <w:p w14:paraId="299C217D" w14:textId="46BD3D01" w:rsidR="00D35C4A" w:rsidRPr="00554B10" w:rsidRDefault="00D35C4A" w:rsidP="00D35C4A">
      <w:pPr>
        <w:pStyle w:val="Principle"/>
      </w:pPr>
      <w:bookmarkStart w:id="10" w:name="_Toc121997862"/>
      <w:r w:rsidRPr="00554B10">
        <w:t>Establish and refine your approach to minimising harms</w:t>
      </w:r>
      <w:bookmarkEnd w:id="10"/>
    </w:p>
    <w:tbl>
      <w:tblPr>
        <w:tblStyle w:val="Texttable"/>
        <w:tblW w:w="0" w:type="auto"/>
        <w:tblLook w:val="0420" w:firstRow="1" w:lastRow="0" w:firstColumn="0" w:lastColumn="0" w:noHBand="0" w:noVBand="1"/>
      </w:tblPr>
      <w:tblGrid>
        <w:gridCol w:w="9026"/>
      </w:tblGrid>
      <w:tr w:rsidR="00D35C4A" w:rsidRPr="00D35C4A" w14:paraId="348F33B3" w14:textId="77777777" w:rsidTr="00D35C4A">
        <w:trPr>
          <w:cnfStyle w:val="100000000000" w:firstRow="1" w:lastRow="0" w:firstColumn="0" w:lastColumn="0" w:oddVBand="0" w:evenVBand="0" w:oddHBand="0" w:evenHBand="0" w:firstRowFirstColumn="0" w:firstRowLastColumn="0" w:lastRowFirstColumn="0" w:lastRowLastColumn="0"/>
        </w:trPr>
        <w:tc>
          <w:tcPr>
            <w:tcW w:w="9242" w:type="dxa"/>
          </w:tcPr>
          <w:p w14:paraId="65BD91CC" w14:textId="77777777" w:rsidR="00D35C4A" w:rsidRPr="00D35C4A" w:rsidRDefault="00D35C4A" w:rsidP="00D35C4A">
            <w:pPr>
              <w:pStyle w:val="Tableheader"/>
            </w:pPr>
            <w:r w:rsidRPr="00D35C4A">
              <w:t>What you might expect to see</w:t>
            </w:r>
          </w:p>
        </w:tc>
      </w:tr>
      <w:tr w:rsidR="00D35C4A" w:rsidRPr="00D35C4A" w14:paraId="5CEA78E3" w14:textId="77777777" w:rsidTr="00D35C4A">
        <w:tc>
          <w:tcPr>
            <w:tcW w:w="9242" w:type="dxa"/>
          </w:tcPr>
          <w:p w14:paraId="74BF25C7" w14:textId="77777777" w:rsidR="00D35C4A" w:rsidRPr="00D35C4A" w:rsidRDefault="00D35C4A" w:rsidP="00D35C4A">
            <w:pPr>
              <w:pStyle w:val="Tabletext"/>
            </w:pPr>
            <w:r w:rsidRPr="00D35C4A">
              <w:t>Documents outlining:</w:t>
            </w:r>
          </w:p>
          <w:p w14:paraId="641935A2" w14:textId="73F85505" w:rsidR="00D35C4A" w:rsidRPr="00D35C4A" w:rsidRDefault="00D35C4A" w:rsidP="00D35C4A">
            <w:pPr>
              <w:pStyle w:val="Tablebullet"/>
            </w:pPr>
            <w:r w:rsidRPr="00D35C4A">
              <w:t>your regulatory approach and how you use your influence and direct behaviour to minimise harm</w:t>
            </w:r>
            <w:r>
              <w:t>/</w:t>
            </w:r>
            <w:r w:rsidRPr="00D35C4A">
              <w:t>deliver your regulatory outcomes.</w:t>
            </w:r>
          </w:p>
          <w:p w14:paraId="362B68E2" w14:textId="4F230628" w:rsidR="00D35C4A" w:rsidRPr="00D35C4A" w:rsidRDefault="00D35C4A" w:rsidP="00D35C4A">
            <w:pPr>
              <w:pStyle w:val="Tablebullet"/>
            </w:pPr>
            <w:r w:rsidRPr="00D35C4A">
              <w:t>your approach to risk, how you prioritise harms and your regulatory priorities.</w:t>
            </w:r>
          </w:p>
          <w:p w14:paraId="3A63888F" w14:textId="1BF7E732" w:rsidR="00D35C4A" w:rsidRPr="00D35C4A" w:rsidRDefault="00D35C4A" w:rsidP="00D35C4A">
            <w:pPr>
              <w:pStyle w:val="Tablebullet"/>
            </w:pPr>
            <w:r w:rsidRPr="00D35C4A">
              <w:t>how your regulatory functions (</w:t>
            </w:r>
            <w:r w:rsidR="00770252">
              <w:t>e.g.</w:t>
            </w:r>
            <w:r w:rsidRPr="00D35C4A">
              <w:t>, inspectorate, licensing, approvals, partnership, education, media, communications, investigations, legal) minimise harm and deliver on your regulatory outcomes.</w:t>
            </w:r>
          </w:p>
          <w:p w14:paraId="177AA35A" w14:textId="79FA9E2E" w:rsidR="00D35C4A" w:rsidRPr="00D35C4A" w:rsidRDefault="00D35C4A" w:rsidP="00D35C4A">
            <w:pPr>
              <w:pStyle w:val="Tablebullet"/>
            </w:pPr>
            <w:r w:rsidRPr="00D35C4A">
              <w:t>the delegations framework that articulates the level at which regulatory decisions are made (including any at Board Level) and how decisions are quality assured.</w:t>
            </w:r>
          </w:p>
          <w:p w14:paraId="56D97F86" w14:textId="77777777" w:rsidR="00D35C4A" w:rsidRPr="00D35C4A" w:rsidRDefault="00D35C4A" w:rsidP="00D35C4A">
            <w:pPr>
              <w:pStyle w:val="Tabletext"/>
            </w:pPr>
            <w:r w:rsidRPr="00D35C4A">
              <w:t>Measures or dashboards that:</w:t>
            </w:r>
          </w:p>
          <w:p w14:paraId="70FE0A9F" w14:textId="1BDCF9BD" w:rsidR="00D35C4A" w:rsidRPr="00D35C4A" w:rsidRDefault="00D35C4A" w:rsidP="00D35C4A">
            <w:pPr>
              <w:pStyle w:val="Tablebullet"/>
            </w:pPr>
            <w:r w:rsidRPr="00D35C4A">
              <w:t>demonstrate application of strategy and regulatory approach into operational activity and how these are being continuously evaluated and reviewed.</w:t>
            </w:r>
          </w:p>
        </w:tc>
      </w:tr>
      <w:tr w:rsidR="00D35C4A" w:rsidRPr="00D35C4A" w14:paraId="060B684A" w14:textId="77777777" w:rsidTr="00D35C4A">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2A2C7183" w14:textId="77777777" w:rsidR="00D35C4A" w:rsidRPr="00D35C4A" w:rsidRDefault="00D35C4A" w:rsidP="00D35C4A">
            <w:pPr>
              <w:pStyle w:val="Tableheader"/>
              <w:rPr>
                <w:rFonts w:asciiTheme="majorHAnsi" w:hAnsiTheme="majorHAnsi"/>
              </w:rPr>
            </w:pPr>
            <w:r w:rsidRPr="00D35C4A">
              <w:rPr>
                <w:rFonts w:asciiTheme="majorHAnsi" w:hAnsiTheme="majorHAnsi"/>
              </w:rPr>
              <w:t>What questions you could ask</w:t>
            </w:r>
          </w:p>
        </w:tc>
      </w:tr>
      <w:tr w:rsidR="00D35C4A" w:rsidRPr="00D35C4A" w14:paraId="73B7886A" w14:textId="77777777" w:rsidTr="00D35C4A">
        <w:tc>
          <w:tcPr>
            <w:tcW w:w="9242" w:type="dxa"/>
          </w:tcPr>
          <w:p w14:paraId="7EAC8D1C" w14:textId="77777777" w:rsidR="00D35C4A" w:rsidRPr="00D35C4A" w:rsidRDefault="00D35C4A" w:rsidP="00D35C4A">
            <w:pPr>
              <w:pStyle w:val="Tablebullet"/>
            </w:pPr>
            <w:r w:rsidRPr="00D35C4A">
              <w:t>Does our regulatory approach make clear how we use all of our tools (such as education, permissioning, support, monitoring, enforcement) to influence duty holder behaviour to minimise harms and meet our regulatory outcomes?</w:t>
            </w:r>
          </w:p>
          <w:p w14:paraId="3CAE6E26" w14:textId="641CDD77" w:rsidR="00D35C4A" w:rsidRPr="00D35C4A" w:rsidRDefault="00D35C4A" w:rsidP="00D35C4A">
            <w:pPr>
              <w:pStyle w:val="Tablebullet"/>
            </w:pPr>
            <w:r w:rsidRPr="00D35C4A">
              <w:t>How does our regulatory approach respond to different duty holder groups, their characteristics and motivations? Does it include both persuasive and directive</w:t>
            </w:r>
            <w:r>
              <w:t>/</w:t>
            </w:r>
            <w:r w:rsidRPr="00D35C4A">
              <w:t>coercive interventions?</w:t>
            </w:r>
          </w:p>
          <w:p w14:paraId="0AC46EC4" w14:textId="77777777" w:rsidR="00D35C4A" w:rsidRPr="00D35C4A" w:rsidRDefault="00D35C4A" w:rsidP="00D35C4A">
            <w:pPr>
              <w:pStyle w:val="Tablebullet"/>
            </w:pPr>
            <w:r w:rsidRPr="00D35C4A">
              <w:t>How are we enabling or empowering third parties to report non-compliance to us to boost our compliance monitoring efforts?</w:t>
            </w:r>
          </w:p>
          <w:p w14:paraId="2CDA0934" w14:textId="3B75C8B0" w:rsidR="00D35C4A" w:rsidRPr="00D35C4A" w:rsidRDefault="00D35C4A" w:rsidP="00D35C4A">
            <w:pPr>
              <w:pStyle w:val="Tablebullet"/>
            </w:pPr>
            <w:r w:rsidRPr="00D35C4A">
              <w:t>Does our regulatory approach make plain the difference between seeking remedy of harm(s) (</w:t>
            </w:r>
            <w:r>
              <w:t>e.g.</w:t>
            </w:r>
            <w:r w:rsidR="00770252">
              <w:t>,</w:t>
            </w:r>
            <w:r w:rsidRPr="00D35C4A">
              <w:t xml:space="preserve"> notices to fix the problem) and applying sanctions (</w:t>
            </w:r>
            <w:r>
              <w:t>e.g.</w:t>
            </w:r>
            <w:r w:rsidR="00770252">
              <w:t>,</w:t>
            </w:r>
            <w:r w:rsidRPr="00D35C4A">
              <w:t xml:space="preserve"> punishment, penalties, deterrence) when undertaking enforcement?</w:t>
            </w:r>
          </w:p>
          <w:p w14:paraId="439FEBFA" w14:textId="77777777" w:rsidR="00D35C4A" w:rsidRPr="00D35C4A" w:rsidRDefault="00D35C4A" w:rsidP="00D35C4A">
            <w:pPr>
              <w:pStyle w:val="Tablebullet"/>
            </w:pPr>
            <w:r w:rsidRPr="00D35C4A">
              <w:t xml:space="preserve">Is our approach to sanctioning and prosecuting particular cases strategic? Are we shying away from court action and adopting a conservative legal position? Or are we taking strategic, well-informed and considered risks? </w:t>
            </w:r>
          </w:p>
          <w:p w14:paraId="692CB8B9" w14:textId="587DDD10" w:rsidR="00D35C4A" w:rsidRPr="00D35C4A" w:rsidRDefault="00D35C4A" w:rsidP="00D35C4A">
            <w:pPr>
              <w:pStyle w:val="Tablebullet"/>
            </w:pPr>
            <w:r w:rsidRPr="00D35C4A">
              <w:t>Are we clear on the purpose of our regulatory functions (</w:t>
            </w:r>
            <w:r>
              <w:t>e.g.</w:t>
            </w:r>
            <w:r w:rsidR="00770252">
              <w:t>,</w:t>
            </w:r>
            <w:r w:rsidRPr="00D35C4A">
              <w:t xml:space="preserve"> marketing and communications, intelligence, policy, licensing and inspections) and how they contribute to delivery of our mission and reduce harm?</w:t>
            </w:r>
          </w:p>
        </w:tc>
      </w:tr>
      <w:tr w:rsidR="00D35C4A" w:rsidRPr="00D35C4A" w14:paraId="10A59A97" w14:textId="77777777" w:rsidTr="00D35C4A">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62F94A55" w14:textId="77777777" w:rsidR="00D35C4A" w:rsidRPr="00D35C4A" w:rsidRDefault="00D35C4A" w:rsidP="00D35C4A">
            <w:pPr>
              <w:pStyle w:val="Tableheader"/>
              <w:rPr>
                <w:rFonts w:asciiTheme="majorHAnsi" w:hAnsiTheme="majorHAnsi"/>
              </w:rPr>
            </w:pPr>
            <w:r w:rsidRPr="00D35C4A">
              <w:rPr>
                <w:rFonts w:asciiTheme="majorHAnsi" w:hAnsiTheme="majorHAnsi"/>
              </w:rPr>
              <w:t>Linkages to Board Member good practice</w:t>
            </w:r>
          </w:p>
        </w:tc>
      </w:tr>
      <w:tr w:rsidR="00D35C4A" w:rsidRPr="00D35C4A" w14:paraId="55827124" w14:textId="77777777" w:rsidTr="00D35C4A">
        <w:tc>
          <w:tcPr>
            <w:tcW w:w="9242" w:type="dxa"/>
          </w:tcPr>
          <w:p w14:paraId="2F91490F" w14:textId="49165667" w:rsidR="00D35C4A" w:rsidRPr="007C2C5D" w:rsidRDefault="00D35C4A" w:rsidP="00D35C4A">
            <w:pPr>
              <w:pStyle w:val="Tablebullet"/>
            </w:pPr>
            <w:r w:rsidRPr="007C2C5D">
              <w:t>Understand where your organisation operates in a contested environment or with competing expectations on its approach (</w:t>
            </w:r>
            <w:r>
              <w:t>e.g.</w:t>
            </w:r>
            <w:r w:rsidR="00770252">
              <w:t>,</w:t>
            </w:r>
            <w:r w:rsidRPr="007C2C5D">
              <w:t xml:space="preserve"> support vs. enforce), and the varied objectives of key stakeholders (</w:t>
            </w:r>
            <w:r>
              <w:t>e.g.</w:t>
            </w:r>
            <w:r w:rsidR="00770252">
              <w:t>,</w:t>
            </w:r>
            <w:r w:rsidRPr="007C2C5D">
              <w:t xml:space="preserve"> promoting a sector vs. regulating it).</w:t>
            </w:r>
          </w:p>
          <w:p w14:paraId="33656FE5" w14:textId="387E69AA" w:rsidR="00D35C4A" w:rsidRPr="00D35C4A" w:rsidRDefault="00D35C4A" w:rsidP="00D35C4A">
            <w:pPr>
              <w:pStyle w:val="Tablebullet"/>
            </w:pPr>
            <w:r w:rsidRPr="007C2C5D">
              <w:t>Support your organisation to engage with those parties, to explain the regulator’s enforcement approach and how this relates to duty holder attitude and actions.</w:t>
            </w:r>
          </w:p>
        </w:tc>
      </w:tr>
    </w:tbl>
    <w:p w14:paraId="5F1DD74A" w14:textId="55B8462F" w:rsidR="00D35C4A" w:rsidRDefault="00D35C4A" w:rsidP="00D35C4A"/>
    <w:p w14:paraId="73C5DD85" w14:textId="02DEA3FC" w:rsidR="00D35C4A" w:rsidRPr="00E524D2" w:rsidRDefault="00D35C4A" w:rsidP="00D35C4A">
      <w:pPr>
        <w:pStyle w:val="Principle"/>
      </w:pPr>
      <w:bookmarkStart w:id="11" w:name="_Toc121997863"/>
      <w:r w:rsidRPr="00554B10">
        <w:t>Ensure your regulatory regime is fit for purpose</w:t>
      </w:r>
      <w:bookmarkEnd w:id="11"/>
    </w:p>
    <w:tbl>
      <w:tblPr>
        <w:tblStyle w:val="Texttable"/>
        <w:tblW w:w="0" w:type="auto"/>
        <w:tblLook w:val="0420" w:firstRow="1" w:lastRow="0" w:firstColumn="0" w:lastColumn="0" w:noHBand="0" w:noVBand="1"/>
      </w:tblPr>
      <w:tblGrid>
        <w:gridCol w:w="9026"/>
      </w:tblGrid>
      <w:tr w:rsidR="00D35C4A" w:rsidRPr="00E524D2" w14:paraId="365C2196" w14:textId="77777777" w:rsidTr="00D35C4A">
        <w:trPr>
          <w:cnfStyle w:val="100000000000" w:firstRow="1" w:lastRow="0" w:firstColumn="0" w:lastColumn="0" w:oddVBand="0" w:evenVBand="0" w:oddHBand="0" w:evenHBand="0" w:firstRowFirstColumn="0" w:firstRowLastColumn="0" w:lastRowFirstColumn="0" w:lastRowLastColumn="0"/>
        </w:trPr>
        <w:tc>
          <w:tcPr>
            <w:tcW w:w="9026" w:type="dxa"/>
          </w:tcPr>
          <w:p w14:paraId="08D033B3" w14:textId="77777777" w:rsidR="00D35C4A" w:rsidRPr="00E524D2" w:rsidRDefault="00D35C4A" w:rsidP="00D35C4A">
            <w:pPr>
              <w:pStyle w:val="Tableheader"/>
            </w:pPr>
            <w:r w:rsidRPr="00E524D2">
              <w:t>What you might expect to see</w:t>
            </w:r>
          </w:p>
        </w:tc>
      </w:tr>
      <w:tr w:rsidR="00D35C4A" w:rsidRPr="00E524D2" w14:paraId="1EB9FCA7" w14:textId="77777777" w:rsidTr="00D35C4A">
        <w:tc>
          <w:tcPr>
            <w:tcW w:w="9026" w:type="dxa"/>
          </w:tcPr>
          <w:p w14:paraId="07813CE1" w14:textId="77777777" w:rsidR="00D35C4A" w:rsidRPr="0008222E" w:rsidRDefault="00D35C4A" w:rsidP="00D35C4A">
            <w:pPr>
              <w:pStyle w:val="Tabletext"/>
            </w:pPr>
            <w:r w:rsidRPr="0008222E">
              <w:t>Documents outlining:</w:t>
            </w:r>
          </w:p>
          <w:p w14:paraId="04093EDC" w14:textId="3C3D654B" w:rsidR="00D35C4A" w:rsidRPr="0008222E" w:rsidRDefault="00D35C4A" w:rsidP="00D35C4A">
            <w:pPr>
              <w:pStyle w:val="Tablebullet"/>
            </w:pPr>
            <w:r w:rsidRPr="0008222E">
              <w:t>any significant barriers or legislative limitations that are restricting us from delivering our mission, and priorities for resolution</w:t>
            </w:r>
          </w:p>
          <w:p w14:paraId="71BD3D75" w14:textId="78B4B3D5" w:rsidR="00D35C4A" w:rsidRPr="0008222E" w:rsidRDefault="00D35C4A" w:rsidP="00D35C4A">
            <w:pPr>
              <w:pStyle w:val="Tablebullet"/>
            </w:pPr>
            <w:r w:rsidRPr="0008222E">
              <w:t>how our operating model is funded and any pressure, now or in the immediate future, on that model</w:t>
            </w:r>
          </w:p>
          <w:p w14:paraId="03EBB2E9" w14:textId="012559FB" w:rsidR="00D35C4A" w:rsidRDefault="00D35C4A" w:rsidP="00D35C4A">
            <w:pPr>
              <w:pStyle w:val="Tablebullet"/>
            </w:pPr>
            <w:r w:rsidRPr="0008222E">
              <w:t>critical capabilities needed to deliver on our regulatory mission and any existing gaps, barriers or challenges</w:t>
            </w:r>
          </w:p>
          <w:p w14:paraId="043B3C6F" w14:textId="668A9041" w:rsidR="00D35C4A" w:rsidRPr="0008222E" w:rsidRDefault="00D35C4A" w:rsidP="00D35C4A">
            <w:pPr>
              <w:pStyle w:val="Tablebullet"/>
            </w:pPr>
            <w:r>
              <w:t xml:space="preserve">through case studies or other evidence </w:t>
            </w:r>
            <w:r w:rsidRPr="0008222E">
              <w:t xml:space="preserve">– </w:t>
            </w:r>
            <w:r>
              <w:t xml:space="preserve">efforts to </w:t>
            </w:r>
            <w:r w:rsidRPr="0008222E">
              <w:t xml:space="preserve">identify and demonstrate limitations encountered </w:t>
            </w:r>
            <w:r>
              <w:t xml:space="preserve">when applying </w:t>
            </w:r>
            <w:r w:rsidRPr="0008222E">
              <w:t>and testing regulatory tools</w:t>
            </w:r>
            <w:r>
              <w:t>.</w:t>
            </w:r>
          </w:p>
          <w:p w14:paraId="6F8A331B" w14:textId="77777777" w:rsidR="00D35C4A" w:rsidRPr="0008222E" w:rsidRDefault="00D35C4A" w:rsidP="00D35C4A">
            <w:pPr>
              <w:pStyle w:val="Tabletext"/>
            </w:pPr>
            <w:r w:rsidRPr="0008222E">
              <w:t>Measures or dashboards that:</w:t>
            </w:r>
          </w:p>
          <w:p w14:paraId="23D78946" w14:textId="513AEE1D" w:rsidR="00D35C4A" w:rsidRPr="004E7DC8" w:rsidRDefault="00D35C4A" w:rsidP="00D35C4A">
            <w:pPr>
              <w:pStyle w:val="Tablebullet"/>
            </w:pPr>
            <w:r w:rsidRPr="0008222E">
              <w:t>where externally funded – highlight where funding is collected and historical</w:t>
            </w:r>
            <w:r>
              <w:t>/</w:t>
            </w:r>
            <w:r w:rsidRPr="0008222E">
              <w:t>predicted change</w:t>
            </w:r>
            <w:r>
              <w:t>.</w:t>
            </w:r>
          </w:p>
        </w:tc>
      </w:tr>
      <w:tr w:rsidR="00D35C4A" w:rsidRPr="00D35C4A" w14:paraId="053C2232" w14:textId="77777777" w:rsidTr="00D35C4A">
        <w:trPr>
          <w:cnfStyle w:val="000000010000" w:firstRow="0" w:lastRow="0" w:firstColumn="0" w:lastColumn="0" w:oddVBand="0" w:evenVBand="0" w:oddHBand="0" w:evenHBand="1" w:firstRowFirstColumn="0" w:firstRowLastColumn="0" w:lastRowFirstColumn="0" w:lastRowLastColumn="0"/>
        </w:trPr>
        <w:tc>
          <w:tcPr>
            <w:tcW w:w="9026" w:type="dxa"/>
            <w:shd w:val="clear" w:color="auto" w:fill="71C5E8" w:themeFill="accent1"/>
          </w:tcPr>
          <w:p w14:paraId="601E4B50" w14:textId="77777777" w:rsidR="00D35C4A" w:rsidRPr="00D35C4A" w:rsidRDefault="00D35C4A" w:rsidP="00D35C4A">
            <w:pPr>
              <w:pStyle w:val="Tableheader"/>
              <w:rPr>
                <w:rFonts w:asciiTheme="majorHAnsi" w:hAnsiTheme="majorHAnsi"/>
              </w:rPr>
            </w:pPr>
            <w:r w:rsidRPr="00D35C4A">
              <w:rPr>
                <w:rFonts w:asciiTheme="majorHAnsi" w:hAnsiTheme="majorHAnsi"/>
              </w:rPr>
              <w:t>What questions you could ask</w:t>
            </w:r>
          </w:p>
        </w:tc>
      </w:tr>
      <w:tr w:rsidR="00D35C4A" w:rsidRPr="00E524D2" w14:paraId="52174556" w14:textId="77777777" w:rsidTr="00D35C4A">
        <w:tc>
          <w:tcPr>
            <w:tcW w:w="9026" w:type="dxa"/>
          </w:tcPr>
          <w:p w14:paraId="6EF87B61" w14:textId="77777777" w:rsidR="00D35C4A" w:rsidRDefault="00D35C4A" w:rsidP="00D35C4A">
            <w:pPr>
              <w:pStyle w:val="Tablebullet"/>
            </w:pPr>
            <w:r>
              <w:t>Are our regulatory requirements flexible enough to recognise differences in capability and capacity across different duty holders?</w:t>
            </w:r>
          </w:p>
          <w:p w14:paraId="4DA22050" w14:textId="77777777" w:rsidR="00D35C4A" w:rsidRPr="0008222E" w:rsidRDefault="00D35C4A" w:rsidP="00D35C4A">
            <w:pPr>
              <w:pStyle w:val="Tablebullet"/>
            </w:pPr>
            <w:r w:rsidRPr="0008222E">
              <w:t xml:space="preserve">What legislative limitations are </w:t>
            </w:r>
            <w:r w:rsidRPr="0008222E">
              <w:rPr>
                <w:u w:val="single"/>
              </w:rPr>
              <w:t>actually</w:t>
            </w:r>
            <w:r w:rsidRPr="0008222E">
              <w:t xml:space="preserve"> stopping or limiting our ability to deliver against our mission or minimise key harms? How have we tested these limitations? What do we need to do to resolve them and how can the Board’s relationships (</w:t>
            </w:r>
            <w:r>
              <w:t xml:space="preserve">with the </w:t>
            </w:r>
            <w:r w:rsidRPr="0008222E">
              <w:t>Minister</w:t>
            </w:r>
            <w:r>
              <w:t xml:space="preserve"> and other s</w:t>
            </w:r>
            <w:r w:rsidRPr="0008222E">
              <w:t>takeholders) support that?</w:t>
            </w:r>
          </w:p>
          <w:p w14:paraId="5FBE8270" w14:textId="77777777" w:rsidR="00D35C4A" w:rsidRPr="0008222E" w:rsidRDefault="00D35C4A" w:rsidP="00D35C4A">
            <w:pPr>
              <w:pStyle w:val="Tablebullet"/>
            </w:pPr>
            <w:r w:rsidRPr="0008222E">
              <w:t xml:space="preserve">How confident are we that our funding model and our regulatory approach support us to minimise harm and deliver our regulatory </w:t>
            </w:r>
            <w:r>
              <w:t>goals</w:t>
            </w:r>
            <w:r w:rsidRPr="0008222E">
              <w:t>? Are we keeping pace with the profile of the harm, changes in duty holder population and expectations of the community?</w:t>
            </w:r>
          </w:p>
          <w:p w14:paraId="2A9EF9AD" w14:textId="77777777" w:rsidR="00D35C4A" w:rsidRPr="0008222E" w:rsidRDefault="00D35C4A" w:rsidP="00D35C4A">
            <w:pPr>
              <w:pStyle w:val="Tablebullet"/>
            </w:pPr>
            <w:r w:rsidRPr="0008222E">
              <w:t>Do we have the right mix of skills, capabilities and culture to direct teams and address the problems or harms we care about?</w:t>
            </w:r>
          </w:p>
          <w:p w14:paraId="2FDD2669" w14:textId="4D83DC54" w:rsidR="00D35C4A" w:rsidRPr="00E524D2" w:rsidRDefault="00D35C4A" w:rsidP="00D35C4A">
            <w:pPr>
              <w:pStyle w:val="Tablebullet"/>
            </w:pPr>
            <w:r w:rsidRPr="0008222E">
              <w:t>Do we have line of sight to the emerging trends or risks that may inhibit us from delivering on our regul</w:t>
            </w:r>
            <w:r>
              <w:t>atory functions into the future</w:t>
            </w:r>
            <w:r w:rsidRPr="0008222E">
              <w:t xml:space="preserve"> (</w:t>
            </w:r>
            <w:r>
              <w:t>e.g.</w:t>
            </w:r>
            <w:r w:rsidR="00770252">
              <w:t>,</w:t>
            </w:r>
            <w:r w:rsidRPr="0008222E">
              <w:t xml:space="preserve"> industry, market or policy changes, legislative limitations, potential impacts to funding model)</w:t>
            </w:r>
            <w:r>
              <w:t>?</w:t>
            </w:r>
          </w:p>
        </w:tc>
      </w:tr>
      <w:tr w:rsidR="00D35C4A" w:rsidRPr="00D35C4A" w14:paraId="6587EC73" w14:textId="77777777" w:rsidTr="00D35C4A">
        <w:trPr>
          <w:cnfStyle w:val="000000010000" w:firstRow="0" w:lastRow="0" w:firstColumn="0" w:lastColumn="0" w:oddVBand="0" w:evenVBand="0" w:oddHBand="0" w:evenHBand="1" w:firstRowFirstColumn="0" w:firstRowLastColumn="0" w:lastRowFirstColumn="0" w:lastRowLastColumn="0"/>
        </w:trPr>
        <w:tc>
          <w:tcPr>
            <w:tcW w:w="9026" w:type="dxa"/>
            <w:shd w:val="clear" w:color="auto" w:fill="71C5E8" w:themeFill="accent1"/>
          </w:tcPr>
          <w:p w14:paraId="61CBE11C" w14:textId="77777777" w:rsidR="00D35C4A" w:rsidRPr="00D35C4A" w:rsidRDefault="00D35C4A" w:rsidP="00D35C4A">
            <w:pPr>
              <w:pStyle w:val="Tableheader"/>
              <w:rPr>
                <w:rFonts w:asciiTheme="majorHAnsi" w:hAnsiTheme="majorHAnsi"/>
              </w:rPr>
            </w:pPr>
            <w:r w:rsidRPr="00D35C4A">
              <w:rPr>
                <w:rFonts w:asciiTheme="majorHAnsi" w:hAnsiTheme="majorHAnsi"/>
              </w:rPr>
              <w:t>Linkages to Board Member good practice</w:t>
            </w:r>
          </w:p>
        </w:tc>
      </w:tr>
      <w:tr w:rsidR="00D35C4A" w:rsidRPr="00D35C4A" w14:paraId="1E88898C" w14:textId="77777777" w:rsidTr="00D35C4A">
        <w:tc>
          <w:tcPr>
            <w:tcW w:w="9026" w:type="dxa"/>
          </w:tcPr>
          <w:p w14:paraId="5CE7005D" w14:textId="77777777" w:rsidR="00D35C4A" w:rsidRPr="00D35C4A" w:rsidRDefault="00D35C4A" w:rsidP="00D35C4A">
            <w:pPr>
              <w:pStyle w:val="Tablebullet"/>
            </w:pPr>
            <w:r w:rsidRPr="00D35C4A">
              <w:t>Ensure that management is thinking about changing market conditions and if the regulatory approach, legislation or funding model is keeping pace.</w:t>
            </w:r>
          </w:p>
          <w:p w14:paraId="2505E3A0" w14:textId="77777777" w:rsidR="00D35C4A" w:rsidRPr="00D35C4A" w:rsidRDefault="00D35C4A" w:rsidP="00D35C4A">
            <w:pPr>
              <w:pStyle w:val="Tablebullet"/>
            </w:pPr>
            <w:r w:rsidRPr="00D35C4A">
              <w:t>Recognise where to advocate on behalf of regulator staff to increase departmental awareness and engagement with the regulator’s challenges and constraints.</w:t>
            </w:r>
          </w:p>
          <w:p w14:paraId="6DFA43EB" w14:textId="77777777" w:rsidR="00D35C4A" w:rsidRPr="00D35C4A" w:rsidRDefault="00D35C4A" w:rsidP="00D35C4A">
            <w:pPr>
              <w:pStyle w:val="Tablebullet"/>
            </w:pPr>
            <w:r w:rsidRPr="00D35C4A">
              <w:t>Understand the regulator’s limitations, and support the regulator to address issues that impact on its performance.</w:t>
            </w:r>
          </w:p>
          <w:p w14:paraId="2727021B" w14:textId="15134AB5" w:rsidR="00D35C4A" w:rsidRPr="00D35C4A" w:rsidRDefault="00D35C4A" w:rsidP="00D35C4A">
            <w:pPr>
              <w:pStyle w:val="Tablebullet"/>
            </w:pPr>
            <w:r w:rsidRPr="00D35C4A">
              <w:t xml:space="preserve">Understand the full range of capabilities required to effectively regulate, including intelligence, communications, marketing and other enabling capabilities, and their role in supporting the regulator and then support the regulator in their acquisition.  </w:t>
            </w:r>
          </w:p>
        </w:tc>
      </w:tr>
    </w:tbl>
    <w:p w14:paraId="08832D0B" w14:textId="27C36D62" w:rsidR="00A944E0" w:rsidRDefault="00A944E0" w:rsidP="00D35C4A"/>
    <w:p w14:paraId="5BF775D6" w14:textId="662CFE47" w:rsidR="00D35C4A" w:rsidRPr="00E524D2" w:rsidRDefault="00D35C4A" w:rsidP="00D35C4A">
      <w:pPr>
        <w:pStyle w:val="Principle"/>
      </w:pPr>
      <w:bookmarkStart w:id="12" w:name="_Toc121997864"/>
      <w:r w:rsidRPr="00554B10">
        <w:t>Support duty holders to understand the value of compliance and harm reduction</w:t>
      </w:r>
      <w:bookmarkEnd w:id="12"/>
    </w:p>
    <w:tbl>
      <w:tblPr>
        <w:tblStyle w:val="Texttable"/>
        <w:tblW w:w="0" w:type="auto"/>
        <w:tblLook w:val="0420" w:firstRow="1" w:lastRow="0" w:firstColumn="0" w:lastColumn="0" w:noHBand="0" w:noVBand="1"/>
      </w:tblPr>
      <w:tblGrid>
        <w:gridCol w:w="9026"/>
      </w:tblGrid>
      <w:tr w:rsidR="00D35C4A" w:rsidRPr="00E524D2" w14:paraId="5766FD46" w14:textId="77777777" w:rsidTr="00EC3744">
        <w:trPr>
          <w:cnfStyle w:val="100000000000" w:firstRow="1" w:lastRow="0" w:firstColumn="0" w:lastColumn="0" w:oddVBand="0" w:evenVBand="0" w:oddHBand="0" w:evenHBand="0" w:firstRowFirstColumn="0" w:firstRowLastColumn="0" w:lastRowFirstColumn="0" w:lastRowLastColumn="0"/>
        </w:trPr>
        <w:tc>
          <w:tcPr>
            <w:tcW w:w="9242" w:type="dxa"/>
          </w:tcPr>
          <w:p w14:paraId="3F706F34" w14:textId="77777777" w:rsidR="00D35C4A" w:rsidRPr="00E524D2" w:rsidRDefault="00D35C4A" w:rsidP="00D35C4A">
            <w:pPr>
              <w:pStyle w:val="Tableheader"/>
            </w:pPr>
            <w:r w:rsidRPr="00E524D2">
              <w:t>What you might expect to see</w:t>
            </w:r>
          </w:p>
        </w:tc>
      </w:tr>
      <w:tr w:rsidR="00D35C4A" w:rsidRPr="00E524D2" w14:paraId="4EDD310E" w14:textId="77777777" w:rsidTr="00EC3744">
        <w:tc>
          <w:tcPr>
            <w:tcW w:w="9242" w:type="dxa"/>
          </w:tcPr>
          <w:p w14:paraId="250F490A" w14:textId="77777777" w:rsidR="00D35C4A" w:rsidRPr="004E7DC8" w:rsidRDefault="00D35C4A" w:rsidP="00EC3744">
            <w:pPr>
              <w:pStyle w:val="Tabletext"/>
            </w:pPr>
            <w:r w:rsidRPr="004E7DC8">
              <w:t>Documents outlining:</w:t>
            </w:r>
          </w:p>
          <w:p w14:paraId="5671B99B" w14:textId="52BB55D7" w:rsidR="00D35C4A" w:rsidRPr="004E7DC8" w:rsidRDefault="00EC3744" w:rsidP="00EC3744">
            <w:pPr>
              <w:pStyle w:val="Tablebullet"/>
            </w:pPr>
            <w:r w:rsidRPr="004E7DC8">
              <w:t xml:space="preserve">the </w:t>
            </w:r>
            <w:r w:rsidR="00D35C4A" w:rsidRPr="004E7DC8">
              <w:t>regulator</w:t>
            </w:r>
            <w:r w:rsidR="00D35C4A">
              <w:t>’</w:t>
            </w:r>
            <w:r w:rsidR="00D35C4A" w:rsidRPr="004E7DC8">
              <w:t>s role and the value it provides</w:t>
            </w:r>
            <w:r w:rsidR="00D35C4A">
              <w:t xml:space="preserve"> (this should be available publicly)</w:t>
            </w:r>
          </w:p>
          <w:p w14:paraId="63EA5941" w14:textId="0A1E002F" w:rsidR="00D35C4A" w:rsidRPr="004E7DC8" w:rsidRDefault="00EC3744" w:rsidP="00EC3744">
            <w:pPr>
              <w:pStyle w:val="Tablebullet"/>
            </w:pPr>
            <w:r w:rsidRPr="004E7DC8">
              <w:t xml:space="preserve">activity </w:t>
            </w:r>
            <w:r w:rsidR="00D35C4A" w:rsidRPr="004E7DC8">
              <w:t xml:space="preserve">seeking to understand duty holder motivations, behaviour and </w:t>
            </w:r>
            <w:r w:rsidR="00D35C4A">
              <w:t xml:space="preserve">attitude </w:t>
            </w:r>
            <w:r w:rsidR="00D35C4A" w:rsidRPr="004E7DC8">
              <w:t>towards harms of concern</w:t>
            </w:r>
          </w:p>
          <w:p w14:paraId="306F0CAC" w14:textId="10C96BDD" w:rsidR="00D35C4A" w:rsidRPr="004E7DC8" w:rsidRDefault="00EC3744" w:rsidP="00EC3744">
            <w:pPr>
              <w:pStyle w:val="Tablebullet"/>
            </w:pPr>
            <w:r w:rsidRPr="004E7DC8">
              <w:t xml:space="preserve">duty </w:t>
            </w:r>
            <w:r w:rsidR="00D35C4A" w:rsidRPr="004E7DC8">
              <w:t xml:space="preserve">holder and community awareness of </w:t>
            </w:r>
            <w:r w:rsidR="00D35C4A">
              <w:t>the regulator</w:t>
            </w:r>
            <w:r w:rsidR="00D35C4A" w:rsidRPr="004E7DC8">
              <w:t xml:space="preserve">, support for </w:t>
            </w:r>
            <w:r w:rsidR="00D35C4A">
              <w:t xml:space="preserve">its </w:t>
            </w:r>
            <w:r w:rsidR="00D35C4A" w:rsidRPr="004E7DC8">
              <w:t xml:space="preserve">role, the regulatory regime and appreciation of the value </w:t>
            </w:r>
            <w:r w:rsidR="00D35C4A">
              <w:t xml:space="preserve">the regulator </w:t>
            </w:r>
            <w:r w:rsidR="00D35C4A" w:rsidRPr="004E7DC8">
              <w:t>bring</w:t>
            </w:r>
            <w:r w:rsidR="00D35C4A">
              <w:t>s.</w:t>
            </w:r>
          </w:p>
          <w:p w14:paraId="2F45F834" w14:textId="77777777" w:rsidR="00D35C4A" w:rsidRPr="004E7DC8" w:rsidRDefault="00D35C4A" w:rsidP="00EC3744">
            <w:pPr>
              <w:pStyle w:val="Tabletext"/>
            </w:pPr>
            <w:r w:rsidRPr="004E7DC8">
              <w:t>Measures or dashboards that:</w:t>
            </w:r>
          </w:p>
          <w:p w14:paraId="2A4FB4F0" w14:textId="2FEF5D3B" w:rsidR="00D35C4A" w:rsidRPr="00E524D2" w:rsidRDefault="00EC3744" w:rsidP="00EC3744">
            <w:pPr>
              <w:pStyle w:val="Tablebullet"/>
            </w:pPr>
            <w:r w:rsidRPr="004E7DC8">
              <w:t xml:space="preserve">track </w:t>
            </w:r>
            <w:r w:rsidR="00D35C4A" w:rsidRPr="004E7DC8">
              <w:t>stakeholder and duty holder awareness, perceptions, expectations of the regulator</w:t>
            </w:r>
            <w:r w:rsidR="00D35C4A">
              <w:t>.</w:t>
            </w:r>
          </w:p>
        </w:tc>
      </w:tr>
      <w:tr w:rsidR="00D35C4A" w:rsidRPr="00EC3744" w14:paraId="704E6E2A"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16AFC612" w14:textId="77777777" w:rsidR="00D35C4A" w:rsidRPr="00EC3744" w:rsidRDefault="00D35C4A" w:rsidP="00D35C4A">
            <w:pPr>
              <w:pStyle w:val="Tableheader"/>
              <w:rPr>
                <w:rFonts w:asciiTheme="majorHAnsi" w:hAnsiTheme="majorHAnsi"/>
              </w:rPr>
            </w:pPr>
            <w:r w:rsidRPr="00EC3744">
              <w:rPr>
                <w:rFonts w:asciiTheme="majorHAnsi" w:hAnsiTheme="majorHAnsi"/>
              </w:rPr>
              <w:t>What questions you could ask</w:t>
            </w:r>
          </w:p>
        </w:tc>
      </w:tr>
      <w:tr w:rsidR="00D35C4A" w:rsidRPr="00E524D2" w14:paraId="3105F300" w14:textId="77777777" w:rsidTr="00EC3744">
        <w:tc>
          <w:tcPr>
            <w:tcW w:w="9242" w:type="dxa"/>
          </w:tcPr>
          <w:p w14:paraId="0BE521FE" w14:textId="77777777" w:rsidR="00D35C4A" w:rsidRPr="004E7DC8" w:rsidRDefault="00D35C4A" w:rsidP="00EC3744">
            <w:pPr>
              <w:pStyle w:val="Tablebullet"/>
            </w:pPr>
            <w:r w:rsidRPr="004E7DC8">
              <w:t>Do our duty holders and stakeholders understand who we are, what we do, why compliance matters, why it’s important to them</w:t>
            </w:r>
            <w:r>
              <w:t xml:space="preserve"> and to the community </w:t>
            </w:r>
            <w:r w:rsidRPr="004E7DC8">
              <w:t xml:space="preserve">and what </w:t>
            </w:r>
            <w:r w:rsidRPr="004E7DC8">
              <w:rPr>
                <w:rFonts w:cs="Arial"/>
              </w:rPr>
              <w:t>we expect?</w:t>
            </w:r>
          </w:p>
          <w:p w14:paraId="7055D3EE" w14:textId="77777777" w:rsidR="00D35C4A" w:rsidRPr="004E7DC8" w:rsidRDefault="00D35C4A" w:rsidP="00EC3744">
            <w:pPr>
              <w:pStyle w:val="Tablebullet"/>
            </w:pPr>
            <w:r w:rsidRPr="004E7DC8">
              <w:t>What proactive awareness raising activities are we undertaking and who is it targeted at?</w:t>
            </w:r>
          </w:p>
          <w:p w14:paraId="27B03651" w14:textId="77777777" w:rsidR="00D35C4A" w:rsidRPr="004E7DC8" w:rsidRDefault="00D35C4A" w:rsidP="00EC3744">
            <w:pPr>
              <w:pStyle w:val="Tablebullet"/>
            </w:pPr>
            <w:r w:rsidRPr="004E7DC8">
              <w:t>Do we understand our duty holders, what drives them and how market forces influence them?</w:t>
            </w:r>
          </w:p>
          <w:p w14:paraId="2E2087C9" w14:textId="77777777" w:rsidR="00D35C4A" w:rsidRPr="00801F6C" w:rsidRDefault="00D35C4A" w:rsidP="00EC3744">
            <w:pPr>
              <w:pStyle w:val="Tablebullet"/>
            </w:pPr>
            <w:r w:rsidRPr="004E7DC8">
              <w:t>Are we leveraging the expectations of our duty holders’ markets, supply chains and customers to reinforce the value and importance of compliance?</w:t>
            </w:r>
            <w:r>
              <w:t xml:space="preserve"> </w:t>
            </w:r>
          </w:p>
        </w:tc>
      </w:tr>
      <w:tr w:rsidR="00D35C4A" w:rsidRPr="00EC3744" w14:paraId="05A7EF36"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4C481DB1" w14:textId="77777777" w:rsidR="00D35C4A" w:rsidRPr="00EC3744" w:rsidRDefault="00D35C4A" w:rsidP="00D35C4A">
            <w:pPr>
              <w:pStyle w:val="Tableheader"/>
              <w:rPr>
                <w:rFonts w:asciiTheme="majorHAnsi" w:hAnsiTheme="majorHAnsi"/>
              </w:rPr>
            </w:pPr>
            <w:r w:rsidRPr="00EC3744">
              <w:rPr>
                <w:rFonts w:asciiTheme="majorHAnsi" w:hAnsiTheme="majorHAnsi"/>
              </w:rPr>
              <w:t>Linkages to Board Member good practice</w:t>
            </w:r>
          </w:p>
        </w:tc>
      </w:tr>
      <w:tr w:rsidR="00D35C4A" w:rsidRPr="00E524D2" w14:paraId="1EC3C624" w14:textId="77777777" w:rsidTr="00EC3744">
        <w:tc>
          <w:tcPr>
            <w:tcW w:w="9242" w:type="dxa"/>
          </w:tcPr>
          <w:p w14:paraId="6EEBFD25" w14:textId="77777777" w:rsidR="00D35C4A" w:rsidRPr="004E7DC8" w:rsidRDefault="00D35C4A" w:rsidP="00D35C4A">
            <w:pPr>
              <w:pStyle w:val="Tablebullet"/>
            </w:pPr>
            <w:r w:rsidRPr="004E7DC8">
              <w:t>Support the regulator to relate compliance standards with industry good practice, and the benefits of compliance to industry performance.</w:t>
            </w:r>
          </w:p>
          <w:p w14:paraId="6E5B5638" w14:textId="77777777" w:rsidR="00D35C4A" w:rsidRPr="004E7DC8" w:rsidRDefault="00D35C4A" w:rsidP="00D35C4A">
            <w:pPr>
              <w:pStyle w:val="Tablebullet"/>
            </w:pPr>
            <w:r w:rsidRPr="004E7DC8">
              <w:t>Connect with community and community perspectives of the harms of non-compliance, and the benefits of compliance, to help influence duty holder perceptions and dialogue with affected parties.</w:t>
            </w:r>
          </w:p>
          <w:p w14:paraId="1F01AFD8" w14:textId="5A19BAD9" w:rsidR="00D35C4A" w:rsidRPr="00E524D2" w:rsidRDefault="00D35C4A" w:rsidP="00D35C4A">
            <w:pPr>
              <w:pStyle w:val="Tablebullet"/>
            </w:pPr>
            <w:r w:rsidRPr="004E7DC8">
              <w:t xml:space="preserve">Help establish relationships with industry leaders who can </w:t>
            </w:r>
            <w:r w:rsidRPr="007C2C5D">
              <w:t xml:space="preserve">work with the regulator. </w:t>
            </w:r>
          </w:p>
        </w:tc>
      </w:tr>
    </w:tbl>
    <w:p w14:paraId="0F4808BE" w14:textId="2055F740" w:rsidR="00D35C4A" w:rsidRDefault="00D35C4A" w:rsidP="00D35C4A"/>
    <w:p w14:paraId="66A7DB4E" w14:textId="10FF094E" w:rsidR="00D35C4A" w:rsidRPr="00CA1902" w:rsidRDefault="00D35C4A" w:rsidP="00EC3744">
      <w:pPr>
        <w:pStyle w:val="Principle"/>
      </w:pPr>
      <w:bookmarkStart w:id="13" w:name="_Toc121997865"/>
      <w:r w:rsidRPr="00CA1902">
        <w:t>Support duty holders to comply</w:t>
      </w:r>
      <w:bookmarkEnd w:id="13"/>
    </w:p>
    <w:tbl>
      <w:tblPr>
        <w:tblStyle w:val="Texttable"/>
        <w:tblW w:w="0" w:type="auto"/>
        <w:tblLook w:val="0420" w:firstRow="1" w:lastRow="0" w:firstColumn="0" w:lastColumn="0" w:noHBand="0" w:noVBand="1"/>
      </w:tblPr>
      <w:tblGrid>
        <w:gridCol w:w="9026"/>
      </w:tblGrid>
      <w:tr w:rsidR="00D35C4A" w:rsidRPr="00E524D2" w14:paraId="06074197" w14:textId="77777777" w:rsidTr="00EC3744">
        <w:trPr>
          <w:cnfStyle w:val="100000000000" w:firstRow="1" w:lastRow="0" w:firstColumn="0" w:lastColumn="0" w:oddVBand="0" w:evenVBand="0" w:oddHBand="0" w:evenHBand="0" w:firstRowFirstColumn="0" w:firstRowLastColumn="0" w:lastRowFirstColumn="0" w:lastRowLastColumn="0"/>
        </w:trPr>
        <w:tc>
          <w:tcPr>
            <w:tcW w:w="9242" w:type="dxa"/>
          </w:tcPr>
          <w:p w14:paraId="50952DB4" w14:textId="77777777" w:rsidR="00D35C4A" w:rsidRPr="00E524D2" w:rsidRDefault="00D35C4A" w:rsidP="00EC3744">
            <w:pPr>
              <w:pStyle w:val="Tableheader"/>
            </w:pPr>
            <w:r w:rsidRPr="00E524D2">
              <w:t>What you might expect to see</w:t>
            </w:r>
          </w:p>
        </w:tc>
      </w:tr>
      <w:tr w:rsidR="00D35C4A" w:rsidRPr="00E524D2" w14:paraId="1B37361B" w14:textId="77777777" w:rsidTr="00EC3744">
        <w:tc>
          <w:tcPr>
            <w:tcW w:w="9242" w:type="dxa"/>
          </w:tcPr>
          <w:p w14:paraId="5F6BE03F" w14:textId="77777777" w:rsidR="00D35C4A" w:rsidRPr="004E7DC8" w:rsidRDefault="00D35C4A" w:rsidP="00EC3744">
            <w:pPr>
              <w:pStyle w:val="Tabletext"/>
            </w:pPr>
            <w:r w:rsidRPr="004E7DC8">
              <w:t>Documents outlining:</w:t>
            </w:r>
          </w:p>
          <w:p w14:paraId="4886B909" w14:textId="0E426ED5" w:rsidR="00D35C4A" w:rsidRPr="004E7DC8" w:rsidRDefault="00EC3744" w:rsidP="00EC3744">
            <w:pPr>
              <w:pStyle w:val="Tablebullet"/>
            </w:pPr>
            <w:r w:rsidRPr="5DE78E53">
              <w:t xml:space="preserve">activity </w:t>
            </w:r>
            <w:r w:rsidR="00D35C4A" w:rsidRPr="5DE78E53">
              <w:t>that demonstrates efforts to support duty holders to understand their obligations and comply</w:t>
            </w:r>
            <w:r w:rsidR="00D35C4A">
              <w:t>.</w:t>
            </w:r>
          </w:p>
          <w:p w14:paraId="73757A8A" w14:textId="77777777" w:rsidR="00D35C4A" w:rsidRPr="004E7DC8" w:rsidRDefault="00D35C4A" w:rsidP="00EC3744">
            <w:pPr>
              <w:pStyle w:val="Tabletext"/>
            </w:pPr>
            <w:r w:rsidRPr="004E7DC8">
              <w:t>Measures or dashboards that:</w:t>
            </w:r>
          </w:p>
          <w:p w14:paraId="7CEAEC07" w14:textId="583AA4DE" w:rsidR="00D35C4A" w:rsidRPr="004E7DC8" w:rsidRDefault="00EC3744" w:rsidP="00EC3744">
            <w:pPr>
              <w:pStyle w:val="Tablebullet"/>
            </w:pPr>
            <w:r w:rsidRPr="004E7DC8">
              <w:t xml:space="preserve">demonstrate </w:t>
            </w:r>
            <w:r w:rsidR="00D35C4A" w:rsidRPr="004E7DC8">
              <w:t>outreach (</w:t>
            </w:r>
            <w:r w:rsidR="00770252">
              <w:t>e.g.</w:t>
            </w:r>
            <w:r w:rsidR="00D35C4A">
              <w:t xml:space="preserve">, </w:t>
            </w:r>
            <w:r w:rsidR="00D35C4A" w:rsidRPr="004E7DC8">
              <w:t>events, seminars), delivery</w:t>
            </w:r>
            <w:r w:rsidR="00D35C4A">
              <w:t>,</w:t>
            </w:r>
            <w:r w:rsidR="00D35C4A" w:rsidRPr="004E7DC8">
              <w:t xml:space="preserve"> uptake</w:t>
            </w:r>
            <w:r w:rsidR="00D35C4A">
              <w:t xml:space="preserve"> and effectiveness</w:t>
            </w:r>
            <w:r w:rsidR="00D35C4A" w:rsidRPr="004E7DC8">
              <w:t xml:space="preserve"> of support to comply materials</w:t>
            </w:r>
          </w:p>
          <w:p w14:paraId="5B6DB7F6" w14:textId="684A1748" w:rsidR="00D35C4A" w:rsidRPr="00E524D2" w:rsidRDefault="00EC3744" w:rsidP="00EC3744">
            <w:pPr>
              <w:pStyle w:val="Tablebullet"/>
            </w:pPr>
            <w:r w:rsidRPr="004E7DC8">
              <w:t xml:space="preserve">track </w:t>
            </w:r>
            <w:r w:rsidR="00D35C4A" w:rsidRPr="004E7DC8">
              <w:t>duty holders’ awareness of obligations</w:t>
            </w:r>
            <w:r w:rsidR="00D35C4A">
              <w:t>,</w:t>
            </w:r>
            <w:r w:rsidR="00D35C4A" w:rsidRPr="004E7DC8">
              <w:t xml:space="preserve"> </w:t>
            </w:r>
            <w:r w:rsidR="00D35C4A">
              <w:t xml:space="preserve">recognition of </w:t>
            </w:r>
            <w:r w:rsidR="00D35C4A" w:rsidRPr="004E7DC8">
              <w:t>importance of compliance in organisational management</w:t>
            </w:r>
            <w:r w:rsidR="00D35C4A">
              <w:t>, and prioritisation of compliance.</w:t>
            </w:r>
          </w:p>
        </w:tc>
      </w:tr>
      <w:tr w:rsidR="00D35C4A" w:rsidRPr="00EC3744" w14:paraId="59149BCD"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30236634" w14:textId="77777777" w:rsidR="00D35C4A" w:rsidRPr="00EC3744" w:rsidRDefault="00D35C4A" w:rsidP="00EC3744">
            <w:pPr>
              <w:pStyle w:val="Tableheader"/>
              <w:rPr>
                <w:rFonts w:asciiTheme="majorHAnsi" w:hAnsiTheme="majorHAnsi"/>
              </w:rPr>
            </w:pPr>
            <w:r w:rsidRPr="00EC3744">
              <w:rPr>
                <w:rFonts w:asciiTheme="majorHAnsi" w:hAnsiTheme="majorHAnsi"/>
              </w:rPr>
              <w:t>What questions you could ask</w:t>
            </w:r>
          </w:p>
        </w:tc>
      </w:tr>
      <w:tr w:rsidR="00D35C4A" w:rsidRPr="00E524D2" w14:paraId="74A4C6C1" w14:textId="77777777" w:rsidTr="00EC3744">
        <w:tc>
          <w:tcPr>
            <w:tcW w:w="9242" w:type="dxa"/>
          </w:tcPr>
          <w:p w14:paraId="06A9E92F" w14:textId="77777777" w:rsidR="00D35C4A" w:rsidRPr="004E7DC8" w:rsidRDefault="00D35C4A" w:rsidP="00EC3744">
            <w:pPr>
              <w:pStyle w:val="Tablebullet"/>
            </w:pPr>
            <w:r w:rsidRPr="004E7DC8">
              <w:t>Do we understand where non-compliance is occurring across our duty holder base, where it is having the biggest impact, and what are the barriers to complying?</w:t>
            </w:r>
          </w:p>
          <w:p w14:paraId="3F635E28" w14:textId="77777777" w:rsidR="00D35C4A" w:rsidRPr="004E7DC8" w:rsidRDefault="00D35C4A" w:rsidP="00EC3744">
            <w:pPr>
              <w:pStyle w:val="Tablebullet"/>
            </w:pPr>
            <w:r w:rsidRPr="004E7DC8">
              <w:t>What are we doing to make compliance as straight forward as possible for those who are willing to comply?</w:t>
            </w:r>
          </w:p>
          <w:p w14:paraId="621FF334" w14:textId="77777777" w:rsidR="00D35C4A" w:rsidRDefault="00D35C4A" w:rsidP="00EC3744">
            <w:pPr>
              <w:pStyle w:val="Tablebullet"/>
            </w:pPr>
            <w:r w:rsidRPr="004E7DC8">
              <w:t>How do we know if we are providing the right level and types of compliance support and advice to those that need it?</w:t>
            </w:r>
          </w:p>
          <w:p w14:paraId="7EC20773" w14:textId="4F5D602F" w:rsidR="00D35C4A" w:rsidRPr="00E524D2" w:rsidRDefault="00D35C4A" w:rsidP="00EC3744">
            <w:pPr>
              <w:pStyle w:val="Tablebullet"/>
            </w:pPr>
            <w:r w:rsidRPr="004E7DC8">
              <w:t xml:space="preserve">Is our mix </w:t>
            </w:r>
            <w:r>
              <w:t xml:space="preserve">and design </w:t>
            </w:r>
            <w:r w:rsidRPr="004E7DC8">
              <w:t>of interventions (</w:t>
            </w:r>
            <w:r w:rsidR="00770252">
              <w:t>e.g.</w:t>
            </w:r>
            <w:r>
              <w:t>,</w:t>
            </w:r>
            <w:r w:rsidRPr="004E7DC8">
              <w:t xml:space="preserve"> awareness and education,</w:t>
            </w:r>
            <w:r>
              <w:t xml:space="preserve"> incentives,</w:t>
            </w:r>
            <w:r w:rsidRPr="004E7DC8">
              <w:t xml:space="preserve"> remedial, and sanctioning) appropriate to the harm and the motivations and capability of our different duty holders?</w:t>
            </w:r>
          </w:p>
        </w:tc>
      </w:tr>
      <w:tr w:rsidR="00D35C4A" w:rsidRPr="00EC3744" w14:paraId="238DD95A"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7069BD3E" w14:textId="77777777" w:rsidR="00D35C4A" w:rsidRPr="00EC3744" w:rsidRDefault="00D35C4A" w:rsidP="00EC3744">
            <w:pPr>
              <w:pStyle w:val="Tableheader"/>
              <w:rPr>
                <w:rFonts w:asciiTheme="majorHAnsi" w:hAnsiTheme="majorHAnsi"/>
              </w:rPr>
            </w:pPr>
            <w:r w:rsidRPr="00EC3744">
              <w:rPr>
                <w:rFonts w:asciiTheme="majorHAnsi" w:hAnsiTheme="majorHAnsi"/>
              </w:rPr>
              <w:t>Linkages to Board Member good practice</w:t>
            </w:r>
          </w:p>
        </w:tc>
      </w:tr>
      <w:tr w:rsidR="00EC3744" w:rsidRPr="00E524D2" w14:paraId="7976AB5A" w14:textId="77777777" w:rsidTr="00EC3744">
        <w:tc>
          <w:tcPr>
            <w:tcW w:w="9242" w:type="dxa"/>
          </w:tcPr>
          <w:p w14:paraId="325AA8AB" w14:textId="77777777" w:rsidR="00EC3744" w:rsidRPr="004E7DC8" w:rsidRDefault="00EC3744" w:rsidP="00EC3744">
            <w:pPr>
              <w:pStyle w:val="Tablebullet"/>
            </w:pPr>
            <w:r w:rsidRPr="5DE78E53">
              <w:t xml:space="preserve">Seek to understand stakeholder concerns about costs of compliance obligations, and how these </w:t>
            </w:r>
            <w:r w:rsidRPr="00B76E3E">
              <w:t>relate</w:t>
            </w:r>
            <w:r w:rsidRPr="5DE78E53">
              <w:t xml:space="preserve"> to shared risk and harm control objectives</w:t>
            </w:r>
            <w:r>
              <w:t>.</w:t>
            </w:r>
          </w:p>
          <w:p w14:paraId="52E6C093" w14:textId="69F6BA92" w:rsidR="00EC3744" w:rsidRPr="00E524D2" w:rsidRDefault="00EC3744" w:rsidP="00EC3744">
            <w:pPr>
              <w:pStyle w:val="Tablebullet"/>
            </w:pPr>
            <w:r w:rsidRPr="004E7DC8">
              <w:t xml:space="preserve">Help raise regulator understanding of differences within regulated industries, </w:t>
            </w:r>
            <w:r w:rsidRPr="00B76E3E">
              <w:t>relationship</w:t>
            </w:r>
            <w:r w:rsidRPr="004E7DC8">
              <w:t xml:space="preserve"> of compliance expectations to industry practices, and how to make compliance expectations relevant and contextually suitable.</w:t>
            </w:r>
          </w:p>
        </w:tc>
      </w:tr>
    </w:tbl>
    <w:p w14:paraId="6E0270BF" w14:textId="6823DAE3" w:rsidR="00D35C4A" w:rsidRDefault="00D35C4A" w:rsidP="00EC3744"/>
    <w:p w14:paraId="429130BF" w14:textId="12191D3E" w:rsidR="00EC3744" w:rsidRPr="00EC3744" w:rsidRDefault="00EC3744" w:rsidP="00EC3744">
      <w:pPr>
        <w:pStyle w:val="Principle"/>
      </w:pPr>
      <w:bookmarkStart w:id="14" w:name="_Toc121997866"/>
      <w:r w:rsidRPr="00EC3744">
        <w:t>Target regulatory effort based on risk of harm</w:t>
      </w:r>
      <w:bookmarkEnd w:id="14"/>
    </w:p>
    <w:tbl>
      <w:tblPr>
        <w:tblStyle w:val="Texttable"/>
        <w:tblW w:w="0" w:type="auto"/>
        <w:tblLook w:val="0420" w:firstRow="1" w:lastRow="0" w:firstColumn="0" w:lastColumn="0" w:noHBand="0" w:noVBand="1"/>
      </w:tblPr>
      <w:tblGrid>
        <w:gridCol w:w="9026"/>
      </w:tblGrid>
      <w:tr w:rsidR="00D35C4A" w:rsidRPr="00E524D2" w14:paraId="673D8C19" w14:textId="77777777" w:rsidTr="00EC3744">
        <w:trPr>
          <w:cnfStyle w:val="100000000000" w:firstRow="1" w:lastRow="0" w:firstColumn="0" w:lastColumn="0" w:oddVBand="0" w:evenVBand="0" w:oddHBand="0" w:evenHBand="0" w:firstRowFirstColumn="0" w:firstRowLastColumn="0" w:lastRowFirstColumn="0" w:lastRowLastColumn="0"/>
        </w:trPr>
        <w:tc>
          <w:tcPr>
            <w:tcW w:w="9242" w:type="dxa"/>
          </w:tcPr>
          <w:p w14:paraId="0058BC54" w14:textId="77777777" w:rsidR="00D35C4A" w:rsidRPr="006A2F10" w:rsidRDefault="00D35C4A" w:rsidP="00EC3744">
            <w:pPr>
              <w:pStyle w:val="Tableheader"/>
              <w:rPr>
                <w:b/>
                <w:bCs/>
                <w:color w:val="71C5E8" w:themeColor="accent1"/>
                <w:sz w:val="26"/>
                <w:szCs w:val="26"/>
              </w:rPr>
            </w:pPr>
            <w:r w:rsidRPr="00E524D2">
              <w:t>What you might expect to see</w:t>
            </w:r>
          </w:p>
        </w:tc>
      </w:tr>
      <w:tr w:rsidR="00D35C4A" w:rsidRPr="00E524D2" w14:paraId="5A485E8A" w14:textId="77777777" w:rsidTr="00EC3744">
        <w:tc>
          <w:tcPr>
            <w:tcW w:w="9242" w:type="dxa"/>
          </w:tcPr>
          <w:p w14:paraId="3F349405" w14:textId="77777777" w:rsidR="00D35C4A" w:rsidRPr="0008222E" w:rsidRDefault="00D35C4A" w:rsidP="00EC3744">
            <w:pPr>
              <w:pStyle w:val="Tabletext"/>
            </w:pPr>
            <w:r w:rsidRPr="0008222E">
              <w:t>Documents outlining:</w:t>
            </w:r>
          </w:p>
          <w:p w14:paraId="5F1F4C1F" w14:textId="60C270CB" w:rsidR="00D35C4A" w:rsidRPr="0008222E" w:rsidRDefault="00EC3744" w:rsidP="00EC3744">
            <w:pPr>
              <w:pStyle w:val="Tablebullet"/>
            </w:pPr>
            <w:r w:rsidRPr="0008222E">
              <w:t xml:space="preserve">how </w:t>
            </w:r>
            <w:r w:rsidR="00D35C4A" w:rsidRPr="0008222E">
              <w:t>regulatory effort is being directed towards priority harms (</w:t>
            </w:r>
            <w:r w:rsidR="00770252">
              <w:t>e.g.</w:t>
            </w:r>
            <w:r w:rsidR="00D35C4A">
              <w:t xml:space="preserve">, </w:t>
            </w:r>
            <w:r w:rsidR="00D35C4A" w:rsidRPr="0008222E">
              <w:t>annual</w:t>
            </w:r>
            <w:r w:rsidR="00D35C4A">
              <w:t>/</w:t>
            </w:r>
            <w:r w:rsidR="00D35C4A" w:rsidRPr="0008222E">
              <w:t>compliance</w:t>
            </w:r>
            <w:r w:rsidR="00D35C4A">
              <w:t>/</w:t>
            </w:r>
            <w:r w:rsidR="00D35C4A" w:rsidRPr="0008222E">
              <w:t>operational plans)</w:t>
            </w:r>
          </w:p>
          <w:p w14:paraId="4EB825F7" w14:textId="64337242" w:rsidR="00D35C4A" w:rsidRPr="0008222E" w:rsidRDefault="00EC3744" w:rsidP="00EC3744">
            <w:pPr>
              <w:pStyle w:val="Tablebullet"/>
            </w:pPr>
            <w:r w:rsidRPr="0008222E">
              <w:t xml:space="preserve">a </w:t>
            </w:r>
            <w:r w:rsidR="00D35C4A" w:rsidRPr="0008222E">
              <w:t>high-level analysis of priority harms that include the causes and patterns of harm</w:t>
            </w:r>
          </w:p>
          <w:p w14:paraId="0995535E" w14:textId="64E1DCDA" w:rsidR="00D35C4A" w:rsidRPr="0008222E" w:rsidRDefault="00EC3744" w:rsidP="00EC3744">
            <w:pPr>
              <w:pStyle w:val="Tablebullet"/>
            </w:pPr>
            <w:r w:rsidRPr="0008222E">
              <w:t xml:space="preserve">a </w:t>
            </w:r>
            <w:r w:rsidR="00D35C4A" w:rsidRPr="0008222E">
              <w:t>description of a methodology or approach that is used to identify and prioritise risks and harms (</w:t>
            </w:r>
            <w:r w:rsidR="00D35C4A">
              <w:t>e.g.</w:t>
            </w:r>
            <w:r w:rsidR="00770252">
              <w:t>,</w:t>
            </w:r>
            <w:r w:rsidR="00D35C4A" w:rsidRPr="0008222E">
              <w:t xml:space="preserve"> harnessing intelligence, evidence</w:t>
            </w:r>
            <w:r w:rsidR="00D35C4A">
              <w:t xml:space="preserve"> or </w:t>
            </w:r>
            <w:r w:rsidR="00D35C4A" w:rsidRPr="0008222E">
              <w:t>stakeholder views)</w:t>
            </w:r>
          </w:p>
          <w:p w14:paraId="40AC006F" w14:textId="5B67F0D0" w:rsidR="00D35C4A" w:rsidRPr="0008222E" w:rsidRDefault="00EC3744" w:rsidP="00EC3744">
            <w:pPr>
              <w:pStyle w:val="Tablebullet"/>
            </w:pPr>
            <w:r w:rsidRPr="0008222E">
              <w:t xml:space="preserve">where </w:t>
            </w:r>
            <w:r w:rsidR="00D35C4A" w:rsidRPr="0008222E">
              <w:t>and how risk is distributed across the duty holder base (</w:t>
            </w:r>
            <w:r w:rsidR="00D35C4A">
              <w:t>e.g.</w:t>
            </w:r>
            <w:r w:rsidR="00770252">
              <w:t>,</w:t>
            </w:r>
            <w:r w:rsidR="00D35C4A">
              <w:t xml:space="preserve"> </w:t>
            </w:r>
            <w:r w:rsidR="00D35C4A" w:rsidRPr="0008222E">
              <w:t>by sector, size</w:t>
            </w:r>
            <w:r w:rsidR="00D35C4A">
              <w:t xml:space="preserve"> or</w:t>
            </w:r>
            <w:r w:rsidR="00D35C4A" w:rsidRPr="0008222E">
              <w:t xml:space="preserve"> geography)</w:t>
            </w:r>
          </w:p>
          <w:p w14:paraId="21998083" w14:textId="3004EEFD" w:rsidR="00D35C4A" w:rsidRPr="0008222E" w:rsidRDefault="00EC3744" w:rsidP="00EC3744">
            <w:pPr>
              <w:pStyle w:val="Tablebullet"/>
            </w:pPr>
            <w:r w:rsidRPr="0008222E">
              <w:t xml:space="preserve">a </w:t>
            </w:r>
            <w:r w:rsidR="00D35C4A" w:rsidRPr="0008222E">
              <w:t>strategic approach to prosecutions based on priority harms and duty holder groups of concern</w:t>
            </w:r>
            <w:r w:rsidR="00D35C4A">
              <w:t>.</w:t>
            </w:r>
          </w:p>
          <w:p w14:paraId="18E3E16E" w14:textId="77777777" w:rsidR="00D35C4A" w:rsidRPr="0008222E" w:rsidRDefault="00D35C4A" w:rsidP="00EC3744">
            <w:pPr>
              <w:pStyle w:val="Tabletext"/>
            </w:pPr>
            <w:r w:rsidRPr="0008222E">
              <w:t>Measures or dashboards that:</w:t>
            </w:r>
          </w:p>
          <w:p w14:paraId="794C0981" w14:textId="6224985D" w:rsidR="00D35C4A" w:rsidRPr="0008222E" w:rsidRDefault="00EC3744" w:rsidP="00EC3744">
            <w:pPr>
              <w:pStyle w:val="Tablebullet"/>
            </w:pPr>
            <w:r w:rsidRPr="0008222E">
              <w:t xml:space="preserve">track </w:t>
            </w:r>
            <w:r w:rsidR="00D35C4A" w:rsidRPr="0008222E">
              <w:t>allocation of proactive and responsive regulatory effort against priority harms</w:t>
            </w:r>
          </w:p>
          <w:p w14:paraId="7515A42E" w14:textId="779782BC" w:rsidR="00D35C4A" w:rsidRPr="005D692C" w:rsidRDefault="00EC3744" w:rsidP="00EC3744">
            <w:pPr>
              <w:pStyle w:val="Tablebullet"/>
            </w:pPr>
            <w:r w:rsidRPr="0008222E">
              <w:t xml:space="preserve">demonstrate </w:t>
            </w:r>
            <w:r w:rsidR="00D35C4A" w:rsidRPr="0008222E">
              <w:t>how harm has changed over time based on regulatory interventions</w:t>
            </w:r>
            <w:r w:rsidR="00D35C4A">
              <w:t>.</w:t>
            </w:r>
          </w:p>
        </w:tc>
      </w:tr>
      <w:tr w:rsidR="00D35C4A" w:rsidRPr="00EC3744" w14:paraId="61C784F5"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255FA847" w14:textId="77777777" w:rsidR="00D35C4A" w:rsidRPr="00EC3744" w:rsidRDefault="00D35C4A" w:rsidP="00EC3744">
            <w:pPr>
              <w:pStyle w:val="Tableheader"/>
              <w:rPr>
                <w:rFonts w:asciiTheme="majorHAnsi" w:hAnsiTheme="majorHAnsi"/>
              </w:rPr>
            </w:pPr>
            <w:r w:rsidRPr="00EC3744">
              <w:rPr>
                <w:rFonts w:asciiTheme="majorHAnsi" w:hAnsiTheme="majorHAnsi"/>
              </w:rPr>
              <w:t>What questions you could ask</w:t>
            </w:r>
          </w:p>
        </w:tc>
      </w:tr>
      <w:tr w:rsidR="00D35C4A" w:rsidRPr="00E524D2" w14:paraId="0651F3AE" w14:textId="77777777" w:rsidTr="00EC3744">
        <w:tc>
          <w:tcPr>
            <w:tcW w:w="9242" w:type="dxa"/>
          </w:tcPr>
          <w:p w14:paraId="3E448AB0" w14:textId="77777777" w:rsidR="00D35C4A" w:rsidRPr="006B7602" w:rsidRDefault="00D35C4A" w:rsidP="00EC3744">
            <w:pPr>
              <w:pStyle w:val="Tablebullet"/>
            </w:pPr>
            <w:r w:rsidRPr="006B7602">
              <w:t xml:space="preserve">What key harms are we choosing to focus on, why, and how are we allocating our combined </w:t>
            </w:r>
            <w:r>
              <w:t xml:space="preserve">regulatory effort – </w:t>
            </w:r>
            <w:r w:rsidRPr="006B7602">
              <w:t>including</w:t>
            </w:r>
            <w:r>
              <w:t xml:space="preserve"> education, engagement and</w:t>
            </w:r>
            <w:r w:rsidRPr="006B7602">
              <w:t xml:space="preserve"> strategic communications </w:t>
            </w:r>
            <w:r>
              <w:t xml:space="preserve">– </w:t>
            </w:r>
            <w:r w:rsidRPr="006B7602">
              <w:t>across</w:t>
            </w:r>
            <w:r>
              <w:t xml:space="preserve"> </w:t>
            </w:r>
            <w:r w:rsidRPr="006B7602">
              <w:t>multiple channel</w:t>
            </w:r>
            <w:r>
              <w:t>s</w:t>
            </w:r>
            <w:r w:rsidRPr="006B7602">
              <w:t>?</w:t>
            </w:r>
          </w:p>
          <w:p w14:paraId="66895A0D" w14:textId="77777777" w:rsidR="00D35C4A" w:rsidRPr="00C9446C" w:rsidRDefault="00D35C4A" w:rsidP="00EC3744">
            <w:pPr>
              <w:pStyle w:val="Tablebullet"/>
            </w:pPr>
            <w:r w:rsidRPr="006B7602">
              <w:t xml:space="preserve">What </w:t>
            </w:r>
            <w:r w:rsidRPr="00C9446C">
              <w:t>is our understanding and acceptance of each harm and how are they shaping our response and prioritisation?</w:t>
            </w:r>
          </w:p>
          <w:p w14:paraId="3E5095F1" w14:textId="77777777" w:rsidR="00D35C4A" w:rsidRPr="00C9446C" w:rsidRDefault="00D35C4A" w:rsidP="00EC3744">
            <w:pPr>
              <w:pStyle w:val="Tablebullet"/>
            </w:pPr>
            <w:r w:rsidRPr="00C9446C">
              <w:t>Who is causing the biggest share of each harm and are our efforts focused there?</w:t>
            </w:r>
          </w:p>
          <w:p w14:paraId="349503A3" w14:textId="77777777" w:rsidR="00D35C4A" w:rsidRPr="00C9446C" w:rsidRDefault="00D35C4A" w:rsidP="00EC3744">
            <w:pPr>
              <w:pStyle w:val="Tablebullet"/>
            </w:pPr>
            <w:r w:rsidRPr="00C9446C">
              <w:t>How are we monitoring compliance across our ‘known’ duty holders (</w:t>
            </w:r>
            <w:r>
              <w:t xml:space="preserve">those </w:t>
            </w:r>
            <w:r w:rsidRPr="00C9446C">
              <w:t xml:space="preserve">registered, permitted or authorised) and untracked businesses, individuals or organisations? </w:t>
            </w:r>
          </w:p>
          <w:p w14:paraId="53B949D3" w14:textId="77777777" w:rsidR="00D35C4A" w:rsidRPr="00A649DD" w:rsidRDefault="00D35C4A" w:rsidP="00EC3744">
            <w:pPr>
              <w:pStyle w:val="Tablebullet"/>
            </w:pPr>
            <w:r w:rsidRPr="00C9446C">
              <w:t>What is our strategy for allocating</w:t>
            </w:r>
            <w:r>
              <w:t xml:space="preserve"> regulatory effort to prevention of harm versus management and mitigation?</w:t>
            </w:r>
          </w:p>
        </w:tc>
      </w:tr>
      <w:tr w:rsidR="00D35C4A" w:rsidRPr="00EC3744" w14:paraId="7D546B20"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10FE0D64" w14:textId="77777777" w:rsidR="00D35C4A" w:rsidRPr="00EC3744" w:rsidRDefault="00D35C4A" w:rsidP="00EC3744">
            <w:pPr>
              <w:pStyle w:val="Tableheader"/>
              <w:rPr>
                <w:rFonts w:asciiTheme="majorHAnsi" w:hAnsiTheme="majorHAnsi"/>
              </w:rPr>
            </w:pPr>
            <w:r w:rsidRPr="00EC3744">
              <w:rPr>
                <w:rFonts w:asciiTheme="majorHAnsi" w:hAnsiTheme="majorHAnsi"/>
              </w:rPr>
              <w:t>Linkages to Board Member good practice</w:t>
            </w:r>
          </w:p>
        </w:tc>
      </w:tr>
      <w:tr w:rsidR="00EC3744" w:rsidRPr="00E524D2" w14:paraId="10B0F3C6" w14:textId="77777777" w:rsidTr="00EC3744">
        <w:tc>
          <w:tcPr>
            <w:tcW w:w="9242" w:type="dxa"/>
          </w:tcPr>
          <w:p w14:paraId="5A96A665" w14:textId="77777777" w:rsidR="00EC3744" w:rsidRPr="006B7602" w:rsidRDefault="00EC3744" w:rsidP="00EC3744">
            <w:pPr>
              <w:pStyle w:val="Tablebullet"/>
            </w:pPr>
            <w:r w:rsidRPr="006B7602">
              <w:t>Understand the changing risk environment, the nature of emerging challenges, and the government’s attitude to these risks, to recognise when to act.</w:t>
            </w:r>
          </w:p>
          <w:p w14:paraId="607A6714" w14:textId="77777777" w:rsidR="00EC3744" w:rsidRPr="006B7602" w:rsidRDefault="00EC3744" w:rsidP="00EC3744">
            <w:pPr>
              <w:pStyle w:val="Tablebullet"/>
            </w:pPr>
            <w:r w:rsidRPr="006B7602">
              <w:t>Understand the role of the regulator’s enforcement committee and any prosecutions strategy in management decisions to undertake major investigations</w:t>
            </w:r>
            <w:r>
              <w:t>/</w:t>
            </w:r>
            <w:r w:rsidRPr="006B7602">
              <w:t>prosecutions</w:t>
            </w:r>
            <w:r>
              <w:t>.</w:t>
            </w:r>
          </w:p>
          <w:p w14:paraId="23B5CE1D" w14:textId="578FD2CC" w:rsidR="00EC3744" w:rsidRPr="00E524D2" w:rsidRDefault="00EC3744" w:rsidP="00EC3744">
            <w:pPr>
              <w:pStyle w:val="Tablebullet"/>
            </w:pPr>
            <w:r w:rsidRPr="006B7602">
              <w:t>Support the regulator to express its attitude to different risks (</w:t>
            </w:r>
            <w:r w:rsidR="00770252">
              <w:t>e.g.</w:t>
            </w:r>
            <w:r>
              <w:t xml:space="preserve">, </w:t>
            </w:r>
            <w:r w:rsidRPr="006B7602">
              <w:t xml:space="preserve">eliminate, control, minimise, accept) and influence the risk attitude of relevant stakeholders, policy makers and </w:t>
            </w:r>
            <w:r>
              <w:t>M</w:t>
            </w:r>
            <w:r w:rsidRPr="006B7602">
              <w:t>inisters.</w:t>
            </w:r>
          </w:p>
        </w:tc>
      </w:tr>
    </w:tbl>
    <w:p w14:paraId="1CFB04E7" w14:textId="33779C59" w:rsidR="00D35C4A" w:rsidRDefault="00D35C4A" w:rsidP="00D35C4A"/>
    <w:p w14:paraId="25A3DB47" w14:textId="6FDD5443" w:rsidR="00D35C4A" w:rsidRPr="0028611F" w:rsidRDefault="00D35C4A" w:rsidP="00EC3744">
      <w:pPr>
        <w:pStyle w:val="Principle"/>
      </w:pPr>
      <w:bookmarkStart w:id="15" w:name="_Toc121997867"/>
      <w:r w:rsidRPr="0028611F">
        <w:t>Evaluate and communicate your efforts and their impact on your regulatory outcomes</w:t>
      </w:r>
      <w:bookmarkEnd w:id="15"/>
    </w:p>
    <w:tbl>
      <w:tblPr>
        <w:tblStyle w:val="Texttable"/>
        <w:tblW w:w="0" w:type="auto"/>
        <w:tblLook w:val="0420" w:firstRow="1" w:lastRow="0" w:firstColumn="0" w:lastColumn="0" w:noHBand="0" w:noVBand="1"/>
      </w:tblPr>
      <w:tblGrid>
        <w:gridCol w:w="9026"/>
      </w:tblGrid>
      <w:tr w:rsidR="00D35C4A" w:rsidRPr="00E524D2" w14:paraId="58864C0F" w14:textId="77777777" w:rsidTr="00EC3744">
        <w:trPr>
          <w:cnfStyle w:val="100000000000" w:firstRow="1" w:lastRow="0" w:firstColumn="0" w:lastColumn="0" w:oddVBand="0" w:evenVBand="0" w:oddHBand="0" w:evenHBand="0" w:firstRowFirstColumn="0" w:firstRowLastColumn="0" w:lastRowFirstColumn="0" w:lastRowLastColumn="0"/>
        </w:trPr>
        <w:tc>
          <w:tcPr>
            <w:tcW w:w="9026" w:type="dxa"/>
          </w:tcPr>
          <w:p w14:paraId="1A1FFEFF" w14:textId="77777777" w:rsidR="00D35C4A" w:rsidRPr="00E524D2" w:rsidRDefault="00D35C4A" w:rsidP="00EC3744">
            <w:pPr>
              <w:pStyle w:val="Tableheader"/>
            </w:pPr>
            <w:r w:rsidRPr="00E524D2">
              <w:t>What you might expect to see</w:t>
            </w:r>
          </w:p>
        </w:tc>
      </w:tr>
      <w:tr w:rsidR="00D35C4A" w:rsidRPr="00E524D2" w14:paraId="6F74F829" w14:textId="77777777" w:rsidTr="00EC3744">
        <w:tc>
          <w:tcPr>
            <w:tcW w:w="9026" w:type="dxa"/>
          </w:tcPr>
          <w:p w14:paraId="3320C9F8" w14:textId="77777777" w:rsidR="00D35C4A" w:rsidRPr="003A7B64" w:rsidRDefault="00D35C4A" w:rsidP="00EC3744">
            <w:pPr>
              <w:pStyle w:val="Tabletext"/>
            </w:pPr>
            <w:r w:rsidRPr="003A7B64">
              <w:t>Documents outlining:</w:t>
            </w:r>
          </w:p>
          <w:p w14:paraId="0BF105DD" w14:textId="01963912" w:rsidR="00D35C4A" w:rsidRPr="003A7B64" w:rsidRDefault="00EC3744" w:rsidP="00EC3744">
            <w:pPr>
              <w:pStyle w:val="Tablebullet"/>
            </w:pPr>
            <w:r w:rsidRPr="003A7B64">
              <w:t xml:space="preserve">regulatory </w:t>
            </w:r>
            <w:r w:rsidR="00D35C4A" w:rsidRPr="003A7B64">
              <w:t>priorities and their link to harms of concern (</w:t>
            </w:r>
            <w:r w:rsidR="00770252">
              <w:t>e.g.</w:t>
            </w:r>
            <w:r w:rsidR="00D35C4A">
              <w:t xml:space="preserve">, </w:t>
            </w:r>
            <w:r w:rsidR="00D35C4A" w:rsidRPr="003A7B64">
              <w:t>in an annual plan, compliance strategy, regulatory strategy</w:t>
            </w:r>
            <w:r w:rsidR="00D35C4A">
              <w:t xml:space="preserve"> or</w:t>
            </w:r>
            <w:r w:rsidR="00D35C4A" w:rsidRPr="003A7B64">
              <w:t xml:space="preserve"> statement of regulatory intent)</w:t>
            </w:r>
          </w:p>
          <w:p w14:paraId="387AAFCD" w14:textId="45489AB5" w:rsidR="00D35C4A" w:rsidRPr="003A7B64" w:rsidRDefault="00EC3744" w:rsidP="00EC3744">
            <w:pPr>
              <w:pStyle w:val="Tablebullet"/>
            </w:pPr>
            <w:r w:rsidRPr="003A7B64">
              <w:t xml:space="preserve">the </w:t>
            </w:r>
            <w:r w:rsidR="00D35C4A" w:rsidRPr="003A7B64">
              <w:t xml:space="preserve">‘pipeline’ of compliance and enforcement activity for harms of concern outlining conversation from detection to remedy and sanctioning </w:t>
            </w:r>
          </w:p>
          <w:p w14:paraId="55B70E02" w14:textId="6017104D" w:rsidR="00D35C4A" w:rsidRPr="003A7B64" w:rsidRDefault="00EC3744" w:rsidP="00EC3744">
            <w:pPr>
              <w:pStyle w:val="Tablebullet"/>
            </w:pPr>
            <w:r w:rsidRPr="003A7B64">
              <w:t xml:space="preserve">a </w:t>
            </w:r>
            <w:r w:rsidR="00D35C4A" w:rsidRPr="003A7B64">
              <w:t>track record of completed tailor</w:t>
            </w:r>
            <w:r w:rsidR="00D35C4A">
              <w:t>-</w:t>
            </w:r>
            <w:r w:rsidR="00D35C4A" w:rsidRPr="003A7B64">
              <w:t xml:space="preserve">made interventions to tackle specific harms </w:t>
            </w:r>
          </w:p>
          <w:p w14:paraId="6AA147F4" w14:textId="77777777" w:rsidR="00D35C4A" w:rsidRPr="003A7B64" w:rsidRDefault="00D35C4A" w:rsidP="00EC3744">
            <w:pPr>
              <w:pStyle w:val="Tabletext"/>
            </w:pPr>
            <w:r w:rsidRPr="003A7B64">
              <w:t>Measures or dashboards that:</w:t>
            </w:r>
          </w:p>
          <w:p w14:paraId="485244B1" w14:textId="250CD3DB" w:rsidR="00D35C4A" w:rsidRPr="00F63875" w:rsidRDefault="00EC3744" w:rsidP="00EC3744">
            <w:pPr>
              <w:pStyle w:val="Tablebullet"/>
            </w:pPr>
            <w:r w:rsidRPr="5DE78E53">
              <w:t xml:space="preserve">report </w:t>
            </w:r>
            <w:r w:rsidR="00D35C4A" w:rsidRPr="5DE78E53">
              <w:t>on results against key performance measures linked to harm reduction</w:t>
            </w:r>
          </w:p>
          <w:p w14:paraId="1722071B" w14:textId="3DB911F1" w:rsidR="00D35C4A" w:rsidRPr="003A7B64" w:rsidRDefault="00EC3744" w:rsidP="00EC3744">
            <w:pPr>
              <w:pStyle w:val="Tablebullet"/>
            </w:pPr>
            <w:r w:rsidRPr="003A7B64">
              <w:t xml:space="preserve">capture </w:t>
            </w:r>
            <w:r w:rsidR="00D35C4A" w:rsidRPr="003A7B64">
              <w:t>activity, convers</w:t>
            </w:r>
            <w:r w:rsidR="00D35C4A">
              <w:t xml:space="preserve">ion </w:t>
            </w:r>
            <w:r w:rsidR="00D35C4A" w:rsidRPr="003A7B64">
              <w:t>of non-compliance into different regulatory tools and any related follow-up</w:t>
            </w:r>
          </w:p>
          <w:p w14:paraId="0F775142" w14:textId="0A0F9F33" w:rsidR="00D35C4A" w:rsidRPr="00E524D2" w:rsidRDefault="00EC3744" w:rsidP="00EC3744">
            <w:pPr>
              <w:pStyle w:val="Tablebullet"/>
            </w:pPr>
            <w:r w:rsidRPr="003A7B64">
              <w:t xml:space="preserve">track </w:t>
            </w:r>
            <w:r w:rsidR="00D35C4A" w:rsidRPr="003A7B64">
              <w:t>proactive media by regulatory priority and regulator relevant media trends</w:t>
            </w:r>
          </w:p>
        </w:tc>
      </w:tr>
      <w:tr w:rsidR="00D35C4A" w:rsidRPr="00EC3744" w14:paraId="2E6EDA09" w14:textId="77777777" w:rsidTr="00EC3744">
        <w:trPr>
          <w:cnfStyle w:val="000000010000" w:firstRow="0" w:lastRow="0" w:firstColumn="0" w:lastColumn="0" w:oddVBand="0" w:evenVBand="0" w:oddHBand="0" w:evenHBand="1" w:firstRowFirstColumn="0" w:firstRowLastColumn="0" w:lastRowFirstColumn="0" w:lastRowLastColumn="0"/>
        </w:trPr>
        <w:tc>
          <w:tcPr>
            <w:tcW w:w="9026" w:type="dxa"/>
            <w:shd w:val="clear" w:color="auto" w:fill="71C5E8" w:themeFill="accent1"/>
          </w:tcPr>
          <w:p w14:paraId="75613D05" w14:textId="77777777" w:rsidR="00D35C4A" w:rsidRPr="00EC3744" w:rsidRDefault="00D35C4A" w:rsidP="00EC3744">
            <w:pPr>
              <w:pStyle w:val="Tableheader"/>
              <w:rPr>
                <w:rFonts w:asciiTheme="majorHAnsi" w:hAnsiTheme="majorHAnsi"/>
              </w:rPr>
            </w:pPr>
            <w:r w:rsidRPr="00EC3744">
              <w:rPr>
                <w:rFonts w:asciiTheme="majorHAnsi" w:hAnsiTheme="majorHAnsi"/>
              </w:rPr>
              <w:t>What questions you could ask</w:t>
            </w:r>
          </w:p>
        </w:tc>
      </w:tr>
      <w:tr w:rsidR="00D35C4A" w:rsidRPr="00E524D2" w14:paraId="19D57C4B" w14:textId="77777777" w:rsidTr="00EC3744">
        <w:tc>
          <w:tcPr>
            <w:tcW w:w="9026" w:type="dxa"/>
          </w:tcPr>
          <w:p w14:paraId="6DAF506D" w14:textId="77777777" w:rsidR="00D35C4A" w:rsidRDefault="00D35C4A" w:rsidP="00EC3744">
            <w:pPr>
              <w:pStyle w:val="Tablebullet"/>
            </w:pPr>
            <w:r>
              <w:t>How are we communicating how we regulate, what we regulate, and when, to relevant stakeholders?</w:t>
            </w:r>
          </w:p>
          <w:p w14:paraId="79AD5889" w14:textId="77777777" w:rsidR="00D35C4A" w:rsidRDefault="00D35C4A" w:rsidP="00EC3744">
            <w:pPr>
              <w:pStyle w:val="Tablebullet"/>
            </w:pPr>
            <w:r>
              <w:t xml:space="preserve">Do we explain our approach to tackling our stated regulatory priorities?  </w:t>
            </w:r>
          </w:p>
          <w:p w14:paraId="0A2A7230" w14:textId="77777777" w:rsidR="00D35C4A" w:rsidRPr="003A7B64" w:rsidRDefault="00D35C4A" w:rsidP="00EC3744">
            <w:pPr>
              <w:pStyle w:val="Tablebullet"/>
            </w:pPr>
            <w:r w:rsidRPr="003A7B64">
              <w:t>Do we know the impact our compliance and enforcement activity is having on the harms we care about?</w:t>
            </w:r>
          </w:p>
          <w:p w14:paraId="196B5D01" w14:textId="77777777" w:rsidR="00D35C4A" w:rsidRPr="003A7B64" w:rsidRDefault="00D35C4A" w:rsidP="00EC3744">
            <w:pPr>
              <w:pStyle w:val="Tablebullet"/>
            </w:pPr>
            <w:r w:rsidRPr="003A7B64">
              <w:t>Are we seeing the expected levels of non-compliance or compliance across our duty holder base?</w:t>
            </w:r>
          </w:p>
          <w:p w14:paraId="46DBA05E" w14:textId="77777777" w:rsidR="00D35C4A" w:rsidRPr="003A7B64" w:rsidRDefault="00D35C4A" w:rsidP="00EC3744">
            <w:pPr>
              <w:pStyle w:val="Tablebullet"/>
            </w:pPr>
            <w:r w:rsidRPr="003A7B64">
              <w:t>Are we appropriately allocating our responsive effort and triaging in line with our risk-based policies and plan?</w:t>
            </w:r>
          </w:p>
          <w:p w14:paraId="72A4080B" w14:textId="77777777" w:rsidR="00D35C4A" w:rsidRPr="00E524D2" w:rsidRDefault="00D35C4A" w:rsidP="00EC3744">
            <w:pPr>
              <w:pStyle w:val="Tablebullet"/>
            </w:pPr>
            <w:r w:rsidRPr="003A7B64">
              <w:t>How are key stakeholders viewing our efforts to reduce priority harms?</w:t>
            </w:r>
          </w:p>
        </w:tc>
      </w:tr>
      <w:tr w:rsidR="00D35C4A" w:rsidRPr="00EC3744" w14:paraId="6BCCFE0C" w14:textId="77777777" w:rsidTr="00EC3744">
        <w:trPr>
          <w:cnfStyle w:val="000000010000" w:firstRow="0" w:lastRow="0" w:firstColumn="0" w:lastColumn="0" w:oddVBand="0" w:evenVBand="0" w:oddHBand="0" w:evenHBand="1" w:firstRowFirstColumn="0" w:firstRowLastColumn="0" w:lastRowFirstColumn="0" w:lastRowLastColumn="0"/>
        </w:trPr>
        <w:tc>
          <w:tcPr>
            <w:tcW w:w="9026" w:type="dxa"/>
            <w:shd w:val="clear" w:color="auto" w:fill="71C5E8" w:themeFill="accent1"/>
          </w:tcPr>
          <w:p w14:paraId="2E0E0B1C" w14:textId="77777777" w:rsidR="00D35C4A" w:rsidRPr="00EC3744" w:rsidRDefault="00D35C4A" w:rsidP="00EC3744">
            <w:pPr>
              <w:pStyle w:val="Tableheader"/>
              <w:rPr>
                <w:rFonts w:asciiTheme="majorHAnsi" w:hAnsiTheme="majorHAnsi"/>
              </w:rPr>
            </w:pPr>
            <w:r w:rsidRPr="00EC3744">
              <w:rPr>
                <w:rFonts w:asciiTheme="majorHAnsi" w:hAnsiTheme="majorHAnsi"/>
              </w:rPr>
              <w:t>Linkages to Board Member good practice</w:t>
            </w:r>
          </w:p>
        </w:tc>
      </w:tr>
      <w:tr w:rsidR="00EC3744" w:rsidRPr="00E524D2" w14:paraId="38871B6E" w14:textId="77777777" w:rsidTr="00EC3744">
        <w:tc>
          <w:tcPr>
            <w:tcW w:w="9026" w:type="dxa"/>
          </w:tcPr>
          <w:p w14:paraId="71763077" w14:textId="77777777" w:rsidR="00EC3744" w:rsidRPr="00F63875" w:rsidRDefault="00EC3744" w:rsidP="00EC3744">
            <w:pPr>
              <w:pStyle w:val="Tablebullet"/>
            </w:pPr>
            <w:r w:rsidRPr="003A7B64">
              <w:t>Support the regulator to communicate regulatory priorities, wins and successes, through industry and stakeholder engagement undertaken by the board.</w:t>
            </w:r>
          </w:p>
          <w:p w14:paraId="5E2E33E6" w14:textId="77777777" w:rsidR="00EC3744" w:rsidRPr="003A7B64" w:rsidRDefault="00EC3744" w:rsidP="00EC3744">
            <w:pPr>
              <w:pStyle w:val="Tablebullet"/>
            </w:pPr>
            <w:r>
              <w:t>Encourage and facilitate a diversity of views and opinions to enable a better understanding of their performance and effectiveness.</w:t>
            </w:r>
          </w:p>
          <w:p w14:paraId="6292E5CF" w14:textId="4ECEA189" w:rsidR="00EC3744" w:rsidRPr="00E524D2" w:rsidRDefault="00EC3744" w:rsidP="00EC3744">
            <w:pPr>
              <w:pStyle w:val="Tablebullet"/>
            </w:pPr>
            <w:r>
              <w:t xml:space="preserve">Help engage with Ministers and departments where performance indicators warrant review. </w:t>
            </w:r>
          </w:p>
        </w:tc>
      </w:tr>
    </w:tbl>
    <w:p w14:paraId="0EB5C1E0" w14:textId="43C38514" w:rsidR="00D35C4A" w:rsidRDefault="00D35C4A" w:rsidP="00D35C4A"/>
    <w:p w14:paraId="5CEA3134" w14:textId="57226095" w:rsidR="00D35C4A" w:rsidRPr="00EB5868" w:rsidRDefault="00D35C4A" w:rsidP="00EC3744">
      <w:pPr>
        <w:pStyle w:val="Principle"/>
      </w:pPr>
      <w:bookmarkStart w:id="16" w:name="_Toc121997868"/>
      <w:r w:rsidRPr="00EB5868">
        <w:t>Work with regulatory peers and partners on shared harms and risks</w:t>
      </w:r>
      <w:bookmarkEnd w:id="16"/>
    </w:p>
    <w:tbl>
      <w:tblPr>
        <w:tblStyle w:val="Texttable"/>
        <w:tblW w:w="0" w:type="auto"/>
        <w:tblLook w:val="0420" w:firstRow="1" w:lastRow="0" w:firstColumn="0" w:lastColumn="0" w:noHBand="0" w:noVBand="1"/>
      </w:tblPr>
      <w:tblGrid>
        <w:gridCol w:w="9026"/>
      </w:tblGrid>
      <w:tr w:rsidR="00D35C4A" w:rsidRPr="00E524D2" w14:paraId="6BF0FA63" w14:textId="77777777" w:rsidTr="00EC3744">
        <w:trPr>
          <w:cnfStyle w:val="100000000000" w:firstRow="1" w:lastRow="0" w:firstColumn="0" w:lastColumn="0" w:oddVBand="0" w:evenVBand="0" w:oddHBand="0" w:evenHBand="0" w:firstRowFirstColumn="0" w:firstRowLastColumn="0" w:lastRowFirstColumn="0" w:lastRowLastColumn="0"/>
        </w:trPr>
        <w:tc>
          <w:tcPr>
            <w:tcW w:w="9242" w:type="dxa"/>
          </w:tcPr>
          <w:p w14:paraId="1F6E77A7" w14:textId="77777777" w:rsidR="00D35C4A" w:rsidRPr="00E524D2" w:rsidRDefault="00D35C4A" w:rsidP="00EC3744">
            <w:pPr>
              <w:pStyle w:val="Tableheader"/>
            </w:pPr>
            <w:r w:rsidRPr="00E524D2">
              <w:t>What you might expect to see</w:t>
            </w:r>
          </w:p>
        </w:tc>
      </w:tr>
      <w:tr w:rsidR="00D35C4A" w:rsidRPr="00E524D2" w14:paraId="7DAFFEB0" w14:textId="77777777" w:rsidTr="00EC3744">
        <w:tc>
          <w:tcPr>
            <w:tcW w:w="9242" w:type="dxa"/>
          </w:tcPr>
          <w:p w14:paraId="16C29510" w14:textId="77777777" w:rsidR="00D35C4A" w:rsidRPr="003A7B64" w:rsidRDefault="00D35C4A" w:rsidP="00EC3744">
            <w:pPr>
              <w:pStyle w:val="Tabletext"/>
            </w:pPr>
            <w:r w:rsidRPr="003A7B64">
              <w:t>Documents outlining:</w:t>
            </w:r>
          </w:p>
          <w:p w14:paraId="41DD4C45" w14:textId="6C8036C5" w:rsidR="00D35C4A" w:rsidRPr="003A7B64" w:rsidRDefault="00EC3744" w:rsidP="00EC3744">
            <w:pPr>
              <w:pStyle w:val="Tablebullet"/>
            </w:pPr>
            <w:r w:rsidRPr="003A7B64">
              <w:t xml:space="preserve">a </w:t>
            </w:r>
            <w:r w:rsidR="00D35C4A" w:rsidRPr="003A7B64">
              <w:t>high-level analysis of priority harms and the roles of regulatory peers and partners in addressing them</w:t>
            </w:r>
          </w:p>
          <w:p w14:paraId="61C3DB84" w14:textId="77777777" w:rsidR="00D35C4A" w:rsidRPr="003A7B64" w:rsidRDefault="00D35C4A" w:rsidP="00EC3744">
            <w:pPr>
              <w:pStyle w:val="Tablebullet"/>
            </w:pPr>
            <w:r w:rsidRPr="003A7B64">
              <w:t>MOUs or agreements between regulators and other government bodies that drive collaboration and active information sharing</w:t>
            </w:r>
            <w:r>
              <w:t>.</w:t>
            </w:r>
          </w:p>
          <w:p w14:paraId="31C938BC" w14:textId="77777777" w:rsidR="00D35C4A" w:rsidRPr="003A7B64" w:rsidRDefault="00D35C4A" w:rsidP="00EC3744">
            <w:pPr>
              <w:pStyle w:val="Tabletext"/>
            </w:pPr>
            <w:r w:rsidRPr="003A7B64">
              <w:t>Measures or dashboards that:</w:t>
            </w:r>
          </w:p>
          <w:p w14:paraId="0F925FB6" w14:textId="574331EB" w:rsidR="00D35C4A" w:rsidRPr="003A7B64" w:rsidRDefault="00EC3744" w:rsidP="00EC3744">
            <w:pPr>
              <w:pStyle w:val="Tablebullet"/>
            </w:pPr>
            <w:r w:rsidRPr="003A7B64">
              <w:t xml:space="preserve">demonstrate </w:t>
            </w:r>
            <w:r w:rsidR="00D35C4A" w:rsidRPr="003A7B64">
              <w:t xml:space="preserve">planned, current and completed joint activity with </w:t>
            </w:r>
            <w:r w:rsidR="00D35C4A">
              <w:t>regulatory peers (regulators with intersecting responsibilities and interests)</w:t>
            </w:r>
          </w:p>
          <w:p w14:paraId="7D6E93AB" w14:textId="3C87C869" w:rsidR="00D35C4A" w:rsidRPr="00E3185B" w:rsidRDefault="00EC3744" w:rsidP="00EC3744">
            <w:pPr>
              <w:pStyle w:val="Tablebullet"/>
            </w:pPr>
            <w:r w:rsidRPr="00E3185B">
              <w:t xml:space="preserve">capture </w:t>
            </w:r>
            <w:r w:rsidR="00D35C4A" w:rsidRPr="00E3185B">
              <w:t xml:space="preserve">referrals </w:t>
            </w:r>
            <w:r w:rsidR="00D35C4A" w:rsidRPr="00EC3744">
              <w:rPr>
                <w:b/>
                <w:bCs/>
              </w:rPr>
              <w:t>from</w:t>
            </w:r>
            <w:r w:rsidR="00D35C4A" w:rsidRPr="00E3185B">
              <w:t xml:space="preserve"> regulatory partners, including actions taken and outcome of any action by regulatory tool</w:t>
            </w:r>
          </w:p>
          <w:p w14:paraId="1623FD10" w14:textId="3B96B951" w:rsidR="00D35C4A" w:rsidRPr="00E524D2" w:rsidRDefault="00EC3744" w:rsidP="00EC3744">
            <w:pPr>
              <w:pStyle w:val="Tablebullet"/>
            </w:pPr>
            <w:r w:rsidRPr="00E3185B">
              <w:t xml:space="preserve">capture </w:t>
            </w:r>
            <w:r w:rsidR="00D35C4A" w:rsidRPr="00E3185B">
              <w:t xml:space="preserve">referrals </w:t>
            </w:r>
            <w:r w:rsidR="00D35C4A" w:rsidRPr="00EC3744">
              <w:rPr>
                <w:b/>
                <w:bCs/>
              </w:rPr>
              <w:t>to</w:t>
            </w:r>
            <w:r w:rsidR="00D35C4A" w:rsidRPr="00E3185B">
              <w:t xml:space="preserve"> regulatory partners, or sharing of information, and where possible, any indication of activity undertaken</w:t>
            </w:r>
            <w:r w:rsidR="00D35C4A">
              <w:t>.</w:t>
            </w:r>
          </w:p>
        </w:tc>
      </w:tr>
      <w:tr w:rsidR="00D35C4A" w:rsidRPr="00EC3744" w14:paraId="70B9205F"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63CAA8C3" w14:textId="77777777" w:rsidR="00D35C4A" w:rsidRPr="00EC3744" w:rsidRDefault="00D35C4A" w:rsidP="00EC3744">
            <w:pPr>
              <w:pStyle w:val="Tableheader"/>
              <w:rPr>
                <w:rFonts w:asciiTheme="majorHAnsi" w:hAnsiTheme="majorHAnsi"/>
              </w:rPr>
            </w:pPr>
            <w:r w:rsidRPr="00EC3744">
              <w:rPr>
                <w:rFonts w:asciiTheme="majorHAnsi" w:hAnsiTheme="majorHAnsi"/>
              </w:rPr>
              <w:t>What questions you could ask</w:t>
            </w:r>
          </w:p>
        </w:tc>
      </w:tr>
      <w:tr w:rsidR="00D35C4A" w:rsidRPr="00E524D2" w14:paraId="2F64BDB7" w14:textId="77777777" w:rsidTr="00EC3744">
        <w:tc>
          <w:tcPr>
            <w:tcW w:w="9242" w:type="dxa"/>
          </w:tcPr>
          <w:p w14:paraId="091BCD0F" w14:textId="77777777" w:rsidR="00D35C4A" w:rsidRPr="003A7B64" w:rsidRDefault="00D35C4A" w:rsidP="00EC3744">
            <w:pPr>
              <w:pStyle w:val="Tablebullet"/>
            </w:pPr>
            <w:r w:rsidRPr="003A7B64">
              <w:t>Who are our regulatory peers? Wh</w:t>
            </w:r>
            <w:r>
              <w:t xml:space="preserve">ich other regulators are we working with? </w:t>
            </w:r>
          </w:p>
          <w:p w14:paraId="0A966556" w14:textId="77777777" w:rsidR="00D35C4A" w:rsidRPr="003A7B64" w:rsidRDefault="00D35C4A" w:rsidP="00EC3744">
            <w:pPr>
              <w:pStyle w:val="Tablebullet"/>
            </w:pPr>
            <w:r w:rsidRPr="003A7B64">
              <w:t>How are we working our regulatory peers to coordinate activity where we have common duty holders?</w:t>
            </w:r>
          </w:p>
          <w:p w14:paraId="46BA4026" w14:textId="77777777" w:rsidR="00D35C4A" w:rsidRPr="003A7B64" w:rsidRDefault="00D35C4A" w:rsidP="00EC3744">
            <w:pPr>
              <w:pStyle w:val="Tablebullet"/>
            </w:pPr>
            <w:r w:rsidRPr="003A7B64">
              <w:t xml:space="preserve">What are the barriers to working with and sharing data with our regulatory peers and what are we doing about it? </w:t>
            </w:r>
          </w:p>
          <w:p w14:paraId="723BDC93" w14:textId="48130911" w:rsidR="00D35C4A" w:rsidRPr="002469B5" w:rsidRDefault="00D35C4A" w:rsidP="00EC3744">
            <w:pPr>
              <w:pStyle w:val="Tablebullet"/>
            </w:pPr>
            <w:r w:rsidRPr="003A7B64">
              <w:t>What other partners are</w:t>
            </w:r>
            <w:r>
              <w:t>/</w:t>
            </w:r>
            <w:r w:rsidRPr="003A7B64">
              <w:t>should we be working with to better understand and minimise harm?</w:t>
            </w:r>
          </w:p>
          <w:p w14:paraId="7D89ED62" w14:textId="77777777" w:rsidR="00D35C4A" w:rsidRPr="00E524D2" w:rsidRDefault="00D35C4A" w:rsidP="00EC3744">
            <w:pPr>
              <w:pStyle w:val="Tablebullet"/>
            </w:pPr>
            <w:r>
              <w:t>Who are we engaging with externally to identify emerging challenges, opportunities to improve and ways to better understand our regulatory environment in the longer term?</w:t>
            </w:r>
          </w:p>
        </w:tc>
      </w:tr>
      <w:tr w:rsidR="00D35C4A" w:rsidRPr="00EC3744" w14:paraId="0B35F4AC"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46CEEBB9" w14:textId="77777777" w:rsidR="00D35C4A" w:rsidRPr="00EC3744" w:rsidRDefault="00D35C4A" w:rsidP="00EC3744">
            <w:pPr>
              <w:pStyle w:val="Tableheader"/>
              <w:rPr>
                <w:rFonts w:asciiTheme="majorHAnsi" w:hAnsiTheme="majorHAnsi"/>
              </w:rPr>
            </w:pPr>
            <w:r w:rsidRPr="00EC3744">
              <w:rPr>
                <w:rFonts w:asciiTheme="majorHAnsi" w:hAnsiTheme="majorHAnsi"/>
              </w:rPr>
              <w:t>Linkages to Board Member good practice</w:t>
            </w:r>
          </w:p>
        </w:tc>
      </w:tr>
      <w:tr w:rsidR="00EC3744" w:rsidRPr="00E524D2" w14:paraId="31839EFB" w14:textId="77777777" w:rsidTr="00EC3744">
        <w:tc>
          <w:tcPr>
            <w:tcW w:w="9242" w:type="dxa"/>
          </w:tcPr>
          <w:p w14:paraId="77385397" w14:textId="77777777" w:rsidR="00EC3744" w:rsidRPr="003A7B64" w:rsidRDefault="00EC3744" w:rsidP="00EC3744">
            <w:pPr>
              <w:pStyle w:val="Tablebullet"/>
            </w:pPr>
            <w:r w:rsidRPr="003A7B64">
              <w:t xml:space="preserve">Help the regulator to establish relationships with </w:t>
            </w:r>
            <w:r>
              <w:t xml:space="preserve">regulatory peers and </w:t>
            </w:r>
            <w:r w:rsidRPr="003A7B64">
              <w:t>other partners, and to improve these relationships</w:t>
            </w:r>
            <w:r>
              <w:t xml:space="preserve"> and </w:t>
            </w:r>
            <w:r w:rsidRPr="003A7B64">
              <w:t>understanding of stakeholder needs</w:t>
            </w:r>
            <w:r>
              <w:t xml:space="preserve">. </w:t>
            </w:r>
          </w:p>
          <w:p w14:paraId="515B2ABE" w14:textId="1B708566" w:rsidR="00EC3744" w:rsidRPr="00E524D2" w:rsidRDefault="00EC3744" w:rsidP="00EC3744">
            <w:pPr>
              <w:pStyle w:val="Tablebullet"/>
            </w:pPr>
            <w:r w:rsidRPr="003A7B64">
              <w:t xml:space="preserve">Actively engage with departments to help address critical barriers to performance and policy-practice dialogue. </w:t>
            </w:r>
          </w:p>
        </w:tc>
      </w:tr>
    </w:tbl>
    <w:p w14:paraId="6FFDC4AE" w14:textId="009254DF" w:rsidR="00D35C4A" w:rsidRPr="00E524D2" w:rsidRDefault="00D35C4A" w:rsidP="00EC3744">
      <w:pPr>
        <w:pStyle w:val="Principle"/>
      </w:pPr>
      <w:bookmarkStart w:id="17" w:name="_Toc121997869"/>
      <w:r w:rsidRPr="00A649DD">
        <w:t>Be transparent and accountable for how you perform your activities</w:t>
      </w:r>
      <w:bookmarkEnd w:id="17"/>
    </w:p>
    <w:tbl>
      <w:tblPr>
        <w:tblStyle w:val="Texttable"/>
        <w:tblW w:w="0" w:type="auto"/>
        <w:tblLook w:val="0420" w:firstRow="1" w:lastRow="0" w:firstColumn="0" w:lastColumn="0" w:noHBand="0" w:noVBand="1"/>
      </w:tblPr>
      <w:tblGrid>
        <w:gridCol w:w="9026"/>
      </w:tblGrid>
      <w:tr w:rsidR="00D35C4A" w:rsidRPr="00E524D2" w14:paraId="44B271B1" w14:textId="77777777" w:rsidTr="00EC3744">
        <w:trPr>
          <w:cnfStyle w:val="100000000000" w:firstRow="1" w:lastRow="0" w:firstColumn="0" w:lastColumn="0" w:oddVBand="0" w:evenVBand="0" w:oddHBand="0" w:evenHBand="0" w:firstRowFirstColumn="0" w:firstRowLastColumn="0" w:lastRowFirstColumn="0" w:lastRowLastColumn="0"/>
        </w:trPr>
        <w:tc>
          <w:tcPr>
            <w:tcW w:w="9242" w:type="dxa"/>
          </w:tcPr>
          <w:p w14:paraId="756F2A30" w14:textId="77777777" w:rsidR="00D35C4A" w:rsidRPr="00E524D2" w:rsidRDefault="00D35C4A" w:rsidP="00EC3744">
            <w:pPr>
              <w:pStyle w:val="Tableheader"/>
            </w:pPr>
            <w:r w:rsidRPr="00E524D2">
              <w:t>What you might expect to see</w:t>
            </w:r>
          </w:p>
        </w:tc>
      </w:tr>
      <w:tr w:rsidR="00D35C4A" w:rsidRPr="00E524D2" w14:paraId="782C1CCC" w14:textId="77777777" w:rsidTr="00EC3744">
        <w:tc>
          <w:tcPr>
            <w:tcW w:w="9242" w:type="dxa"/>
          </w:tcPr>
          <w:p w14:paraId="0CC06FB1" w14:textId="77777777" w:rsidR="00D35C4A" w:rsidRPr="003A7B64" w:rsidRDefault="00D35C4A" w:rsidP="00EC3744">
            <w:pPr>
              <w:pStyle w:val="Tabletext"/>
            </w:pPr>
            <w:r w:rsidRPr="003A7B64">
              <w:t>Documents outlining:</w:t>
            </w:r>
          </w:p>
          <w:p w14:paraId="4D898B5A" w14:textId="28798284" w:rsidR="00D35C4A" w:rsidRPr="003A7B64" w:rsidRDefault="00EC3744" w:rsidP="00EC3744">
            <w:pPr>
              <w:pStyle w:val="Tablebullet"/>
            </w:pPr>
            <w:r>
              <w:t xml:space="preserve">a </w:t>
            </w:r>
            <w:r w:rsidR="00D35C4A" w:rsidRPr="003A7B64">
              <w:t>Compliance and Enforcement Policy (or equivalent) that articulates how we seek compliance, apply our discretion, and respond to non-compliance with remedy and sanctions</w:t>
            </w:r>
          </w:p>
          <w:p w14:paraId="30B3E26C" w14:textId="49922A5C" w:rsidR="00D35C4A" w:rsidRPr="003A7B64" w:rsidRDefault="00EC3744" w:rsidP="00EC3744">
            <w:pPr>
              <w:pStyle w:val="Tablebullet"/>
            </w:pPr>
            <w:r w:rsidRPr="003A7B64">
              <w:t xml:space="preserve">how </w:t>
            </w:r>
            <w:r w:rsidR="00D35C4A" w:rsidRPr="003A7B64">
              <w:t xml:space="preserve">to query or challenge regulatory decisions, </w:t>
            </w:r>
            <w:r w:rsidR="00D35C4A">
              <w:t xml:space="preserve">or </w:t>
            </w:r>
            <w:r w:rsidR="00D35C4A" w:rsidRPr="003A7B64">
              <w:t xml:space="preserve">make </w:t>
            </w:r>
            <w:r w:rsidR="00D35C4A">
              <w:t xml:space="preserve">conduct </w:t>
            </w:r>
            <w:r w:rsidR="00D35C4A" w:rsidRPr="003A7B64">
              <w:t xml:space="preserve">complaints </w:t>
            </w:r>
          </w:p>
          <w:p w14:paraId="00022434" w14:textId="3E0D94BB" w:rsidR="00D35C4A" w:rsidRPr="003A7B64" w:rsidRDefault="00EC3744" w:rsidP="00EC3744">
            <w:pPr>
              <w:pStyle w:val="Tablebullet"/>
            </w:pPr>
            <w:r w:rsidRPr="003A7B64">
              <w:t xml:space="preserve">how </w:t>
            </w:r>
            <w:r w:rsidR="00D35C4A" w:rsidRPr="003A7B64">
              <w:t>to access information on regulatory activities or actions</w:t>
            </w:r>
          </w:p>
          <w:p w14:paraId="6D337FA2" w14:textId="77777777" w:rsidR="00D35C4A" w:rsidRPr="003A7B64" w:rsidRDefault="00D35C4A" w:rsidP="00EC3744">
            <w:pPr>
              <w:pStyle w:val="Tabletext"/>
            </w:pPr>
            <w:r w:rsidRPr="003A7B64">
              <w:t>Measures or dashboards that:</w:t>
            </w:r>
          </w:p>
          <w:p w14:paraId="6BB45227" w14:textId="0382D8A3" w:rsidR="00D35C4A" w:rsidRPr="003A7B64" w:rsidRDefault="00EC3744" w:rsidP="00EC3744">
            <w:pPr>
              <w:pStyle w:val="Tablebullet"/>
            </w:pPr>
            <w:r w:rsidRPr="003A7B64">
              <w:t xml:space="preserve">track </w:t>
            </w:r>
            <w:r w:rsidR="00D35C4A" w:rsidRPr="003A7B64">
              <w:t>regulatory delivery</w:t>
            </w:r>
            <w:r w:rsidR="00D35C4A">
              <w:t>,</w:t>
            </w:r>
            <w:r w:rsidR="00D35C4A" w:rsidRPr="003A7B64">
              <w:t xml:space="preserve"> including timeliness in relation to enquiries, complaints, public reports, authorisations, follow-up of remedial activity, sanctions and major prosecution pipelines (</w:t>
            </w:r>
            <w:r w:rsidR="00770252">
              <w:t>e.g.</w:t>
            </w:r>
            <w:r w:rsidR="00D35C4A">
              <w:t xml:space="preserve">, </w:t>
            </w:r>
            <w:r w:rsidR="00D35C4A" w:rsidRPr="003A7B64">
              <w:t>from detection</w:t>
            </w:r>
            <w:r w:rsidR="00D35C4A">
              <w:t xml:space="preserve"> to</w:t>
            </w:r>
            <w:r w:rsidR="00D35C4A" w:rsidRPr="003A7B64">
              <w:t xml:space="preserve"> decision to prosecution, brief submission, charges, court action and publication)</w:t>
            </w:r>
          </w:p>
          <w:p w14:paraId="7FC083F2" w14:textId="6FB0B5FA" w:rsidR="00D35C4A" w:rsidRPr="003A7B64" w:rsidRDefault="00EC3744" w:rsidP="00EC3744">
            <w:pPr>
              <w:pStyle w:val="Tablebullet"/>
            </w:pPr>
            <w:r>
              <w:t xml:space="preserve">where </w:t>
            </w:r>
            <w:r w:rsidR="00D35C4A">
              <w:t>appropriate, p</w:t>
            </w:r>
            <w:r w:rsidR="00D35C4A" w:rsidRPr="003A7B64">
              <w:t xml:space="preserve">resent </w:t>
            </w:r>
            <w:r w:rsidR="00D35C4A">
              <w:t xml:space="preserve">aggregated </w:t>
            </w:r>
            <w:r w:rsidR="00D35C4A" w:rsidRPr="003A7B64">
              <w:t xml:space="preserve">outcomes of </w:t>
            </w:r>
            <w:r w:rsidR="00D35C4A">
              <w:t xml:space="preserve">complaints about staff, </w:t>
            </w:r>
            <w:r w:rsidR="00D35C4A" w:rsidRPr="003A7B64">
              <w:t>internal reviews or internal integrity investigations</w:t>
            </w:r>
          </w:p>
          <w:p w14:paraId="1792DCC5" w14:textId="77777777" w:rsidR="00D35C4A" w:rsidRPr="00E524D2" w:rsidRDefault="00D35C4A" w:rsidP="00EC3744">
            <w:pPr>
              <w:pStyle w:val="Tablebullet"/>
            </w:pPr>
            <w:r w:rsidRPr="003A7B64">
              <w:t>Cover receipt and response to feedback from reference groups or industry or stakeholders’ forums</w:t>
            </w:r>
            <w:r>
              <w:t>.</w:t>
            </w:r>
            <w:r w:rsidRPr="00A649DD">
              <w:t xml:space="preserve"> </w:t>
            </w:r>
          </w:p>
        </w:tc>
      </w:tr>
      <w:tr w:rsidR="00D35C4A" w:rsidRPr="00EC3744" w14:paraId="3FCA418A"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4F59B6E5" w14:textId="77777777" w:rsidR="00D35C4A" w:rsidRPr="00EC3744" w:rsidRDefault="00D35C4A" w:rsidP="00EC3744">
            <w:pPr>
              <w:pStyle w:val="Tableheader"/>
              <w:rPr>
                <w:rFonts w:asciiTheme="majorHAnsi" w:hAnsiTheme="majorHAnsi"/>
              </w:rPr>
            </w:pPr>
            <w:r w:rsidRPr="00EC3744">
              <w:rPr>
                <w:rFonts w:asciiTheme="majorHAnsi" w:hAnsiTheme="majorHAnsi"/>
              </w:rPr>
              <w:t>What questions you could ask</w:t>
            </w:r>
          </w:p>
        </w:tc>
      </w:tr>
      <w:tr w:rsidR="00D35C4A" w:rsidRPr="00E524D2" w14:paraId="115FAEAD" w14:textId="77777777" w:rsidTr="00EC3744">
        <w:tc>
          <w:tcPr>
            <w:tcW w:w="9242" w:type="dxa"/>
          </w:tcPr>
          <w:p w14:paraId="4D411683" w14:textId="77777777" w:rsidR="00D35C4A" w:rsidRPr="003A7B64" w:rsidRDefault="00D35C4A" w:rsidP="00EC3744">
            <w:pPr>
              <w:pStyle w:val="Tablebullet"/>
            </w:pPr>
            <w:r w:rsidRPr="003A7B64">
              <w:t xml:space="preserve">Is the level and timeliness of regulatory activity preventing </w:t>
            </w:r>
            <w:r>
              <w:t xml:space="preserve">or </w:t>
            </w:r>
            <w:r w:rsidRPr="003A7B64">
              <w:t>minimising harm?</w:t>
            </w:r>
          </w:p>
          <w:p w14:paraId="55096F16" w14:textId="77777777" w:rsidR="00D35C4A" w:rsidRPr="003A7B64" w:rsidRDefault="00D35C4A" w:rsidP="00EC3744">
            <w:pPr>
              <w:pStyle w:val="Tablebullet"/>
            </w:pPr>
            <w:r w:rsidRPr="003A7B64">
              <w:t xml:space="preserve">How are we supporting </w:t>
            </w:r>
            <w:r>
              <w:t xml:space="preserve">affected </w:t>
            </w:r>
            <w:r w:rsidRPr="003A7B64">
              <w:t>stakeholders to participate in decision-making?</w:t>
            </w:r>
          </w:p>
          <w:p w14:paraId="65F7947A" w14:textId="77777777" w:rsidR="00D35C4A" w:rsidRPr="003A7B64" w:rsidRDefault="00D35C4A" w:rsidP="00EC3744">
            <w:pPr>
              <w:pStyle w:val="Tablebullet"/>
            </w:pPr>
            <w:r w:rsidRPr="003A7B64">
              <w:t xml:space="preserve">How are we enabling </w:t>
            </w:r>
            <w:r>
              <w:t xml:space="preserve">duty holders or the community </w:t>
            </w:r>
            <w:r w:rsidRPr="003A7B64">
              <w:t>to seek review of our decisions?</w:t>
            </w:r>
          </w:p>
          <w:p w14:paraId="66080554" w14:textId="77777777" w:rsidR="00D35C4A" w:rsidRPr="003A7B64" w:rsidRDefault="00D35C4A" w:rsidP="00EC3744">
            <w:pPr>
              <w:pStyle w:val="Tablebullet"/>
            </w:pPr>
            <w:r w:rsidRPr="003A7B64">
              <w:t>What guidance are we providing our teams to act on non-compliance, remedy harm and escalate enforcement?</w:t>
            </w:r>
          </w:p>
          <w:p w14:paraId="5CC14EC4" w14:textId="77777777" w:rsidR="00D35C4A" w:rsidRPr="003A7B64" w:rsidRDefault="00D35C4A" w:rsidP="00EC3744">
            <w:pPr>
              <w:pStyle w:val="Tablebullet"/>
            </w:pPr>
            <w:r w:rsidRPr="003A7B64">
              <w:t>What are we doing to support staff at all levels to recognise, escalate and act against undue influence in regulatory decisions?</w:t>
            </w:r>
          </w:p>
          <w:p w14:paraId="7EF79A94" w14:textId="77777777" w:rsidR="00D35C4A" w:rsidRPr="003A7B64" w:rsidRDefault="00D35C4A" w:rsidP="00EC3744">
            <w:pPr>
              <w:pStyle w:val="Tablebullet"/>
            </w:pPr>
            <w:r w:rsidRPr="003A7B64">
              <w:t>Are there any recent reports from oversight organisations that we can learn from that relate to, or are aligned to our work?</w:t>
            </w:r>
          </w:p>
          <w:p w14:paraId="7BF216C0" w14:textId="0C82A2C6" w:rsidR="00D35C4A" w:rsidRPr="00E524D2" w:rsidRDefault="00D35C4A" w:rsidP="00EC3744">
            <w:pPr>
              <w:pStyle w:val="Tablebullet"/>
            </w:pPr>
            <w:r w:rsidRPr="003A7B64">
              <w:t>Are we actively</w:t>
            </w:r>
            <w:r>
              <w:t>/</w:t>
            </w:r>
            <w:r w:rsidRPr="003A7B64">
              <w:t>openly educating other stakeholders (</w:t>
            </w:r>
            <w:r>
              <w:t>e.g. the broader community</w:t>
            </w:r>
            <w:r w:rsidRPr="003A7B64">
              <w:t>) about our role to help establish appropriate expectations</w:t>
            </w:r>
            <w:r>
              <w:t xml:space="preserve"> and support engagement</w:t>
            </w:r>
            <w:r w:rsidRPr="003A7B64">
              <w:t>?</w:t>
            </w:r>
          </w:p>
        </w:tc>
      </w:tr>
      <w:tr w:rsidR="00D35C4A" w:rsidRPr="00EC3744" w14:paraId="4EA1F260"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1EBCDE1E" w14:textId="77777777" w:rsidR="00D35C4A" w:rsidRPr="00EC3744" w:rsidRDefault="00D35C4A" w:rsidP="00EC3744">
            <w:pPr>
              <w:pStyle w:val="Tableheader"/>
              <w:rPr>
                <w:rFonts w:asciiTheme="majorHAnsi" w:hAnsiTheme="majorHAnsi"/>
              </w:rPr>
            </w:pPr>
            <w:r w:rsidRPr="00EC3744">
              <w:rPr>
                <w:rFonts w:asciiTheme="majorHAnsi" w:hAnsiTheme="majorHAnsi"/>
              </w:rPr>
              <w:t>Linkages to Board Member good practice</w:t>
            </w:r>
          </w:p>
        </w:tc>
      </w:tr>
      <w:tr w:rsidR="00EC3744" w:rsidRPr="00E524D2" w14:paraId="4AAEE14C" w14:textId="77777777" w:rsidTr="00EC3744">
        <w:tc>
          <w:tcPr>
            <w:tcW w:w="9242" w:type="dxa"/>
          </w:tcPr>
          <w:p w14:paraId="7C151EE2" w14:textId="77777777" w:rsidR="00EC3744" w:rsidRPr="003A7B64" w:rsidRDefault="00EC3744" w:rsidP="00EC3744">
            <w:pPr>
              <w:pStyle w:val="Tablebullet"/>
            </w:pPr>
            <w:r w:rsidRPr="003A7B64">
              <w:t xml:space="preserve">‘Boost’ regulator messages and influence on duty holders, helping to maximise impact, by actively engaging with stakeholders and networks. </w:t>
            </w:r>
          </w:p>
          <w:p w14:paraId="514EAFEC" w14:textId="77777777" w:rsidR="00EC3744" w:rsidRPr="003A7B64" w:rsidRDefault="00EC3744" w:rsidP="00EC3744">
            <w:pPr>
              <w:pStyle w:val="Tablebullet"/>
            </w:pPr>
            <w:r w:rsidRPr="003A7B64">
              <w:t>Reinforce messages of decision-making accountability and independence.</w:t>
            </w:r>
          </w:p>
          <w:p w14:paraId="52BFD942" w14:textId="77777777" w:rsidR="00EC3744" w:rsidRPr="003A7B64" w:rsidRDefault="00EC3744" w:rsidP="00EC3744">
            <w:pPr>
              <w:pStyle w:val="Tablebullet"/>
            </w:pPr>
            <w:r w:rsidRPr="003A7B64">
              <w:t>Play a guiding role as a board to ensure impartial and accountable regulatory decision making unencumbered by conflicts of interest.</w:t>
            </w:r>
          </w:p>
          <w:p w14:paraId="2FB84153" w14:textId="09B83316" w:rsidR="00EC3744" w:rsidRPr="00E524D2" w:rsidRDefault="00EC3744" w:rsidP="00EC3744">
            <w:pPr>
              <w:pStyle w:val="Tablebullet"/>
            </w:pPr>
            <w:r w:rsidRPr="003A7B64">
              <w:t xml:space="preserve">Be familiar with Board decisions that are subject to external </w:t>
            </w:r>
            <w:r>
              <w:t xml:space="preserve">merit or judicial </w:t>
            </w:r>
            <w:r w:rsidRPr="003A7B64">
              <w:t>review</w:t>
            </w:r>
            <w:r>
              <w:t>.</w:t>
            </w:r>
          </w:p>
        </w:tc>
      </w:tr>
    </w:tbl>
    <w:p w14:paraId="3ED51EA4" w14:textId="08FBCDC7" w:rsidR="00D35C4A" w:rsidRDefault="00D35C4A" w:rsidP="00D35C4A"/>
    <w:p w14:paraId="6E0882C1" w14:textId="432185F1" w:rsidR="00D35C4A" w:rsidRPr="00E524D2" w:rsidRDefault="00D35C4A" w:rsidP="00EC3744">
      <w:pPr>
        <w:pStyle w:val="Principle"/>
      </w:pPr>
      <w:bookmarkStart w:id="18" w:name="_Toc121997870"/>
      <w:r w:rsidRPr="00A649DD">
        <w:t>Continuously improve your regulatory operations</w:t>
      </w:r>
      <w:bookmarkEnd w:id="18"/>
    </w:p>
    <w:tbl>
      <w:tblPr>
        <w:tblStyle w:val="Texttable"/>
        <w:tblW w:w="0" w:type="auto"/>
        <w:tblLook w:val="0420" w:firstRow="1" w:lastRow="0" w:firstColumn="0" w:lastColumn="0" w:noHBand="0" w:noVBand="1"/>
      </w:tblPr>
      <w:tblGrid>
        <w:gridCol w:w="9026"/>
      </w:tblGrid>
      <w:tr w:rsidR="00D35C4A" w:rsidRPr="00E524D2" w14:paraId="58B11509" w14:textId="77777777" w:rsidTr="00EC3744">
        <w:trPr>
          <w:cnfStyle w:val="100000000000" w:firstRow="1" w:lastRow="0" w:firstColumn="0" w:lastColumn="0" w:oddVBand="0" w:evenVBand="0" w:oddHBand="0" w:evenHBand="0" w:firstRowFirstColumn="0" w:firstRowLastColumn="0" w:lastRowFirstColumn="0" w:lastRowLastColumn="0"/>
        </w:trPr>
        <w:tc>
          <w:tcPr>
            <w:tcW w:w="9242" w:type="dxa"/>
          </w:tcPr>
          <w:p w14:paraId="578D0978" w14:textId="77777777" w:rsidR="00D35C4A" w:rsidRPr="00E524D2" w:rsidRDefault="00D35C4A" w:rsidP="00EC3744">
            <w:pPr>
              <w:pStyle w:val="Tableheader"/>
            </w:pPr>
            <w:r w:rsidRPr="00E524D2">
              <w:t>What you might expect to see</w:t>
            </w:r>
          </w:p>
        </w:tc>
      </w:tr>
      <w:tr w:rsidR="00D35C4A" w:rsidRPr="00E524D2" w14:paraId="6E7CBAFD" w14:textId="77777777" w:rsidTr="00EC3744">
        <w:tc>
          <w:tcPr>
            <w:tcW w:w="9242" w:type="dxa"/>
          </w:tcPr>
          <w:p w14:paraId="1C80EF4F" w14:textId="77777777" w:rsidR="00D35C4A" w:rsidRPr="003A7B64" w:rsidRDefault="00D35C4A" w:rsidP="00EC3744">
            <w:pPr>
              <w:pStyle w:val="Tabletext"/>
            </w:pPr>
            <w:r w:rsidRPr="003A7B64">
              <w:t>Documents outlining:</w:t>
            </w:r>
          </w:p>
          <w:p w14:paraId="196978E7" w14:textId="5747A7A7" w:rsidR="00D35C4A" w:rsidRPr="003A7B64" w:rsidRDefault="00EC3744" w:rsidP="00EC3744">
            <w:pPr>
              <w:pStyle w:val="Tablebullet"/>
            </w:pPr>
            <w:r w:rsidRPr="003A7B64">
              <w:t xml:space="preserve">a </w:t>
            </w:r>
            <w:r w:rsidR="00D35C4A" w:rsidRPr="003A7B64">
              <w:t>performance management framework that accounts for regulatory delivery (quality, quantity, timeliness) across regulatory functions (</w:t>
            </w:r>
            <w:r w:rsidR="00770252">
              <w:t>e.g.</w:t>
            </w:r>
            <w:r w:rsidR="00D35C4A">
              <w:t>,</w:t>
            </w:r>
            <w:r w:rsidR="00D35C4A" w:rsidRPr="003A7B64">
              <w:t xml:space="preserve"> outreach, monitoring, approvals, enforcement, investigations)</w:t>
            </w:r>
          </w:p>
          <w:p w14:paraId="7E4FE92A" w14:textId="68B2CEBF" w:rsidR="00D35C4A" w:rsidRPr="003A7B64" w:rsidRDefault="00EC3744" w:rsidP="00EC3744">
            <w:pPr>
              <w:pStyle w:val="Tablebullet"/>
            </w:pPr>
            <w:r w:rsidRPr="003A7B64">
              <w:t xml:space="preserve">a </w:t>
            </w:r>
            <w:r w:rsidR="00D35C4A" w:rsidRPr="003A7B64">
              <w:t>capability framework that outlines an approach to learning, development, and workforce planning</w:t>
            </w:r>
          </w:p>
          <w:p w14:paraId="5AB0F9C0" w14:textId="1874017A" w:rsidR="00D35C4A" w:rsidRPr="003A7B64" w:rsidRDefault="00EC3744" w:rsidP="00EC3744">
            <w:pPr>
              <w:pStyle w:val="Tablebullet"/>
            </w:pPr>
            <w:r w:rsidRPr="003A7B64">
              <w:t xml:space="preserve">an </w:t>
            </w:r>
            <w:r w:rsidR="00D35C4A" w:rsidRPr="003A7B64">
              <w:t>approach to capturing lessons learnt or improvements from after action reviews, operational debriefs, or public reviews</w:t>
            </w:r>
          </w:p>
          <w:p w14:paraId="526A2094" w14:textId="77777777" w:rsidR="00D35C4A" w:rsidRPr="003A7B64" w:rsidRDefault="00D35C4A" w:rsidP="00EC3744">
            <w:pPr>
              <w:pStyle w:val="Tabletext"/>
            </w:pPr>
            <w:r w:rsidRPr="003A7B64">
              <w:t>Measures or dashboards that:</w:t>
            </w:r>
          </w:p>
          <w:p w14:paraId="4C70A1D6" w14:textId="273E42CD" w:rsidR="00D35C4A" w:rsidRPr="003A7B64" w:rsidRDefault="00EC3744" w:rsidP="00EC3744">
            <w:pPr>
              <w:pStyle w:val="Tablebullet"/>
            </w:pPr>
            <w:r w:rsidRPr="003A7B64">
              <w:t xml:space="preserve">present </w:t>
            </w:r>
            <w:r w:rsidR="00D35C4A" w:rsidRPr="003A7B64">
              <w:t>regulatory decisions across the organisation (</w:t>
            </w:r>
            <w:r w:rsidR="00770252">
              <w:t>e.g.</w:t>
            </w:r>
            <w:r w:rsidR="00D35C4A">
              <w:t>,</w:t>
            </w:r>
            <w:r w:rsidR="00D35C4A" w:rsidRPr="003A7B64">
              <w:t xml:space="preserve"> geographically, by staff level, by team or area, by regulatory tool or instrument)</w:t>
            </w:r>
          </w:p>
          <w:p w14:paraId="17FD60F1" w14:textId="69BA8E52" w:rsidR="00D35C4A" w:rsidRPr="00E524D2" w:rsidRDefault="00EC3744" w:rsidP="00EC3744">
            <w:pPr>
              <w:pStyle w:val="Tablebullet"/>
            </w:pPr>
            <w:r w:rsidRPr="003A7B64">
              <w:t xml:space="preserve">demonstrate </w:t>
            </w:r>
            <w:r w:rsidR="00D35C4A" w:rsidRPr="003A7B64">
              <w:t>training, learning and development across the organisation relative to planned activity</w:t>
            </w:r>
          </w:p>
        </w:tc>
      </w:tr>
      <w:tr w:rsidR="00D35C4A" w:rsidRPr="00EC3744" w14:paraId="263BB9E8"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421E7A04" w14:textId="77777777" w:rsidR="00D35C4A" w:rsidRPr="00EC3744" w:rsidRDefault="00D35C4A" w:rsidP="00EC3744">
            <w:pPr>
              <w:pStyle w:val="Tableheader"/>
              <w:rPr>
                <w:rFonts w:asciiTheme="majorHAnsi" w:hAnsiTheme="majorHAnsi"/>
              </w:rPr>
            </w:pPr>
            <w:r w:rsidRPr="00EC3744">
              <w:rPr>
                <w:rFonts w:asciiTheme="majorHAnsi" w:hAnsiTheme="majorHAnsi"/>
              </w:rPr>
              <w:t>What questions you could ask</w:t>
            </w:r>
          </w:p>
        </w:tc>
      </w:tr>
      <w:tr w:rsidR="00D35C4A" w:rsidRPr="00E524D2" w14:paraId="4ED6F5BC" w14:textId="77777777" w:rsidTr="00EC3744">
        <w:tc>
          <w:tcPr>
            <w:tcW w:w="9242" w:type="dxa"/>
          </w:tcPr>
          <w:p w14:paraId="5C57B393" w14:textId="77777777" w:rsidR="00D35C4A" w:rsidRPr="003A7B64" w:rsidRDefault="00D35C4A" w:rsidP="00EC3744">
            <w:pPr>
              <w:pStyle w:val="Tablebullet"/>
            </w:pPr>
            <w:r w:rsidRPr="003A7B64">
              <w:t xml:space="preserve">At what levels are we making regulatory decisions or taking regulatory action? Are our actions timely? Are we taking regulatory action across all regions, areas, functions or teams? </w:t>
            </w:r>
          </w:p>
          <w:p w14:paraId="2B90F462" w14:textId="77777777" w:rsidR="00D35C4A" w:rsidRPr="003A7B64" w:rsidRDefault="00D35C4A" w:rsidP="00EC3744">
            <w:pPr>
              <w:pStyle w:val="Tablebullet"/>
            </w:pPr>
            <w:r w:rsidRPr="003A7B64">
              <w:t>How are we investing in our people and organisational culture to improve regulatory delivery, embed changed practice and address regulatory priorities?</w:t>
            </w:r>
          </w:p>
          <w:p w14:paraId="72FC0F3E" w14:textId="77777777" w:rsidR="00D35C4A" w:rsidRPr="003A7B64" w:rsidRDefault="00D35C4A" w:rsidP="00EC3744">
            <w:pPr>
              <w:pStyle w:val="Tablebullet"/>
            </w:pPr>
            <w:r w:rsidRPr="003A7B64">
              <w:t>How are we improving performance and embedding lessons learnt from regulatory operations, investigations, internal reviews or regulatory conduct complaints?</w:t>
            </w:r>
          </w:p>
          <w:p w14:paraId="4AE1ADD7" w14:textId="77777777" w:rsidR="00D35C4A" w:rsidRPr="00E524D2" w:rsidRDefault="00D35C4A" w:rsidP="00EC3744">
            <w:pPr>
              <w:pStyle w:val="Tablebullet"/>
            </w:pPr>
            <w:r w:rsidRPr="003A7B64">
              <w:t>How are we learning from our regulatory peers or equivalents in other jurisdictions or recent reviews into other regulators?</w:t>
            </w:r>
          </w:p>
        </w:tc>
      </w:tr>
      <w:tr w:rsidR="00D35C4A" w:rsidRPr="00EC3744" w14:paraId="74313F22" w14:textId="77777777" w:rsidTr="00EC3744">
        <w:trPr>
          <w:cnfStyle w:val="000000010000" w:firstRow="0" w:lastRow="0" w:firstColumn="0" w:lastColumn="0" w:oddVBand="0" w:evenVBand="0" w:oddHBand="0" w:evenHBand="1" w:firstRowFirstColumn="0" w:firstRowLastColumn="0" w:lastRowFirstColumn="0" w:lastRowLastColumn="0"/>
        </w:trPr>
        <w:tc>
          <w:tcPr>
            <w:tcW w:w="9242" w:type="dxa"/>
            <w:shd w:val="clear" w:color="auto" w:fill="71C5E8" w:themeFill="accent1"/>
          </w:tcPr>
          <w:p w14:paraId="279E04F7" w14:textId="77777777" w:rsidR="00D35C4A" w:rsidRPr="00EC3744" w:rsidRDefault="00D35C4A" w:rsidP="00EC3744">
            <w:pPr>
              <w:pStyle w:val="Tableheader"/>
              <w:rPr>
                <w:rFonts w:asciiTheme="majorHAnsi" w:hAnsiTheme="majorHAnsi"/>
              </w:rPr>
            </w:pPr>
            <w:r w:rsidRPr="00EC3744">
              <w:rPr>
                <w:rFonts w:asciiTheme="majorHAnsi" w:hAnsiTheme="majorHAnsi"/>
              </w:rPr>
              <w:t>Linkages to Board Member good practice</w:t>
            </w:r>
          </w:p>
        </w:tc>
      </w:tr>
      <w:tr w:rsidR="00EC3744" w:rsidRPr="00E524D2" w14:paraId="539D7F8A" w14:textId="77777777" w:rsidTr="00EC3744">
        <w:tc>
          <w:tcPr>
            <w:tcW w:w="9242" w:type="dxa"/>
          </w:tcPr>
          <w:p w14:paraId="5FD0D27E" w14:textId="77777777" w:rsidR="00EC3744" w:rsidRPr="003A7B64" w:rsidRDefault="00EC3744" w:rsidP="00EC3744">
            <w:pPr>
              <w:pStyle w:val="Tablebullet"/>
            </w:pPr>
            <w:r w:rsidRPr="003A7B64">
              <w:t>Encourage engagement with other regulators on good practice, improvements and learning</w:t>
            </w:r>
            <w:r>
              <w:t>.</w:t>
            </w:r>
          </w:p>
          <w:p w14:paraId="6928254E" w14:textId="42D8674E" w:rsidR="00EC3744" w:rsidRPr="003A7B64" w:rsidRDefault="00EC3744" w:rsidP="00EC3744">
            <w:pPr>
              <w:pStyle w:val="Tablebullet"/>
            </w:pPr>
            <w:r w:rsidRPr="003A7B64">
              <w:t>Provide strategic input on how to best balance internal operational improvement objectives, with other competing interests (</w:t>
            </w:r>
            <w:r w:rsidR="00770252">
              <w:t>e.g.</w:t>
            </w:r>
            <w:r>
              <w:t>,</w:t>
            </w:r>
            <w:r w:rsidRPr="003A7B64">
              <w:t xml:space="preserve"> response to new community or ministerial concerns)</w:t>
            </w:r>
            <w:r>
              <w:t>.</w:t>
            </w:r>
          </w:p>
          <w:p w14:paraId="442C1301" w14:textId="77777777" w:rsidR="00EC3744" w:rsidRPr="003A7B64" w:rsidRDefault="00EC3744" w:rsidP="00EC3744">
            <w:pPr>
              <w:pStyle w:val="Tablebullet"/>
            </w:pPr>
            <w:r w:rsidRPr="003A7B64">
              <w:t xml:space="preserve">Support the regulator to explain its prioritisation decisions to </w:t>
            </w:r>
            <w:r>
              <w:t>its Minister</w:t>
            </w:r>
            <w:r w:rsidRPr="003A7B64">
              <w:t>.</w:t>
            </w:r>
          </w:p>
          <w:p w14:paraId="69E1D5E4" w14:textId="77777777" w:rsidR="00EC3744" w:rsidRPr="003A7B64" w:rsidRDefault="00EC3744" w:rsidP="00EC3744">
            <w:pPr>
              <w:pStyle w:val="Tablebullet"/>
            </w:pPr>
            <w:r w:rsidRPr="003A7B64">
              <w:t>Consider when internal continuous improvement may be insufficient to achieve expected performance, and other insight or intervention may be required.</w:t>
            </w:r>
          </w:p>
          <w:p w14:paraId="49E79074" w14:textId="25D5820B" w:rsidR="00EC3744" w:rsidRPr="5DE78E53" w:rsidRDefault="00EC3744" w:rsidP="00EC3744">
            <w:pPr>
              <w:pStyle w:val="Tablebullet"/>
            </w:pPr>
            <w:r w:rsidRPr="003A7B64">
              <w:t>Support culture and practice changes where required, through communication and engagement with staff undergoing major changes or responding to significant adverse findings or enquiries.</w:t>
            </w:r>
          </w:p>
        </w:tc>
      </w:tr>
    </w:tbl>
    <w:p w14:paraId="3F11F3FB" w14:textId="77777777" w:rsidR="00D35C4A" w:rsidRDefault="00D35C4A" w:rsidP="00EC3744"/>
    <w:p w14:paraId="55627C5A" w14:textId="77777777" w:rsidR="00D35C4A" w:rsidRDefault="00D35C4A" w:rsidP="00D35C4A"/>
    <w:p w14:paraId="2B63A4B0" w14:textId="77777777" w:rsidR="00DC0F10" w:rsidRDefault="00DC0F10" w:rsidP="00DC0F10">
      <w:pPr>
        <w:sectPr w:rsidR="00DC0F10" w:rsidSect="00036D89">
          <w:footerReference w:type="default" r:id="rId32"/>
          <w:pgSz w:w="11906" w:h="16838" w:code="9"/>
          <w:pgMar w:top="1440" w:right="1440" w:bottom="1728" w:left="1440" w:header="562" w:footer="461" w:gutter="0"/>
          <w:pgNumType w:start="1"/>
          <w:cols w:space="708"/>
          <w:docGrid w:linePitch="360"/>
        </w:sectPr>
      </w:pPr>
    </w:p>
    <w:p w14:paraId="28B1B56D" w14:textId="77777777" w:rsidR="00BA76EA" w:rsidRDefault="00BA76EA"/>
    <w:p w14:paraId="4489E6FF" w14:textId="77777777" w:rsidR="00DC0F10" w:rsidRDefault="00DC0F10" w:rsidP="00DC0F10"/>
    <w:sectPr w:rsidR="00DC0F10" w:rsidSect="00515D54">
      <w:headerReference w:type="even" r:id="rId33"/>
      <w:headerReference w:type="default" r:id="rId34"/>
      <w:footerReference w:type="even" r:id="rId35"/>
      <w:footerReference w:type="default" r:id="rId36"/>
      <w:pgSz w:w="11906" w:h="16838" w:code="9"/>
      <w:pgMar w:top="1138" w:right="1138" w:bottom="1138" w:left="1699" w:header="562"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7E1B" w14:textId="77777777" w:rsidR="00816008" w:rsidRDefault="00816008" w:rsidP="00C671DA">
      <w:pPr>
        <w:spacing w:after="0" w:line="240" w:lineRule="auto"/>
      </w:pPr>
      <w:r>
        <w:separator/>
      </w:r>
    </w:p>
  </w:endnote>
  <w:endnote w:type="continuationSeparator" w:id="0">
    <w:p w14:paraId="3231B919" w14:textId="77777777" w:rsidR="00816008" w:rsidRDefault="00816008" w:rsidP="00C671DA">
      <w:pPr>
        <w:spacing w:after="0" w:line="240" w:lineRule="auto"/>
      </w:pPr>
      <w:r>
        <w:continuationSeparator/>
      </w:r>
    </w:p>
  </w:endnote>
  <w:endnote w:type="continuationNotice" w:id="1">
    <w:p w14:paraId="09A947F7" w14:textId="77777777" w:rsidR="00816008" w:rsidRDefault="008160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IC SemiBold">
    <w:altName w:val="Cambria"/>
    <w:panose1 w:val="00000000000000000000"/>
    <w:charset w:val="00"/>
    <w:family w:val="roman"/>
    <w:notTrueType/>
    <w:pitch w:val="default"/>
  </w:font>
  <w:font w:name="V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7CDB" w14:textId="4B18C900" w:rsidR="002F7477" w:rsidRDefault="002F7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435C" w14:textId="77777777" w:rsidR="000E063E" w:rsidRDefault="00B06ED4" w:rsidP="00BA76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FC9B" w14:textId="77777777" w:rsidR="0020555A" w:rsidRDefault="00715163" w:rsidP="00C75370">
    <w:pPr>
      <w:pStyle w:val="Footer"/>
      <w:ind w:right="-450"/>
      <w:jc w:val="right"/>
    </w:pPr>
    <w:r>
      <w:drawing>
        <wp:inline distT="0" distB="0" distL="0" distR="0" wp14:anchorId="11ECE0C3" wp14:editId="5003A2DA">
          <wp:extent cx="799044"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99044" cy="457200"/>
                  </a:xfrm>
                  <a:prstGeom prst="rect">
                    <a:avLst/>
                  </a:prstGeom>
                </pic:spPr>
              </pic:pic>
            </a:graphicData>
          </a:graphic>
        </wp:inline>
      </w:drawing>
    </w:r>
    <w:r w:rsidR="00A43B96">
      <mc:AlternateContent>
        <mc:Choice Requires="wpg">
          <w:drawing>
            <wp:anchor distT="0" distB="0" distL="114300" distR="114300" simplePos="0" relativeHeight="251658244" behindDoc="1" locked="1" layoutInCell="1" allowOverlap="1" wp14:anchorId="49AB8F16" wp14:editId="537EB546">
              <wp:simplePos x="0" y="0"/>
              <wp:positionH relativeFrom="page">
                <wp:posOffset>-13970</wp:posOffset>
              </wp:positionH>
              <wp:positionV relativeFrom="page">
                <wp:posOffset>5652770</wp:posOffset>
              </wp:positionV>
              <wp:extent cx="7574280" cy="5056505"/>
              <wp:effectExtent l="0" t="0" r="7620"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5056505"/>
                        <a:chOff x="4761" y="0"/>
                        <a:chExt cx="7572834" cy="5054542"/>
                      </a:xfrm>
                    </wpg:grpSpPr>
                    <wps:wsp>
                      <wps:cNvPr id="18" name="Freeform: Shape 18"/>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group id="Group 22" style="position:absolute;margin-left:-1.1pt;margin-top:445.1pt;width:596.4pt;height:398.15pt;z-index:-251658236;mso-position-horizontal-relative:page;mso-position-vertical-relative:page;mso-width-relative:margin;mso-height-relative:margin" alt="&quot;&quot;" coordsize="75728,50545" coordorigin="47" o:spid="_x0000_s1026" w14:anchorId="4DE65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">
              <v:shape id="Freeform: Shape 18" style="position:absolute;left:32539;top:7542;width:35741;height:35740;rotation:-45;visibility:visible;mso-wrap-style:square;v-text-anchor:middle" coordsize="3574033,3574033" o:spid="_x0000_s1027" fillcolor="#71c5e8 [3204]" stroked="f" strokeweight=".39244mm" path="m,l3574033,r,3574034l,35740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v:stroke joinstyle="miter"/>
                <v:path arrowok="t" o:connecttype="custom" o:connectlocs="0,0;3574033,0;3574033,3574034;0,3574034" o:connectangles="0,0,0,0"/>
              </v:shape>
              <v:shape id="Freeform: Shape 19" style="position:absolute;left:190;width:25273;height:50545;visibility:visible;mso-wrap-style:square;v-text-anchor:middle" coordsize="2527271,5054542" o:spid="_x0000_s1028" fillcolor="#c4e7f6 [3209]" stroked="f" strokeweight=".39244mm" path="m,l,5054543,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v:stroke joinstyle="miter"/>
                <v:path arrowok="t" o:connecttype="custom" o:connectlocs="0,0;0,5054543;2527272,2527271;0,0;0,0" o:connectangles="0,0,0,0,0"/>
              </v:shape>
              <v:shape id="Freeform: Shape 20" style="position:absolute;left:47;top:25199;width:50546;height:25272;visibility:visible;mso-wrap-style:square;v-text-anchor:middle" coordsize="5054542,2527271" o:spid="_x0000_s1029" fillcolor="#98d5ef [3208]" stroked="f" strokeweight=".39244mm" path="m,2527271r5054543,l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v:stroke joinstyle="miter"/>
                <v:path arrowok="t" o:connecttype="custom" o:connectlocs="0,2527271;5054543,2527271;2527272,0;0,2527271" o:connectangles="0,0,0,0"/>
              </v:shape>
              <v:shape id="Freeform: Shape 21" style="position:absolute;left:50504;top:25272;width:25271;height:25273;visibility:visible;mso-wrap-style:square;v-text-anchor:middle" coordsize="2527130,2527271" o:spid="_x0000_s1030" fillcolor="#c4e7f6 [3209]" stroked="f" strokeweight=".39244mm" path="m,2527130r2527131,141l2527131,,,252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">
                <v:stroke joinstyle="miter"/>
                <v:path arrowok="t" o:connecttype="custom" o:connectlocs="0,2527130;2527131,2527271;2527131,0;0,2527130" o:connectangles="0,0,0,0"/>
              </v:shape>
              <w10:wrap anchorx="page" anchory="pag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84FC" w14:textId="77777777" w:rsidR="00017347" w:rsidRDefault="0056116C" w:rsidP="00017347">
    <w:pPr>
      <w:pStyle w:val="Footer"/>
      <w:pBdr>
        <w:top w:val="single" w:sz="36" w:space="1" w:color="71C5E8" w:themeColor="accent1"/>
      </w:pBdr>
    </w:pPr>
    <w:r>
      <w:rPr>
        <w:noProof w:val="0"/>
      </w:rPr>
      <w:fldChar w:fldCharType="begin"/>
    </w:r>
    <w:r>
      <w:instrText xml:space="preserve"> PAGE   \* MERGEFORMAT </w:instrText>
    </w:r>
    <w:r>
      <w:rPr>
        <w:noProof w:val="0"/>
      </w:rPr>
      <w:fldChar w:fldCharType="separate"/>
    </w:r>
    <w:r>
      <w:t>1</w:t>
    </w:r>
    <w:r>
      <w:fldChar w:fldCharType="end"/>
    </w:r>
    <w:r w:rsidR="00BD6AA7">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9D1E" w14:textId="32BD01D4" w:rsidR="00036D89" w:rsidRDefault="00036D89" w:rsidP="00036D89">
    <w:pPr>
      <w:pStyle w:val="Footer"/>
      <w:tabs>
        <w:tab w:val="clear" w:pos="9026"/>
        <w:tab w:val="right" w:pos="9090"/>
      </w:tabs>
      <w:spacing w:before="60"/>
      <w:ind w:right="-158"/>
    </w:pPr>
    <w:r>
      <mc:AlternateContent>
        <mc:Choice Requires="wpg">
          <w:drawing>
            <wp:anchor distT="0" distB="0" distL="114300" distR="114300" simplePos="0" relativeHeight="251660294" behindDoc="1" locked="0" layoutInCell="1" allowOverlap="1" wp14:anchorId="73F5D462" wp14:editId="38E1B4C7">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45" style="position:absolute;margin-left:450.85pt;margin-top:768.75pt;width:146.4pt;height:73.1pt;z-index:-251658239;mso-position-horizontal-relative:page;mso-position-vertical-relative:page;mso-width-relative:margin;mso-height-relative:margin" alt="&quot;&quot;" coordsize="28989,14494" o:spid="_x0000_s1026" w14:anchorId="73A9D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style="position:absolute;left:9369;top:2122;width:10250;height:10249;rotation:-45;visibility:visible;mso-wrap-style:square;v-text-anchor:middle" coordsize="1024933,1024862" o:spid="_x0000_s1027" fillcolor="#71c5e8 [3204]" stroked="f" strokeweight=".1125mm" path="m,l1024933,r,1024863l,1024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v:stroke joinstyle="miter"/>
                <v:path arrowok="t" o:connecttype="custom" o:connectlocs="0,0;1024933,0;1024933,1024863;0,1024863" o:connectangles="0,0,0,0"/>
              </v:shape>
              <v:shape id="Freeform: Shape 48" style="position:absolute;left:21742;width:7247;height:14494;visibility:visible;mso-wrap-style:square;v-text-anchor:middle" coordsize="724751,1449402" o:spid="_x0000_s1028" fillcolor="#c4e7f6 [3209]" stroked="f" strokeweight=".1125mm" path="m724751,r-40,1449402l,724701,724711,r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v:stroke joinstyle="miter"/>
                <v:path arrowok="t" o:connecttype="custom" o:connectlocs="724751,0;724711,1449402;0,724701;724711,0;724751,0" o:connectangles="0,0,0,0,0"/>
              </v:shape>
              <v:shape id="Freeform: Shape 49" style="position:absolute;top:7182;width:14494;height:7247;visibility:visible;mso-wrap-style:square;v-text-anchor:middle" coordsize="1449421,724701" o:spid="_x0000_s1029" fillcolor="#c4e7f6 [3209]" stroked="f" strokeweight=".1125mm" path="m724711,r724710,724661l724711,724701,,724661,724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v:stroke joinstyle="miter"/>
                <v:path arrowok="t" o:connecttype="custom" o:connectlocs="724711,0;1449421,724660;724711,724700;0,724660;724711,0" o:connectangles="0,0,0,0,0"/>
              </v:shape>
              <v:shape id="Freeform: Shape 50" style="position:absolute;left:14494;top:7182;width:14495;height:7247;visibility:visible;mso-wrap-style:square;v-text-anchor:middle" coordsize="1449461,724701" o:spid="_x0000_s1030" fillcolor="#98d5ef [3208]" stroked="f" strokeweight=".1125mm" path="m1449462,724701l,724701,724751,r724711,724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646899">
      <w:rPr>
        <w:rFonts w:asciiTheme="majorHAnsi" w:hAnsiTheme="majorHAnsi"/>
      </w:rPr>
      <w:t>Supporting Best Practice</w:t>
    </w:r>
    <w:r w:rsidRPr="009057A9">
      <w:rPr>
        <w:rFonts w:asciiTheme="majorHAnsi" w:hAnsiTheme="majorHAnsi"/>
      </w:rP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14:paraId="7B9252D3" w14:textId="77777777" w:rsidR="00036D89" w:rsidRPr="00546AED" w:rsidRDefault="00036D89" w:rsidP="00036D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831A" w14:textId="0A4A7336" w:rsidR="00CD7B88" w:rsidRDefault="00CD7B88" w:rsidP="00036D89">
    <w:pPr>
      <w:pStyle w:val="Footer"/>
      <w:tabs>
        <w:tab w:val="clear" w:pos="9026"/>
        <w:tab w:val="right" w:pos="9090"/>
      </w:tabs>
      <w:spacing w:before="60"/>
      <w:ind w:right="-158"/>
    </w:pPr>
    <w:r>
      <mc:AlternateContent>
        <mc:Choice Requires="wpg">
          <w:drawing>
            <wp:anchor distT="0" distB="0" distL="114300" distR="114300" simplePos="0" relativeHeight="251662342" behindDoc="1" locked="0" layoutInCell="1" allowOverlap="1" wp14:anchorId="45E115D4" wp14:editId="670F3031">
              <wp:simplePos x="0" y="0"/>
              <wp:positionH relativeFrom="page">
                <wp:posOffset>5725795</wp:posOffset>
              </wp:positionH>
              <wp:positionV relativeFrom="page">
                <wp:posOffset>9762818</wp:posOffset>
              </wp:positionV>
              <wp:extent cx="1859016" cy="928223"/>
              <wp:effectExtent l="0" t="19050" r="8255" b="571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10" name="Freeform: Shape 10"/>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45" style="position:absolute;margin-left:450.85pt;margin-top:768.75pt;width:146.4pt;height:73.1pt;z-index:-251658238;mso-position-horizontal-relative:page;mso-position-vertical-relative:page;mso-width-relative:margin;mso-height-relative:margin" alt="&quot;&quot;" coordsize="28989,14494" o:spid="_x0000_s1026" w14:anchorId="50CC4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">
              <v:shape id="Freeform: Shape 10" style="position:absolute;left:9369;top:2122;width:10250;height:10249;rotation:-45;visibility:visible;mso-wrap-style:square;v-text-anchor:middle" coordsize="1024933,1024862" o:spid="_x0000_s1027" fillcolor="#71c5e8 [3204]" stroked="f" strokeweight=".1125mm" path="m,l1024933,r,1024863l,1024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">
                <v:stroke joinstyle="miter"/>
                <v:path arrowok="t" o:connecttype="custom" o:connectlocs="0,0;1024933,0;1024933,1024863;0,1024863" o:connectangles="0,0,0,0"/>
              </v:shape>
              <v:shape id="Freeform: Shape 11" style="position:absolute;left:21742;width:7247;height:14494;visibility:visible;mso-wrap-style:square;v-text-anchor:middle" coordsize="724751,1449402" o:spid="_x0000_s1028" fillcolor="#c4e7f6 [3209]" stroked="f" strokeweight=".1125mm" path="m724751,r-40,1449402l,724701,724711,r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">
                <v:stroke joinstyle="miter"/>
                <v:path arrowok="t" o:connecttype="custom" o:connectlocs="724751,0;724711,1449402;0,724701;724711,0;724751,0" o:connectangles="0,0,0,0,0"/>
              </v:shape>
              <v:shape id="Freeform: Shape 15" style="position:absolute;top:7182;width:14494;height:7247;visibility:visible;mso-wrap-style:square;v-text-anchor:middle" coordsize="1449421,724701" o:spid="_x0000_s1029" fillcolor="#c4e7f6 [3209]" stroked="f" strokeweight=".1125mm" path="m724711,r724710,724661l724711,724701,,724661,724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">
                <v:stroke joinstyle="miter"/>
                <v:path arrowok="t" o:connecttype="custom" o:connectlocs="724711,0;1449421,724660;724711,724700;0,724660;724711,0" o:connectangles="0,0,0,0,0"/>
              </v:shape>
              <v:shape id="Freeform: Shape 16" style="position:absolute;left:14494;top:7182;width:14495;height:7247;visibility:visible;mso-wrap-style:square;v-text-anchor:middle" coordsize="1449461,724701" o:spid="_x0000_s1030" fillcolor="#98d5ef [3208]" stroked="f" strokeweight=".1125mm" path="m1449462,724701l,724701,724751,r724711,724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">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646899">
      <w:rPr>
        <w:rFonts w:asciiTheme="majorHAnsi" w:hAnsiTheme="majorHAnsi"/>
      </w:rPr>
      <w:t>Supporting Best Practice</w:t>
    </w:r>
    <w:r w:rsidRPr="009057A9">
      <w:rPr>
        <w:rFonts w:asciiTheme="majorHAnsi" w:hAnsiTheme="majorHAnsi"/>
      </w:rP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14:paraId="76DC53CF" w14:textId="77777777" w:rsidR="00CD7B88" w:rsidRPr="00546AED" w:rsidRDefault="00CD7B88" w:rsidP="00036D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91BD" w14:textId="77777777" w:rsidR="00DC0F10" w:rsidRPr="00DC0F10" w:rsidRDefault="00B06ED4" w:rsidP="00DC0F10">
    <w:pPr>
      <w:pStyle w:val="Footer"/>
    </w:pPr>
    <w:r>
      <mc:AlternateContent>
        <mc:Choice Requires="wpg">
          <w:drawing>
            <wp:anchor distT="0" distB="0" distL="114300" distR="114300" simplePos="0" relativeHeight="251658240" behindDoc="0" locked="0" layoutInCell="1" allowOverlap="1" wp14:anchorId="4CB8C142" wp14:editId="66DAEBAC">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dec="http://schemas.microsoft.com/office/drawing/2017/decorative" xmlns:arto="http://schemas.microsoft.com/office/word/2006/arto">
          <w:pict>
            <v:group id="Group 8" style="position:absolute;margin-left:-84.95pt;margin-top:-619.85pt;width:708.65pt;height:708.65pt;z-index:251658240" alt="&quot;&quot;" coordsize="89998,89998" o:spid="_x0000_s1026" w14:anchorId="7B85B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textboxrect="1800,12600,12600,19800" gradientshapeok="t" o:connecttype="custom" o:connectlocs="0,0;0,10800;0,21600;10800,21600;21600,21600;10800,10800"/>
              </v:shapetype>
              <v:shape id="Right Triangle 12" style="position:absolute;width:89998;height:89998;rotation:-90;flip:x;visibility:visible;mso-wrap-style:square;v-text-anchor:middle" o:spid="_x0000_s1027" fillcolor="#87189d [3207]"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v:shape id="Right Triangle 13" style="position:absolute;top:44958;width:44996;height:44996;rotation:-90;flip:x;visibility:visible;mso-wrap-style:square;v-text-anchor:middle" o:spid="_x0000_s1028" fillcolor="#1f2a44"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v:shape id="Right Triangle 14" style="position:absolute;left:12573;top:24384;width:62998;height:62998;flip:x;visibility:visible;mso-wrap-style:square;v-text-anchor:middle" o:spid="_x0000_s1029" fillcolor="#71c5e8 [3204]"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v:group>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F271" w14:textId="77777777" w:rsidR="00546AED" w:rsidRPr="00546AED" w:rsidRDefault="00715163" w:rsidP="00546AED">
    <w:pPr>
      <w:pStyle w:val="Footer"/>
    </w:pPr>
    <w:r>
      <mc:AlternateContent>
        <mc:Choice Requires="wpg">
          <w:drawing>
            <wp:anchor distT="0" distB="0" distL="114300" distR="114300" simplePos="0" relativeHeight="251658246" behindDoc="1" locked="1" layoutInCell="1" allowOverlap="1" wp14:anchorId="7790187F" wp14:editId="3FE8BC98">
              <wp:simplePos x="0" y="0"/>
              <wp:positionH relativeFrom="page">
                <wp:posOffset>-6350</wp:posOffset>
              </wp:positionH>
              <wp:positionV relativeFrom="page">
                <wp:posOffset>5645150</wp:posOffset>
              </wp:positionV>
              <wp:extent cx="7574280" cy="5056505"/>
              <wp:effectExtent l="0" t="0" r="7620" b="2984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4280" cy="5056505"/>
                        <a:chOff x="4761" y="0"/>
                        <a:chExt cx="7572834" cy="5054542"/>
                      </a:xfrm>
                    </wpg:grpSpPr>
                    <wps:wsp>
                      <wps:cNvPr id="3" name="Freeform: Shape 3"/>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7"/>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9"/>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oup 1" style="position:absolute;margin-left:-.5pt;margin-top:444.5pt;width:596.4pt;height:398.15pt;flip:x;z-index:-251658234;mso-position-horizontal-relative:page;mso-position-vertical-relative:page;mso-width-relative:margin;mso-height-relative:margin" alt="&quot;&quot;" coordsize="75728,50545" coordorigin="47" o:spid="_x0000_s1026" w14:anchorId="16C28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">
              <v:shape id="Freeform: Shape 3" style="position:absolute;left:32539;top:7542;width:35741;height:35740;rotation:-45;visibility:visible;mso-wrap-style:square;v-text-anchor:middle" coordsize="3574033,3574033" o:spid="_x0000_s1027" fillcolor="#71c5e8 [3204]" stroked="f" strokeweight=".39244mm" path="m,l3574033,r,3574034l,35740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">
                <v:stroke joinstyle="miter"/>
                <v:path arrowok="t" o:connecttype="custom" o:connectlocs="0,0;3574033,0;3574033,3574034;0,3574034" o:connectangles="0,0,0,0"/>
              </v:shape>
              <v:shape id="Freeform: Shape 6" style="position:absolute;left:190;width:25273;height:50545;visibility:visible;mso-wrap-style:square;v-text-anchor:middle" coordsize="2527271,5054542" o:spid="_x0000_s1028" fillcolor="#c4e7f6 [3209]" stroked="f" strokeweight=".39244mm" path="m,l,5054543,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">
                <v:stroke joinstyle="miter"/>
                <v:path arrowok="t" o:connecttype="custom" o:connectlocs="0,0;0,5054543;2527272,2527271;0,0;0,0" o:connectangles="0,0,0,0,0"/>
              </v:shape>
              <v:shape id="Freeform: Shape 7" style="position:absolute;left:47;top:25199;width:50546;height:25272;visibility:visible;mso-wrap-style:square;v-text-anchor:middle" coordsize="5054542,2527271" o:spid="_x0000_s1029" fillcolor="#98d5ef [3208]" stroked="f" strokeweight=".39244mm" path="m,2527271r5054543,l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">
                <v:stroke joinstyle="miter"/>
                <v:path arrowok="t" o:connecttype="custom" o:connectlocs="0,2527271;5054543,2527271;2527272,0;0,2527271" o:connectangles="0,0,0,0"/>
              </v:shape>
              <v:shape id="Freeform: Shape 9" style="position:absolute;left:50504;top:25272;width:25271;height:25273;visibility:visible;mso-wrap-style:square;v-text-anchor:middle" coordsize="2527130,2527271" o:spid="_x0000_s1030" fillcolor="#c4e7f6 [3209]" stroked="f" strokeweight=".39244mm" path="m,2527130r2527131,141l2527131,,,252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">
                <v:stroke joinstyle="miter"/>
                <v:path arrowok="t" o:connecttype="custom" o:connectlocs="0,2527130;2527131,2527271;2527131,0;0,2527130" o:connectangles="0,0,0,0"/>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8306" w14:textId="77777777" w:rsidR="00816008" w:rsidRDefault="00816008" w:rsidP="00C671DA">
      <w:pPr>
        <w:spacing w:after="0" w:line="240" w:lineRule="auto"/>
      </w:pPr>
      <w:r>
        <w:separator/>
      </w:r>
    </w:p>
  </w:footnote>
  <w:footnote w:type="continuationSeparator" w:id="0">
    <w:p w14:paraId="0164E607" w14:textId="77777777" w:rsidR="00816008" w:rsidRDefault="00816008" w:rsidP="00C671DA">
      <w:pPr>
        <w:spacing w:after="0" w:line="240" w:lineRule="auto"/>
      </w:pPr>
      <w:r>
        <w:continuationSeparator/>
      </w:r>
    </w:p>
  </w:footnote>
  <w:footnote w:type="continuationNotice" w:id="1">
    <w:p w14:paraId="275F80D7" w14:textId="77777777" w:rsidR="00816008" w:rsidRDefault="00816008">
      <w:pPr>
        <w:spacing w:before="0" w:after="0" w:line="240" w:lineRule="auto"/>
      </w:pPr>
    </w:p>
  </w:footnote>
  <w:footnote w:id="2">
    <w:p w14:paraId="2A4BAB12" w14:textId="64980991" w:rsidR="00BD7CEE" w:rsidRPr="00BD7CEE" w:rsidRDefault="00BD7CEE" w:rsidP="00BD7CEE">
      <w:pPr>
        <w:spacing w:before="60" w:after="60" w:line="254" w:lineRule="auto"/>
        <w:rPr>
          <w:sz w:val="18"/>
          <w:szCs w:val="18"/>
        </w:rPr>
      </w:pPr>
      <w:r w:rsidRPr="004235B9">
        <w:rPr>
          <w:rStyle w:val="FootnoteReference"/>
          <w:sz w:val="18"/>
          <w:szCs w:val="18"/>
        </w:rPr>
        <w:footnoteRef/>
      </w:r>
      <w:r w:rsidRPr="004235B9">
        <w:rPr>
          <w:sz w:val="18"/>
          <w:szCs w:val="18"/>
        </w:rPr>
        <w:t xml:space="preserve"> </w:t>
      </w:r>
      <w:r w:rsidRPr="004235B9">
        <w:rPr>
          <w:sz w:val="16"/>
          <w:szCs w:val="16"/>
        </w:rPr>
        <w:t xml:space="preserve">Guidance can also be sourced from public sector commissions in </w:t>
      </w:r>
      <w:hyperlink r:id="rId1" w:history="1">
        <w:r w:rsidRPr="004235B9">
          <w:rPr>
            <w:rStyle w:val="Hyperlink"/>
            <w:sz w:val="18"/>
            <w:szCs w:val="18"/>
          </w:rPr>
          <w:t>Western Australia</w:t>
        </w:r>
      </w:hyperlink>
      <w:r w:rsidRPr="004235B9">
        <w:rPr>
          <w:sz w:val="16"/>
          <w:szCs w:val="16"/>
        </w:rPr>
        <w:t xml:space="preserve">, </w:t>
      </w:r>
      <w:hyperlink r:id="rId2" w:history="1">
        <w:r w:rsidRPr="004235B9">
          <w:rPr>
            <w:rStyle w:val="Hyperlink"/>
            <w:sz w:val="18"/>
            <w:szCs w:val="18"/>
          </w:rPr>
          <w:t>Queensland</w:t>
        </w:r>
      </w:hyperlink>
      <w:r w:rsidRPr="004235B9">
        <w:rPr>
          <w:sz w:val="16"/>
          <w:szCs w:val="16"/>
        </w:rPr>
        <w:t xml:space="preserve">, </w:t>
      </w:r>
      <w:hyperlink r:id="rId3" w:history="1">
        <w:r w:rsidRPr="004235B9">
          <w:rPr>
            <w:rStyle w:val="Hyperlink"/>
            <w:sz w:val="16"/>
            <w:szCs w:val="16"/>
          </w:rPr>
          <w:t>New South Wales</w:t>
        </w:r>
      </w:hyperlink>
      <w:r w:rsidRPr="004235B9">
        <w:rPr>
          <w:sz w:val="16"/>
          <w:szCs w:val="16"/>
        </w:rPr>
        <w:t xml:space="preserve"> and federal authorities such as </w:t>
      </w:r>
      <w:hyperlink r:id="rId4" w:history="1">
        <w:r w:rsidRPr="004235B9">
          <w:rPr>
            <w:rStyle w:val="Hyperlink"/>
            <w:sz w:val="16"/>
            <w:szCs w:val="16"/>
          </w:rPr>
          <w:t>Australia National Audit Office</w:t>
        </w:r>
      </w:hyperlink>
      <w:r w:rsidRPr="004235B9">
        <w:rPr>
          <w:sz w:val="16"/>
          <w:szCs w:val="16"/>
        </w:rPr>
        <w:t xml:space="preserve">, </w:t>
      </w:r>
      <w:hyperlink r:id="rId5" w:history="1">
        <w:r w:rsidRPr="004235B9">
          <w:rPr>
            <w:rStyle w:val="Hyperlink"/>
            <w:sz w:val="16"/>
            <w:szCs w:val="16"/>
          </w:rPr>
          <w:t>ACNC</w:t>
        </w:r>
      </w:hyperlink>
      <w:r w:rsidRPr="004235B9">
        <w:rPr>
          <w:sz w:val="16"/>
          <w:szCs w:val="16"/>
        </w:rPr>
        <w:t xml:space="preserve"> and </w:t>
      </w:r>
      <w:hyperlink r:id="rId6" w:history="1">
        <w:r w:rsidRPr="004235B9">
          <w:rPr>
            <w:rStyle w:val="Hyperlink"/>
            <w:sz w:val="16"/>
            <w:szCs w:val="16"/>
          </w:rPr>
          <w:t>AHPRA</w:t>
        </w:r>
      </w:hyperlink>
      <w:r w:rsidRPr="004235B9">
        <w:rPr>
          <w:sz w:val="16"/>
          <w:szCs w:val="16"/>
        </w:rPr>
        <w:t>.</w:t>
      </w:r>
    </w:p>
  </w:footnote>
  <w:footnote w:id="3">
    <w:p w14:paraId="4B1704F4" w14:textId="7D1E90D7" w:rsidR="002109F1" w:rsidRDefault="002109F1" w:rsidP="002109F1">
      <w:pPr>
        <w:pStyle w:val="FootnoteText"/>
      </w:pPr>
      <w:r w:rsidRPr="00232621">
        <w:rPr>
          <w:rStyle w:val="FootnoteReference"/>
          <w:sz w:val="16"/>
          <w:szCs w:val="16"/>
        </w:rPr>
        <w:footnoteRef/>
      </w:r>
      <w:r w:rsidRPr="00232621">
        <w:rPr>
          <w:sz w:val="16"/>
          <w:szCs w:val="16"/>
        </w:rPr>
        <w:t xml:space="preserve"> </w:t>
      </w:r>
      <w:r w:rsidRPr="00CE27A3">
        <w:rPr>
          <w:i/>
          <w:iCs/>
          <w:sz w:val="14"/>
          <w:szCs w:val="16"/>
          <w:lang w:val="en-GB"/>
        </w:rPr>
        <w:t>Towards Best Practice</w:t>
      </w:r>
      <w:r w:rsidRPr="00232621">
        <w:rPr>
          <w:sz w:val="14"/>
          <w:szCs w:val="16"/>
          <w:lang w:val="en-GB"/>
        </w:rPr>
        <w:t xml:space="preserve"> </w:t>
      </w:r>
      <w:r>
        <w:rPr>
          <w:sz w:val="14"/>
          <w:szCs w:val="16"/>
          <w:lang w:val="en-GB"/>
        </w:rPr>
        <w:t xml:space="preserve">uses </w:t>
      </w:r>
      <w:r w:rsidRPr="00232621">
        <w:rPr>
          <w:sz w:val="14"/>
          <w:szCs w:val="16"/>
          <w:lang w:val="en-GB"/>
        </w:rPr>
        <w:t xml:space="preserve">the term 'duty holder' to refer </w:t>
      </w:r>
      <w:r>
        <w:rPr>
          <w:sz w:val="14"/>
          <w:szCs w:val="16"/>
          <w:lang w:val="en-GB"/>
        </w:rPr>
        <w:t xml:space="preserve">to entities </w:t>
      </w:r>
      <w:r w:rsidRPr="00232621">
        <w:rPr>
          <w:sz w:val="14"/>
          <w:szCs w:val="16"/>
          <w:lang w:val="en-GB"/>
        </w:rPr>
        <w:t>who have obligations</w:t>
      </w:r>
      <w:r>
        <w:rPr>
          <w:sz w:val="14"/>
          <w:szCs w:val="16"/>
          <w:lang w:val="en-GB"/>
        </w:rPr>
        <w:t>,</w:t>
      </w:r>
      <w:r w:rsidRPr="00232621">
        <w:rPr>
          <w:sz w:val="14"/>
          <w:szCs w:val="16"/>
          <w:lang w:val="en-GB"/>
        </w:rPr>
        <w:t xml:space="preserve"> </w:t>
      </w:r>
      <w:r>
        <w:rPr>
          <w:sz w:val="14"/>
          <w:szCs w:val="16"/>
          <w:lang w:val="en-GB"/>
        </w:rPr>
        <w:t xml:space="preserve">which </w:t>
      </w:r>
      <w:r w:rsidRPr="00232621">
        <w:rPr>
          <w:sz w:val="14"/>
          <w:szCs w:val="16"/>
          <w:lang w:val="en-GB"/>
        </w:rPr>
        <w:t>may be used by different parties (</w:t>
      </w:r>
      <w:r w:rsidR="00D35C4A">
        <w:rPr>
          <w:sz w:val="14"/>
          <w:szCs w:val="16"/>
          <w:lang w:val="en-GB"/>
        </w:rPr>
        <w:t>e.g.</w:t>
      </w:r>
      <w:r w:rsidRPr="00232621">
        <w:rPr>
          <w:sz w:val="14"/>
          <w:szCs w:val="16"/>
          <w:lang w:val="en-GB"/>
        </w:rPr>
        <w:t xml:space="preserve"> government, not-for-profit, community, or industry) to influence behaviour</w:t>
      </w:r>
      <w:r>
        <w:rPr>
          <w:sz w:val="14"/>
          <w:szCs w:val="16"/>
          <w:lang w:val="en-GB"/>
        </w:rPr>
        <w:t>,</w:t>
      </w:r>
      <w:r w:rsidRPr="00232621">
        <w:rPr>
          <w:sz w:val="14"/>
          <w:szCs w:val="16"/>
          <w:lang w:val="en-GB"/>
        </w:rPr>
        <w:t xml:space="preserve"> or </w:t>
      </w:r>
      <w:r>
        <w:rPr>
          <w:sz w:val="14"/>
          <w:szCs w:val="16"/>
          <w:lang w:val="en-GB"/>
        </w:rPr>
        <w:t xml:space="preserve">be </w:t>
      </w:r>
      <w:r w:rsidRPr="00232621">
        <w:rPr>
          <w:sz w:val="14"/>
          <w:szCs w:val="16"/>
          <w:lang w:val="en-GB"/>
        </w:rPr>
        <w:t xml:space="preserve">acted on by government. Duty holders, or 'regulated entities' may be businesses, government, or the broader community. </w:t>
      </w:r>
      <w:r>
        <w:rPr>
          <w:sz w:val="14"/>
          <w:szCs w:val="16"/>
          <w:lang w:val="en-GB"/>
        </w:rPr>
        <w:t>R</w:t>
      </w:r>
      <w:r w:rsidRPr="00232621">
        <w:rPr>
          <w:sz w:val="14"/>
          <w:szCs w:val="16"/>
          <w:lang w:val="en-GB"/>
        </w:rPr>
        <w:t>egulator</w:t>
      </w:r>
      <w:r>
        <w:rPr>
          <w:sz w:val="14"/>
          <w:szCs w:val="16"/>
          <w:lang w:val="en-GB"/>
        </w:rPr>
        <w:t>s</w:t>
      </w:r>
      <w:r w:rsidRPr="00232621">
        <w:rPr>
          <w:sz w:val="14"/>
          <w:szCs w:val="16"/>
          <w:lang w:val="en-GB"/>
        </w:rPr>
        <w:t xml:space="preserve"> might adopt different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D870" w14:textId="2C29651D" w:rsidR="002F7477" w:rsidRDefault="002F7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402C" w14:textId="10E3D913" w:rsidR="007F29C2" w:rsidRDefault="00615803">
    <w:pPr>
      <w:pStyle w:val="Header"/>
    </w:pPr>
    <w:r>
      <w:rPr>
        <w:noProof/>
      </w:rPr>
      <mc:AlternateContent>
        <mc:Choice Requires="wps">
          <w:drawing>
            <wp:anchor distT="0" distB="0" distL="114300" distR="114300" simplePos="0" relativeHeight="251658243" behindDoc="1" locked="0" layoutInCell="1" allowOverlap="1" wp14:anchorId="6141F91A" wp14:editId="21697FF6">
              <wp:simplePos x="0" y="0"/>
              <wp:positionH relativeFrom="page">
                <wp:align>left</wp:align>
              </wp:positionH>
              <wp:positionV relativeFrom="paragraph">
                <wp:posOffset>-713016</wp:posOffset>
              </wp:positionV>
              <wp:extent cx="7552944" cy="10661904"/>
              <wp:effectExtent l="0" t="0" r="0" b="6350"/>
              <wp:wrapNone/>
              <wp:docPr id="23" name="Rectangle 23"/>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3" style="position:absolute;margin-left:0;margin-top:-56.15pt;width:594.7pt;height:839.5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f2a44 [3215]" stroked="f" strokeweight="1pt" w14:anchorId="5493A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">
              <w10:wrap anchorx="page"/>
            </v:rect>
          </w:pict>
        </mc:Fallback>
      </mc:AlternateContent>
    </w:r>
    <w:r w:rsidR="007F29C2">
      <w:rPr>
        <w:noProof/>
      </w:rPr>
      <w:drawing>
        <wp:inline distT="0" distB="0" distL="0" distR="0" wp14:anchorId="5A54F8E0" wp14:editId="16CE8B6B">
          <wp:extent cx="2730593" cy="624847"/>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0593" cy="6248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D006" w14:textId="77777777" w:rsidR="0056116C" w:rsidRPr="007F29C2" w:rsidRDefault="0056116C" w:rsidP="007F29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A8AD" w14:textId="77777777" w:rsidR="000E063E" w:rsidRDefault="000E063E" w:rsidP="003A5CA0">
    <w:pPr>
      <w:pStyle w:val="Header"/>
    </w:pPr>
    <w:r>
      <w:rPr>
        <w:noProof/>
      </w:rPr>
      <w:drawing>
        <wp:inline distT="0" distB="0" distL="0" distR="0" wp14:anchorId="054A6683" wp14:editId="124B75E0">
          <wp:extent cx="541165" cy="720000"/>
          <wp:effectExtent l="0" t="0" r="0"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C643" w14:textId="77777777" w:rsidR="00C671DA" w:rsidRDefault="00C671DA" w:rsidP="00B001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8ADF" w14:textId="77777777" w:rsidR="00DC0F10" w:rsidRPr="00DC0F10" w:rsidRDefault="00DC0F10" w:rsidP="00DC0F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A5F5" w14:textId="71F96E2F" w:rsidR="00546AED" w:rsidRPr="00546AED" w:rsidRDefault="00615803" w:rsidP="00546AED">
    <w:pPr>
      <w:pStyle w:val="Header"/>
    </w:pPr>
    <w:r>
      <w:rPr>
        <w:noProof/>
      </w:rPr>
      <mc:AlternateContent>
        <mc:Choice Requires="wps">
          <w:drawing>
            <wp:anchor distT="0" distB="0" distL="114300" distR="114300" simplePos="0" relativeHeight="251658245" behindDoc="1" locked="0" layoutInCell="1" allowOverlap="1" wp14:anchorId="7F3C6766" wp14:editId="6DDF17B1">
              <wp:simplePos x="0" y="0"/>
              <wp:positionH relativeFrom="page">
                <wp:align>left</wp:align>
              </wp:positionH>
              <wp:positionV relativeFrom="paragraph">
                <wp:posOffset>-361433</wp:posOffset>
              </wp:positionV>
              <wp:extent cx="7552944" cy="10661904"/>
              <wp:effectExtent l="0" t="0" r="0" b="6350"/>
              <wp:wrapNone/>
              <wp:docPr id="24" name="Rectangle 24"/>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24" style="position:absolute;margin-left:0;margin-top:-28.45pt;width:594.7pt;height:839.5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f2a44 [3215]" stroked="f" strokeweight="1pt" w14:anchorId="59D5D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2"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357FBB"/>
    <w:multiLevelType w:val="hybridMultilevel"/>
    <w:tmpl w:val="91143516"/>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9E3D96"/>
    <w:multiLevelType w:val="hybridMultilevel"/>
    <w:tmpl w:val="F6165D72"/>
    <w:lvl w:ilvl="0" w:tplc="53426FA2">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BC0E06"/>
    <w:multiLevelType w:val="hybridMultilevel"/>
    <w:tmpl w:val="69D2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0166C"/>
    <w:multiLevelType w:val="hybridMultilevel"/>
    <w:tmpl w:val="A0CA0840"/>
    <w:lvl w:ilvl="0" w:tplc="BEEC00B0">
      <w:start w:val="1"/>
      <w:numFmt w:val="bullet"/>
      <w:lvlText w:val="•"/>
      <w:lvlJc w:val="left"/>
      <w:pPr>
        <w:tabs>
          <w:tab w:val="num" w:pos="360"/>
        </w:tabs>
        <w:ind w:left="360" w:hanging="360"/>
      </w:pPr>
      <w:rPr>
        <w:rFonts w:ascii="Times New Roman" w:hAnsi="Times New Roman" w:hint="default"/>
      </w:rPr>
    </w:lvl>
    <w:lvl w:ilvl="1" w:tplc="D5B2B330" w:tentative="1">
      <w:start w:val="1"/>
      <w:numFmt w:val="bullet"/>
      <w:lvlText w:val="•"/>
      <w:lvlJc w:val="left"/>
      <w:pPr>
        <w:tabs>
          <w:tab w:val="num" w:pos="1080"/>
        </w:tabs>
        <w:ind w:left="1080" w:hanging="360"/>
      </w:pPr>
      <w:rPr>
        <w:rFonts w:ascii="Times New Roman" w:hAnsi="Times New Roman" w:hint="default"/>
      </w:rPr>
    </w:lvl>
    <w:lvl w:ilvl="2" w:tplc="D3EA3A56" w:tentative="1">
      <w:start w:val="1"/>
      <w:numFmt w:val="bullet"/>
      <w:lvlText w:val="•"/>
      <w:lvlJc w:val="left"/>
      <w:pPr>
        <w:tabs>
          <w:tab w:val="num" w:pos="1800"/>
        </w:tabs>
        <w:ind w:left="1800" w:hanging="360"/>
      </w:pPr>
      <w:rPr>
        <w:rFonts w:ascii="Times New Roman" w:hAnsi="Times New Roman" w:hint="default"/>
      </w:rPr>
    </w:lvl>
    <w:lvl w:ilvl="3" w:tplc="5BE4B1DC" w:tentative="1">
      <w:start w:val="1"/>
      <w:numFmt w:val="bullet"/>
      <w:lvlText w:val="•"/>
      <w:lvlJc w:val="left"/>
      <w:pPr>
        <w:tabs>
          <w:tab w:val="num" w:pos="2520"/>
        </w:tabs>
        <w:ind w:left="2520" w:hanging="360"/>
      </w:pPr>
      <w:rPr>
        <w:rFonts w:ascii="Times New Roman" w:hAnsi="Times New Roman" w:hint="default"/>
      </w:rPr>
    </w:lvl>
    <w:lvl w:ilvl="4" w:tplc="B7FE1CCE" w:tentative="1">
      <w:start w:val="1"/>
      <w:numFmt w:val="bullet"/>
      <w:lvlText w:val="•"/>
      <w:lvlJc w:val="left"/>
      <w:pPr>
        <w:tabs>
          <w:tab w:val="num" w:pos="3240"/>
        </w:tabs>
        <w:ind w:left="3240" w:hanging="360"/>
      </w:pPr>
      <w:rPr>
        <w:rFonts w:ascii="Times New Roman" w:hAnsi="Times New Roman" w:hint="default"/>
      </w:rPr>
    </w:lvl>
    <w:lvl w:ilvl="5" w:tplc="71EE18B8" w:tentative="1">
      <w:start w:val="1"/>
      <w:numFmt w:val="bullet"/>
      <w:lvlText w:val="•"/>
      <w:lvlJc w:val="left"/>
      <w:pPr>
        <w:tabs>
          <w:tab w:val="num" w:pos="3960"/>
        </w:tabs>
        <w:ind w:left="3960" w:hanging="360"/>
      </w:pPr>
      <w:rPr>
        <w:rFonts w:ascii="Times New Roman" w:hAnsi="Times New Roman" w:hint="default"/>
      </w:rPr>
    </w:lvl>
    <w:lvl w:ilvl="6" w:tplc="A1920F54" w:tentative="1">
      <w:start w:val="1"/>
      <w:numFmt w:val="bullet"/>
      <w:lvlText w:val="•"/>
      <w:lvlJc w:val="left"/>
      <w:pPr>
        <w:tabs>
          <w:tab w:val="num" w:pos="4680"/>
        </w:tabs>
        <w:ind w:left="4680" w:hanging="360"/>
      </w:pPr>
      <w:rPr>
        <w:rFonts w:ascii="Times New Roman" w:hAnsi="Times New Roman" w:hint="default"/>
      </w:rPr>
    </w:lvl>
    <w:lvl w:ilvl="7" w:tplc="59568E30" w:tentative="1">
      <w:start w:val="1"/>
      <w:numFmt w:val="bullet"/>
      <w:lvlText w:val="•"/>
      <w:lvlJc w:val="left"/>
      <w:pPr>
        <w:tabs>
          <w:tab w:val="num" w:pos="5400"/>
        </w:tabs>
        <w:ind w:left="5400" w:hanging="360"/>
      </w:pPr>
      <w:rPr>
        <w:rFonts w:ascii="Times New Roman" w:hAnsi="Times New Roman" w:hint="default"/>
      </w:rPr>
    </w:lvl>
    <w:lvl w:ilvl="8" w:tplc="441C4220"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0"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1"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12"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3" w15:restartNumberingAfterBreak="0">
    <w:nsid w:val="68F6758C"/>
    <w:multiLevelType w:val="multilevel"/>
    <w:tmpl w:val="76203B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16"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F51D20"/>
    <w:multiLevelType w:val="multilevel"/>
    <w:tmpl w:val="2C064994"/>
    <w:lvl w:ilvl="0">
      <w:start w:val="1"/>
      <w:numFmt w:val="bullet"/>
      <w:lvlText w:val=""/>
      <w:lvlJc w:val="left"/>
      <w:pPr>
        <w:tabs>
          <w:tab w:val="num" w:pos="360"/>
        </w:tabs>
        <w:ind w:left="851" w:hanging="567"/>
      </w:pPr>
      <w:rPr>
        <w:rFonts w:ascii="Symbol" w:hAnsi="Symbol" w:hint="default"/>
        <w:b w:val="0"/>
        <w:i w:val="0"/>
        <w:vanish w:val="0"/>
        <w:color w:val="auto"/>
        <w:sz w:val="22"/>
      </w:rPr>
    </w:lvl>
    <w:lvl w:ilvl="1">
      <w:start w:val="1"/>
      <w:numFmt w:val="bullet"/>
      <w:lvlText w:val="–"/>
      <w:lvlJc w:val="left"/>
      <w:pPr>
        <w:tabs>
          <w:tab w:val="num" w:pos="927"/>
        </w:tabs>
        <w:ind w:left="1418" w:hanging="567"/>
      </w:pPr>
      <w:rPr>
        <w:rFonts w:ascii="Calibri" w:hAnsi="Calibri" w:hint="default"/>
        <w:b w:val="0"/>
        <w:i w:val="0"/>
        <w:vanish w:val="0"/>
        <w:color w:val="auto"/>
        <w:sz w:val="22"/>
      </w:rPr>
    </w:lvl>
    <w:lvl w:ilvl="2">
      <w:start w:val="1"/>
      <w:numFmt w:val="bullet"/>
      <w:lvlText w:val=""/>
      <w:lvlJc w:val="left"/>
      <w:pPr>
        <w:tabs>
          <w:tab w:val="num" w:pos="1494"/>
        </w:tabs>
        <w:ind w:left="1985" w:hanging="567"/>
      </w:pPr>
      <w:rPr>
        <w:rFonts w:ascii="Symbol" w:hAnsi="Symbol" w:hint="default"/>
        <w:b w:val="0"/>
        <w:i w:val="0"/>
        <w:vanish w:val="0"/>
        <w:color w:val="auto"/>
        <w:sz w:val="22"/>
      </w:rPr>
    </w:lvl>
    <w:lvl w:ilvl="3">
      <w:start w:val="1"/>
      <w:numFmt w:val="bullet"/>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18"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97400260">
    <w:abstractNumId w:val="18"/>
  </w:num>
  <w:num w:numId="2" w16cid:durableId="2001959426">
    <w:abstractNumId w:val="14"/>
  </w:num>
  <w:num w:numId="3" w16cid:durableId="654063793">
    <w:abstractNumId w:val="1"/>
  </w:num>
  <w:num w:numId="4" w16cid:durableId="11804431">
    <w:abstractNumId w:val="0"/>
  </w:num>
  <w:num w:numId="5" w16cid:durableId="964848075">
    <w:abstractNumId w:val="2"/>
  </w:num>
  <w:num w:numId="6" w16cid:durableId="1526210862">
    <w:abstractNumId w:val="10"/>
  </w:num>
  <w:num w:numId="7" w16cid:durableId="1747148821">
    <w:abstractNumId w:val="13"/>
  </w:num>
  <w:num w:numId="8" w16cid:durableId="1622376322">
    <w:abstractNumId w:val="17"/>
  </w:num>
  <w:num w:numId="9" w16cid:durableId="766998982">
    <w:abstractNumId w:val="6"/>
  </w:num>
  <w:num w:numId="10" w16cid:durableId="351080329">
    <w:abstractNumId w:val="12"/>
  </w:num>
  <w:num w:numId="11" w16cid:durableId="1820263864">
    <w:abstractNumId w:val="17"/>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519322379">
    <w:abstractNumId w:val="11"/>
  </w:num>
  <w:num w:numId="13" w16cid:durableId="290786553">
    <w:abstractNumId w:val="15"/>
  </w:num>
  <w:num w:numId="14" w16cid:durableId="778333664">
    <w:abstractNumId w:val="9"/>
  </w:num>
  <w:num w:numId="15" w16cid:durableId="1939673555">
    <w:abstractNumId w:val="9"/>
  </w:num>
  <w:num w:numId="16" w16cid:durableId="1685135151">
    <w:abstractNumId w:val="9"/>
  </w:num>
  <w:num w:numId="17" w16cid:durableId="891037512">
    <w:abstractNumId w:val="9"/>
  </w:num>
  <w:num w:numId="18" w16cid:durableId="1535120515">
    <w:abstractNumId w:val="19"/>
  </w:num>
  <w:num w:numId="19" w16cid:durableId="757292050">
    <w:abstractNumId w:val="19"/>
  </w:num>
  <w:num w:numId="20" w16cid:durableId="675811965">
    <w:abstractNumId w:val="19"/>
  </w:num>
  <w:num w:numId="21" w16cid:durableId="419369676">
    <w:abstractNumId w:val="19"/>
  </w:num>
  <w:num w:numId="22" w16cid:durableId="1099957730">
    <w:abstractNumId w:val="19"/>
  </w:num>
  <w:num w:numId="23" w16cid:durableId="379595894">
    <w:abstractNumId w:val="19"/>
  </w:num>
  <w:num w:numId="24" w16cid:durableId="517937152">
    <w:abstractNumId w:val="19"/>
  </w:num>
  <w:num w:numId="25" w16cid:durableId="366757365">
    <w:abstractNumId w:val="19"/>
  </w:num>
  <w:num w:numId="26" w16cid:durableId="1468859027">
    <w:abstractNumId w:val="16"/>
  </w:num>
  <w:num w:numId="27" w16cid:durableId="155927911">
    <w:abstractNumId w:val="19"/>
  </w:num>
  <w:num w:numId="28" w16cid:durableId="739211660">
    <w:abstractNumId w:val="4"/>
  </w:num>
  <w:num w:numId="29" w16cid:durableId="194931985">
    <w:abstractNumId w:val="4"/>
  </w:num>
  <w:num w:numId="30" w16cid:durableId="1025640182">
    <w:abstractNumId w:val="4"/>
  </w:num>
  <w:num w:numId="31" w16cid:durableId="1908414112">
    <w:abstractNumId w:val="4"/>
  </w:num>
  <w:num w:numId="32" w16cid:durableId="1619723855">
    <w:abstractNumId w:val="14"/>
  </w:num>
  <w:num w:numId="33" w16cid:durableId="1832090641">
    <w:abstractNumId w:val="7"/>
  </w:num>
  <w:num w:numId="34" w16cid:durableId="1227761722">
    <w:abstractNumId w:val="5"/>
  </w:num>
  <w:num w:numId="35" w16cid:durableId="1496998331">
    <w:abstractNumId w:val="8"/>
  </w:num>
  <w:num w:numId="36" w16cid:durableId="146079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EE"/>
    <w:rsid w:val="00002702"/>
    <w:rsid w:val="00004BC5"/>
    <w:rsid w:val="00006799"/>
    <w:rsid w:val="00006A92"/>
    <w:rsid w:val="00012D24"/>
    <w:rsid w:val="00017347"/>
    <w:rsid w:val="0002280D"/>
    <w:rsid w:val="000346D4"/>
    <w:rsid w:val="00034757"/>
    <w:rsid w:val="0003521D"/>
    <w:rsid w:val="000363C1"/>
    <w:rsid w:val="00036D0E"/>
    <w:rsid w:val="00036D89"/>
    <w:rsid w:val="00037BE7"/>
    <w:rsid w:val="00037BFF"/>
    <w:rsid w:val="0004113F"/>
    <w:rsid w:val="00056891"/>
    <w:rsid w:val="00057974"/>
    <w:rsid w:val="000633D1"/>
    <w:rsid w:val="00064F45"/>
    <w:rsid w:val="00066E2B"/>
    <w:rsid w:val="00082B3E"/>
    <w:rsid w:val="00083C3B"/>
    <w:rsid w:val="00091754"/>
    <w:rsid w:val="00091A17"/>
    <w:rsid w:val="00093BD9"/>
    <w:rsid w:val="0009465B"/>
    <w:rsid w:val="000A1D68"/>
    <w:rsid w:val="000A497C"/>
    <w:rsid w:val="000A55D6"/>
    <w:rsid w:val="000B4699"/>
    <w:rsid w:val="000C4018"/>
    <w:rsid w:val="000C6745"/>
    <w:rsid w:val="000C7B71"/>
    <w:rsid w:val="000D1845"/>
    <w:rsid w:val="000D3BD0"/>
    <w:rsid w:val="000D3F9E"/>
    <w:rsid w:val="000E063E"/>
    <w:rsid w:val="000E154A"/>
    <w:rsid w:val="000E23B2"/>
    <w:rsid w:val="000E3292"/>
    <w:rsid w:val="000F2ECE"/>
    <w:rsid w:val="000F74BC"/>
    <w:rsid w:val="00111368"/>
    <w:rsid w:val="0012214A"/>
    <w:rsid w:val="00123568"/>
    <w:rsid w:val="001265EA"/>
    <w:rsid w:val="00127637"/>
    <w:rsid w:val="00130023"/>
    <w:rsid w:val="00132C3D"/>
    <w:rsid w:val="00134557"/>
    <w:rsid w:val="001371AC"/>
    <w:rsid w:val="00140706"/>
    <w:rsid w:val="001454B8"/>
    <w:rsid w:val="0014621E"/>
    <w:rsid w:val="001508B8"/>
    <w:rsid w:val="00151275"/>
    <w:rsid w:val="00154745"/>
    <w:rsid w:val="00160595"/>
    <w:rsid w:val="00162D12"/>
    <w:rsid w:val="00162FA9"/>
    <w:rsid w:val="00173A96"/>
    <w:rsid w:val="00173DA9"/>
    <w:rsid w:val="001748A8"/>
    <w:rsid w:val="00175D12"/>
    <w:rsid w:val="001777D3"/>
    <w:rsid w:val="00181371"/>
    <w:rsid w:val="0018498F"/>
    <w:rsid w:val="00184B94"/>
    <w:rsid w:val="00190935"/>
    <w:rsid w:val="001A1E52"/>
    <w:rsid w:val="001A4059"/>
    <w:rsid w:val="001A7C21"/>
    <w:rsid w:val="001B25F3"/>
    <w:rsid w:val="001B31E8"/>
    <w:rsid w:val="001B6B86"/>
    <w:rsid w:val="001B71DC"/>
    <w:rsid w:val="001C3A8B"/>
    <w:rsid w:val="001D3BC2"/>
    <w:rsid w:val="001E6AD2"/>
    <w:rsid w:val="001E7221"/>
    <w:rsid w:val="001F0578"/>
    <w:rsid w:val="001F247B"/>
    <w:rsid w:val="001F3C4A"/>
    <w:rsid w:val="001F65FC"/>
    <w:rsid w:val="002044FE"/>
    <w:rsid w:val="0020555A"/>
    <w:rsid w:val="00210457"/>
    <w:rsid w:val="002109F1"/>
    <w:rsid w:val="002118B0"/>
    <w:rsid w:val="002134A4"/>
    <w:rsid w:val="00222E04"/>
    <w:rsid w:val="00225987"/>
    <w:rsid w:val="0022697C"/>
    <w:rsid w:val="00243C69"/>
    <w:rsid w:val="00244593"/>
    <w:rsid w:val="0024654B"/>
    <w:rsid w:val="0025245D"/>
    <w:rsid w:val="00253D53"/>
    <w:rsid w:val="00255949"/>
    <w:rsid w:val="002569E3"/>
    <w:rsid w:val="00257C0B"/>
    <w:rsid w:val="002621AE"/>
    <w:rsid w:val="002622BE"/>
    <w:rsid w:val="00262AD4"/>
    <w:rsid w:val="00272036"/>
    <w:rsid w:val="00273E24"/>
    <w:rsid w:val="00274BAD"/>
    <w:rsid w:val="00275F92"/>
    <w:rsid w:val="002774A8"/>
    <w:rsid w:val="00280786"/>
    <w:rsid w:val="002815E0"/>
    <w:rsid w:val="00282137"/>
    <w:rsid w:val="00283BCD"/>
    <w:rsid w:val="002850ED"/>
    <w:rsid w:val="00285477"/>
    <w:rsid w:val="00290566"/>
    <w:rsid w:val="00290816"/>
    <w:rsid w:val="00293E58"/>
    <w:rsid w:val="00294700"/>
    <w:rsid w:val="00294B07"/>
    <w:rsid w:val="00295794"/>
    <w:rsid w:val="002A4997"/>
    <w:rsid w:val="002A7E12"/>
    <w:rsid w:val="002B1F39"/>
    <w:rsid w:val="002B3EA4"/>
    <w:rsid w:val="002B6143"/>
    <w:rsid w:val="002C1024"/>
    <w:rsid w:val="002C2064"/>
    <w:rsid w:val="002C3A7C"/>
    <w:rsid w:val="002C64E8"/>
    <w:rsid w:val="002C7522"/>
    <w:rsid w:val="002C7874"/>
    <w:rsid w:val="002D11A6"/>
    <w:rsid w:val="002D30F9"/>
    <w:rsid w:val="002D3FCB"/>
    <w:rsid w:val="002D4310"/>
    <w:rsid w:val="002D5BBB"/>
    <w:rsid w:val="002D6790"/>
    <w:rsid w:val="002D7574"/>
    <w:rsid w:val="002D7A2C"/>
    <w:rsid w:val="002E3636"/>
    <w:rsid w:val="002E41DB"/>
    <w:rsid w:val="002F0F67"/>
    <w:rsid w:val="002F7477"/>
    <w:rsid w:val="003012A6"/>
    <w:rsid w:val="00304265"/>
    <w:rsid w:val="00306B9F"/>
    <w:rsid w:val="003106C0"/>
    <w:rsid w:val="00310828"/>
    <w:rsid w:val="0031442B"/>
    <w:rsid w:val="00314BF9"/>
    <w:rsid w:val="00321CA2"/>
    <w:rsid w:val="0033177A"/>
    <w:rsid w:val="00336150"/>
    <w:rsid w:val="00337B09"/>
    <w:rsid w:val="00337C2D"/>
    <w:rsid w:val="00345061"/>
    <w:rsid w:val="003701C2"/>
    <w:rsid w:val="003717E0"/>
    <w:rsid w:val="00372772"/>
    <w:rsid w:val="00383D68"/>
    <w:rsid w:val="0038720C"/>
    <w:rsid w:val="003904A9"/>
    <w:rsid w:val="003955DE"/>
    <w:rsid w:val="00395D40"/>
    <w:rsid w:val="003A271F"/>
    <w:rsid w:val="003A3C0F"/>
    <w:rsid w:val="003A45F4"/>
    <w:rsid w:val="003A5CA0"/>
    <w:rsid w:val="003B09D6"/>
    <w:rsid w:val="003B2990"/>
    <w:rsid w:val="003B6813"/>
    <w:rsid w:val="003B7D90"/>
    <w:rsid w:val="003C186E"/>
    <w:rsid w:val="003C2280"/>
    <w:rsid w:val="003C513A"/>
    <w:rsid w:val="003D5C2E"/>
    <w:rsid w:val="003E28FF"/>
    <w:rsid w:val="003F6CA9"/>
    <w:rsid w:val="003F73B8"/>
    <w:rsid w:val="00405F26"/>
    <w:rsid w:val="004077A2"/>
    <w:rsid w:val="0041265D"/>
    <w:rsid w:val="00414042"/>
    <w:rsid w:val="004235B9"/>
    <w:rsid w:val="004239F1"/>
    <w:rsid w:val="00433E6D"/>
    <w:rsid w:val="00437262"/>
    <w:rsid w:val="004404E9"/>
    <w:rsid w:val="004407D7"/>
    <w:rsid w:val="00443752"/>
    <w:rsid w:val="00444A4E"/>
    <w:rsid w:val="00444BA3"/>
    <w:rsid w:val="0044689C"/>
    <w:rsid w:val="004561FE"/>
    <w:rsid w:val="00456662"/>
    <w:rsid w:val="004567C1"/>
    <w:rsid w:val="004573DB"/>
    <w:rsid w:val="00460217"/>
    <w:rsid w:val="004647D6"/>
    <w:rsid w:val="0046682A"/>
    <w:rsid w:val="00467D29"/>
    <w:rsid w:val="00476AD3"/>
    <w:rsid w:val="00480512"/>
    <w:rsid w:val="00485FC7"/>
    <w:rsid w:val="004902B8"/>
    <w:rsid w:val="00492553"/>
    <w:rsid w:val="004A7921"/>
    <w:rsid w:val="004B3C61"/>
    <w:rsid w:val="004B754D"/>
    <w:rsid w:val="004C518A"/>
    <w:rsid w:val="004C711A"/>
    <w:rsid w:val="004D026C"/>
    <w:rsid w:val="004D0CAE"/>
    <w:rsid w:val="004D3678"/>
    <w:rsid w:val="004F006E"/>
    <w:rsid w:val="004F0B1A"/>
    <w:rsid w:val="004F4E62"/>
    <w:rsid w:val="004F627D"/>
    <w:rsid w:val="004F7603"/>
    <w:rsid w:val="00501DA7"/>
    <w:rsid w:val="00507F89"/>
    <w:rsid w:val="00513C7B"/>
    <w:rsid w:val="005146B5"/>
    <w:rsid w:val="00515D54"/>
    <w:rsid w:val="005175A6"/>
    <w:rsid w:val="00527CD5"/>
    <w:rsid w:val="00530AE4"/>
    <w:rsid w:val="00534079"/>
    <w:rsid w:val="00535B47"/>
    <w:rsid w:val="00535DA1"/>
    <w:rsid w:val="00536B9E"/>
    <w:rsid w:val="0053788B"/>
    <w:rsid w:val="00541CE5"/>
    <w:rsid w:val="00546AED"/>
    <w:rsid w:val="00552DA1"/>
    <w:rsid w:val="00557B9B"/>
    <w:rsid w:val="0056116C"/>
    <w:rsid w:val="00561E28"/>
    <w:rsid w:val="00562D35"/>
    <w:rsid w:val="00564661"/>
    <w:rsid w:val="00564EEE"/>
    <w:rsid w:val="005704F2"/>
    <w:rsid w:val="00570C27"/>
    <w:rsid w:val="00572D94"/>
    <w:rsid w:val="00576366"/>
    <w:rsid w:val="00587931"/>
    <w:rsid w:val="00587B85"/>
    <w:rsid w:val="00593494"/>
    <w:rsid w:val="00595193"/>
    <w:rsid w:val="0059736D"/>
    <w:rsid w:val="005A0C1B"/>
    <w:rsid w:val="005B0681"/>
    <w:rsid w:val="005B4D3E"/>
    <w:rsid w:val="005C1BEA"/>
    <w:rsid w:val="005C41A6"/>
    <w:rsid w:val="005C4453"/>
    <w:rsid w:val="005C65AF"/>
    <w:rsid w:val="005D56E5"/>
    <w:rsid w:val="005E2736"/>
    <w:rsid w:val="005E6B19"/>
    <w:rsid w:val="005F57A5"/>
    <w:rsid w:val="00603403"/>
    <w:rsid w:val="00604147"/>
    <w:rsid w:val="00605EC0"/>
    <w:rsid w:val="00610A9A"/>
    <w:rsid w:val="00612D5E"/>
    <w:rsid w:val="00615803"/>
    <w:rsid w:val="00616A57"/>
    <w:rsid w:val="00623C11"/>
    <w:rsid w:val="0062740A"/>
    <w:rsid w:val="00631AD7"/>
    <w:rsid w:val="00631FD8"/>
    <w:rsid w:val="00633767"/>
    <w:rsid w:val="0063745D"/>
    <w:rsid w:val="00637A0E"/>
    <w:rsid w:val="0064016D"/>
    <w:rsid w:val="00646899"/>
    <w:rsid w:val="006478E9"/>
    <w:rsid w:val="00652EF0"/>
    <w:rsid w:val="006534AE"/>
    <w:rsid w:val="006605F3"/>
    <w:rsid w:val="00662424"/>
    <w:rsid w:val="006639D1"/>
    <w:rsid w:val="00663D62"/>
    <w:rsid w:val="00664112"/>
    <w:rsid w:val="006744FD"/>
    <w:rsid w:val="00677B70"/>
    <w:rsid w:val="00684A34"/>
    <w:rsid w:val="006A1A0D"/>
    <w:rsid w:val="006A744D"/>
    <w:rsid w:val="006A7B93"/>
    <w:rsid w:val="006B751E"/>
    <w:rsid w:val="006C2006"/>
    <w:rsid w:val="006D26AD"/>
    <w:rsid w:val="006D28F4"/>
    <w:rsid w:val="006D5A53"/>
    <w:rsid w:val="006D5E75"/>
    <w:rsid w:val="006E0B1E"/>
    <w:rsid w:val="006E0C81"/>
    <w:rsid w:val="006E2A70"/>
    <w:rsid w:val="006E47AA"/>
    <w:rsid w:val="006E4A93"/>
    <w:rsid w:val="006E5D13"/>
    <w:rsid w:val="006F732C"/>
    <w:rsid w:val="00704AE9"/>
    <w:rsid w:val="00706DE6"/>
    <w:rsid w:val="00710637"/>
    <w:rsid w:val="007106F9"/>
    <w:rsid w:val="00710A53"/>
    <w:rsid w:val="00715163"/>
    <w:rsid w:val="0071643A"/>
    <w:rsid w:val="00720A49"/>
    <w:rsid w:val="007210DF"/>
    <w:rsid w:val="00726345"/>
    <w:rsid w:val="007436BB"/>
    <w:rsid w:val="00746869"/>
    <w:rsid w:val="00746E84"/>
    <w:rsid w:val="00750891"/>
    <w:rsid w:val="00750CE1"/>
    <w:rsid w:val="00752844"/>
    <w:rsid w:val="00760B71"/>
    <w:rsid w:val="00761218"/>
    <w:rsid w:val="00761E15"/>
    <w:rsid w:val="00763D51"/>
    <w:rsid w:val="00767914"/>
    <w:rsid w:val="00770127"/>
    <w:rsid w:val="00770252"/>
    <w:rsid w:val="007710CD"/>
    <w:rsid w:val="00772404"/>
    <w:rsid w:val="0077247D"/>
    <w:rsid w:val="00773D1F"/>
    <w:rsid w:val="0077774E"/>
    <w:rsid w:val="007833CC"/>
    <w:rsid w:val="00786813"/>
    <w:rsid w:val="00787D89"/>
    <w:rsid w:val="0079007A"/>
    <w:rsid w:val="00791FED"/>
    <w:rsid w:val="00794FEE"/>
    <w:rsid w:val="007971B7"/>
    <w:rsid w:val="007A75BB"/>
    <w:rsid w:val="007A76C9"/>
    <w:rsid w:val="007B021A"/>
    <w:rsid w:val="007C74F6"/>
    <w:rsid w:val="007C78F0"/>
    <w:rsid w:val="007D007E"/>
    <w:rsid w:val="007D5754"/>
    <w:rsid w:val="007D57D9"/>
    <w:rsid w:val="007E1B94"/>
    <w:rsid w:val="007F0857"/>
    <w:rsid w:val="007F29C2"/>
    <w:rsid w:val="007F2B08"/>
    <w:rsid w:val="007F3731"/>
    <w:rsid w:val="007F7449"/>
    <w:rsid w:val="0081004F"/>
    <w:rsid w:val="00816008"/>
    <w:rsid w:val="008222C0"/>
    <w:rsid w:val="008240E1"/>
    <w:rsid w:val="00824127"/>
    <w:rsid w:val="00826E16"/>
    <w:rsid w:val="00832F67"/>
    <w:rsid w:val="00842EC0"/>
    <w:rsid w:val="00843531"/>
    <w:rsid w:val="0084509A"/>
    <w:rsid w:val="0084516D"/>
    <w:rsid w:val="00845919"/>
    <w:rsid w:val="0085301F"/>
    <w:rsid w:val="00855F67"/>
    <w:rsid w:val="00875078"/>
    <w:rsid w:val="00875A49"/>
    <w:rsid w:val="008762F3"/>
    <w:rsid w:val="00876920"/>
    <w:rsid w:val="0088155F"/>
    <w:rsid w:val="00881E3A"/>
    <w:rsid w:val="0088381D"/>
    <w:rsid w:val="00884709"/>
    <w:rsid w:val="00890E80"/>
    <w:rsid w:val="00892436"/>
    <w:rsid w:val="00897F12"/>
    <w:rsid w:val="008B1156"/>
    <w:rsid w:val="008C176B"/>
    <w:rsid w:val="008C416F"/>
    <w:rsid w:val="008C6CC7"/>
    <w:rsid w:val="008C6FC6"/>
    <w:rsid w:val="008C714E"/>
    <w:rsid w:val="008D0915"/>
    <w:rsid w:val="008D0ADA"/>
    <w:rsid w:val="008E476B"/>
    <w:rsid w:val="008E7057"/>
    <w:rsid w:val="008F0467"/>
    <w:rsid w:val="008F083C"/>
    <w:rsid w:val="008F14C1"/>
    <w:rsid w:val="008F2DED"/>
    <w:rsid w:val="008F7681"/>
    <w:rsid w:val="0090019F"/>
    <w:rsid w:val="009021E9"/>
    <w:rsid w:val="009057A9"/>
    <w:rsid w:val="00913688"/>
    <w:rsid w:val="00914DFC"/>
    <w:rsid w:val="009219EB"/>
    <w:rsid w:val="00921C38"/>
    <w:rsid w:val="00923DD2"/>
    <w:rsid w:val="00925515"/>
    <w:rsid w:val="00926575"/>
    <w:rsid w:val="00926E0B"/>
    <w:rsid w:val="00936AD6"/>
    <w:rsid w:val="0093795E"/>
    <w:rsid w:val="00944F23"/>
    <w:rsid w:val="00945CFD"/>
    <w:rsid w:val="00956CAE"/>
    <w:rsid w:val="00960767"/>
    <w:rsid w:val="0096162B"/>
    <w:rsid w:val="009637A2"/>
    <w:rsid w:val="0096492C"/>
    <w:rsid w:val="00972935"/>
    <w:rsid w:val="00972999"/>
    <w:rsid w:val="009729BA"/>
    <w:rsid w:val="00980079"/>
    <w:rsid w:val="00984ABA"/>
    <w:rsid w:val="00985745"/>
    <w:rsid w:val="00992B7C"/>
    <w:rsid w:val="009A2F99"/>
    <w:rsid w:val="009A4987"/>
    <w:rsid w:val="009A6494"/>
    <w:rsid w:val="009B7023"/>
    <w:rsid w:val="009C0544"/>
    <w:rsid w:val="009C148B"/>
    <w:rsid w:val="009C151E"/>
    <w:rsid w:val="009C5172"/>
    <w:rsid w:val="009C6E55"/>
    <w:rsid w:val="009C7EEA"/>
    <w:rsid w:val="009D189E"/>
    <w:rsid w:val="009D769D"/>
    <w:rsid w:val="009E29FD"/>
    <w:rsid w:val="009E62CB"/>
    <w:rsid w:val="009F1144"/>
    <w:rsid w:val="009F4C19"/>
    <w:rsid w:val="009F53A6"/>
    <w:rsid w:val="009F701C"/>
    <w:rsid w:val="00A0014D"/>
    <w:rsid w:val="00A004CC"/>
    <w:rsid w:val="00A065BC"/>
    <w:rsid w:val="00A1279A"/>
    <w:rsid w:val="00A1552D"/>
    <w:rsid w:val="00A16179"/>
    <w:rsid w:val="00A16B0E"/>
    <w:rsid w:val="00A21B6D"/>
    <w:rsid w:val="00A32076"/>
    <w:rsid w:val="00A3340F"/>
    <w:rsid w:val="00A35757"/>
    <w:rsid w:val="00A35FBA"/>
    <w:rsid w:val="00A36E22"/>
    <w:rsid w:val="00A402B4"/>
    <w:rsid w:val="00A402BE"/>
    <w:rsid w:val="00A43B96"/>
    <w:rsid w:val="00A44A5C"/>
    <w:rsid w:val="00A47BFC"/>
    <w:rsid w:val="00A50F28"/>
    <w:rsid w:val="00A52E3C"/>
    <w:rsid w:val="00A53658"/>
    <w:rsid w:val="00A53AD8"/>
    <w:rsid w:val="00A6052F"/>
    <w:rsid w:val="00A62C3F"/>
    <w:rsid w:val="00A6393A"/>
    <w:rsid w:val="00A70909"/>
    <w:rsid w:val="00A76433"/>
    <w:rsid w:val="00A773C0"/>
    <w:rsid w:val="00A8232D"/>
    <w:rsid w:val="00A842F2"/>
    <w:rsid w:val="00A86367"/>
    <w:rsid w:val="00A939B8"/>
    <w:rsid w:val="00A93B51"/>
    <w:rsid w:val="00A94185"/>
    <w:rsid w:val="00A944E0"/>
    <w:rsid w:val="00A95BF2"/>
    <w:rsid w:val="00AB03DE"/>
    <w:rsid w:val="00AB3031"/>
    <w:rsid w:val="00AC4D63"/>
    <w:rsid w:val="00AC5D64"/>
    <w:rsid w:val="00AC7159"/>
    <w:rsid w:val="00AD16D9"/>
    <w:rsid w:val="00AD5291"/>
    <w:rsid w:val="00AD5A76"/>
    <w:rsid w:val="00AD5E8B"/>
    <w:rsid w:val="00AE2E84"/>
    <w:rsid w:val="00AE65D5"/>
    <w:rsid w:val="00AF0B6E"/>
    <w:rsid w:val="00AF38F3"/>
    <w:rsid w:val="00AF4C74"/>
    <w:rsid w:val="00AF5B29"/>
    <w:rsid w:val="00B001DA"/>
    <w:rsid w:val="00B0270E"/>
    <w:rsid w:val="00B05EB9"/>
    <w:rsid w:val="00B06CC6"/>
    <w:rsid w:val="00B06ED4"/>
    <w:rsid w:val="00B10434"/>
    <w:rsid w:val="00B12AE3"/>
    <w:rsid w:val="00B14CAA"/>
    <w:rsid w:val="00B15FF7"/>
    <w:rsid w:val="00B27892"/>
    <w:rsid w:val="00B31E99"/>
    <w:rsid w:val="00B36D3A"/>
    <w:rsid w:val="00B44DA0"/>
    <w:rsid w:val="00B5121E"/>
    <w:rsid w:val="00B526FF"/>
    <w:rsid w:val="00B5281A"/>
    <w:rsid w:val="00B5330D"/>
    <w:rsid w:val="00B534E3"/>
    <w:rsid w:val="00B543CC"/>
    <w:rsid w:val="00B54539"/>
    <w:rsid w:val="00B55332"/>
    <w:rsid w:val="00B56C31"/>
    <w:rsid w:val="00B600AC"/>
    <w:rsid w:val="00B606A0"/>
    <w:rsid w:val="00B66000"/>
    <w:rsid w:val="00B70131"/>
    <w:rsid w:val="00B77D31"/>
    <w:rsid w:val="00B8352F"/>
    <w:rsid w:val="00B855D4"/>
    <w:rsid w:val="00BA5CB4"/>
    <w:rsid w:val="00BA76EA"/>
    <w:rsid w:val="00BC7D9A"/>
    <w:rsid w:val="00BD37C6"/>
    <w:rsid w:val="00BD3DE4"/>
    <w:rsid w:val="00BD6464"/>
    <w:rsid w:val="00BD6510"/>
    <w:rsid w:val="00BD6AA7"/>
    <w:rsid w:val="00BD6DA9"/>
    <w:rsid w:val="00BD7CEE"/>
    <w:rsid w:val="00BE0D7C"/>
    <w:rsid w:val="00BE69FF"/>
    <w:rsid w:val="00BF2A44"/>
    <w:rsid w:val="00C0544E"/>
    <w:rsid w:val="00C06E5C"/>
    <w:rsid w:val="00C1274C"/>
    <w:rsid w:val="00C140C1"/>
    <w:rsid w:val="00C166DB"/>
    <w:rsid w:val="00C25796"/>
    <w:rsid w:val="00C268B3"/>
    <w:rsid w:val="00C327A7"/>
    <w:rsid w:val="00C3397C"/>
    <w:rsid w:val="00C43C3B"/>
    <w:rsid w:val="00C46516"/>
    <w:rsid w:val="00C47323"/>
    <w:rsid w:val="00C52634"/>
    <w:rsid w:val="00C611F9"/>
    <w:rsid w:val="00C63294"/>
    <w:rsid w:val="00C653D6"/>
    <w:rsid w:val="00C657CB"/>
    <w:rsid w:val="00C671DA"/>
    <w:rsid w:val="00C72738"/>
    <w:rsid w:val="00C75370"/>
    <w:rsid w:val="00C7732D"/>
    <w:rsid w:val="00C81998"/>
    <w:rsid w:val="00C931D7"/>
    <w:rsid w:val="00C94027"/>
    <w:rsid w:val="00C97C96"/>
    <w:rsid w:val="00CA0802"/>
    <w:rsid w:val="00CA3D30"/>
    <w:rsid w:val="00CB0264"/>
    <w:rsid w:val="00CB39C8"/>
    <w:rsid w:val="00CB61F2"/>
    <w:rsid w:val="00CC0E21"/>
    <w:rsid w:val="00CC741C"/>
    <w:rsid w:val="00CD11F5"/>
    <w:rsid w:val="00CD453F"/>
    <w:rsid w:val="00CD4A80"/>
    <w:rsid w:val="00CD6375"/>
    <w:rsid w:val="00CD7B88"/>
    <w:rsid w:val="00CE16CC"/>
    <w:rsid w:val="00CE2DA6"/>
    <w:rsid w:val="00CE3961"/>
    <w:rsid w:val="00CE6E45"/>
    <w:rsid w:val="00CF37EF"/>
    <w:rsid w:val="00D015BE"/>
    <w:rsid w:val="00D0276D"/>
    <w:rsid w:val="00D052E2"/>
    <w:rsid w:val="00D07005"/>
    <w:rsid w:val="00D13214"/>
    <w:rsid w:val="00D14342"/>
    <w:rsid w:val="00D20EAC"/>
    <w:rsid w:val="00D22E5F"/>
    <w:rsid w:val="00D232A9"/>
    <w:rsid w:val="00D35C4A"/>
    <w:rsid w:val="00D35CF3"/>
    <w:rsid w:val="00D4362F"/>
    <w:rsid w:val="00D453C8"/>
    <w:rsid w:val="00D53493"/>
    <w:rsid w:val="00D56F7B"/>
    <w:rsid w:val="00D63924"/>
    <w:rsid w:val="00D6556A"/>
    <w:rsid w:val="00D718ED"/>
    <w:rsid w:val="00D74827"/>
    <w:rsid w:val="00D80DA1"/>
    <w:rsid w:val="00D81AF1"/>
    <w:rsid w:val="00D81BA5"/>
    <w:rsid w:val="00D86DAE"/>
    <w:rsid w:val="00D92B87"/>
    <w:rsid w:val="00DA0179"/>
    <w:rsid w:val="00DB2F76"/>
    <w:rsid w:val="00DB57A0"/>
    <w:rsid w:val="00DB6898"/>
    <w:rsid w:val="00DC0F10"/>
    <w:rsid w:val="00DC4EF1"/>
    <w:rsid w:val="00DC4F02"/>
    <w:rsid w:val="00DC55F1"/>
    <w:rsid w:val="00DD0E51"/>
    <w:rsid w:val="00DD1D9F"/>
    <w:rsid w:val="00DE21D8"/>
    <w:rsid w:val="00DE715A"/>
    <w:rsid w:val="00DF008B"/>
    <w:rsid w:val="00E00B5C"/>
    <w:rsid w:val="00E016D3"/>
    <w:rsid w:val="00E11658"/>
    <w:rsid w:val="00E15B3D"/>
    <w:rsid w:val="00E24D1D"/>
    <w:rsid w:val="00E26205"/>
    <w:rsid w:val="00E2637E"/>
    <w:rsid w:val="00E37AB2"/>
    <w:rsid w:val="00E428FE"/>
    <w:rsid w:val="00E508CF"/>
    <w:rsid w:val="00E533AA"/>
    <w:rsid w:val="00E664D2"/>
    <w:rsid w:val="00E745EB"/>
    <w:rsid w:val="00E8582A"/>
    <w:rsid w:val="00E90BDC"/>
    <w:rsid w:val="00E9183E"/>
    <w:rsid w:val="00E919D2"/>
    <w:rsid w:val="00E92807"/>
    <w:rsid w:val="00E954FE"/>
    <w:rsid w:val="00EA5C64"/>
    <w:rsid w:val="00EB0691"/>
    <w:rsid w:val="00EB2576"/>
    <w:rsid w:val="00EB27B8"/>
    <w:rsid w:val="00EB6321"/>
    <w:rsid w:val="00EC149A"/>
    <w:rsid w:val="00EC3744"/>
    <w:rsid w:val="00EC6777"/>
    <w:rsid w:val="00EC6C3E"/>
    <w:rsid w:val="00ED1B28"/>
    <w:rsid w:val="00ED2911"/>
    <w:rsid w:val="00ED543B"/>
    <w:rsid w:val="00ED62AE"/>
    <w:rsid w:val="00EE21C7"/>
    <w:rsid w:val="00EE260D"/>
    <w:rsid w:val="00EE2EF7"/>
    <w:rsid w:val="00EE4CE5"/>
    <w:rsid w:val="00EE6578"/>
    <w:rsid w:val="00EF2258"/>
    <w:rsid w:val="00EF4504"/>
    <w:rsid w:val="00F00731"/>
    <w:rsid w:val="00F013DB"/>
    <w:rsid w:val="00F04E3A"/>
    <w:rsid w:val="00F12065"/>
    <w:rsid w:val="00F15510"/>
    <w:rsid w:val="00F22423"/>
    <w:rsid w:val="00F27D32"/>
    <w:rsid w:val="00F303C2"/>
    <w:rsid w:val="00F349F0"/>
    <w:rsid w:val="00F40764"/>
    <w:rsid w:val="00F41F89"/>
    <w:rsid w:val="00F44E93"/>
    <w:rsid w:val="00F46756"/>
    <w:rsid w:val="00F46E09"/>
    <w:rsid w:val="00F479EB"/>
    <w:rsid w:val="00F50FD2"/>
    <w:rsid w:val="00F54060"/>
    <w:rsid w:val="00F57DD8"/>
    <w:rsid w:val="00F61EE8"/>
    <w:rsid w:val="00F63E53"/>
    <w:rsid w:val="00F700AF"/>
    <w:rsid w:val="00F75C5A"/>
    <w:rsid w:val="00F83CA1"/>
    <w:rsid w:val="00F91FC2"/>
    <w:rsid w:val="00F9202F"/>
    <w:rsid w:val="00F962D9"/>
    <w:rsid w:val="00FA195D"/>
    <w:rsid w:val="00FA6204"/>
    <w:rsid w:val="00FA7382"/>
    <w:rsid w:val="00FA7C04"/>
    <w:rsid w:val="00FB0F3D"/>
    <w:rsid w:val="00FB17D2"/>
    <w:rsid w:val="00FC1152"/>
    <w:rsid w:val="00FD3472"/>
    <w:rsid w:val="00FE021E"/>
    <w:rsid w:val="00FE3140"/>
    <w:rsid w:val="00FE3725"/>
    <w:rsid w:val="00FE5A36"/>
    <w:rsid w:val="011B9379"/>
    <w:rsid w:val="03937EBC"/>
    <w:rsid w:val="03EC0ADC"/>
    <w:rsid w:val="0494184A"/>
    <w:rsid w:val="04EFD62C"/>
    <w:rsid w:val="06491108"/>
    <w:rsid w:val="07D3A692"/>
    <w:rsid w:val="07E4E169"/>
    <w:rsid w:val="0992DE0F"/>
    <w:rsid w:val="09C26672"/>
    <w:rsid w:val="0A91289D"/>
    <w:rsid w:val="0B1C822B"/>
    <w:rsid w:val="0B2EAE70"/>
    <w:rsid w:val="0B670E2F"/>
    <w:rsid w:val="0C085798"/>
    <w:rsid w:val="0C9F2A2F"/>
    <w:rsid w:val="0E5422ED"/>
    <w:rsid w:val="10095819"/>
    <w:rsid w:val="10B16587"/>
    <w:rsid w:val="133FE9A5"/>
    <w:rsid w:val="14C36471"/>
    <w:rsid w:val="1580263A"/>
    <w:rsid w:val="1689D474"/>
    <w:rsid w:val="18C464F2"/>
    <w:rsid w:val="191C210E"/>
    <w:rsid w:val="1A7DA128"/>
    <w:rsid w:val="1B197D98"/>
    <w:rsid w:val="1B2B5CDB"/>
    <w:rsid w:val="1B70C396"/>
    <w:rsid w:val="1CE0E7C8"/>
    <w:rsid w:val="1D0747E1"/>
    <w:rsid w:val="1DEC1A04"/>
    <w:rsid w:val="1E9CD3DF"/>
    <w:rsid w:val="1F12EB43"/>
    <w:rsid w:val="208266E8"/>
    <w:rsid w:val="20C78951"/>
    <w:rsid w:val="224622A4"/>
    <w:rsid w:val="22993943"/>
    <w:rsid w:val="22B62084"/>
    <w:rsid w:val="23248F7D"/>
    <w:rsid w:val="243C0D43"/>
    <w:rsid w:val="24C05FDE"/>
    <w:rsid w:val="25B422D1"/>
    <w:rsid w:val="25C567E8"/>
    <w:rsid w:val="28273416"/>
    <w:rsid w:val="2A61BABF"/>
    <w:rsid w:val="2A76591D"/>
    <w:rsid w:val="2A8793F4"/>
    <w:rsid w:val="2AF00D08"/>
    <w:rsid w:val="2B5FC3CA"/>
    <w:rsid w:val="2BC5F29A"/>
    <w:rsid w:val="2BE7C60B"/>
    <w:rsid w:val="2E815BEF"/>
    <w:rsid w:val="2F49CA40"/>
    <w:rsid w:val="2F582CF1"/>
    <w:rsid w:val="301D2C50"/>
    <w:rsid w:val="31457A89"/>
    <w:rsid w:val="33D0F692"/>
    <w:rsid w:val="3528F1E6"/>
    <w:rsid w:val="3874F8F2"/>
    <w:rsid w:val="38D78429"/>
    <w:rsid w:val="38F22258"/>
    <w:rsid w:val="3A07D695"/>
    <w:rsid w:val="3A848F61"/>
    <w:rsid w:val="3B2425D3"/>
    <w:rsid w:val="3B67177D"/>
    <w:rsid w:val="3B785254"/>
    <w:rsid w:val="3C6CFE17"/>
    <w:rsid w:val="3ED4869A"/>
    <w:rsid w:val="3F46C5AD"/>
    <w:rsid w:val="3F580084"/>
    <w:rsid w:val="403A88A0"/>
    <w:rsid w:val="40D3DD49"/>
    <w:rsid w:val="41068A15"/>
    <w:rsid w:val="410D92D1"/>
    <w:rsid w:val="410DEAB0"/>
    <w:rsid w:val="418ABC37"/>
    <w:rsid w:val="4200B53F"/>
    <w:rsid w:val="44843E10"/>
    <w:rsid w:val="46C2F281"/>
    <w:rsid w:val="47AC2563"/>
    <w:rsid w:val="47EDBF02"/>
    <w:rsid w:val="4C57D5DD"/>
    <w:rsid w:val="4C9FD62B"/>
    <w:rsid w:val="4CE139C3"/>
    <w:rsid w:val="4EBFA8ED"/>
    <w:rsid w:val="5050AC6A"/>
    <w:rsid w:val="5089EC7A"/>
    <w:rsid w:val="50B35844"/>
    <w:rsid w:val="512B4700"/>
    <w:rsid w:val="516ED5CE"/>
    <w:rsid w:val="51F307F0"/>
    <w:rsid w:val="5219CB83"/>
    <w:rsid w:val="52BBEFF5"/>
    <w:rsid w:val="54562454"/>
    <w:rsid w:val="56DB4108"/>
    <w:rsid w:val="56EB916B"/>
    <w:rsid w:val="591B7D9D"/>
    <w:rsid w:val="5AF32F53"/>
    <w:rsid w:val="5BC79185"/>
    <w:rsid w:val="5E2ED861"/>
    <w:rsid w:val="5F73DAE7"/>
    <w:rsid w:val="62631924"/>
    <w:rsid w:val="62F66388"/>
    <w:rsid w:val="63A4EBA8"/>
    <w:rsid w:val="63B09D3B"/>
    <w:rsid w:val="63B79953"/>
    <w:rsid w:val="6461B480"/>
    <w:rsid w:val="6480F912"/>
    <w:rsid w:val="655369B4"/>
    <w:rsid w:val="680B09CE"/>
    <w:rsid w:val="69D6CD80"/>
    <w:rsid w:val="6AD0E37D"/>
    <w:rsid w:val="6E198120"/>
    <w:rsid w:val="6FC3ABB9"/>
    <w:rsid w:val="6FE32F5C"/>
    <w:rsid w:val="72925C3D"/>
    <w:rsid w:val="72EC7B98"/>
    <w:rsid w:val="73CEAE8B"/>
    <w:rsid w:val="74556F6C"/>
    <w:rsid w:val="7556CAF4"/>
    <w:rsid w:val="7720B401"/>
    <w:rsid w:val="7788CE6F"/>
    <w:rsid w:val="780C16C1"/>
    <w:rsid w:val="79B74D4E"/>
    <w:rsid w:val="7AEB26FE"/>
    <w:rsid w:val="7BA9EBCE"/>
    <w:rsid w:val="7BD9C070"/>
    <w:rsid w:val="7BE0F8F6"/>
    <w:rsid w:val="7C4C93D5"/>
    <w:rsid w:val="7DBC3BA0"/>
    <w:rsid w:val="7DCCAEA4"/>
    <w:rsid w:val="7E24D6C5"/>
    <w:rsid w:val="7EE98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142B"/>
  <w15:chartTrackingRefBased/>
  <w15:docId w15:val="{AC3D3CC7-6F2B-4AC4-9D7D-50376C75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EE"/>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09465B"/>
    <w:pPr>
      <w:keepNext/>
      <w:keepLines/>
      <w:spacing w:before="360" w:after="120" w:line="276" w:lineRule="auto"/>
      <w:outlineLvl w:val="0"/>
    </w:pPr>
    <w:rPr>
      <w:rFonts w:asciiTheme="majorHAnsi" w:eastAsiaTheme="majorEastAsia" w:hAnsiTheme="majorHAnsi" w:cstheme="majorBidi"/>
      <w:bCs/>
      <w:color w:val="71C5E8" w:themeColor="accent1"/>
      <w:sz w:val="36"/>
      <w:szCs w:val="28"/>
      <w:lang w:eastAsia="en-AU"/>
    </w:rPr>
  </w:style>
  <w:style w:type="paragraph" w:styleId="Heading2">
    <w:name w:val="heading 2"/>
    <w:basedOn w:val="Normal"/>
    <w:next w:val="Normal"/>
    <w:link w:val="Heading2Char"/>
    <w:qFormat/>
    <w:rsid w:val="000E23B2"/>
    <w:pPr>
      <w:keepNext/>
      <w:spacing w:before="280"/>
      <w:outlineLvl w:val="1"/>
    </w:pPr>
    <w:rPr>
      <w:rFonts w:asciiTheme="majorHAnsi" w:eastAsiaTheme="majorEastAsia" w:hAnsiTheme="majorHAnsi" w:cstheme="majorBidi"/>
      <w:bCs/>
      <w:color w:val="71C5E8" w:themeColor="accent1"/>
      <w:sz w:val="28"/>
      <w:szCs w:val="26"/>
    </w:rPr>
  </w:style>
  <w:style w:type="paragraph" w:styleId="Heading3">
    <w:name w:val="heading 3"/>
    <w:basedOn w:val="Normal"/>
    <w:next w:val="Normal"/>
    <w:link w:val="Heading3Char"/>
    <w:qFormat/>
    <w:rsid w:val="007F2B08"/>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AF0B6E"/>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EE260D"/>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65B"/>
    <w:rPr>
      <w:rFonts w:asciiTheme="majorHAnsi" w:eastAsiaTheme="majorEastAsia" w:hAnsiTheme="majorHAnsi" w:cstheme="majorBidi"/>
      <w:bCs/>
      <w:color w:val="71C5E8" w:themeColor="accent1"/>
      <w:sz w:val="36"/>
      <w:szCs w:val="28"/>
      <w:lang w:eastAsia="en-AU"/>
    </w:rPr>
  </w:style>
  <w:style w:type="paragraph" w:styleId="Title">
    <w:name w:val="Title"/>
    <w:next w:val="Subtitle"/>
    <w:link w:val="TitleChar"/>
    <w:uiPriority w:val="44"/>
    <w:qFormat/>
    <w:rsid w:val="001B71DC"/>
    <w:pPr>
      <w:spacing w:before="400" w:after="30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1B71DC"/>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761E15"/>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61E15"/>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C166DB"/>
    <w:rPr>
      <w:color w:val="71C5E8" w:themeColor="accent1"/>
      <w:u w:val="none"/>
    </w:rPr>
  </w:style>
  <w:style w:type="character" w:styleId="UnresolvedMention">
    <w:name w:val="Unresolved Mention"/>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rsid w:val="00EE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60D"/>
    <w:rPr>
      <w:rFonts w:eastAsiaTheme="minorEastAsia"/>
      <w:color w:val="000000" w:themeColor="text1"/>
      <w:sz w:val="20"/>
      <w:szCs w:val="20"/>
      <w:lang w:eastAsia="en-AU"/>
    </w:rPr>
  </w:style>
  <w:style w:type="paragraph" w:styleId="Footer">
    <w:name w:val="footer"/>
    <w:basedOn w:val="Normal"/>
    <w:link w:val="FooterChar"/>
    <w:uiPriority w:val="99"/>
    <w:rsid w:val="00EE260D"/>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EE260D"/>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0E23B2"/>
    <w:rPr>
      <w:rFonts w:asciiTheme="majorHAnsi" w:eastAsiaTheme="majorEastAsia" w:hAnsiTheme="majorHAnsi" w:cstheme="majorBidi"/>
      <w:bCs/>
      <w:color w:val="71C5E8" w:themeColor="accent1"/>
      <w:sz w:val="28"/>
      <w:szCs w:val="26"/>
      <w:lang w:eastAsia="en-AU"/>
    </w:rPr>
  </w:style>
  <w:style w:type="character" w:customStyle="1" w:styleId="Heading3Char">
    <w:name w:val="Heading 3 Char"/>
    <w:basedOn w:val="DefaultParagraphFont"/>
    <w:link w:val="Heading3"/>
    <w:rsid w:val="007F2B08"/>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AF0B6E"/>
    <w:rPr>
      <w:rFonts w:asciiTheme="majorHAnsi" w:eastAsiaTheme="majorEastAsia" w:hAnsiTheme="majorHAnsi" w:cstheme="majorBidi"/>
      <w:bCs/>
      <w:iCs/>
      <w:color w:val="1F2A44" w:themeColor="text2"/>
      <w:szCs w:val="21"/>
      <w:lang w:eastAsia="en-AU"/>
    </w:rPr>
  </w:style>
  <w:style w:type="table" w:styleId="TableGrid">
    <w:name w:val="Table Grid"/>
    <w:basedOn w:val="TableNormal"/>
    <w:uiPriority w:val="39"/>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E260D"/>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0D1845"/>
    <w:pPr>
      <w:pBdr>
        <w:top w:val="single" w:sz="4" w:space="10" w:color="00B2A9" w:themeColor="accent2"/>
        <w:bottom w:val="single" w:sz="4" w:space="10" w:color="00B2A9" w:themeColor="accent2"/>
      </w:pBdr>
      <w:spacing w:before="360" w:after="360"/>
      <w:ind w:left="864" w:right="864"/>
      <w:jc w:val="center"/>
    </w:pPr>
    <w:rPr>
      <w:i/>
      <w:iCs/>
      <w:color w:val="00B2A9" w:themeColor="accent2"/>
    </w:rPr>
  </w:style>
  <w:style w:type="character" w:customStyle="1" w:styleId="IntenseQuoteChar">
    <w:name w:val="Intense Quote Char"/>
    <w:aliases w:val="Quotation Char"/>
    <w:basedOn w:val="DefaultParagraphFont"/>
    <w:link w:val="IntenseQuote"/>
    <w:uiPriority w:val="30"/>
    <w:semiHidden/>
    <w:rsid w:val="002D7574"/>
    <w:rPr>
      <w:rFonts w:eastAsiaTheme="minorEastAsia"/>
      <w:i/>
      <w:iCs/>
      <w:color w:val="00B2A9" w:themeColor="accent2"/>
      <w:sz w:val="20"/>
      <w:szCs w:val="20"/>
      <w:lang w:eastAsia="en-AU"/>
    </w:rPr>
  </w:style>
  <w:style w:type="paragraph" w:styleId="ListParagraph">
    <w:name w:val="List Paragraph"/>
    <w:basedOn w:val="Normal"/>
    <w:uiPriority w:val="34"/>
    <w:qFormat/>
    <w:rsid w:val="00EE260D"/>
    <w:pPr>
      <w:ind w:left="720"/>
      <w:contextualSpacing/>
    </w:pPr>
  </w:style>
  <w:style w:type="character" w:styleId="Strong">
    <w:name w:val="Strong"/>
    <w:aliases w:val="Table heading"/>
    <w:basedOn w:val="DefaultParagraphFont"/>
    <w:uiPriority w:val="22"/>
    <w:semiHidden/>
    <w:qFormat/>
    <w:rsid w:val="00C47323"/>
    <w:rPr>
      <w:b/>
      <w:bCs/>
    </w:rPr>
  </w:style>
  <w:style w:type="character" w:styleId="Emphasis">
    <w:name w:val="Emphasis"/>
    <w:aliases w:val="Table notes"/>
    <w:basedOn w:val="DefaultParagraphFont"/>
    <w:uiPriority w:val="20"/>
    <w:semiHidden/>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paragraph" w:customStyle="1" w:styleId="Bullet1">
    <w:name w:val="Bullet 1"/>
    <w:link w:val="Bullet1Char"/>
    <w:uiPriority w:val="1"/>
    <w:qFormat/>
    <w:rsid w:val="00EE260D"/>
    <w:pPr>
      <w:numPr>
        <w:numId w:val="17"/>
      </w:numPr>
      <w:spacing w:before="100" w:after="100" w:line="264"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EE260D"/>
    <w:pPr>
      <w:numPr>
        <w:ilvl w:val="1"/>
      </w:numPr>
    </w:pPr>
  </w:style>
  <w:style w:type="paragraph" w:customStyle="1" w:styleId="Bulletindent">
    <w:name w:val="Bullet indent"/>
    <w:basedOn w:val="Bullet2"/>
    <w:uiPriority w:val="9"/>
    <w:qFormat/>
    <w:rsid w:val="00EE260D"/>
    <w:pPr>
      <w:numPr>
        <w:ilvl w:val="2"/>
      </w:numPr>
    </w:pPr>
  </w:style>
  <w:style w:type="paragraph" w:customStyle="1" w:styleId="Bulletindent2">
    <w:name w:val="Bullet indent 2"/>
    <w:basedOn w:val="Normal"/>
    <w:uiPriority w:val="9"/>
    <w:qFormat/>
    <w:rsid w:val="00EE260D"/>
    <w:pPr>
      <w:numPr>
        <w:ilvl w:val="3"/>
        <w:numId w:val="17"/>
      </w:numPr>
      <w:spacing w:before="100"/>
      <w:contextualSpacing/>
    </w:pPr>
  </w:style>
  <w:style w:type="paragraph" w:styleId="NoSpacing">
    <w:name w:val="No Spacing"/>
    <w:uiPriority w:val="1"/>
    <w:semiHidden/>
    <w:qFormat/>
    <w:rsid w:val="00D35CF3"/>
    <w:pPr>
      <w:spacing w:after="0" w:line="240" w:lineRule="auto"/>
    </w:pPr>
  </w:style>
  <w:style w:type="paragraph" w:customStyle="1" w:styleId="Heading1numbered">
    <w:name w:val="Heading 1 numbered"/>
    <w:basedOn w:val="Heading1"/>
    <w:next w:val="NormalIndent"/>
    <w:link w:val="Heading1numberedChar"/>
    <w:uiPriority w:val="8"/>
    <w:qFormat/>
    <w:rsid w:val="00EE260D"/>
    <w:pPr>
      <w:numPr>
        <w:ilvl w:val="2"/>
        <w:numId w:val="27"/>
      </w:numPr>
    </w:pPr>
  </w:style>
  <w:style w:type="paragraph" w:customStyle="1" w:styleId="Heading2numbered">
    <w:name w:val="Heading 2 numbered"/>
    <w:basedOn w:val="Heading2"/>
    <w:next w:val="NormalIndent"/>
    <w:link w:val="Heading2numberedChar"/>
    <w:uiPriority w:val="8"/>
    <w:qFormat/>
    <w:rsid w:val="00EE260D"/>
    <w:pPr>
      <w:numPr>
        <w:ilvl w:val="3"/>
        <w:numId w:val="27"/>
      </w:numPr>
    </w:pPr>
  </w:style>
  <w:style w:type="character" w:customStyle="1" w:styleId="Heading1numberedChar">
    <w:name w:val="Heading 1 numbered Char"/>
    <w:basedOn w:val="Heading1Char"/>
    <w:link w:val="Heading1numbered"/>
    <w:uiPriority w:val="8"/>
    <w:rsid w:val="00D35CF3"/>
    <w:rPr>
      <w:rFonts w:asciiTheme="majorHAnsi" w:eastAsiaTheme="majorEastAsia" w:hAnsiTheme="majorHAnsi" w:cstheme="majorBidi"/>
      <w:b w:val="0"/>
      <w:bCs/>
      <w:color w:val="71C5E8" w:themeColor="accent1"/>
      <w:sz w:val="36"/>
      <w:szCs w:val="28"/>
      <w:lang w:eastAsia="en-AU"/>
    </w:rPr>
  </w:style>
  <w:style w:type="paragraph" w:customStyle="1" w:styleId="Heading3numbered">
    <w:name w:val="Heading 3 numbered"/>
    <w:basedOn w:val="Heading3"/>
    <w:next w:val="NormalIndent"/>
    <w:link w:val="Heading3numberedChar"/>
    <w:uiPriority w:val="8"/>
    <w:qFormat/>
    <w:rsid w:val="00EE260D"/>
    <w:pPr>
      <w:numPr>
        <w:ilvl w:val="4"/>
        <w:numId w:val="27"/>
      </w:numPr>
    </w:pPr>
  </w:style>
  <w:style w:type="character" w:customStyle="1" w:styleId="Heading2numberedChar">
    <w:name w:val="Heading 2 numbered Char"/>
    <w:basedOn w:val="Heading2Char"/>
    <w:link w:val="Heading2numbered"/>
    <w:uiPriority w:val="8"/>
    <w:rsid w:val="00D35CF3"/>
    <w:rPr>
      <w:rFonts w:asciiTheme="majorHAnsi" w:eastAsiaTheme="majorEastAsia" w:hAnsiTheme="majorHAnsi" w:cstheme="majorBidi"/>
      <w:b w:val="0"/>
      <w:bCs/>
      <w:color w:val="1F2A44" w:themeColor="text2"/>
      <w:sz w:val="28"/>
      <w:szCs w:val="26"/>
      <w:lang w:eastAsia="en-AU"/>
    </w:rPr>
  </w:style>
  <w:style w:type="table" w:customStyle="1" w:styleId="Financialtable">
    <w:name w:val="Financial table"/>
    <w:basedOn w:val="TableNormal"/>
    <w:uiPriority w:val="99"/>
    <w:rsid w:val="009A6494"/>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D35CF3"/>
    <w:rPr>
      <w:rFonts w:asciiTheme="majorHAnsi" w:eastAsiaTheme="majorEastAsia" w:hAnsiTheme="majorHAnsi" w:cstheme="majorBidi"/>
      <w:b w:val="0"/>
      <w:bCs/>
      <w:color w:val="1F2A44" w:themeColor="text2"/>
      <w:sz w:val="24"/>
      <w:szCs w:val="24"/>
      <w:lang w:eastAsia="en-AU"/>
    </w:rPr>
  </w:style>
  <w:style w:type="paragraph" w:customStyle="1" w:styleId="Sub-principle">
    <w:name w:val="Sub-principle"/>
    <w:basedOn w:val="Principle"/>
    <w:qFormat/>
    <w:rsid w:val="007710CD"/>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D35CF3"/>
    <w:rPr>
      <w:rFonts w:eastAsia="Times New Roman" w:cs="Calibri"/>
      <w:color w:val="000000" w:themeColor="text1"/>
      <w:sz w:val="20"/>
      <w:szCs w:val="20"/>
      <w:lang w:eastAsia="en-AU"/>
    </w:rPr>
  </w:style>
  <w:style w:type="paragraph" w:customStyle="1" w:styleId="Principle">
    <w:name w:val="Principle"/>
    <w:basedOn w:val="Normal"/>
    <w:qFormat/>
    <w:rsid w:val="00923DD2"/>
    <w:pPr>
      <w:keepNext/>
      <w:pageBreakBefore/>
      <w:numPr>
        <w:numId w:val="32"/>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rsid w:val="00EE260D"/>
    <w:pPr>
      <w:spacing w:before="0" w:after="0" w:line="240" w:lineRule="auto"/>
    </w:pPr>
    <w:rPr>
      <w:sz w:val="17"/>
    </w:rPr>
  </w:style>
  <w:style w:type="character" w:customStyle="1" w:styleId="FootnoteTextChar">
    <w:name w:val="Footnote Text Char"/>
    <w:basedOn w:val="DefaultParagraphFont"/>
    <w:link w:val="FootnoteText"/>
    <w:uiPriority w:val="99"/>
    <w:rsid w:val="00EE260D"/>
    <w:rPr>
      <w:rFonts w:eastAsiaTheme="minorEastAsia"/>
      <w:color w:val="000000" w:themeColor="text1"/>
      <w:sz w:val="17"/>
      <w:szCs w:val="20"/>
      <w:lang w:eastAsia="en-AU"/>
    </w:rPr>
  </w:style>
  <w:style w:type="character" w:styleId="FootnoteReference">
    <w:name w:val="footnote reference"/>
    <w:basedOn w:val="DefaultParagraphFont"/>
    <w:uiPriority w:val="99"/>
    <w:rsid w:val="00EE260D"/>
    <w:rPr>
      <w:vertAlign w:val="superscript"/>
    </w:rPr>
  </w:style>
  <w:style w:type="paragraph" w:styleId="CommentText">
    <w:name w:val="annotation text"/>
    <w:basedOn w:val="Normal"/>
    <w:link w:val="CommentTextChar"/>
    <w:uiPriority w:val="99"/>
    <w:semiHidden/>
    <w:unhideWhenUsed/>
    <w:rsid w:val="00F9202F"/>
    <w:pPr>
      <w:spacing w:after="0" w:line="240" w:lineRule="auto"/>
    </w:pPr>
  </w:style>
  <w:style w:type="character" w:customStyle="1" w:styleId="CommentTextChar">
    <w:name w:val="Comment Text Char"/>
    <w:basedOn w:val="DefaultParagraphFont"/>
    <w:link w:val="CommentText"/>
    <w:uiPriority w:val="99"/>
    <w:semiHidden/>
    <w:rsid w:val="00F9202F"/>
    <w:rPr>
      <w:rFonts w:eastAsiaTheme="minorEastAsia"/>
      <w:sz w:val="20"/>
      <w:szCs w:val="20"/>
    </w:rPr>
  </w:style>
  <w:style w:type="character" w:styleId="CommentReference">
    <w:name w:val="annotation reference"/>
    <w:basedOn w:val="DefaultParagraphFont"/>
    <w:uiPriority w:val="99"/>
    <w:semiHidden/>
    <w:unhideWhenUsed/>
    <w:rsid w:val="00F9202F"/>
    <w:rPr>
      <w:sz w:val="16"/>
      <w:szCs w:val="16"/>
    </w:rPr>
  </w:style>
  <w:style w:type="table" w:styleId="TableGridLight">
    <w:name w:val="Grid Table Light"/>
    <w:basedOn w:val="TableNormal"/>
    <w:uiPriority w:val="40"/>
    <w:rsid w:val="00F9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27637"/>
    <w:pPr>
      <w:spacing w:after="160"/>
      <w:jc w:val="both"/>
    </w:pPr>
    <w:rPr>
      <w:rFonts w:eastAsiaTheme="minorHAnsi"/>
      <w:b/>
      <w:bCs/>
    </w:rPr>
  </w:style>
  <w:style w:type="character" w:customStyle="1" w:styleId="CommentSubjectChar">
    <w:name w:val="Comment Subject Char"/>
    <w:basedOn w:val="CommentTextChar"/>
    <w:link w:val="CommentSubject"/>
    <w:uiPriority w:val="99"/>
    <w:semiHidden/>
    <w:rsid w:val="00127637"/>
    <w:rPr>
      <w:rFonts w:eastAsiaTheme="minorEastAsia"/>
      <w:b/>
      <w:bCs/>
      <w:sz w:val="20"/>
      <w:szCs w:val="20"/>
    </w:rPr>
  </w:style>
  <w:style w:type="paragraph" w:styleId="Revision">
    <w:name w:val="Revision"/>
    <w:hidden/>
    <w:uiPriority w:val="99"/>
    <w:semiHidden/>
    <w:rsid w:val="001748A8"/>
    <w:pPr>
      <w:spacing w:after="0" w:line="240" w:lineRule="auto"/>
    </w:pPr>
  </w:style>
  <w:style w:type="paragraph" w:styleId="BalloonText">
    <w:name w:val="Balloon Text"/>
    <w:basedOn w:val="Normal"/>
    <w:link w:val="BalloonTextChar"/>
    <w:uiPriority w:val="99"/>
    <w:semiHidden/>
    <w:rsid w:val="00EE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0D"/>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EE260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E260D"/>
    <w:rPr>
      <w:rFonts w:ascii="Calibri" w:eastAsia="Times New Roman" w:hAnsi="Calibri" w:cs="Calibri"/>
      <w:color w:val="000000" w:themeColor="text1"/>
      <w:lang w:eastAsia="en-AU"/>
    </w:rPr>
  </w:style>
  <w:style w:type="paragraph" w:styleId="Caption">
    <w:name w:val="caption"/>
    <w:basedOn w:val="Normal"/>
    <w:next w:val="Normal"/>
    <w:uiPriority w:val="5"/>
    <w:rsid w:val="00E745EB"/>
    <w:pPr>
      <w:keepNext/>
      <w:spacing w:before="200" w:after="60" w:line="240" w:lineRule="auto"/>
    </w:pPr>
    <w:rPr>
      <w:b/>
      <w:bCs/>
      <w:szCs w:val="18"/>
    </w:rPr>
  </w:style>
  <w:style w:type="paragraph" w:customStyle="1" w:styleId="Captionindent">
    <w:name w:val="Caption indent"/>
    <w:basedOn w:val="Caption"/>
    <w:uiPriority w:val="7"/>
    <w:qFormat/>
    <w:rsid w:val="00EE260D"/>
    <w:pPr>
      <w:spacing w:before="240"/>
      <w:ind w:left="792"/>
    </w:pPr>
  </w:style>
  <w:style w:type="paragraph" w:customStyle="1" w:styleId="CM">
    <w:name w:val="CM"/>
    <w:next w:val="Title"/>
    <w:uiPriority w:val="79"/>
    <w:semiHidden/>
    <w:rsid w:val="00EE260D"/>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EE260D"/>
    <w:pPr>
      <w:spacing w:before="4600" w:after="0"/>
    </w:pPr>
  </w:style>
  <w:style w:type="character" w:styleId="FollowedHyperlink">
    <w:name w:val="FollowedHyperlink"/>
    <w:basedOn w:val="DefaultParagraphFont"/>
    <w:uiPriority w:val="99"/>
    <w:semiHidden/>
    <w:rsid w:val="00EE260D"/>
    <w:rPr>
      <w:color w:val="808080" w:themeColor="background1" w:themeShade="80"/>
      <w:u w:val="none"/>
    </w:rPr>
  </w:style>
  <w:style w:type="paragraph" w:styleId="NormalIndent">
    <w:name w:val="Normal Indent"/>
    <w:basedOn w:val="Normal"/>
    <w:uiPriority w:val="9"/>
    <w:qFormat/>
    <w:rsid w:val="00EE260D"/>
    <w:pPr>
      <w:ind w:left="792"/>
    </w:pPr>
  </w:style>
  <w:style w:type="paragraph" w:styleId="Index1">
    <w:name w:val="index 1"/>
    <w:basedOn w:val="Normal"/>
    <w:next w:val="Normal"/>
    <w:uiPriority w:val="99"/>
    <w:semiHidden/>
    <w:rsid w:val="00EE260D"/>
    <w:pPr>
      <w:spacing w:after="60" w:line="240" w:lineRule="auto"/>
    </w:pPr>
    <w:rPr>
      <w:sz w:val="16"/>
    </w:rPr>
  </w:style>
  <w:style w:type="paragraph" w:styleId="Index2">
    <w:name w:val="index 2"/>
    <w:basedOn w:val="Normal"/>
    <w:next w:val="Normal"/>
    <w:uiPriority w:val="99"/>
    <w:semiHidden/>
    <w:rsid w:val="00EE260D"/>
    <w:pPr>
      <w:spacing w:after="0" w:line="240" w:lineRule="auto"/>
      <w:ind w:left="216"/>
    </w:pPr>
    <w:rPr>
      <w:sz w:val="16"/>
      <w:szCs w:val="16"/>
    </w:rPr>
  </w:style>
  <w:style w:type="paragraph" w:styleId="IndexHeading">
    <w:name w:val="index heading"/>
    <w:basedOn w:val="Normal"/>
    <w:next w:val="Index1"/>
    <w:uiPriority w:val="99"/>
    <w:semiHidden/>
    <w:rsid w:val="00EE260D"/>
    <w:rPr>
      <w:rFonts w:asciiTheme="majorHAnsi" w:eastAsiaTheme="majorEastAsia" w:hAnsiTheme="majorHAnsi" w:cstheme="majorBidi"/>
      <w:b/>
      <w:bCs/>
    </w:rPr>
  </w:style>
  <w:style w:type="paragraph" w:customStyle="1" w:styleId="NormalTight">
    <w:name w:val="Normal Tight"/>
    <w:uiPriority w:val="99"/>
    <w:semiHidden/>
    <w:rsid w:val="00EE260D"/>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EE260D"/>
    <w:pPr>
      <w:spacing w:before="3800"/>
      <w:ind w:right="1382"/>
    </w:pPr>
  </w:style>
  <w:style w:type="table" w:styleId="LightList-Accent1">
    <w:name w:val="Light List Accent 1"/>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4">
    <w:name w:val="Light List Accent 4"/>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87189D" w:themeColor="accent4"/>
        <w:left w:val="single" w:sz="8" w:space="0" w:color="87189D" w:themeColor="accent4"/>
        <w:bottom w:val="single" w:sz="8" w:space="0" w:color="87189D" w:themeColor="accent4"/>
        <w:right w:val="single" w:sz="8" w:space="0" w:color="87189D" w:themeColor="accent4"/>
      </w:tblBorders>
    </w:tblPr>
    <w:tblStylePr w:type="firstRow">
      <w:pPr>
        <w:spacing w:before="0" w:after="0" w:line="240" w:lineRule="auto"/>
      </w:pPr>
      <w:rPr>
        <w:b/>
        <w:bCs/>
        <w:color w:val="FFFFFF" w:themeColor="background1"/>
      </w:rPr>
      <w:tblPr/>
      <w:tcPr>
        <w:shd w:val="clear" w:color="auto" w:fill="87189D" w:themeFill="accent4"/>
      </w:tcPr>
    </w:tblStylePr>
    <w:tblStylePr w:type="lastRow">
      <w:pPr>
        <w:spacing w:before="0" w:after="0" w:line="240" w:lineRule="auto"/>
      </w:pPr>
      <w:rPr>
        <w:b/>
        <w:bCs/>
      </w:rPr>
      <w:tblPr/>
      <w:tcPr>
        <w:tcBorders>
          <w:top w:val="double" w:sz="6" w:space="0" w:color="87189D" w:themeColor="accent4"/>
          <w:left w:val="single" w:sz="8" w:space="0" w:color="87189D" w:themeColor="accent4"/>
          <w:bottom w:val="single" w:sz="8" w:space="0" w:color="87189D" w:themeColor="accent4"/>
          <w:right w:val="single" w:sz="8" w:space="0" w:color="87189D" w:themeColor="accent4"/>
        </w:tcBorders>
      </w:tcPr>
    </w:tblStylePr>
    <w:tblStylePr w:type="firstCol">
      <w:rPr>
        <w:b/>
        <w:bCs/>
      </w:rPr>
    </w:tblStylePr>
    <w:tblStylePr w:type="lastCol">
      <w:rPr>
        <w:b/>
        <w:bCs/>
      </w:rPr>
    </w:tblStylePr>
    <w:tblStylePr w:type="band1Vert">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tblStylePr w:type="band1Horz">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style>
  <w:style w:type="table" w:styleId="LightShading">
    <w:name w:val="Light Shading"/>
    <w:basedOn w:val="TableNormal"/>
    <w:uiPriority w:val="60"/>
    <w:rsid w:val="00EE260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EE260D"/>
    <w:pPr>
      <w:numPr>
        <w:numId w:val="27"/>
      </w:numPr>
    </w:pPr>
  </w:style>
  <w:style w:type="paragraph" w:customStyle="1" w:styleId="Listnum2">
    <w:name w:val="List num 2"/>
    <w:basedOn w:val="Normal"/>
    <w:uiPriority w:val="2"/>
    <w:qFormat/>
    <w:rsid w:val="00EE260D"/>
    <w:pPr>
      <w:numPr>
        <w:ilvl w:val="1"/>
        <w:numId w:val="27"/>
      </w:numPr>
    </w:pPr>
  </w:style>
  <w:style w:type="paragraph" w:customStyle="1" w:styleId="Listnumindent">
    <w:name w:val="List num indent"/>
    <w:basedOn w:val="Normal"/>
    <w:uiPriority w:val="9"/>
    <w:qFormat/>
    <w:rsid w:val="00EE260D"/>
    <w:pPr>
      <w:numPr>
        <w:ilvl w:val="6"/>
        <w:numId w:val="27"/>
      </w:numPr>
      <w:spacing w:before="100"/>
    </w:pPr>
  </w:style>
  <w:style w:type="paragraph" w:customStyle="1" w:styleId="Listnumindent2">
    <w:name w:val="List num indent 2"/>
    <w:basedOn w:val="Normal"/>
    <w:uiPriority w:val="9"/>
    <w:qFormat/>
    <w:rsid w:val="00EE260D"/>
    <w:pPr>
      <w:numPr>
        <w:ilvl w:val="7"/>
        <w:numId w:val="27"/>
      </w:numPr>
      <w:spacing w:before="100"/>
      <w:contextualSpacing/>
    </w:pPr>
  </w:style>
  <w:style w:type="paragraph" w:customStyle="1" w:styleId="NoteNormal">
    <w:name w:val="Note Normal"/>
    <w:basedOn w:val="Normal"/>
    <w:rsid w:val="00EE260D"/>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EE260D"/>
    <w:pPr>
      <w:ind w:left="792"/>
    </w:pPr>
  </w:style>
  <w:style w:type="paragraph" w:customStyle="1" w:styleId="Numpara">
    <w:name w:val="Num para"/>
    <w:basedOn w:val="ListParagraph"/>
    <w:uiPriority w:val="2"/>
    <w:qFormat/>
    <w:rsid w:val="00EE260D"/>
    <w:pPr>
      <w:numPr>
        <w:numId w:val="26"/>
      </w:numPr>
      <w:tabs>
        <w:tab w:val="left" w:pos="540"/>
      </w:tabs>
    </w:pPr>
  </w:style>
  <w:style w:type="paragraph" w:customStyle="1" w:styleId="Numparaindent">
    <w:name w:val="Num para indent"/>
    <w:basedOn w:val="Numpara"/>
    <w:uiPriority w:val="9"/>
    <w:qFormat/>
    <w:rsid w:val="00EE260D"/>
    <w:pPr>
      <w:numPr>
        <w:ilvl w:val="8"/>
        <w:numId w:val="27"/>
      </w:numPr>
      <w:tabs>
        <w:tab w:val="clear" w:pos="540"/>
      </w:tabs>
    </w:pPr>
  </w:style>
  <w:style w:type="character" w:styleId="PageNumber">
    <w:name w:val="page number"/>
    <w:uiPriority w:val="49"/>
    <w:semiHidden/>
    <w:rsid w:val="00EE260D"/>
    <w:rPr>
      <w:rFonts w:asciiTheme="minorHAnsi" w:hAnsiTheme="minorHAnsi"/>
      <w:b w:val="0"/>
      <w:color w:val="000000" w:themeColor="text1"/>
    </w:rPr>
  </w:style>
  <w:style w:type="character" w:styleId="PlaceholderText">
    <w:name w:val="Placeholder Text"/>
    <w:basedOn w:val="DefaultParagraphFont"/>
    <w:uiPriority w:val="99"/>
    <w:semiHidden/>
    <w:rsid w:val="00EE260D"/>
    <w:rPr>
      <w:color w:val="808080"/>
    </w:rPr>
  </w:style>
  <w:style w:type="table" w:styleId="PlainTable4">
    <w:name w:val="Plain Table 4"/>
    <w:basedOn w:val="TableNormal"/>
    <w:uiPriority w:val="44"/>
    <w:rsid w:val="00EE260D"/>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A62C3F"/>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A62C3F"/>
    <w:rPr>
      <w:rFonts w:eastAsiaTheme="minorEastAsia"/>
      <w:i/>
      <w:iCs/>
      <w:color w:val="000000" w:themeColor="text1"/>
      <w:sz w:val="18"/>
      <w:szCs w:val="18"/>
      <w:lang w:eastAsia="en-AU"/>
    </w:rPr>
  </w:style>
  <w:style w:type="paragraph" w:customStyle="1" w:styleId="ReportDate">
    <w:name w:val="ReportDate"/>
    <w:uiPriority w:val="79"/>
    <w:semiHidden/>
    <w:rsid w:val="00EE260D"/>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EE260D"/>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437262"/>
    <w:pPr>
      <w:spacing w:before="60" w:after="60"/>
    </w:pPr>
    <w:rPr>
      <w:sz w:val="18"/>
    </w:rPr>
  </w:style>
  <w:style w:type="paragraph" w:customStyle="1" w:styleId="Tablebullet">
    <w:name w:val="Table bullet"/>
    <w:basedOn w:val="Tabletext"/>
    <w:uiPriority w:val="6"/>
    <w:rsid w:val="00EE260D"/>
    <w:pPr>
      <w:numPr>
        <w:numId w:val="31"/>
      </w:numPr>
    </w:pPr>
  </w:style>
  <w:style w:type="paragraph" w:customStyle="1" w:styleId="Tabledash">
    <w:name w:val="Table dash"/>
    <w:basedOn w:val="Tablebullet"/>
    <w:uiPriority w:val="6"/>
    <w:rsid w:val="00EE260D"/>
    <w:pPr>
      <w:numPr>
        <w:ilvl w:val="1"/>
      </w:numPr>
    </w:pPr>
  </w:style>
  <w:style w:type="paragraph" w:customStyle="1" w:styleId="Tableheader">
    <w:name w:val="Table header"/>
    <w:basedOn w:val="Tabletext"/>
    <w:uiPriority w:val="5"/>
    <w:qFormat/>
    <w:rsid w:val="00C166DB"/>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EE260D"/>
    <w:pPr>
      <w:numPr>
        <w:ilvl w:val="2"/>
        <w:numId w:val="31"/>
      </w:numPr>
      <w:spacing w:before="60" w:after="60"/>
    </w:pPr>
    <w:rPr>
      <w:sz w:val="17"/>
    </w:rPr>
  </w:style>
  <w:style w:type="paragraph" w:customStyle="1" w:styleId="Tablenum2">
    <w:name w:val="Table num 2"/>
    <w:basedOn w:val="Normal"/>
    <w:uiPriority w:val="6"/>
    <w:rsid w:val="00EE260D"/>
    <w:pPr>
      <w:numPr>
        <w:ilvl w:val="3"/>
        <w:numId w:val="31"/>
      </w:numPr>
      <w:spacing w:before="60" w:after="60"/>
    </w:pPr>
    <w:rPr>
      <w:sz w:val="17"/>
    </w:rPr>
  </w:style>
  <w:style w:type="paragraph" w:customStyle="1" w:styleId="Tabletextcentred">
    <w:name w:val="Table text centred"/>
    <w:basedOn w:val="Tabletext"/>
    <w:uiPriority w:val="5"/>
    <w:qFormat/>
    <w:rsid w:val="00EE260D"/>
    <w:pPr>
      <w:jc w:val="center"/>
    </w:pPr>
  </w:style>
  <w:style w:type="paragraph" w:customStyle="1" w:styleId="Tabletextindent">
    <w:name w:val="Table text indent"/>
    <w:basedOn w:val="Tabletext"/>
    <w:uiPriority w:val="5"/>
    <w:qFormat/>
    <w:rsid w:val="00EE260D"/>
    <w:pPr>
      <w:ind w:left="288"/>
    </w:pPr>
  </w:style>
  <w:style w:type="paragraph" w:customStyle="1" w:styleId="Tabletextright">
    <w:name w:val="Table text right"/>
    <w:basedOn w:val="Tabletext"/>
    <w:uiPriority w:val="5"/>
    <w:qFormat/>
    <w:rsid w:val="00EE260D"/>
    <w:pPr>
      <w:jc w:val="right"/>
    </w:pPr>
  </w:style>
  <w:style w:type="paragraph" w:customStyle="1" w:styleId="TertiaryTitle">
    <w:name w:val="Tertiary Title"/>
    <w:next w:val="Normal"/>
    <w:uiPriority w:val="99"/>
    <w:semiHidden/>
    <w:rsid w:val="00EE260D"/>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AD16D9"/>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EE260D"/>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EC3744"/>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EE260D"/>
    <w:pPr>
      <w:spacing w:before="280"/>
      <w:ind w:left="446" w:right="29" w:hanging="446"/>
    </w:pPr>
    <w:rPr>
      <w:lang w:eastAsia="en-US"/>
    </w:rPr>
  </w:style>
  <w:style w:type="paragraph" w:styleId="TOC5">
    <w:name w:val="toc 5"/>
    <w:basedOn w:val="TOC2"/>
    <w:next w:val="Normal"/>
    <w:uiPriority w:val="39"/>
    <w:semiHidden/>
    <w:rsid w:val="00EE260D"/>
    <w:pPr>
      <w:ind w:left="1080" w:hanging="634"/>
    </w:pPr>
    <w:rPr>
      <w:lang w:eastAsia="en-US"/>
    </w:rPr>
  </w:style>
  <w:style w:type="paragraph" w:styleId="TOC6">
    <w:name w:val="toc 6"/>
    <w:basedOn w:val="TOC3"/>
    <w:next w:val="Normal"/>
    <w:uiPriority w:val="39"/>
    <w:semiHidden/>
    <w:rsid w:val="00EE260D"/>
    <w:pPr>
      <w:ind w:hanging="720"/>
    </w:pPr>
    <w:rPr>
      <w:lang w:eastAsia="en-US"/>
    </w:rPr>
  </w:style>
  <w:style w:type="paragraph" w:styleId="TOCHeading">
    <w:name w:val="TOC Heading"/>
    <w:basedOn w:val="Heading1"/>
    <w:next w:val="Normal"/>
    <w:uiPriority w:val="38"/>
    <w:rsid w:val="00EE260D"/>
    <w:pPr>
      <w:spacing w:before="440" w:after="440"/>
      <w:outlineLvl w:val="9"/>
    </w:pPr>
    <w:rPr>
      <w:spacing w:val="2"/>
    </w:rPr>
  </w:style>
  <w:style w:type="table" w:customStyle="1" w:styleId="Texttable">
    <w:name w:val="Text table"/>
    <w:basedOn w:val="TableNormal"/>
    <w:uiPriority w:val="99"/>
    <w:rsid w:val="009A6494"/>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71C5E8" w:themeFill="accent1"/>
      </w:tcPr>
    </w:tblStylePr>
    <w:tblStylePr w:type="lastRow">
      <w:rPr>
        <w:b/>
      </w:rPr>
      <w:tblPr/>
      <w:tcPr>
        <w:tcBorders>
          <w:top w:val="single" w:sz="6" w:space="0" w:color="00B2A9" w:themeColor="accent2"/>
          <w:left w:val="nil"/>
          <w:bottom w:val="single" w:sz="12" w:space="0" w:color="00B2A9"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AF0B6E"/>
    <w:pPr>
      <w:tabs>
        <w:tab w:val="num" w:pos="792"/>
      </w:tabs>
      <w:spacing w:line="264" w:lineRule="auto"/>
      <w:ind w:left="792" w:hanging="792"/>
    </w:pPr>
    <w:rPr>
      <w:b/>
    </w:rPr>
  </w:style>
  <w:style w:type="paragraph" w:customStyle="1" w:styleId="Highlightboxheading">
    <w:name w:val="Highlight box heading"/>
    <w:basedOn w:val="Normal"/>
    <w:qFormat/>
    <w:rsid w:val="00BD7CEE"/>
    <w:pPr>
      <w:pBdr>
        <w:top w:val="single" w:sz="6" w:space="6" w:color="71C5E8" w:themeColor="accent1"/>
        <w:bottom w:val="single" w:sz="6" w:space="4" w:color="71C5E8" w:themeColor="accent1"/>
      </w:pBdr>
      <w:shd w:val="clear" w:color="auto" w:fill="E2E6F2" w:themeFill="text2" w:themeFillTint="1A"/>
    </w:pPr>
    <w:rPr>
      <w:rFonts w:asciiTheme="majorHAnsi" w:hAnsiTheme="majorHAnsi"/>
      <w:bCs/>
    </w:rPr>
  </w:style>
  <w:style w:type="paragraph" w:customStyle="1" w:styleId="Highlightboxtext">
    <w:name w:val="Highlight box text"/>
    <w:basedOn w:val="Normal"/>
    <w:qFormat/>
    <w:rsid w:val="00BD7CEE"/>
    <w:pPr>
      <w:pBdr>
        <w:top w:val="single" w:sz="6" w:space="6" w:color="71C5E8" w:themeColor="accent1"/>
        <w:bottom w:val="single" w:sz="6" w:space="4" w:color="71C5E8" w:themeColor="accent1"/>
      </w:pBdr>
      <w:shd w:val="clear" w:color="auto" w:fill="E2E6F2" w:themeFill="text2" w:themeFillTint="1A"/>
    </w:pPr>
  </w:style>
  <w:style w:type="paragraph" w:customStyle="1" w:styleId="Highlightboxbullet">
    <w:name w:val="Highlight box bullet"/>
    <w:basedOn w:val="ListParagraph"/>
    <w:qFormat/>
    <w:rsid w:val="00BD7CEE"/>
    <w:pPr>
      <w:numPr>
        <w:numId w:val="34"/>
      </w:numPr>
      <w:pBdr>
        <w:top w:val="single" w:sz="6" w:space="6" w:color="71C5E8" w:themeColor="accent1"/>
        <w:bottom w:val="single" w:sz="6" w:space="4" w:color="71C5E8" w:themeColor="accent1"/>
      </w:pBdr>
      <w:shd w:val="clear" w:color="auto" w:fill="E2E6F2" w:themeFill="text2" w:themeFillTint="1A"/>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betterregulation.vic.gov.au" TargetMode="External"/><Relationship Id="rId26" Type="http://schemas.openxmlformats.org/officeDocument/2006/relationships/header" Target="header5.xml"/><Relationship Id="rId21" Type="http://schemas.openxmlformats.org/officeDocument/2006/relationships/hyperlink" Target="mailto:IPpolicy@dtf.vic.gov.au"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contact@betterreg.vic.gov.au"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yperlink" Target="https://www.vic.gov.au/towards-best-practice-guide-regulato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betterregulation.vic.gov.au" TargetMode="Externa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yperlink" Target="http://creativecommons.org/licenses/by/3.0/au/" TargetMode="External"/><Relationship Id="rId31" Type="http://schemas.openxmlformats.org/officeDocument/2006/relationships/hyperlink" Target="http://www.boards.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contact@betterreg.vic.gov.au" TargetMode="External"/><Relationship Id="rId27" Type="http://schemas.openxmlformats.org/officeDocument/2006/relationships/footer" Target="footer4.xml"/><Relationship Id="rId30" Type="http://schemas.openxmlformats.org/officeDocument/2006/relationships/image" Target="media/image5.emf"/><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psc.nsw.gov.au/sites/default/files/2020-10/appointment_standards_-_october_2015_-_update_for_m2015-04.pdf" TargetMode="External"/><Relationship Id="rId2" Type="http://schemas.openxmlformats.org/officeDocument/2006/relationships/hyperlink" Target="https://www.premiers.qld.gov.au/publications/categories/policies-and-codes/handbooks/welcome-aboard.aspx" TargetMode="External"/><Relationship Id="rId1" Type="http://schemas.openxmlformats.org/officeDocument/2006/relationships/hyperlink" Target="https://www.wa.gov.au/government/publications/governance-manual-western-australian-government-boards-and-committees" TargetMode="External"/><Relationship Id="rId6" Type="http://schemas.openxmlformats.org/officeDocument/2006/relationships/hyperlink" Target="https://www.google.com/url?sa=t&amp;rct=j&amp;q=&amp;esrc=s&amp;source=web&amp;cd=&amp;cad=rja&amp;uact=8&amp;ved=2ahUKEwjnjtac7ob4AhVgTGwGHRRyBagQFnoECAYQAQ&amp;url=https%3A%2F%2Fwww.ahpra.gov.au%2Fdocuments%2Fdefault.aspx%3Frecord%3DWD21%252F30898%26dbid%3DAP%26chksum%3DbuR53aWtd9Hai7xs7Fbuqg%253D%253D&amp;usg=AOvVaw3hjwR7w5H2BJN2Z1AtwEgQ" TargetMode="External"/><Relationship Id="rId5" Type="http://schemas.openxmlformats.org/officeDocument/2006/relationships/hyperlink" Target="https://www.acnc.gov.au/tools/guides/governance-for-good-acncs-guide-for-charity-board-members" TargetMode="External"/><Relationship Id="rId4" Type="http://schemas.openxmlformats.org/officeDocument/2006/relationships/hyperlink" Target="https://apo.org.au/sites/default/files/resource-files/2014-06/apo-nid4025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ea\OneDrive%20-%20VicGov\Job%20Folders\0094%20-%20Regulator%20Best%20Practice%20Handbook\02.%20Working\Concepts\BRV%20report.dotx" TargetMode="External"/></Relationships>
</file>

<file path=word/theme/theme1.xml><?xml version="1.0" encoding="utf-8"?>
<a:theme xmlns:a="http://schemas.openxmlformats.org/drawingml/2006/main" name="Office Theme">
  <a:themeElements>
    <a:clrScheme name="Better Regulation 2">
      <a:dk1>
        <a:sysClr val="windowText" lastClr="000000"/>
      </a:dk1>
      <a:lt1>
        <a:sysClr val="window" lastClr="FFFFFF"/>
      </a:lt1>
      <a:dk2>
        <a:srgbClr val="1F2A44"/>
      </a:dk2>
      <a:lt2>
        <a:srgbClr val="D2D4DA"/>
      </a:lt2>
      <a:accent1>
        <a:srgbClr val="71C5E8"/>
      </a:accent1>
      <a:accent2>
        <a:srgbClr val="00B2A9"/>
      </a:accent2>
      <a:accent3>
        <a:srgbClr val="78BE20"/>
      </a:accent3>
      <a:accent4>
        <a:srgbClr val="87189D"/>
      </a:accent4>
      <a:accent5>
        <a:srgbClr val="98D5EF"/>
      </a:accent5>
      <a:accent6>
        <a:srgbClr val="C4E7F6"/>
      </a:accent6>
      <a:hlink>
        <a:srgbClr val="71C5E8"/>
      </a:hlink>
      <a:folHlink>
        <a:srgbClr val="00B2A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SharedWithUsers xmlns="97580cac-1a46-464e-a749-263d0beaf9ec">
      <UserInfo>
        <DisplayName/>
        <AccountId xsi:nil="true"/>
        <AccountType/>
      </UserInfo>
    </SharedWithUsers>
    <MediaLengthInSeconds xmlns="c5048082-e052-44c2-9313-1529a8e2ac53" xsi:nil="true"/>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15" ma:contentTypeDescription="Create a new document." ma:contentTypeScope="" ma:versionID="559acfdf00c12948a59ce0625431cf59">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efbff5a9cd8fa2b174e30a6d962fe2c7"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2.xml><?xml version="1.0" encoding="utf-8"?>
<ds:datastoreItem xmlns:ds="http://schemas.openxmlformats.org/officeDocument/2006/customXml" ds:itemID="{080A4F04-0BE7-43C1-898C-12BA35921DBA}">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3.xml><?xml version="1.0" encoding="utf-8"?>
<ds:datastoreItem xmlns:ds="http://schemas.openxmlformats.org/officeDocument/2006/customXml" ds:itemID="{CA16EF89-1A47-4982-92B2-3C91B3C2EC21}">
  <ds:schemaRefs>
    <ds:schemaRef ds:uri="http://www.w3.org/2001/XMLSchema"/>
  </ds:schemaRefs>
</ds:datastoreItem>
</file>

<file path=customXml/itemProps4.xml><?xml version="1.0" encoding="utf-8"?>
<ds:datastoreItem xmlns:ds="http://schemas.openxmlformats.org/officeDocument/2006/customXml" ds:itemID="{B3922DA1-5FC0-4CDE-AB27-0DFCCF98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BRV report.dotx</Template>
  <TotalTime>2</TotalTime>
  <Pages>1</Pages>
  <Words>4531</Words>
  <Characters>25827</Characters>
  <Application>Microsoft Office Word</Application>
  <DocSecurity>4</DocSecurity>
  <Lines>215</Lines>
  <Paragraphs>60</Paragraphs>
  <ScaleCrop>false</ScaleCrop>
  <Company/>
  <LinksUpToDate>false</LinksUpToDate>
  <CharactersWithSpaces>30298</CharactersWithSpaces>
  <SharedDoc>false</SharedDoc>
  <HLinks>
    <vt:vector size="162" baseType="variant">
      <vt:variant>
        <vt:i4>1114203</vt:i4>
      </vt:variant>
      <vt:variant>
        <vt:i4>105</vt:i4>
      </vt:variant>
      <vt:variant>
        <vt:i4>0</vt:i4>
      </vt:variant>
      <vt:variant>
        <vt:i4>5</vt:i4>
      </vt:variant>
      <vt:variant>
        <vt:lpwstr>http://www.boards.vic.gov.au/</vt:lpwstr>
      </vt:variant>
      <vt:variant>
        <vt:lpwstr/>
      </vt:variant>
      <vt:variant>
        <vt:i4>786517</vt:i4>
      </vt:variant>
      <vt:variant>
        <vt:i4>102</vt:i4>
      </vt:variant>
      <vt:variant>
        <vt:i4>0</vt:i4>
      </vt:variant>
      <vt:variant>
        <vt:i4>5</vt:i4>
      </vt:variant>
      <vt:variant>
        <vt:lpwstr>https://www.vic.gov.au/towards-best-practice-guide-regulators</vt:lpwstr>
      </vt:variant>
      <vt:variant>
        <vt:lpwstr/>
      </vt:variant>
      <vt:variant>
        <vt:i4>1835057</vt:i4>
      </vt:variant>
      <vt:variant>
        <vt:i4>95</vt:i4>
      </vt:variant>
      <vt:variant>
        <vt:i4>0</vt:i4>
      </vt:variant>
      <vt:variant>
        <vt:i4>5</vt:i4>
      </vt:variant>
      <vt:variant>
        <vt:lpwstr/>
      </vt:variant>
      <vt:variant>
        <vt:lpwstr>_Toc121997870</vt:lpwstr>
      </vt:variant>
      <vt:variant>
        <vt:i4>1900593</vt:i4>
      </vt:variant>
      <vt:variant>
        <vt:i4>89</vt:i4>
      </vt:variant>
      <vt:variant>
        <vt:i4>0</vt:i4>
      </vt:variant>
      <vt:variant>
        <vt:i4>5</vt:i4>
      </vt:variant>
      <vt:variant>
        <vt:lpwstr/>
      </vt:variant>
      <vt:variant>
        <vt:lpwstr>_Toc121997869</vt:lpwstr>
      </vt:variant>
      <vt:variant>
        <vt:i4>1900593</vt:i4>
      </vt:variant>
      <vt:variant>
        <vt:i4>83</vt:i4>
      </vt:variant>
      <vt:variant>
        <vt:i4>0</vt:i4>
      </vt:variant>
      <vt:variant>
        <vt:i4>5</vt:i4>
      </vt:variant>
      <vt:variant>
        <vt:lpwstr/>
      </vt:variant>
      <vt:variant>
        <vt:lpwstr>_Toc121997868</vt:lpwstr>
      </vt:variant>
      <vt:variant>
        <vt:i4>1900593</vt:i4>
      </vt:variant>
      <vt:variant>
        <vt:i4>77</vt:i4>
      </vt:variant>
      <vt:variant>
        <vt:i4>0</vt:i4>
      </vt:variant>
      <vt:variant>
        <vt:i4>5</vt:i4>
      </vt:variant>
      <vt:variant>
        <vt:lpwstr/>
      </vt:variant>
      <vt:variant>
        <vt:lpwstr>_Toc121997867</vt:lpwstr>
      </vt:variant>
      <vt:variant>
        <vt:i4>1900593</vt:i4>
      </vt:variant>
      <vt:variant>
        <vt:i4>71</vt:i4>
      </vt:variant>
      <vt:variant>
        <vt:i4>0</vt:i4>
      </vt:variant>
      <vt:variant>
        <vt:i4>5</vt:i4>
      </vt:variant>
      <vt:variant>
        <vt:lpwstr/>
      </vt:variant>
      <vt:variant>
        <vt:lpwstr>_Toc121997866</vt:lpwstr>
      </vt:variant>
      <vt:variant>
        <vt:i4>1900593</vt:i4>
      </vt:variant>
      <vt:variant>
        <vt:i4>65</vt:i4>
      </vt:variant>
      <vt:variant>
        <vt:i4>0</vt:i4>
      </vt:variant>
      <vt:variant>
        <vt:i4>5</vt:i4>
      </vt:variant>
      <vt:variant>
        <vt:lpwstr/>
      </vt:variant>
      <vt:variant>
        <vt:lpwstr>_Toc121997865</vt:lpwstr>
      </vt:variant>
      <vt:variant>
        <vt:i4>1900593</vt:i4>
      </vt:variant>
      <vt:variant>
        <vt:i4>59</vt:i4>
      </vt:variant>
      <vt:variant>
        <vt:i4>0</vt:i4>
      </vt:variant>
      <vt:variant>
        <vt:i4>5</vt:i4>
      </vt:variant>
      <vt:variant>
        <vt:lpwstr/>
      </vt:variant>
      <vt:variant>
        <vt:lpwstr>_Toc121997864</vt:lpwstr>
      </vt:variant>
      <vt:variant>
        <vt:i4>1900593</vt:i4>
      </vt:variant>
      <vt:variant>
        <vt:i4>53</vt:i4>
      </vt:variant>
      <vt:variant>
        <vt:i4>0</vt:i4>
      </vt:variant>
      <vt:variant>
        <vt:i4>5</vt:i4>
      </vt:variant>
      <vt:variant>
        <vt:lpwstr/>
      </vt:variant>
      <vt:variant>
        <vt:lpwstr>_Toc121997863</vt:lpwstr>
      </vt:variant>
      <vt:variant>
        <vt:i4>1900593</vt:i4>
      </vt:variant>
      <vt:variant>
        <vt:i4>47</vt:i4>
      </vt:variant>
      <vt:variant>
        <vt:i4>0</vt:i4>
      </vt:variant>
      <vt:variant>
        <vt:i4>5</vt:i4>
      </vt:variant>
      <vt:variant>
        <vt:lpwstr/>
      </vt:variant>
      <vt:variant>
        <vt:lpwstr>_Toc121997862</vt:lpwstr>
      </vt:variant>
      <vt:variant>
        <vt:i4>1900593</vt:i4>
      </vt:variant>
      <vt:variant>
        <vt:i4>41</vt:i4>
      </vt:variant>
      <vt:variant>
        <vt:i4>0</vt:i4>
      </vt:variant>
      <vt:variant>
        <vt:i4>5</vt:i4>
      </vt:variant>
      <vt:variant>
        <vt:lpwstr/>
      </vt:variant>
      <vt:variant>
        <vt:lpwstr>_Toc121997861</vt:lpwstr>
      </vt:variant>
      <vt:variant>
        <vt:i4>1900593</vt:i4>
      </vt:variant>
      <vt:variant>
        <vt:i4>35</vt:i4>
      </vt:variant>
      <vt:variant>
        <vt:i4>0</vt:i4>
      </vt:variant>
      <vt:variant>
        <vt:i4>5</vt:i4>
      </vt:variant>
      <vt:variant>
        <vt:lpwstr/>
      </vt:variant>
      <vt:variant>
        <vt:lpwstr>_Toc121997860</vt:lpwstr>
      </vt:variant>
      <vt:variant>
        <vt:i4>1966129</vt:i4>
      </vt:variant>
      <vt:variant>
        <vt:i4>29</vt:i4>
      </vt:variant>
      <vt:variant>
        <vt:i4>0</vt:i4>
      </vt:variant>
      <vt:variant>
        <vt:i4>5</vt:i4>
      </vt:variant>
      <vt:variant>
        <vt:lpwstr/>
      </vt:variant>
      <vt:variant>
        <vt:lpwstr>_Toc121997859</vt:lpwstr>
      </vt:variant>
      <vt:variant>
        <vt:i4>1966129</vt:i4>
      </vt:variant>
      <vt:variant>
        <vt:i4>23</vt:i4>
      </vt:variant>
      <vt:variant>
        <vt:i4>0</vt:i4>
      </vt:variant>
      <vt:variant>
        <vt:i4>5</vt:i4>
      </vt:variant>
      <vt:variant>
        <vt:lpwstr/>
      </vt:variant>
      <vt:variant>
        <vt:lpwstr>_Toc121997858</vt:lpwstr>
      </vt:variant>
      <vt:variant>
        <vt:i4>1966129</vt:i4>
      </vt:variant>
      <vt:variant>
        <vt:i4>17</vt:i4>
      </vt:variant>
      <vt:variant>
        <vt:i4>0</vt:i4>
      </vt:variant>
      <vt:variant>
        <vt:i4>5</vt:i4>
      </vt:variant>
      <vt:variant>
        <vt:lpwstr/>
      </vt:variant>
      <vt:variant>
        <vt:lpwstr>_Toc121997857</vt:lpwstr>
      </vt:variant>
      <vt:variant>
        <vt:i4>6750240</vt:i4>
      </vt:variant>
      <vt:variant>
        <vt:i4>12</vt:i4>
      </vt:variant>
      <vt:variant>
        <vt:i4>0</vt:i4>
      </vt:variant>
      <vt:variant>
        <vt:i4>5</vt:i4>
      </vt:variant>
      <vt:variant>
        <vt:lpwstr>http://www.betterregulation.vic.gov.au/</vt:lpwstr>
      </vt:variant>
      <vt:variant>
        <vt:lpwstr/>
      </vt:variant>
      <vt:variant>
        <vt:i4>7929948</vt:i4>
      </vt:variant>
      <vt:variant>
        <vt:i4>9</vt:i4>
      </vt:variant>
      <vt:variant>
        <vt:i4>0</vt:i4>
      </vt:variant>
      <vt:variant>
        <vt:i4>5</vt:i4>
      </vt:variant>
      <vt:variant>
        <vt:lpwstr>mailto:contact@betterreg.vic.gov.au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6750240</vt:i4>
      </vt:variant>
      <vt:variant>
        <vt:i4>3</vt:i4>
      </vt:variant>
      <vt:variant>
        <vt:i4>0</vt:i4>
      </vt:variant>
      <vt:variant>
        <vt:i4>5</vt:i4>
      </vt:variant>
      <vt:variant>
        <vt:lpwstr>http://www.betterregulation.vic.gov.au/</vt:lpwstr>
      </vt:variant>
      <vt:variant>
        <vt:lpwstr/>
      </vt:variant>
      <vt:variant>
        <vt:i4>7929948</vt:i4>
      </vt:variant>
      <vt:variant>
        <vt:i4>0</vt:i4>
      </vt:variant>
      <vt:variant>
        <vt:i4>0</vt:i4>
      </vt:variant>
      <vt:variant>
        <vt:i4>5</vt:i4>
      </vt:variant>
      <vt:variant>
        <vt:lpwstr>mailto:contact@betterreg.vic.gov.au</vt:lpwstr>
      </vt:variant>
      <vt:variant>
        <vt:lpwstr/>
      </vt:variant>
      <vt:variant>
        <vt:i4>7471210</vt:i4>
      </vt:variant>
      <vt:variant>
        <vt:i4>15</vt:i4>
      </vt:variant>
      <vt:variant>
        <vt:i4>0</vt:i4>
      </vt:variant>
      <vt:variant>
        <vt:i4>5</vt:i4>
      </vt:variant>
      <vt:variant>
        <vt:lpwstr>https://www.google.com/url?sa=t&amp;rct=j&amp;q=&amp;esrc=s&amp;source=web&amp;cd=&amp;cad=rja&amp;uact=8&amp;ved=2ahUKEwjnjtac7ob4AhVgTGwGHRRyBagQFnoECAYQAQ&amp;url=https%3A%2F%2Fwww.ahpra.gov.au%2Fdocuments%2Fdefault.aspx%3Frecord%3DWD21%252F30898%26dbid%3DAP%26chksum%3DbuR53aWtd9Hai7xs7Fbuqg%253D%253D&amp;usg=AOvVaw3hjwR7w5H2BJN2Z1AtwEgQ</vt:lpwstr>
      </vt:variant>
      <vt:variant>
        <vt:lpwstr/>
      </vt:variant>
      <vt:variant>
        <vt:i4>3932274</vt:i4>
      </vt:variant>
      <vt:variant>
        <vt:i4>12</vt:i4>
      </vt:variant>
      <vt:variant>
        <vt:i4>0</vt:i4>
      </vt:variant>
      <vt:variant>
        <vt:i4>5</vt:i4>
      </vt:variant>
      <vt:variant>
        <vt:lpwstr>https://www.acnc.gov.au/tools/guides/governance-for-good-acncs-guide-for-charity-board-members</vt:lpwstr>
      </vt:variant>
      <vt:variant>
        <vt:lpwstr/>
      </vt:variant>
      <vt:variant>
        <vt:i4>8126584</vt:i4>
      </vt:variant>
      <vt:variant>
        <vt:i4>9</vt:i4>
      </vt:variant>
      <vt:variant>
        <vt:i4>0</vt:i4>
      </vt:variant>
      <vt:variant>
        <vt:i4>5</vt:i4>
      </vt:variant>
      <vt:variant>
        <vt:lpwstr>https://apo.org.au/sites/default/files/resource-files/2014-06/apo-nid40252.pdf</vt:lpwstr>
      </vt:variant>
      <vt:variant>
        <vt:lpwstr/>
      </vt:variant>
      <vt:variant>
        <vt:i4>5373952</vt:i4>
      </vt:variant>
      <vt:variant>
        <vt:i4>6</vt:i4>
      </vt:variant>
      <vt:variant>
        <vt:i4>0</vt:i4>
      </vt:variant>
      <vt:variant>
        <vt:i4>5</vt:i4>
      </vt:variant>
      <vt:variant>
        <vt:lpwstr>https://www.psc.nsw.gov.au/sites/default/files/2020-10/appointment_standards_-_october_2015_-_update_for_m2015-04.pdf</vt:lpwstr>
      </vt:variant>
      <vt:variant>
        <vt:lpwstr/>
      </vt:variant>
      <vt:variant>
        <vt:i4>786458</vt:i4>
      </vt:variant>
      <vt:variant>
        <vt:i4>3</vt:i4>
      </vt:variant>
      <vt:variant>
        <vt:i4>0</vt:i4>
      </vt:variant>
      <vt:variant>
        <vt:i4>5</vt:i4>
      </vt:variant>
      <vt:variant>
        <vt:lpwstr>https://www.premiers.qld.gov.au/publications/categories/policies-and-codes/handbooks/welcome-aboard.aspx</vt:lpwstr>
      </vt:variant>
      <vt:variant>
        <vt:lpwstr/>
      </vt:variant>
      <vt:variant>
        <vt:i4>6815844</vt:i4>
      </vt:variant>
      <vt:variant>
        <vt:i4>0</vt:i4>
      </vt:variant>
      <vt:variant>
        <vt:i4>0</vt:i4>
      </vt:variant>
      <vt:variant>
        <vt:i4>5</vt:i4>
      </vt:variant>
      <vt:variant>
        <vt:lpwstr>https://www.wa.gov.au/government/publications/governance-manual-western-australian-government-boards-and-committees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Steain (DTF)</dc:creator>
  <cp:keywords/>
  <dc:description/>
  <cp:lastModifiedBy>Eliot Palmer (DTF)</cp:lastModifiedBy>
  <cp:revision>189</cp:revision>
  <dcterms:created xsi:type="dcterms:W3CDTF">2022-12-17T09:14:00Z</dcterms:created>
  <dcterms:modified xsi:type="dcterms:W3CDTF">2023-03-03T19:56:00Z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2022-12-12T01:04:51Z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6d8523ad-fcd5-4e3a-87fc-81ddb466ed80</vt:lpwstr>
  </property>
  <property fmtid="{D5CDD505-2E9C-101B-9397-08002B2CF9AE}" pid="10" name="MSIP_Label_bb4ee517-5ca4-4fff-98d2-ed4f906edd6d_ContentBits">
    <vt:lpwstr>0</vt:lpwstr>
  </property>
  <property fmtid="{D5CDD505-2E9C-101B-9397-08002B2CF9AE}" pid="11" name="Order">
    <vt:r8>2208000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XSLStyleIconUrl">
    <vt:lpwstr>, </vt:lpwstr>
  </property>
  <property fmtid="{D5CDD505-2E9C-101B-9397-08002B2CF9AE}" pid="17" name="_ExtendedDescription">
    <vt:lpwstr/>
  </property>
  <property fmtid="{D5CDD505-2E9C-101B-9397-08002B2CF9AE}" pid="18" name="TriggerFlowInfo">
    <vt:lpwstr/>
  </property>
</Properties>
</file>