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2C8" w14:textId="77777777" w:rsidR="00942A14" w:rsidRPr="003E17D0" w:rsidRDefault="00E00B5C" w:rsidP="00CA2200">
      <w:pPr>
        <w:pStyle w:val="Title"/>
        <w:rPr>
          <w:color w:val="FFFFFF" w:themeColor="background1"/>
        </w:rPr>
      </w:pPr>
      <w:r w:rsidRPr="003E17D0">
        <w:rPr>
          <w:color w:val="FFFFFF" w:themeColor="background1"/>
        </w:rPr>
        <w:t>T</w:t>
      </w:r>
      <w:r w:rsidR="003C692D" w:rsidRPr="003E17D0">
        <w:rPr>
          <w:color w:val="FFFFFF" w:themeColor="background1"/>
        </w:rPr>
        <w:t xml:space="preserve">owards Best Practice </w:t>
      </w:r>
      <w:r w:rsidR="59571837" w:rsidRPr="003E17D0">
        <w:rPr>
          <w:color w:val="FFFFFF" w:themeColor="background1"/>
        </w:rPr>
        <w:t xml:space="preserve">Implementation </w:t>
      </w:r>
      <w:r w:rsidR="003C692D" w:rsidRPr="003E17D0">
        <w:rPr>
          <w:color w:val="FFFFFF" w:themeColor="background1"/>
        </w:rPr>
        <w:t>Handbook</w:t>
      </w:r>
    </w:p>
    <w:p w14:paraId="00EAC0D9" w14:textId="79039F6C" w:rsidR="00623A44" w:rsidRPr="003E17D0" w:rsidRDefault="003C692D" w:rsidP="00C066DE">
      <w:pPr>
        <w:pStyle w:val="Subtitle"/>
        <w:rPr>
          <w:color w:val="FFFFFF" w:themeColor="background1"/>
        </w:rPr>
      </w:pPr>
      <w:r w:rsidRPr="003E17D0">
        <w:rPr>
          <w:color w:val="FFFFFF" w:themeColor="background1"/>
        </w:rPr>
        <w:t>Supporting regulators to implement good regulatory practice</w:t>
      </w:r>
      <w:r w:rsidR="00C671DA" w:rsidRPr="003E17D0">
        <w:rPr>
          <w:rFonts w:eastAsiaTheme="minorHAnsi"/>
          <w:color w:val="FFFFFF" w:themeColor="background1"/>
        </w:rPr>
        <w:t xml:space="preserve"> </w:t>
      </w:r>
    </w:p>
    <w:p w14:paraId="3F972841" w14:textId="48F4E31B" w:rsidR="00E00B5C" w:rsidRDefault="00E00B5C" w:rsidP="00C066DE">
      <w:pPr>
        <w:pStyle w:val="Subtitle"/>
        <w:sectPr w:rsidR="00E00B5C" w:rsidSect="003A60FD">
          <w:headerReference w:type="default" r:id="rId12"/>
          <w:footerReference w:type="default" r:id="rId13"/>
          <w:pgSz w:w="11906" w:h="16838" w:code="9"/>
          <w:pgMar w:top="2592" w:right="1138" w:bottom="1138" w:left="1138" w:header="1138" w:footer="648" w:gutter="0"/>
          <w:cols w:space="708"/>
          <w:docGrid w:linePitch="360"/>
        </w:sectPr>
      </w:pPr>
    </w:p>
    <w:p w14:paraId="6F058BB5" w14:textId="77777777" w:rsidR="00006F1B" w:rsidRDefault="00006F1B" w:rsidP="00006F1B"/>
    <w:p w14:paraId="2713E3BF" w14:textId="77777777" w:rsidR="00CA29E7" w:rsidRPr="00C92338" w:rsidRDefault="00CA29E7" w:rsidP="00CA29E7">
      <w:pPr>
        <w:pStyle w:val="Insidecoverspacer"/>
        <w:spacing w:before="4400"/>
      </w:pPr>
    </w:p>
    <w:p w14:paraId="4114CFA2" w14:textId="77777777" w:rsidR="00CA29E7" w:rsidRDefault="00CA29E7" w:rsidP="00CA29E7">
      <w:pPr>
        <w:pStyle w:val="NormalTight"/>
      </w:pPr>
      <w:r>
        <w:t>Better Regulation Victoria</w:t>
      </w:r>
    </w:p>
    <w:p w14:paraId="566E4AFF" w14:textId="77777777" w:rsidR="00CA29E7" w:rsidRDefault="00CA29E7" w:rsidP="00CA29E7">
      <w:pPr>
        <w:pStyle w:val="NormalTight"/>
      </w:pPr>
      <w:r>
        <w:t>GPO Box 4379</w:t>
      </w:r>
    </w:p>
    <w:p w14:paraId="60400DF9" w14:textId="77777777" w:rsidR="00CA29E7" w:rsidRDefault="00CA29E7" w:rsidP="00CA29E7">
      <w:pPr>
        <w:pStyle w:val="NormalTight"/>
      </w:pPr>
      <w:r>
        <w:t>Melbourne Victoria 3001 Australia</w:t>
      </w:r>
    </w:p>
    <w:p w14:paraId="1464F488" w14:textId="77777777" w:rsidR="00CA29E7" w:rsidRDefault="00CA29E7" w:rsidP="00CA29E7">
      <w:pPr>
        <w:pStyle w:val="NormalTight"/>
      </w:pPr>
      <w:r>
        <w:t>Telephone: 03 7005 9772</w:t>
      </w:r>
    </w:p>
    <w:p w14:paraId="0005CE8A" w14:textId="77777777" w:rsidR="00CA29E7" w:rsidRDefault="00CA29E7" w:rsidP="00CA29E7">
      <w:pPr>
        <w:pStyle w:val="NormalTight"/>
      </w:pPr>
      <w:r>
        <w:t xml:space="preserve">Email: </w:t>
      </w:r>
      <w:hyperlink r:id="rId14" w:history="1">
        <w:r w:rsidRPr="00457651">
          <w:rPr>
            <w:rStyle w:val="Hyperlink"/>
          </w:rPr>
          <w:t>contact@betterreg.vic.gov.au</w:t>
        </w:r>
      </w:hyperlink>
    </w:p>
    <w:p w14:paraId="79D14265" w14:textId="77777777" w:rsidR="00CA29E7" w:rsidRDefault="00CA29E7" w:rsidP="00CA29E7">
      <w:pPr>
        <w:pStyle w:val="NormalTight"/>
      </w:pPr>
      <w:r>
        <w:t xml:space="preserve">Webpage: </w:t>
      </w:r>
      <w:hyperlink r:id="rId15" w:history="1">
        <w:r w:rsidRPr="00457651">
          <w:rPr>
            <w:rStyle w:val="Hyperlink"/>
          </w:rPr>
          <w:t>www.betterregulation.vic.gov.au</w:t>
        </w:r>
      </w:hyperlink>
      <w:r>
        <w:t xml:space="preserve"> </w:t>
      </w:r>
    </w:p>
    <w:p w14:paraId="6BED1AB8" w14:textId="77777777" w:rsidR="00CA29E7" w:rsidRDefault="00CA29E7" w:rsidP="00CA29E7">
      <w:pPr>
        <w:pStyle w:val="NormalTight"/>
      </w:pPr>
    </w:p>
    <w:p w14:paraId="0227008E" w14:textId="77777777" w:rsidR="00CA29E7" w:rsidRPr="00C92338" w:rsidRDefault="00CA29E7" w:rsidP="00CA29E7">
      <w:pPr>
        <w:pStyle w:val="NormalTight"/>
      </w:pPr>
      <w:r w:rsidRPr="00C92338">
        <w:t>Authorised by the Victorian Government</w:t>
      </w:r>
    </w:p>
    <w:p w14:paraId="2D4CF6DE" w14:textId="77777777" w:rsidR="00CA29E7" w:rsidRPr="00C92338" w:rsidRDefault="00CA29E7" w:rsidP="00CA29E7">
      <w:pPr>
        <w:pStyle w:val="NormalTight"/>
      </w:pPr>
      <w:r w:rsidRPr="00C92338">
        <w:t>1 Treasury Place, Melbourne, 3002</w:t>
      </w:r>
    </w:p>
    <w:p w14:paraId="7CA76DBA" w14:textId="77777777" w:rsidR="00CA29E7" w:rsidRDefault="00CA29E7" w:rsidP="00CA29E7">
      <w:pPr>
        <w:pStyle w:val="NormalTight"/>
      </w:pPr>
    </w:p>
    <w:p w14:paraId="3E296990" w14:textId="2787411B" w:rsidR="00CA29E7" w:rsidRDefault="00CA29E7" w:rsidP="00CA29E7">
      <w:pPr>
        <w:pStyle w:val="NormalTight"/>
      </w:pPr>
      <w:r>
        <w:t>© State of Victoria 202</w:t>
      </w:r>
      <w:r w:rsidR="00B404C7">
        <w:t>3</w:t>
      </w:r>
    </w:p>
    <w:p w14:paraId="55C38FDB" w14:textId="77777777" w:rsidR="00CA29E7" w:rsidRDefault="00CA29E7" w:rsidP="00CA29E7">
      <w:r w:rsidRPr="00C92338">
        <w:rPr>
          <w:noProof/>
        </w:rPr>
        <w:drawing>
          <wp:inline distT="0" distB="0" distL="0" distR="0" wp14:anchorId="532E1042" wp14:editId="29328FFD">
            <wp:extent cx="1117460" cy="390972"/>
            <wp:effectExtent l="0" t="0" r="6985" b="9525"/>
            <wp:docPr id="5" name="Picture 5">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4A729688" w14:textId="77777777" w:rsidR="00CA29E7" w:rsidRDefault="00CA29E7" w:rsidP="00CA29E7">
      <w:pPr>
        <w:pStyle w:val="NormalTight"/>
        <w:spacing w:before="60" w:afterLines="60" w:after="144"/>
      </w:pPr>
      <w:r>
        <w:t>You are free to re</w:t>
      </w:r>
      <w:r>
        <w:noBreakHyphen/>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2905AE4F" w14:textId="77777777" w:rsidR="00CA29E7" w:rsidRDefault="00CA29E7" w:rsidP="00CA29E7">
      <w:pPr>
        <w:pStyle w:val="NormalTight"/>
        <w:spacing w:before="60" w:afterLines="60" w:after="144"/>
      </w:pPr>
      <w:r>
        <w:t xml:space="preserve">Copyright queries may be directed to </w:t>
      </w:r>
      <w:hyperlink r:id="rId18" w:history="1">
        <w:r w:rsidRPr="00457651">
          <w:rPr>
            <w:rStyle w:val="Hyperlink"/>
          </w:rPr>
          <w:t>IPpolicy@dtf.vic.gov.au</w:t>
        </w:r>
      </w:hyperlink>
    </w:p>
    <w:p w14:paraId="59FCCA70" w14:textId="52DAE182" w:rsidR="00CA29E7" w:rsidRDefault="00CA29E7" w:rsidP="00CA29E7">
      <w:pPr>
        <w:pStyle w:val="NormalTight"/>
        <w:spacing w:before="60" w:afterLines="60" w:after="144"/>
      </w:pPr>
      <w:r>
        <w:t>Published</w:t>
      </w:r>
      <w:r w:rsidRPr="006E47AA">
        <w:t xml:space="preserve"> </w:t>
      </w:r>
      <w:r w:rsidRPr="00CA29E7">
        <w:t>March 2022</w:t>
      </w:r>
    </w:p>
    <w:p w14:paraId="51EF1E4D" w14:textId="77777777" w:rsidR="00CA29E7" w:rsidRDefault="00CA29E7" w:rsidP="00CA29E7">
      <w:pPr>
        <w:pStyle w:val="NormalTight"/>
        <w:spacing w:before="60" w:afterLines="60" w:after="144"/>
      </w:pPr>
      <w:r>
        <w:t xml:space="preserve">If you would like to receive this publication in a different format please email </w:t>
      </w:r>
      <w:hyperlink r:id="rId19" w:history="1">
        <w:r w:rsidRPr="00457651">
          <w:rPr>
            <w:rStyle w:val="Hyperlink"/>
          </w:rPr>
          <w:t>contact@betterreg.vic.gov.au</w:t>
        </w:r>
      </w:hyperlink>
    </w:p>
    <w:p w14:paraId="5D6A543A" w14:textId="77777777" w:rsidR="00CA29E7" w:rsidRDefault="00CA29E7" w:rsidP="00CA29E7">
      <w:pPr>
        <w:pStyle w:val="NormalTight"/>
        <w:spacing w:before="60" w:afterLines="60" w:after="144"/>
      </w:pPr>
      <w:r>
        <w:t xml:space="preserve">This document is also available in Word and PDF formats at </w:t>
      </w:r>
      <w:hyperlink r:id="rId20" w:history="1">
        <w:r w:rsidRPr="00457651">
          <w:rPr>
            <w:rStyle w:val="Hyperlink"/>
          </w:rPr>
          <w:t>www.betterregulation.vic.gov.au</w:t>
        </w:r>
      </w:hyperlink>
    </w:p>
    <w:p w14:paraId="299C11A3" w14:textId="77777777" w:rsidR="001A0CE2" w:rsidRDefault="001A0CE2" w:rsidP="00C066DE">
      <w:pPr>
        <w:pStyle w:val="Heading1"/>
        <w:sectPr w:rsidR="001A0CE2" w:rsidSect="00EA7591">
          <w:headerReference w:type="even" r:id="rId21"/>
          <w:headerReference w:type="default" r:id="rId22"/>
          <w:footerReference w:type="even" r:id="rId23"/>
          <w:footerReference w:type="default" r:id="rId24"/>
          <w:headerReference w:type="first" r:id="rId25"/>
          <w:pgSz w:w="11906" w:h="16838" w:code="9"/>
          <w:pgMar w:top="2160" w:right="1440" w:bottom="1728" w:left="1440" w:header="562" w:footer="461" w:gutter="0"/>
          <w:cols w:space="708"/>
          <w:docGrid w:linePitch="360"/>
        </w:sectPr>
      </w:pPr>
    </w:p>
    <w:p w14:paraId="018A41A7" w14:textId="397E2B4B" w:rsidR="00C671DA" w:rsidRPr="00874559" w:rsidRDefault="003C692D" w:rsidP="00C066DE">
      <w:pPr>
        <w:pStyle w:val="Heading1"/>
      </w:pPr>
      <w:r w:rsidRPr="4FCA2E5A">
        <w:lastRenderedPageBreak/>
        <w:t>The role of this handbook</w:t>
      </w:r>
    </w:p>
    <w:p w14:paraId="7F9F0623" w14:textId="77777777" w:rsidR="0099188F" w:rsidRPr="0099188F" w:rsidRDefault="0099188F" w:rsidP="00EF0440">
      <w:pPr>
        <w:pStyle w:val="Heading2"/>
      </w:pPr>
      <w:r>
        <w:t>Introduction</w:t>
      </w:r>
    </w:p>
    <w:p w14:paraId="7330019F" w14:textId="5CEE8573" w:rsidR="0099188F" w:rsidRDefault="7A0030B2" w:rsidP="53B7B868">
      <w:r>
        <w:t xml:space="preserve">This Handbook is a supporting resource to the </w:t>
      </w:r>
      <w:r w:rsidRPr="53B7B868">
        <w:rPr>
          <w:i/>
          <w:iCs/>
        </w:rPr>
        <w:t xml:space="preserve">Towards Best Practice </w:t>
      </w:r>
      <w:r>
        <w:t>guide, for use by regulator</w:t>
      </w:r>
      <w:r w:rsidR="440F976B">
        <w:t xml:space="preserve"> staff</w:t>
      </w:r>
      <w:r>
        <w:t xml:space="preserve"> and those charged with delivering practice improvements. </w:t>
      </w:r>
    </w:p>
    <w:p w14:paraId="16A851E3" w14:textId="0F5B5237" w:rsidR="0099188F" w:rsidRDefault="7A0030B2" w:rsidP="53B7B868">
      <w:r>
        <w:t>It has been developed in consultation with a working group of Victorian regulators</w:t>
      </w:r>
      <w:r w:rsidR="2F8849E3">
        <w:t xml:space="preserve">, to help </w:t>
      </w:r>
      <w:r w:rsidR="51AD0438">
        <w:t xml:space="preserve">regulators to identify and deliver products or documents to </w:t>
      </w:r>
      <w:r w:rsidR="67DB9C91">
        <w:t>meet</w:t>
      </w:r>
      <w:r w:rsidR="16344DAC">
        <w:t xml:space="preserve"> the </w:t>
      </w:r>
      <w:r w:rsidR="13081F07" w:rsidRPr="53B7B868">
        <w:rPr>
          <w:i/>
          <w:iCs/>
        </w:rPr>
        <w:t xml:space="preserve">Towards Best Practice </w:t>
      </w:r>
      <w:r w:rsidR="13081F07" w:rsidRPr="53B7B868">
        <w:t>principle</w:t>
      </w:r>
      <w:r w:rsidR="1051E96A" w:rsidRPr="53B7B868">
        <w:t>s</w:t>
      </w:r>
      <w:r w:rsidR="498D3BE6" w:rsidRPr="53B7B868">
        <w:t xml:space="preserve">. </w:t>
      </w:r>
    </w:p>
    <w:p w14:paraId="5A798447" w14:textId="157BD471" w:rsidR="0099188F" w:rsidRDefault="1EF38132" w:rsidP="53B7B868">
      <w:r>
        <w:t>This resource complements a broader package of regulator guidan</w:t>
      </w:r>
      <w:r w:rsidR="7E268A81">
        <w:t>ce and support materials, including advice tailored to regulator boards and to departments.</w:t>
      </w:r>
      <w:r w:rsidR="137AEEC2">
        <w:t xml:space="preserve"> This package of guidance is available at: https://www.vic.gov.au/towards-best-practice-guide-regulators.</w:t>
      </w:r>
    </w:p>
    <w:p w14:paraId="555E33BA" w14:textId="39691797" w:rsidR="0099188F" w:rsidRDefault="00DD68B3" w:rsidP="53B7B868">
      <w:pPr>
        <w:pStyle w:val="Caption"/>
      </w:pPr>
      <w:r>
        <w:t>Regulator guidance package</w:t>
      </w:r>
    </w:p>
    <w:p w14:paraId="7D4B0B26" w14:textId="77777777" w:rsidR="002A41E4" w:rsidRPr="002A41E4" w:rsidRDefault="002A41E4" w:rsidP="002A41E4"/>
    <w:p w14:paraId="47678914" w14:textId="1F9FE729" w:rsidR="00AA6236" w:rsidRPr="0099188F" w:rsidRDefault="00334D27" w:rsidP="0099188F">
      <w:pPr>
        <w:spacing w:after="0" w:line="240" w:lineRule="auto"/>
        <w:contextualSpacing/>
        <w:rPr>
          <w:b/>
          <w:bCs/>
        </w:rPr>
      </w:pPr>
      <w:r w:rsidRPr="00334D27">
        <w:rPr>
          <w:b/>
          <w:bCs/>
          <w:noProof/>
        </w:rPr>
        <w:drawing>
          <wp:inline distT="0" distB="0" distL="0" distR="0" wp14:anchorId="5473E337" wp14:editId="75017867">
            <wp:extent cx="5731510" cy="3439795"/>
            <wp:effectExtent l="19050" t="0" r="2540" b="27305"/>
            <wp:docPr id="2" name="Diagram 2">
              <a:extLst xmlns:a="http://schemas.openxmlformats.org/drawingml/2006/main">
                <a:ext uri="{FF2B5EF4-FFF2-40B4-BE49-F238E27FC236}">
                  <a16:creationId xmlns:a16="http://schemas.microsoft.com/office/drawing/2014/main" id="{562D49B6-42E5-965A-4FC0-B09CA8A570B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4FC7E86" w14:textId="3F3F260F" w:rsidR="00DD68B3" w:rsidRDefault="00DD68B3" w:rsidP="0099188F">
      <w:pPr>
        <w:spacing w:after="0" w:line="240" w:lineRule="auto"/>
        <w:contextualSpacing/>
        <w:rPr>
          <w:b/>
          <w:bCs/>
        </w:rPr>
      </w:pPr>
    </w:p>
    <w:p w14:paraId="7789565C" w14:textId="32EF64D8" w:rsidR="0099188F" w:rsidRPr="0099188F" w:rsidRDefault="0099188F" w:rsidP="00FD000D">
      <w:pPr>
        <w:pStyle w:val="Heading2"/>
        <w:pageBreakBefore/>
      </w:pPr>
      <w:r w:rsidRPr="60AF1998">
        <w:lastRenderedPageBreak/>
        <w:t xml:space="preserve">How to use this </w:t>
      </w:r>
      <w:r w:rsidR="2A37A7E5" w:rsidRPr="60AF1998">
        <w:t xml:space="preserve">handbook </w:t>
      </w:r>
    </w:p>
    <w:p w14:paraId="72C10FD7" w14:textId="248B6B42" w:rsidR="0099188F" w:rsidRPr="0099188F" w:rsidRDefault="0099188F" w:rsidP="00C710BF">
      <w:r>
        <w:t xml:space="preserve">This handbook outlines the rationale for the 10 </w:t>
      </w:r>
      <w:r w:rsidRPr="53B7B868">
        <w:rPr>
          <w:i/>
          <w:iCs/>
        </w:rPr>
        <w:t>Towards Best Practice</w:t>
      </w:r>
      <w:r w:rsidRPr="53B7B868">
        <w:rPr>
          <w:i/>
          <w:iCs/>
          <w:color w:val="2B579A"/>
        </w:rPr>
        <w:t xml:space="preserve"> </w:t>
      </w:r>
      <w:r>
        <w:t xml:space="preserve">Principles, summarises the kind of </w:t>
      </w:r>
      <w:r w:rsidR="22578668">
        <w:t xml:space="preserve">processes or documents </w:t>
      </w:r>
      <w:r>
        <w:t>you might need to produce to help meet the principle</w:t>
      </w:r>
      <w:r w:rsidR="6AB262C6">
        <w:t>s</w:t>
      </w:r>
      <w:r>
        <w:t xml:space="preserve">, and considerations for how to best deliver. </w:t>
      </w:r>
    </w:p>
    <w:p w14:paraId="6FFDAE36" w14:textId="38A66C39" w:rsidR="0099188F" w:rsidRPr="0099188F" w:rsidRDefault="0099188F" w:rsidP="53B7B868">
      <w:r>
        <w:t>These suggest</w:t>
      </w:r>
      <w:r w:rsidR="0AC6C502">
        <w:t>ions</w:t>
      </w:r>
      <w:r w:rsidR="5DD03CF4">
        <w:t xml:space="preserve"> </w:t>
      </w:r>
      <w:r>
        <w:t xml:space="preserve">are based </w:t>
      </w:r>
      <w:r w:rsidR="007D6D70">
        <w:t xml:space="preserve">on </w:t>
      </w:r>
      <w:r>
        <w:t xml:space="preserve">regulator experience in delivering </w:t>
      </w:r>
      <w:r w:rsidR="6484ECF3">
        <w:t>improvements</w:t>
      </w:r>
      <w:r w:rsidR="7560FE5A">
        <w:t>.</w:t>
      </w:r>
      <w:r w:rsidR="6484ECF3">
        <w:t xml:space="preserve"> </w:t>
      </w:r>
      <w:r w:rsidR="00786C2D">
        <w:t>They</w:t>
      </w:r>
      <w:r>
        <w:t xml:space="preserve"> are not mandatory requirements or performance benchmarks.</w:t>
      </w:r>
      <w:r w:rsidR="138B22E6">
        <w:t xml:space="preserve"> </w:t>
      </w:r>
    </w:p>
    <w:p w14:paraId="2E98F400" w14:textId="2B190678" w:rsidR="0099188F" w:rsidRPr="0099188F" w:rsidRDefault="0099188F" w:rsidP="00C710BF">
      <w:r>
        <w:t xml:space="preserve">The </w:t>
      </w:r>
      <w:r w:rsidR="60FC6B99">
        <w:t xml:space="preserve">suggested </w:t>
      </w:r>
      <w:r>
        <w:t xml:space="preserve">documents align with those that might be requested or enquired about by regulator </w:t>
      </w:r>
      <w:r w:rsidR="3F9DA710">
        <w:t>c</w:t>
      </w:r>
      <w:r>
        <w:t xml:space="preserve">hairs or </w:t>
      </w:r>
      <w:r w:rsidR="3E121E6C">
        <w:t>b</w:t>
      </w:r>
      <w:r>
        <w:t xml:space="preserve">oards, consistent with the </w:t>
      </w:r>
      <w:r w:rsidRPr="53B7B868">
        <w:rPr>
          <w:i/>
          <w:iCs/>
        </w:rPr>
        <w:t xml:space="preserve">Supporting Best Practice </w:t>
      </w:r>
      <w:r w:rsidR="059161D1">
        <w:t>p</w:t>
      </w:r>
      <w:r>
        <w:t>aper</w:t>
      </w:r>
      <w:r w:rsidR="1890E4D5">
        <w:t xml:space="preserve"> for chairs and boards</w:t>
      </w:r>
      <w:r w:rsidR="62183F6E">
        <w:t xml:space="preserve">. However, they are </w:t>
      </w:r>
      <w:r w:rsidR="55176A5B">
        <w:t>also</w:t>
      </w:r>
      <w:r w:rsidR="62183F6E">
        <w:t xml:space="preserve"> applicable to regulators who do not have a governing board</w:t>
      </w:r>
      <w:r w:rsidR="00577819">
        <w:t>.</w:t>
      </w:r>
    </w:p>
    <w:p w14:paraId="311678C6" w14:textId="330A3173" w:rsidR="0099188F" w:rsidRPr="0099188F" w:rsidRDefault="0099188F" w:rsidP="00C710BF">
      <w:r>
        <w:t>Relevant definitions, resources or examples are also provided where suitable</w:t>
      </w:r>
      <w:r w:rsidR="3A9552F9">
        <w:t xml:space="preserve">, to complement those in </w:t>
      </w:r>
      <w:r w:rsidR="3A9552F9" w:rsidRPr="1FF41374">
        <w:rPr>
          <w:i/>
          <w:iCs/>
        </w:rPr>
        <w:t>Towards Best Practice</w:t>
      </w:r>
      <w:r>
        <w:t>.</w:t>
      </w:r>
    </w:p>
    <w:p w14:paraId="2E296BAC" w14:textId="761C663B" w:rsidR="0099188F" w:rsidRPr="0099188F" w:rsidRDefault="52D89F64" w:rsidP="00C710BF">
      <w:r>
        <w:t>Whilst</w:t>
      </w:r>
      <w:r w:rsidR="0099188F">
        <w:t xml:space="preserve"> each regulator </w:t>
      </w:r>
      <w:r w:rsidR="3F206CC8">
        <w:t xml:space="preserve">and their </w:t>
      </w:r>
      <w:r w:rsidR="0099188F">
        <w:t xml:space="preserve">context </w:t>
      </w:r>
      <w:r w:rsidR="440CA9EA">
        <w:t>differ</w:t>
      </w:r>
      <w:r w:rsidR="3BFEC950">
        <w:t>,</w:t>
      </w:r>
      <w:r w:rsidR="27E750AA">
        <w:t xml:space="preserve"> </w:t>
      </w:r>
      <w:r w:rsidR="39C319BC">
        <w:t xml:space="preserve">this </w:t>
      </w:r>
      <w:r w:rsidR="11BAE378">
        <w:t>document</w:t>
      </w:r>
      <w:r w:rsidR="39C319BC">
        <w:t xml:space="preserve"> provides common</w:t>
      </w:r>
      <w:r w:rsidR="16A7B6EE">
        <w:t xml:space="preserve"> approaches and considerations for responding to the principles</w:t>
      </w:r>
      <w:r w:rsidR="39C319BC">
        <w:t>.</w:t>
      </w:r>
    </w:p>
    <w:p w14:paraId="1BC672B5" w14:textId="77777777" w:rsidR="005A36F7" w:rsidRDefault="005A36F7">
      <w:pPr>
        <w:keepLines w:val="0"/>
        <w:spacing w:before="0" w:after="160" w:line="259" w:lineRule="auto"/>
        <w:rPr>
          <w:rFonts w:asciiTheme="majorHAnsi" w:eastAsiaTheme="majorEastAsia" w:hAnsiTheme="majorHAnsi" w:cstheme="majorBidi"/>
          <w:bCs/>
          <w:color w:val="00B2A9" w:themeColor="accent1"/>
          <w:sz w:val="36"/>
          <w:szCs w:val="28"/>
        </w:rPr>
      </w:pPr>
      <w:r>
        <w:br w:type="page"/>
      </w:r>
    </w:p>
    <w:p w14:paraId="6C72E018" w14:textId="20F96C8F" w:rsidR="0099188F" w:rsidRDefault="0099188F" w:rsidP="00C710BF">
      <w:pPr>
        <w:pStyle w:val="Heading1"/>
      </w:pPr>
      <w:r w:rsidRPr="0099188F">
        <w:lastRenderedPageBreak/>
        <w:t>Strategy</w:t>
      </w:r>
    </w:p>
    <w:p w14:paraId="2C860785" w14:textId="1D89B934" w:rsidR="00F77F3B" w:rsidRPr="002A4428" w:rsidRDefault="00F77F3B" w:rsidP="00F77F3B">
      <w:pPr>
        <w:pStyle w:val="Principle"/>
        <w:pageBreakBefore w:val="0"/>
      </w:pPr>
      <w:bookmarkStart w:id="0" w:name="_Hlk89783889"/>
      <w:bookmarkStart w:id="1" w:name="_Toc100589337"/>
      <w:r w:rsidRPr="002A4428">
        <w:t>Be clear on your regulatory outcome and the harms you are trying to minimise</w:t>
      </w:r>
      <w:bookmarkEnd w:id="0"/>
      <w:bookmarkEnd w:id="1"/>
    </w:p>
    <w:p w14:paraId="2021EDE1" w14:textId="77777777" w:rsidR="0099188F" w:rsidRPr="0099188F" w:rsidRDefault="0099188F" w:rsidP="00C710BF">
      <w:pPr>
        <w:rPr>
          <w:lang w:val="en-US"/>
        </w:rPr>
      </w:pPr>
      <w:r w:rsidRPr="0099188F">
        <w:t xml:space="preserve">The sub-elements of principle one guide regulators on how to define their operating context and goals. They focus both on </w:t>
      </w:r>
      <w:r w:rsidRPr="0099188F">
        <w:rPr>
          <w:i/>
          <w:iCs/>
        </w:rPr>
        <w:t xml:space="preserve">harms, </w:t>
      </w:r>
      <w:r w:rsidRPr="0099188F">
        <w:t xml:space="preserve">or problems in the external environment, and other objectives of regulatory schemes. </w:t>
      </w:r>
    </w:p>
    <w:p w14:paraId="7B166521" w14:textId="6B9341DC" w:rsidR="0099188F" w:rsidRPr="0099188F" w:rsidRDefault="5F70150F" w:rsidP="00C710BF">
      <w:r>
        <w:t>Overall, this principle asks regulators to understand and define their context and outcomes</w:t>
      </w:r>
      <w:r w:rsidR="5F1FB9F5">
        <w:t xml:space="preserve">, </w:t>
      </w:r>
      <w:r>
        <w:t>Documents should be understood and made relevant to regulatory staff, to guide their operational practices.</w:t>
      </w:r>
    </w:p>
    <w:p w14:paraId="2094B89B" w14:textId="43A96423" w:rsidR="0099188F" w:rsidRPr="0099188F" w:rsidRDefault="00A839C0" w:rsidP="00C710BF">
      <w:r w:rsidRPr="00A839C0">
        <w:t>To help meet this principle, consider engaging staff to develop processes or documents outlining:</w:t>
      </w:r>
    </w:p>
    <w:p w14:paraId="047ACB8F" w14:textId="3B175326" w:rsidR="0099188F" w:rsidRPr="00083ABB" w:rsidRDefault="0099188F" w:rsidP="00083ABB">
      <w:pPr>
        <w:pStyle w:val="Bullet1"/>
      </w:pPr>
      <w:r w:rsidRPr="00083ABB">
        <w:t xml:space="preserve">Your regulatory outcomes, objectives, </w:t>
      </w:r>
      <w:r w:rsidR="00C24871" w:rsidRPr="00083ABB">
        <w:t xml:space="preserve">and </w:t>
      </w:r>
      <w:r w:rsidRPr="00083ABB">
        <w:t>priority harms</w:t>
      </w:r>
    </w:p>
    <w:p w14:paraId="75DFD7BB" w14:textId="77777777" w:rsidR="0099188F" w:rsidRPr="00083ABB" w:rsidRDefault="0099188F" w:rsidP="00083ABB">
      <w:pPr>
        <w:pStyle w:val="Bullet1"/>
      </w:pPr>
      <w:r w:rsidRPr="00083ABB">
        <w:t>Your role, in contrast to other regulators and government, in minimising those harms</w:t>
      </w:r>
    </w:p>
    <w:p w14:paraId="27641646" w14:textId="115DF42F" w:rsidR="0099188F" w:rsidRPr="00083ABB" w:rsidRDefault="0099188F" w:rsidP="00083ABB">
      <w:pPr>
        <w:pStyle w:val="Bullet1"/>
      </w:pPr>
      <w:r>
        <w:t>The duty holder group(s) responsible for those harms, to guide regulatory effort</w:t>
      </w:r>
      <w:r w:rsidR="64290542">
        <w:t>.</w:t>
      </w:r>
    </w:p>
    <w:p w14:paraId="45B7404A" w14:textId="6EDD7458" w:rsidR="0099188F" w:rsidRDefault="0099188F" w:rsidP="001A0CE2">
      <w:pPr>
        <w:keepNext/>
      </w:pPr>
      <w:r>
        <w:t>To best deliver these, consider the following approaches as appropriate to your context:</w:t>
      </w:r>
    </w:p>
    <w:tbl>
      <w:tblPr>
        <w:tblStyle w:val="Texttable"/>
        <w:tblW w:w="4999" w:type="pct"/>
        <w:tblLayout w:type="fixed"/>
        <w:tblLook w:val="0620" w:firstRow="1" w:lastRow="0" w:firstColumn="0" w:lastColumn="0" w:noHBand="1" w:noVBand="1"/>
      </w:tblPr>
      <w:tblGrid>
        <w:gridCol w:w="1890"/>
        <w:gridCol w:w="7134"/>
      </w:tblGrid>
      <w:tr w:rsidR="00C03E39" w:rsidRPr="00C4460A" w14:paraId="54C16414" w14:textId="77777777" w:rsidTr="33378111">
        <w:trPr>
          <w:cnfStyle w:val="100000000000" w:firstRow="1" w:lastRow="0" w:firstColumn="0" w:lastColumn="0" w:oddVBand="0" w:evenVBand="0" w:oddHBand="0" w:evenHBand="0" w:firstRowFirstColumn="0" w:firstRowLastColumn="0" w:lastRowFirstColumn="0" w:lastRowLastColumn="0"/>
          <w:trHeight w:val="340"/>
          <w:tblHeader/>
        </w:trPr>
        <w:tc>
          <w:tcPr>
            <w:tcW w:w="1047" w:type="pct"/>
          </w:tcPr>
          <w:p w14:paraId="47319FAA" w14:textId="77777777" w:rsidR="00C03E39" w:rsidRPr="00C4460A" w:rsidRDefault="00C03E39" w:rsidP="00F77F3B">
            <w:pPr>
              <w:pStyle w:val="Tableheader"/>
            </w:pPr>
            <w:r w:rsidRPr="00C4460A">
              <w:t xml:space="preserve">Action area </w:t>
            </w:r>
          </w:p>
        </w:tc>
        <w:tc>
          <w:tcPr>
            <w:tcW w:w="3953" w:type="pct"/>
          </w:tcPr>
          <w:p w14:paraId="55C7152C" w14:textId="39C76D83" w:rsidR="00C03E39" w:rsidRPr="00C4460A" w:rsidRDefault="4AAC7FC9" w:rsidP="00F77F3B">
            <w:pPr>
              <w:pStyle w:val="Tableheader"/>
            </w:pPr>
            <w:r w:rsidRPr="48255162">
              <w:t>Rationale and c</w:t>
            </w:r>
            <w:r w:rsidR="009A59D6" w:rsidRPr="48255162">
              <w:t xml:space="preserve">onsiderations for </w:t>
            </w:r>
            <w:r w:rsidR="7D607F87" w:rsidRPr="48255162">
              <w:t>i</w:t>
            </w:r>
            <w:r w:rsidR="009A59D6" w:rsidRPr="48255162">
              <w:t>mplementing</w:t>
            </w:r>
          </w:p>
        </w:tc>
      </w:tr>
      <w:tr w:rsidR="00C03E39" w:rsidRPr="00C4460A" w14:paraId="6E9D047C" w14:textId="77777777" w:rsidTr="33378111">
        <w:trPr>
          <w:trHeight w:val="340"/>
        </w:trPr>
        <w:tc>
          <w:tcPr>
            <w:tcW w:w="1047" w:type="pct"/>
          </w:tcPr>
          <w:p w14:paraId="1A2940BD" w14:textId="3164352E" w:rsidR="00C03E39" w:rsidRPr="00C4460A" w:rsidRDefault="5D1B0C71" w:rsidP="00796435">
            <w:pPr>
              <w:pStyle w:val="Tabletext"/>
              <w:spacing w:before="120"/>
            </w:pPr>
            <w:r>
              <w:t xml:space="preserve">Demonstrate </w:t>
            </w:r>
            <w:bookmarkStart w:id="2" w:name="_Int_vwaaTrHW"/>
            <w:r>
              <w:t>a harms</w:t>
            </w:r>
            <w:bookmarkEnd w:id="2"/>
            <w:r>
              <w:t xml:space="preserve"> focus within key strategy documents</w:t>
            </w:r>
          </w:p>
        </w:tc>
        <w:tc>
          <w:tcPr>
            <w:tcW w:w="3953" w:type="pct"/>
          </w:tcPr>
          <w:p w14:paraId="2D458BB3" w14:textId="6BD94274" w:rsidR="000F2953" w:rsidRPr="004D3064" w:rsidRDefault="00C03E39" w:rsidP="00A459F7">
            <w:pPr>
              <w:rPr>
                <w:rFonts w:asciiTheme="majorHAnsi" w:hAnsiTheme="majorHAnsi"/>
                <w:b/>
                <w:bCs/>
              </w:rPr>
            </w:pPr>
            <w:r w:rsidRPr="004D3064">
              <w:rPr>
                <w:rFonts w:asciiTheme="majorHAnsi" w:hAnsiTheme="majorHAnsi"/>
              </w:rPr>
              <w:t>Helps to align organisational culture around harms</w:t>
            </w:r>
          </w:p>
          <w:p w14:paraId="498829A6" w14:textId="6C3B27ED" w:rsidR="000F2953" w:rsidRPr="00C4460A" w:rsidRDefault="4B661270" w:rsidP="00083ABB">
            <w:pPr>
              <w:pStyle w:val="Tabletext"/>
              <w:rPr>
                <w:b/>
                <w:bCs/>
              </w:rPr>
            </w:pPr>
            <w:r w:rsidRPr="043146FE">
              <w:rPr>
                <w:b/>
                <w:bCs/>
              </w:rPr>
              <w:t>Considerations</w:t>
            </w:r>
            <w:r w:rsidR="78643ACE" w:rsidRPr="043146FE">
              <w:rPr>
                <w:b/>
                <w:bCs/>
              </w:rPr>
              <w:t xml:space="preserve">: </w:t>
            </w:r>
          </w:p>
          <w:p w14:paraId="70D8A8E1" w14:textId="4727167D" w:rsidR="00E12373" w:rsidRPr="00C4460A" w:rsidRDefault="00E12373" w:rsidP="00083ABB">
            <w:pPr>
              <w:pStyle w:val="Tablebullet"/>
            </w:pPr>
            <w:r w:rsidRPr="00C4460A">
              <w:t>Produce vision and role statements that explain your role within the broader regulatory system.</w:t>
            </w:r>
            <w:r w:rsidRPr="1A8E4B59">
              <w:rPr>
                <w:rFonts w:ascii="Cambria Math" w:hAnsi="Cambria Math" w:cs="Cambria Math"/>
              </w:rPr>
              <w:t> </w:t>
            </w:r>
          </w:p>
          <w:p w14:paraId="4C5861AF" w14:textId="64692AAE" w:rsidR="00E12373" w:rsidRPr="00C4460A" w:rsidRDefault="00E12373" w:rsidP="00083ABB">
            <w:pPr>
              <w:pStyle w:val="Tablebullet"/>
            </w:pPr>
            <w:r w:rsidRPr="00C4460A">
              <w:t>Make commitments for how you will discharge your role.</w:t>
            </w:r>
            <w:r w:rsidRPr="00C4460A">
              <w:rPr>
                <w:rFonts w:ascii="Cambria Math" w:hAnsi="Cambria Math" w:cs="Cambria Math"/>
              </w:rPr>
              <w:t> </w:t>
            </w:r>
            <w:r w:rsidRPr="00C4460A">
              <w:t xml:space="preserve"> </w:t>
            </w:r>
          </w:p>
          <w:p w14:paraId="3BA55499" w14:textId="75A86038" w:rsidR="00C03E39" w:rsidRPr="00C4460A" w:rsidRDefault="00E12373" w:rsidP="00083ABB">
            <w:pPr>
              <w:pStyle w:val="Tablebullet"/>
              <w:rPr>
                <w:b/>
                <w:bCs/>
              </w:rPr>
            </w:pPr>
            <w:r w:rsidRPr="00C4460A">
              <w:t>Publish regulatory strategies, statements of intent, or other frameworks to describe harms, their causes, and their impacts.</w:t>
            </w:r>
            <w:r w:rsidRPr="00C4460A">
              <w:rPr>
                <w:rFonts w:ascii="Cambria Math" w:hAnsi="Cambria Math" w:cs="Cambria Math"/>
              </w:rPr>
              <w:t> </w:t>
            </w:r>
          </w:p>
        </w:tc>
      </w:tr>
      <w:tr w:rsidR="00C03E39" w:rsidRPr="00C4460A" w14:paraId="731F50BF" w14:textId="77777777" w:rsidTr="33378111">
        <w:trPr>
          <w:trHeight w:val="340"/>
        </w:trPr>
        <w:tc>
          <w:tcPr>
            <w:tcW w:w="1047" w:type="pct"/>
          </w:tcPr>
          <w:p w14:paraId="18C2085A" w14:textId="77777777" w:rsidR="00C03E39" w:rsidRPr="00C4460A" w:rsidRDefault="5B23B6B1" w:rsidP="00796435">
            <w:pPr>
              <w:pStyle w:val="Tabletext"/>
              <w:spacing w:before="120"/>
            </w:pPr>
            <w:r w:rsidRPr="4FCA2E5A">
              <w:t>Consider research to better understand harms</w:t>
            </w:r>
          </w:p>
        </w:tc>
        <w:tc>
          <w:tcPr>
            <w:tcW w:w="3953" w:type="pct"/>
          </w:tcPr>
          <w:p w14:paraId="48E6B5C5" w14:textId="283919C5" w:rsidR="00C03E39" w:rsidRPr="00BA20CA" w:rsidRDefault="00E5752A" w:rsidP="00A459F7">
            <w:pPr>
              <w:rPr>
                <w:rFonts w:asciiTheme="majorHAnsi" w:hAnsiTheme="majorHAnsi" w:cs="Calibri"/>
              </w:rPr>
            </w:pPr>
            <w:r w:rsidRPr="00BA20CA">
              <w:rPr>
                <w:rFonts w:asciiTheme="majorHAnsi" w:hAnsiTheme="majorHAnsi"/>
              </w:rPr>
              <w:t>A regulator can better focus its efforts b</w:t>
            </w:r>
            <w:r w:rsidR="00C03E39" w:rsidRPr="00BA20CA">
              <w:rPr>
                <w:rFonts w:asciiTheme="majorHAnsi" w:hAnsiTheme="majorHAnsi"/>
              </w:rPr>
              <w:t xml:space="preserve">y using </w:t>
            </w:r>
            <w:r w:rsidR="730E56B8" w:rsidRPr="00BA20CA">
              <w:rPr>
                <w:rFonts w:asciiTheme="majorHAnsi" w:hAnsiTheme="majorHAnsi"/>
              </w:rPr>
              <w:t xml:space="preserve">an appropriate mix of </w:t>
            </w:r>
            <w:r w:rsidR="00C03E39" w:rsidRPr="00BA20CA">
              <w:rPr>
                <w:rFonts w:asciiTheme="majorHAnsi" w:hAnsiTheme="majorHAnsi"/>
              </w:rPr>
              <w:t xml:space="preserve">house capabilities </w:t>
            </w:r>
            <w:r w:rsidR="7CE39E3A" w:rsidRPr="00BA20CA">
              <w:rPr>
                <w:rFonts w:asciiTheme="majorHAnsi" w:hAnsiTheme="majorHAnsi"/>
              </w:rPr>
              <w:t xml:space="preserve">and </w:t>
            </w:r>
            <w:r w:rsidR="00C03E39" w:rsidRPr="00BA20CA">
              <w:rPr>
                <w:rFonts w:asciiTheme="majorHAnsi" w:hAnsiTheme="majorHAnsi"/>
              </w:rPr>
              <w:t>third-party expertise</w:t>
            </w:r>
          </w:p>
          <w:p w14:paraId="31605BB3" w14:textId="77777777" w:rsidR="00E12373" w:rsidRPr="00C4460A" w:rsidRDefault="72E61826" w:rsidP="00A459F7">
            <w:pPr>
              <w:pStyle w:val="Tabletext"/>
              <w:rPr>
                <w:b/>
                <w:bCs/>
              </w:rPr>
            </w:pPr>
            <w:r w:rsidRPr="4FCA2E5A">
              <w:rPr>
                <w:b/>
                <w:bCs/>
              </w:rPr>
              <w:t>Considerations:</w:t>
            </w:r>
          </w:p>
          <w:p w14:paraId="36B30719" w14:textId="08DDA742" w:rsidR="6C91BCF3" w:rsidRDefault="6C91BCF3" w:rsidP="00083ABB">
            <w:pPr>
              <w:pStyle w:val="Tablebullet"/>
            </w:pPr>
            <w:r w:rsidRPr="4FCA2E5A">
              <w:t>Conduct horizon-scanning or other activities to identify emerging harms</w:t>
            </w:r>
            <w:r w:rsidR="00C24871">
              <w:t>.</w:t>
            </w:r>
          </w:p>
          <w:p w14:paraId="5B949021" w14:textId="17E06651" w:rsidR="00D41594" w:rsidRPr="00C4460A" w:rsidRDefault="00D41594" w:rsidP="00083ABB">
            <w:pPr>
              <w:pStyle w:val="Tablebullet"/>
            </w:pPr>
            <w:r w:rsidRPr="00C4460A">
              <w:t>Establish partnerships with research bodies to understand harms.</w:t>
            </w:r>
            <w:r w:rsidRPr="00C4460A">
              <w:rPr>
                <w:rFonts w:ascii="Cambria Math" w:hAnsi="Cambria Math" w:cs="Cambria Math"/>
              </w:rPr>
              <w:t> </w:t>
            </w:r>
            <w:r w:rsidRPr="00C4460A">
              <w:t xml:space="preserve"> </w:t>
            </w:r>
          </w:p>
          <w:p w14:paraId="5259F87B" w14:textId="77777777" w:rsidR="00D41594" w:rsidRPr="00C4460A" w:rsidRDefault="00D41594" w:rsidP="00083ABB">
            <w:pPr>
              <w:pStyle w:val="Tablebullet"/>
            </w:pPr>
            <w:r w:rsidRPr="00C4460A">
              <w:t>Conduct broad based research and industry analysis to inform strategic planning and goals.</w:t>
            </w:r>
            <w:r w:rsidRPr="00C4460A">
              <w:rPr>
                <w:rFonts w:ascii="Cambria Math" w:hAnsi="Cambria Math" w:cs="Cambria Math"/>
              </w:rPr>
              <w:t> </w:t>
            </w:r>
            <w:r w:rsidRPr="00C4460A">
              <w:t xml:space="preserve"> </w:t>
            </w:r>
          </w:p>
          <w:p w14:paraId="5669F784" w14:textId="3A664945" w:rsidR="00E12373" w:rsidRPr="00C4460A" w:rsidRDefault="370EB547" w:rsidP="00083ABB">
            <w:pPr>
              <w:pStyle w:val="Tablebullet"/>
            </w:pPr>
            <w:r w:rsidRPr="4FCA2E5A">
              <w:t xml:space="preserve">Identify and analyse harms </w:t>
            </w:r>
            <w:r w:rsidR="6C8767CA" w:rsidRPr="4FCA2E5A">
              <w:t>and how to tackle them</w:t>
            </w:r>
            <w:r w:rsidR="00C24871">
              <w:t>.</w:t>
            </w:r>
          </w:p>
          <w:p w14:paraId="66C72F8C" w14:textId="4A56EFF4" w:rsidR="00E12373" w:rsidRPr="00C4460A" w:rsidRDefault="0EA43C18" w:rsidP="00083ABB">
            <w:pPr>
              <w:pStyle w:val="Tablebullet"/>
            </w:pPr>
            <w:r w:rsidRPr="4FCA2E5A">
              <w:t xml:space="preserve">Apply </w:t>
            </w:r>
            <w:r w:rsidR="2071FE1A" w:rsidRPr="4FCA2E5A">
              <w:t xml:space="preserve">techniques such as data analysis and modelling, </w:t>
            </w:r>
            <w:r w:rsidR="370EB547" w:rsidRPr="4FCA2E5A">
              <w:t xml:space="preserve">regulatory experience, case studies </w:t>
            </w:r>
            <w:r w:rsidR="370EB547" w:rsidRPr="4FCA2E5A" w:rsidDel="00C24871">
              <w:t xml:space="preserve">and </w:t>
            </w:r>
            <w:r w:rsidR="370EB547" w:rsidRPr="4FCA2E5A">
              <w:t>engagement with duty holders and the community.</w:t>
            </w:r>
            <w:r w:rsidR="370EB547" w:rsidRPr="4FCA2E5A">
              <w:rPr>
                <w:rFonts w:ascii="Cambria Math" w:hAnsi="Cambria Math" w:cs="Cambria Math"/>
              </w:rPr>
              <w:t> </w:t>
            </w:r>
          </w:p>
        </w:tc>
      </w:tr>
      <w:tr w:rsidR="00C03E39" w:rsidRPr="00C4460A" w14:paraId="146302F9" w14:textId="77777777" w:rsidTr="33378111">
        <w:trPr>
          <w:trHeight w:val="340"/>
        </w:trPr>
        <w:tc>
          <w:tcPr>
            <w:tcW w:w="1047" w:type="pct"/>
          </w:tcPr>
          <w:p w14:paraId="1369A8D9" w14:textId="77777777" w:rsidR="00C03E39" w:rsidRPr="00C4460A" w:rsidRDefault="5B23B6B1" w:rsidP="00796435">
            <w:pPr>
              <w:pStyle w:val="Tabletext"/>
              <w:spacing w:before="120"/>
            </w:pPr>
            <w:r w:rsidRPr="4FCA2E5A">
              <w:lastRenderedPageBreak/>
              <w:t>Engage impacted stakeholders to understand harms</w:t>
            </w:r>
          </w:p>
        </w:tc>
        <w:tc>
          <w:tcPr>
            <w:tcW w:w="3953" w:type="pct"/>
          </w:tcPr>
          <w:p w14:paraId="42FB14F3" w14:textId="0C5804D0" w:rsidR="00C03E39" w:rsidRPr="00BA20CA" w:rsidRDefault="00C03E39" w:rsidP="00A459F7">
            <w:pPr>
              <w:rPr>
                <w:rFonts w:asciiTheme="majorHAnsi" w:hAnsiTheme="majorHAnsi"/>
              </w:rPr>
            </w:pPr>
            <w:r w:rsidRPr="00BA20CA">
              <w:rPr>
                <w:rFonts w:asciiTheme="majorHAnsi" w:hAnsiTheme="majorHAnsi"/>
              </w:rPr>
              <w:t xml:space="preserve">Helps to make sure </w:t>
            </w:r>
            <w:r w:rsidR="00EB1EBB" w:rsidRPr="00BA20CA">
              <w:rPr>
                <w:rFonts w:asciiTheme="majorHAnsi" w:hAnsiTheme="majorHAnsi"/>
              </w:rPr>
              <w:t xml:space="preserve">the regulator </w:t>
            </w:r>
            <w:r w:rsidRPr="00BA20CA">
              <w:rPr>
                <w:rFonts w:asciiTheme="majorHAnsi" w:hAnsiTheme="majorHAnsi"/>
              </w:rPr>
              <w:t>understand</w:t>
            </w:r>
            <w:r w:rsidR="3C33A0E1" w:rsidRPr="00BA20CA">
              <w:rPr>
                <w:rFonts w:asciiTheme="majorHAnsi" w:hAnsiTheme="majorHAnsi"/>
              </w:rPr>
              <w:t>s</w:t>
            </w:r>
            <w:r w:rsidRPr="00BA20CA">
              <w:rPr>
                <w:rFonts w:asciiTheme="majorHAnsi" w:hAnsiTheme="majorHAnsi"/>
              </w:rPr>
              <w:t xml:space="preserve"> </w:t>
            </w:r>
            <w:r w:rsidR="00AE62F0" w:rsidRPr="00BA20CA">
              <w:rPr>
                <w:rFonts w:asciiTheme="majorHAnsi" w:hAnsiTheme="majorHAnsi"/>
              </w:rPr>
              <w:t>the</w:t>
            </w:r>
            <w:r w:rsidR="00EB1EBB" w:rsidRPr="00BA20CA">
              <w:rPr>
                <w:rFonts w:asciiTheme="majorHAnsi" w:hAnsiTheme="majorHAnsi"/>
              </w:rPr>
              <w:t xml:space="preserve"> </w:t>
            </w:r>
            <w:r w:rsidRPr="00BA20CA">
              <w:rPr>
                <w:rFonts w:asciiTheme="majorHAnsi" w:hAnsiTheme="majorHAnsi"/>
              </w:rPr>
              <w:t xml:space="preserve">harms and </w:t>
            </w:r>
            <w:r w:rsidR="14BFC156" w:rsidRPr="00BA20CA">
              <w:rPr>
                <w:rFonts w:asciiTheme="majorHAnsi" w:hAnsiTheme="majorHAnsi"/>
              </w:rPr>
              <w:t xml:space="preserve">that </w:t>
            </w:r>
            <w:r w:rsidRPr="00BA20CA">
              <w:rPr>
                <w:rFonts w:asciiTheme="majorHAnsi" w:hAnsiTheme="majorHAnsi"/>
              </w:rPr>
              <w:t>stakeholder</w:t>
            </w:r>
            <w:r w:rsidR="00C24871" w:rsidRPr="00BA20CA">
              <w:rPr>
                <w:rFonts w:asciiTheme="majorHAnsi" w:hAnsiTheme="majorHAnsi"/>
              </w:rPr>
              <w:t>s</w:t>
            </w:r>
            <w:r w:rsidRPr="00BA20CA">
              <w:rPr>
                <w:rFonts w:asciiTheme="majorHAnsi" w:hAnsiTheme="majorHAnsi"/>
              </w:rPr>
              <w:t xml:space="preserve"> </w:t>
            </w:r>
            <w:r w:rsidR="00EB1EBB" w:rsidRPr="00BA20CA">
              <w:rPr>
                <w:rFonts w:asciiTheme="majorHAnsi" w:hAnsiTheme="majorHAnsi"/>
              </w:rPr>
              <w:t xml:space="preserve">are </w:t>
            </w:r>
            <w:r w:rsidRPr="00BA20CA">
              <w:rPr>
                <w:rFonts w:asciiTheme="majorHAnsi" w:hAnsiTheme="majorHAnsi"/>
              </w:rPr>
              <w:t>engage</w:t>
            </w:r>
            <w:r w:rsidR="00EB1EBB" w:rsidRPr="00BA20CA">
              <w:rPr>
                <w:rFonts w:asciiTheme="majorHAnsi" w:hAnsiTheme="majorHAnsi"/>
              </w:rPr>
              <w:t>d</w:t>
            </w:r>
            <w:r w:rsidRPr="00BA20CA">
              <w:rPr>
                <w:rFonts w:asciiTheme="majorHAnsi" w:hAnsiTheme="majorHAnsi"/>
              </w:rPr>
              <w:t xml:space="preserve"> </w:t>
            </w:r>
            <w:r w:rsidRPr="00BA20CA" w:rsidDel="00AE62F0">
              <w:rPr>
                <w:rFonts w:asciiTheme="majorHAnsi" w:hAnsiTheme="majorHAnsi"/>
              </w:rPr>
              <w:t xml:space="preserve">with </w:t>
            </w:r>
            <w:r w:rsidRPr="00BA20CA">
              <w:rPr>
                <w:rFonts w:asciiTheme="majorHAnsi" w:hAnsiTheme="majorHAnsi"/>
              </w:rPr>
              <w:t>objectives</w:t>
            </w:r>
          </w:p>
          <w:p w14:paraId="7F36FE32" w14:textId="77777777" w:rsidR="00251983" w:rsidRPr="00A459F7" w:rsidRDefault="6C8596C8" w:rsidP="00A459F7">
            <w:pPr>
              <w:pStyle w:val="Tabletext"/>
              <w:rPr>
                <w:b/>
                <w:bCs/>
              </w:rPr>
            </w:pPr>
            <w:r w:rsidRPr="00A459F7">
              <w:rPr>
                <w:b/>
                <w:bCs/>
              </w:rPr>
              <w:t>Considerations:</w:t>
            </w:r>
          </w:p>
          <w:p w14:paraId="151AF8DA" w14:textId="6888D450" w:rsidR="0089169F" w:rsidRPr="00C4460A" w:rsidRDefault="1A4109DC" w:rsidP="00083ABB">
            <w:pPr>
              <w:pStyle w:val="Tablebullet"/>
            </w:pPr>
            <w:r w:rsidRPr="4FCA2E5A">
              <w:t>Make and meet engagement commitments to understand the impacts of harms on the community.</w:t>
            </w:r>
            <w:r w:rsidRPr="4FCA2E5A">
              <w:rPr>
                <w:rFonts w:ascii="Cambria Math" w:hAnsi="Cambria Math" w:cs="Cambria Math"/>
              </w:rPr>
              <w:t>  </w:t>
            </w:r>
            <w:r w:rsidRPr="4FCA2E5A">
              <w:t xml:space="preserve"> </w:t>
            </w:r>
          </w:p>
          <w:p w14:paraId="577F513E" w14:textId="547734A5" w:rsidR="00C24871" w:rsidRPr="00C24871" w:rsidRDefault="0089169F" w:rsidP="00083ABB">
            <w:pPr>
              <w:pStyle w:val="Tablebullet"/>
            </w:pPr>
            <w:r w:rsidRPr="00C4460A">
              <w:t>As relevant, expressly consider vulnerable cohorts.</w:t>
            </w:r>
          </w:p>
        </w:tc>
      </w:tr>
      <w:tr w:rsidR="00C03E39" w:rsidRPr="00C4460A" w14:paraId="41CECACE" w14:textId="77777777" w:rsidTr="33378111">
        <w:trPr>
          <w:trHeight w:val="340"/>
        </w:trPr>
        <w:tc>
          <w:tcPr>
            <w:tcW w:w="1047" w:type="pct"/>
          </w:tcPr>
          <w:p w14:paraId="3575B997" w14:textId="77777777" w:rsidR="00C03E39" w:rsidRPr="00C4460A" w:rsidRDefault="0D0B8BE0" w:rsidP="00796435">
            <w:pPr>
              <w:pStyle w:val="Tabletext"/>
              <w:spacing w:before="120"/>
            </w:pPr>
            <w:r w:rsidRPr="1FF41374">
              <w:t>Use management systems to respond to harms</w:t>
            </w:r>
          </w:p>
        </w:tc>
        <w:tc>
          <w:tcPr>
            <w:tcW w:w="3953" w:type="pct"/>
          </w:tcPr>
          <w:p w14:paraId="02B30D22" w14:textId="3E54669D" w:rsidR="00C03E39" w:rsidRPr="00BA20CA" w:rsidRDefault="5B23B6B1" w:rsidP="00A459F7">
            <w:pPr>
              <w:rPr>
                <w:rFonts w:asciiTheme="majorHAnsi" w:hAnsiTheme="majorHAnsi"/>
              </w:rPr>
            </w:pPr>
            <w:r w:rsidRPr="00BA20CA">
              <w:rPr>
                <w:rFonts w:asciiTheme="majorHAnsi" w:hAnsiTheme="majorHAnsi"/>
              </w:rPr>
              <w:t xml:space="preserve">A </w:t>
            </w:r>
            <w:r w:rsidR="780858BA" w:rsidRPr="00BA20CA">
              <w:rPr>
                <w:rFonts w:asciiTheme="majorHAnsi" w:hAnsiTheme="majorHAnsi"/>
              </w:rPr>
              <w:t xml:space="preserve">focus on </w:t>
            </w:r>
            <w:r w:rsidRPr="00BA20CA">
              <w:rPr>
                <w:rFonts w:asciiTheme="majorHAnsi" w:hAnsiTheme="majorHAnsi"/>
              </w:rPr>
              <w:t>harms needs to be embedded, which requires accountability and tracking of efforts</w:t>
            </w:r>
          </w:p>
          <w:p w14:paraId="5C12898D" w14:textId="77777777" w:rsidR="00226FBF" w:rsidRPr="00A459F7" w:rsidRDefault="1868AFBF" w:rsidP="00A459F7">
            <w:pPr>
              <w:pStyle w:val="Tabletext"/>
              <w:rPr>
                <w:b/>
                <w:bCs/>
              </w:rPr>
            </w:pPr>
            <w:r w:rsidRPr="00A459F7">
              <w:rPr>
                <w:b/>
                <w:bCs/>
              </w:rPr>
              <w:t xml:space="preserve">Considerations: </w:t>
            </w:r>
          </w:p>
          <w:p w14:paraId="2EC34D94" w14:textId="35B7DCDF" w:rsidR="0089169F" w:rsidRPr="00C4460A" w:rsidRDefault="1A4109DC" w:rsidP="00083ABB">
            <w:pPr>
              <w:pStyle w:val="Tablebullet"/>
            </w:pPr>
            <w:r w:rsidRPr="4FCA2E5A">
              <w:t>Use organisation planning processes to embed responses to harms, such as through programs and initiatives</w:t>
            </w:r>
            <w:r w:rsidR="00C24871">
              <w:t>.</w:t>
            </w:r>
          </w:p>
          <w:p w14:paraId="34CCC305" w14:textId="69A136B1" w:rsidR="0089169F" w:rsidRPr="00C4460A" w:rsidRDefault="6EBE8075" w:rsidP="00083ABB">
            <w:pPr>
              <w:pStyle w:val="Tablebullet"/>
            </w:pPr>
            <w:r w:rsidRPr="4FCA2E5A">
              <w:t>Account for and question where current regulatory activities are focused on non-compliances that do not clearly link to harms</w:t>
            </w:r>
            <w:r w:rsidR="00C24871">
              <w:t>.</w:t>
            </w:r>
          </w:p>
          <w:p w14:paraId="005D9300" w14:textId="7A4ABDF6" w:rsidR="0089169F" w:rsidRPr="00C4460A" w:rsidRDefault="7E19CCAD" w:rsidP="00083ABB">
            <w:pPr>
              <w:pStyle w:val="Tablebullet"/>
            </w:pPr>
            <w:r>
              <w:t xml:space="preserve">Account for your whole organisation as a system in embedding responses, considering how </w:t>
            </w:r>
            <w:bookmarkStart w:id="3" w:name="_Int_TlS6Z85u"/>
            <w:r>
              <w:t>different functions</w:t>
            </w:r>
            <w:bookmarkEnd w:id="3"/>
            <w:r>
              <w:t xml:space="preserve"> and people work together</w:t>
            </w:r>
            <w:r w:rsidR="2A9B51F2">
              <w:t>.</w:t>
            </w:r>
            <w:r w:rsidR="2A9B51F2" w:rsidRPr="33378111">
              <w:rPr>
                <w:rFonts w:ascii="Cambria Math" w:hAnsi="Cambria Math" w:cs="Cambria Math"/>
              </w:rPr>
              <w:t> </w:t>
            </w:r>
          </w:p>
        </w:tc>
      </w:tr>
      <w:tr w:rsidR="00C03E39" w:rsidRPr="00C4460A" w14:paraId="1D807A76" w14:textId="77777777" w:rsidTr="33378111">
        <w:trPr>
          <w:trHeight w:val="340"/>
        </w:trPr>
        <w:tc>
          <w:tcPr>
            <w:tcW w:w="1047" w:type="pct"/>
          </w:tcPr>
          <w:p w14:paraId="35470DDD" w14:textId="6A4CDAA9" w:rsidR="00C03E39" w:rsidRPr="00C4460A" w:rsidRDefault="5B23B6B1" w:rsidP="00796435">
            <w:pPr>
              <w:pStyle w:val="Tabletext"/>
              <w:spacing w:before="120"/>
            </w:pPr>
            <w:r w:rsidRPr="4FCA2E5A">
              <w:t xml:space="preserve">Engage staff in </w:t>
            </w:r>
            <w:r w:rsidR="23D1B00B" w:rsidRPr="4FCA2E5A">
              <w:t>your focus on</w:t>
            </w:r>
            <w:r w:rsidRPr="4FCA2E5A">
              <w:t xml:space="preserve"> harms </w:t>
            </w:r>
          </w:p>
        </w:tc>
        <w:tc>
          <w:tcPr>
            <w:tcW w:w="3953" w:type="pct"/>
          </w:tcPr>
          <w:p w14:paraId="670B2174" w14:textId="77FFE28E" w:rsidR="00C03E39" w:rsidRPr="00BA20CA" w:rsidRDefault="0DE67008" w:rsidP="33378111">
            <w:pPr>
              <w:rPr>
                <w:rFonts w:asciiTheme="majorHAnsi" w:hAnsiTheme="majorHAnsi"/>
              </w:rPr>
            </w:pPr>
            <w:r w:rsidRPr="33378111">
              <w:rPr>
                <w:rFonts w:asciiTheme="majorHAnsi" w:hAnsiTheme="majorHAnsi"/>
              </w:rPr>
              <w:t xml:space="preserve">Strategies and policies are important but </w:t>
            </w:r>
            <w:r w:rsidR="231C9C95" w:rsidRPr="33378111">
              <w:rPr>
                <w:rFonts w:asciiTheme="majorHAnsi" w:hAnsiTheme="majorHAnsi"/>
              </w:rPr>
              <w:t xml:space="preserve">alone </w:t>
            </w:r>
            <w:r w:rsidRPr="33378111">
              <w:rPr>
                <w:rFonts w:asciiTheme="majorHAnsi" w:hAnsiTheme="majorHAnsi"/>
              </w:rPr>
              <w:t>do not achieve the required focus</w:t>
            </w:r>
            <w:r w:rsidR="46E41974" w:rsidRPr="33378111">
              <w:rPr>
                <w:rFonts w:asciiTheme="majorHAnsi" w:hAnsiTheme="majorHAnsi"/>
              </w:rPr>
              <w:t>,</w:t>
            </w:r>
            <w:r w:rsidRPr="33378111">
              <w:rPr>
                <w:rFonts w:asciiTheme="majorHAnsi" w:hAnsiTheme="majorHAnsi"/>
              </w:rPr>
              <w:t xml:space="preserve"> </w:t>
            </w:r>
            <w:r w:rsidR="60B76D85" w:rsidRPr="33378111">
              <w:rPr>
                <w:rFonts w:asciiTheme="majorHAnsi" w:hAnsiTheme="majorHAnsi"/>
              </w:rPr>
              <w:t>practices,</w:t>
            </w:r>
            <w:r w:rsidRPr="33378111">
              <w:rPr>
                <w:rFonts w:asciiTheme="majorHAnsi" w:hAnsiTheme="majorHAnsi"/>
              </w:rPr>
              <w:t xml:space="preserve"> </w:t>
            </w:r>
            <w:r w:rsidR="40C1D023" w:rsidRPr="33378111">
              <w:rPr>
                <w:rFonts w:asciiTheme="majorHAnsi" w:hAnsiTheme="majorHAnsi"/>
              </w:rPr>
              <w:t xml:space="preserve">and culture </w:t>
            </w:r>
            <w:r w:rsidRPr="33378111">
              <w:rPr>
                <w:rFonts w:asciiTheme="majorHAnsi" w:hAnsiTheme="majorHAnsi"/>
              </w:rPr>
              <w:t>to perform</w:t>
            </w:r>
          </w:p>
          <w:p w14:paraId="640D7192" w14:textId="77777777" w:rsidR="00226FBF" w:rsidRPr="00A85727" w:rsidRDefault="3EEB3274" w:rsidP="00A85727">
            <w:pPr>
              <w:pStyle w:val="Tabletext"/>
              <w:rPr>
                <w:b/>
                <w:bCs/>
              </w:rPr>
            </w:pPr>
            <w:r w:rsidRPr="00A85727">
              <w:rPr>
                <w:b/>
                <w:bCs/>
              </w:rPr>
              <w:t>Considerations:</w:t>
            </w:r>
          </w:p>
          <w:p w14:paraId="5E6C4E5C" w14:textId="2C7A2535" w:rsidR="00226FBF" w:rsidRPr="00C4460A" w:rsidRDefault="45610C7A" w:rsidP="00083ABB">
            <w:pPr>
              <w:pStyle w:val="Tablebullet"/>
            </w:pPr>
            <w:r w:rsidRPr="4FCA2E5A">
              <w:t xml:space="preserve">Work with staff </w:t>
            </w:r>
            <w:r w:rsidR="30735A08" w:rsidRPr="4FCA2E5A">
              <w:t xml:space="preserve">and across levels </w:t>
            </w:r>
            <w:r w:rsidRPr="4FCA2E5A">
              <w:t>to generate strategic statements</w:t>
            </w:r>
            <w:r w:rsidR="00D66B79">
              <w:t>.</w:t>
            </w:r>
            <w:r w:rsidRPr="4FCA2E5A">
              <w:rPr>
                <w:rFonts w:ascii="Cambria Math" w:hAnsi="Cambria Math" w:cs="Cambria Math"/>
              </w:rPr>
              <w:t> </w:t>
            </w:r>
            <w:r w:rsidRPr="4FCA2E5A">
              <w:t xml:space="preserve"> </w:t>
            </w:r>
          </w:p>
          <w:p w14:paraId="01EBA6A3" w14:textId="64F21EB8" w:rsidR="00226FBF" w:rsidRPr="00C4460A" w:rsidRDefault="00226FBF" w:rsidP="00083ABB">
            <w:pPr>
              <w:pStyle w:val="Tablebullet"/>
            </w:pPr>
            <w:r w:rsidRPr="00C4460A">
              <w:t xml:space="preserve">Engage with, and constructively challenge, perspectives that focus narrowly on non-compliance without accounting for </w:t>
            </w:r>
            <w:r w:rsidR="5C8214E4" w:rsidRPr="7123B212">
              <w:t>harms</w:t>
            </w:r>
            <w:r w:rsidR="00D66B79">
              <w:t>.</w:t>
            </w:r>
            <w:r w:rsidR="5C8214E4" w:rsidRPr="7123B212">
              <w:rPr>
                <w:rFonts w:ascii="Cambria Math" w:hAnsi="Cambria Math" w:cs="Cambria Math"/>
              </w:rPr>
              <w:t> </w:t>
            </w:r>
          </w:p>
        </w:tc>
      </w:tr>
    </w:tbl>
    <w:p w14:paraId="23140D3D" w14:textId="77777777" w:rsidR="005A36F7" w:rsidRDefault="005A36F7">
      <w:r>
        <w:br w:type="page"/>
      </w:r>
    </w:p>
    <w:p w14:paraId="1C869C3D" w14:textId="73248309" w:rsidR="00A85727" w:rsidRPr="002A4428" w:rsidRDefault="00A85727" w:rsidP="001A0CE2">
      <w:pPr>
        <w:pStyle w:val="Principle"/>
        <w:pageBreakBefore w:val="0"/>
      </w:pPr>
      <w:bookmarkStart w:id="4" w:name="_Toc100589339"/>
      <w:bookmarkStart w:id="5" w:name="_Hlk113446704"/>
      <w:r w:rsidRPr="002A4428">
        <w:lastRenderedPageBreak/>
        <w:t>Establish and refine your approach to minimising harms</w:t>
      </w:r>
      <w:bookmarkEnd w:id="4"/>
    </w:p>
    <w:bookmarkEnd w:id="5"/>
    <w:p w14:paraId="78D820F7" w14:textId="14FF4CD0" w:rsidR="0099188F" w:rsidRPr="0017080B" w:rsidRDefault="0099188F" w:rsidP="00A85727">
      <w:r>
        <w:t xml:space="preserve">The sub-elements of principle two support regulators to appropriately design their activities and operations, accounting for theories of regulatory action and </w:t>
      </w:r>
      <w:r w:rsidR="60D93651">
        <w:t xml:space="preserve">duty holder </w:t>
      </w:r>
      <w:r>
        <w:t>behaviour change</w:t>
      </w:r>
      <w:r w:rsidR="684558C9">
        <w:t xml:space="preserve">, in </w:t>
      </w:r>
      <w:r w:rsidR="6D8F3627">
        <w:t>the context of their broader operations</w:t>
      </w:r>
      <w:r>
        <w:t xml:space="preserve">. This will </w:t>
      </w:r>
      <w:bookmarkStart w:id="6" w:name="_Int_t2KVrodW"/>
      <w:r>
        <w:t>likely be</w:t>
      </w:r>
      <w:bookmarkEnd w:id="6"/>
      <w:r>
        <w:t xml:space="preserve"> an ongoing area of practice reflection and refinement, as regulators better understand harms and the effects of their actions.</w:t>
      </w:r>
    </w:p>
    <w:p w14:paraId="3A21B95E" w14:textId="0780749B" w:rsidR="0099188F" w:rsidRPr="0099188F" w:rsidRDefault="00A839C0" w:rsidP="00A85727">
      <w:r w:rsidRPr="00A839C0">
        <w:t>To help meet this principle, consider engaging staff to develop processes or documents outlining:</w:t>
      </w:r>
    </w:p>
    <w:p w14:paraId="3AD1206B" w14:textId="3E46083C" w:rsidR="0099188F" w:rsidRPr="0099188F" w:rsidRDefault="0099188F" w:rsidP="0017080B">
      <w:pPr>
        <w:pStyle w:val="Bullet1"/>
      </w:pPr>
      <w:r>
        <w:t xml:space="preserve">Your regulatory approach and how you use your influence and direct </w:t>
      </w:r>
      <w:r w:rsidR="00577819">
        <w:t xml:space="preserve">duty holder </w:t>
      </w:r>
      <w:r>
        <w:t>behaviour to minimise harm / deliver your regulatory outcomes.</w:t>
      </w:r>
    </w:p>
    <w:p w14:paraId="03D5777A" w14:textId="77777777" w:rsidR="0099188F" w:rsidRPr="0099188F" w:rsidRDefault="0099188F" w:rsidP="0017080B">
      <w:pPr>
        <w:pStyle w:val="Bullet1"/>
      </w:pPr>
      <w:r w:rsidRPr="0099188F">
        <w:t>Your approach to risk, how you prioritise harms and your regulatory priorities.</w:t>
      </w:r>
    </w:p>
    <w:p w14:paraId="2F552530" w14:textId="77777777" w:rsidR="0099188F" w:rsidRPr="0099188F" w:rsidRDefault="0099188F" w:rsidP="0017080B">
      <w:pPr>
        <w:pStyle w:val="Bullet1"/>
      </w:pPr>
      <w:r w:rsidRPr="0099188F">
        <w:t>How your regulatory functions (for example, inspectorate, licensing, approvals, partnership, education, media, communications, investigations, legal) minimise harm and deliver on your regulatory outcomes.</w:t>
      </w:r>
    </w:p>
    <w:p w14:paraId="7080802C" w14:textId="77777777" w:rsidR="0099188F" w:rsidRPr="0099188F" w:rsidRDefault="0099188F" w:rsidP="0017080B">
      <w:pPr>
        <w:pStyle w:val="Bullet1"/>
      </w:pPr>
      <w:r>
        <w:t xml:space="preserve">The </w:t>
      </w:r>
      <w:bookmarkStart w:id="7" w:name="_Int_jHS5Xm7q"/>
      <w:r>
        <w:t>delegations</w:t>
      </w:r>
      <w:bookmarkEnd w:id="7"/>
      <w:r>
        <w:t xml:space="preserve"> framework that articulates the level at which regulatory decisions are made (including any at Board Level) and how decisions are quality assured.</w:t>
      </w:r>
    </w:p>
    <w:p w14:paraId="08BD0E17" w14:textId="5D6815B7" w:rsidR="0099188F" w:rsidRPr="0099188F" w:rsidRDefault="0099188F" w:rsidP="00A85727">
      <w:r w:rsidRPr="0099188F">
        <w:t>To best deliver</w:t>
      </w:r>
      <w:r w:rsidR="002A4428">
        <w:t xml:space="preserve"> these</w:t>
      </w:r>
      <w:r w:rsidRPr="0099188F">
        <w:t>, consider the following approaches as appropriate to your context:</w:t>
      </w:r>
    </w:p>
    <w:tbl>
      <w:tblPr>
        <w:tblStyle w:val="Texttable"/>
        <w:tblW w:w="4999" w:type="pct"/>
        <w:tblLayout w:type="fixed"/>
        <w:tblLook w:val="0620" w:firstRow="1" w:lastRow="0" w:firstColumn="0" w:lastColumn="0" w:noHBand="1" w:noVBand="1"/>
      </w:tblPr>
      <w:tblGrid>
        <w:gridCol w:w="1890"/>
        <w:gridCol w:w="7134"/>
      </w:tblGrid>
      <w:tr w:rsidR="005E4BC5" w:rsidRPr="00C4460A" w14:paraId="3FB491F3" w14:textId="58AEA6DA" w:rsidTr="007E348F">
        <w:trPr>
          <w:cnfStyle w:val="100000000000" w:firstRow="1" w:lastRow="0" w:firstColumn="0" w:lastColumn="0" w:oddVBand="0" w:evenVBand="0" w:oddHBand="0" w:evenHBand="0" w:firstRowFirstColumn="0" w:firstRowLastColumn="0" w:lastRowFirstColumn="0" w:lastRowLastColumn="0"/>
          <w:trHeight w:val="300"/>
          <w:tblHeader/>
        </w:trPr>
        <w:tc>
          <w:tcPr>
            <w:tcW w:w="1047" w:type="pct"/>
          </w:tcPr>
          <w:p w14:paraId="34D2E8A2" w14:textId="77777777" w:rsidR="005E4BC5" w:rsidRPr="00C4460A" w:rsidRDefault="005E4BC5" w:rsidP="00A85727">
            <w:pPr>
              <w:pStyle w:val="Tableheader"/>
            </w:pPr>
            <w:r w:rsidRPr="00C4460A">
              <w:t xml:space="preserve">Action area </w:t>
            </w:r>
          </w:p>
        </w:tc>
        <w:tc>
          <w:tcPr>
            <w:tcW w:w="3953" w:type="pct"/>
          </w:tcPr>
          <w:p w14:paraId="1A335E47" w14:textId="74242296" w:rsidR="005E4BC5" w:rsidRPr="00C4460A" w:rsidRDefault="009A59D6" w:rsidP="00A85727">
            <w:pPr>
              <w:pStyle w:val="Tableheader"/>
            </w:pPr>
            <w:r w:rsidRPr="00C4460A">
              <w:t xml:space="preserve">Rationale and </w:t>
            </w:r>
            <w:r w:rsidR="00531521" w:rsidRPr="00C4460A">
              <w:t>considerations for implementing</w:t>
            </w:r>
          </w:p>
        </w:tc>
      </w:tr>
      <w:tr w:rsidR="005E4BC5" w:rsidRPr="00C4460A" w14:paraId="20B70DEA" w14:textId="27C494CA" w:rsidTr="00751D4A">
        <w:trPr>
          <w:trHeight w:val="300"/>
        </w:trPr>
        <w:tc>
          <w:tcPr>
            <w:tcW w:w="1047" w:type="pct"/>
          </w:tcPr>
          <w:p w14:paraId="0D4FEE0C" w14:textId="77777777" w:rsidR="005E4BC5" w:rsidRPr="00C4460A" w:rsidRDefault="005E4BC5" w:rsidP="00796435">
            <w:pPr>
              <w:pStyle w:val="Tabletext"/>
              <w:spacing w:before="120"/>
            </w:pPr>
            <w:r w:rsidRPr="00C4460A">
              <w:t xml:space="preserve">Develop your approaches through internal or external documents </w:t>
            </w:r>
          </w:p>
        </w:tc>
        <w:tc>
          <w:tcPr>
            <w:tcW w:w="3953" w:type="pct"/>
          </w:tcPr>
          <w:p w14:paraId="0DB2554E" w14:textId="56086374" w:rsidR="005E4BC5" w:rsidRPr="00BA20CA" w:rsidRDefault="78A1F452" w:rsidP="00A85727">
            <w:pPr>
              <w:rPr>
                <w:rFonts w:asciiTheme="majorHAnsi" w:hAnsiTheme="majorHAnsi"/>
              </w:rPr>
            </w:pPr>
            <w:r w:rsidRPr="00BA20CA">
              <w:rPr>
                <w:rFonts w:asciiTheme="majorHAnsi" w:hAnsiTheme="majorHAnsi"/>
              </w:rPr>
              <w:t>The process of developing these documents, with staff, can help to align practice and culture</w:t>
            </w:r>
          </w:p>
          <w:p w14:paraId="7749FA0A" w14:textId="77777777" w:rsidR="005C7106" w:rsidRPr="00C4460A" w:rsidRDefault="6E9777B0" w:rsidP="00A85727">
            <w:pPr>
              <w:pStyle w:val="Tabletext"/>
              <w:rPr>
                <w:b/>
                <w:bCs/>
              </w:rPr>
            </w:pPr>
            <w:r w:rsidRPr="043146FE">
              <w:rPr>
                <w:b/>
                <w:bCs/>
              </w:rPr>
              <w:t>Considerations:</w:t>
            </w:r>
          </w:p>
          <w:p w14:paraId="3D12CC06" w14:textId="7CDC2304" w:rsidR="00194D94" w:rsidRPr="00C4460A" w:rsidRDefault="00194D94" w:rsidP="00083ABB">
            <w:pPr>
              <w:pStyle w:val="Tablebullet"/>
            </w:pPr>
            <w:r w:rsidRPr="00C4460A">
              <w:t xml:space="preserve">Establish long-term plans for the mix of routine, program and problem-solving activities applied to given problems. </w:t>
            </w:r>
          </w:p>
          <w:p w14:paraId="7F86447F" w14:textId="1690FEE0" w:rsidR="00194D94" w:rsidRPr="00C4460A" w:rsidRDefault="00194D94" w:rsidP="00083ABB">
            <w:pPr>
              <w:pStyle w:val="Tablebullet"/>
            </w:pPr>
            <w:r w:rsidRPr="00C4460A">
              <w:t xml:space="preserve">Produce documents that explain your role and operating model, and how different tools and approaches are applied to different problems. </w:t>
            </w:r>
          </w:p>
          <w:p w14:paraId="4E6C02DF" w14:textId="5CFEAF4D" w:rsidR="005C7106" w:rsidRPr="00C4460A" w:rsidRDefault="00194D94" w:rsidP="00083ABB">
            <w:pPr>
              <w:pStyle w:val="Tablebullet"/>
            </w:pPr>
            <w:r w:rsidRPr="00C4460A">
              <w:t>Develop positions on the features of regulatory tools and powers, the situations when they can be applied, and criteria for their use.</w:t>
            </w:r>
          </w:p>
        </w:tc>
      </w:tr>
      <w:tr w:rsidR="005E4BC5" w:rsidRPr="00C4460A" w14:paraId="4D737E9D" w14:textId="233B7E51" w:rsidTr="00751D4A">
        <w:trPr>
          <w:trHeight w:val="300"/>
        </w:trPr>
        <w:tc>
          <w:tcPr>
            <w:tcW w:w="1047" w:type="pct"/>
          </w:tcPr>
          <w:p w14:paraId="299D88E0" w14:textId="77777777" w:rsidR="005E4BC5" w:rsidRPr="00C4460A" w:rsidRDefault="005E4BC5" w:rsidP="00796435">
            <w:pPr>
              <w:pStyle w:val="Tabletext"/>
              <w:spacing w:before="120"/>
            </w:pPr>
            <w:r w:rsidRPr="00C4460A">
              <w:lastRenderedPageBreak/>
              <w:t>Account for key elements of a regulatory approach</w:t>
            </w:r>
          </w:p>
        </w:tc>
        <w:tc>
          <w:tcPr>
            <w:tcW w:w="3953" w:type="pct"/>
          </w:tcPr>
          <w:p w14:paraId="1F6E937D" w14:textId="1227F605" w:rsidR="005E4BC5" w:rsidRPr="00BA20CA" w:rsidRDefault="250BE071" w:rsidP="00A85727">
            <w:pPr>
              <w:rPr>
                <w:rFonts w:asciiTheme="majorHAnsi" w:hAnsiTheme="majorHAnsi"/>
              </w:rPr>
            </w:pPr>
            <w:r w:rsidRPr="00BA20CA">
              <w:rPr>
                <w:rFonts w:asciiTheme="majorHAnsi" w:hAnsiTheme="majorHAnsi"/>
              </w:rPr>
              <w:t xml:space="preserve">Regulators need to consider risk, duty </w:t>
            </w:r>
            <w:r w:rsidR="069786E3" w:rsidRPr="00BA20CA">
              <w:rPr>
                <w:rFonts w:asciiTheme="majorHAnsi" w:hAnsiTheme="majorHAnsi"/>
              </w:rPr>
              <w:t xml:space="preserve">holder </w:t>
            </w:r>
            <w:r w:rsidRPr="00BA20CA">
              <w:rPr>
                <w:rFonts w:asciiTheme="majorHAnsi" w:hAnsiTheme="majorHAnsi"/>
              </w:rPr>
              <w:t>behaviour and focus of effort, and the approach needs to work through all of these to be effective</w:t>
            </w:r>
          </w:p>
          <w:p w14:paraId="6B8D76A2" w14:textId="7658ACC8" w:rsidR="00194D94" w:rsidRPr="00C4460A" w:rsidRDefault="00194D94" w:rsidP="00A85727">
            <w:pPr>
              <w:pStyle w:val="Tabletext"/>
              <w:rPr>
                <w:b/>
                <w:bCs/>
              </w:rPr>
            </w:pPr>
            <w:r w:rsidRPr="043146FE">
              <w:rPr>
                <w:b/>
                <w:bCs/>
              </w:rPr>
              <w:t>Considerations:</w:t>
            </w:r>
          </w:p>
          <w:p w14:paraId="4DBF0E1F" w14:textId="50306B62" w:rsidR="00194D94" w:rsidRPr="00C4460A" w:rsidRDefault="00194D94" w:rsidP="00A85727">
            <w:pPr>
              <w:pStyle w:val="Tabletext"/>
            </w:pPr>
            <w:r w:rsidRPr="00C4460A">
              <w:t xml:space="preserve">Consider developing positions and messages about: </w:t>
            </w:r>
          </w:p>
          <w:p w14:paraId="154D04B9" w14:textId="72C0334B" w:rsidR="00194D94" w:rsidRPr="00C4460A" w:rsidRDefault="00194D94" w:rsidP="00083ABB">
            <w:pPr>
              <w:pStyle w:val="Tablebullet"/>
            </w:pPr>
            <w:r w:rsidRPr="00C4460A">
              <w:t>Your approach to different harms.</w:t>
            </w:r>
          </w:p>
          <w:p w14:paraId="09927387" w14:textId="1440FEC9" w:rsidR="00194D94" w:rsidRPr="00C4460A" w:rsidRDefault="00194D94" w:rsidP="00083ABB">
            <w:pPr>
              <w:pStyle w:val="Tablebullet"/>
            </w:pPr>
            <w:r>
              <w:t xml:space="preserve">The assumed motivation of most duty holders, </w:t>
            </w:r>
            <w:r w:rsidR="42E464C0">
              <w:t>e.g.</w:t>
            </w:r>
            <w:r w:rsidR="00BA2B0D">
              <w:t>,</w:t>
            </w:r>
            <w:r>
              <w:t xml:space="preserve"> that most want to do the right thing and comply. </w:t>
            </w:r>
          </w:p>
          <w:p w14:paraId="48854A0A" w14:textId="19F06C1B" w:rsidR="00194D94" w:rsidRPr="00C4460A" w:rsidRDefault="00194D94" w:rsidP="00083ABB">
            <w:pPr>
              <w:pStyle w:val="Tablebullet"/>
            </w:pPr>
            <w:r w:rsidRPr="00C4460A">
              <w:t xml:space="preserve">Where you will have low tolerance to non-compliances or harmful behaviours, such as deliberate non-compliances. </w:t>
            </w:r>
          </w:p>
          <w:p w14:paraId="21BFC102" w14:textId="24FDDEC2" w:rsidR="00194D94" w:rsidRPr="00C4460A" w:rsidRDefault="00194D94" w:rsidP="00083ABB">
            <w:pPr>
              <w:pStyle w:val="Tablebullet"/>
            </w:pPr>
            <w:r>
              <w:t xml:space="preserve">The compliance context of specific obligations or topics, </w:t>
            </w:r>
            <w:r w:rsidR="39A28124">
              <w:t>e.g.</w:t>
            </w:r>
            <w:r w:rsidR="00BA2B0D">
              <w:t>,</w:t>
            </w:r>
            <w:r>
              <w:t xml:space="preserve"> where there are new </w:t>
            </w:r>
            <w:bookmarkStart w:id="8" w:name="_Int_J6BUxwMo"/>
            <w:r>
              <w:t>requirements</w:t>
            </w:r>
            <w:bookmarkEnd w:id="8"/>
            <w:r>
              <w:t xml:space="preserve"> and you are supporting their introduction. </w:t>
            </w:r>
          </w:p>
          <w:p w14:paraId="6D2F61AE" w14:textId="3BA203DD" w:rsidR="00194D94" w:rsidRPr="00C4460A" w:rsidRDefault="00194D94" w:rsidP="00083ABB">
            <w:pPr>
              <w:pStyle w:val="Tablebullet"/>
            </w:pPr>
            <w:r w:rsidRPr="00C4460A">
              <w:t xml:space="preserve">Focus areas and what this means for duty holders or issues under focus. Also, what they can expect where an issue is not a focus area. </w:t>
            </w:r>
          </w:p>
          <w:p w14:paraId="1B98BC10" w14:textId="4DD5E12D" w:rsidR="00194D94" w:rsidRPr="00C4460A" w:rsidRDefault="00194D94" w:rsidP="00083ABB">
            <w:pPr>
              <w:pStyle w:val="Tablebullet"/>
            </w:pPr>
            <w:r>
              <w:t xml:space="preserve">Key elements of your regulatory approach, </w:t>
            </w:r>
            <w:r w:rsidR="7F77D088">
              <w:t>e.g.</w:t>
            </w:r>
            <w:r w:rsidR="00BA2B0D">
              <w:t>,</w:t>
            </w:r>
            <w:r>
              <w:t xml:space="preserve"> the approaches applied to problems, and how you choose your priorities</w:t>
            </w:r>
          </w:p>
        </w:tc>
      </w:tr>
      <w:tr w:rsidR="005E4BC5" w:rsidRPr="00C4460A" w14:paraId="4F4FEA94" w14:textId="3E753065" w:rsidTr="00751D4A">
        <w:trPr>
          <w:trHeight w:val="300"/>
        </w:trPr>
        <w:tc>
          <w:tcPr>
            <w:tcW w:w="1047" w:type="pct"/>
          </w:tcPr>
          <w:p w14:paraId="62CD2DD7" w14:textId="77777777" w:rsidR="005E4BC5" w:rsidRPr="00C4460A" w:rsidRDefault="005E4BC5" w:rsidP="00796435">
            <w:pPr>
              <w:pStyle w:val="Tabletext"/>
              <w:spacing w:before="120"/>
            </w:pPr>
            <w:r w:rsidRPr="00C4460A">
              <w:t>Consider how recognised regulatory frameworks apply to your situation</w:t>
            </w:r>
          </w:p>
        </w:tc>
        <w:tc>
          <w:tcPr>
            <w:tcW w:w="3953" w:type="pct"/>
          </w:tcPr>
          <w:p w14:paraId="1FC59A5F" w14:textId="29F38304" w:rsidR="005E4BC5" w:rsidRPr="00BA20CA" w:rsidRDefault="4B1ED056" w:rsidP="00A85727">
            <w:pPr>
              <w:rPr>
                <w:rFonts w:asciiTheme="majorHAnsi" w:hAnsiTheme="majorHAnsi"/>
              </w:rPr>
            </w:pPr>
            <w:r w:rsidRPr="00BA20CA">
              <w:rPr>
                <w:rFonts w:asciiTheme="majorHAnsi" w:hAnsiTheme="majorHAnsi"/>
              </w:rPr>
              <w:t>Regulatory literature and practice points to common frameworks – account for these to be balanced, comprehensive and recognisable</w:t>
            </w:r>
          </w:p>
          <w:p w14:paraId="7E718C63" w14:textId="3D420A93" w:rsidR="00194D94" w:rsidRPr="00C4460A" w:rsidRDefault="00194D94" w:rsidP="00A85727">
            <w:pPr>
              <w:pStyle w:val="Tabletext"/>
              <w:rPr>
                <w:b/>
                <w:bCs/>
              </w:rPr>
            </w:pPr>
            <w:r w:rsidRPr="043146FE">
              <w:rPr>
                <w:b/>
                <w:bCs/>
              </w:rPr>
              <w:t>Considerations:</w:t>
            </w:r>
          </w:p>
          <w:p w14:paraId="330C7E0E" w14:textId="0A086A36" w:rsidR="00801FAC" w:rsidRPr="00C4460A" w:rsidRDefault="00801FAC" w:rsidP="00A85727">
            <w:pPr>
              <w:pStyle w:val="Tabletext"/>
            </w:pPr>
            <w:r w:rsidRPr="00C4460A">
              <w:t xml:space="preserve">Regulatory concepts and frameworks include risk-based regulation, and responsive regulation approaches. Consider how these </w:t>
            </w:r>
            <w:r w:rsidRPr="1A8E4B59">
              <w:t>appl</w:t>
            </w:r>
            <w:r w:rsidR="00D66B79" w:rsidRPr="1A8E4B59">
              <w:t>y</w:t>
            </w:r>
            <w:r w:rsidRPr="00C4460A">
              <w:t xml:space="preserve"> in your context. You may need to: </w:t>
            </w:r>
          </w:p>
          <w:p w14:paraId="74B5EC6B" w14:textId="4BFF4102" w:rsidR="00801FAC" w:rsidRPr="00C4460A" w:rsidRDefault="00801FAC" w:rsidP="00083ABB">
            <w:pPr>
              <w:pStyle w:val="Tablebullet"/>
            </w:pPr>
            <w:r>
              <w:t xml:space="preserve">Assess the </w:t>
            </w:r>
            <w:r w:rsidR="26E88BD6">
              <w:t>suite of</w:t>
            </w:r>
            <w:r>
              <w:t xml:space="preserve"> regulatory tools available</w:t>
            </w:r>
            <w:r w:rsidR="3A8A5FF6">
              <w:t xml:space="preserve"> to </w:t>
            </w:r>
            <w:r w:rsidR="2C469E26">
              <w:t>you and</w:t>
            </w:r>
            <w:r>
              <w:t xml:space="preserve"> </w:t>
            </w:r>
            <w:r w:rsidR="1C7D2CFD">
              <w:t xml:space="preserve">understand the </w:t>
            </w:r>
            <w:r>
              <w:t xml:space="preserve">gaps in </w:t>
            </w:r>
            <w:r w:rsidR="448A51D7">
              <w:t xml:space="preserve">your </w:t>
            </w:r>
            <w:r w:rsidR="2D5B5BF1">
              <w:t xml:space="preserve">regulatory </w:t>
            </w:r>
            <w:r>
              <w:t>toolkit</w:t>
            </w:r>
            <w:r w:rsidR="00D66B79">
              <w:t>.</w:t>
            </w:r>
          </w:p>
          <w:p w14:paraId="46D6CBB6" w14:textId="5C598E9A" w:rsidR="00801FAC" w:rsidRPr="00C4460A" w:rsidRDefault="574F6A69" w:rsidP="00083ABB">
            <w:pPr>
              <w:pStyle w:val="Tablebullet"/>
            </w:pPr>
            <w:r w:rsidRPr="4FCA2E5A">
              <w:t>Account for the use of remedial tools alongside sanctioning tools</w:t>
            </w:r>
            <w:r w:rsidR="44B21490" w:rsidRPr="4FCA2E5A">
              <w:t>.</w:t>
            </w:r>
          </w:p>
          <w:p w14:paraId="70EC64DC" w14:textId="07D73A95" w:rsidR="333A68FF" w:rsidRDefault="333A68FF" w:rsidP="00083ABB">
            <w:pPr>
              <w:pStyle w:val="Tablebullet"/>
            </w:pPr>
            <w:r w:rsidRPr="4FCA2E5A">
              <w:t>Account for the operating environment of duty holders,</w:t>
            </w:r>
            <w:r w:rsidR="5CA18249" w:rsidRPr="4FCA2E5A">
              <w:t xml:space="preserve"> and the influences on their behaviour and compliance, such as economic settings, industry changes, and other demands.</w:t>
            </w:r>
          </w:p>
          <w:p w14:paraId="16F70DC2" w14:textId="089F371D" w:rsidR="00801FAC" w:rsidRPr="00C4460A" w:rsidRDefault="574F6A69" w:rsidP="00083ABB">
            <w:pPr>
              <w:pStyle w:val="Tablebullet"/>
            </w:pPr>
            <w:r w:rsidRPr="4FCA2E5A">
              <w:t>Develop tools to influence outcomes where there are gaps</w:t>
            </w:r>
            <w:r w:rsidR="1CDFC21D" w:rsidRPr="4FCA2E5A">
              <w:t>.</w:t>
            </w:r>
            <w:r w:rsidRPr="4FCA2E5A">
              <w:t xml:space="preserve"> </w:t>
            </w:r>
          </w:p>
          <w:p w14:paraId="4B7BF055" w14:textId="150D688D" w:rsidR="00801FAC" w:rsidRPr="00C4460A" w:rsidRDefault="574F6A69" w:rsidP="00083ABB">
            <w:pPr>
              <w:pStyle w:val="Tablebullet"/>
            </w:pPr>
            <w:r>
              <w:t xml:space="preserve">Work with staff to build </w:t>
            </w:r>
            <w:bookmarkStart w:id="9" w:name="_Int_wyNPclcA"/>
            <w:r>
              <w:t>common understanding</w:t>
            </w:r>
            <w:bookmarkEnd w:id="9"/>
            <w:r>
              <w:t xml:space="preserve"> of risk factors</w:t>
            </w:r>
            <w:r w:rsidR="21F46FFC">
              <w:t>.</w:t>
            </w:r>
            <w:r>
              <w:t xml:space="preserve"> </w:t>
            </w:r>
          </w:p>
          <w:p w14:paraId="74648504" w14:textId="6CBFB93A" w:rsidR="00194D94" w:rsidRPr="00C4460A" w:rsidRDefault="00801FAC" w:rsidP="00083ABB">
            <w:pPr>
              <w:pStyle w:val="Tablebullet"/>
              <w:rPr>
                <w:b/>
                <w:bCs/>
              </w:rPr>
            </w:pPr>
            <w:r w:rsidRPr="00C4460A">
              <w:t>Compare how frameworks are applied to different problems.</w:t>
            </w:r>
          </w:p>
        </w:tc>
      </w:tr>
      <w:tr w:rsidR="005E4BC5" w:rsidRPr="00C4460A" w14:paraId="73C89475" w14:textId="7AC767D5" w:rsidTr="00751D4A">
        <w:trPr>
          <w:trHeight w:val="300"/>
        </w:trPr>
        <w:tc>
          <w:tcPr>
            <w:tcW w:w="1047" w:type="pct"/>
          </w:tcPr>
          <w:p w14:paraId="47E720FB" w14:textId="255EDA07" w:rsidR="005E4BC5" w:rsidRPr="00C4460A" w:rsidRDefault="005E4BC5" w:rsidP="00796435">
            <w:pPr>
              <w:pStyle w:val="Tabletext"/>
              <w:spacing w:before="120"/>
            </w:pPr>
            <w:r w:rsidRPr="00C4460A">
              <w:lastRenderedPageBreak/>
              <w:t xml:space="preserve">Design </w:t>
            </w:r>
            <w:r w:rsidR="00D66B79">
              <w:t xml:space="preserve">your </w:t>
            </w:r>
            <w:r w:rsidRPr="00C4460A">
              <w:t>compliance programs in context of other tools</w:t>
            </w:r>
          </w:p>
        </w:tc>
        <w:tc>
          <w:tcPr>
            <w:tcW w:w="3953" w:type="pct"/>
          </w:tcPr>
          <w:p w14:paraId="14F5296C" w14:textId="3FBD8523" w:rsidR="005E4BC5" w:rsidRPr="00BA20CA" w:rsidRDefault="6F85A60C" w:rsidP="00A85727">
            <w:pPr>
              <w:rPr>
                <w:rFonts w:asciiTheme="majorHAnsi" w:hAnsiTheme="majorHAnsi"/>
              </w:rPr>
            </w:pPr>
            <w:r w:rsidRPr="00BA20CA">
              <w:rPr>
                <w:rFonts w:asciiTheme="majorHAnsi" w:hAnsiTheme="majorHAnsi"/>
              </w:rPr>
              <w:t xml:space="preserve">Regulators need to </w:t>
            </w:r>
            <w:r w:rsidR="46A1AF77" w:rsidRPr="00BA20CA">
              <w:rPr>
                <w:rFonts w:asciiTheme="majorHAnsi" w:hAnsiTheme="majorHAnsi"/>
              </w:rPr>
              <w:t xml:space="preserve">assess whether they can </w:t>
            </w:r>
            <w:r w:rsidRPr="00BA20CA">
              <w:rPr>
                <w:rFonts w:asciiTheme="majorHAnsi" w:hAnsiTheme="majorHAnsi"/>
              </w:rPr>
              <w:t xml:space="preserve">leverage </w:t>
            </w:r>
            <w:r w:rsidR="3FAA51CE" w:rsidRPr="00BA20CA">
              <w:rPr>
                <w:rFonts w:asciiTheme="majorHAnsi" w:hAnsiTheme="majorHAnsi"/>
              </w:rPr>
              <w:t xml:space="preserve">the role of other parties in </w:t>
            </w:r>
            <w:r w:rsidRPr="00BA20CA">
              <w:rPr>
                <w:rFonts w:asciiTheme="majorHAnsi" w:hAnsiTheme="majorHAnsi"/>
              </w:rPr>
              <w:t>monitoring and promoting compliance, to maximise effect of their scarce resources</w:t>
            </w:r>
            <w:r w:rsidR="5AB8C1A9" w:rsidRPr="00BA20CA">
              <w:rPr>
                <w:rFonts w:asciiTheme="majorHAnsi" w:hAnsiTheme="majorHAnsi"/>
              </w:rPr>
              <w:t>.</w:t>
            </w:r>
          </w:p>
          <w:p w14:paraId="704730A0" w14:textId="23EDA0B6" w:rsidR="00801FAC" w:rsidRPr="00C4460A" w:rsidRDefault="00801FAC" w:rsidP="00A85727">
            <w:pPr>
              <w:pStyle w:val="Tabletext"/>
              <w:rPr>
                <w:b/>
                <w:bCs/>
              </w:rPr>
            </w:pPr>
            <w:r w:rsidRPr="043146FE">
              <w:rPr>
                <w:b/>
                <w:bCs/>
              </w:rPr>
              <w:t>Considerations:</w:t>
            </w:r>
          </w:p>
          <w:p w14:paraId="7725B124" w14:textId="01718147" w:rsidR="00F9666F" w:rsidRPr="00C4460A" w:rsidRDefault="00F9666F" w:rsidP="00A459F7">
            <w:pPr>
              <w:pStyle w:val="Tablebullet"/>
            </w:pPr>
            <w:r w:rsidRPr="00C4460A">
              <w:t xml:space="preserve">Inspections and enforcement cannot be everywhere and address everything, and there can be many other ways to achieve regulatory outcomes. </w:t>
            </w:r>
          </w:p>
          <w:p w14:paraId="120EA73F" w14:textId="42DEFE4F" w:rsidR="00577819" w:rsidRDefault="0F11EB0D" w:rsidP="00A459F7">
            <w:pPr>
              <w:pStyle w:val="Tablebullet"/>
            </w:pPr>
            <w:r w:rsidRPr="4FCA2E5A">
              <w:t>Consider whether the actions of industry, community, and those who relate or engage with duty holders could have a role in promoting compliance and detecting non-compliance</w:t>
            </w:r>
            <w:r w:rsidR="00D66B79">
              <w:t>.</w:t>
            </w:r>
            <w:r w:rsidRPr="4FCA2E5A">
              <w:t xml:space="preserve"> </w:t>
            </w:r>
          </w:p>
          <w:p w14:paraId="1A9C0AD2" w14:textId="46EA4C03" w:rsidR="00F9666F" w:rsidRPr="00C4460A" w:rsidRDefault="13BE0E6C" w:rsidP="00A459F7">
            <w:pPr>
              <w:pStyle w:val="Tablebullet"/>
            </w:pPr>
            <w:r w:rsidRPr="4FCA2E5A">
              <w:t xml:space="preserve">In designing your approach: </w:t>
            </w:r>
          </w:p>
          <w:p w14:paraId="17F35911" w14:textId="55B3F8A7" w:rsidR="00F9666F" w:rsidRPr="00C4460A" w:rsidRDefault="13BE0E6C" w:rsidP="00A85727">
            <w:pPr>
              <w:pStyle w:val="Tabledash"/>
            </w:pPr>
            <w:r w:rsidRPr="4FCA2E5A">
              <w:t>Think beyond your regulatory tools, and account for other mechanisms, to maximise your impact on harms</w:t>
            </w:r>
            <w:r w:rsidR="7377C339" w:rsidRPr="4FCA2E5A">
              <w:t xml:space="preserve"> and compliance</w:t>
            </w:r>
            <w:r w:rsidRPr="4FCA2E5A">
              <w:t xml:space="preserve">. </w:t>
            </w:r>
          </w:p>
          <w:p w14:paraId="10F21ACB" w14:textId="6012D41D" w:rsidR="00F9666F" w:rsidRPr="00C4460A" w:rsidRDefault="00F9666F" w:rsidP="00A85727">
            <w:pPr>
              <w:pStyle w:val="Tabledash"/>
            </w:pPr>
            <w:r w:rsidRPr="00C4460A">
              <w:t xml:space="preserve">Account for advances in monitoring and reporting technology, and where these can replace or complement physical inspections. </w:t>
            </w:r>
          </w:p>
          <w:p w14:paraId="4FED1D09" w14:textId="384F4B38" w:rsidR="00F9666F" w:rsidRPr="00C4460A" w:rsidRDefault="0EC53F64" w:rsidP="00A85727">
            <w:pPr>
              <w:pStyle w:val="Tabledash"/>
            </w:pPr>
            <w:r>
              <w:t>Consider</w:t>
            </w:r>
            <w:r w:rsidR="13BE0E6C">
              <w:t xml:space="preserve"> the self-regulating aspects of the regulatory environment, including private incentives and motivations. </w:t>
            </w:r>
          </w:p>
          <w:p w14:paraId="5AD64101" w14:textId="7FCEE646" w:rsidR="02BFE041" w:rsidRDefault="02BFE041" w:rsidP="00A85727">
            <w:pPr>
              <w:pStyle w:val="Tabledash"/>
            </w:pPr>
            <w:r w:rsidRPr="4FCA2E5A">
              <w:t>Consider the parties who have a relationship with duty holders, such as suppliers, customers, agents, advisors, or consultants; their influence on duty hol</w:t>
            </w:r>
            <w:r w:rsidR="686E3481" w:rsidRPr="4FCA2E5A">
              <w:t>ders, and the possible roles in detecting or reporting on risks</w:t>
            </w:r>
            <w:r w:rsidR="00D66B79">
              <w:t>.</w:t>
            </w:r>
          </w:p>
          <w:p w14:paraId="7F31FAE4" w14:textId="39845FAA" w:rsidR="00F9666F" w:rsidRPr="00C4460A" w:rsidRDefault="13BE0E6C" w:rsidP="00A85727">
            <w:pPr>
              <w:pStyle w:val="Tabledash"/>
            </w:pPr>
            <w:r>
              <w:t>Consider how these incentives towards compliance can be used and maximised without the need for compliance monitoring</w:t>
            </w:r>
            <w:r w:rsidR="068B4A88">
              <w:t xml:space="preserve">. </w:t>
            </w:r>
          </w:p>
          <w:p w14:paraId="42F18D78" w14:textId="209CB348" w:rsidR="5C48A0D0" w:rsidRDefault="5C48A0D0" w:rsidP="00A85727">
            <w:pPr>
              <w:pStyle w:val="Tabledash"/>
            </w:pPr>
            <w:r>
              <w:t>Consider the role of improved information, visibility and feedback mechanisms between duty holders and other parties</w:t>
            </w:r>
            <w:r w:rsidR="00D66B79">
              <w:t xml:space="preserve">, </w:t>
            </w:r>
            <w:r>
              <w:t xml:space="preserve">including through use of </w:t>
            </w:r>
            <w:r w:rsidR="6A02C4F1">
              <w:t>technology, to</w:t>
            </w:r>
            <w:r>
              <w:t xml:space="preserve"> influence behaviours</w:t>
            </w:r>
            <w:r w:rsidR="00D66B79">
              <w:t>.</w:t>
            </w:r>
          </w:p>
          <w:p w14:paraId="08E928A2" w14:textId="3B72ED25" w:rsidR="00801FAC" w:rsidRPr="00C4460A" w:rsidRDefault="00F9666F" w:rsidP="00A459F7">
            <w:pPr>
              <w:pStyle w:val="Tablebullet"/>
              <w:rPr>
                <w:b/>
                <w:bCs/>
              </w:rPr>
            </w:pPr>
            <w:r w:rsidRPr="00C4460A">
              <w:t>Support the role of other parties in monitoring or responding to issues, such as industry responses to community concerns.</w:t>
            </w:r>
          </w:p>
        </w:tc>
      </w:tr>
      <w:tr w:rsidR="005E4BC5" w:rsidRPr="00C4460A" w14:paraId="38493863" w14:textId="1BC925B0" w:rsidTr="00751D4A">
        <w:trPr>
          <w:trHeight w:val="300"/>
        </w:trPr>
        <w:tc>
          <w:tcPr>
            <w:tcW w:w="1047" w:type="pct"/>
          </w:tcPr>
          <w:p w14:paraId="70F442E3" w14:textId="141B8BA6" w:rsidR="005E4BC5" w:rsidRPr="00C4460A" w:rsidRDefault="02074308" w:rsidP="00796435">
            <w:pPr>
              <w:pStyle w:val="Tabletext"/>
              <w:spacing w:before="120"/>
            </w:pPr>
            <w:r w:rsidRPr="4FCA2E5A">
              <w:t xml:space="preserve">Distinguish criminal investigation from </w:t>
            </w:r>
            <w:r w:rsidR="0068599C">
              <w:t xml:space="preserve">your </w:t>
            </w:r>
            <w:r w:rsidRPr="4FCA2E5A">
              <w:t>general compliance activities</w:t>
            </w:r>
          </w:p>
        </w:tc>
        <w:tc>
          <w:tcPr>
            <w:tcW w:w="3953" w:type="pct"/>
          </w:tcPr>
          <w:p w14:paraId="4D97603A" w14:textId="798B04F7" w:rsidR="005E4BC5" w:rsidRPr="00BA20CA" w:rsidRDefault="5A93F9A1" w:rsidP="00A85727">
            <w:pPr>
              <w:rPr>
                <w:rFonts w:asciiTheme="majorHAnsi" w:hAnsiTheme="majorHAnsi"/>
              </w:rPr>
            </w:pPr>
            <w:r w:rsidRPr="00BA20CA">
              <w:rPr>
                <w:rFonts w:asciiTheme="majorHAnsi" w:hAnsiTheme="majorHAnsi"/>
              </w:rPr>
              <w:t xml:space="preserve">The ‘mode’ of regulating differs with </w:t>
            </w:r>
            <w:r w:rsidR="055DB4BA" w:rsidRPr="00BA20CA">
              <w:rPr>
                <w:rFonts w:asciiTheme="majorHAnsi" w:hAnsiTheme="majorHAnsi"/>
              </w:rPr>
              <w:t xml:space="preserve">a different focus on support </w:t>
            </w:r>
            <w:r w:rsidR="00146476" w:rsidRPr="00BA20CA">
              <w:rPr>
                <w:rFonts w:asciiTheme="majorHAnsi" w:hAnsiTheme="majorHAnsi"/>
              </w:rPr>
              <w:t xml:space="preserve">compared to </w:t>
            </w:r>
            <w:r w:rsidR="055DB4BA" w:rsidRPr="00BA20CA">
              <w:rPr>
                <w:rFonts w:asciiTheme="majorHAnsi" w:hAnsiTheme="majorHAnsi"/>
              </w:rPr>
              <w:t>enforcement</w:t>
            </w:r>
            <w:r w:rsidRPr="00BA20CA">
              <w:rPr>
                <w:rFonts w:asciiTheme="majorHAnsi" w:hAnsiTheme="majorHAnsi"/>
              </w:rPr>
              <w:t>, and regulators need to be clear about which scenario they are addressing</w:t>
            </w:r>
          </w:p>
          <w:p w14:paraId="1B7B54D9" w14:textId="3A73AD89" w:rsidR="004573C9" w:rsidRPr="00C4460A" w:rsidRDefault="004573C9" w:rsidP="00A85727">
            <w:pPr>
              <w:pStyle w:val="Tabletext"/>
              <w:rPr>
                <w:b/>
                <w:bCs/>
              </w:rPr>
            </w:pPr>
            <w:r w:rsidRPr="043146FE">
              <w:rPr>
                <w:b/>
                <w:bCs/>
              </w:rPr>
              <w:t>Considerations:</w:t>
            </w:r>
          </w:p>
          <w:p w14:paraId="35B9FB2A" w14:textId="0495F996" w:rsidR="004573C9" w:rsidRPr="00C4460A" w:rsidRDefault="0399ED37" w:rsidP="00A459F7">
            <w:pPr>
              <w:pStyle w:val="Tablebullet"/>
            </w:pPr>
            <w:r w:rsidRPr="4FCA2E5A">
              <w:t xml:space="preserve">Where relevant, clearly distinguish and articulate: </w:t>
            </w:r>
          </w:p>
          <w:p w14:paraId="0B5F2EAE" w14:textId="5091FA56" w:rsidR="004573C9" w:rsidRPr="00C4460A" w:rsidRDefault="0399ED37" w:rsidP="00A85727">
            <w:pPr>
              <w:pStyle w:val="Tabledash"/>
            </w:pPr>
            <w:r w:rsidRPr="4FCA2E5A">
              <w:t xml:space="preserve">regulatory activities focusing on promoting compliance (including, when needed, by using enforcement powers) </w:t>
            </w:r>
          </w:p>
          <w:p w14:paraId="71A3E238" w14:textId="290E34C9" w:rsidR="004573C9" w:rsidRPr="00C4460A" w:rsidRDefault="0399ED37" w:rsidP="00A85727">
            <w:pPr>
              <w:pStyle w:val="Tabledash"/>
              <w:rPr>
                <w:b/>
                <w:bCs/>
              </w:rPr>
            </w:pPr>
            <w:r w:rsidRPr="4FCA2E5A">
              <w:t>law-enforcement activities focusing on fighting crime</w:t>
            </w:r>
          </w:p>
          <w:p w14:paraId="65B6FE5E" w14:textId="14D0F866" w:rsidR="004573C9" w:rsidRPr="00C4460A" w:rsidRDefault="78208667" w:rsidP="00A459F7">
            <w:pPr>
              <w:pStyle w:val="Tablebullet"/>
            </w:pPr>
            <w:r>
              <w:t>Consider how</w:t>
            </w:r>
            <w:r w:rsidR="0068599C">
              <w:t xml:space="preserve"> your</w:t>
            </w:r>
            <w:r>
              <w:t xml:space="preserve"> general compliance activities can trigger or lead to sanctioning action, how </w:t>
            </w:r>
            <w:r w:rsidR="2516C5A0">
              <w:t>they</w:t>
            </w:r>
            <w:r>
              <w:t xml:space="preserve"> detect criminal activities, and when dedicated law</w:t>
            </w:r>
            <w:r w:rsidR="0068599C">
              <w:t xml:space="preserve"> </w:t>
            </w:r>
            <w:r>
              <w:t xml:space="preserve">enforcement approaches </w:t>
            </w:r>
            <w:r w:rsidR="6D209CFE">
              <w:t>(</w:t>
            </w:r>
            <w:r w:rsidR="046325FE">
              <w:t>e.g.</w:t>
            </w:r>
            <w:r w:rsidR="00BA2B0D">
              <w:t>,</w:t>
            </w:r>
            <w:r w:rsidR="6D209CFE">
              <w:t xml:space="preserve"> surveillance, criminal intelligence, strategic investigations) </w:t>
            </w:r>
            <w:r>
              <w:t>are required</w:t>
            </w:r>
          </w:p>
        </w:tc>
      </w:tr>
      <w:tr w:rsidR="005E4BC5" w:rsidRPr="00C4460A" w14:paraId="66D9F81A" w14:textId="353F5B90" w:rsidTr="00751D4A">
        <w:trPr>
          <w:trHeight w:val="300"/>
        </w:trPr>
        <w:tc>
          <w:tcPr>
            <w:tcW w:w="1047" w:type="pct"/>
          </w:tcPr>
          <w:p w14:paraId="6C04F871" w14:textId="3552F636" w:rsidR="005E4BC5" w:rsidRPr="00C4460A" w:rsidRDefault="005E4BC5" w:rsidP="00796435">
            <w:pPr>
              <w:pStyle w:val="Tabletext"/>
              <w:spacing w:before="120"/>
            </w:pPr>
            <w:r w:rsidRPr="00C4460A">
              <w:lastRenderedPageBreak/>
              <w:t xml:space="preserve">Consider </w:t>
            </w:r>
            <w:r w:rsidR="0068599C" w:rsidRPr="1A8E4B59">
              <w:t>your</w:t>
            </w:r>
            <w:r w:rsidRPr="00C4460A">
              <w:t xml:space="preserve"> approaches to specific harms</w:t>
            </w:r>
          </w:p>
        </w:tc>
        <w:tc>
          <w:tcPr>
            <w:tcW w:w="3953" w:type="pct"/>
          </w:tcPr>
          <w:p w14:paraId="472B2B2A" w14:textId="43C94ADC" w:rsidR="005E4BC5" w:rsidRPr="0017080B" w:rsidRDefault="58C390B2" w:rsidP="33378111">
            <w:pPr>
              <w:rPr>
                <w:rFonts w:asciiTheme="majorHAnsi" w:hAnsiTheme="majorHAnsi"/>
              </w:rPr>
            </w:pPr>
            <w:r w:rsidRPr="33378111">
              <w:rPr>
                <w:rFonts w:asciiTheme="majorHAnsi" w:hAnsiTheme="majorHAnsi"/>
              </w:rPr>
              <w:t xml:space="preserve">A single, high-level approach to regulating </w:t>
            </w:r>
            <w:r w:rsidR="16D854F1" w:rsidRPr="33378111">
              <w:rPr>
                <w:rFonts w:asciiTheme="majorHAnsi" w:hAnsiTheme="majorHAnsi"/>
              </w:rPr>
              <w:t xml:space="preserve">may </w:t>
            </w:r>
            <w:r w:rsidRPr="33378111">
              <w:rPr>
                <w:rFonts w:asciiTheme="majorHAnsi" w:hAnsiTheme="majorHAnsi"/>
              </w:rPr>
              <w:t xml:space="preserve">not be sufficient to manage harms with </w:t>
            </w:r>
            <w:bookmarkStart w:id="10" w:name="_Int_tAzDMBj2"/>
            <w:r w:rsidRPr="33378111">
              <w:rPr>
                <w:rFonts w:asciiTheme="majorHAnsi" w:hAnsiTheme="majorHAnsi"/>
              </w:rPr>
              <w:t>different characteristics</w:t>
            </w:r>
            <w:bookmarkEnd w:id="10"/>
            <w:r w:rsidRPr="33378111">
              <w:rPr>
                <w:rFonts w:asciiTheme="majorHAnsi" w:hAnsiTheme="majorHAnsi"/>
              </w:rPr>
              <w:t xml:space="preserve"> </w:t>
            </w:r>
          </w:p>
          <w:p w14:paraId="75E0C730" w14:textId="36A172E5" w:rsidR="00E62452" w:rsidRPr="0017080B" w:rsidRDefault="00E62452" w:rsidP="0017080B">
            <w:pPr>
              <w:pStyle w:val="Tabletext"/>
              <w:rPr>
                <w:b/>
                <w:bCs/>
              </w:rPr>
            </w:pPr>
            <w:r w:rsidRPr="0017080B">
              <w:rPr>
                <w:b/>
                <w:bCs/>
              </w:rPr>
              <w:t>Considerations:</w:t>
            </w:r>
          </w:p>
          <w:p w14:paraId="4784E2CC" w14:textId="66D03E53" w:rsidR="00E62452" w:rsidRPr="00C4460A" w:rsidRDefault="00E62452" w:rsidP="00A459F7">
            <w:pPr>
              <w:pStyle w:val="Tablebullet"/>
            </w:pPr>
            <w:r>
              <w:t>Consider the suite of approaches and tools you can apply for specific harms. This includes persuading or influencing behaviour change and using powers to compel action</w:t>
            </w:r>
            <w:r w:rsidR="7FDA9818">
              <w:t xml:space="preserve">. </w:t>
            </w:r>
          </w:p>
          <w:p w14:paraId="09E954BD" w14:textId="35D0A343" w:rsidR="00E62452" w:rsidRPr="00C4460A" w:rsidRDefault="022104AE" w:rsidP="00A459F7">
            <w:pPr>
              <w:pStyle w:val="Tablebullet"/>
              <w:rPr>
                <w:b/>
                <w:bCs/>
              </w:rPr>
            </w:pPr>
            <w:r w:rsidRPr="4FCA2E5A">
              <w:t>Whether to use approaches separately or in combination, for specific harms</w:t>
            </w:r>
            <w:r w:rsidR="0B748242" w:rsidRPr="4FCA2E5A">
              <w:t>.</w:t>
            </w:r>
          </w:p>
          <w:p w14:paraId="15BBF606" w14:textId="587089F2" w:rsidR="00E62452" w:rsidRPr="00C4460A" w:rsidRDefault="6E861A6D" w:rsidP="00A459F7">
            <w:pPr>
              <w:pStyle w:val="Tablebullet"/>
              <w:rPr>
                <w:b/>
                <w:bCs/>
              </w:rPr>
            </w:pPr>
            <w:r w:rsidRPr="7123B212">
              <w:t>Assess h</w:t>
            </w:r>
            <w:r w:rsidR="536E453A" w:rsidRPr="7123B212">
              <w:t>ow</w:t>
            </w:r>
            <w:r w:rsidR="0B748242" w:rsidRPr="4FCA2E5A">
              <w:t xml:space="preserve"> different approaches might translate to external statements of regulatory posture, such as statements of intent, or specific programs under a regulatory strategy</w:t>
            </w:r>
            <w:r w:rsidR="022104AE" w:rsidRPr="4FCA2E5A">
              <w:t>.</w:t>
            </w:r>
          </w:p>
        </w:tc>
      </w:tr>
      <w:tr w:rsidR="005E4BC5" w:rsidRPr="00C4460A" w14:paraId="352C3319" w14:textId="0C6BB7A1" w:rsidTr="00751D4A">
        <w:trPr>
          <w:trHeight w:val="300"/>
        </w:trPr>
        <w:tc>
          <w:tcPr>
            <w:tcW w:w="1047" w:type="pct"/>
          </w:tcPr>
          <w:p w14:paraId="530FF8ED" w14:textId="77777777" w:rsidR="005E4BC5" w:rsidRPr="00C4460A" w:rsidRDefault="005E4BC5" w:rsidP="00796435">
            <w:pPr>
              <w:pStyle w:val="Tabletext"/>
              <w:spacing w:before="120"/>
            </w:pPr>
            <w:r w:rsidRPr="00C4460A">
              <w:t>Consider the audience and purpose of explaining your approach</w:t>
            </w:r>
          </w:p>
        </w:tc>
        <w:tc>
          <w:tcPr>
            <w:tcW w:w="3953" w:type="pct"/>
          </w:tcPr>
          <w:p w14:paraId="6270B44F" w14:textId="4AA99020" w:rsidR="005E4BC5" w:rsidRPr="0017080B" w:rsidRDefault="27BB0D52" w:rsidP="0017240D">
            <w:pPr>
              <w:rPr>
                <w:rFonts w:asciiTheme="majorHAnsi" w:hAnsiTheme="majorHAnsi"/>
              </w:rPr>
            </w:pPr>
            <w:r w:rsidRPr="0017080B">
              <w:rPr>
                <w:rFonts w:asciiTheme="majorHAnsi" w:hAnsiTheme="majorHAnsi"/>
              </w:rPr>
              <w:t>Whilst regulators may need to articulate a range of matters to ensure consistency, their stakeholders may not be engaged in all of these</w:t>
            </w:r>
          </w:p>
          <w:p w14:paraId="6E0DEDAF" w14:textId="3E6CD3F7" w:rsidR="00CB2FA4" w:rsidRPr="00C4460A" w:rsidRDefault="00CB2FA4" w:rsidP="0017080B">
            <w:pPr>
              <w:pStyle w:val="Tabletext"/>
            </w:pPr>
            <w:r w:rsidRPr="0017080B">
              <w:rPr>
                <w:b/>
                <w:bCs/>
              </w:rPr>
              <w:t>Considerations</w:t>
            </w:r>
            <w:r w:rsidRPr="043146FE">
              <w:t>:</w:t>
            </w:r>
          </w:p>
          <w:p w14:paraId="721807FA" w14:textId="61920AF5" w:rsidR="00CB2FA4" w:rsidRPr="00C4460A" w:rsidRDefault="00CB2FA4" w:rsidP="0017080B">
            <w:pPr>
              <w:pStyle w:val="Tabletext"/>
            </w:pPr>
            <w:r w:rsidRPr="00C4460A">
              <w:t xml:space="preserve">In thinking about what you should explain externally, consider: </w:t>
            </w:r>
          </w:p>
          <w:p w14:paraId="050CD23E" w14:textId="1388E3C8" w:rsidR="00CB2FA4" w:rsidRPr="00C4460A" w:rsidRDefault="00CB2FA4" w:rsidP="00A459F7">
            <w:pPr>
              <w:pStyle w:val="Tablebullet"/>
            </w:pPr>
            <w:r>
              <w:t>The principles that guide your approach and commitments</w:t>
            </w:r>
            <w:r w:rsidR="76E4EE33">
              <w:t xml:space="preserve">. </w:t>
            </w:r>
          </w:p>
          <w:p w14:paraId="53A2051C" w14:textId="5C995B07" w:rsidR="00CB2FA4" w:rsidRPr="00C4460A" w:rsidRDefault="00CB2FA4" w:rsidP="00A459F7">
            <w:pPr>
              <w:pStyle w:val="Tablebullet"/>
            </w:pPr>
            <w:r>
              <w:t>What messages can help to increase voluntary compliance, such as communicating priorities and expectations</w:t>
            </w:r>
            <w:r w:rsidR="2531D85D">
              <w:t xml:space="preserve">. </w:t>
            </w:r>
          </w:p>
          <w:p w14:paraId="7A6673D6" w14:textId="335BFBEA" w:rsidR="00CB2FA4" w:rsidRPr="00C4460A" w:rsidRDefault="00CB2FA4" w:rsidP="00A459F7">
            <w:pPr>
              <w:pStyle w:val="Tablebullet"/>
            </w:pPr>
            <w:r>
              <w:t xml:space="preserve">What is useful to increase </w:t>
            </w:r>
            <w:r w:rsidR="4C2B8124">
              <w:t>predictability and</w:t>
            </w:r>
            <w:r>
              <w:t xml:space="preserve"> help duty holders and the community to hold you to account</w:t>
            </w:r>
            <w:r w:rsidR="6306E2D1">
              <w:t xml:space="preserve">. </w:t>
            </w:r>
          </w:p>
          <w:p w14:paraId="35A42B48" w14:textId="078CDC79" w:rsidR="00CB2FA4" w:rsidRPr="00C4460A" w:rsidRDefault="00CB2FA4" w:rsidP="00A459F7">
            <w:pPr>
              <w:pStyle w:val="Tablebullet"/>
            </w:pPr>
            <w:r w:rsidRPr="00C4460A">
              <w:t xml:space="preserve">How to help duty holders understand what they need to do when engaging with you. </w:t>
            </w:r>
          </w:p>
          <w:p w14:paraId="57A94FF6" w14:textId="445993E5" w:rsidR="00CB2FA4" w:rsidRPr="00C4460A" w:rsidRDefault="00CB2FA4" w:rsidP="00A459F7">
            <w:pPr>
              <w:pStyle w:val="Tablebullet"/>
            </w:pPr>
            <w:r w:rsidRPr="00C4460A">
              <w:t xml:space="preserve">What is important to explain internally, compared to what is important to prepare for internal communication and change management needs. </w:t>
            </w:r>
          </w:p>
          <w:p w14:paraId="26CD8320" w14:textId="156D66C3" w:rsidR="00CB2FA4" w:rsidRPr="00C4460A" w:rsidRDefault="00CB2FA4" w:rsidP="00A459F7">
            <w:pPr>
              <w:pStyle w:val="Tablebullet"/>
              <w:rPr>
                <w:b/>
                <w:bCs/>
              </w:rPr>
            </w:pPr>
            <w:r w:rsidRPr="00C4460A">
              <w:t>What are appropriate documents to explain your approach, such as corporate or regulatory strategies, compliance and enforcement policies, and statements of regulatory intent.</w:t>
            </w:r>
          </w:p>
        </w:tc>
      </w:tr>
      <w:tr w:rsidR="005E4BC5" w:rsidRPr="00C4460A" w14:paraId="3D193894" w14:textId="3E5B8DDC" w:rsidTr="00751D4A">
        <w:trPr>
          <w:trHeight w:val="300"/>
        </w:trPr>
        <w:tc>
          <w:tcPr>
            <w:tcW w:w="1047" w:type="pct"/>
          </w:tcPr>
          <w:p w14:paraId="7BB12311" w14:textId="77777777" w:rsidR="005E4BC5" w:rsidRPr="00C4460A" w:rsidRDefault="005E4BC5" w:rsidP="00796435">
            <w:pPr>
              <w:pStyle w:val="Tabletext"/>
              <w:spacing w:before="120"/>
            </w:pPr>
            <w:r w:rsidRPr="00C4460A">
              <w:t>Translate approaches into practice through your management systems</w:t>
            </w:r>
          </w:p>
        </w:tc>
        <w:tc>
          <w:tcPr>
            <w:tcW w:w="3953" w:type="pct"/>
          </w:tcPr>
          <w:p w14:paraId="09CF99E5" w14:textId="660AEBB9" w:rsidR="005E4BC5" w:rsidRPr="0017080B" w:rsidRDefault="66AA8455" w:rsidP="0017240D">
            <w:pPr>
              <w:rPr>
                <w:rFonts w:asciiTheme="majorHAnsi" w:hAnsiTheme="majorHAnsi"/>
              </w:rPr>
            </w:pPr>
            <w:r w:rsidRPr="0017080B">
              <w:rPr>
                <w:rFonts w:asciiTheme="majorHAnsi" w:hAnsiTheme="majorHAnsi"/>
              </w:rPr>
              <w:t>Formal mechanisms, accountabilities and roles are usually required to embed a regulatory approach</w:t>
            </w:r>
          </w:p>
          <w:p w14:paraId="4782A7B8" w14:textId="222CB15F" w:rsidR="007C5E3E" w:rsidRPr="0017080B" w:rsidRDefault="007C5E3E" w:rsidP="0017080B">
            <w:pPr>
              <w:pStyle w:val="Tabletext"/>
              <w:rPr>
                <w:b/>
                <w:bCs/>
              </w:rPr>
            </w:pPr>
            <w:r w:rsidRPr="0017080B">
              <w:rPr>
                <w:b/>
                <w:bCs/>
              </w:rPr>
              <w:t>Considerations:</w:t>
            </w:r>
          </w:p>
          <w:p w14:paraId="49B8E648" w14:textId="76E4E29E" w:rsidR="007C5E3E" w:rsidRPr="00C4460A" w:rsidRDefault="007C5E3E" w:rsidP="00A459F7">
            <w:pPr>
              <w:pStyle w:val="Tablebullet"/>
            </w:pPr>
            <w:r w:rsidRPr="00C4460A">
              <w:t xml:space="preserve">Define roles and responsibilities to give effect to your approaches. </w:t>
            </w:r>
          </w:p>
          <w:p w14:paraId="7440666F" w14:textId="220265A2" w:rsidR="007C5E3E" w:rsidRPr="00C4460A" w:rsidRDefault="007C5E3E" w:rsidP="00A459F7">
            <w:pPr>
              <w:pStyle w:val="Tablebullet"/>
            </w:pPr>
            <w:r w:rsidRPr="00C4460A">
              <w:t xml:space="preserve">Account for the role of leaders to coordinate activities and functions. </w:t>
            </w:r>
          </w:p>
          <w:p w14:paraId="44B574E6" w14:textId="1F50674D" w:rsidR="007C5E3E" w:rsidRPr="00C4460A" w:rsidRDefault="007C5E3E" w:rsidP="00A459F7">
            <w:pPr>
              <w:pStyle w:val="Tablebullet"/>
            </w:pPr>
            <w:r w:rsidRPr="00C4460A">
              <w:t xml:space="preserve">Develop regulatory interventions with clear linkages to your intended contribution to short, intermediate and long-term outcomes. </w:t>
            </w:r>
          </w:p>
          <w:p w14:paraId="559B2CF9" w14:textId="3B4C7586" w:rsidR="007C5E3E" w:rsidRPr="00C4460A" w:rsidRDefault="007C5E3E" w:rsidP="00A459F7">
            <w:pPr>
              <w:pStyle w:val="Tablebullet"/>
              <w:rPr>
                <w:b/>
                <w:bCs/>
              </w:rPr>
            </w:pPr>
            <w:r>
              <w:t xml:space="preserve">Implement mechanisms to implement long-term strategies. Account for leadership, management, </w:t>
            </w:r>
            <w:r w:rsidR="7EAE2B39">
              <w:t>operations,</w:t>
            </w:r>
            <w:r>
              <w:t xml:space="preserve"> and reporting.</w:t>
            </w:r>
          </w:p>
        </w:tc>
      </w:tr>
      <w:tr w:rsidR="005E4BC5" w:rsidRPr="00C4460A" w14:paraId="72F6CC8F" w14:textId="07FACA93" w:rsidTr="00751D4A">
        <w:trPr>
          <w:trHeight w:val="300"/>
        </w:trPr>
        <w:tc>
          <w:tcPr>
            <w:tcW w:w="1047" w:type="pct"/>
          </w:tcPr>
          <w:p w14:paraId="0B9C63BB" w14:textId="2561331F" w:rsidR="005E4BC5" w:rsidRPr="00C4460A" w:rsidRDefault="4E194A14" w:rsidP="00796435">
            <w:pPr>
              <w:pStyle w:val="Tabletext"/>
              <w:spacing w:before="120"/>
            </w:pPr>
            <w:r w:rsidRPr="7EBE0BB5">
              <w:lastRenderedPageBreak/>
              <w:t xml:space="preserve">Ensure regulatory officers are involved and equipped </w:t>
            </w:r>
          </w:p>
        </w:tc>
        <w:tc>
          <w:tcPr>
            <w:tcW w:w="3953" w:type="pct"/>
          </w:tcPr>
          <w:p w14:paraId="2B6869EF" w14:textId="2CC1B16F" w:rsidR="005E4BC5" w:rsidRPr="0017080B" w:rsidRDefault="442D20B4" w:rsidP="0017240D">
            <w:pPr>
              <w:rPr>
                <w:rFonts w:asciiTheme="majorHAnsi" w:hAnsiTheme="majorHAnsi"/>
              </w:rPr>
            </w:pPr>
            <w:r w:rsidRPr="0017080B">
              <w:rPr>
                <w:rFonts w:asciiTheme="majorHAnsi" w:hAnsiTheme="majorHAnsi"/>
              </w:rPr>
              <w:t>Staff need to feel invested in, and understanding of, a regulator’s approach, and skilled to exercise judgement consistent with it</w:t>
            </w:r>
            <w:r w:rsidR="00246A77" w:rsidRPr="0017080B">
              <w:rPr>
                <w:rFonts w:asciiTheme="majorHAnsi" w:hAnsiTheme="majorHAnsi"/>
              </w:rPr>
              <w:t>.</w:t>
            </w:r>
          </w:p>
          <w:p w14:paraId="67D6B6EC" w14:textId="052CFD66" w:rsidR="003A4AF1" w:rsidRPr="0017080B" w:rsidRDefault="003A4AF1" w:rsidP="0017080B">
            <w:pPr>
              <w:pStyle w:val="Tabletext"/>
              <w:rPr>
                <w:b/>
                <w:bCs/>
              </w:rPr>
            </w:pPr>
            <w:r w:rsidRPr="0017080B">
              <w:rPr>
                <w:b/>
                <w:bCs/>
              </w:rPr>
              <w:t xml:space="preserve">Considerations: </w:t>
            </w:r>
          </w:p>
          <w:p w14:paraId="6199E359" w14:textId="440235D9" w:rsidR="003A4AF1" w:rsidRPr="00C4460A" w:rsidRDefault="003A4AF1" w:rsidP="00A459F7">
            <w:pPr>
              <w:pStyle w:val="Tablebullet"/>
            </w:pPr>
            <w:r w:rsidRPr="00C4460A">
              <w:t xml:space="preserve">Conduct professional development and change management activities with staff, to help develop these approaches and put them into practice. </w:t>
            </w:r>
          </w:p>
          <w:p w14:paraId="776817DF" w14:textId="39731283" w:rsidR="003A4AF1" w:rsidRPr="00C4460A" w:rsidRDefault="003A4AF1" w:rsidP="00A459F7">
            <w:pPr>
              <w:pStyle w:val="Tablebullet"/>
            </w:pPr>
            <w:r w:rsidRPr="00C4460A">
              <w:t xml:space="preserve">Establish a work culture that engages staff in the regulatory approach. </w:t>
            </w:r>
          </w:p>
          <w:p w14:paraId="09AAA7DF" w14:textId="6F68B308" w:rsidR="003A4AF1" w:rsidRPr="00C4460A" w:rsidRDefault="003A4AF1" w:rsidP="00A459F7">
            <w:pPr>
              <w:pStyle w:val="Tablebullet"/>
              <w:rPr>
                <w:b/>
                <w:bCs/>
              </w:rPr>
            </w:pPr>
            <w:r w:rsidRPr="00C4460A">
              <w:t>Consider how to ensure that regulatory delivery is consistent with stated commitments to duty holders and the community.</w:t>
            </w:r>
          </w:p>
        </w:tc>
      </w:tr>
    </w:tbl>
    <w:p w14:paraId="27784BDA" w14:textId="0749D448" w:rsidR="005A36F7" w:rsidRDefault="005A36F7" w:rsidP="0099188F">
      <w:pPr>
        <w:spacing w:after="0" w:line="240" w:lineRule="auto"/>
        <w:contextualSpacing/>
      </w:pPr>
    </w:p>
    <w:p w14:paraId="34D26A6E" w14:textId="7F24C1F2" w:rsidR="0068599C" w:rsidRDefault="005A36F7" w:rsidP="005A36F7">
      <w:pPr>
        <w:keepLines w:val="0"/>
        <w:spacing w:before="0" w:after="160" w:line="259" w:lineRule="auto"/>
      </w:pPr>
      <w:r>
        <w:br w:type="page"/>
      </w:r>
    </w:p>
    <w:p w14:paraId="7EE02309" w14:textId="77AD07ED" w:rsidR="00CB073E" w:rsidRPr="002A4428" w:rsidRDefault="00CB073E" w:rsidP="00FD000D">
      <w:pPr>
        <w:pStyle w:val="Principle"/>
        <w:pageBreakBefore w:val="0"/>
      </w:pPr>
      <w:bookmarkStart w:id="11" w:name="_Hlk89784054"/>
      <w:bookmarkStart w:id="12" w:name="_Toc100589341"/>
      <w:r w:rsidRPr="002A4428" w:rsidDel="00125581">
        <w:lastRenderedPageBreak/>
        <w:t xml:space="preserve">Ensure your </w:t>
      </w:r>
      <w:r w:rsidRPr="002A4428">
        <w:t xml:space="preserve">regulatory regime </w:t>
      </w:r>
      <w:r w:rsidRPr="002A4428" w:rsidDel="00125581">
        <w:t>is fit for purpose</w:t>
      </w:r>
      <w:bookmarkEnd w:id="11"/>
      <w:bookmarkEnd w:id="12"/>
    </w:p>
    <w:p w14:paraId="02DDF4A1" w14:textId="73282251" w:rsidR="0099188F" w:rsidRPr="0099188F" w:rsidRDefault="0099188F" w:rsidP="00CB073E">
      <w:r>
        <w:t xml:space="preserve">The sub-elements of principle three outline the </w:t>
      </w:r>
      <w:r w:rsidR="52CF8713">
        <w:t>many ways</w:t>
      </w:r>
      <w:r>
        <w:t xml:space="preserve"> in which regulators can </w:t>
      </w:r>
      <w:r w:rsidR="006B7349">
        <w:t xml:space="preserve">optimise </w:t>
      </w:r>
      <w:r>
        <w:t>the use of their regulatory powers, and influence outcomes where those powers are limited. They promote a mindset from regulator leaders to look at the broader system in which the regulator operates, and how working with peers can help to influence regulatory outcomes</w:t>
      </w:r>
      <w:r w:rsidR="623E9597">
        <w:t xml:space="preserve">. </w:t>
      </w:r>
      <w:r w:rsidR="0058C59B">
        <w:t xml:space="preserve">They also </w:t>
      </w:r>
      <w:r w:rsidR="4B57DB1A">
        <w:t>help regulators to look at how their operations, and their structure, are optimised to meet regulatory objectives.</w:t>
      </w:r>
    </w:p>
    <w:p w14:paraId="1880CE14" w14:textId="76CACA34" w:rsidR="0099188F" w:rsidRPr="0099188F" w:rsidRDefault="0099188F" w:rsidP="00CB073E">
      <w:r>
        <w:t xml:space="preserve">This principle is framed in the context of the leading role of departments in ensuring that the regulatory regime, or scheme, is fit for purpose. The </w:t>
      </w:r>
      <w:r w:rsidR="68527BA3" w:rsidRPr="00577819">
        <w:rPr>
          <w:i/>
        </w:rPr>
        <w:t>Equipping Best Practice</w:t>
      </w:r>
      <w:r w:rsidR="68527BA3" w:rsidRPr="00577819">
        <w:t xml:space="preserve"> </w:t>
      </w:r>
      <w:r>
        <w:t xml:space="preserve">Paper outlines these accountabilities, and the importance of healthy and productive relationships </w:t>
      </w:r>
      <w:r w:rsidR="6BA7B475">
        <w:t xml:space="preserve">between departments and </w:t>
      </w:r>
      <w:r>
        <w:t xml:space="preserve">regulators. </w:t>
      </w:r>
    </w:p>
    <w:p w14:paraId="206EA1D8" w14:textId="73C27CBA" w:rsidR="0099188F" w:rsidRPr="0099188F" w:rsidRDefault="00A839C0" w:rsidP="00CB073E">
      <w:r w:rsidRPr="00A839C0">
        <w:t>To help meet this principle, consider engaging staff to develop processes or documents outlining:</w:t>
      </w:r>
    </w:p>
    <w:p w14:paraId="4F43A75F" w14:textId="38155ABF" w:rsidR="0099188F" w:rsidRPr="0099188F" w:rsidRDefault="0099188F" w:rsidP="00CB073E">
      <w:pPr>
        <w:pStyle w:val="Bullet1"/>
      </w:pPr>
      <w:r w:rsidRPr="0099188F">
        <w:t xml:space="preserve">Any significant barriers or legislative limitations that are restricting </w:t>
      </w:r>
      <w:r w:rsidR="0041292D">
        <w:t>you</w:t>
      </w:r>
      <w:r w:rsidRPr="0099188F">
        <w:t xml:space="preserve"> from delivering </w:t>
      </w:r>
      <w:r w:rsidR="0041292D">
        <w:t>your</w:t>
      </w:r>
      <w:r w:rsidRPr="0099188F">
        <w:t xml:space="preserve"> mission, and priorities for resolution.</w:t>
      </w:r>
    </w:p>
    <w:p w14:paraId="7178C16C" w14:textId="26471845" w:rsidR="0099188F" w:rsidRPr="0099188F" w:rsidRDefault="0099188F" w:rsidP="00CB073E">
      <w:pPr>
        <w:pStyle w:val="Bullet1"/>
      </w:pPr>
      <w:r w:rsidRPr="0099188F">
        <w:t xml:space="preserve">How </w:t>
      </w:r>
      <w:r w:rsidR="0041292D">
        <w:t>your</w:t>
      </w:r>
      <w:r w:rsidRPr="0099188F">
        <w:t xml:space="preserve"> operating model is funded and any pressure, now or in the immediate future, on that model.</w:t>
      </w:r>
    </w:p>
    <w:p w14:paraId="40A14B3D" w14:textId="2B1F27DE" w:rsidR="0099188F" w:rsidRDefault="0099188F" w:rsidP="00CB073E">
      <w:pPr>
        <w:pStyle w:val="Bullet1"/>
      </w:pPr>
      <w:r>
        <w:t xml:space="preserve">Critical capabilities needed to deliver on </w:t>
      </w:r>
      <w:r w:rsidR="00CA42A8">
        <w:t>y</w:t>
      </w:r>
      <w:r>
        <w:t xml:space="preserve">our regulatory mission and any existing gaps, </w:t>
      </w:r>
      <w:r w:rsidR="142AA1E2">
        <w:t>barriers,</w:t>
      </w:r>
      <w:r>
        <w:t xml:space="preserve"> or challenges. </w:t>
      </w:r>
    </w:p>
    <w:p w14:paraId="06D03882" w14:textId="77777777" w:rsidR="0099188F" w:rsidRPr="0099188F" w:rsidRDefault="0099188F" w:rsidP="00CB073E">
      <w:pPr>
        <w:pStyle w:val="Bullet1"/>
      </w:pPr>
      <w:r>
        <w:t>Through case studies or other evidence – efforts to identify and demonstrate limitations encountered when applying and testing regulatory tools.</w:t>
      </w:r>
    </w:p>
    <w:p w14:paraId="16DCA070" w14:textId="05C65FBD" w:rsidR="0099188F" w:rsidRPr="0099188F" w:rsidRDefault="0099188F" w:rsidP="00CB073E">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890"/>
        <w:gridCol w:w="7134"/>
      </w:tblGrid>
      <w:tr w:rsidR="0099188F" w:rsidRPr="00A46F28" w14:paraId="6328442E"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47" w:type="pct"/>
          </w:tcPr>
          <w:p w14:paraId="0B31816F" w14:textId="77777777" w:rsidR="0099188F" w:rsidRPr="00A46F28" w:rsidRDefault="0099188F" w:rsidP="00A46F28">
            <w:pPr>
              <w:pStyle w:val="Tableheader"/>
            </w:pPr>
            <w:r w:rsidRPr="00A46F28">
              <w:t xml:space="preserve">Action area </w:t>
            </w:r>
          </w:p>
        </w:tc>
        <w:tc>
          <w:tcPr>
            <w:tcW w:w="3953" w:type="pct"/>
          </w:tcPr>
          <w:p w14:paraId="053F2983" w14:textId="71E3F51C" w:rsidR="0099188F" w:rsidRPr="00A46F28" w:rsidRDefault="009A59D6" w:rsidP="00A46F28">
            <w:pPr>
              <w:pStyle w:val="Tableheader"/>
            </w:pPr>
            <w:r w:rsidRPr="00A46F28">
              <w:t xml:space="preserve">Rationale and </w:t>
            </w:r>
            <w:r w:rsidR="0059290E" w:rsidRPr="00A46F28">
              <w:t>considerations for implementin</w:t>
            </w:r>
            <w:r w:rsidRPr="00A46F28">
              <w:t>g</w:t>
            </w:r>
          </w:p>
        </w:tc>
      </w:tr>
      <w:tr w:rsidR="0099188F" w:rsidRPr="00C4460A" w14:paraId="1894F14F" w14:textId="77777777" w:rsidTr="33378111">
        <w:trPr>
          <w:trHeight w:val="300"/>
        </w:trPr>
        <w:tc>
          <w:tcPr>
            <w:tcW w:w="1047" w:type="pct"/>
          </w:tcPr>
          <w:p w14:paraId="1ACC7E64" w14:textId="785AC153" w:rsidR="0099188F" w:rsidRPr="00C4460A" w:rsidRDefault="0099188F" w:rsidP="0059290E">
            <w:pPr>
              <w:pStyle w:val="Tabletext"/>
              <w:spacing w:before="120"/>
            </w:pPr>
            <w:r w:rsidRPr="00C4460A">
              <w:t xml:space="preserve">Think broadly about how to achieve </w:t>
            </w:r>
            <w:r w:rsidR="00A17B43">
              <w:t xml:space="preserve">your </w:t>
            </w:r>
            <w:r w:rsidRPr="00C4460A">
              <w:t>regulatory outcomes</w:t>
            </w:r>
          </w:p>
        </w:tc>
        <w:tc>
          <w:tcPr>
            <w:tcW w:w="3953" w:type="pct"/>
          </w:tcPr>
          <w:p w14:paraId="5FDB8CAF" w14:textId="2AA56968" w:rsidR="0099188F" w:rsidRPr="0059290E" w:rsidRDefault="173698A7" w:rsidP="0059290E">
            <w:pPr>
              <w:rPr>
                <w:rFonts w:asciiTheme="majorHAnsi" w:hAnsiTheme="majorHAnsi"/>
              </w:rPr>
            </w:pPr>
            <w:r w:rsidRPr="0059290E">
              <w:rPr>
                <w:rFonts w:asciiTheme="majorHAnsi" w:hAnsiTheme="majorHAnsi"/>
              </w:rPr>
              <w:t>Regulators may play a role within a larger system, in which government, industry and community stakeholders can affect change</w:t>
            </w:r>
          </w:p>
          <w:p w14:paraId="2020ED29" w14:textId="78069932" w:rsidR="009C5A97" w:rsidRPr="0059290E" w:rsidRDefault="009C5A97" w:rsidP="00A46F28">
            <w:pPr>
              <w:pStyle w:val="Tabletext"/>
              <w:rPr>
                <w:b/>
                <w:bCs/>
              </w:rPr>
            </w:pPr>
            <w:r w:rsidRPr="0059290E">
              <w:rPr>
                <w:b/>
                <w:bCs/>
              </w:rPr>
              <w:t>Considerations:</w:t>
            </w:r>
          </w:p>
          <w:p w14:paraId="33FA9A5F" w14:textId="3459084F" w:rsidR="005B0BF5" w:rsidRPr="005B0BF5" w:rsidRDefault="12CA26BD" w:rsidP="00A46F28">
            <w:pPr>
              <w:pStyle w:val="Tabletext"/>
              <w:rPr>
                <w:rFonts w:ascii="VIC" w:eastAsia="Times New Roman" w:hAnsi="VIC" w:cs="Arial"/>
                <w:color w:val="000000"/>
                <w:kern w:val="24"/>
              </w:rPr>
            </w:pPr>
            <w:r w:rsidRPr="005B0BF5">
              <w:rPr>
                <w:rFonts w:ascii="VIC" w:eastAsia="Times New Roman" w:hAnsi="VIC" w:cs="Arial"/>
                <w:color w:val="000000"/>
                <w:kern w:val="24"/>
              </w:rPr>
              <w:t>Account for</w:t>
            </w:r>
            <w:r w:rsidR="005B0BF5" w:rsidRPr="005B0BF5">
              <w:rPr>
                <w:rFonts w:ascii="VIC" w:eastAsia="Times New Roman" w:hAnsi="VIC" w:cs="Arial"/>
                <w:color w:val="000000"/>
                <w:kern w:val="24"/>
              </w:rPr>
              <w:t>:</w:t>
            </w:r>
          </w:p>
          <w:p w14:paraId="3000F925" w14:textId="77777777" w:rsidR="005B0BF5" w:rsidRPr="005B0BF5" w:rsidRDefault="005B0BF5" w:rsidP="007567A7">
            <w:pPr>
              <w:pStyle w:val="Tablebullet"/>
            </w:pPr>
            <w:r w:rsidRPr="2503BCBB">
              <w:t>The most effective set of available approaches and tools to effectively regulate, and better practice approaches used in other jurisdictions.</w:t>
            </w:r>
          </w:p>
          <w:p w14:paraId="3062BC20" w14:textId="77777777" w:rsidR="005B0BF5" w:rsidRPr="005B0BF5" w:rsidRDefault="005B0BF5" w:rsidP="007567A7">
            <w:pPr>
              <w:pStyle w:val="Tablebullet"/>
            </w:pPr>
            <w:r w:rsidRPr="2503BCBB">
              <w:t>The entirety of your regulatory powers and tools, their current application, and how they can be used or developed for different problems or harms.</w:t>
            </w:r>
          </w:p>
          <w:p w14:paraId="0A2FB1AB" w14:textId="77777777" w:rsidR="005B0BF5" w:rsidRPr="00C4460A" w:rsidRDefault="005B0BF5" w:rsidP="007567A7">
            <w:pPr>
              <w:pStyle w:val="Tablebullet"/>
            </w:pPr>
            <w:r w:rsidRPr="2503BCBB">
              <w:t>The role of other parties in influencing duty holder behaviour, and how to engage with these parties. This includes those who duty holders commonly engage with including industry groups, peer regulators, or other government bodies.</w:t>
            </w:r>
          </w:p>
          <w:p w14:paraId="32198876" w14:textId="5452DE87" w:rsidR="009C5A97" w:rsidRPr="00C4460A" w:rsidRDefault="005B0BF5" w:rsidP="007567A7">
            <w:pPr>
              <w:pStyle w:val="Tablebullet"/>
            </w:pPr>
            <w:r w:rsidRPr="2503BCBB">
              <w:t>Options to innovate where possible, to fill gaps in your toolkit to persuade or influence compliance behaviours, such as through non-statutory guidance, warnings, or other communications.</w:t>
            </w:r>
          </w:p>
        </w:tc>
      </w:tr>
      <w:tr w:rsidR="0099188F" w:rsidRPr="00C4460A" w14:paraId="28B4D8C2" w14:textId="77777777" w:rsidTr="33378111">
        <w:trPr>
          <w:trHeight w:val="300"/>
        </w:trPr>
        <w:tc>
          <w:tcPr>
            <w:tcW w:w="1047" w:type="pct"/>
          </w:tcPr>
          <w:p w14:paraId="24FA2065" w14:textId="0FB413DB" w:rsidR="0099188F" w:rsidRPr="00C4460A" w:rsidRDefault="0099188F" w:rsidP="0059290E">
            <w:pPr>
              <w:pStyle w:val="Tabletext"/>
              <w:spacing w:before="120"/>
            </w:pPr>
            <w:r w:rsidRPr="00C4460A">
              <w:lastRenderedPageBreak/>
              <w:t xml:space="preserve">Critically engage with </w:t>
            </w:r>
            <w:r w:rsidR="00A17B43">
              <w:t xml:space="preserve">your </w:t>
            </w:r>
            <w:r w:rsidRPr="00C4460A">
              <w:t>legislative limitations</w:t>
            </w:r>
          </w:p>
        </w:tc>
        <w:tc>
          <w:tcPr>
            <w:tcW w:w="3953" w:type="pct"/>
          </w:tcPr>
          <w:p w14:paraId="3032CAC9" w14:textId="35743D28" w:rsidR="009C5A97" w:rsidRPr="0059290E" w:rsidRDefault="4F74E774" w:rsidP="0059290E">
            <w:pPr>
              <w:rPr>
                <w:rFonts w:asciiTheme="majorHAnsi" w:hAnsiTheme="majorHAnsi"/>
              </w:rPr>
            </w:pPr>
            <w:r w:rsidRPr="0059290E">
              <w:rPr>
                <w:rFonts w:asciiTheme="majorHAnsi" w:hAnsiTheme="majorHAnsi"/>
              </w:rPr>
              <w:t>Whilst regulators often face legislative impediments, there is also a risk of culture and beliefs amplifying these limitations</w:t>
            </w:r>
          </w:p>
          <w:p w14:paraId="279A59A9" w14:textId="78F46CC6" w:rsidR="009C5A97" w:rsidRPr="00C4460A" w:rsidRDefault="009C5A97" w:rsidP="00A46F28">
            <w:pPr>
              <w:pStyle w:val="Tabletext"/>
              <w:rPr>
                <w:b/>
                <w:bCs/>
              </w:rPr>
            </w:pPr>
            <w:r w:rsidRPr="043146FE">
              <w:rPr>
                <w:b/>
                <w:bCs/>
              </w:rPr>
              <w:t>Considerations:</w:t>
            </w:r>
          </w:p>
          <w:p w14:paraId="4FE54F02" w14:textId="1CFDA9C1" w:rsidR="00715CA6" w:rsidRPr="00C4460A" w:rsidRDefault="00715CA6" w:rsidP="007567A7">
            <w:pPr>
              <w:pStyle w:val="Tablebullet"/>
            </w:pPr>
            <w:r w:rsidRPr="00C4460A">
              <w:t>Consider limitations of your regulatory tools and powers, whether these are actual or perceived, and when and how advice was asked for and given on these limitations.</w:t>
            </w:r>
          </w:p>
          <w:p w14:paraId="7A303812" w14:textId="77777777" w:rsidR="00715CA6" w:rsidRPr="00C4460A" w:rsidRDefault="00715CA6" w:rsidP="007567A7">
            <w:pPr>
              <w:pStyle w:val="Tablebullet"/>
            </w:pPr>
            <w:r w:rsidRPr="00C4460A">
              <w:t>Review these limitations in the context of your enabling legislation, including its objectives, and your functions and powers.</w:t>
            </w:r>
          </w:p>
          <w:p w14:paraId="59F12116" w14:textId="6E1A18A4" w:rsidR="00715CA6" w:rsidRPr="00C4460A" w:rsidRDefault="00715CA6" w:rsidP="007567A7">
            <w:pPr>
              <w:pStyle w:val="Tablebullet"/>
            </w:pPr>
            <w:r w:rsidRPr="00C4460A">
              <w:t>Consider the role of culture and mindset and risk aversion in establishing views about legislative limitations.</w:t>
            </w:r>
          </w:p>
          <w:p w14:paraId="128F4082" w14:textId="1593EBBD" w:rsidR="00715CA6" w:rsidRPr="00C4460A" w:rsidRDefault="00715CA6" w:rsidP="007567A7">
            <w:pPr>
              <w:pStyle w:val="Tablebullet"/>
            </w:pPr>
            <w:r w:rsidRPr="00C4460A">
              <w:t>Express your tolerance to risk in relation to these limitations, accounting for the likelihood of provisions being tested or challenged, and the possible and probable consequences.</w:t>
            </w:r>
          </w:p>
          <w:p w14:paraId="2AB97B1D" w14:textId="45553FDE" w:rsidR="009C5A97" w:rsidRPr="00C4460A" w:rsidRDefault="612AE481" w:rsidP="007567A7">
            <w:pPr>
              <w:pStyle w:val="Tablebullet"/>
            </w:pPr>
            <w:r>
              <w:t xml:space="preserve">Assess how to appropriately test limitations in different circumstances, </w:t>
            </w:r>
            <w:r w:rsidR="3F760412">
              <w:t>to</w:t>
            </w:r>
            <w:r>
              <w:t xml:space="preserve"> maximise the use of available powers or to make the case for change.</w:t>
            </w:r>
          </w:p>
        </w:tc>
      </w:tr>
      <w:tr w:rsidR="0099188F" w:rsidRPr="00C4460A" w14:paraId="38A09B28" w14:textId="77777777" w:rsidTr="33378111">
        <w:trPr>
          <w:trHeight w:val="300"/>
        </w:trPr>
        <w:tc>
          <w:tcPr>
            <w:tcW w:w="1047" w:type="pct"/>
          </w:tcPr>
          <w:p w14:paraId="3CEC606B" w14:textId="77777777" w:rsidR="0099188F" w:rsidRPr="00C4460A" w:rsidRDefault="0099188F" w:rsidP="0059290E">
            <w:pPr>
              <w:pStyle w:val="Tabletext"/>
              <w:spacing w:before="120"/>
            </w:pPr>
            <w:r w:rsidRPr="00C4460A">
              <w:t>Engage with your fee and funding arrangements</w:t>
            </w:r>
          </w:p>
        </w:tc>
        <w:tc>
          <w:tcPr>
            <w:tcW w:w="3953" w:type="pct"/>
          </w:tcPr>
          <w:p w14:paraId="31BBDEA7" w14:textId="22DAC36C" w:rsidR="0099188F" w:rsidRPr="0059290E" w:rsidRDefault="1B6F7CEB" w:rsidP="0059290E">
            <w:pPr>
              <w:rPr>
                <w:rFonts w:asciiTheme="majorHAnsi" w:hAnsiTheme="majorHAnsi"/>
              </w:rPr>
            </w:pPr>
            <w:r w:rsidRPr="0059290E">
              <w:rPr>
                <w:rFonts w:asciiTheme="majorHAnsi" w:hAnsiTheme="majorHAnsi"/>
              </w:rPr>
              <w:t>Regu</w:t>
            </w:r>
            <w:r w:rsidR="310560F1" w:rsidRPr="0059290E">
              <w:rPr>
                <w:rFonts w:asciiTheme="majorHAnsi" w:hAnsiTheme="majorHAnsi"/>
              </w:rPr>
              <w:t>la</w:t>
            </w:r>
            <w:r w:rsidRPr="0059290E">
              <w:rPr>
                <w:rFonts w:asciiTheme="majorHAnsi" w:hAnsiTheme="majorHAnsi"/>
              </w:rPr>
              <w:t>tors</w:t>
            </w:r>
            <w:r w:rsidR="55DB7DD8" w:rsidRPr="0059290E">
              <w:rPr>
                <w:rFonts w:asciiTheme="majorHAnsi" w:hAnsiTheme="majorHAnsi"/>
              </w:rPr>
              <w:t xml:space="preserve"> need to understand the interaction between </w:t>
            </w:r>
            <w:r w:rsidRPr="0059290E">
              <w:rPr>
                <w:rFonts w:asciiTheme="majorHAnsi" w:hAnsiTheme="majorHAnsi"/>
              </w:rPr>
              <w:t>fee</w:t>
            </w:r>
            <w:r w:rsidR="55DB7DD8" w:rsidRPr="0059290E">
              <w:rPr>
                <w:rFonts w:asciiTheme="majorHAnsi" w:hAnsiTheme="majorHAnsi"/>
              </w:rPr>
              <w:t xml:space="preserve"> models and efforts to change behaviour, and form and explain their view on any issues with funding </w:t>
            </w:r>
          </w:p>
          <w:p w14:paraId="46B8A542" w14:textId="7FA3108A" w:rsidR="009C5A97" w:rsidRPr="00C4460A" w:rsidRDefault="009C5A97" w:rsidP="00A46F28">
            <w:pPr>
              <w:pStyle w:val="Tabletext"/>
              <w:rPr>
                <w:b/>
                <w:bCs/>
              </w:rPr>
            </w:pPr>
            <w:r w:rsidRPr="043146FE">
              <w:rPr>
                <w:b/>
                <w:bCs/>
              </w:rPr>
              <w:t>Considerations:</w:t>
            </w:r>
          </w:p>
          <w:p w14:paraId="611E014E" w14:textId="77777777" w:rsidR="00580939" w:rsidRPr="00C4460A" w:rsidRDefault="00580939" w:rsidP="00B71632">
            <w:pPr>
              <w:pStyle w:val="Tablebullet"/>
            </w:pPr>
            <w:r w:rsidRPr="00580939">
              <w:t>Form a view on what is the appropriate funding and fee approach and structure to equip you to discharge your functions and meet expectations.</w:t>
            </w:r>
          </w:p>
          <w:p w14:paraId="533BCFD2" w14:textId="6DB01CC4" w:rsidR="009C5A97" w:rsidRPr="00C4460A" w:rsidRDefault="7D8857FA" w:rsidP="00B71632">
            <w:pPr>
              <w:pStyle w:val="Tablebullet"/>
            </w:pPr>
            <w:r>
              <w:t xml:space="preserve">Form a view on how fee setting relates to behaviour change and other regulatory objectives including access, </w:t>
            </w:r>
            <w:r w:rsidR="34FDDFB8">
              <w:t>equity,</w:t>
            </w:r>
            <w:r>
              <w:t xml:space="preserve"> and market neutrality</w:t>
            </w:r>
          </w:p>
        </w:tc>
      </w:tr>
      <w:tr w:rsidR="0099188F" w:rsidRPr="00C4460A" w14:paraId="6928B8DB" w14:textId="77777777" w:rsidTr="33378111">
        <w:trPr>
          <w:trHeight w:val="300"/>
        </w:trPr>
        <w:tc>
          <w:tcPr>
            <w:tcW w:w="1047" w:type="pct"/>
          </w:tcPr>
          <w:p w14:paraId="046D2EA4" w14:textId="77777777" w:rsidR="0099188F" w:rsidRPr="00C4460A" w:rsidRDefault="0099188F" w:rsidP="0059290E">
            <w:pPr>
              <w:pStyle w:val="Tabletext"/>
              <w:spacing w:before="120"/>
            </w:pPr>
            <w:r w:rsidRPr="00C4460A">
              <w:t>Proactively improve use of your current framework</w:t>
            </w:r>
          </w:p>
        </w:tc>
        <w:tc>
          <w:tcPr>
            <w:tcW w:w="3953" w:type="pct"/>
          </w:tcPr>
          <w:p w14:paraId="636CF461" w14:textId="7F82F763" w:rsidR="0099188F" w:rsidRPr="0059290E" w:rsidRDefault="352DF071" w:rsidP="0059290E">
            <w:pPr>
              <w:rPr>
                <w:rFonts w:asciiTheme="majorHAnsi" w:hAnsiTheme="majorHAnsi"/>
              </w:rPr>
            </w:pPr>
            <w:r w:rsidRPr="0059290E">
              <w:rPr>
                <w:rFonts w:asciiTheme="majorHAnsi" w:hAnsiTheme="majorHAnsi"/>
              </w:rPr>
              <w:t>There may be a range of opportunities to test legislation or work on areas of interaction with other regulators</w:t>
            </w:r>
          </w:p>
          <w:p w14:paraId="5B4CFC93" w14:textId="277CE527" w:rsidR="009C5A97" w:rsidRPr="00C4460A" w:rsidRDefault="009C5A97" w:rsidP="00A46F28">
            <w:pPr>
              <w:pStyle w:val="Tabletext"/>
              <w:rPr>
                <w:b/>
                <w:bCs/>
              </w:rPr>
            </w:pPr>
            <w:r w:rsidRPr="043146FE">
              <w:rPr>
                <w:b/>
                <w:bCs/>
              </w:rPr>
              <w:t>Considerations:</w:t>
            </w:r>
          </w:p>
          <w:p w14:paraId="24A13F3A" w14:textId="77777777" w:rsidR="009D3282" w:rsidRPr="00C4460A" w:rsidRDefault="009D3282" w:rsidP="00B71632">
            <w:pPr>
              <w:pStyle w:val="Tablebullet"/>
            </w:pPr>
            <w:r w:rsidRPr="009D3282">
              <w:t>Address areas of overlap or inconsistency between your requirements and those of other regulators, service delivery areas or funding bodies.</w:t>
            </w:r>
          </w:p>
          <w:p w14:paraId="6BA30CA3" w14:textId="084D9D89" w:rsidR="009C5A97" w:rsidRPr="00C4460A" w:rsidRDefault="009D3282" w:rsidP="00B71632">
            <w:pPr>
              <w:pStyle w:val="Tablebullet"/>
            </w:pPr>
            <w:r w:rsidRPr="00C4460A">
              <w:t>Test key provisions through strategic enforcement.</w:t>
            </w:r>
          </w:p>
        </w:tc>
      </w:tr>
      <w:tr w:rsidR="0099188F" w:rsidRPr="00C4460A" w14:paraId="4C3159A9" w14:textId="77777777" w:rsidTr="33378111">
        <w:trPr>
          <w:trHeight w:val="300"/>
        </w:trPr>
        <w:tc>
          <w:tcPr>
            <w:tcW w:w="1047" w:type="pct"/>
          </w:tcPr>
          <w:p w14:paraId="5A489C46" w14:textId="77777777" w:rsidR="0099188F" w:rsidRPr="00C4460A" w:rsidRDefault="0099188F" w:rsidP="0059290E">
            <w:pPr>
              <w:pStyle w:val="Tabletext"/>
              <w:spacing w:before="120"/>
            </w:pPr>
            <w:r w:rsidRPr="00C4460A">
              <w:t>Advocate for your needs</w:t>
            </w:r>
          </w:p>
        </w:tc>
        <w:tc>
          <w:tcPr>
            <w:tcW w:w="3953" w:type="pct"/>
          </w:tcPr>
          <w:p w14:paraId="0BC13470" w14:textId="505BCC0F" w:rsidR="0099188F" w:rsidRPr="0059290E" w:rsidRDefault="0FE01CD5" w:rsidP="0059290E">
            <w:pPr>
              <w:rPr>
                <w:rFonts w:asciiTheme="majorHAnsi" w:hAnsiTheme="majorHAnsi"/>
              </w:rPr>
            </w:pPr>
            <w:r w:rsidRPr="0059290E">
              <w:rPr>
                <w:rFonts w:asciiTheme="majorHAnsi" w:hAnsiTheme="majorHAnsi"/>
              </w:rPr>
              <w:t>R</w:t>
            </w:r>
            <w:r w:rsidR="51E3A59B" w:rsidRPr="0059290E">
              <w:rPr>
                <w:rFonts w:asciiTheme="majorHAnsi" w:hAnsiTheme="majorHAnsi"/>
              </w:rPr>
              <w:t>egulators need to be proactive in explaining barriers to ministers and departments</w:t>
            </w:r>
          </w:p>
          <w:p w14:paraId="5CF8B630" w14:textId="5853DF74" w:rsidR="009C5A97" w:rsidRPr="00C4460A" w:rsidRDefault="009C5A97" w:rsidP="00A46F28">
            <w:pPr>
              <w:pStyle w:val="Tabletext"/>
              <w:rPr>
                <w:b/>
                <w:bCs/>
              </w:rPr>
            </w:pPr>
            <w:r w:rsidRPr="043146FE">
              <w:rPr>
                <w:b/>
                <w:bCs/>
              </w:rPr>
              <w:t>Considerations:</w:t>
            </w:r>
          </w:p>
          <w:p w14:paraId="0D04782F" w14:textId="77777777" w:rsidR="009C5A97" w:rsidRDefault="2FD05196" w:rsidP="00B71632">
            <w:pPr>
              <w:pStyle w:val="Tablebullet"/>
            </w:pPr>
            <w:r w:rsidRPr="4FCA2E5A">
              <w:t>Diagnose and report on the state of your legislation, to ministers and departments as relevant.</w:t>
            </w:r>
          </w:p>
          <w:p w14:paraId="2EA006CB" w14:textId="01A42BF5" w:rsidR="00E21027" w:rsidRPr="00C4460A" w:rsidRDefault="00E21027" w:rsidP="00B71632">
            <w:pPr>
              <w:pStyle w:val="Tablebullet"/>
            </w:pPr>
            <w:r>
              <w:t xml:space="preserve">When addressing potential policy or legislative changes, engage ministers and departments on potential benefits, risks and implementation and operational requirements. </w:t>
            </w:r>
          </w:p>
        </w:tc>
      </w:tr>
      <w:tr w:rsidR="0099188F" w:rsidRPr="00C4460A" w14:paraId="4CEF475F" w14:textId="77777777" w:rsidTr="33378111">
        <w:trPr>
          <w:trHeight w:val="300"/>
        </w:trPr>
        <w:tc>
          <w:tcPr>
            <w:tcW w:w="1047" w:type="pct"/>
          </w:tcPr>
          <w:p w14:paraId="1C497FEA" w14:textId="77777777" w:rsidR="0099188F" w:rsidRPr="00C4460A" w:rsidRDefault="0099188F" w:rsidP="0059290E">
            <w:pPr>
              <w:pStyle w:val="Tabletext"/>
              <w:spacing w:before="120"/>
            </w:pPr>
            <w:r w:rsidRPr="00C4460A">
              <w:lastRenderedPageBreak/>
              <w:t>Influence policy and legislation reforms</w:t>
            </w:r>
          </w:p>
        </w:tc>
        <w:tc>
          <w:tcPr>
            <w:tcW w:w="3953" w:type="pct"/>
          </w:tcPr>
          <w:p w14:paraId="62036B83" w14:textId="029D354A" w:rsidR="009C5A97" w:rsidRPr="0059290E" w:rsidRDefault="49438B8A" w:rsidP="0059290E">
            <w:pPr>
              <w:rPr>
                <w:rFonts w:asciiTheme="majorHAnsi" w:hAnsiTheme="majorHAnsi"/>
              </w:rPr>
            </w:pPr>
            <w:r w:rsidRPr="0059290E">
              <w:rPr>
                <w:rFonts w:asciiTheme="majorHAnsi" w:hAnsiTheme="majorHAnsi"/>
              </w:rPr>
              <w:t>Regulators may need to build relationships at appropriate levels, to demonstrate how they are maximising effectiveness and where they are impeded</w:t>
            </w:r>
          </w:p>
          <w:p w14:paraId="53DB0FF8" w14:textId="75F5CDCC" w:rsidR="009C5A97" w:rsidRPr="00C4460A" w:rsidRDefault="009C5A97" w:rsidP="00A46F28">
            <w:pPr>
              <w:pStyle w:val="Tabletext"/>
              <w:rPr>
                <w:b/>
                <w:bCs/>
              </w:rPr>
            </w:pPr>
            <w:r w:rsidRPr="043146FE">
              <w:rPr>
                <w:b/>
                <w:bCs/>
              </w:rPr>
              <w:t>Considerations:</w:t>
            </w:r>
          </w:p>
          <w:p w14:paraId="32EAD060" w14:textId="17FA2E3E" w:rsidR="006611A9" w:rsidRPr="00C4460A" w:rsidRDefault="50BE22D7" w:rsidP="00B71632">
            <w:pPr>
              <w:pStyle w:val="Tablebullet"/>
            </w:pPr>
            <w:r w:rsidRPr="48255162">
              <w:t xml:space="preserve">Engage with policy-making processes and the development of legislation and regulations. </w:t>
            </w:r>
          </w:p>
          <w:p w14:paraId="4ABCED7A" w14:textId="65E590A4" w:rsidR="0099188F" w:rsidRPr="00C4460A" w:rsidRDefault="50BE22D7" w:rsidP="00B71632">
            <w:pPr>
              <w:pStyle w:val="Tablebullet"/>
            </w:pPr>
            <w:r w:rsidRPr="48255162">
              <w:t>Provide insights to policy makers on the nature of harms and non-compliances, and operational experience.</w:t>
            </w:r>
          </w:p>
        </w:tc>
      </w:tr>
      <w:tr w:rsidR="0099188F" w:rsidRPr="00C4460A" w14:paraId="05737C75" w14:textId="77777777" w:rsidTr="33378111">
        <w:trPr>
          <w:trHeight w:val="300"/>
        </w:trPr>
        <w:tc>
          <w:tcPr>
            <w:tcW w:w="1047" w:type="pct"/>
          </w:tcPr>
          <w:p w14:paraId="1291F07D" w14:textId="77777777" w:rsidR="0099188F" w:rsidRPr="0059290E" w:rsidRDefault="0099188F" w:rsidP="0059290E">
            <w:pPr>
              <w:pStyle w:val="Tabletext"/>
              <w:spacing w:before="120"/>
            </w:pPr>
            <w:r w:rsidRPr="00C4460A">
              <w:t>Build the case for reform</w:t>
            </w:r>
          </w:p>
        </w:tc>
        <w:tc>
          <w:tcPr>
            <w:tcW w:w="3953" w:type="pct"/>
          </w:tcPr>
          <w:p w14:paraId="7A5B3414" w14:textId="60482864" w:rsidR="0099188F" w:rsidRPr="0059290E" w:rsidRDefault="17AC91AF" w:rsidP="0059290E">
            <w:pPr>
              <w:rPr>
                <w:rFonts w:asciiTheme="majorHAnsi" w:hAnsiTheme="majorHAnsi"/>
              </w:rPr>
            </w:pPr>
            <w:r w:rsidRPr="0059290E">
              <w:rPr>
                <w:rFonts w:asciiTheme="majorHAnsi" w:hAnsiTheme="majorHAnsi"/>
              </w:rPr>
              <w:t>Regulators may need to proactively prepare case studies, data and legal advice and findings, to be able to influence change</w:t>
            </w:r>
          </w:p>
          <w:p w14:paraId="14DA0DA8" w14:textId="14C548F8" w:rsidR="009C5A97" w:rsidRPr="00C4460A" w:rsidRDefault="4AB53C61" w:rsidP="00A46F28">
            <w:pPr>
              <w:pStyle w:val="Tabletext"/>
              <w:rPr>
                <w:b/>
                <w:bCs/>
              </w:rPr>
            </w:pPr>
            <w:r w:rsidRPr="4FCA2E5A">
              <w:rPr>
                <w:b/>
                <w:bCs/>
              </w:rPr>
              <w:t>Considerations:</w:t>
            </w:r>
          </w:p>
          <w:p w14:paraId="7F75CE14" w14:textId="77777777" w:rsidR="004311E2" w:rsidRPr="004311E2" w:rsidRDefault="26C02159" w:rsidP="00B71632">
            <w:pPr>
              <w:pStyle w:val="Tablebullet"/>
            </w:pPr>
            <w:r w:rsidRPr="48255162">
              <w:t>Collect evidence on constraints where feasible.</w:t>
            </w:r>
          </w:p>
          <w:p w14:paraId="0F29EDC0" w14:textId="77777777" w:rsidR="004311E2" w:rsidRPr="00C4460A" w:rsidRDefault="26C02159" w:rsidP="00B71632">
            <w:pPr>
              <w:pStyle w:val="Tablebullet"/>
            </w:pPr>
            <w:r w:rsidRPr="48255162">
              <w:t>Use case studies to help establish a case for change.</w:t>
            </w:r>
          </w:p>
          <w:p w14:paraId="749F5C96" w14:textId="4A56C762" w:rsidR="009C5A97" w:rsidRPr="00C4460A" w:rsidRDefault="4E0A7533" w:rsidP="00B71632">
            <w:pPr>
              <w:pStyle w:val="Tablebullet"/>
            </w:pPr>
            <w:r w:rsidRPr="4FCA2E5A">
              <w:t>Demonstrate how you have made the most of existing powers, and where this has been limited or constrained.</w:t>
            </w:r>
          </w:p>
          <w:p w14:paraId="03C3B13F" w14:textId="0768574D" w:rsidR="009C5A97" w:rsidRPr="00C4460A" w:rsidRDefault="492292E5" w:rsidP="00B71632">
            <w:pPr>
              <w:pStyle w:val="Tablebullet"/>
            </w:pPr>
            <w:r w:rsidRPr="4FCA2E5A">
              <w:t>Educate staff on regulation-making processes and frameworks</w:t>
            </w:r>
          </w:p>
        </w:tc>
      </w:tr>
    </w:tbl>
    <w:p w14:paraId="3A7A3B51" w14:textId="77A3BED0" w:rsidR="00737DA7" w:rsidRDefault="00737DA7" w:rsidP="00136B18"/>
    <w:p w14:paraId="1A1A2254" w14:textId="6CD34ACA" w:rsidR="00021986" w:rsidRDefault="00737DA7" w:rsidP="00737DA7">
      <w:pPr>
        <w:keepLines w:val="0"/>
        <w:spacing w:before="0" w:after="160" w:line="259" w:lineRule="auto"/>
      </w:pPr>
      <w:r>
        <w:br w:type="page"/>
      </w:r>
    </w:p>
    <w:p w14:paraId="2984C157" w14:textId="53098EB0" w:rsidR="0099188F" w:rsidRDefault="0099188F" w:rsidP="00DF1ED0">
      <w:pPr>
        <w:pStyle w:val="Heading1"/>
        <w:pageBreakBefore/>
      </w:pPr>
      <w:r w:rsidRPr="0099188F">
        <w:lastRenderedPageBreak/>
        <w:t>Operations</w:t>
      </w:r>
    </w:p>
    <w:p w14:paraId="2C6FD088" w14:textId="589FABC6" w:rsidR="00136B18" w:rsidRPr="002A4428" w:rsidRDefault="00136B18" w:rsidP="00136B18">
      <w:pPr>
        <w:pStyle w:val="Principle"/>
        <w:pageBreakBefore w:val="0"/>
      </w:pPr>
      <w:bookmarkStart w:id="13" w:name="_Toc100589344"/>
      <w:r w:rsidRPr="002A4428">
        <w:t>Support duty holders to understand the value of compliance and harm reduction</w:t>
      </w:r>
      <w:bookmarkEnd w:id="13"/>
    </w:p>
    <w:p w14:paraId="450CD590" w14:textId="1F510D7B" w:rsidR="0099188F" w:rsidRPr="0099188F" w:rsidRDefault="0099188F" w:rsidP="00136B18">
      <w:r>
        <w:t>The sub-elements of principle four address communications that might be delivered broadly, such as through advertising campaigns, general communications, and media releases, or directly, such as in the context of inspections, remedial tools, or material provided to peer regulators</w:t>
      </w:r>
      <w:r w:rsidR="0F681037">
        <w:t xml:space="preserve"> who might act as ‘</w:t>
      </w:r>
      <w:r w:rsidR="66A6A850">
        <w:t>proxy</w:t>
      </w:r>
      <w:r w:rsidR="0F681037">
        <w:t>’ inspectors</w:t>
      </w:r>
      <w:r w:rsidR="6646540E">
        <w:t>, where this is appropriate</w:t>
      </w:r>
      <w:r>
        <w:t xml:space="preserve">. </w:t>
      </w:r>
    </w:p>
    <w:p w14:paraId="2B90BB9F" w14:textId="0D328D4C" w:rsidR="0099188F" w:rsidRPr="0099188F" w:rsidRDefault="0099188F" w:rsidP="00136B18">
      <w:r w:rsidRPr="0099188F">
        <w:t>Regulators will need to decide what is the appropriate mixture</w:t>
      </w:r>
      <w:r w:rsidR="00695054">
        <w:t xml:space="preserve"> of</w:t>
      </w:r>
      <w:r w:rsidRPr="0099188F">
        <w:t xml:space="preserve"> communication approaches in their context.</w:t>
      </w:r>
    </w:p>
    <w:p w14:paraId="7A472F1A" w14:textId="37135653" w:rsidR="0099188F" w:rsidRPr="0099188F" w:rsidRDefault="00A839C0" w:rsidP="00136B18">
      <w:r w:rsidRPr="00A839C0">
        <w:t>To help meet this principle, consider engaging staff to develop processes or documents outlining:</w:t>
      </w:r>
    </w:p>
    <w:p w14:paraId="17E6E4B8" w14:textId="6F52DCB5" w:rsidR="0099188F" w:rsidRPr="0099188F" w:rsidRDefault="00A17B43" w:rsidP="00136B18">
      <w:pPr>
        <w:pStyle w:val="Bullet1"/>
      </w:pPr>
      <w:r>
        <w:t>Your</w:t>
      </w:r>
      <w:r w:rsidR="0099188F" w:rsidRPr="0099188F" w:rsidDel="00A17B43">
        <w:t xml:space="preserve"> </w:t>
      </w:r>
      <w:r w:rsidR="0099188F" w:rsidRPr="0099188F">
        <w:t xml:space="preserve">role and the value </w:t>
      </w:r>
      <w:r>
        <w:t>you</w:t>
      </w:r>
      <w:r w:rsidRPr="0099188F">
        <w:t xml:space="preserve"> </w:t>
      </w:r>
      <w:r w:rsidR="0099188F">
        <w:t>provide</w:t>
      </w:r>
      <w:r w:rsidR="0099188F" w:rsidRPr="0099188F">
        <w:t xml:space="preserve"> (this should be available publicly). </w:t>
      </w:r>
    </w:p>
    <w:p w14:paraId="0FE12C75" w14:textId="0D074AED" w:rsidR="0099188F" w:rsidRPr="0099188F" w:rsidRDefault="0099188F" w:rsidP="00136B18">
      <w:pPr>
        <w:pStyle w:val="Bullet1"/>
      </w:pPr>
      <w:r>
        <w:t xml:space="preserve">Activity seeking to understand duty holder motivations, </w:t>
      </w:r>
      <w:r w:rsidR="740F5768">
        <w:t>behaviour,</w:t>
      </w:r>
      <w:r>
        <w:t xml:space="preserve"> and attitude towards harms of concern.</w:t>
      </w:r>
    </w:p>
    <w:p w14:paraId="4C732E2A" w14:textId="7B5D040A" w:rsidR="0099188F" w:rsidRPr="0099188F" w:rsidRDefault="0099188F" w:rsidP="00136B18">
      <w:pPr>
        <w:pStyle w:val="Bullet1"/>
      </w:pPr>
      <w:r w:rsidRPr="0099188F">
        <w:t xml:space="preserve">Duty holder and community awareness </w:t>
      </w:r>
      <w:r w:rsidR="00A17B43">
        <w:t>you as the regulator</w:t>
      </w:r>
      <w:r w:rsidRPr="0099188F">
        <w:t>, support</w:t>
      </w:r>
      <w:r w:rsidRPr="0099188F" w:rsidDel="00A17B43">
        <w:t xml:space="preserve"> </w:t>
      </w:r>
      <w:r w:rsidR="00A17B43">
        <w:t>your</w:t>
      </w:r>
      <w:r w:rsidRPr="0099188F" w:rsidDel="00A17B43">
        <w:t xml:space="preserve"> </w:t>
      </w:r>
      <w:r w:rsidRPr="0099188F">
        <w:t xml:space="preserve">role, the regulatory regime and appreciation of the value </w:t>
      </w:r>
      <w:r w:rsidR="00A17B43">
        <w:t>you</w:t>
      </w:r>
      <w:r>
        <w:t xml:space="preserve"> bring</w:t>
      </w:r>
      <w:r w:rsidRPr="0099188F">
        <w:t>.</w:t>
      </w:r>
    </w:p>
    <w:p w14:paraId="29DCA046" w14:textId="77777777" w:rsidR="0099188F" w:rsidRPr="0099188F" w:rsidRDefault="0099188F" w:rsidP="0099188F">
      <w:pPr>
        <w:spacing w:after="0" w:line="240" w:lineRule="auto"/>
        <w:contextualSpacing/>
      </w:pPr>
      <w:r w:rsidRPr="0099188F">
        <w:t>To best deliver, consider the following approaches as appropriate to your context:</w:t>
      </w:r>
    </w:p>
    <w:tbl>
      <w:tblPr>
        <w:tblStyle w:val="Texttable"/>
        <w:tblW w:w="5000" w:type="pct"/>
        <w:tblLayout w:type="fixed"/>
        <w:tblLook w:val="0620" w:firstRow="1" w:lastRow="0" w:firstColumn="0" w:lastColumn="0" w:noHBand="1" w:noVBand="1"/>
      </w:tblPr>
      <w:tblGrid>
        <w:gridCol w:w="1890"/>
        <w:gridCol w:w="7136"/>
      </w:tblGrid>
      <w:tr w:rsidR="0099188F" w:rsidRPr="00C4460A" w14:paraId="64F0BBED" w14:textId="77777777" w:rsidTr="00FF5493">
        <w:trPr>
          <w:cnfStyle w:val="100000000000" w:firstRow="1" w:lastRow="0" w:firstColumn="0" w:lastColumn="0" w:oddVBand="0" w:evenVBand="0" w:oddHBand="0" w:evenHBand="0" w:firstRowFirstColumn="0" w:firstRowLastColumn="0" w:lastRowFirstColumn="0" w:lastRowLastColumn="0"/>
          <w:trHeight w:val="300"/>
          <w:tblHeader/>
        </w:trPr>
        <w:tc>
          <w:tcPr>
            <w:tcW w:w="1047" w:type="pct"/>
          </w:tcPr>
          <w:p w14:paraId="06828A06" w14:textId="77777777" w:rsidR="0099188F" w:rsidRPr="00C4460A" w:rsidRDefault="0099188F" w:rsidP="00136B18">
            <w:pPr>
              <w:pStyle w:val="Tableheader"/>
            </w:pPr>
            <w:r w:rsidRPr="00C4460A">
              <w:t xml:space="preserve">Action area </w:t>
            </w:r>
          </w:p>
        </w:tc>
        <w:tc>
          <w:tcPr>
            <w:tcW w:w="3953" w:type="pct"/>
          </w:tcPr>
          <w:p w14:paraId="58F5B36A" w14:textId="5E0DDE0E" w:rsidR="0099188F" w:rsidRPr="00C4460A" w:rsidRDefault="009A59D6" w:rsidP="00136B18">
            <w:pPr>
              <w:pStyle w:val="Tableheader"/>
            </w:pPr>
            <w:r w:rsidRPr="00C4460A">
              <w:t xml:space="preserve">Rationale and </w:t>
            </w:r>
            <w:r w:rsidR="00136B18" w:rsidRPr="00C4460A">
              <w:t xml:space="preserve">considerations for implementing </w:t>
            </w:r>
          </w:p>
        </w:tc>
      </w:tr>
      <w:tr w:rsidR="0099188F" w:rsidRPr="00C4460A" w14:paraId="4F569044" w14:textId="77777777" w:rsidTr="00EA7591">
        <w:trPr>
          <w:trHeight w:val="300"/>
        </w:trPr>
        <w:tc>
          <w:tcPr>
            <w:tcW w:w="1047" w:type="pct"/>
          </w:tcPr>
          <w:p w14:paraId="02666BD0" w14:textId="05EDF1B4" w:rsidR="0099188F" w:rsidRPr="00C4460A" w:rsidRDefault="0099188F" w:rsidP="00136B18">
            <w:pPr>
              <w:pStyle w:val="Tabletext"/>
              <w:spacing w:before="120"/>
            </w:pPr>
            <w:r w:rsidRPr="00C4460A">
              <w:t>Use general communications to explain harms</w:t>
            </w:r>
          </w:p>
        </w:tc>
        <w:tc>
          <w:tcPr>
            <w:tcW w:w="3953" w:type="pct"/>
          </w:tcPr>
          <w:p w14:paraId="677DECC4" w14:textId="77A9DC1F" w:rsidR="0099188F" w:rsidRPr="00136B18" w:rsidRDefault="76FF0447" w:rsidP="00136B18">
            <w:pPr>
              <w:rPr>
                <w:rFonts w:asciiTheme="majorHAnsi" w:hAnsiTheme="majorHAnsi"/>
              </w:rPr>
            </w:pPr>
            <w:r w:rsidRPr="00136B18">
              <w:rPr>
                <w:rFonts w:asciiTheme="majorHAnsi" w:hAnsiTheme="majorHAnsi"/>
              </w:rPr>
              <w:t>Where appropriate, broad-based communications about harms and impacts can help to motivate people to comply</w:t>
            </w:r>
          </w:p>
          <w:p w14:paraId="07365266" w14:textId="77777777" w:rsidR="004311E2" w:rsidRPr="00C4460A" w:rsidRDefault="001C5474" w:rsidP="00136B18">
            <w:pPr>
              <w:pStyle w:val="Tabletext"/>
              <w:rPr>
                <w:b/>
                <w:bCs/>
              </w:rPr>
            </w:pPr>
            <w:r w:rsidRPr="00C4460A">
              <w:rPr>
                <w:b/>
                <w:bCs/>
              </w:rPr>
              <w:t>Considerations:</w:t>
            </w:r>
          </w:p>
          <w:p w14:paraId="732FCE3D" w14:textId="614DCBB7" w:rsidR="001C5474" w:rsidRPr="001C5474" w:rsidRDefault="1BF667FF" w:rsidP="00136B18">
            <w:pPr>
              <w:pStyle w:val="Tablebullet"/>
            </w:pPr>
            <w:r w:rsidRPr="4FCA2E5A">
              <w:t>Explain the relationships between harms and non-compliances in compliance strategies or compliance policies.</w:t>
            </w:r>
          </w:p>
          <w:p w14:paraId="484CFE55" w14:textId="77777777" w:rsidR="001C5474" w:rsidRPr="00C4460A" w:rsidRDefault="001C5474" w:rsidP="00136B18">
            <w:pPr>
              <w:pStyle w:val="Tablebullet"/>
            </w:pPr>
            <w:r w:rsidRPr="001C5474">
              <w:t>Deliver education and guidance campaigns focused on the harms and the reason for your role in addressing them.</w:t>
            </w:r>
          </w:p>
          <w:p w14:paraId="2E42AF94" w14:textId="78154CB1" w:rsidR="001C5474" w:rsidRPr="00C4460A" w:rsidRDefault="001C5474" w:rsidP="00136B18">
            <w:pPr>
              <w:pStyle w:val="Tablebullet"/>
            </w:pPr>
            <w:r w:rsidRPr="00C4460A">
              <w:t>Explain who benefits from reducing harms and improving regulatory outcomes, including individual</w:t>
            </w:r>
            <w:r w:rsidR="002766E7">
              <w:t>s</w:t>
            </w:r>
            <w:r w:rsidRPr="00C4460A">
              <w:t>.</w:t>
            </w:r>
          </w:p>
        </w:tc>
      </w:tr>
      <w:tr w:rsidR="0099188F" w:rsidRPr="00C4460A" w14:paraId="34B61915" w14:textId="77777777" w:rsidTr="00EA7591">
        <w:trPr>
          <w:trHeight w:val="300"/>
        </w:trPr>
        <w:tc>
          <w:tcPr>
            <w:tcW w:w="1047" w:type="pct"/>
          </w:tcPr>
          <w:p w14:paraId="46E966D5" w14:textId="0007AA92" w:rsidR="0099188F" w:rsidRPr="00C4460A" w:rsidRDefault="435D74E0" w:rsidP="00136B18">
            <w:pPr>
              <w:pStyle w:val="Tabletext"/>
              <w:spacing w:before="120"/>
            </w:pPr>
            <w:r w:rsidRPr="48255162">
              <w:t xml:space="preserve">Assess </w:t>
            </w:r>
            <w:r w:rsidR="0099188F" w:rsidRPr="48255162">
              <w:t>why duty holders might not consider harms</w:t>
            </w:r>
          </w:p>
        </w:tc>
        <w:tc>
          <w:tcPr>
            <w:tcW w:w="3953" w:type="pct"/>
          </w:tcPr>
          <w:p w14:paraId="28795143" w14:textId="26B33944" w:rsidR="0099188F" w:rsidRPr="00136B18" w:rsidRDefault="565176E0" w:rsidP="00136B18">
            <w:pPr>
              <w:rPr>
                <w:rFonts w:asciiTheme="majorHAnsi" w:hAnsiTheme="majorHAnsi"/>
              </w:rPr>
            </w:pPr>
            <w:r w:rsidRPr="00136B18">
              <w:rPr>
                <w:rFonts w:asciiTheme="majorHAnsi" w:hAnsiTheme="majorHAnsi"/>
              </w:rPr>
              <w:t xml:space="preserve">To effectively engage, regulators need to understand what else is occupying duty holders’ attention and priorities </w:t>
            </w:r>
          </w:p>
          <w:p w14:paraId="428F7CF7" w14:textId="77777777" w:rsidR="00DE44D5" w:rsidRPr="00C4460A" w:rsidRDefault="3B4FF8AD" w:rsidP="00136B18">
            <w:pPr>
              <w:pStyle w:val="Tabletext"/>
              <w:rPr>
                <w:b/>
                <w:bCs/>
              </w:rPr>
            </w:pPr>
            <w:r w:rsidRPr="4FCA2E5A">
              <w:rPr>
                <w:b/>
                <w:bCs/>
              </w:rPr>
              <w:t>Considerations:</w:t>
            </w:r>
          </w:p>
          <w:p w14:paraId="1D9923AB" w14:textId="053C84C4" w:rsidR="00DE44D5" w:rsidRPr="00DE44D5" w:rsidRDefault="00DE44D5" w:rsidP="00136B18">
            <w:pPr>
              <w:pStyle w:val="Tabletext"/>
            </w:pPr>
            <w:r w:rsidRPr="00DE44D5">
              <w:t xml:space="preserve">Use communications and interactions to tackle the reasons why duty holders might not </w:t>
            </w:r>
            <w:r w:rsidR="00961755">
              <w:t xml:space="preserve">be </w:t>
            </w:r>
            <w:r w:rsidRPr="00DE44D5">
              <w:t xml:space="preserve">accounting for harms. Consider factors such as: </w:t>
            </w:r>
          </w:p>
          <w:p w14:paraId="16FA0D13" w14:textId="5D64C106" w:rsidR="00DE44D5" w:rsidRDefault="00DE44D5" w:rsidP="00136B18">
            <w:pPr>
              <w:pStyle w:val="Tablebullet"/>
            </w:pPr>
            <w:r w:rsidRPr="00DE44D5">
              <w:t>other priorities</w:t>
            </w:r>
          </w:p>
          <w:p w14:paraId="7D4DDBE4" w14:textId="39108694" w:rsidR="00AB5205" w:rsidRPr="00DE44D5" w:rsidRDefault="1A2D26B9" w:rsidP="00136B18">
            <w:pPr>
              <w:pStyle w:val="Tablebullet"/>
            </w:pPr>
            <w:r w:rsidRPr="4FCA2E5A">
              <w:t>financial</w:t>
            </w:r>
            <w:r w:rsidR="537701CC" w:rsidRPr="4FCA2E5A">
              <w:t xml:space="preserve"> or economic pressures</w:t>
            </w:r>
          </w:p>
          <w:p w14:paraId="11D43CFD" w14:textId="665A871A" w:rsidR="00DE44D5" w:rsidRPr="00DE44D5" w:rsidRDefault="3B4FF8AD" w:rsidP="00136B18">
            <w:pPr>
              <w:pStyle w:val="Tablebullet"/>
            </w:pPr>
            <w:r w:rsidRPr="4FCA2E5A">
              <w:t>lack of understanding</w:t>
            </w:r>
            <w:r w:rsidR="6CC7BB85" w:rsidRPr="4FCA2E5A">
              <w:t xml:space="preserve"> or capability </w:t>
            </w:r>
          </w:p>
          <w:p w14:paraId="0357B79C" w14:textId="448F8126" w:rsidR="6CC7BB85" w:rsidRDefault="6CC7BB85" w:rsidP="00136B18">
            <w:pPr>
              <w:pStyle w:val="Tablebullet"/>
            </w:pPr>
            <w:r w:rsidRPr="4FCA2E5A">
              <w:t>changed work practices giving rise to changed harms</w:t>
            </w:r>
          </w:p>
          <w:p w14:paraId="16347A66" w14:textId="77777777" w:rsidR="00DE44D5" w:rsidRPr="00DE44D5" w:rsidRDefault="3B4FF8AD" w:rsidP="00136B18">
            <w:pPr>
              <w:pStyle w:val="Tablebullet"/>
            </w:pPr>
            <w:r w:rsidRPr="4FCA2E5A">
              <w:t>low appreciation of the impacts of their actions</w:t>
            </w:r>
          </w:p>
          <w:p w14:paraId="75E484BD" w14:textId="77777777" w:rsidR="00DE44D5" w:rsidRPr="00C4460A" w:rsidRDefault="3B4FF8AD" w:rsidP="00136B18">
            <w:pPr>
              <w:pStyle w:val="Tablebullet"/>
            </w:pPr>
            <w:r w:rsidRPr="4FCA2E5A">
              <w:t>lack of feedback mechanisms</w:t>
            </w:r>
          </w:p>
          <w:p w14:paraId="031AC2F6" w14:textId="6BAD640F" w:rsidR="00DE44D5" w:rsidRPr="00C4460A" w:rsidRDefault="3B4FF8AD" w:rsidP="00136B18">
            <w:pPr>
              <w:pStyle w:val="Tablebullet"/>
            </w:pPr>
            <w:r w:rsidRPr="4FCA2E5A">
              <w:t>processes that focus on technical compliance over harm reduction.</w:t>
            </w:r>
          </w:p>
        </w:tc>
      </w:tr>
      <w:tr w:rsidR="0099188F" w:rsidRPr="00C4460A" w14:paraId="1C5230A5" w14:textId="77777777" w:rsidTr="00EA7591">
        <w:trPr>
          <w:trHeight w:val="300"/>
        </w:trPr>
        <w:tc>
          <w:tcPr>
            <w:tcW w:w="1047" w:type="pct"/>
          </w:tcPr>
          <w:p w14:paraId="48ECF992" w14:textId="77777777" w:rsidR="0099188F" w:rsidRPr="00C4460A" w:rsidRDefault="0099188F" w:rsidP="00136B18">
            <w:pPr>
              <w:pStyle w:val="Tabletext"/>
              <w:spacing w:before="120"/>
            </w:pPr>
            <w:r w:rsidRPr="00C4460A">
              <w:lastRenderedPageBreak/>
              <w:t>Help staff to understand and communicate harm</w:t>
            </w:r>
          </w:p>
        </w:tc>
        <w:tc>
          <w:tcPr>
            <w:tcW w:w="3953" w:type="pct"/>
          </w:tcPr>
          <w:p w14:paraId="223A7AD0" w14:textId="0B207E66" w:rsidR="0099188F" w:rsidRPr="00136B18" w:rsidRDefault="1AD8C054" w:rsidP="00136B18">
            <w:pPr>
              <w:rPr>
                <w:rFonts w:asciiTheme="majorHAnsi" w:hAnsiTheme="majorHAnsi"/>
              </w:rPr>
            </w:pPr>
            <w:r w:rsidRPr="00136B18">
              <w:rPr>
                <w:rFonts w:asciiTheme="majorHAnsi" w:hAnsiTheme="majorHAnsi"/>
              </w:rPr>
              <w:t>Frontline interactions can be the ideal way to help duty holders to understand and value compliance, as it relates to harm</w:t>
            </w:r>
          </w:p>
          <w:p w14:paraId="45FAE0ED" w14:textId="77777777" w:rsidR="000B11C2" w:rsidRPr="00C4460A" w:rsidRDefault="000B11C2" w:rsidP="00136B18">
            <w:pPr>
              <w:pStyle w:val="Tabletext"/>
              <w:rPr>
                <w:b/>
                <w:bCs/>
              </w:rPr>
            </w:pPr>
            <w:r w:rsidRPr="00C4460A">
              <w:rPr>
                <w:b/>
                <w:bCs/>
              </w:rPr>
              <w:t>Considerations:</w:t>
            </w:r>
          </w:p>
          <w:p w14:paraId="367FC4AC" w14:textId="77777777" w:rsidR="000B11C2" w:rsidRPr="00C4460A" w:rsidRDefault="39564A0D" w:rsidP="00136B18">
            <w:pPr>
              <w:pStyle w:val="Tablebullet"/>
            </w:pPr>
            <w:r w:rsidRPr="4FCA2E5A">
              <w:t>Train regulatory officers on harm and non-compliance relationships and how to explain them in routine interactions with duty holders.</w:t>
            </w:r>
          </w:p>
          <w:p w14:paraId="462F36B2" w14:textId="5893BB28" w:rsidR="000B11C2" w:rsidRPr="00C4460A" w:rsidRDefault="39564A0D" w:rsidP="00136B18">
            <w:pPr>
              <w:pStyle w:val="Tablebullet"/>
            </w:pPr>
            <w:r w:rsidRPr="4FCA2E5A">
              <w:t>Develop materials to support regulatory officers to explain non-compliance and harm relationships. This can include messages in templates and forms.</w:t>
            </w:r>
          </w:p>
        </w:tc>
      </w:tr>
    </w:tbl>
    <w:p w14:paraId="5B0F3072" w14:textId="6635FEDB" w:rsidR="00737DA7" w:rsidRDefault="00737DA7"/>
    <w:p w14:paraId="123DC186" w14:textId="12CEEA56" w:rsidR="00021986" w:rsidRDefault="00737DA7" w:rsidP="00737DA7">
      <w:pPr>
        <w:keepLines w:val="0"/>
        <w:spacing w:before="0" w:after="160" w:line="259" w:lineRule="auto"/>
      </w:pPr>
      <w:r>
        <w:br w:type="page"/>
      </w:r>
    </w:p>
    <w:p w14:paraId="30DAEF06" w14:textId="5A1095B7" w:rsidR="00136B18" w:rsidRPr="002A4428" w:rsidRDefault="00136B18" w:rsidP="00FF5493">
      <w:pPr>
        <w:pStyle w:val="Principle"/>
      </w:pPr>
      <w:bookmarkStart w:id="14" w:name="_Toc100589346"/>
      <w:r w:rsidRPr="002A4428">
        <w:lastRenderedPageBreak/>
        <w:t>Support duty holders to comply</w:t>
      </w:r>
      <w:bookmarkEnd w:id="14"/>
    </w:p>
    <w:p w14:paraId="53A801DD" w14:textId="1BB1A243" w:rsidR="0099188F" w:rsidRPr="0099188F" w:rsidRDefault="0099188F" w:rsidP="00136B18">
      <w:r>
        <w:t>The sub-elements of principle five help regulators to account for duty holder needs in a range of contexts. The principle recognises that whilst regulators should make compliance straightforward and provide guidance that reflects capabilities of different duty holder groups, the regulator should not act in the role of duty holders</w:t>
      </w:r>
      <w:r w:rsidR="60385450">
        <w:t xml:space="preserve"> (</w:t>
      </w:r>
      <w:r w:rsidR="5BEE5EE3">
        <w:t>i.e.</w:t>
      </w:r>
      <w:r w:rsidR="00A839C0">
        <w:t>,</w:t>
      </w:r>
      <w:r w:rsidR="60385450">
        <w:t xml:space="preserve"> be responsible for the duty holder’s operations)</w:t>
      </w:r>
      <w:r>
        <w:t xml:space="preserve">. </w:t>
      </w:r>
    </w:p>
    <w:p w14:paraId="3059A37D" w14:textId="77777777" w:rsidR="00A839C0" w:rsidRDefault="00A839C0" w:rsidP="00136B18">
      <w:r w:rsidRPr="00A839C0">
        <w:t xml:space="preserve">To help meet this principle, consider engaging staff to develop processes or documents outlining: </w:t>
      </w:r>
    </w:p>
    <w:p w14:paraId="244924C2" w14:textId="6C5C69F4" w:rsidR="0099188F" w:rsidRPr="0099188F" w:rsidRDefault="00D016BB" w:rsidP="00136B18">
      <w:pPr>
        <w:pStyle w:val="Bullet1"/>
      </w:pPr>
      <w:r>
        <w:t>a</w:t>
      </w:r>
      <w:r w:rsidR="0099188F">
        <w:t>ctivity that demonstrates efforts to support duty holders to understand their obligations and comply.</w:t>
      </w:r>
    </w:p>
    <w:p w14:paraId="07F5FC49" w14:textId="77777777" w:rsidR="0099188F" w:rsidRPr="0099188F" w:rsidRDefault="0099188F" w:rsidP="0099188F">
      <w:pPr>
        <w:spacing w:after="0" w:line="240" w:lineRule="auto"/>
        <w:contextualSpacing/>
      </w:pPr>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980"/>
        <w:gridCol w:w="7044"/>
      </w:tblGrid>
      <w:tr w:rsidR="0099188F" w:rsidRPr="00C4460A" w14:paraId="7820A257"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97" w:type="pct"/>
          </w:tcPr>
          <w:p w14:paraId="574097BE" w14:textId="77777777" w:rsidR="0099188F" w:rsidRPr="00C4460A" w:rsidRDefault="0099188F" w:rsidP="00136B18">
            <w:pPr>
              <w:pStyle w:val="Tableheader"/>
            </w:pPr>
            <w:r w:rsidRPr="00C4460A">
              <w:t xml:space="preserve">Action area </w:t>
            </w:r>
          </w:p>
        </w:tc>
        <w:tc>
          <w:tcPr>
            <w:tcW w:w="3903" w:type="pct"/>
          </w:tcPr>
          <w:p w14:paraId="640A3F06" w14:textId="5F59311C" w:rsidR="0099188F" w:rsidRPr="00C4460A" w:rsidRDefault="009A59D6" w:rsidP="00136B18">
            <w:pPr>
              <w:pStyle w:val="Tableheader"/>
            </w:pPr>
            <w:r w:rsidRPr="00C4460A">
              <w:t xml:space="preserve">Rationale and </w:t>
            </w:r>
            <w:r w:rsidR="00136B18" w:rsidRPr="00C4460A">
              <w:t>considerations for implementing</w:t>
            </w:r>
          </w:p>
        </w:tc>
      </w:tr>
      <w:tr w:rsidR="0099188F" w:rsidRPr="00C4460A" w14:paraId="299F60BF" w14:textId="77777777" w:rsidTr="33378111">
        <w:trPr>
          <w:trHeight w:val="300"/>
        </w:trPr>
        <w:tc>
          <w:tcPr>
            <w:tcW w:w="1097" w:type="pct"/>
          </w:tcPr>
          <w:p w14:paraId="1700E9A8" w14:textId="763602E0" w:rsidR="0099188F" w:rsidRPr="00C4460A" w:rsidRDefault="0099188F" w:rsidP="00136B18">
            <w:pPr>
              <w:pStyle w:val="Tabletext"/>
              <w:spacing w:before="120"/>
            </w:pPr>
            <w:r>
              <w:t xml:space="preserve">Prepare clear, </w:t>
            </w:r>
            <w:r w:rsidR="20752FCD">
              <w:t>complete,</w:t>
            </w:r>
            <w:r>
              <w:t xml:space="preserve"> and understandable guidance</w:t>
            </w:r>
          </w:p>
        </w:tc>
        <w:tc>
          <w:tcPr>
            <w:tcW w:w="3903" w:type="pct"/>
          </w:tcPr>
          <w:p w14:paraId="132F9599" w14:textId="789DD20A" w:rsidR="0099188F" w:rsidRPr="00136B18" w:rsidRDefault="7A2B32EC" w:rsidP="00136B18">
            <w:pPr>
              <w:rPr>
                <w:rFonts w:asciiTheme="majorHAnsi" w:hAnsiTheme="majorHAnsi"/>
              </w:rPr>
            </w:pPr>
            <w:r w:rsidRPr="00136B18">
              <w:rPr>
                <w:rFonts w:asciiTheme="majorHAnsi" w:hAnsiTheme="majorHAnsi"/>
              </w:rPr>
              <w:t>Guidance should ideally be comprehensive, and as simple as possible, to reduce barriers to compliance</w:t>
            </w:r>
          </w:p>
          <w:p w14:paraId="7E780AF9" w14:textId="77777777" w:rsidR="00136B18" w:rsidRPr="00136B18" w:rsidRDefault="00136B18" w:rsidP="00136B18">
            <w:pPr>
              <w:pStyle w:val="Tabletext"/>
              <w:rPr>
                <w:b/>
                <w:bCs/>
              </w:rPr>
            </w:pPr>
            <w:r w:rsidRPr="00136B18">
              <w:rPr>
                <w:b/>
                <w:bCs/>
              </w:rPr>
              <w:t>Considerations:</w:t>
            </w:r>
          </w:p>
          <w:p w14:paraId="25221CDA" w14:textId="6126992A" w:rsidR="00E438DF" w:rsidRPr="00E438DF" w:rsidRDefault="6C8581CF" w:rsidP="00136B18">
            <w:pPr>
              <w:pStyle w:val="Tablebullet"/>
            </w:pPr>
            <w:r w:rsidRPr="4FCA2E5A">
              <w:t xml:space="preserve">Clarify the legal status of guidance within your legal framework. For example, whether it forms part of </w:t>
            </w:r>
            <w:r w:rsidR="0071F81C" w:rsidRPr="4FCA2E5A">
              <w:t xml:space="preserve">the accepted </w:t>
            </w:r>
            <w:r w:rsidRPr="4FCA2E5A">
              <w:t>state of knowledge, is suggested good practice, or is incorporated into licence requirements.</w:t>
            </w:r>
          </w:p>
          <w:p w14:paraId="22015FD4" w14:textId="77777777" w:rsidR="00E438DF" w:rsidRPr="00C4460A" w:rsidRDefault="6C8581CF" w:rsidP="00136B18">
            <w:pPr>
              <w:pStyle w:val="Tablebullet"/>
            </w:pPr>
            <w:r w:rsidRPr="4FCA2E5A">
              <w:t>Ensure that guidance is clear and concise, uses plain language and concepts where possible, is correct and complete, authoritative, responsive to the questions or issues to hand, and timely.</w:t>
            </w:r>
          </w:p>
          <w:p w14:paraId="191083DC" w14:textId="53A61DF2" w:rsidR="00073208" w:rsidRPr="00C4460A" w:rsidRDefault="55FFD5AC" w:rsidP="00136B18">
            <w:pPr>
              <w:pStyle w:val="Tablebullet"/>
            </w:pPr>
            <w:r>
              <w:t xml:space="preserve">Write guidance and information so that it incorporates technical standards and puts </w:t>
            </w:r>
            <w:r w:rsidR="7CF33635">
              <w:t xml:space="preserve">them </w:t>
            </w:r>
            <w:r>
              <w:t xml:space="preserve">into </w:t>
            </w:r>
            <w:r w:rsidR="348ECB62">
              <w:t>context and</w:t>
            </w:r>
            <w:r>
              <w:t xml:space="preserve"> does not require duty holders to access and interpret external sources or standards.</w:t>
            </w:r>
          </w:p>
        </w:tc>
      </w:tr>
      <w:tr w:rsidR="0099188F" w:rsidRPr="00C4460A" w14:paraId="4BF619B6" w14:textId="77777777" w:rsidTr="33378111">
        <w:trPr>
          <w:trHeight w:val="300"/>
        </w:trPr>
        <w:tc>
          <w:tcPr>
            <w:tcW w:w="1097" w:type="pct"/>
          </w:tcPr>
          <w:p w14:paraId="624F4059" w14:textId="6FF27322" w:rsidR="0099188F" w:rsidRPr="00C4460A" w:rsidRDefault="0099188F" w:rsidP="00136B18">
            <w:pPr>
              <w:pStyle w:val="Tabletext"/>
              <w:spacing w:before="120"/>
            </w:pPr>
            <w:r w:rsidRPr="00C4460A">
              <w:t>Engage duty holders to improve</w:t>
            </w:r>
            <w:r w:rsidRPr="00C4460A" w:rsidDel="00D016BB">
              <w:t xml:space="preserve"> </w:t>
            </w:r>
            <w:r w:rsidR="00D016BB">
              <w:t xml:space="preserve">your </w:t>
            </w:r>
            <w:r w:rsidRPr="00C4460A">
              <w:t>guidance and communication</w:t>
            </w:r>
            <w:r w:rsidR="00D016BB">
              <w:t xml:space="preserve"> approach</w:t>
            </w:r>
          </w:p>
        </w:tc>
        <w:tc>
          <w:tcPr>
            <w:tcW w:w="3903" w:type="pct"/>
          </w:tcPr>
          <w:p w14:paraId="0CDC3B4E" w14:textId="598FB24E" w:rsidR="00B66BA2" w:rsidRPr="00136B18" w:rsidRDefault="1B5CF276" w:rsidP="00136B18">
            <w:pPr>
              <w:rPr>
                <w:rFonts w:asciiTheme="majorHAnsi" w:hAnsiTheme="majorHAnsi"/>
              </w:rPr>
            </w:pPr>
            <w:r w:rsidRPr="00136B18">
              <w:rPr>
                <w:rFonts w:asciiTheme="majorHAnsi" w:hAnsiTheme="majorHAnsi"/>
              </w:rPr>
              <w:t>Engagement, especially co-design, of guidance can help to ensure it makes sense and is relevant to industry operations</w:t>
            </w:r>
          </w:p>
          <w:p w14:paraId="3FDDAEFC" w14:textId="77777777" w:rsidR="00136B18" w:rsidRPr="00136B18" w:rsidRDefault="00136B18" w:rsidP="00136B18">
            <w:pPr>
              <w:pStyle w:val="Tabletext"/>
              <w:rPr>
                <w:b/>
                <w:bCs/>
              </w:rPr>
            </w:pPr>
            <w:r w:rsidRPr="00136B18">
              <w:rPr>
                <w:b/>
                <w:bCs/>
              </w:rPr>
              <w:t>Considerations:</w:t>
            </w:r>
          </w:p>
          <w:p w14:paraId="76ACD27D" w14:textId="77777777" w:rsidR="00716AB3" w:rsidRPr="00716AB3" w:rsidRDefault="783032D6" w:rsidP="00136B18">
            <w:pPr>
              <w:pStyle w:val="Tablebullet"/>
            </w:pPr>
            <w:r w:rsidRPr="4FCA2E5A">
              <w:t xml:space="preserve">Co-design guidance with industry, to take account of their operational context. </w:t>
            </w:r>
          </w:p>
          <w:p w14:paraId="69D2359C" w14:textId="77777777" w:rsidR="00716AB3" w:rsidRPr="00C4460A" w:rsidRDefault="783032D6" w:rsidP="00136B18">
            <w:pPr>
              <w:pStyle w:val="Tablebullet"/>
            </w:pPr>
            <w:r w:rsidRPr="4FCA2E5A">
              <w:t>Partner with industry groups to communicate expectations and compliance requirements in a way that is relevant and understandable to businesses.</w:t>
            </w:r>
          </w:p>
          <w:p w14:paraId="156482AE" w14:textId="04D13B07" w:rsidR="00716AB3" w:rsidRPr="00C4460A" w:rsidRDefault="783032D6" w:rsidP="00136B18">
            <w:pPr>
              <w:pStyle w:val="Tablebullet"/>
            </w:pPr>
            <w:r w:rsidRPr="4FCA2E5A">
              <w:t>Evaluate duty holder experience in the guidance making, and their access, interpretation, and application of guidance.</w:t>
            </w:r>
          </w:p>
        </w:tc>
      </w:tr>
      <w:tr w:rsidR="0099188F" w:rsidRPr="00C4460A" w14:paraId="212562C4" w14:textId="77777777" w:rsidTr="33378111">
        <w:trPr>
          <w:trHeight w:val="300"/>
        </w:trPr>
        <w:tc>
          <w:tcPr>
            <w:tcW w:w="1097" w:type="pct"/>
          </w:tcPr>
          <w:p w14:paraId="3B45466A" w14:textId="77777777" w:rsidR="0099188F" w:rsidRPr="00C4460A" w:rsidRDefault="0099188F" w:rsidP="00136B18">
            <w:pPr>
              <w:pStyle w:val="Tabletext"/>
              <w:spacing w:before="120"/>
            </w:pPr>
            <w:r w:rsidRPr="00C4460A">
              <w:t>Provide guidance when taking regulatory action</w:t>
            </w:r>
          </w:p>
        </w:tc>
        <w:tc>
          <w:tcPr>
            <w:tcW w:w="3903" w:type="pct"/>
          </w:tcPr>
          <w:p w14:paraId="46A3B8ED" w14:textId="78B85118" w:rsidR="0099188F" w:rsidRPr="00136B18" w:rsidRDefault="2C871D78" w:rsidP="00136B18">
            <w:pPr>
              <w:rPr>
                <w:rFonts w:asciiTheme="majorHAnsi" w:hAnsiTheme="majorHAnsi"/>
              </w:rPr>
            </w:pPr>
            <w:r w:rsidRPr="00136B18">
              <w:rPr>
                <w:rFonts w:asciiTheme="majorHAnsi" w:hAnsiTheme="majorHAnsi"/>
              </w:rPr>
              <w:t>By explaining what compliance can look like, duty holders are better equipped to comply</w:t>
            </w:r>
          </w:p>
          <w:p w14:paraId="416B4390" w14:textId="77777777" w:rsidR="00136B18" w:rsidRPr="00136B18" w:rsidRDefault="00136B18" w:rsidP="00136B18">
            <w:pPr>
              <w:pStyle w:val="Tabletext"/>
              <w:rPr>
                <w:b/>
                <w:bCs/>
              </w:rPr>
            </w:pPr>
            <w:r w:rsidRPr="00136B18">
              <w:rPr>
                <w:b/>
                <w:bCs/>
              </w:rPr>
              <w:t>Considerations:</w:t>
            </w:r>
          </w:p>
          <w:p w14:paraId="6BAB2E8A" w14:textId="2860A898" w:rsidR="00716AB3" w:rsidRPr="00C4460A" w:rsidRDefault="4E16849C" w:rsidP="00136B18">
            <w:pPr>
              <w:pStyle w:val="Tablebullet"/>
            </w:pPr>
            <w:r>
              <w:t xml:space="preserve">Provide examples of compliance in remedial notices and directions, that help explain a </w:t>
            </w:r>
            <w:bookmarkStart w:id="15" w:name="_Int_4DBzayYI"/>
            <w:r>
              <w:t>possible approach</w:t>
            </w:r>
            <w:bookmarkEnd w:id="15"/>
            <w:r>
              <w:t xml:space="preserve"> to meeting compliance requirements.</w:t>
            </w:r>
          </w:p>
        </w:tc>
      </w:tr>
      <w:tr w:rsidR="0099188F" w:rsidRPr="00C4460A" w14:paraId="0477A0CF" w14:textId="77777777" w:rsidTr="33378111">
        <w:trPr>
          <w:trHeight w:val="300"/>
        </w:trPr>
        <w:tc>
          <w:tcPr>
            <w:tcW w:w="1097" w:type="pct"/>
          </w:tcPr>
          <w:p w14:paraId="324AABC8" w14:textId="77777777" w:rsidR="0099188F" w:rsidRPr="00C4460A" w:rsidRDefault="0099188F" w:rsidP="00136B18">
            <w:pPr>
              <w:pStyle w:val="Tabletext"/>
              <w:spacing w:before="120"/>
            </w:pPr>
            <w:r w:rsidRPr="00C4460A">
              <w:lastRenderedPageBreak/>
              <w:t>Aim to provide authoritative information</w:t>
            </w:r>
          </w:p>
        </w:tc>
        <w:tc>
          <w:tcPr>
            <w:tcW w:w="3903" w:type="pct"/>
          </w:tcPr>
          <w:p w14:paraId="7A4C18F2" w14:textId="520C0219" w:rsidR="0099188F" w:rsidRPr="00136B18" w:rsidRDefault="710E66EB" w:rsidP="00136B18">
            <w:pPr>
              <w:rPr>
                <w:rFonts w:asciiTheme="majorHAnsi" w:hAnsiTheme="majorHAnsi"/>
              </w:rPr>
            </w:pPr>
            <w:r w:rsidRPr="00136B18">
              <w:rPr>
                <w:rFonts w:asciiTheme="majorHAnsi" w:hAnsiTheme="majorHAnsi"/>
              </w:rPr>
              <w:t xml:space="preserve">Duty holders should </w:t>
            </w:r>
            <w:r w:rsidR="21311D9E" w:rsidRPr="00136B18">
              <w:rPr>
                <w:rFonts w:asciiTheme="majorHAnsi" w:hAnsiTheme="majorHAnsi"/>
              </w:rPr>
              <w:t>not have to</w:t>
            </w:r>
            <w:r w:rsidRPr="00136B18">
              <w:rPr>
                <w:rFonts w:asciiTheme="majorHAnsi" w:hAnsiTheme="majorHAnsi"/>
              </w:rPr>
              <w:t xml:space="preserve"> </w:t>
            </w:r>
            <w:r w:rsidR="16D2C403" w:rsidRPr="00136B18">
              <w:rPr>
                <w:rFonts w:asciiTheme="majorHAnsi" w:hAnsiTheme="majorHAnsi"/>
              </w:rPr>
              <w:t xml:space="preserve">deal with </w:t>
            </w:r>
            <w:r w:rsidRPr="00136B18">
              <w:rPr>
                <w:rFonts w:asciiTheme="majorHAnsi" w:hAnsiTheme="majorHAnsi"/>
              </w:rPr>
              <w:t>competing sources of expertise</w:t>
            </w:r>
          </w:p>
          <w:p w14:paraId="381BBB73" w14:textId="77777777" w:rsidR="00136B18" w:rsidRPr="00136B18" w:rsidRDefault="00136B18" w:rsidP="00136B18">
            <w:pPr>
              <w:pStyle w:val="Tabletext"/>
              <w:rPr>
                <w:b/>
                <w:bCs/>
              </w:rPr>
            </w:pPr>
            <w:r w:rsidRPr="00136B18">
              <w:rPr>
                <w:b/>
                <w:bCs/>
              </w:rPr>
              <w:t>Considerations:</w:t>
            </w:r>
          </w:p>
          <w:p w14:paraId="75ACE26F" w14:textId="26110996" w:rsidR="009B6781" w:rsidRPr="00C4460A" w:rsidRDefault="0DAAEB13" w:rsidP="00136B18">
            <w:pPr>
              <w:pStyle w:val="Tablebullet"/>
            </w:pPr>
            <w:r w:rsidRPr="4FCA2E5A">
              <w:t>Establish mechanisms to provide (or direct persons to) authoritative information, where appropriate.</w:t>
            </w:r>
          </w:p>
        </w:tc>
      </w:tr>
      <w:tr w:rsidR="0099188F" w:rsidRPr="00C4460A" w14:paraId="590CE11A" w14:textId="77777777" w:rsidTr="33378111">
        <w:trPr>
          <w:trHeight w:val="300"/>
        </w:trPr>
        <w:tc>
          <w:tcPr>
            <w:tcW w:w="1097" w:type="pct"/>
          </w:tcPr>
          <w:p w14:paraId="7C60C8A3" w14:textId="721D14F8" w:rsidR="0099188F" w:rsidRPr="00C4460A" w:rsidRDefault="0099188F" w:rsidP="00136B18">
            <w:pPr>
              <w:pStyle w:val="Tabletext"/>
              <w:spacing w:before="120"/>
            </w:pPr>
            <w:r w:rsidRPr="4FCA2E5A">
              <w:t>Adopt a behaviour change approach</w:t>
            </w:r>
          </w:p>
        </w:tc>
        <w:tc>
          <w:tcPr>
            <w:tcW w:w="3903" w:type="pct"/>
          </w:tcPr>
          <w:p w14:paraId="36F80E9E" w14:textId="31B96701" w:rsidR="0099188F" w:rsidRPr="00136B18" w:rsidRDefault="4286C2A2" w:rsidP="00136B18">
            <w:pPr>
              <w:rPr>
                <w:rFonts w:asciiTheme="majorHAnsi" w:hAnsiTheme="majorHAnsi"/>
              </w:rPr>
            </w:pPr>
            <w:r w:rsidRPr="00136B18">
              <w:rPr>
                <w:rFonts w:asciiTheme="majorHAnsi" w:hAnsiTheme="majorHAnsi"/>
              </w:rPr>
              <w:t>Duty holders may need to progressively improve understanding and capability to best perform</w:t>
            </w:r>
          </w:p>
          <w:p w14:paraId="06D59AD0" w14:textId="77777777" w:rsidR="00136B18" w:rsidRPr="00136B18" w:rsidRDefault="00136B18" w:rsidP="00136B18">
            <w:pPr>
              <w:pStyle w:val="Tabletext"/>
              <w:rPr>
                <w:b/>
                <w:bCs/>
              </w:rPr>
            </w:pPr>
            <w:r w:rsidRPr="00136B18">
              <w:rPr>
                <w:b/>
                <w:bCs/>
              </w:rPr>
              <w:t>Considerations:</w:t>
            </w:r>
          </w:p>
          <w:p w14:paraId="4F231DDB" w14:textId="6E1E3E3B" w:rsidR="00AA299B" w:rsidRPr="00AA299B" w:rsidRDefault="2DA55078" w:rsidP="00136B18">
            <w:pPr>
              <w:pStyle w:val="Tablebullet"/>
            </w:pPr>
            <w:r w:rsidRPr="4FCA2E5A">
              <w:t>Recognise the stages of understanding and practice a duty holder may have to progress through to improve their performance.</w:t>
            </w:r>
          </w:p>
          <w:p w14:paraId="52DA82B0" w14:textId="77777777" w:rsidR="00AA299B" w:rsidRPr="00C4460A" w:rsidRDefault="2DA55078" w:rsidP="00136B18">
            <w:pPr>
              <w:pStyle w:val="Tablebullet"/>
            </w:pPr>
            <w:r w:rsidRPr="4FCA2E5A">
              <w:t>When designing regulatory approaches, consider the appropriate mix of education, compliance monitoring and enforcement activities, to aid duty holders to improve performance over time.</w:t>
            </w:r>
          </w:p>
          <w:p w14:paraId="27FE1232" w14:textId="5E11258D" w:rsidR="00EC61C9" w:rsidRPr="00C4460A" w:rsidRDefault="2DA55078" w:rsidP="00136B18">
            <w:pPr>
              <w:pStyle w:val="Tablebullet"/>
            </w:pPr>
            <w:r w:rsidRPr="4FCA2E5A">
              <w:t>When engaging with duty holders, and where appropriate to the risk and duty holder attitude and behaviour, apply a staged approach to building compliance.</w:t>
            </w:r>
          </w:p>
        </w:tc>
      </w:tr>
      <w:tr w:rsidR="4FCA2E5A" w14:paraId="7F8790C5" w14:textId="77777777" w:rsidTr="33378111">
        <w:trPr>
          <w:trHeight w:val="300"/>
        </w:trPr>
        <w:tc>
          <w:tcPr>
            <w:tcW w:w="1097" w:type="pct"/>
          </w:tcPr>
          <w:p w14:paraId="10E69114" w14:textId="3F0BEAB9" w:rsidR="688A0E2E" w:rsidRDefault="1A8D85F4" w:rsidP="00136B18">
            <w:pPr>
              <w:pStyle w:val="Tabletext"/>
              <w:spacing w:before="120"/>
            </w:pPr>
            <w:r w:rsidRPr="7123B212">
              <w:t>Integrate compliance into</w:t>
            </w:r>
            <w:r w:rsidR="187A335E" w:rsidRPr="7123B212">
              <w:t xml:space="preserve"> broader duty holder systems</w:t>
            </w:r>
          </w:p>
        </w:tc>
        <w:tc>
          <w:tcPr>
            <w:tcW w:w="3903" w:type="pct"/>
          </w:tcPr>
          <w:p w14:paraId="1D17448C" w14:textId="782C9A8D" w:rsidR="4FCA2E5A" w:rsidRPr="00136B18" w:rsidRDefault="187A335E" w:rsidP="00136B18">
            <w:pPr>
              <w:rPr>
                <w:rFonts w:asciiTheme="majorHAnsi" w:hAnsiTheme="majorHAnsi"/>
              </w:rPr>
            </w:pPr>
            <w:r w:rsidRPr="00136B18">
              <w:rPr>
                <w:rFonts w:asciiTheme="majorHAnsi" w:hAnsiTheme="majorHAnsi"/>
              </w:rPr>
              <w:t>By understanding the context and broader system in which duty holders operate, you can naturally increase compliance.</w:t>
            </w:r>
          </w:p>
          <w:p w14:paraId="183F3865" w14:textId="77777777" w:rsidR="00136B18" w:rsidRPr="00136B18" w:rsidRDefault="00136B18" w:rsidP="00136B18">
            <w:pPr>
              <w:pStyle w:val="Tabletext"/>
              <w:rPr>
                <w:b/>
                <w:bCs/>
              </w:rPr>
            </w:pPr>
            <w:r w:rsidRPr="00136B18">
              <w:rPr>
                <w:b/>
                <w:bCs/>
              </w:rPr>
              <w:t>Considerations:</w:t>
            </w:r>
          </w:p>
          <w:p w14:paraId="2D706ACC" w14:textId="789B27D4" w:rsidR="4FCA2E5A" w:rsidRDefault="7E333C5A" w:rsidP="00136B18">
            <w:pPr>
              <w:pStyle w:val="Tablebullet"/>
            </w:pPr>
            <w:r w:rsidRPr="7123B212">
              <w:t>Aim to link with existing or potential duty holder systems for their own performance monitoring, to make compliance reporting automated and seamless</w:t>
            </w:r>
            <w:r w:rsidR="00616FFC">
              <w:t>.</w:t>
            </w:r>
            <w:r w:rsidRPr="7123B212">
              <w:t xml:space="preserve"> </w:t>
            </w:r>
          </w:p>
          <w:p w14:paraId="76B7A023" w14:textId="6B97812F" w:rsidR="00616FFC" w:rsidRDefault="48549BBA" w:rsidP="00136B18">
            <w:pPr>
              <w:pStyle w:val="Tablebullet"/>
            </w:pPr>
            <w:r>
              <w:t xml:space="preserve">Seek to understand the impediments to duty holder adoption of </w:t>
            </w:r>
            <w:r w:rsidR="6D570D75">
              <w:t xml:space="preserve">available compliance guidance, </w:t>
            </w:r>
            <w:r w:rsidR="7DB70383">
              <w:t>tools,</w:t>
            </w:r>
            <w:r w:rsidR="6D570D75">
              <w:t xml:space="preserve"> and systems (including industry provided resources), and account the role of the regulator in acting to help increase capability and engagement with these</w:t>
            </w:r>
            <w:r w:rsidR="001C2F49">
              <w:t>.</w:t>
            </w:r>
            <w:r>
              <w:t xml:space="preserve"> </w:t>
            </w:r>
          </w:p>
          <w:p w14:paraId="4A589927" w14:textId="7353F3A9" w:rsidR="4FCA2E5A" w:rsidRDefault="7E333C5A" w:rsidP="00136B18">
            <w:pPr>
              <w:pStyle w:val="Tablebullet"/>
            </w:pPr>
            <w:r w:rsidRPr="7123B212">
              <w:t>Account for where and how duty holders receive information or interact with other parties that influence their compliance</w:t>
            </w:r>
            <w:r w:rsidR="00616FFC">
              <w:t>.</w:t>
            </w:r>
          </w:p>
          <w:p w14:paraId="33C1B54D" w14:textId="3BA38A31" w:rsidR="4FCA2E5A" w:rsidRDefault="7E333C5A" w:rsidP="00136B18">
            <w:pPr>
              <w:pStyle w:val="Tablebullet"/>
            </w:pPr>
            <w:r w:rsidRPr="7123B212">
              <w:t>Aim to work with and through these parties to elevate compliance and build it in to routine operations</w:t>
            </w:r>
          </w:p>
        </w:tc>
      </w:tr>
      <w:tr w:rsidR="0099188F" w:rsidRPr="00C4460A" w14:paraId="4F3DAB30" w14:textId="77777777" w:rsidTr="33378111">
        <w:trPr>
          <w:trHeight w:val="300"/>
        </w:trPr>
        <w:tc>
          <w:tcPr>
            <w:tcW w:w="1097" w:type="pct"/>
          </w:tcPr>
          <w:p w14:paraId="5E249396" w14:textId="77777777" w:rsidR="0099188F" w:rsidRPr="00C4460A" w:rsidRDefault="0099188F" w:rsidP="00136B18">
            <w:pPr>
              <w:pStyle w:val="Tabletext"/>
              <w:spacing w:before="120"/>
            </w:pPr>
            <w:r w:rsidRPr="00C4460A">
              <w:t>Consider duty holder experience in process design</w:t>
            </w:r>
          </w:p>
        </w:tc>
        <w:tc>
          <w:tcPr>
            <w:tcW w:w="3903" w:type="pct"/>
          </w:tcPr>
          <w:p w14:paraId="73C70AA9" w14:textId="11F4C294" w:rsidR="0099188F" w:rsidRPr="00136B18" w:rsidRDefault="6BB034CB" w:rsidP="00136B18">
            <w:pPr>
              <w:rPr>
                <w:rFonts w:asciiTheme="majorHAnsi" w:hAnsiTheme="majorHAnsi"/>
              </w:rPr>
            </w:pPr>
            <w:r w:rsidRPr="00136B18">
              <w:rPr>
                <w:rFonts w:asciiTheme="majorHAnsi" w:hAnsiTheme="majorHAnsi"/>
              </w:rPr>
              <w:t>Taking a ‘user centric’ perspective to design of requirements helps to ensure compliance is straightforward to achieve</w:t>
            </w:r>
          </w:p>
          <w:p w14:paraId="47BC2F6A" w14:textId="77777777" w:rsidR="00136B18" w:rsidRPr="00136B18" w:rsidRDefault="00136B18" w:rsidP="00136B18">
            <w:pPr>
              <w:pStyle w:val="Tabletext"/>
              <w:rPr>
                <w:b/>
                <w:bCs/>
              </w:rPr>
            </w:pPr>
            <w:r w:rsidRPr="00136B18">
              <w:rPr>
                <w:b/>
                <w:bCs/>
              </w:rPr>
              <w:t>Considerations:</w:t>
            </w:r>
          </w:p>
          <w:p w14:paraId="5ECC5F28" w14:textId="77777777" w:rsidR="00A91DB3" w:rsidRPr="00C4460A" w:rsidRDefault="5440A28A" w:rsidP="00136B18">
            <w:pPr>
              <w:pStyle w:val="Tablebullet"/>
            </w:pPr>
            <w:r w:rsidRPr="4FCA2E5A">
              <w:t>Apply user-centric design principles to the design of regulatory functions, to help streamline interactions, understand duty holder expectations, uncover what they need to support compliance, and encourage and require them to comply.</w:t>
            </w:r>
          </w:p>
          <w:p w14:paraId="3C3EC5F9" w14:textId="61B7AF49" w:rsidR="00AA299B" w:rsidRPr="00C4460A" w:rsidRDefault="5440A28A" w:rsidP="00136B18">
            <w:pPr>
              <w:pStyle w:val="Tablebullet"/>
            </w:pPr>
            <w:r w:rsidRPr="4FCA2E5A">
              <w:t>Reform and digitise where current approaches are inefficient, or unnecessarily difficult or complicated for duty holders.</w:t>
            </w:r>
          </w:p>
        </w:tc>
      </w:tr>
      <w:tr w:rsidR="0099188F" w:rsidRPr="00C4460A" w14:paraId="4741E87D" w14:textId="77777777" w:rsidTr="33378111">
        <w:trPr>
          <w:trHeight w:val="300"/>
        </w:trPr>
        <w:tc>
          <w:tcPr>
            <w:tcW w:w="1097" w:type="pct"/>
          </w:tcPr>
          <w:p w14:paraId="0BDD2017" w14:textId="77777777" w:rsidR="0099188F" w:rsidRPr="00C4460A" w:rsidRDefault="0099188F" w:rsidP="00136B18">
            <w:pPr>
              <w:pStyle w:val="Tabletext"/>
              <w:spacing w:before="120"/>
            </w:pPr>
            <w:r w:rsidRPr="00C4460A">
              <w:lastRenderedPageBreak/>
              <w:t>Account for costs and burdens in process design</w:t>
            </w:r>
          </w:p>
        </w:tc>
        <w:tc>
          <w:tcPr>
            <w:tcW w:w="3903" w:type="pct"/>
          </w:tcPr>
          <w:p w14:paraId="21E529B6" w14:textId="4D946A1A" w:rsidR="0099188F" w:rsidRPr="00136B18" w:rsidRDefault="3C8078E5" w:rsidP="00136B18">
            <w:pPr>
              <w:rPr>
                <w:rFonts w:asciiTheme="majorHAnsi" w:hAnsiTheme="majorHAnsi"/>
              </w:rPr>
            </w:pPr>
            <w:r w:rsidRPr="00136B18">
              <w:rPr>
                <w:rFonts w:asciiTheme="majorHAnsi" w:hAnsiTheme="majorHAnsi"/>
              </w:rPr>
              <w:t xml:space="preserve">There can be a myriad of costs in achieving compliance, and regulators should not needlessly shift costs to duty holders </w:t>
            </w:r>
          </w:p>
          <w:p w14:paraId="76EC3196" w14:textId="77777777" w:rsidR="00136B18" w:rsidRPr="00136B18" w:rsidRDefault="00136B18" w:rsidP="00136B18">
            <w:pPr>
              <w:pStyle w:val="Tabletext"/>
              <w:rPr>
                <w:b/>
                <w:bCs/>
              </w:rPr>
            </w:pPr>
            <w:r w:rsidRPr="00136B18">
              <w:rPr>
                <w:b/>
                <w:bCs/>
              </w:rPr>
              <w:t>Considerations:</w:t>
            </w:r>
          </w:p>
          <w:p w14:paraId="57220EF3" w14:textId="77777777" w:rsidR="00791962" w:rsidRPr="00791962" w:rsidRDefault="27931817" w:rsidP="00136B18">
            <w:pPr>
              <w:pStyle w:val="Tablebullet"/>
            </w:pPr>
            <w:r w:rsidRPr="4FCA2E5A">
              <w:t>Account for the costs to duty holders involved in servicing requirements, to the extent that you have discretion over these.</w:t>
            </w:r>
          </w:p>
          <w:p w14:paraId="50A45818" w14:textId="77777777" w:rsidR="00791962" w:rsidRPr="00791962" w:rsidRDefault="27931817" w:rsidP="00136B18">
            <w:pPr>
              <w:pStyle w:val="Tablebullet"/>
            </w:pPr>
            <w:r w:rsidRPr="4FCA2E5A">
              <w:t>Consider all types of costs, including from regulator delays, uncertainty, submitting and revising information and navigating regulatory processes.</w:t>
            </w:r>
          </w:p>
          <w:p w14:paraId="07109528" w14:textId="77777777" w:rsidR="00791962" w:rsidRPr="00C4460A" w:rsidRDefault="27931817" w:rsidP="00136B18">
            <w:pPr>
              <w:pStyle w:val="Tablebullet"/>
            </w:pPr>
            <w:r w:rsidRPr="4FCA2E5A">
              <w:t xml:space="preserve">Weigh costs to duty holders, such as to prepare and provide information, against the benefits of that information; and be targeted when setting requirements. </w:t>
            </w:r>
          </w:p>
          <w:p w14:paraId="3D24C90E" w14:textId="1A213590" w:rsidR="00791962" w:rsidRPr="00C4460A" w:rsidRDefault="27931817" w:rsidP="00136B18">
            <w:pPr>
              <w:pStyle w:val="Tablebullet"/>
            </w:pPr>
            <w:r w:rsidRPr="4FCA2E5A">
              <w:t>Consider how to minimise the burdens of regulatory activities, in the context of pursuing harm and risk reduction objectives.</w:t>
            </w:r>
          </w:p>
        </w:tc>
      </w:tr>
      <w:tr w:rsidR="0099188F" w:rsidRPr="00C4460A" w14:paraId="1116B176" w14:textId="77777777" w:rsidTr="33378111">
        <w:trPr>
          <w:trHeight w:val="300"/>
        </w:trPr>
        <w:tc>
          <w:tcPr>
            <w:tcW w:w="1097" w:type="pct"/>
          </w:tcPr>
          <w:p w14:paraId="4680EB69" w14:textId="77777777" w:rsidR="0099188F" w:rsidRPr="00C4460A" w:rsidRDefault="0099188F" w:rsidP="00136B18">
            <w:pPr>
              <w:pStyle w:val="Tabletext"/>
              <w:spacing w:before="120"/>
            </w:pPr>
            <w:r w:rsidRPr="00C4460A">
              <w:t>Be flexible, where appropriate</w:t>
            </w:r>
          </w:p>
        </w:tc>
        <w:tc>
          <w:tcPr>
            <w:tcW w:w="3903" w:type="pct"/>
          </w:tcPr>
          <w:p w14:paraId="2762D0AF" w14:textId="73FC308C" w:rsidR="0099188F" w:rsidRPr="00136B18" w:rsidRDefault="3F287568" w:rsidP="00136B18">
            <w:pPr>
              <w:rPr>
                <w:rFonts w:asciiTheme="majorHAnsi" w:hAnsiTheme="majorHAnsi"/>
              </w:rPr>
            </w:pPr>
            <w:r w:rsidRPr="00136B18">
              <w:rPr>
                <w:rFonts w:asciiTheme="majorHAnsi" w:hAnsiTheme="majorHAnsi"/>
              </w:rPr>
              <w:t>There may be options to allow duty holders to innovate, reduce compliance burdens and raise performance</w:t>
            </w:r>
          </w:p>
          <w:p w14:paraId="4DD32AE4" w14:textId="77777777" w:rsidR="00136B18" w:rsidRPr="00136B18" w:rsidRDefault="00136B18" w:rsidP="00136B18">
            <w:pPr>
              <w:pStyle w:val="Tabletext"/>
              <w:rPr>
                <w:b/>
                <w:bCs/>
              </w:rPr>
            </w:pPr>
            <w:r w:rsidRPr="00136B18">
              <w:rPr>
                <w:b/>
                <w:bCs/>
              </w:rPr>
              <w:t>Considerations:</w:t>
            </w:r>
          </w:p>
          <w:p w14:paraId="2BE34167" w14:textId="77777777" w:rsidR="00D95E82" w:rsidRPr="00C4460A" w:rsidRDefault="5367089E" w:rsidP="00136B18">
            <w:pPr>
              <w:pStyle w:val="Tablebullet"/>
            </w:pPr>
            <w:r w:rsidRPr="4FCA2E5A">
              <w:t>Consider creating avenues for duty holders to innovate in how they meet compliance expectations.</w:t>
            </w:r>
          </w:p>
          <w:p w14:paraId="5AD3F97A" w14:textId="2B10503F" w:rsidR="00D95E82" w:rsidRPr="00C4460A" w:rsidRDefault="5367089E" w:rsidP="00136B18">
            <w:pPr>
              <w:pStyle w:val="Tablebullet"/>
            </w:pPr>
            <w:r w:rsidRPr="4FCA2E5A">
              <w:t>Where duty holders propose alternative approaches to a requirement that meet legal requirements and do not unacceptably compromise objectives, entertain these, and accept them unless there are compelling reasons not to.</w:t>
            </w:r>
          </w:p>
        </w:tc>
      </w:tr>
      <w:tr w:rsidR="0099188F" w:rsidRPr="00C4460A" w14:paraId="5A232E92" w14:textId="77777777" w:rsidTr="33378111">
        <w:trPr>
          <w:trHeight w:val="300"/>
        </w:trPr>
        <w:tc>
          <w:tcPr>
            <w:tcW w:w="1097" w:type="pct"/>
          </w:tcPr>
          <w:p w14:paraId="2EA2C42D" w14:textId="77777777" w:rsidR="0099188F" w:rsidRPr="00C4460A" w:rsidRDefault="0099188F" w:rsidP="00136B18">
            <w:pPr>
              <w:pStyle w:val="Tabletext"/>
              <w:spacing w:before="120"/>
            </w:pPr>
            <w:r w:rsidRPr="00C4460A">
              <w:t>Equip your staff to support duty holders to comply</w:t>
            </w:r>
          </w:p>
        </w:tc>
        <w:tc>
          <w:tcPr>
            <w:tcW w:w="3903" w:type="pct"/>
          </w:tcPr>
          <w:p w14:paraId="220C7763" w14:textId="486F1D28" w:rsidR="0099188F" w:rsidRPr="00136B18" w:rsidRDefault="7D5E91EF" w:rsidP="00136B18">
            <w:pPr>
              <w:rPr>
                <w:rFonts w:asciiTheme="majorHAnsi" w:hAnsiTheme="majorHAnsi"/>
              </w:rPr>
            </w:pPr>
            <w:r w:rsidRPr="00136B18">
              <w:rPr>
                <w:rFonts w:asciiTheme="majorHAnsi" w:hAnsiTheme="majorHAnsi"/>
              </w:rPr>
              <w:t>Regulators may need to have workforce programs and strategies to ensure staff understand industry operations</w:t>
            </w:r>
          </w:p>
          <w:p w14:paraId="6E10839E" w14:textId="77777777" w:rsidR="00136B18" w:rsidRPr="00136B18" w:rsidRDefault="00136B18" w:rsidP="00136B18">
            <w:pPr>
              <w:pStyle w:val="Tabletext"/>
              <w:rPr>
                <w:b/>
                <w:bCs/>
              </w:rPr>
            </w:pPr>
            <w:r w:rsidRPr="00136B18">
              <w:rPr>
                <w:b/>
                <w:bCs/>
              </w:rPr>
              <w:t>Considerations:</w:t>
            </w:r>
          </w:p>
          <w:p w14:paraId="1D0C214B" w14:textId="7CC2A4B3" w:rsidR="00D016BB" w:rsidRDefault="3CEC0CCC" w:rsidP="00136B18">
            <w:pPr>
              <w:pStyle w:val="Tablebullet"/>
            </w:pPr>
            <w:r>
              <w:t>Develop workforce capability frameworks and plans to establish suitable levels of industry knowledge</w:t>
            </w:r>
            <w:r w:rsidR="5D0738B9">
              <w:t xml:space="preserve">. </w:t>
            </w:r>
          </w:p>
          <w:p w14:paraId="6785B4E0" w14:textId="392BF8A3" w:rsidR="0029743C" w:rsidRPr="00224C2B" w:rsidRDefault="3CEC0CCC" w:rsidP="00136B18">
            <w:pPr>
              <w:pStyle w:val="Tablebullet"/>
            </w:pPr>
            <w:r>
              <w:t xml:space="preserve">Account for training, </w:t>
            </w:r>
            <w:r w:rsidR="51F6949B">
              <w:t>recruitment,</w:t>
            </w:r>
            <w:r>
              <w:t xml:space="preserve"> and access to external experts. </w:t>
            </w:r>
          </w:p>
          <w:p w14:paraId="0F78D177" w14:textId="77777777" w:rsidR="0029743C" w:rsidRPr="0029743C" w:rsidRDefault="4E73BBD2" w:rsidP="00136B18">
            <w:pPr>
              <w:pStyle w:val="Tablebullet"/>
            </w:pPr>
            <w:r w:rsidRPr="4FCA2E5A">
              <w:t>Establish knowledge transfer programs or secondment programs with industry.</w:t>
            </w:r>
          </w:p>
          <w:p w14:paraId="44EC79FB" w14:textId="77777777" w:rsidR="0029743C" w:rsidRPr="00C4460A" w:rsidRDefault="4E73BBD2" w:rsidP="00136B18">
            <w:pPr>
              <w:pStyle w:val="Tablebullet"/>
            </w:pPr>
            <w:r w:rsidRPr="4FCA2E5A">
              <w:t>Ensure that industry feedback informs continuous improvement.</w:t>
            </w:r>
          </w:p>
          <w:p w14:paraId="354CB0B0" w14:textId="7565F357" w:rsidR="0029743C" w:rsidRPr="00C4460A" w:rsidRDefault="4E73BBD2" w:rsidP="00136B18">
            <w:pPr>
              <w:pStyle w:val="Tablebullet"/>
            </w:pPr>
            <w:r w:rsidRPr="4FCA2E5A">
              <w:t>Establish a workforce that is appropriately representative of the parties you regulate and protect</w:t>
            </w:r>
            <w:r w:rsidR="00D016BB">
              <w:t>.</w:t>
            </w:r>
          </w:p>
        </w:tc>
      </w:tr>
      <w:tr w:rsidR="0099188F" w:rsidRPr="00C4460A" w14:paraId="27999177" w14:textId="77777777" w:rsidTr="33378111">
        <w:trPr>
          <w:trHeight w:val="300"/>
        </w:trPr>
        <w:tc>
          <w:tcPr>
            <w:tcW w:w="1097" w:type="pct"/>
          </w:tcPr>
          <w:p w14:paraId="12BE80B1" w14:textId="77777777" w:rsidR="0099188F" w:rsidRPr="00C4460A" w:rsidRDefault="0099188F" w:rsidP="00136B18">
            <w:pPr>
              <w:pStyle w:val="Tabletext"/>
              <w:spacing w:before="120"/>
            </w:pPr>
            <w:r w:rsidRPr="00C4460A">
              <w:t>Work with peers on compliance support</w:t>
            </w:r>
          </w:p>
        </w:tc>
        <w:tc>
          <w:tcPr>
            <w:tcW w:w="3903" w:type="pct"/>
          </w:tcPr>
          <w:p w14:paraId="1A0B5975" w14:textId="1249147E" w:rsidR="0099188F" w:rsidRPr="00136B18" w:rsidRDefault="16D6415D" w:rsidP="00136B18">
            <w:pPr>
              <w:rPr>
                <w:rFonts w:asciiTheme="majorHAnsi" w:hAnsiTheme="majorHAnsi"/>
              </w:rPr>
            </w:pPr>
            <w:r w:rsidRPr="00136B18">
              <w:rPr>
                <w:rFonts w:asciiTheme="majorHAnsi" w:hAnsiTheme="majorHAnsi"/>
              </w:rPr>
              <w:t>Often, regulators or other peers may have more opportunities to support compliance</w:t>
            </w:r>
          </w:p>
          <w:p w14:paraId="69FD94A5" w14:textId="77777777" w:rsidR="007C1106" w:rsidRPr="00136B18" w:rsidRDefault="007C1106" w:rsidP="00136B18">
            <w:pPr>
              <w:pStyle w:val="Tabletext"/>
              <w:rPr>
                <w:b/>
                <w:bCs/>
              </w:rPr>
            </w:pPr>
            <w:r w:rsidRPr="00136B18">
              <w:rPr>
                <w:b/>
                <w:bCs/>
              </w:rPr>
              <w:t>Considerations:</w:t>
            </w:r>
          </w:p>
          <w:p w14:paraId="315BBE20" w14:textId="1C394639" w:rsidR="007C1106" w:rsidRPr="00C4460A" w:rsidRDefault="5CFEC6B0" w:rsidP="00136B18">
            <w:pPr>
              <w:pStyle w:val="Tablebullet"/>
            </w:pPr>
            <w:r w:rsidRPr="4FCA2E5A">
              <w:t>Communicate compliance expectations in partnership with peer regulators, such as through consolidated guidelines that account for all relevant standards.</w:t>
            </w:r>
          </w:p>
        </w:tc>
      </w:tr>
    </w:tbl>
    <w:p w14:paraId="286A8040" w14:textId="286ECF65" w:rsidR="00737DA7" w:rsidRDefault="00737DA7" w:rsidP="0099188F">
      <w:pPr>
        <w:spacing w:after="0" w:line="240" w:lineRule="auto"/>
        <w:contextualSpacing/>
      </w:pPr>
    </w:p>
    <w:p w14:paraId="3BE7031A" w14:textId="32574BDF" w:rsidR="0099188F" w:rsidRPr="0099188F" w:rsidRDefault="00737DA7" w:rsidP="00737DA7">
      <w:pPr>
        <w:keepLines w:val="0"/>
        <w:spacing w:before="0" w:after="160" w:line="259" w:lineRule="auto"/>
      </w:pPr>
      <w:r>
        <w:br w:type="page"/>
      </w:r>
    </w:p>
    <w:p w14:paraId="26AD7667" w14:textId="5B7AD822" w:rsidR="00813BBC" w:rsidRPr="002A4428" w:rsidRDefault="00813BBC" w:rsidP="00813BBC">
      <w:pPr>
        <w:pStyle w:val="Principle"/>
      </w:pPr>
      <w:bookmarkStart w:id="16" w:name="_Toc100589348"/>
      <w:r w:rsidRPr="002A4428">
        <w:lastRenderedPageBreak/>
        <w:t>Target regulatory effort based on risk of harm</w:t>
      </w:r>
      <w:bookmarkEnd w:id="16"/>
    </w:p>
    <w:p w14:paraId="2C4D5860" w14:textId="77777777" w:rsidR="0099188F" w:rsidRPr="0099188F" w:rsidRDefault="0099188F" w:rsidP="00813BBC">
      <w:pPr>
        <w:rPr>
          <w:b/>
          <w:bCs/>
        </w:rPr>
      </w:pPr>
      <w:r>
        <w:t>The sub-elements of principle six address the many approaches that can be taken to embed a risk-based approach to directing regulator resources and activities towards the most serious risks facing them. It relates to external risks (of harm, or impacts on the regulatory scheme), not internal operational or reputational risks.</w:t>
      </w:r>
    </w:p>
    <w:p w14:paraId="06CFE2E0" w14:textId="7E19C8C5" w:rsidR="0099188F" w:rsidRPr="0099188F" w:rsidRDefault="0099188F" w:rsidP="00813BBC">
      <w:r>
        <w:t xml:space="preserve">The sub-elements of this </w:t>
      </w:r>
      <w:bookmarkStart w:id="17" w:name="_Int_UBcEGIao"/>
      <w:r>
        <w:t>principle</w:t>
      </w:r>
      <w:bookmarkEnd w:id="17"/>
      <w:r>
        <w:t xml:space="preserve"> account for the major areas to apply a risk-based approach, recognising that regulators may need to develop their risk capabilities over time, drawing on other resources and sources of expertise.</w:t>
      </w:r>
    </w:p>
    <w:p w14:paraId="4B1AF7E0" w14:textId="0C4F1C5A" w:rsidR="0099188F" w:rsidRDefault="002B4808" w:rsidP="00813BBC">
      <w:r w:rsidRPr="002B4808">
        <w:t xml:space="preserve">To help meet this principle, consider engaging staff to develop processes or documents outlining: </w:t>
      </w:r>
    </w:p>
    <w:p w14:paraId="64A420D1" w14:textId="77777777" w:rsidR="0099188F" w:rsidRPr="0099188F" w:rsidRDefault="0099188F" w:rsidP="00813BBC">
      <w:pPr>
        <w:pStyle w:val="Bullet1"/>
      </w:pPr>
      <w:r w:rsidRPr="0099188F">
        <w:t>How regulatory effort is being directed towards priority harms (for example, annual / compliance / operational plans).</w:t>
      </w:r>
    </w:p>
    <w:p w14:paraId="078BE6F8" w14:textId="76E69C0D" w:rsidR="0099188F" w:rsidRPr="0099188F" w:rsidRDefault="0099188F" w:rsidP="00813BBC">
      <w:pPr>
        <w:pStyle w:val="Bullet1"/>
      </w:pPr>
      <w:r w:rsidRPr="0099188F">
        <w:t xml:space="preserve">A high-level analysis of priority harms </w:t>
      </w:r>
      <w:r w:rsidR="00931C78">
        <w:t>including</w:t>
      </w:r>
      <w:r w:rsidRPr="0099188F">
        <w:t xml:space="preserve"> the causes and patterns of harm.</w:t>
      </w:r>
    </w:p>
    <w:p w14:paraId="1D2860EF" w14:textId="5F6334B0" w:rsidR="0099188F" w:rsidRPr="0099188F" w:rsidRDefault="0099188F" w:rsidP="00813BBC">
      <w:pPr>
        <w:pStyle w:val="Bullet1"/>
      </w:pPr>
      <w:r>
        <w:t>A description of a methodology or approach that is used to identify and prioritise risks and harms (</w:t>
      </w:r>
      <w:r w:rsidR="351711ED">
        <w:t>e.g.</w:t>
      </w:r>
      <w:r w:rsidR="00BA2B0D">
        <w:t>,</w:t>
      </w:r>
      <w:r>
        <w:t xml:space="preserve"> harnessing intelligence, </w:t>
      </w:r>
      <w:r w:rsidR="61287E12">
        <w:t>evidence,</w:t>
      </w:r>
      <w:r>
        <w:t xml:space="preserve"> or stakeholder views).</w:t>
      </w:r>
    </w:p>
    <w:p w14:paraId="311B6414" w14:textId="7BDBEA52" w:rsidR="0099188F" w:rsidRPr="0099188F" w:rsidRDefault="0099188F" w:rsidP="00813BBC">
      <w:pPr>
        <w:pStyle w:val="Bullet1"/>
      </w:pPr>
      <w:r>
        <w:t>Where and how risk is distributed across the duty holder base (</w:t>
      </w:r>
      <w:r w:rsidR="114013FD">
        <w:t>e.g.</w:t>
      </w:r>
      <w:r w:rsidR="00BA2B0D">
        <w:t>,</w:t>
      </w:r>
      <w:r>
        <w:t xml:space="preserve"> by sector, </w:t>
      </w:r>
      <w:r w:rsidR="4EC82837">
        <w:t>size,</w:t>
      </w:r>
      <w:r>
        <w:t xml:space="preserve"> or geography).</w:t>
      </w:r>
    </w:p>
    <w:p w14:paraId="02DB1009" w14:textId="77777777" w:rsidR="0099188F" w:rsidRPr="0099188F" w:rsidRDefault="0099188F" w:rsidP="00813BBC">
      <w:pPr>
        <w:pStyle w:val="Bullet1"/>
      </w:pPr>
      <w:r w:rsidRPr="0099188F">
        <w:t>A strategic approach to prosecutions based on priority harms and duty holder groups of concern.</w:t>
      </w:r>
    </w:p>
    <w:p w14:paraId="6FA4687F" w14:textId="77777777" w:rsidR="0099188F" w:rsidRPr="0099188F" w:rsidRDefault="0099188F" w:rsidP="00813BBC">
      <w:r w:rsidRPr="0099188F">
        <w:t>To best deliver, consider the following approaches as appropriate to your context:</w:t>
      </w:r>
    </w:p>
    <w:tbl>
      <w:tblPr>
        <w:tblStyle w:val="Texttable"/>
        <w:tblW w:w="5001" w:type="pct"/>
        <w:tblLook w:val="0620" w:firstRow="1" w:lastRow="0" w:firstColumn="0" w:lastColumn="0" w:noHBand="1" w:noVBand="1"/>
      </w:tblPr>
      <w:tblGrid>
        <w:gridCol w:w="1829"/>
        <w:gridCol w:w="7199"/>
      </w:tblGrid>
      <w:tr w:rsidR="00E95543" w:rsidRPr="00C4460A" w14:paraId="523EBC18"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13" w:type="pct"/>
          </w:tcPr>
          <w:p w14:paraId="54F60BF1" w14:textId="77777777" w:rsidR="0099188F" w:rsidRPr="00C4460A" w:rsidRDefault="0099188F" w:rsidP="00813BBC">
            <w:pPr>
              <w:pStyle w:val="Tableheader"/>
            </w:pPr>
            <w:r w:rsidRPr="00C4460A">
              <w:t xml:space="preserve">Action area </w:t>
            </w:r>
          </w:p>
        </w:tc>
        <w:tc>
          <w:tcPr>
            <w:tcW w:w="3987" w:type="pct"/>
          </w:tcPr>
          <w:p w14:paraId="7E34FF9A" w14:textId="21920840" w:rsidR="0099188F" w:rsidRPr="00C4460A" w:rsidRDefault="009A59D6" w:rsidP="00813BBC">
            <w:pPr>
              <w:pStyle w:val="Tableheader"/>
            </w:pPr>
            <w:r w:rsidRPr="00C4460A">
              <w:t xml:space="preserve">Rationale and </w:t>
            </w:r>
            <w:r w:rsidR="00813BBC" w:rsidRPr="00C4460A">
              <w:t>considerations for implementing</w:t>
            </w:r>
          </w:p>
        </w:tc>
      </w:tr>
      <w:tr w:rsidR="00E95543" w:rsidRPr="00C4460A" w14:paraId="74C1969D" w14:textId="77777777" w:rsidTr="33378111">
        <w:trPr>
          <w:trHeight w:val="300"/>
        </w:trPr>
        <w:tc>
          <w:tcPr>
            <w:tcW w:w="1013" w:type="pct"/>
          </w:tcPr>
          <w:p w14:paraId="4BC2B604" w14:textId="77777777" w:rsidR="0099188F" w:rsidRPr="00C4460A" w:rsidRDefault="0099188F" w:rsidP="00813BBC">
            <w:pPr>
              <w:pStyle w:val="Tabletext"/>
              <w:spacing w:before="120"/>
            </w:pPr>
            <w:r w:rsidRPr="00C4460A">
              <w:t>Account for risk in strategic planning</w:t>
            </w:r>
          </w:p>
        </w:tc>
        <w:tc>
          <w:tcPr>
            <w:tcW w:w="3987" w:type="pct"/>
          </w:tcPr>
          <w:p w14:paraId="5A18454B" w14:textId="5E765EA8" w:rsidR="0099188F" w:rsidRPr="00813BBC" w:rsidRDefault="021D3C4F" w:rsidP="00813BBC">
            <w:pPr>
              <w:rPr>
                <w:rFonts w:asciiTheme="majorHAnsi" w:hAnsiTheme="majorHAnsi"/>
              </w:rPr>
            </w:pPr>
            <w:r w:rsidRPr="00813BBC">
              <w:rPr>
                <w:rFonts w:asciiTheme="majorHAnsi" w:hAnsiTheme="majorHAnsi"/>
              </w:rPr>
              <w:t>Running formal processes to diagnose and prioritise risks is essential to improving effectiveness and justifying focus</w:t>
            </w:r>
          </w:p>
          <w:p w14:paraId="4CC863F9" w14:textId="77777777" w:rsidR="00813BBC" w:rsidRPr="00813BBC" w:rsidRDefault="00813BBC" w:rsidP="00813BBC">
            <w:pPr>
              <w:pStyle w:val="Tabletext"/>
              <w:rPr>
                <w:b/>
                <w:bCs/>
              </w:rPr>
            </w:pPr>
            <w:r w:rsidRPr="00813BBC">
              <w:rPr>
                <w:b/>
                <w:bCs/>
              </w:rPr>
              <w:t>Considerations:</w:t>
            </w:r>
          </w:p>
          <w:p w14:paraId="642E69B9" w14:textId="0A727FC1" w:rsidR="00D1112D" w:rsidRPr="00D1112D" w:rsidRDefault="482CE235" w:rsidP="00813BBC">
            <w:pPr>
              <w:pStyle w:val="Tablebullet"/>
            </w:pPr>
            <w:r>
              <w:t xml:space="preserve">Run cyclical processes to scan for, identify, categorise, </w:t>
            </w:r>
            <w:r w:rsidR="3A3832C1">
              <w:t>prioritise,</w:t>
            </w:r>
            <w:r>
              <w:t xml:space="preserve"> and allocate response to risks, that incorporate data and professional judgement.</w:t>
            </w:r>
          </w:p>
          <w:p w14:paraId="639AD292" w14:textId="77777777" w:rsidR="00D1112D" w:rsidRPr="00D1112D" w:rsidRDefault="170D62A3" w:rsidP="00813BBC">
            <w:pPr>
              <w:pStyle w:val="Tablebullet"/>
            </w:pPr>
            <w:r w:rsidRPr="4FCA2E5A">
              <w:t>Account for the policy context of risks, including interests of stakeholders and, risk attitude of government and the regulator.</w:t>
            </w:r>
          </w:p>
          <w:p w14:paraId="087A8A1F" w14:textId="0ABC20D5" w:rsidR="00D1112D" w:rsidRPr="00C4460A" w:rsidRDefault="170D62A3" w:rsidP="00813BBC">
            <w:pPr>
              <w:pStyle w:val="Tablebullet"/>
            </w:pPr>
            <w:r w:rsidRPr="4FCA2E5A">
              <w:t xml:space="preserve">Consider your objectives, powers and functions when </w:t>
            </w:r>
            <w:r w:rsidR="04DA9034" w:rsidRPr="4FCA2E5A">
              <w:t xml:space="preserve">determining approach to </w:t>
            </w:r>
            <w:r w:rsidRPr="4FCA2E5A">
              <w:t>risks and where you can make the biggest impact.</w:t>
            </w:r>
          </w:p>
          <w:p w14:paraId="07CD945E" w14:textId="44E10B47" w:rsidR="00A161B5" w:rsidRPr="00C4460A" w:rsidRDefault="170D62A3" w:rsidP="00813BBC">
            <w:pPr>
              <w:pStyle w:val="Tablebullet"/>
            </w:pPr>
            <w:r w:rsidRPr="4FCA2E5A">
              <w:t>Consider how to effectively manage risk with available resources, considering different regulatory approaches that suit the risk.</w:t>
            </w:r>
          </w:p>
        </w:tc>
      </w:tr>
      <w:tr w:rsidR="00E95543" w:rsidRPr="00C4460A" w14:paraId="1B4557CD" w14:textId="77777777" w:rsidTr="33378111">
        <w:trPr>
          <w:trHeight w:val="300"/>
        </w:trPr>
        <w:tc>
          <w:tcPr>
            <w:tcW w:w="1013" w:type="pct"/>
          </w:tcPr>
          <w:p w14:paraId="41BBF547" w14:textId="77777777" w:rsidR="0099188F" w:rsidRPr="00C4460A" w:rsidRDefault="0099188F" w:rsidP="00813BBC">
            <w:pPr>
              <w:pStyle w:val="Tabletext"/>
              <w:spacing w:before="120"/>
            </w:pPr>
            <w:r w:rsidRPr="00C4460A">
              <w:t>Explain risk in your key strategic documents</w:t>
            </w:r>
          </w:p>
        </w:tc>
        <w:tc>
          <w:tcPr>
            <w:tcW w:w="3987" w:type="pct"/>
          </w:tcPr>
          <w:p w14:paraId="5AB4C6E2" w14:textId="17C79F12" w:rsidR="0099188F" w:rsidRPr="00813BBC" w:rsidRDefault="2F2FA4DC" w:rsidP="00813BBC">
            <w:pPr>
              <w:rPr>
                <w:rFonts w:asciiTheme="majorHAnsi" w:hAnsiTheme="majorHAnsi"/>
              </w:rPr>
            </w:pPr>
            <w:r w:rsidRPr="00813BBC">
              <w:rPr>
                <w:rFonts w:asciiTheme="majorHAnsi" w:hAnsiTheme="majorHAnsi"/>
              </w:rPr>
              <w:t>Explaining what informs risk assessments helps to positively guide duty holder behaviour and attention</w:t>
            </w:r>
          </w:p>
          <w:p w14:paraId="27B07D96" w14:textId="77777777" w:rsidR="00813BBC" w:rsidRPr="00813BBC" w:rsidRDefault="00813BBC" w:rsidP="00813BBC">
            <w:pPr>
              <w:pStyle w:val="Tabletext"/>
              <w:rPr>
                <w:b/>
                <w:bCs/>
              </w:rPr>
            </w:pPr>
            <w:r w:rsidRPr="00813BBC">
              <w:rPr>
                <w:b/>
                <w:bCs/>
              </w:rPr>
              <w:t>Considerations:</w:t>
            </w:r>
          </w:p>
          <w:p w14:paraId="246BE33C" w14:textId="77777777" w:rsidR="0084228A" w:rsidRPr="00C4460A" w:rsidRDefault="07131D70" w:rsidP="00813BBC">
            <w:pPr>
              <w:pStyle w:val="Tablebullet"/>
            </w:pPr>
            <w:r w:rsidRPr="4FCA2E5A">
              <w:t xml:space="preserve">Publish policies and guidelines, such as a Compliance and Enforcement Policy, that explain the factors you will consider when evaluating risks, and on risk proportional enforcement. </w:t>
            </w:r>
          </w:p>
          <w:p w14:paraId="62BD8287" w14:textId="63D60432" w:rsidR="00A161B5" w:rsidRPr="00C4460A" w:rsidRDefault="07131D70" w:rsidP="00813BBC">
            <w:pPr>
              <w:pStyle w:val="Tablebullet"/>
            </w:pPr>
            <w:r w:rsidRPr="4FCA2E5A">
              <w:t>Publishing guidelines on targeting and, where relevant, earned recognition approaches.</w:t>
            </w:r>
          </w:p>
        </w:tc>
      </w:tr>
      <w:tr w:rsidR="00E95543" w:rsidRPr="00C4460A" w14:paraId="28E79E25" w14:textId="77777777" w:rsidTr="33378111">
        <w:trPr>
          <w:trHeight w:val="300"/>
        </w:trPr>
        <w:tc>
          <w:tcPr>
            <w:tcW w:w="1013" w:type="pct"/>
          </w:tcPr>
          <w:p w14:paraId="4E461662" w14:textId="77777777" w:rsidR="0099188F" w:rsidRPr="00C4460A" w:rsidRDefault="0099188F" w:rsidP="00813BBC">
            <w:pPr>
              <w:pStyle w:val="Tabletext"/>
              <w:spacing w:before="120"/>
            </w:pPr>
            <w:r w:rsidRPr="00C4460A">
              <w:lastRenderedPageBreak/>
              <w:t>Articulate risk approaches internally</w:t>
            </w:r>
          </w:p>
        </w:tc>
        <w:tc>
          <w:tcPr>
            <w:tcW w:w="3987" w:type="pct"/>
          </w:tcPr>
          <w:p w14:paraId="67875521" w14:textId="0831B73C" w:rsidR="0099188F" w:rsidRPr="00813BBC" w:rsidRDefault="17172CF6" w:rsidP="00813BBC">
            <w:pPr>
              <w:rPr>
                <w:rFonts w:asciiTheme="majorHAnsi" w:hAnsiTheme="majorHAnsi"/>
              </w:rPr>
            </w:pPr>
            <w:r w:rsidRPr="00813BBC">
              <w:rPr>
                <w:rFonts w:asciiTheme="majorHAnsi" w:hAnsiTheme="majorHAnsi"/>
              </w:rPr>
              <w:t>Risk models and clear criteria help to promote consistent decision-making and support officers to document choices</w:t>
            </w:r>
          </w:p>
          <w:p w14:paraId="3E209358" w14:textId="77777777" w:rsidR="00813BBC" w:rsidRPr="00813BBC" w:rsidRDefault="00813BBC" w:rsidP="00813BBC">
            <w:pPr>
              <w:pStyle w:val="Tabletext"/>
              <w:rPr>
                <w:b/>
                <w:bCs/>
              </w:rPr>
            </w:pPr>
            <w:r w:rsidRPr="00813BBC">
              <w:rPr>
                <w:b/>
                <w:bCs/>
              </w:rPr>
              <w:t>Considerations:</w:t>
            </w:r>
          </w:p>
          <w:p w14:paraId="1509518C" w14:textId="77777777" w:rsidR="00CC3452" w:rsidRPr="00CC3452" w:rsidRDefault="56714B72" w:rsidP="00813BBC">
            <w:pPr>
              <w:pStyle w:val="Tablebullet"/>
            </w:pPr>
            <w:r w:rsidRPr="4FCA2E5A">
              <w:t>To develop policies, clarify factors that influence likelihood of non-compliance such as duty holder history, capability, or attitude, and factors that are considered when assessing the consequences of non-compliance.</w:t>
            </w:r>
          </w:p>
          <w:p w14:paraId="62ACC185" w14:textId="77777777" w:rsidR="00CC3452" w:rsidRPr="00C4460A" w:rsidRDefault="56714B72" w:rsidP="00813BBC">
            <w:pPr>
              <w:pStyle w:val="Tablebullet"/>
            </w:pPr>
            <w:r w:rsidRPr="4FCA2E5A">
              <w:t xml:space="preserve">Develop internal statements on risk and uncertainty tolerance, to guide process design and decision-making. </w:t>
            </w:r>
          </w:p>
          <w:p w14:paraId="71D58F4E" w14:textId="373C8E59" w:rsidR="00A161B5" w:rsidRPr="00C4460A" w:rsidRDefault="56714B72" w:rsidP="00813BBC">
            <w:pPr>
              <w:pStyle w:val="Tablebullet"/>
            </w:pPr>
            <w:r w:rsidRPr="4FCA2E5A">
              <w:t xml:space="preserve">Produce internal policies and guidelines on proportionate responses to non-compliances, accounting for severity and </w:t>
            </w:r>
            <w:r w:rsidR="1CC0589E" w:rsidRPr="4FCA2E5A">
              <w:t xml:space="preserve">how duty holder attitude can drive </w:t>
            </w:r>
            <w:r w:rsidRPr="4FCA2E5A">
              <w:t>non-compliances.</w:t>
            </w:r>
          </w:p>
        </w:tc>
      </w:tr>
      <w:tr w:rsidR="00E95543" w:rsidRPr="00C4460A" w14:paraId="5E051896" w14:textId="77777777" w:rsidTr="33378111">
        <w:trPr>
          <w:trHeight w:val="300"/>
        </w:trPr>
        <w:tc>
          <w:tcPr>
            <w:tcW w:w="1013" w:type="pct"/>
          </w:tcPr>
          <w:p w14:paraId="58AAC031" w14:textId="77777777" w:rsidR="0099188F" w:rsidRPr="00C4460A" w:rsidRDefault="0099188F" w:rsidP="00813BBC">
            <w:pPr>
              <w:pStyle w:val="Tabletext"/>
              <w:spacing w:before="120"/>
            </w:pPr>
            <w:r w:rsidRPr="00C4460A">
              <w:t>Reflect risk in your management systems</w:t>
            </w:r>
          </w:p>
        </w:tc>
        <w:tc>
          <w:tcPr>
            <w:tcW w:w="3987" w:type="pct"/>
          </w:tcPr>
          <w:p w14:paraId="5E1FFA8D" w14:textId="764F3B08" w:rsidR="0099188F" w:rsidRPr="00813BBC" w:rsidRDefault="3BFBC237" w:rsidP="00813BBC">
            <w:pPr>
              <w:rPr>
                <w:rFonts w:asciiTheme="majorHAnsi" w:hAnsiTheme="majorHAnsi"/>
              </w:rPr>
            </w:pPr>
            <w:r w:rsidRPr="00813BBC">
              <w:rPr>
                <w:rFonts w:asciiTheme="majorHAnsi" w:hAnsiTheme="majorHAnsi"/>
              </w:rPr>
              <w:t>Processes to prioritise issues and direct work need to account for risk at appropriate stages</w:t>
            </w:r>
          </w:p>
          <w:p w14:paraId="03B2EE49" w14:textId="77777777" w:rsidR="00813BBC" w:rsidRPr="00813BBC" w:rsidRDefault="00813BBC" w:rsidP="00813BBC">
            <w:pPr>
              <w:pStyle w:val="Tabletext"/>
              <w:rPr>
                <w:b/>
                <w:bCs/>
              </w:rPr>
            </w:pPr>
            <w:r w:rsidRPr="00813BBC">
              <w:rPr>
                <w:b/>
                <w:bCs/>
              </w:rPr>
              <w:t>Considerations:</w:t>
            </w:r>
          </w:p>
          <w:p w14:paraId="73218296" w14:textId="77777777" w:rsidR="00E72D5E" w:rsidRPr="00C4460A" w:rsidRDefault="2363A675" w:rsidP="00813BBC">
            <w:pPr>
              <w:pStyle w:val="Tablebullet"/>
              <w:rPr>
                <w:rFonts w:ascii="VIC" w:eastAsia="Times New Roman" w:hAnsi="VIC" w:cs="Arial"/>
                <w:color w:val="000000"/>
                <w:kern w:val="24"/>
              </w:rPr>
            </w:pPr>
            <w:r w:rsidRPr="00C4460A">
              <w:rPr>
                <w:rFonts w:ascii="VIC" w:eastAsia="Times New Roman" w:hAnsi="VIC" w:cs="Arial"/>
                <w:color w:val="000000"/>
                <w:kern w:val="24"/>
              </w:rPr>
              <w:t>Consider different options for treating risks, such as through triage, compliance monitoring and enforcement responses.</w:t>
            </w:r>
          </w:p>
          <w:p w14:paraId="679BB42B" w14:textId="77777777" w:rsidR="00E72D5E" w:rsidRPr="00C4460A" w:rsidRDefault="2363A675" w:rsidP="00813BBC">
            <w:pPr>
              <w:pStyle w:val="Tablebullet"/>
              <w:rPr>
                <w:rFonts w:ascii="VIC" w:eastAsia="Times New Roman" w:hAnsi="VIC" w:cs="Arial"/>
                <w:color w:val="000000"/>
                <w:kern w:val="24"/>
              </w:rPr>
            </w:pPr>
            <w:r w:rsidRPr="00C4460A">
              <w:rPr>
                <w:rFonts w:ascii="VIC" w:eastAsia="Times New Roman" w:hAnsi="VIC" w:cs="Arial"/>
                <w:color w:val="000000"/>
                <w:kern w:val="24"/>
              </w:rPr>
              <w:t xml:space="preserve">Consider what information is necessary to make risk assessments, and what is discretionary but not essential. </w:t>
            </w:r>
          </w:p>
          <w:p w14:paraId="1F728A28" w14:textId="77777777" w:rsidR="00E72D5E" w:rsidRPr="00C4460A" w:rsidRDefault="2363A675" w:rsidP="00813BBC">
            <w:pPr>
              <w:pStyle w:val="Tablebullet"/>
              <w:rPr>
                <w:rFonts w:ascii="VIC" w:eastAsia="Times New Roman" w:hAnsi="VIC" w:cs="Arial"/>
                <w:color w:val="000000"/>
                <w:kern w:val="24"/>
              </w:rPr>
            </w:pPr>
            <w:r w:rsidRPr="00C4460A">
              <w:rPr>
                <w:rFonts w:ascii="VIC" w:eastAsia="Times New Roman" w:hAnsi="VIC" w:cs="Arial"/>
                <w:color w:val="000000"/>
                <w:kern w:val="24"/>
              </w:rPr>
              <w:t>When designing duty holder reporting requirements, balance risk assessment objectives with demands on duty holders to report. This may include making decisions with less information or having greater reliance on contingency plans.</w:t>
            </w:r>
          </w:p>
          <w:p w14:paraId="299BEDF8" w14:textId="3A42603B" w:rsidR="00A161B5" w:rsidRPr="00C4460A" w:rsidRDefault="2363A675" w:rsidP="00813BBC">
            <w:pPr>
              <w:pStyle w:val="Tablebullet"/>
              <w:rPr>
                <w:rFonts w:ascii="VIC" w:eastAsia="Times New Roman" w:hAnsi="VIC" w:cs="Arial"/>
                <w:color w:val="000000"/>
                <w:kern w:val="24"/>
              </w:rPr>
            </w:pPr>
            <w:r w:rsidRPr="00C4460A">
              <w:rPr>
                <w:rFonts w:ascii="VIC" w:eastAsia="Times New Roman" w:hAnsi="VIC" w:cs="Arial"/>
                <w:color w:val="000000"/>
                <w:kern w:val="24"/>
              </w:rPr>
              <w:t>Have risk-informed resource allocation systems, including for prioritisation of proactive inspections, time spent with duty holders depending on their risk and compliance profile, and triage of incoming reports.</w:t>
            </w:r>
          </w:p>
        </w:tc>
      </w:tr>
      <w:tr w:rsidR="00E95543" w:rsidRPr="00C4460A" w14:paraId="78945881" w14:textId="77777777" w:rsidTr="33378111">
        <w:trPr>
          <w:trHeight w:val="300"/>
        </w:trPr>
        <w:tc>
          <w:tcPr>
            <w:tcW w:w="1013" w:type="pct"/>
          </w:tcPr>
          <w:p w14:paraId="048D1600" w14:textId="77777777" w:rsidR="0099188F" w:rsidRPr="00C4460A" w:rsidRDefault="0099188F" w:rsidP="00813BBC">
            <w:pPr>
              <w:pStyle w:val="Tabletext"/>
              <w:spacing w:before="120"/>
            </w:pPr>
            <w:r w:rsidRPr="00C4460A">
              <w:t>Engage and enable staff to apply your frameworks</w:t>
            </w:r>
          </w:p>
        </w:tc>
        <w:tc>
          <w:tcPr>
            <w:tcW w:w="3987" w:type="pct"/>
          </w:tcPr>
          <w:p w14:paraId="0322145F" w14:textId="589891A0" w:rsidR="0099188F" w:rsidRPr="00813BBC" w:rsidRDefault="3B45F006" w:rsidP="00813BBC">
            <w:pPr>
              <w:rPr>
                <w:rFonts w:asciiTheme="majorHAnsi" w:hAnsiTheme="majorHAnsi"/>
              </w:rPr>
            </w:pPr>
            <w:r w:rsidRPr="00813BBC">
              <w:rPr>
                <w:rFonts w:asciiTheme="majorHAnsi" w:hAnsiTheme="majorHAnsi"/>
              </w:rPr>
              <w:t>Staff need to be empowered to exercise judgement, supported by appropriate protocols and analysis</w:t>
            </w:r>
          </w:p>
          <w:p w14:paraId="0C62F265" w14:textId="77777777" w:rsidR="00A161B5" w:rsidRPr="00813BBC" w:rsidRDefault="00A161B5" w:rsidP="00813BBC">
            <w:pPr>
              <w:pStyle w:val="Tabletext"/>
              <w:rPr>
                <w:b/>
                <w:bCs/>
              </w:rPr>
            </w:pPr>
            <w:r w:rsidRPr="00813BBC">
              <w:rPr>
                <w:b/>
                <w:bCs/>
              </w:rPr>
              <w:t>Considerations:</w:t>
            </w:r>
          </w:p>
          <w:p w14:paraId="2947349D" w14:textId="77777777" w:rsidR="00D833E2" w:rsidRPr="00C4460A" w:rsidRDefault="0A8CBB33" w:rsidP="00813BBC">
            <w:pPr>
              <w:pStyle w:val="Tablebullet"/>
            </w:pPr>
            <w:r w:rsidRPr="4FCA2E5A">
              <w:t xml:space="preserve">Deliver professional development and change management activities with staff, to help develop policies, models and frameworks and put them into practice. </w:t>
            </w:r>
          </w:p>
          <w:p w14:paraId="2BBA3657" w14:textId="6C4B7A58" w:rsidR="00D833E2" w:rsidRPr="00C4460A" w:rsidRDefault="68C29788" w:rsidP="00813BBC">
            <w:pPr>
              <w:pStyle w:val="Tablebullet"/>
            </w:pPr>
            <w:r>
              <w:t>Assess the available capabilities to manage risk, including in people, technology, processes and data, and the investments required to improve risk management capability over time</w:t>
            </w:r>
            <w:r w:rsidR="5E66346B">
              <w:t xml:space="preserve">. </w:t>
            </w:r>
          </w:p>
          <w:p w14:paraId="3391B9DE" w14:textId="21C37023" w:rsidR="00A161B5" w:rsidRPr="00C4460A" w:rsidRDefault="0A8CBB33" w:rsidP="00813BBC">
            <w:pPr>
              <w:pStyle w:val="Tablebullet"/>
            </w:pPr>
            <w:r w:rsidRPr="4FCA2E5A">
              <w:t>Invest in data analytics capabilities and applying these to refine risk assessments and risk and data literacy across operational staff.</w:t>
            </w:r>
          </w:p>
        </w:tc>
      </w:tr>
    </w:tbl>
    <w:p w14:paraId="6E144B6A" w14:textId="28A03AE9" w:rsidR="0099188F" w:rsidRDefault="0099188F" w:rsidP="00F37642">
      <w:pPr>
        <w:spacing w:after="0" w:line="240" w:lineRule="auto"/>
        <w:contextualSpacing/>
        <w:rPr>
          <w:b/>
          <w:bCs/>
        </w:rPr>
      </w:pPr>
    </w:p>
    <w:p w14:paraId="0E550686" w14:textId="109A10BB" w:rsidR="00FD000D" w:rsidRPr="0099188F" w:rsidRDefault="00737DA7" w:rsidP="00737DA7">
      <w:pPr>
        <w:keepLines w:val="0"/>
        <w:spacing w:before="0" w:after="160" w:line="259" w:lineRule="auto"/>
        <w:rPr>
          <w:b/>
          <w:bCs/>
        </w:rPr>
      </w:pPr>
      <w:r>
        <w:rPr>
          <w:b/>
          <w:bCs/>
        </w:rPr>
        <w:br w:type="page"/>
      </w:r>
    </w:p>
    <w:p w14:paraId="334839EC" w14:textId="595445A9" w:rsidR="00813BBC" w:rsidRPr="002A4428" w:rsidRDefault="00813BBC" w:rsidP="00FF5493">
      <w:pPr>
        <w:pStyle w:val="Principle"/>
      </w:pPr>
      <w:bookmarkStart w:id="18" w:name="_Toc100589350"/>
      <w:bookmarkStart w:id="19" w:name="_Hlk113447278"/>
      <w:r w:rsidRPr="002A4428">
        <w:lastRenderedPageBreak/>
        <w:t>Evaluate your efforts and communicate their impact on your regulatory outcomes</w:t>
      </w:r>
      <w:bookmarkEnd w:id="18"/>
    </w:p>
    <w:bookmarkEnd w:id="19"/>
    <w:p w14:paraId="1ADB8272" w14:textId="39F437FF" w:rsidR="0099188F" w:rsidRPr="0099188F" w:rsidRDefault="0099188F" w:rsidP="00813BBC">
      <w:r>
        <w:t xml:space="preserve">The sub-elements of principle seven address the major dimensions of regulatory evaluation and communication. This principle represents a starting point for developing evaluation approaches and engaging with governing bodies, </w:t>
      </w:r>
      <w:r w:rsidR="4FD76C49">
        <w:t>departments,</w:t>
      </w:r>
      <w:r>
        <w:t xml:space="preserve"> and ministers on appropriate performance measures.</w:t>
      </w:r>
    </w:p>
    <w:p w14:paraId="043A540C" w14:textId="1BE9C87F" w:rsidR="0099188F" w:rsidRPr="0099188F" w:rsidRDefault="0099188F" w:rsidP="00813BBC">
      <w:r>
        <w:t xml:space="preserve">For regulators to improve evaluation, they may require support from governing bodies, </w:t>
      </w:r>
      <w:r w:rsidR="412129EF">
        <w:t>departments,</w:t>
      </w:r>
      <w:r>
        <w:t xml:space="preserve"> and ministers. These parties should recognise that regulators usually require a balanced set of measures to gain insights into their operations, and to calibrate resource allocation and risk settings. These measures should not </w:t>
      </w:r>
      <w:bookmarkStart w:id="20" w:name="_Int_LasvQv5z"/>
      <w:r>
        <w:t xml:space="preserve">generally </w:t>
      </w:r>
      <w:r w:rsidR="00AF1A25">
        <w:t>be</w:t>
      </w:r>
      <w:bookmarkEnd w:id="20"/>
      <w:r w:rsidR="00AF1A25">
        <w:t xml:space="preserve"> </w:t>
      </w:r>
      <w:r>
        <w:t>applied as targets until the performance system is well understood, because of the negative trade-offs that often occur when ‘single perspective’ targets (</w:t>
      </w:r>
      <w:r w:rsidR="1632E004">
        <w:t>e.g.</w:t>
      </w:r>
      <w:r w:rsidR="00BA2B0D">
        <w:t>,</w:t>
      </w:r>
      <w:r>
        <w:t xml:space="preserve"> volume measures) are pursued to the detriment of other objectives, and because of the issues around attributing specific indicators to outcomes.</w:t>
      </w:r>
    </w:p>
    <w:p w14:paraId="23D03DC7" w14:textId="4CFD4104" w:rsidR="0099188F" w:rsidRPr="0099188F" w:rsidRDefault="002B4808" w:rsidP="00813BBC">
      <w:r w:rsidRPr="002B4808">
        <w:t xml:space="preserve">To help meet this principle, consider engaging staff to develop processes or documents outlining: </w:t>
      </w:r>
    </w:p>
    <w:p w14:paraId="06DECCBE" w14:textId="44668BD3" w:rsidR="0099188F" w:rsidRPr="0099188F" w:rsidRDefault="00931C78" w:rsidP="00813BBC">
      <w:pPr>
        <w:pStyle w:val="Bullet1"/>
      </w:pPr>
      <w:r>
        <w:t>Your r</w:t>
      </w:r>
      <w:r w:rsidR="0099188F">
        <w:t>egulatory</w:t>
      </w:r>
      <w:r w:rsidR="0099188F" w:rsidRPr="0099188F">
        <w:t xml:space="preserve"> priorities and their link to harms of concern (for example, in an annual plan, compliance strategy, regulatory strategy or statement of regulatory intent)</w:t>
      </w:r>
      <w:r>
        <w:t>.</w:t>
      </w:r>
    </w:p>
    <w:p w14:paraId="2C615982" w14:textId="3E765D30" w:rsidR="0099188F" w:rsidRPr="0099188F" w:rsidRDefault="0099188F" w:rsidP="00813BBC">
      <w:pPr>
        <w:pStyle w:val="Bullet1"/>
      </w:pPr>
      <w:r w:rsidRPr="0099188F">
        <w:t>The ‘pipeline’ of compliance and enforcement activity for harms of concern outlining</w:t>
      </w:r>
      <w:r w:rsidR="00931C78">
        <w:t xml:space="preserve"> the</w:t>
      </w:r>
      <w:r w:rsidRPr="0099188F">
        <w:t xml:space="preserve"> conversation from detection to remedy and sanctioning</w:t>
      </w:r>
      <w:r w:rsidR="00931C78">
        <w:t>.</w:t>
      </w:r>
      <w:r w:rsidRPr="0099188F">
        <w:t xml:space="preserve"> </w:t>
      </w:r>
    </w:p>
    <w:p w14:paraId="2DB3AAD1" w14:textId="6FB37807" w:rsidR="0099188F" w:rsidRPr="0099188F" w:rsidRDefault="0099188F" w:rsidP="00813BBC">
      <w:pPr>
        <w:pStyle w:val="Bullet1"/>
      </w:pPr>
      <w:bookmarkStart w:id="21" w:name="_Int_iBFPco60"/>
      <w:r>
        <w:t>A track record</w:t>
      </w:r>
      <w:bookmarkEnd w:id="21"/>
      <w:r>
        <w:t xml:space="preserve"> of completed tailor-made interventions to tackle specific harms</w:t>
      </w:r>
      <w:r w:rsidR="00931C78">
        <w:t>.</w:t>
      </w:r>
      <w:r>
        <w:t xml:space="preserve"> </w:t>
      </w:r>
    </w:p>
    <w:p w14:paraId="62E2C420" w14:textId="77777777" w:rsidR="0099188F" w:rsidRPr="0099188F" w:rsidRDefault="0099188F" w:rsidP="00FD000D">
      <w:pPr>
        <w:keepNext/>
      </w:pPr>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826"/>
        <w:gridCol w:w="7198"/>
      </w:tblGrid>
      <w:tr w:rsidR="0099188F" w:rsidRPr="00C4460A" w14:paraId="5230F573"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12" w:type="pct"/>
          </w:tcPr>
          <w:p w14:paraId="5E576744" w14:textId="77777777" w:rsidR="0099188F" w:rsidRPr="00C4460A" w:rsidRDefault="0099188F" w:rsidP="00813BBC">
            <w:pPr>
              <w:pStyle w:val="Tableheader"/>
            </w:pPr>
            <w:r w:rsidRPr="00C4460A">
              <w:t xml:space="preserve">Action area </w:t>
            </w:r>
          </w:p>
        </w:tc>
        <w:tc>
          <w:tcPr>
            <w:tcW w:w="3988" w:type="pct"/>
          </w:tcPr>
          <w:p w14:paraId="5A217FCE" w14:textId="7137F46D" w:rsidR="0099188F" w:rsidRPr="00C4460A" w:rsidRDefault="009A59D6" w:rsidP="00813BBC">
            <w:pPr>
              <w:pStyle w:val="Tableheader"/>
            </w:pPr>
            <w:r w:rsidRPr="00C4460A">
              <w:t xml:space="preserve">Rationale and </w:t>
            </w:r>
            <w:r w:rsidR="00813BBC" w:rsidRPr="00C4460A">
              <w:t>considerations for implementing</w:t>
            </w:r>
          </w:p>
        </w:tc>
      </w:tr>
      <w:tr w:rsidR="0099188F" w:rsidRPr="00C4460A" w14:paraId="36E373BB" w14:textId="77777777" w:rsidTr="33378111">
        <w:trPr>
          <w:trHeight w:val="300"/>
        </w:trPr>
        <w:tc>
          <w:tcPr>
            <w:tcW w:w="1012" w:type="pct"/>
          </w:tcPr>
          <w:p w14:paraId="3B452108" w14:textId="77777777" w:rsidR="0099188F" w:rsidRPr="00C4460A" w:rsidRDefault="0099188F" w:rsidP="00813BBC">
            <w:pPr>
              <w:pStyle w:val="Tabletext"/>
              <w:spacing w:before="120"/>
            </w:pPr>
            <w:r w:rsidRPr="00C4460A">
              <w:t>Communicate your activities and focus</w:t>
            </w:r>
          </w:p>
        </w:tc>
        <w:tc>
          <w:tcPr>
            <w:tcW w:w="3988" w:type="pct"/>
          </w:tcPr>
          <w:p w14:paraId="5265FB11" w14:textId="70177A5E" w:rsidR="0099188F" w:rsidRPr="00813BBC" w:rsidRDefault="4B77628A" w:rsidP="00813BBC">
            <w:pPr>
              <w:rPr>
                <w:rFonts w:asciiTheme="majorHAnsi" w:hAnsiTheme="majorHAnsi"/>
              </w:rPr>
            </w:pPr>
            <w:r w:rsidRPr="00813BBC">
              <w:rPr>
                <w:rFonts w:asciiTheme="majorHAnsi" w:hAnsiTheme="majorHAnsi"/>
              </w:rPr>
              <w:t>By setting clear priorities, alongside enduring issues of concern, duty holders know where to improve their performance</w:t>
            </w:r>
          </w:p>
          <w:p w14:paraId="6181D45A" w14:textId="77777777" w:rsidR="00813BBC" w:rsidRPr="00813BBC" w:rsidRDefault="00813BBC" w:rsidP="00813BBC">
            <w:pPr>
              <w:pStyle w:val="Tabletext"/>
              <w:rPr>
                <w:b/>
                <w:bCs/>
              </w:rPr>
            </w:pPr>
            <w:r w:rsidRPr="00813BBC">
              <w:rPr>
                <w:b/>
                <w:bCs/>
              </w:rPr>
              <w:t>Considerations:</w:t>
            </w:r>
          </w:p>
          <w:p w14:paraId="0C139CB3" w14:textId="74DBF513" w:rsidR="00B60171" w:rsidRPr="00C4460A" w:rsidRDefault="0CF0AFA0" w:rsidP="00813BBC">
            <w:pPr>
              <w:pStyle w:val="Tablebullet"/>
            </w:pPr>
            <w:r w:rsidRPr="4FCA2E5A">
              <w:t xml:space="preserve">Communicate </w:t>
            </w:r>
            <w:r w:rsidR="00931C78">
              <w:t xml:space="preserve">your </w:t>
            </w:r>
            <w:r w:rsidRPr="4FCA2E5A">
              <w:t>priorities and focus areas to duty holders to help increase compliance and duty holder readiness.</w:t>
            </w:r>
          </w:p>
          <w:p w14:paraId="66110B18" w14:textId="54B703A4" w:rsidR="00D833E2" w:rsidRPr="00C4460A" w:rsidRDefault="0CF0AFA0" w:rsidP="00813BBC">
            <w:pPr>
              <w:pStyle w:val="Tablebullet"/>
            </w:pPr>
            <w:r w:rsidRPr="4FCA2E5A">
              <w:t>Use appropriate methods such as compliance strategies, annual compliance plans, newsletters, industry and peer regulator partnerships, direct communications, or social media.</w:t>
            </w:r>
          </w:p>
        </w:tc>
      </w:tr>
      <w:tr w:rsidR="0099188F" w:rsidRPr="00C4460A" w14:paraId="45D84146" w14:textId="77777777" w:rsidTr="33378111">
        <w:trPr>
          <w:trHeight w:val="300"/>
        </w:trPr>
        <w:tc>
          <w:tcPr>
            <w:tcW w:w="1012" w:type="pct"/>
          </w:tcPr>
          <w:p w14:paraId="4EDBA8DF" w14:textId="43E60B9D" w:rsidR="0099188F" w:rsidRPr="00C4460A" w:rsidRDefault="0099188F" w:rsidP="00813BBC">
            <w:pPr>
              <w:pStyle w:val="Tabletext"/>
              <w:spacing w:before="120"/>
            </w:pPr>
            <w:r>
              <w:t>Account for all your activities to influence</w:t>
            </w:r>
            <w:r w:rsidR="407C788F">
              <w:t xml:space="preserve"> duty </w:t>
            </w:r>
            <w:r w:rsidR="5F93C46A">
              <w:t>holder behaviour</w:t>
            </w:r>
          </w:p>
        </w:tc>
        <w:tc>
          <w:tcPr>
            <w:tcW w:w="3988" w:type="pct"/>
          </w:tcPr>
          <w:p w14:paraId="10DAD1B7" w14:textId="2DB0649D" w:rsidR="0099188F" w:rsidRPr="00813BBC" w:rsidRDefault="541EB33C" w:rsidP="00813BBC">
            <w:pPr>
              <w:rPr>
                <w:rFonts w:asciiTheme="majorHAnsi" w:hAnsiTheme="majorHAnsi"/>
              </w:rPr>
            </w:pPr>
            <w:r w:rsidRPr="00813BBC">
              <w:rPr>
                <w:rFonts w:asciiTheme="majorHAnsi" w:hAnsiTheme="majorHAnsi"/>
              </w:rPr>
              <w:t xml:space="preserve">Regulators can apply a range of approaches to behaviour change, and plans should </w:t>
            </w:r>
            <w:r w:rsidR="3A82D9AE" w:rsidRPr="00813BBC">
              <w:rPr>
                <w:rFonts w:asciiTheme="majorHAnsi" w:hAnsiTheme="majorHAnsi"/>
              </w:rPr>
              <w:t>engage all of these</w:t>
            </w:r>
            <w:r w:rsidRPr="00813BBC">
              <w:rPr>
                <w:rFonts w:asciiTheme="majorHAnsi" w:hAnsiTheme="majorHAnsi"/>
              </w:rPr>
              <w:t xml:space="preserve"> </w:t>
            </w:r>
          </w:p>
          <w:p w14:paraId="56F14735" w14:textId="77777777" w:rsidR="00813BBC" w:rsidRPr="00813BBC" w:rsidRDefault="00813BBC" w:rsidP="00813BBC">
            <w:pPr>
              <w:pStyle w:val="Tabletext"/>
              <w:rPr>
                <w:b/>
                <w:bCs/>
              </w:rPr>
            </w:pPr>
            <w:r w:rsidRPr="00813BBC">
              <w:rPr>
                <w:b/>
                <w:bCs/>
              </w:rPr>
              <w:t>Considerations:</w:t>
            </w:r>
          </w:p>
          <w:p w14:paraId="0BD9B367" w14:textId="383C8CFB" w:rsidR="007C0F1C" w:rsidRPr="00C4460A" w:rsidRDefault="7271E517" w:rsidP="00813BBC">
            <w:pPr>
              <w:pStyle w:val="Tablebullet"/>
            </w:pPr>
            <w:r w:rsidRPr="4FCA2E5A">
              <w:t>Communicate the full range of activities undertaken to address harms, including education, compliance, monitoring and collaboration.</w:t>
            </w:r>
          </w:p>
          <w:p w14:paraId="5BEA47FB" w14:textId="1C052142" w:rsidR="00B60171" w:rsidRPr="00C4460A" w:rsidRDefault="7271E517" w:rsidP="00813BBC">
            <w:pPr>
              <w:pStyle w:val="Tablebullet"/>
            </w:pPr>
            <w:r w:rsidRPr="4FCA2E5A">
              <w:t>Communicate both remedial and enforcement activities, recognising that for behaviour change and deterrence, perception of likelihood of detection and consequence (of any kind) is usually more important than perception of the severity of punishment.</w:t>
            </w:r>
          </w:p>
        </w:tc>
      </w:tr>
      <w:tr w:rsidR="0099188F" w:rsidRPr="00C4460A" w14:paraId="38F213B1" w14:textId="77777777" w:rsidTr="33378111">
        <w:trPr>
          <w:trHeight w:val="300"/>
        </w:trPr>
        <w:tc>
          <w:tcPr>
            <w:tcW w:w="1012" w:type="pct"/>
          </w:tcPr>
          <w:p w14:paraId="144CF326" w14:textId="77777777" w:rsidR="0099188F" w:rsidRPr="00C4460A" w:rsidRDefault="0099188F" w:rsidP="00813BBC">
            <w:pPr>
              <w:pStyle w:val="Tabletext"/>
              <w:spacing w:before="120"/>
            </w:pPr>
            <w:r w:rsidRPr="00C4460A">
              <w:lastRenderedPageBreak/>
              <w:t>Develop an evaluation framework</w:t>
            </w:r>
          </w:p>
        </w:tc>
        <w:tc>
          <w:tcPr>
            <w:tcW w:w="3988" w:type="pct"/>
          </w:tcPr>
          <w:p w14:paraId="21A1389B" w14:textId="50485845" w:rsidR="0099188F" w:rsidRPr="00813BBC" w:rsidRDefault="3D22404F" w:rsidP="00813BBC">
            <w:pPr>
              <w:rPr>
                <w:rFonts w:asciiTheme="majorHAnsi" w:hAnsiTheme="majorHAnsi"/>
              </w:rPr>
            </w:pPr>
            <w:r w:rsidRPr="00813BBC">
              <w:rPr>
                <w:rFonts w:asciiTheme="majorHAnsi" w:hAnsiTheme="majorHAnsi"/>
              </w:rPr>
              <w:t xml:space="preserve">An end-to-end model that relates regulatory activity, to impacts and outcomes, helps to align focus and report on effectiveness </w:t>
            </w:r>
          </w:p>
          <w:p w14:paraId="1C709ACC" w14:textId="77777777" w:rsidR="00813BBC" w:rsidRPr="00813BBC" w:rsidRDefault="00813BBC" w:rsidP="00813BBC">
            <w:pPr>
              <w:pStyle w:val="Tabletext"/>
              <w:rPr>
                <w:b/>
                <w:bCs/>
              </w:rPr>
            </w:pPr>
            <w:r w:rsidRPr="00813BBC">
              <w:rPr>
                <w:b/>
                <w:bCs/>
              </w:rPr>
              <w:t>Considerations:</w:t>
            </w:r>
          </w:p>
          <w:p w14:paraId="4FC1E6D9" w14:textId="2443ADA5" w:rsidR="00F75F88" w:rsidRPr="00F75F88" w:rsidRDefault="2878379E" w:rsidP="00813BBC">
            <w:pPr>
              <w:pStyle w:val="Tablebullet"/>
            </w:pPr>
            <w:r w:rsidRPr="4FCA2E5A">
              <w:t xml:space="preserve">Establish an approach to measuring and reporting on the contribution of regulatory efforts to the reduction of harms. </w:t>
            </w:r>
          </w:p>
          <w:p w14:paraId="1A457ADF" w14:textId="28D535FC" w:rsidR="00F75F88" w:rsidRPr="00F75F88" w:rsidRDefault="2878379E" w:rsidP="00813BBC">
            <w:pPr>
              <w:pStyle w:val="Tablebullet"/>
            </w:pPr>
            <w:r w:rsidRPr="4FCA2E5A">
              <w:t xml:space="preserve">In this reporting, account for: </w:t>
            </w:r>
          </w:p>
          <w:p w14:paraId="768777D4" w14:textId="77777777" w:rsidR="00F75F88" w:rsidRPr="00F75F88" w:rsidRDefault="00F75F88" w:rsidP="00895662">
            <w:pPr>
              <w:pStyle w:val="Tabledash"/>
            </w:pPr>
            <w:r w:rsidRPr="00F75F88">
              <w:t>outcomes logics to help align focus and attention around objectives</w:t>
            </w:r>
          </w:p>
          <w:p w14:paraId="460CF068" w14:textId="5F8E8214" w:rsidR="00F75F88" w:rsidRPr="00F75F88" w:rsidRDefault="00F75F88" w:rsidP="00895662">
            <w:pPr>
              <w:pStyle w:val="Tabledash"/>
            </w:pPr>
            <w:r>
              <w:t xml:space="preserve">the full set of approaches used, including education, outreach, communication, </w:t>
            </w:r>
            <w:r w:rsidR="109B0EC0">
              <w:t>partnerships,</w:t>
            </w:r>
            <w:r>
              <w:t xml:space="preserve"> and other behaviour change activities</w:t>
            </w:r>
          </w:p>
          <w:p w14:paraId="796FB14D" w14:textId="77777777" w:rsidR="00F75F88" w:rsidRPr="00F75F88" w:rsidRDefault="00F75F88" w:rsidP="00895662">
            <w:pPr>
              <w:pStyle w:val="Tabledash"/>
            </w:pPr>
            <w:r w:rsidRPr="00F75F88">
              <w:t>how risk frameworks have been applied to prioritise and focus effort</w:t>
            </w:r>
          </w:p>
          <w:p w14:paraId="4CF1C9EA" w14:textId="30714CB4" w:rsidR="00F75F88" w:rsidRPr="00F75F88" w:rsidRDefault="00F75F88" w:rsidP="00895662">
            <w:pPr>
              <w:pStyle w:val="Tabledash"/>
            </w:pPr>
            <w:r>
              <w:t>the impact of compliance monitoring activities (</w:t>
            </w:r>
            <w:r w:rsidR="03F1F0E6">
              <w:t>e.g.</w:t>
            </w:r>
            <w:r w:rsidR="00BA2B0D">
              <w:t>,</w:t>
            </w:r>
            <w:r>
              <w:t xml:space="preserve"> inspections, desktop assessments and audits) on the detection of non-compliance</w:t>
            </w:r>
          </w:p>
          <w:p w14:paraId="72DBE20F" w14:textId="77777777" w:rsidR="00F75F88" w:rsidRPr="00F75F88" w:rsidRDefault="00F75F88" w:rsidP="00895662">
            <w:pPr>
              <w:pStyle w:val="Tabledash"/>
            </w:pPr>
            <w:r>
              <w:t xml:space="preserve">risk based actions taken </w:t>
            </w:r>
            <w:bookmarkStart w:id="22" w:name="_Int_WYeqOYaD"/>
            <w:r>
              <w:t>as a result of</w:t>
            </w:r>
            <w:bookmarkEnd w:id="22"/>
            <w:r>
              <w:t xml:space="preserve"> non-compliance</w:t>
            </w:r>
          </w:p>
          <w:p w14:paraId="787C414C" w14:textId="77777777" w:rsidR="00F75F88" w:rsidRPr="00F75F88" w:rsidRDefault="00F75F88" w:rsidP="00895662">
            <w:pPr>
              <w:pStyle w:val="Tabledash"/>
            </w:pPr>
            <w:r w:rsidRPr="00F75F88">
              <w:t>impacts on awareness, attitudes, compliance behaviours, and long-term outcomes and objectives</w:t>
            </w:r>
          </w:p>
          <w:p w14:paraId="35384EC3" w14:textId="6EC9E79A" w:rsidR="00F75F88" w:rsidRPr="00C4460A" w:rsidRDefault="00F75F88" w:rsidP="00895662">
            <w:pPr>
              <w:pStyle w:val="Tabledash"/>
            </w:pPr>
            <w:r>
              <w:t xml:space="preserve">timeliness, accuracy, clarity, </w:t>
            </w:r>
            <w:r w:rsidR="2820EEF2">
              <w:t>fairness,</w:t>
            </w:r>
            <w:r>
              <w:t xml:space="preserve"> and other quality measures</w:t>
            </w:r>
          </w:p>
          <w:p w14:paraId="6718AEAD" w14:textId="177D1917" w:rsidR="00B60171" w:rsidRPr="00C4460A" w:rsidRDefault="00F75F88" w:rsidP="00895662">
            <w:pPr>
              <w:pStyle w:val="Tabledash"/>
            </w:pPr>
            <w:r w:rsidRPr="00C4460A">
              <w:t>other variables that impact on outcomes, including changes in the external environment.</w:t>
            </w:r>
          </w:p>
        </w:tc>
      </w:tr>
      <w:tr w:rsidR="0099188F" w:rsidRPr="00C4460A" w14:paraId="79E4D949" w14:textId="77777777" w:rsidTr="33378111">
        <w:trPr>
          <w:trHeight w:val="300"/>
        </w:trPr>
        <w:tc>
          <w:tcPr>
            <w:tcW w:w="1012" w:type="pct"/>
          </w:tcPr>
          <w:p w14:paraId="39EA35E8" w14:textId="77777777" w:rsidR="0099188F" w:rsidRPr="00C4460A" w:rsidRDefault="0099188F" w:rsidP="00813BBC">
            <w:pPr>
              <w:pStyle w:val="Tabletext"/>
              <w:spacing w:before="120"/>
            </w:pPr>
            <w:r w:rsidRPr="00C4460A">
              <w:t>Develop evaluations for specific interventions</w:t>
            </w:r>
          </w:p>
        </w:tc>
        <w:tc>
          <w:tcPr>
            <w:tcW w:w="3988" w:type="pct"/>
          </w:tcPr>
          <w:p w14:paraId="2DE0F0CB" w14:textId="68275E4F" w:rsidR="0099188F" w:rsidRPr="00C07AC8" w:rsidRDefault="7E4BBB0E" w:rsidP="00813BBC">
            <w:pPr>
              <w:rPr>
                <w:rFonts w:asciiTheme="majorHAnsi" w:hAnsiTheme="majorHAnsi"/>
              </w:rPr>
            </w:pPr>
            <w:r w:rsidRPr="00C07AC8">
              <w:rPr>
                <w:rFonts w:asciiTheme="majorHAnsi" w:hAnsiTheme="majorHAnsi"/>
              </w:rPr>
              <w:t>When designing tailor-made interventions, it is essential to define success, and measures of success, from the outset</w:t>
            </w:r>
          </w:p>
          <w:p w14:paraId="2A413AFC" w14:textId="77777777" w:rsidR="00813BBC" w:rsidRPr="00813BBC" w:rsidRDefault="00813BBC" w:rsidP="00813BBC">
            <w:pPr>
              <w:pStyle w:val="Tabletext"/>
              <w:rPr>
                <w:b/>
                <w:bCs/>
              </w:rPr>
            </w:pPr>
            <w:r w:rsidRPr="00813BBC">
              <w:rPr>
                <w:b/>
                <w:bCs/>
              </w:rPr>
              <w:t>Considerations:</w:t>
            </w:r>
          </w:p>
          <w:p w14:paraId="43378562" w14:textId="77777777" w:rsidR="00FF4E72" w:rsidRPr="00FF4E72" w:rsidRDefault="0BDD051E" w:rsidP="00813BBC">
            <w:pPr>
              <w:pStyle w:val="Tablebullet"/>
            </w:pPr>
            <w:r w:rsidRPr="4FCA2E5A">
              <w:t>When developing tailor-made interventions, account for the specific measures of success for those projects</w:t>
            </w:r>
          </w:p>
          <w:p w14:paraId="535A2412" w14:textId="77777777" w:rsidR="00FF4E72" w:rsidRPr="00C4460A" w:rsidRDefault="0BDD051E" w:rsidP="00813BBC">
            <w:pPr>
              <w:pStyle w:val="Tablebullet"/>
            </w:pPr>
            <w:r w:rsidRPr="4FCA2E5A">
              <w:t>Consider what indicators will help to demonstrate goals have been sufficiently met, to justify project closure</w:t>
            </w:r>
          </w:p>
          <w:p w14:paraId="6922DF7E" w14:textId="360405AA" w:rsidR="00B60171" w:rsidRPr="00C4460A" w:rsidRDefault="0BDD051E" w:rsidP="00813BBC">
            <w:pPr>
              <w:pStyle w:val="Tablebullet"/>
            </w:pPr>
            <w:r>
              <w:t xml:space="preserve">Report on project successes, such as in annual reports, to demonstrate </w:t>
            </w:r>
            <w:bookmarkStart w:id="23" w:name="_Int_7ifANK8s"/>
            <w:r>
              <w:t>a track record</w:t>
            </w:r>
            <w:bookmarkEnd w:id="23"/>
            <w:r>
              <w:t xml:space="preserve"> of impact on specific harms and problems.</w:t>
            </w:r>
          </w:p>
        </w:tc>
      </w:tr>
      <w:tr w:rsidR="0099188F" w:rsidRPr="00C4460A" w14:paraId="7A1BE497" w14:textId="77777777" w:rsidTr="33378111">
        <w:trPr>
          <w:trHeight w:val="300"/>
        </w:trPr>
        <w:tc>
          <w:tcPr>
            <w:tcW w:w="1012" w:type="pct"/>
          </w:tcPr>
          <w:p w14:paraId="5B70B0AA" w14:textId="77777777" w:rsidR="0099188F" w:rsidRPr="00C4460A" w:rsidRDefault="0099188F" w:rsidP="00813BBC">
            <w:pPr>
              <w:pStyle w:val="Tabletext"/>
              <w:spacing w:before="120"/>
            </w:pPr>
            <w:r w:rsidRPr="00C4460A">
              <w:t>Evaluate your performance and management systems</w:t>
            </w:r>
          </w:p>
        </w:tc>
        <w:tc>
          <w:tcPr>
            <w:tcW w:w="3988" w:type="pct"/>
          </w:tcPr>
          <w:p w14:paraId="6C53ADBA" w14:textId="0D1585C9" w:rsidR="0099188F" w:rsidRPr="00813BBC" w:rsidRDefault="6A4E6A82" w:rsidP="00813BBC">
            <w:pPr>
              <w:rPr>
                <w:rFonts w:asciiTheme="majorHAnsi" w:hAnsiTheme="majorHAnsi"/>
              </w:rPr>
            </w:pPr>
            <w:r w:rsidRPr="00813BBC">
              <w:rPr>
                <w:rFonts w:asciiTheme="majorHAnsi" w:hAnsiTheme="majorHAnsi"/>
              </w:rPr>
              <w:t xml:space="preserve">Regulators often need to make concerted efforts to generate baselines and develop measures, to improve </w:t>
            </w:r>
            <w:r w:rsidR="0293EEAD" w:rsidRPr="00813BBC">
              <w:rPr>
                <w:rFonts w:asciiTheme="majorHAnsi" w:hAnsiTheme="majorHAnsi"/>
              </w:rPr>
              <w:t>performa</w:t>
            </w:r>
            <w:r w:rsidR="2A975DAF" w:rsidRPr="00813BBC">
              <w:rPr>
                <w:rFonts w:asciiTheme="majorHAnsi" w:hAnsiTheme="majorHAnsi"/>
              </w:rPr>
              <w:t>n</w:t>
            </w:r>
            <w:r w:rsidR="0293EEAD" w:rsidRPr="00813BBC">
              <w:rPr>
                <w:rFonts w:asciiTheme="majorHAnsi" w:hAnsiTheme="majorHAnsi"/>
              </w:rPr>
              <w:t>ce</w:t>
            </w:r>
            <w:r w:rsidRPr="00813BBC">
              <w:rPr>
                <w:rFonts w:asciiTheme="majorHAnsi" w:hAnsiTheme="majorHAnsi"/>
              </w:rPr>
              <w:t xml:space="preserve"> over time</w:t>
            </w:r>
          </w:p>
          <w:p w14:paraId="1B204651" w14:textId="77777777" w:rsidR="00813BBC" w:rsidRPr="00813BBC" w:rsidRDefault="00813BBC" w:rsidP="00813BBC">
            <w:pPr>
              <w:pStyle w:val="Tabletext"/>
              <w:rPr>
                <w:b/>
                <w:bCs/>
              </w:rPr>
            </w:pPr>
            <w:r w:rsidRPr="00813BBC">
              <w:rPr>
                <w:b/>
                <w:bCs/>
              </w:rPr>
              <w:t>Considerations:</w:t>
            </w:r>
          </w:p>
          <w:p w14:paraId="66C763B0" w14:textId="77777777" w:rsidR="001A592F" w:rsidRPr="001A592F" w:rsidRDefault="3D00372B" w:rsidP="00813BBC">
            <w:pPr>
              <w:pStyle w:val="Tablebullet"/>
            </w:pPr>
            <w:r w:rsidRPr="4FCA2E5A">
              <w:t>Establish baselines and/or benchmarks to monitor changes in measures over time.</w:t>
            </w:r>
          </w:p>
          <w:p w14:paraId="6C204F0A" w14:textId="77777777" w:rsidR="001A592F" w:rsidRPr="00C4460A" w:rsidRDefault="3D00372B" w:rsidP="00813BBC">
            <w:pPr>
              <w:pStyle w:val="Tablebullet"/>
            </w:pPr>
            <w:r w:rsidRPr="4FCA2E5A">
              <w:t>Report on inspection activities, and targeting and on enforcement decisions, and analyse trends in these activities.</w:t>
            </w:r>
          </w:p>
          <w:p w14:paraId="4E45F8C2" w14:textId="0A2EDC76" w:rsidR="700AE0C8" w:rsidRDefault="700AE0C8" w:rsidP="00813BBC">
            <w:pPr>
              <w:pStyle w:val="Tablebullet"/>
            </w:pPr>
            <w:r w:rsidRPr="4FCA2E5A">
              <w:t>Account for qualitative measures of inspection activities, including staff observations and experiences.</w:t>
            </w:r>
          </w:p>
          <w:p w14:paraId="0D36605F" w14:textId="18F78E71" w:rsidR="00B60171" w:rsidRPr="00C4460A" w:rsidRDefault="3D00372B" w:rsidP="00813BBC">
            <w:pPr>
              <w:pStyle w:val="Tablebullet"/>
            </w:pPr>
            <w:r w:rsidRPr="4FCA2E5A">
              <w:t>Review the performance of resource allocation systems, to ensure they are being applied consistently and produce intended results.</w:t>
            </w:r>
          </w:p>
        </w:tc>
      </w:tr>
      <w:tr w:rsidR="0099188F" w:rsidRPr="00C4460A" w14:paraId="47B9FB2C" w14:textId="77777777" w:rsidTr="33378111">
        <w:trPr>
          <w:trHeight w:val="300"/>
        </w:trPr>
        <w:tc>
          <w:tcPr>
            <w:tcW w:w="1012" w:type="pct"/>
          </w:tcPr>
          <w:p w14:paraId="1B1D6B05" w14:textId="77777777" w:rsidR="0099188F" w:rsidRPr="00C4460A" w:rsidRDefault="0099188F" w:rsidP="00813BBC">
            <w:pPr>
              <w:pStyle w:val="Tabletext"/>
              <w:spacing w:before="120"/>
            </w:pPr>
            <w:r w:rsidRPr="00C4460A">
              <w:lastRenderedPageBreak/>
              <w:t>Account for feedback in performance evaluation</w:t>
            </w:r>
          </w:p>
        </w:tc>
        <w:tc>
          <w:tcPr>
            <w:tcW w:w="3988" w:type="pct"/>
          </w:tcPr>
          <w:p w14:paraId="065EBE56" w14:textId="78F1CA4F" w:rsidR="0099188F" w:rsidRPr="00813BBC" w:rsidRDefault="234A11F6" w:rsidP="00813BBC">
            <w:pPr>
              <w:rPr>
                <w:rFonts w:asciiTheme="majorHAnsi" w:hAnsiTheme="majorHAnsi"/>
              </w:rPr>
            </w:pPr>
            <w:r w:rsidRPr="00813BBC">
              <w:rPr>
                <w:rFonts w:asciiTheme="majorHAnsi" w:hAnsiTheme="majorHAnsi"/>
              </w:rPr>
              <w:t xml:space="preserve">Duty holder and community feedback </w:t>
            </w:r>
            <w:r w:rsidR="43AFF332" w:rsidRPr="00813BBC">
              <w:rPr>
                <w:rFonts w:asciiTheme="majorHAnsi" w:hAnsiTheme="majorHAnsi"/>
              </w:rPr>
              <w:t>is often</w:t>
            </w:r>
            <w:r w:rsidRPr="00813BBC">
              <w:rPr>
                <w:rFonts w:asciiTheme="majorHAnsi" w:hAnsiTheme="majorHAnsi"/>
              </w:rPr>
              <w:t xml:space="preserve"> </w:t>
            </w:r>
            <w:r w:rsidR="43AFF332" w:rsidRPr="00813BBC">
              <w:rPr>
                <w:rFonts w:asciiTheme="majorHAnsi" w:hAnsiTheme="majorHAnsi"/>
              </w:rPr>
              <w:t>needed to complement the regulator’s own insights</w:t>
            </w:r>
          </w:p>
          <w:p w14:paraId="3CE8E4EA" w14:textId="77777777" w:rsidR="00813BBC" w:rsidRPr="00813BBC" w:rsidRDefault="00813BBC" w:rsidP="00813BBC">
            <w:pPr>
              <w:pStyle w:val="Tabletext"/>
              <w:rPr>
                <w:b/>
                <w:bCs/>
              </w:rPr>
            </w:pPr>
            <w:r w:rsidRPr="00813BBC">
              <w:rPr>
                <w:b/>
                <w:bCs/>
              </w:rPr>
              <w:t>Considerations:</w:t>
            </w:r>
          </w:p>
          <w:p w14:paraId="5387E308" w14:textId="77777777" w:rsidR="005D061F" w:rsidRPr="005D061F" w:rsidRDefault="05793A8C" w:rsidP="00813BBC">
            <w:pPr>
              <w:pStyle w:val="Tablebullet"/>
            </w:pPr>
            <w:r w:rsidRPr="4FCA2E5A">
              <w:t>Use feedback from duty holders and the community within your performance evaluations.</w:t>
            </w:r>
          </w:p>
          <w:p w14:paraId="7CAAA5DA" w14:textId="4B5D3DB3" w:rsidR="005D061F" w:rsidRPr="00C4460A" w:rsidRDefault="05793A8C" w:rsidP="00813BBC">
            <w:pPr>
              <w:pStyle w:val="Tablebullet"/>
            </w:pPr>
            <w:r>
              <w:t xml:space="preserve">Develop timely measures of impact including duty holder feedback and attitude </w:t>
            </w:r>
            <w:r w:rsidR="16E0D77F">
              <w:t>during</w:t>
            </w:r>
            <w:r>
              <w:t xml:space="preserve"> regulatory activities.</w:t>
            </w:r>
          </w:p>
          <w:p w14:paraId="529F6386" w14:textId="28804090" w:rsidR="00B60171" w:rsidRPr="00C4460A" w:rsidRDefault="05793A8C" w:rsidP="00813BBC">
            <w:pPr>
              <w:pStyle w:val="Tablebullet"/>
            </w:pPr>
            <w:r>
              <w:t xml:space="preserve">In using this feedback, distinguish who is giving feedback and the context of that feedback, recognising that results may not be </w:t>
            </w:r>
            <w:r w:rsidR="14B5477E">
              <w:t>generalisable,</w:t>
            </w:r>
            <w:r>
              <w:t xml:space="preserve"> and duty holder satisfaction is not always a goal.</w:t>
            </w:r>
          </w:p>
        </w:tc>
      </w:tr>
    </w:tbl>
    <w:p w14:paraId="44E5AB9D" w14:textId="439433D7" w:rsidR="00737DA7" w:rsidRDefault="00737DA7" w:rsidP="00813BBC"/>
    <w:p w14:paraId="1E65D474" w14:textId="42E8ED9A" w:rsidR="0099188F" w:rsidRPr="0099188F" w:rsidRDefault="00737DA7" w:rsidP="00737DA7">
      <w:pPr>
        <w:keepLines w:val="0"/>
        <w:spacing w:before="0" w:after="160" w:line="259" w:lineRule="auto"/>
      </w:pPr>
      <w:r>
        <w:br w:type="page"/>
      </w:r>
    </w:p>
    <w:p w14:paraId="66364317" w14:textId="0978289E" w:rsidR="0099188F" w:rsidRDefault="0099188F" w:rsidP="00FD000D">
      <w:pPr>
        <w:pStyle w:val="Heading1"/>
        <w:pageBreakBefore/>
      </w:pPr>
      <w:r w:rsidRPr="0099188F">
        <w:lastRenderedPageBreak/>
        <w:t xml:space="preserve">Enabling </w:t>
      </w:r>
      <w:r w:rsidR="00813BBC" w:rsidRPr="0099188F">
        <w:t>practices</w:t>
      </w:r>
    </w:p>
    <w:p w14:paraId="44D87E4F" w14:textId="019DAF50" w:rsidR="00813BBC" w:rsidRPr="002A4428" w:rsidRDefault="00813BBC" w:rsidP="00813BBC">
      <w:pPr>
        <w:pStyle w:val="Principle"/>
        <w:pageBreakBefore w:val="0"/>
      </w:pPr>
      <w:bookmarkStart w:id="24" w:name="_Toc100589353"/>
      <w:bookmarkStart w:id="25" w:name="_Int_WZEhH9jd"/>
      <w:r>
        <w:t>Work with regulatory peers and partners on shared harms and risks</w:t>
      </w:r>
      <w:bookmarkEnd w:id="24"/>
      <w:bookmarkEnd w:id="25"/>
    </w:p>
    <w:p w14:paraId="57AF2829" w14:textId="05674B90" w:rsidR="0099188F" w:rsidRPr="0099188F" w:rsidRDefault="0099188F" w:rsidP="00813BBC">
      <w:r>
        <w:t xml:space="preserve">The sub-elements of principle eight cover the </w:t>
      </w:r>
      <w:bookmarkStart w:id="26" w:name="_Int_shMvmyME"/>
      <w:r>
        <w:t>various reasons</w:t>
      </w:r>
      <w:bookmarkEnd w:id="26"/>
      <w:r>
        <w:t xml:space="preserve"> and approaches for regulator collaboration. </w:t>
      </w:r>
    </w:p>
    <w:p w14:paraId="46E54889" w14:textId="26913C02" w:rsidR="0099188F" w:rsidRPr="0099188F" w:rsidRDefault="0099188F" w:rsidP="00813BBC">
      <w:r>
        <w:t xml:space="preserve">Principle eight recognises that peer regulators and other agencies often have shared interests in harm reduction or other positive </w:t>
      </w:r>
      <w:r w:rsidR="6EEA4FBE">
        <w:t>outcomes and</w:t>
      </w:r>
      <w:r>
        <w:t xml:space="preserve"> helps regulators to consider how to collaborate in pursuit of these interests, irrespective of the compliance requirements</w:t>
      </w:r>
      <w:r w:rsidR="3F8AC6E9">
        <w:t>, standards or regulations</w:t>
      </w:r>
      <w:r>
        <w:t xml:space="preserve"> managed by each agency.</w:t>
      </w:r>
      <w:r w:rsidRPr="33378111">
        <w:rPr>
          <w:rFonts w:ascii="Calibri" w:hAnsi="Calibri" w:cs="Calibri"/>
        </w:rPr>
        <w:t> </w:t>
      </w:r>
    </w:p>
    <w:p w14:paraId="104894D5" w14:textId="77777777" w:rsidR="0099188F" w:rsidRPr="0099188F" w:rsidRDefault="0099188F" w:rsidP="00813BBC">
      <w:r w:rsidRPr="0099188F">
        <w:t>Overall, collaboration needs to be driven through leadership behaviours and prioritisation, and appropriate cultural practices.</w:t>
      </w:r>
    </w:p>
    <w:p w14:paraId="4B827549" w14:textId="4C865D25" w:rsidR="0099188F" w:rsidRPr="0099188F" w:rsidRDefault="002B4808" w:rsidP="00813BBC">
      <w:pPr>
        <w:keepNext/>
        <w:spacing w:after="0" w:line="240" w:lineRule="auto"/>
        <w:contextualSpacing/>
      </w:pPr>
      <w:r w:rsidRPr="002B4808">
        <w:t xml:space="preserve">To help meet this principle, consider engaging staff to develop processes or documents outlining: </w:t>
      </w:r>
    </w:p>
    <w:p w14:paraId="66DA5D6A" w14:textId="77777777" w:rsidR="0099188F" w:rsidRPr="0099188F" w:rsidRDefault="0099188F" w:rsidP="00813BBC">
      <w:pPr>
        <w:pStyle w:val="Bullet1"/>
      </w:pPr>
      <w:r>
        <w:t xml:space="preserve">A high-level analysis of priority harms and the roles of regulatory peers and partners in addressing them. </w:t>
      </w:r>
    </w:p>
    <w:p w14:paraId="623E9AED" w14:textId="77777777" w:rsidR="0099188F" w:rsidRPr="0099188F" w:rsidRDefault="0099188F" w:rsidP="00813BBC">
      <w:pPr>
        <w:pStyle w:val="Bullet1"/>
      </w:pPr>
      <w:bookmarkStart w:id="27" w:name="_Int_H7tLikRM"/>
      <w:r>
        <w:t>MOUs</w:t>
      </w:r>
      <w:bookmarkEnd w:id="27"/>
      <w:r>
        <w:t xml:space="preserve"> or agreements between regulators and other government bodies that drive collaboration and active information sharing.</w:t>
      </w:r>
    </w:p>
    <w:p w14:paraId="6AFC1543" w14:textId="77777777" w:rsidR="0099188F" w:rsidRPr="0099188F" w:rsidRDefault="0099188F" w:rsidP="00813BBC">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826"/>
        <w:gridCol w:w="7198"/>
      </w:tblGrid>
      <w:tr w:rsidR="0099188F" w:rsidRPr="00C4460A" w14:paraId="3ADB8A6C"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12" w:type="pct"/>
          </w:tcPr>
          <w:p w14:paraId="219845A2" w14:textId="77777777" w:rsidR="0099188F" w:rsidRPr="00C4460A" w:rsidRDefault="0099188F" w:rsidP="00813BBC">
            <w:pPr>
              <w:pStyle w:val="Tableheader"/>
            </w:pPr>
            <w:r w:rsidRPr="00C4460A">
              <w:t xml:space="preserve">Action area </w:t>
            </w:r>
          </w:p>
        </w:tc>
        <w:tc>
          <w:tcPr>
            <w:tcW w:w="3988" w:type="pct"/>
          </w:tcPr>
          <w:p w14:paraId="69B40974" w14:textId="39A7BEDE" w:rsidR="0099188F" w:rsidRPr="00C4460A" w:rsidRDefault="009A59D6" w:rsidP="00813BBC">
            <w:pPr>
              <w:pStyle w:val="Tableheader"/>
            </w:pPr>
            <w:r w:rsidRPr="00C4460A">
              <w:t xml:space="preserve">Rationale and </w:t>
            </w:r>
            <w:r w:rsidR="00813BBC" w:rsidRPr="00C4460A">
              <w:t>considerations for implementing</w:t>
            </w:r>
          </w:p>
        </w:tc>
      </w:tr>
      <w:tr w:rsidR="0099188F" w:rsidRPr="00C4460A" w14:paraId="2BAB520D" w14:textId="77777777" w:rsidTr="33378111">
        <w:trPr>
          <w:trHeight w:val="300"/>
        </w:trPr>
        <w:tc>
          <w:tcPr>
            <w:tcW w:w="1012" w:type="pct"/>
          </w:tcPr>
          <w:p w14:paraId="135A1E90" w14:textId="77777777" w:rsidR="0099188F" w:rsidRPr="00C4460A" w:rsidRDefault="0099188F" w:rsidP="00813BBC">
            <w:pPr>
              <w:pStyle w:val="Tabletext"/>
              <w:spacing w:before="120"/>
            </w:pPr>
            <w:r w:rsidRPr="00C4460A">
              <w:t>Clarify respective roles</w:t>
            </w:r>
          </w:p>
        </w:tc>
        <w:tc>
          <w:tcPr>
            <w:tcW w:w="3988" w:type="pct"/>
          </w:tcPr>
          <w:p w14:paraId="0F3EFBEA" w14:textId="3E9F3B2F" w:rsidR="0099188F" w:rsidRPr="00813BBC" w:rsidRDefault="59F45110" w:rsidP="00813BBC">
            <w:pPr>
              <w:rPr>
                <w:rFonts w:asciiTheme="majorHAnsi" w:hAnsiTheme="majorHAnsi"/>
              </w:rPr>
            </w:pPr>
            <w:r w:rsidRPr="00813BBC">
              <w:rPr>
                <w:rFonts w:asciiTheme="majorHAnsi" w:hAnsiTheme="majorHAnsi"/>
              </w:rPr>
              <w:t xml:space="preserve">Regulators and other government bodies often have overlapping or intersecting accountabilities, </w:t>
            </w:r>
            <w:r w:rsidR="1E1348E2" w:rsidRPr="00813BBC">
              <w:rPr>
                <w:rFonts w:asciiTheme="majorHAnsi" w:hAnsiTheme="majorHAnsi"/>
              </w:rPr>
              <w:t>risking confused delivery</w:t>
            </w:r>
          </w:p>
          <w:p w14:paraId="1FC64A28" w14:textId="77777777" w:rsidR="00813BBC" w:rsidRPr="00813BBC" w:rsidRDefault="00813BBC" w:rsidP="00813BBC">
            <w:pPr>
              <w:pStyle w:val="Tabletext"/>
              <w:rPr>
                <w:b/>
                <w:bCs/>
              </w:rPr>
            </w:pPr>
            <w:r w:rsidRPr="00813BBC">
              <w:rPr>
                <w:b/>
                <w:bCs/>
              </w:rPr>
              <w:t>Considerations:</w:t>
            </w:r>
          </w:p>
          <w:p w14:paraId="03533F2D" w14:textId="68CFFA96" w:rsidR="00236CEF" w:rsidRPr="00C4460A" w:rsidRDefault="00236CEF" w:rsidP="00813BBC">
            <w:pPr>
              <w:pStyle w:val="Tablebullet"/>
            </w:pPr>
            <w:r w:rsidRPr="00C4460A">
              <w:t>Establish agreements with peer regulators and agencies about shared objectives and complementary roles, recognising that a regulatory response will not always necessarily be the best approach.</w:t>
            </w:r>
          </w:p>
        </w:tc>
      </w:tr>
      <w:tr w:rsidR="0099188F" w:rsidRPr="00C4460A" w14:paraId="621E9C84" w14:textId="77777777" w:rsidTr="33378111">
        <w:trPr>
          <w:trHeight w:val="300"/>
        </w:trPr>
        <w:tc>
          <w:tcPr>
            <w:tcW w:w="1012" w:type="pct"/>
          </w:tcPr>
          <w:p w14:paraId="6677991C" w14:textId="77777777" w:rsidR="0099188F" w:rsidRPr="00C4460A" w:rsidRDefault="0099188F" w:rsidP="00813BBC">
            <w:pPr>
              <w:pStyle w:val="Tabletext"/>
              <w:spacing w:before="120"/>
            </w:pPr>
            <w:r w:rsidRPr="00C4460A">
              <w:t>Scope potential collaboration around clear objectives</w:t>
            </w:r>
          </w:p>
        </w:tc>
        <w:tc>
          <w:tcPr>
            <w:tcW w:w="3988" w:type="pct"/>
          </w:tcPr>
          <w:p w14:paraId="6178CDD4" w14:textId="37A0E86B" w:rsidR="0099188F" w:rsidRPr="00813BBC" w:rsidRDefault="189826D5" w:rsidP="00813BBC">
            <w:pPr>
              <w:rPr>
                <w:rFonts w:asciiTheme="majorHAnsi" w:hAnsiTheme="majorHAnsi"/>
              </w:rPr>
            </w:pPr>
            <w:r w:rsidRPr="00813BBC">
              <w:rPr>
                <w:rFonts w:asciiTheme="majorHAnsi" w:hAnsiTheme="majorHAnsi"/>
              </w:rPr>
              <w:t>Whilst general agreements can be beneficial, collaboration projects may be best suited to solving a specific problem</w:t>
            </w:r>
          </w:p>
          <w:p w14:paraId="4BD10D1F" w14:textId="77777777" w:rsidR="00813BBC" w:rsidRPr="00813BBC" w:rsidRDefault="00813BBC" w:rsidP="00813BBC">
            <w:pPr>
              <w:pStyle w:val="Tabletext"/>
              <w:rPr>
                <w:b/>
                <w:bCs/>
              </w:rPr>
            </w:pPr>
            <w:r w:rsidRPr="00813BBC">
              <w:rPr>
                <w:b/>
                <w:bCs/>
              </w:rPr>
              <w:t>Considerations:</w:t>
            </w:r>
          </w:p>
          <w:p w14:paraId="48B3F3A8" w14:textId="0DE4BFCD" w:rsidR="005F4149" w:rsidRPr="005F4149" w:rsidRDefault="4DC85CD6" w:rsidP="00D51C79">
            <w:pPr>
              <w:pStyle w:val="Tablebullet"/>
              <w:numPr>
                <w:ilvl w:val="0"/>
                <w:numId w:val="0"/>
              </w:numPr>
              <w:ind w:left="288" w:hanging="288"/>
            </w:pPr>
            <w:r w:rsidRPr="4FCA2E5A">
              <w:t>When scoping collaboration</w:t>
            </w:r>
            <w:r w:rsidR="2CB3CCB9" w:rsidRPr="1A8E4B59">
              <w:t xml:space="preserve"> with</w:t>
            </w:r>
            <w:r w:rsidR="139B9EE2" w:rsidRPr="1A8E4B59">
              <w:t xml:space="preserve"> peer</w:t>
            </w:r>
            <w:r w:rsidR="455CCEBB" w:rsidRPr="1A8E4B59">
              <w:t>s</w:t>
            </w:r>
            <w:r w:rsidRPr="4FCA2E5A">
              <w:t xml:space="preserve"> </w:t>
            </w:r>
            <w:r w:rsidR="30D92865" w:rsidRPr="4FCA2E5A">
              <w:t xml:space="preserve">and </w:t>
            </w:r>
            <w:r w:rsidR="1992EB54" w:rsidRPr="1A8E4B59">
              <w:t>partner</w:t>
            </w:r>
            <w:r w:rsidR="2761CA40" w:rsidRPr="1A8E4B59">
              <w:t>s</w:t>
            </w:r>
            <w:r w:rsidR="1992EB54" w:rsidRPr="1A8E4B59">
              <w:t xml:space="preserve"> </w:t>
            </w:r>
            <w:r w:rsidR="00D12DF5" w:rsidRPr="1A8E4B59">
              <w:t>you</w:t>
            </w:r>
            <w:r w:rsidRPr="4FCA2E5A">
              <w:t xml:space="preserve"> should:</w:t>
            </w:r>
          </w:p>
          <w:p w14:paraId="3A9741CF" w14:textId="77777777" w:rsidR="005F4149" w:rsidRPr="005F4149" w:rsidRDefault="005F4149" w:rsidP="00813BBC">
            <w:pPr>
              <w:pStyle w:val="Tablebullet"/>
            </w:pPr>
            <w:r w:rsidRPr="005F4149">
              <w:t>develop a clear problem statement, based on current intelligence</w:t>
            </w:r>
          </w:p>
          <w:p w14:paraId="57C46A81" w14:textId="11AEFD0A" w:rsidR="005F4149" w:rsidRPr="005F4149" w:rsidRDefault="005F4149" w:rsidP="00813BBC">
            <w:pPr>
              <w:pStyle w:val="Tablebullet"/>
            </w:pPr>
            <w:r>
              <w:t xml:space="preserve">map the tools available, their coverage, </w:t>
            </w:r>
            <w:r w:rsidR="61CEB756">
              <w:t>gaps,</w:t>
            </w:r>
            <w:r>
              <w:t xml:space="preserve"> and overlaps</w:t>
            </w:r>
          </w:p>
          <w:p w14:paraId="3FC68850" w14:textId="2D5FA5D6" w:rsidR="005F4149" w:rsidRPr="005F4149" w:rsidRDefault="005F4149" w:rsidP="00813BBC">
            <w:pPr>
              <w:pStyle w:val="Tablebullet"/>
            </w:pPr>
            <w:r w:rsidRPr="005F4149">
              <w:t>define success and end points for the project.</w:t>
            </w:r>
          </w:p>
          <w:p w14:paraId="3E682859" w14:textId="6075412A" w:rsidR="005F4149" w:rsidRPr="005F4149" w:rsidRDefault="4DC85CD6" w:rsidP="00813BBC">
            <w:pPr>
              <w:pStyle w:val="Tablebullet"/>
            </w:pPr>
            <w:r w:rsidRPr="4FCA2E5A">
              <w:t xml:space="preserve">When working together, peer </w:t>
            </w:r>
            <w:r w:rsidR="25D76994" w:rsidRPr="4FCA2E5A">
              <w:t xml:space="preserve">and partner </w:t>
            </w:r>
            <w:r w:rsidR="00D12DF5">
              <w:t>you</w:t>
            </w:r>
            <w:r w:rsidR="00D12DF5" w:rsidRPr="4FCA2E5A">
              <w:t xml:space="preserve"> </w:t>
            </w:r>
            <w:r w:rsidRPr="4FCA2E5A">
              <w:t>should aim to ensure:</w:t>
            </w:r>
          </w:p>
          <w:p w14:paraId="3CE0BC84" w14:textId="77777777" w:rsidR="005F4149" w:rsidRPr="005F4149" w:rsidRDefault="005F4149" w:rsidP="00813BBC">
            <w:pPr>
              <w:pStyle w:val="Tablebullet"/>
            </w:pPr>
            <w:r w:rsidRPr="005F4149">
              <w:t>Alignment of regulatory approach (to inspections, use of powers, communications to industry, etc.)</w:t>
            </w:r>
          </w:p>
          <w:p w14:paraId="5F00710F" w14:textId="77777777" w:rsidR="005F4149" w:rsidRPr="00C4460A" w:rsidRDefault="005F4149" w:rsidP="00813BBC">
            <w:pPr>
              <w:pStyle w:val="Tablebullet"/>
            </w:pPr>
            <w:r w:rsidRPr="005F4149">
              <w:t>Clear use of inspections as part of a broader assessment process, so time spent in field is efficient and productive</w:t>
            </w:r>
          </w:p>
          <w:p w14:paraId="1539B698" w14:textId="009E9681" w:rsidR="005D061F" w:rsidRPr="00C4460A" w:rsidRDefault="005F4149" w:rsidP="00813BBC">
            <w:pPr>
              <w:pStyle w:val="Tablebullet"/>
            </w:pPr>
            <w:r w:rsidRPr="00C4460A">
              <w:t>Oversight that builds learning within each agency.</w:t>
            </w:r>
          </w:p>
        </w:tc>
      </w:tr>
      <w:tr w:rsidR="0099188F" w:rsidRPr="00C4460A" w14:paraId="02FB416C" w14:textId="77777777" w:rsidTr="33378111">
        <w:trPr>
          <w:trHeight w:val="300"/>
        </w:trPr>
        <w:tc>
          <w:tcPr>
            <w:tcW w:w="1012" w:type="pct"/>
          </w:tcPr>
          <w:p w14:paraId="4B674FBD" w14:textId="77777777" w:rsidR="0099188F" w:rsidRPr="00C4460A" w:rsidRDefault="0099188F" w:rsidP="00813BBC">
            <w:pPr>
              <w:pStyle w:val="Tabletext"/>
              <w:spacing w:before="120"/>
            </w:pPr>
            <w:r w:rsidRPr="00C4460A">
              <w:lastRenderedPageBreak/>
              <w:t>Consider the best methods to collaborate</w:t>
            </w:r>
          </w:p>
        </w:tc>
        <w:tc>
          <w:tcPr>
            <w:tcW w:w="3988" w:type="pct"/>
          </w:tcPr>
          <w:p w14:paraId="07402781" w14:textId="16BCC9DE" w:rsidR="0099188F" w:rsidRPr="00813BBC" w:rsidRDefault="636B3599" w:rsidP="00813BBC">
            <w:pPr>
              <w:rPr>
                <w:rFonts w:asciiTheme="majorHAnsi" w:hAnsiTheme="majorHAnsi"/>
              </w:rPr>
            </w:pPr>
            <w:r w:rsidRPr="00813BBC">
              <w:rPr>
                <w:rFonts w:asciiTheme="majorHAnsi" w:hAnsiTheme="majorHAnsi"/>
              </w:rPr>
              <w:t>There can be a variety of ways to share intelligence, improve monitoring, or deliver enforcement</w:t>
            </w:r>
          </w:p>
          <w:p w14:paraId="6236A869" w14:textId="77777777" w:rsidR="00813BBC" w:rsidRPr="00813BBC" w:rsidRDefault="00813BBC" w:rsidP="00813BBC">
            <w:pPr>
              <w:pStyle w:val="Tabletext"/>
              <w:rPr>
                <w:b/>
                <w:bCs/>
              </w:rPr>
            </w:pPr>
            <w:r w:rsidRPr="00813BBC">
              <w:rPr>
                <w:b/>
                <w:bCs/>
              </w:rPr>
              <w:t>Considerations:</w:t>
            </w:r>
          </w:p>
          <w:p w14:paraId="4CB65EA6" w14:textId="3170C800" w:rsidR="00402AEC" w:rsidRPr="00402AEC" w:rsidRDefault="00D12DF5" w:rsidP="009D0EFE">
            <w:pPr>
              <w:pStyle w:val="Tablebullet"/>
              <w:numPr>
                <w:ilvl w:val="0"/>
                <w:numId w:val="0"/>
              </w:numPr>
            </w:pPr>
            <w:r>
              <w:t>It is important to consider a range of approaches, depending on the issue, such as:</w:t>
            </w:r>
          </w:p>
          <w:p w14:paraId="0B59D415" w14:textId="77777777" w:rsidR="00402AEC" w:rsidRPr="00402AEC" w:rsidRDefault="00402AEC" w:rsidP="00813BBC">
            <w:pPr>
              <w:pStyle w:val="Tablebullet"/>
            </w:pPr>
            <w:r w:rsidRPr="00402AEC">
              <w:t>Desktop intelligence sharing or discussions to understand the problem</w:t>
            </w:r>
          </w:p>
          <w:p w14:paraId="1029F1F0" w14:textId="77777777" w:rsidR="00402AEC" w:rsidRPr="00402AEC" w:rsidRDefault="00402AEC" w:rsidP="00813BBC">
            <w:pPr>
              <w:pStyle w:val="Tablebullet"/>
            </w:pPr>
            <w:r w:rsidRPr="00402AEC">
              <w:t xml:space="preserve">Agreements to share industry compliance reports or records, for streamlined industry experience </w:t>
            </w:r>
          </w:p>
          <w:p w14:paraId="34334287" w14:textId="56A467A4" w:rsidR="00402AEC" w:rsidRPr="00402AEC" w:rsidRDefault="00402AEC" w:rsidP="00813BBC">
            <w:pPr>
              <w:pStyle w:val="Tablebullet"/>
            </w:pPr>
            <w:r>
              <w:t>Agencies as ‘</w:t>
            </w:r>
            <w:r w:rsidR="547B4968">
              <w:t>proxy inspectorates</w:t>
            </w:r>
            <w:r>
              <w:t xml:space="preserve">’ – </w:t>
            </w:r>
            <w:bookmarkStart w:id="28" w:name="_Int_1O9aTmjp"/>
            <w:r>
              <w:t>picking up on</w:t>
            </w:r>
            <w:bookmarkEnd w:id="28"/>
            <w:r>
              <w:t xml:space="preserve"> the other agency’s interests as part of their normal field work, and sharing information </w:t>
            </w:r>
          </w:p>
          <w:p w14:paraId="2D8C13AE" w14:textId="1E0167FC" w:rsidR="00402AEC" w:rsidRPr="00402AEC" w:rsidRDefault="00402AEC" w:rsidP="00813BBC">
            <w:pPr>
              <w:pStyle w:val="Tablebullet"/>
            </w:pPr>
            <w:r w:rsidRPr="00402AEC">
              <w:t>Joint inspections, to develop mutual understanding of an issue, coordinate approaches</w:t>
            </w:r>
            <w:r w:rsidR="00D12DF5">
              <w:t xml:space="preserve"> and</w:t>
            </w:r>
            <w:r w:rsidRPr="00402AEC">
              <w:t xml:space="preserve"> assess the compliance tools available </w:t>
            </w:r>
          </w:p>
          <w:p w14:paraId="3BDD3632" w14:textId="77777777" w:rsidR="00402AEC" w:rsidRPr="00C4460A" w:rsidRDefault="00402AEC" w:rsidP="00813BBC">
            <w:pPr>
              <w:pStyle w:val="Tablebullet"/>
            </w:pPr>
            <w:r w:rsidRPr="00402AEC">
              <w:t>Joint inspections, to demonstrate increased regulator focus on an issue</w:t>
            </w:r>
          </w:p>
          <w:p w14:paraId="556AF30E" w14:textId="756196A5" w:rsidR="005D061F" w:rsidRPr="00C4460A" w:rsidRDefault="00402AEC" w:rsidP="00813BBC">
            <w:pPr>
              <w:pStyle w:val="Tablebullet"/>
            </w:pPr>
            <w:r w:rsidRPr="00C4460A">
              <w:t>Joint activities under a problem-solving approach.</w:t>
            </w:r>
          </w:p>
        </w:tc>
      </w:tr>
      <w:tr w:rsidR="0099188F" w:rsidRPr="00C4460A" w14:paraId="4E7CF082" w14:textId="77777777" w:rsidTr="33378111">
        <w:trPr>
          <w:trHeight w:val="300"/>
        </w:trPr>
        <w:tc>
          <w:tcPr>
            <w:tcW w:w="1012" w:type="pct"/>
          </w:tcPr>
          <w:p w14:paraId="7C097DD5" w14:textId="77777777" w:rsidR="0099188F" w:rsidRPr="00C4460A" w:rsidRDefault="0099188F" w:rsidP="00813BBC">
            <w:pPr>
              <w:pStyle w:val="Tabletext"/>
              <w:spacing w:before="120"/>
            </w:pPr>
            <w:r w:rsidRPr="00C4460A">
              <w:t>Actively work to improve integration</w:t>
            </w:r>
          </w:p>
        </w:tc>
        <w:tc>
          <w:tcPr>
            <w:tcW w:w="3988" w:type="pct"/>
          </w:tcPr>
          <w:p w14:paraId="60C4E7D1" w14:textId="1FDCAB25" w:rsidR="0099188F" w:rsidRPr="00813BBC" w:rsidRDefault="63DB0DB0" w:rsidP="00813BBC">
            <w:pPr>
              <w:rPr>
                <w:rFonts w:asciiTheme="majorHAnsi" w:hAnsiTheme="majorHAnsi"/>
              </w:rPr>
            </w:pPr>
            <w:r w:rsidRPr="00813BBC">
              <w:rPr>
                <w:rFonts w:asciiTheme="majorHAnsi" w:hAnsiTheme="majorHAnsi"/>
              </w:rPr>
              <w:t>Regulator leaders may need to set up specific and visible projects to better understand and work with partners</w:t>
            </w:r>
          </w:p>
          <w:p w14:paraId="5802CFD7" w14:textId="77777777" w:rsidR="00813BBC" w:rsidRPr="00813BBC" w:rsidRDefault="00813BBC" w:rsidP="00813BBC">
            <w:pPr>
              <w:pStyle w:val="Tabletext"/>
              <w:rPr>
                <w:b/>
                <w:bCs/>
              </w:rPr>
            </w:pPr>
            <w:r w:rsidRPr="00813BBC">
              <w:rPr>
                <w:b/>
                <w:bCs/>
              </w:rPr>
              <w:t>Considerations:</w:t>
            </w:r>
          </w:p>
          <w:p w14:paraId="1DAE1880" w14:textId="5170BAEF" w:rsidR="00F16092" w:rsidRPr="00F16092" w:rsidRDefault="5B70374B" w:rsidP="00813BBC">
            <w:pPr>
              <w:pStyle w:val="Tablebullet"/>
            </w:pPr>
            <w:r>
              <w:t>Conduct initiatives to consolidate or clarify functions and activities with peers (</w:t>
            </w:r>
            <w:r w:rsidR="36DB86A5">
              <w:t>e.g.</w:t>
            </w:r>
            <w:r w:rsidR="00BA2B0D">
              <w:t>,</w:t>
            </w:r>
            <w:r>
              <w:t xml:space="preserve"> regular forums or meetings).</w:t>
            </w:r>
          </w:p>
          <w:p w14:paraId="3AEEAB96" w14:textId="77777777" w:rsidR="00F16092" w:rsidRPr="00F16092" w:rsidRDefault="5B70374B" w:rsidP="00813BBC">
            <w:pPr>
              <w:pStyle w:val="Tablebullet"/>
            </w:pPr>
            <w:r>
              <w:t xml:space="preserve">Agree official policies or memoranda of understanding around collaboration and information sharing. This could include developing agreements under the </w:t>
            </w:r>
            <w:bookmarkStart w:id="29" w:name="_Int_ovWypQZf"/>
            <w:r>
              <w:t>VPS</w:t>
            </w:r>
            <w:bookmarkEnd w:id="29"/>
            <w:r>
              <w:t xml:space="preserve"> Data Sharing Framework.</w:t>
            </w:r>
          </w:p>
          <w:p w14:paraId="71396A99" w14:textId="77777777" w:rsidR="00F16092" w:rsidRPr="00F16092" w:rsidRDefault="5B70374B" w:rsidP="00813BBC">
            <w:pPr>
              <w:pStyle w:val="Tablebullet"/>
            </w:pPr>
            <w:r>
              <w:t xml:space="preserve">Consider the </w:t>
            </w:r>
            <w:bookmarkStart w:id="30" w:name="_Int_7Wzx4Ipu"/>
            <w:r>
              <w:t>different ways</w:t>
            </w:r>
            <w:bookmarkEnd w:id="30"/>
            <w:r>
              <w:t xml:space="preserve"> to coordinate regulatory effort, including combined projects, referrals and desktop reviews, joint inspections, lead regulator models, and peer regulators monitoring or sharing information on behalf of other regulators.</w:t>
            </w:r>
          </w:p>
          <w:p w14:paraId="41BDD8C4" w14:textId="77777777" w:rsidR="00F16092" w:rsidRPr="00C4460A" w:rsidRDefault="5B70374B" w:rsidP="00813BBC">
            <w:pPr>
              <w:pStyle w:val="Tablebullet"/>
            </w:pPr>
            <w:r w:rsidRPr="4FCA2E5A">
              <w:t>Develop protocols with peer regulators and service delivery bodies, to define respective roles, and make referrals of queries straightforward for the person raising them.</w:t>
            </w:r>
          </w:p>
          <w:p w14:paraId="132D5E07" w14:textId="5908CD6E" w:rsidR="005D061F" w:rsidRPr="00C4460A" w:rsidRDefault="5B70374B" w:rsidP="00813BBC">
            <w:pPr>
              <w:pStyle w:val="Tablebullet"/>
            </w:pPr>
            <w:r w:rsidRPr="4FCA2E5A">
              <w:t>Run strategic planning sessions to coordinate activities for specific issues or in specific areas.</w:t>
            </w:r>
          </w:p>
        </w:tc>
      </w:tr>
      <w:tr w:rsidR="0099188F" w:rsidRPr="00C4460A" w14:paraId="122C7E17" w14:textId="77777777" w:rsidTr="33378111">
        <w:trPr>
          <w:trHeight w:val="300"/>
        </w:trPr>
        <w:tc>
          <w:tcPr>
            <w:tcW w:w="1012" w:type="pct"/>
          </w:tcPr>
          <w:p w14:paraId="2A238D62" w14:textId="77777777" w:rsidR="0099188F" w:rsidRPr="00C4460A" w:rsidRDefault="0099188F" w:rsidP="00813BBC">
            <w:pPr>
              <w:pStyle w:val="Tabletext"/>
              <w:spacing w:before="120"/>
            </w:pPr>
            <w:r w:rsidRPr="00C4460A">
              <w:t>Consider how to best use and share data</w:t>
            </w:r>
          </w:p>
        </w:tc>
        <w:tc>
          <w:tcPr>
            <w:tcW w:w="3988" w:type="pct"/>
          </w:tcPr>
          <w:p w14:paraId="332335B0" w14:textId="7A755481" w:rsidR="0099188F" w:rsidRPr="00813BBC" w:rsidRDefault="2BF5C7FE" w:rsidP="00813BBC">
            <w:pPr>
              <w:rPr>
                <w:rFonts w:asciiTheme="majorHAnsi" w:hAnsiTheme="majorHAnsi"/>
              </w:rPr>
            </w:pPr>
            <w:r w:rsidRPr="00813BBC">
              <w:rPr>
                <w:rFonts w:asciiTheme="majorHAnsi" w:hAnsiTheme="majorHAnsi"/>
              </w:rPr>
              <w:t>There may be a range of external data sources that regulators can leverage</w:t>
            </w:r>
          </w:p>
          <w:p w14:paraId="3AD885A9" w14:textId="77777777" w:rsidR="00813BBC" w:rsidRPr="00813BBC" w:rsidRDefault="00813BBC" w:rsidP="00813BBC">
            <w:pPr>
              <w:pStyle w:val="Tabletext"/>
              <w:rPr>
                <w:b/>
                <w:bCs/>
              </w:rPr>
            </w:pPr>
            <w:r w:rsidRPr="00813BBC">
              <w:rPr>
                <w:b/>
                <w:bCs/>
              </w:rPr>
              <w:t>Considerations:</w:t>
            </w:r>
          </w:p>
          <w:p w14:paraId="0D6F8E92" w14:textId="77777777" w:rsidR="00BD1609" w:rsidRPr="00BD1609" w:rsidRDefault="2D75B37D" w:rsidP="00813BBC">
            <w:pPr>
              <w:pStyle w:val="Tablebullet"/>
            </w:pPr>
            <w:r w:rsidRPr="4FCA2E5A">
              <w:t xml:space="preserve">Look for potential sources of external data, which may include data collected by peer regulators or other government and non-government agencies. </w:t>
            </w:r>
          </w:p>
          <w:p w14:paraId="4691FF6E" w14:textId="3BC495E6" w:rsidR="00BD1609" w:rsidRPr="00C4460A" w:rsidRDefault="2D75B37D" w:rsidP="00813BBC">
            <w:pPr>
              <w:pStyle w:val="Tablebullet"/>
            </w:pPr>
            <w:r>
              <w:t xml:space="preserve">Assess the appropriate use of this data, recognising its source, assumptions, </w:t>
            </w:r>
            <w:r w:rsidR="4E182DC8">
              <w:t>limitations,</w:t>
            </w:r>
            <w:r>
              <w:t xml:space="preserve"> and deficiencies.</w:t>
            </w:r>
          </w:p>
          <w:p w14:paraId="30F3C07E" w14:textId="36332D98" w:rsidR="005D061F" w:rsidRPr="00C4460A" w:rsidRDefault="2D75B37D" w:rsidP="00813BBC">
            <w:pPr>
              <w:pStyle w:val="Tablebullet"/>
            </w:pPr>
            <w:r>
              <w:t xml:space="preserve">Determine how to configure, </w:t>
            </w:r>
            <w:r w:rsidR="3C9157A8">
              <w:t>record,</w:t>
            </w:r>
            <w:r>
              <w:t xml:space="preserve"> and manage data, including sensitive data, to drive data quality and ability to share information with peers.</w:t>
            </w:r>
          </w:p>
        </w:tc>
      </w:tr>
      <w:tr w:rsidR="0099188F" w:rsidRPr="00C4460A" w14:paraId="1CDBA45C" w14:textId="77777777" w:rsidTr="33378111">
        <w:trPr>
          <w:trHeight w:val="300"/>
        </w:trPr>
        <w:tc>
          <w:tcPr>
            <w:tcW w:w="1012" w:type="pct"/>
          </w:tcPr>
          <w:p w14:paraId="4FEDE370" w14:textId="77777777" w:rsidR="0099188F" w:rsidRPr="00C4460A" w:rsidRDefault="0099188F" w:rsidP="00813BBC">
            <w:pPr>
              <w:pStyle w:val="Tabletext"/>
              <w:spacing w:before="120"/>
            </w:pPr>
            <w:r w:rsidRPr="00C4460A">
              <w:lastRenderedPageBreak/>
              <w:t>Critically engage with legislative limitations</w:t>
            </w:r>
          </w:p>
        </w:tc>
        <w:tc>
          <w:tcPr>
            <w:tcW w:w="3988" w:type="pct"/>
          </w:tcPr>
          <w:p w14:paraId="17ABBB74" w14:textId="0596B599" w:rsidR="0099188F" w:rsidRPr="00813BBC" w:rsidRDefault="02389843" w:rsidP="00813BBC">
            <w:pPr>
              <w:rPr>
                <w:rFonts w:asciiTheme="majorHAnsi" w:hAnsiTheme="majorHAnsi"/>
              </w:rPr>
            </w:pPr>
            <w:r w:rsidRPr="00813BBC">
              <w:rPr>
                <w:rFonts w:asciiTheme="majorHAnsi" w:hAnsiTheme="majorHAnsi"/>
              </w:rPr>
              <w:t>Regulator leaders need to be tenacious in testing data sharing limitations and separate out perceptions from reality</w:t>
            </w:r>
          </w:p>
          <w:p w14:paraId="7EA95474" w14:textId="77777777" w:rsidR="00813BBC" w:rsidRPr="00813BBC" w:rsidRDefault="00813BBC" w:rsidP="00813BBC">
            <w:pPr>
              <w:pStyle w:val="Tabletext"/>
              <w:rPr>
                <w:b/>
                <w:bCs/>
              </w:rPr>
            </w:pPr>
            <w:r w:rsidRPr="00813BBC">
              <w:rPr>
                <w:b/>
                <w:bCs/>
              </w:rPr>
              <w:t>Considerations:</w:t>
            </w:r>
          </w:p>
          <w:p w14:paraId="280B9DAC" w14:textId="77777777" w:rsidR="00603223" w:rsidRPr="00603223" w:rsidRDefault="73B6E8A8" w:rsidP="00813BBC">
            <w:pPr>
              <w:pStyle w:val="Tablebullet"/>
            </w:pPr>
            <w:r w:rsidRPr="4FCA2E5A">
              <w:t>Consider limitations for information sharing, whether these are actual or perceived, and when and how advice was asked for and given on these limitations.</w:t>
            </w:r>
          </w:p>
          <w:p w14:paraId="653E75E2" w14:textId="77777777" w:rsidR="00603223" w:rsidRPr="00C4460A" w:rsidRDefault="73B6E8A8" w:rsidP="00813BBC">
            <w:pPr>
              <w:pStyle w:val="Tablebullet"/>
            </w:pPr>
            <w:r w:rsidRPr="4FCA2E5A">
              <w:t>Review these limitations in the context of your enabling legislation, including its objectives, and your functions and powers.</w:t>
            </w:r>
          </w:p>
          <w:p w14:paraId="743B2A88" w14:textId="5B94599B" w:rsidR="005D061F" w:rsidRPr="00C4460A" w:rsidRDefault="73B6E8A8" w:rsidP="00813BBC">
            <w:pPr>
              <w:pStyle w:val="Tablebullet"/>
            </w:pPr>
            <w:r w:rsidRPr="4FCA2E5A">
              <w:t>Consider the role of culture and mindset and risk aversion in establishing views about legislative limitations.</w:t>
            </w:r>
          </w:p>
        </w:tc>
      </w:tr>
      <w:tr w:rsidR="42CA9E8D" w:rsidRPr="00C4460A" w14:paraId="5948DB61" w14:textId="77777777" w:rsidTr="33378111">
        <w:trPr>
          <w:trHeight w:val="300"/>
        </w:trPr>
        <w:tc>
          <w:tcPr>
            <w:tcW w:w="1012" w:type="pct"/>
          </w:tcPr>
          <w:p w14:paraId="45E3D0C9" w14:textId="0F6CDD89" w:rsidR="42CA9E8D" w:rsidRPr="00C4460A" w:rsidRDefault="0D4226FB" w:rsidP="00813BBC">
            <w:pPr>
              <w:pStyle w:val="Tabletext"/>
              <w:spacing w:before="120"/>
            </w:pPr>
            <w:r w:rsidRPr="00C4460A">
              <w:t>Minimise duplication when designing processes and requirements</w:t>
            </w:r>
          </w:p>
        </w:tc>
        <w:tc>
          <w:tcPr>
            <w:tcW w:w="3988" w:type="pct"/>
          </w:tcPr>
          <w:p w14:paraId="55FDD3CB" w14:textId="00DF2680" w:rsidR="42CA9E8D" w:rsidRPr="00813BBC" w:rsidRDefault="752009C5" w:rsidP="00813BBC">
            <w:pPr>
              <w:rPr>
                <w:rFonts w:asciiTheme="majorHAnsi" w:hAnsiTheme="majorHAnsi"/>
              </w:rPr>
            </w:pPr>
            <w:r w:rsidRPr="00813BBC">
              <w:rPr>
                <w:rFonts w:asciiTheme="majorHAnsi" w:hAnsiTheme="majorHAnsi"/>
              </w:rPr>
              <w:t>By</w:t>
            </w:r>
            <w:r w:rsidR="0D4226FB" w:rsidRPr="00813BBC">
              <w:rPr>
                <w:rFonts w:asciiTheme="majorHAnsi" w:hAnsiTheme="majorHAnsi"/>
              </w:rPr>
              <w:t xml:space="preserve"> viewing a duty holder as </w:t>
            </w:r>
            <w:r w:rsidRPr="00813BBC">
              <w:rPr>
                <w:rFonts w:asciiTheme="majorHAnsi" w:hAnsiTheme="majorHAnsi"/>
              </w:rPr>
              <w:t xml:space="preserve">wanting to engage with ’one </w:t>
            </w:r>
            <w:r w:rsidR="706A3D3B" w:rsidRPr="00813BBC">
              <w:rPr>
                <w:rFonts w:asciiTheme="majorHAnsi" w:hAnsiTheme="majorHAnsi"/>
              </w:rPr>
              <w:t>government’</w:t>
            </w:r>
            <w:r w:rsidRPr="00813BBC">
              <w:rPr>
                <w:rFonts w:asciiTheme="majorHAnsi" w:hAnsiTheme="majorHAnsi"/>
              </w:rPr>
              <w:t xml:space="preserve"> regulators can streamline their experiences</w:t>
            </w:r>
          </w:p>
          <w:p w14:paraId="27B495AB" w14:textId="77777777" w:rsidR="00813BBC" w:rsidRPr="00813BBC" w:rsidRDefault="00813BBC" w:rsidP="00813BBC">
            <w:pPr>
              <w:pStyle w:val="Tabletext"/>
              <w:rPr>
                <w:b/>
                <w:bCs/>
              </w:rPr>
            </w:pPr>
            <w:r w:rsidRPr="00813BBC">
              <w:rPr>
                <w:b/>
                <w:bCs/>
              </w:rPr>
              <w:t>Considerations:</w:t>
            </w:r>
          </w:p>
          <w:p w14:paraId="62EBD487" w14:textId="77777777" w:rsidR="00053432" w:rsidRPr="00053432" w:rsidRDefault="263E9E88" w:rsidP="00813BBC">
            <w:pPr>
              <w:pStyle w:val="Tablebullet"/>
            </w:pPr>
            <w:r w:rsidRPr="4FCA2E5A">
              <w:t>Design the approach to inspections and other assessments to complement and not duplicate the information from these sources.</w:t>
            </w:r>
          </w:p>
          <w:p w14:paraId="0C452732" w14:textId="618FC974" w:rsidR="00053432" w:rsidRPr="00053432" w:rsidRDefault="263E9E88" w:rsidP="00813BBC">
            <w:pPr>
              <w:pStyle w:val="Tablebullet"/>
            </w:pPr>
            <w:r>
              <w:t>Ensure data security and information privacy in the design of regulatory processes and reporting. This may involve an agreement from duty holders and the community to have their information shared to improve compliance targeting and to streamline interactions</w:t>
            </w:r>
            <w:r w:rsidR="3750651B">
              <w:t xml:space="preserve">. </w:t>
            </w:r>
          </w:p>
          <w:p w14:paraId="53FD6F12" w14:textId="77777777" w:rsidR="00053432" w:rsidRPr="00053432" w:rsidRDefault="263E9E88" w:rsidP="00813BBC">
            <w:pPr>
              <w:pStyle w:val="Tablebullet"/>
            </w:pPr>
            <w:r w:rsidRPr="4FCA2E5A">
              <w:t>Seek proxy indicators of risk from other regulators or datasets, to streamline the information you request.</w:t>
            </w:r>
          </w:p>
          <w:p w14:paraId="3C7D1E36" w14:textId="4E31E2C7" w:rsidR="00053432" w:rsidRPr="00C4460A" w:rsidRDefault="263E9E88" w:rsidP="00813BBC">
            <w:pPr>
              <w:pStyle w:val="Tablebullet"/>
            </w:pPr>
            <w:r>
              <w:t>Take opportunities to limit duty holder information requests to what is required under law, or is necessary to assess risks, considering what duty holders have already provided to government</w:t>
            </w:r>
            <w:r w:rsidR="17ED85E7">
              <w:t xml:space="preserve">. </w:t>
            </w:r>
          </w:p>
          <w:p w14:paraId="1D648CEC" w14:textId="057A362D" w:rsidR="005D061F" w:rsidRPr="00C4460A" w:rsidRDefault="263E9E88" w:rsidP="00813BBC">
            <w:pPr>
              <w:pStyle w:val="Tablebullet"/>
            </w:pPr>
            <w:r w:rsidRPr="4FCA2E5A">
              <w:t>Consider alternatives to inspections to assess the compliance and risk profile of duty holders, including information from other regulators or other data sets.</w:t>
            </w:r>
          </w:p>
        </w:tc>
      </w:tr>
    </w:tbl>
    <w:p w14:paraId="58A7E5DE" w14:textId="51E5B0E4" w:rsidR="00844244" w:rsidRDefault="00844244" w:rsidP="00813BBC"/>
    <w:p w14:paraId="046FD908" w14:textId="2D4F94BE" w:rsidR="00DB5F6A" w:rsidRDefault="00844244" w:rsidP="00844244">
      <w:pPr>
        <w:keepLines w:val="0"/>
        <w:spacing w:before="0" w:after="160" w:line="259" w:lineRule="auto"/>
      </w:pPr>
      <w:r>
        <w:br w:type="page"/>
      </w:r>
    </w:p>
    <w:p w14:paraId="0C88371F" w14:textId="087C9945" w:rsidR="00894CEC" w:rsidRPr="002A4428" w:rsidRDefault="00894CEC" w:rsidP="00DA5ABA">
      <w:pPr>
        <w:pStyle w:val="Principle"/>
      </w:pPr>
      <w:bookmarkStart w:id="31" w:name="_Toc100589355"/>
      <w:bookmarkStart w:id="32" w:name="_Hlk89784494"/>
      <w:r w:rsidRPr="002A4428">
        <w:lastRenderedPageBreak/>
        <w:t>Be transparent and accountable for how you perform your activities</w:t>
      </w:r>
      <w:bookmarkEnd w:id="31"/>
      <w:r w:rsidRPr="002A4428">
        <w:t xml:space="preserve"> </w:t>
      </w:r>
      <w:bookmarkEnd w:id="32"/>
    </w:p>
    <w:p w14:paraId="13A23AB9" w14:textId="77777777" w:rsidR="0099188F" w:rsidRPr="0099188F" w:rsidRDefault="0099188F" w:rsidP="00DA5ABA">
      <w:r w:rsidRPr="0099188F">
        <w:t>The sub-elements of principle nine relate to the major areas of decision-making where regulators should ensure they demonstrate procedural fairness, and the broader communication practices to support accountability and provide for feedback.</w:t>
      </w:r>
    </w:p>
    <w:p w14:paraId="71B60736" w14:textId="627151E9" w:rsidR="0099188F" w:rsidRPr="0099188F" w:rsidRDefault="0099188F" w:rsidP="00DA5ABA">
      <w:r w:rsidRPr="0099188F">
        <w:t>The appropriate approach will be influenced by the scope, requirements and limitations of the relevant legislation, the type of duty holders and the nature of the regulator’s relationships to them. In general, when following this principle</w:t>
      </w:r>
      <w:r w:rsidR="004F585E">
        <w:t>,</w:t>
      </w:r>
      <w:r w:rsidRPr="0099188F">
        <w:t xml:space="preserve"> regulators should seek opportunities to increase duty holder certainty and confidence about the regulator acting fairly. </w:t>
      </w:r>
    </w:p>
    <w:p w14:paraId="77C63F10" w14:textId="59B0394B" w:rsidR="0099188F" w:rsidRPr="0099188F" w:rsidRDefault="002B4808" w:rsidP="00DA5ABA">
      <w:r w:rsidRPr="002B4808">
        <w:t xml:space="preserve">To help meet this principle, consider engaging staff to develop processes or documents outlining: </w:t>
      </w:r>
    </w:p>
    <w:p w14:paraId="0B6E4F50" w14:textId="6B48E169" w:rsidR="0099188F" w:rsidRPr="0099188F" w:rsidRDefault="0099188F" w:rsidP="00DA5ABA">
      <w:pPr>
        <w:pStyle w:val="Bullet1"/>
      </w:pPr>
      <w:r w:rsidRPr="0099188F">
        <w:t xml:space="preserve">A Compliance and Enforcement Policy (or equivalent) that articulates how </w:t>
      </w:r>
      <w:r w:rsidR="00D12DF5">
        <w:t>you</w:t>
      </w:r>
      <w:r w:rsidR="00D12DF5" w:rsidRPr="0099188F">
        <w:t xml:space="preserve"> </w:t>
      </w:r>
      <w:r w:rsidRPr="0099188F">
        <w:t xml:space="preserve">seek compliance, apply </w:t>
      </w:r>
      <w:r w:rsidR="00E96EF1">
        <w:t>y</w:t>
      </w:r>
      <w:r w:rsidRPr="0099188F">
        <w:t>our discretion, and respond to non-compliance with remedy and sanctions</w:t>
      </w:r>
    </w:p>
    <w:p w14:paraId="21E56557" w14:textId="292DBCE2" w:rsidR="0099188F" w:rsidRPr="0099188F" w:rsidRDefault="0099188F" w:rsidP="00DA5ABA">
      <w:pPr>
        <w:pStyle w:val="Bullet1"/>
      </w:pPr>
      <w:r w:rsidRPr="0099188F">
        <w:t xml:space="preserve">How to query or challenge regulatory decisions, or make complaints </w:t>
      </w:r>
    </w:p>
    <w:p w14:paraId="786D73B3" w14:textId="356407CC" w:rsidR="0099188F" w:rsidRDefault="0099188F" w:rsidP="00DA5ABA">
      <w:pPr>
        <w:pStyle w:val="Bullet1"/>
      </w:pPr>
      <w:r w:rsidRPr="0099188F">
        <w:t xml:space="preserve">How to access information on </w:t>
      </w:r>
      <w:r w:rsidR="00D12DF5">
        <w:t xml:space="preserve">your </w:t>
      </w:r>
      <w:r w:rsidRPr="0099188F">
        <w:t>regulatory activities or actions</w:t>
      </w:r>
    </w:p>
    <w:p w14:paraId="0751823E" w14:textId="77777777" w:rsidR="0099188F" w:rsidRPr="0099188F" w:rsidRDefault="0099188F" w:rsidP="00DA5ABA">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980"/>
        <w:gridCol w:w="7044"/>
      </w:tblGrid>
      <w:tr w:rsidR="0099188F" w:rsidRPr="00C4460A" w14:paraId="5A91FB40"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97" w:type="pct"/>
          </w:tcPr>
          <w:p w14:paraId="1D7B2369" w14:textId="77777777" w:rsidR="0099188F" w:rsidRPr="00C4460A" w:rsidRDefault="0099188F" w:rsidP="00DA5ABA">
            <w:pPr>
              <w:pStyle w:val="Tableheader"/>
            </w:pPr>
            <w:r w:rsidRPr="00C4460A">
              <w:t xml:space="preserve">Action area </w:t>
            </w:r>
          </w:p>
        </w:tc>
        <w:tc>
          <w:tcPr>
            <w:tcW w:w="3903" w:type="pct"/>
          </w:tcPr>
          <w:p w14:paraId="180A34A2" w14:textId="5F58A748" w:rsidR="0099188F" w:rsidRPr="00C4460A" w:rsidRDefault="009A59D6" w:rsidP="00DA5ABA">
            <w:pPr>
              <w:pStyle w:val="Tableheader"/>
            </w:pPr>
            <w:r w:rsidRPr="00C4460A">
              <w:t xml:space="preserve">Rationale and </w:t>
            </w:r>
            <w:r w:rsidR="00DA5ABA" w:rsidRPr="00C4460A">
              <w:t>considerations for implementing</w:t>
            </w:r>
          </w:p>
        </w:tc>
      </w:tr>
      <w:tr w:rsidR="0099188F" w:rsidRPr="00C4460A" w14:paraId="39052182" w14:textId="77777777" w:rsidTr="33378111">
        <w:trPr>
          <w:trHeight w:val="300"/>
        </w:trPr>
        <w:tc>
          <w:tcPr>
            <w:tcW w:w="1097" w:type="pct"/>
          </w:tcPr>
          <w:p w14:paraId="2D609C45" w14:textId="77777777" w:rsidR="0099188F" w:rsidRPr="00C4460A" w:rsidRDefault="0099188F" w:rsidP="00DA5ABA">
            <w:pPr>
              <w:pStyle w:val="Tabletext"/>
              <w:spacing w:before="120"/>
            </w:pPr>
            <w:r w:rsidRPr="00C4460A">
              <w:t>Make clear commitments about engagement</w:t>
            </w:r>
          </w:p>
        </w:tc>
        <w:tc>
          <w:tcPr>
            <w:tcW w:w="3903" w:type="pct"/>
          </w:tcPr>
          <w:p w14:paraId="15C522A0" w14:textId="1E10578C" w:rsidR="0099188F" w:rsidRPr="00DA5ABA" w:rsidRDefault="1D27285D" w:rsidP="00DA5ABA">
            <w:pPr>
              <w:rPr>
                <w:rFonts w:asciiTheme="majorHAnsi" w:hAnsiTheme="majorHAnsi"/>
              </w:rPr>
            </w:pPr>
            <w:r w:rsidRPr="00DA5ABA">
              <w:rPr>
                <w:rFonts w:asciiTheme="majorHAnsi" w:hAnsiTheme="majorHAnsi"/>
              </w:rPr>
              <w:t>Publications about what to expect and how to engage with the regulator can help increase accountability and transparency</w:t>
            </w:r>
          </w:p>
          <w:p w14:paraId="61404C22" w14:textId="77777777" w:rsidR="00DA5ABA" w:rsidRPr="00813BBC" w:rsidRDefault="00DA5ABA" w:rsidP="00DA5ABA">
            <w:pPr>
              <w:pStyle w:val="Tabletext"/>
              <w:rPr>
                <w:b/>
                <w:bCs/>
              </w:rPr>
            </w:pPr>
            <w:r w:rsidRPr="00813BBC">
              <w:rPr>
                <w:b/>
                <w:bCs/>
              </w:rPr>
              <w:t>Considerations:</w:t>
            </w:r>
          </w:p>
          <w:p w14:paraId="7DB877E0" w14:textId="52FF93DC" w:rsidR="00B46B8F" w:rsidRPr="00B46B8F" w:rsidRDefault="737CD41C" w:rsidP="00DA5ABA">
            <w:pPr>
              <w:pStyle w:val="Tablebullet"/>
            </w:pPr>
            <w:r>
              <w:t xml:space="preserve">Identify increase duty holder certainty and confidence, through published policies, statements of regulatory intent, </w:t>
            </w:r>
            <w:r w:rsidR="03E19FF7">
              <w:t>standards,</w:t>
            </w:r>
            <w:r>
              <w:t xml:space="preserve"> and operational practices.</w:t>
            </w:r>
          </w:p>
          <w:p w14:paraId="28DBB9B2" w14:textId="77777777" w:rsidR="00B46B8F" w:rsidRPr="00B46B8F" w:rsidRDefault="778D34E1" w:rsidP="00DA5ABA">
            <w:pPr>
              <w:pStyle w:val="Tablebullet"/>
            </w:pPr>
            <w:r w:rsidRPr="4FCA2E5A">
              <w:t xml:space="preserve">Develop policies or charters that clarify engagement commitments, the types of decisions where duty holder or community consultation will occur, and the level and approaches to consultation. </w:t>
            </w:r>
          </w:p>
          <w:p w14:paraId="13999335" w14:textId="77777777" w:rsidR="00B46B8F" w:rsidRPr="00C4460A" w:rsidRDefault="778D34E1" w:rsidP="00DA5ABA">
            <w:pPr>
              <w:pStyle w:val="Tablebullet"/>
            </w:pPr>
            <w:r w:rsidRPr="4FCA2E5A">
              <w:t>Make statements clear and easily accessible through a range of channels.</w:t>
            </w:r>
          </w:p>
          <w:p w14:paraId="6E57CA9F" w14:textId="1ACAA105" w:rsidR="00B46B8F" w:rsidRPr="00C4460A" w:rsidRDefault="737CD41C" w:rsidP="00DA5ABA">
            <w:pPr>
              <w:pStyle w:val="Tablebullet"/>
              <w:rPr>
                <w:b/>
                <w:bCs/>
              </w:rPr>
            </w:pPr>
            <w:r>
              <w:t xml:space="preserve">Have </w:t>
            </w:r>
            <w:r w:rsidR="45C5F751">
              <w:t>regard</w:t>
            </w:r>
            <w:r>
              <w:t xml:space="preserve"> to how you will engage vulnerable or disadvantaged groups affected by their regulatory decisions.</w:t>
            </w:r>
          </w:p>
        </w:tc>
      </w:tr>
      <w:tr w:rsidR="0099188F" w:rsidRPr="00C4460A" w14:paraId="6C308DD9" w14:textId="77777777" w:rsidTr="33378111">
        <w:trPr>
          <w:trHeight w:val="300"/>
        </w:trPr>
        <w:tc>
          <w:tcPr>
            <w:tcW w:w="1097" w:type="pct"/>
          </w:tcPr>
          <w:p w14:paraId="14E359DC" w14:textId="77777777" w:rsidR="0099188F" w:rsidRPr="00C4460A" w:rsidRDefault="0099188F" w:rsidP="00DA5ABA">
            <w:pPr>
              <w:pStyle w:val="Tabletext"/>
              <w:spacing w:before="120"/>
            </w:pPr>
            <w:r w:rsidRPr="00C4460A">
              <w:lastRenderedPageBreak/>
              <w:t>Welcome scrutiny through formalised channels</w:t>
            </w:r>
          </w:p>
        </w:tc>
        <w:tc>
          <w:tcPr>
            <w:tcW w:w="3903" w:type="pct"/>
          </w:tcPr>
          <w:p w14:paraId="08F77B2E" w14:textId="73FB5997" w:rsidR="0099188F" w:rsidRPr="00DA5ABA" w:rsidRDefault="6AEFB433" w:rsidP="00DA5ABA">
            <w:pPr>
              <w:rPr>
                <w:rFonts w:asciiTheme="majorHAnsi" w:hAnsiTheme="majorHAnsi"/>
              </w:rPr>
            </w:pPr>
            <w:r w:rsidRPr="00DA5ABA">
              <w:rPr>
                <w:rFonts w:asciiTheme="majorHAnsi" w:hAnsiTheme="majorHAnsi"/>
              </w:rPr>
              <w:t>Duty holders should be able to query relevant decisions and feel they can safely enquire as to what is expected of them</w:t>
            </w:r>
          </w:p>
          <w:p w14:paraId="35F189E6" w14:textId="77777777" w:rsidR="00DA5ABA" w:rsidRPr="00813BBC" w:rsidRDefault="00DA5ABA" w:rsidP="00DA5ABA">
            <w:pPr>
              <w:pStyle w:val="Tabletext"/>
              <w:rPr>
                <w:b/>
                <w:bCs/>
              </w:rPr>
            </w:pPr>
            <w:r w:rsidRPr="00813BBC">
              <w:rPr>
                <w:b/>
                <w:bCs/>
              </w:rPr>
              <w:t>Considerations:</w:t>
            </w:r>
          </w:p>
          <w:p w14:paraId="50F92A80" w14:textId="1579A24F" w:rsidR="000E5BC0" w:rsidRPr="000E5BC0" w:rsidRDefault="181C0A3B" w:rsidP="00DA5ABA">
            <w:pPr>
              <w:pStyle w:val="Tablebullet"/>
            </w:pPr>
            <w:r>
              <w:t xml:space="preserve">Help duty holders to feel that they </w:t>
            </w:r>
            <w:r w:rsidR="4D607C9D">
              <w:t>can</w:t>
            </w:r>
            <w:r>
              <w:t xml:space="preserve"> seek information without fear of triggering disproportionate enforcement action.</w:t>
            </w:r>
          </w:p>
          <w:p w14:paraId="01E06132" w14:textId="77777777" w:rsidR="000E5BC0" w:rsidRPr="000E5BC0" w:rsidRDefault="3B56E483" w:rsidP="00DA5ABA">
            <w:pPr>
              <w:pStyle w:val="Tablebullet"/>
            </w:pPr>
            <w:r w:rsidRPr="4FCA2E5A">
              <w:t>Establish appropriate and valuable feedback mechanisms. This may include experience surveys, industry reference groups, and conduct complaints.</w:t>
            </w:r>
          </w:p>
          <w:p w14:paraId="147F7ACC" w14:textId="77777777" w:rsidR="000E5BC0" w:rsidRPr="00C4460A" w:rsidRDefault="3B56E483" w:rsidP="00DA5ABA">
            <w:pPr>
              <w:pStyle w:val="Tablebullet"/>
            </w:pPr>
            <w:r w:rsidRPr="4FCA2E5A">
              <w:t>Make information on complaints and internal reviews easy to access and transparent, such as through prominent web pages, and communications with remedial notices or other regulatory actions.</w:t>
            </w:r>
          </w:p>
          <w:p w14:paraId="70FB1A65" w14:textId="4D501697" w:rsidR="000F1126" w:rsidRPr="00C4460A" w:rsidRDefault="3B56E483" w:rsidP="00DA5ABA">
            <w:pPr>
              <w:pStyle w:val="Tablebullet"/>
            </w:pPr>
            <w:r w:rsidRPr="4FCA2E5A">
              <w:t>Seek opportunities to routinely gather feedback from those involved in regulatory actions or processes, such as reference groups, and use this feedback to improve delivery.</w:t>
            </w:r>
          </w:p>
        </w:tc>
      </w:tr>
      <w:tr w:rsidR="0099188F" w:rsidRPr="00C4460A" w14:paraId="1475E2C7" w14:textId="77777777" w:rsidTr="33378111">
        <w:trPr>
          <w:trHeight w:val="300"/>
        </w:trPr>
        <w:tc>
          <w:tcPr>
            <w:tcW w:w="1097" w:type="pct"/>
          </w:tcPr>
          <w:p w14:paraId="1DBEB319" w14:textId="77777777" w:rsidR="0099188F" w:rsidRPr="00C4460A" w:rsidRDefault="0099188F" w:rsidP="00DA5ABA">
            <w:pPr>
              <w:pStyle w:val="Tabletext"/>
              <w:spacing w:before="120"/>
            </w:pPr>
            <w:r w:rsidRPr="00C4460A">
              <w:t>Respect human rights</w:t>
            </w:r>
          </w:p>
        </w:tc>
        <w:tc>
          <w:tcPr>
            <w:tcW w:w="3903" w:type="pct"/>
          </w:tcPr>
          <w:p w14:paraId="73CEB2C0" w14:textId="66734D43" w:rsidR="0099188F" w:rsidRPr="00DA5ABA" w:rsidRDefault="562C751F" w:rsidP="00DA5ABA">
            <w:pPr>
              <w:rPr>
                <w:rFonts w:asciiTheme="majorHAnsi" w:hAnsiTheme="majorHAnsi"/>
              </w:rPr>
            </w:pPr>
            <w:r w:rsidRPr="00DA5ABA">
              <w:rPr>
                <w:rFonts w:asciiTheme="majorHAnsi" w:hAnsiTheme="majorHAnsi"/>
              </w:rPr>
              <w:t xml:space="preserve">Regulators must follow the Victorian Charter of Human Rights, </w:t>
            </w:r>
            <w:r w:rsidR="28F10265" w:rsidRPr="00DA5ABA">
              <w:rPr>
                <w:rFonts w:asciiTheme="majorHAnsi" w:hAnsiTheme="majorHAnsi"/>
              </w:rPr>
              <w:t xml:space="preserve">which is </w:t>
            </w:r>
            <w:r w:rsidRPr="00DA5ABA">
              <w:rPr>
                <w:rFonts w:asciiTheme="majorHAnsi" w:hAnsiTheme="majorHAnsi"/>
              </w:rPr>
              <w:t xml:space="preserve">especially </w:t>
            </w:r>
            <w:r w:rsidR="45F5C3F2" w:rsidRPr="00DA5ABA">
              <w:rPr>
                <w:rFonts w:asciiTheme="majorHAnsi" w:hAnsiTheme="majorHAnsi"/>
              </w:rPr>
              <w:t>important when exercising powers</w:t>
            </w:r>
          </w:p>
          <w:p w14:paraId="4109D0AF" w14:textId="77777777" w:rsidR="00DA5ABA" w:rsidRPr="00813BBC" w:rsidRDefault="00DA5ABA" w:rsidP="00DA5ABA">
            <w:pPr>
              <w:pStyle w:val="Tabletext"/>
              <w:rPr>
                <w:b/>
                <w:bCs/>
              </w:rPr>
            </w:pPr>
            <w:r w:rsidRPr="00813BBC">
              <w:rPr>
                <w:b/>
                <w:bCs/>
              </w:rPr>
              <w:t>Considerations:</w:t>
            </w:r>
          </w:p>
          <w:p w14:paraId="37E983E6" w14:textId="2D1EA448" w:rsidR="00310FFD" w:rsidRPr="00C4460A" w:rsidRDefault="00310FFD" w:rsidP="00DA5ABA">
            <w:pPr>
              <w:pStyle w:val="Tablebullet"/>
            </w:pPr>
            <w:r w:rsidRPr="00C4460A">
              <w:t>Ensure policies and practices are consistent with the Victorian Charter of Human Rights Charter, such as when making decisions that are coercive or impose restrictions on movement or expression.</w:t>
            </w:r>
          </w:p>
        </w:tc>
      </w:tr>
      <w:tr w:rsidR="0099188F" w:rsidRPr="00C4460A" w14:paraId="29ED2E5E" w14:textId="77777777" w:rsidTr="33378111">
        <w:trPr>
          <w:trHeight w:val="300"/>
        </w:trPr>
        <w:tc>
          <w:tcPr>
            <w:tcW w:w="1097" w:type="pct"/>
          </w:tcPr>
          <w:p w14:paraId="0989A611" w14:textId="77777777" w:rsidR="0099188F" w:rsidRPr="00C4460A" w:rsidRDefault="0099188F" w:rsidP="00DA5ABA">
            <w:pPr>
              <w:pStyle w:val="Tabletext"/>
              <w:spacing w:before="120"/>
            </w:pPr>
            <w:r w:rsidRPr="00C4460A">
              <w:t>Embed commitments into practice</w:t>
            </w:r>
          </w:p>
        </w:tc>
        <w:tc>
          <w:tcPr>
            <w:tcW w:w="3903" w:type="pct"/>
          </w:tcPr>
          <w:p w14:paraId="7BC1D3A5" w14:textId="40E33B57" w:rsidR="0099188F" w:rsidRPr="00DA5ABA" w:rsidRDefault="131DDC6C" w:rsidP="33378111">
            <w:pPr>
              <w:rPr>
                <w:rFonts w:asciiTheme="majorHAnsi" w:hAnsiTheme="majorHAnsi"/>
              </w:rPr>
            </w:pPr>
            <w:r w:rsidRPr="33378111">
              <w:rPr>
                <w:rFonts w:asciiTheme="majorHAnsi" w:hAnsiTheme="majorHAnsi"/>
              </w:rPr>
              <w:t xml:space="preserve">Training, </w:t>
            </w:r>
            <w:r w:rsidR="6E81A9CF" w:rsidRPr="33378111">
              <w:rPr>
                <w:rFonts w:asciiTheme="majorHAnsi" w:hAnsiTheme="majorHAnsi"/>
              </w:rPr>
              <w:t>policies,</w:t>
            </w:r>
            <w:r w:rsidRPr="33378111">
              <w:rPr>
                <w:rFonts w:asciiTheme="majorHAnsi" w:hAnsiTheme="majorHAnsi"/>
              </w:rPr>
              <w:t xml:space="preserve"> and accountabilities are usually required to ensure commitments </w:t>
            </w:r>
            <w:r w:rsidR="2C1266FA" w:rsidRPr="33378111">
              <w:rPr>
                <w:rFonts w:asciiTheme="majorHAnsi" w:hAnsiTheme="majorHAnsi"/>
              </w:rPr>
              <w:t>a</w:t>
            </w:r>
            <w:r w:rsidRPr="33378111">
              <w:rPr>
                <w:rFonts w:asciiTheme="majorHAnsi" w:hAnsiTheme="majorHAnsi"/>
              </w:rPr>
              <w:t xml:space="preserve">re met </w:t>
            </w:r>
          </w:p>
          <w:p w14:paraId="7BEA4EFC" w14:textId="77777777" w:rsidR="00DA5ABA" w:rsidRPr="00813BBC" w:rsidRDefault="00DA5ABA" w:rsidP="00DA5ABA">
            <w:pPr>
              <w:pStyle w:val="Tabletext"/>
              <w:rPr>
                <w:b/>
                <w:bCs/>
              </w:rPr>
            </w:pPr>
            <w:r w:rsidRPr="00813BBC">
              <w:rPr>
                <w:b/>
                <w:bCs/>
              </w:rPr>
              <w:t>Considerations:</w:t>
            </w:r>
          </w:p>
          <w:p w14:paraId="683C9D3F" w14:textId="77777777" w:rsidR="00C86BD6" w:rsidRPr="00C86BD6" w:rsidRDefault="723A09C4" w:rsidP="00DA5ABA">
            <w:pPr>
              <w:pStyle w:val="Tablebullet"/>
            </w:pPr>
            <w:r w:rsidRPr="4FCA2E5A">
              <w:t>Develop the policies, training, quality assurance measures, feedback mechanisms and change management activities required to support procedurally fair conduct and decision-making.</w:t>
            </w:r>
          </w:p>
          <w:p w14:paraId="78696F99" w14:textId="77777777" w:rsidR="00C86BD6" w:rsidRPr="00C86BD6" w:rsidRDefault="723A09C4" w:rsidP="00DA5ABA">
            <w:pPr>
              <w:pStyle w:val="Tablebullet"/>
            </w:pPr>
            <w:r w:rsidRPr="4FCA2E5A">
              <w:t>Assign accountabilities for addressing delivery of consultation commitments, and response to the insights of reference groups and surveys, where this is appropriate.</w:t>
            </w:r>
          </w:p>
          <w:p w14:paraId="778D1D5F" w14:textId="77777777" w:rsidR="00C86BD6" w:rsidRPr="00C4460A" w:rsidRDefault="723A09C4" w:rsidP="00DA5ABA">
            <w:pPr>
              <w:pStyle w:val="Tablebullet"/>
            </w:pPr>
            <w:r w:rsidRPr="4FCA2E5A">
              <w:t>Establish protocols and leadership commitments around the management of duty holder complaints and queries about decisions by regulatory officers.</w:t>
            </w:r>
          </w:p>
          <w:p w14:paraId="00B48F61" w14:textId="6FC87067" w:rsidR="00C86BD6" w:rsidRPr="00C4460A" w:rsidRDefault="723A09C4" w:rsidP="00DA5ABA">
            <w:pPr>
              <w:pStyle w:val="Tablebullet"/>
            </w:pPr>
            <w:r w:rsidRPr="4FCA2E5A">
              <w:t>Have clear policies, processes and roles and responsibilities for review of decisions and complaints, with appropriate timeframes and feedback mechanisms.</w:t>
            </w:r>
          </w:p>
        </w:tc>
      </w:tr>
      <w:tr w:rsidR="0099188F" w:rsidRPr="00C4460A" w14:paraId="2346BAAD" w14:textId="77777777" w:rsidTr="33378111">
        <w:trPr>
          <w:trHeight w:val="300"/>
        </w:trPr>
        <w:tc>
          <w:tcPr>
            <w:tcW w:w="1097" w:type="pct"/>
          </w:tcPr>
          <w:p w14:paraId="0B18937C" w14:textId="77777777" w:rsidR="0099188F" w:rsidRPr="00C4460A" w:rsidRDefault="0099188F" w:rsidP="00DA5ABA">
            <w:pPr>
              <w:pStyle w:val="Tabletext"/>
              <w:spacing w:before="120"/>
            </w:pPr>
            <w:r w:rsidRPr="00C4460A">
              <w:lastRenderedPageBreak/>
              <w:t>Manage risk of capture or undue influence</w:t>
            </w:r>
          </w:p>
        </w:tc>
        <w:tc>
          <w:tcPr>
            <w:tcW w:w="3903" w:type="pct"/>
          </w:tcPr>
          <w:p w14:paraId="7BE67499" w14:textId="1244D0A4" w:rsidR="0099188F" w:rsidRPr="00DA5ABA" w:rsidRDefault="3F06F805" w:rsidP="00DA5ABA">
            <w:pPr>
              <w:rPr>
                <w:rFonts w:asciiTheme="majorHAnsi" w:hAnsiTheme="majorHAnsi"/>
              </w:rPr>
            </w:pPr>
            <w:r w:rsidRPr="00DA5ABA">
              <w:rPr>
                <w:rFonts w:asciiTheme="majorHAnsi" w:hAnsiTheme="majorHAnsi"/>
              </w:rPr>
              <w:t xml:space="preserve">Regulators need to monitor and manage these risks to ensure independence and integrity </w:t>
            </w:r>
          </w:p>
          <w:p w14:paraId="35438BFE" w14:textId="77777777" w:rsidR="00DA5ABA" w:rsidRPr="00813BBC" w:rsidRDefault="00DA5ABA" w:rsidP="00DA5ABA">
            <w:pPr>
              <w:pStyle w:val="Tabletext"/>
              <w:rPr>
                <w:b/>
                <w:bCs/>
              </w:rPr>
            </w:pPr>
            <w:r w:rsidRPr="00813BBC">
              <w:rPr>
                <w:b/>
                <w:bCs/>
              </w:rPr>
              <w:t>Considerations:</w:t>
            </w:r>
          </w:p>
          <w:p w14:paraId="0EE8CDED" w14:textId="77777777" w:rsidR="0053513F" w:rsidRPr="00C4460A" w:rsidRDefault="734D5698" w:rsidP="00DA5ABA">
            <w:pPr>
              <w:pStyle w:val="Tablebullet"/>
            </w:pPr>
            <w:r w:rsidRPr="4FCA2E5A">
              <w:t>Have in place appropriate internal scrutiny, integrity, governance, and cultural practices to detect and mitigate against risk of regulatory capture.</w:t>
            </w:r>
          </w:p>
          <w:p w14:paraId="48DEB807" w14:textId="38AAE390" w:rsidR="0053513F" w:rsidRPr="00C4460A" w:rsidRDefault="734D5698" w:rsidP="00DA5ABA">
            <w:pPr>
              <w:pStyle w:val="Tablebullet"/>
            </w:pPr>
            <w:r w:rsidRPr="4FCA2E5A">
              <w:t>Ensure that in the instance of complaints or queries about regulatory decisions, officer decision-making is supported by leaders, and any reviews are transparent.</w:t>
            </w:r>
          </w:p>
        </w:tc>
      </w:tr>
      <w:tr w:rsidR="0099188F" w:rsidRPr="00C4460A" w14:paraId="33ACCC9C" w14:textId="77777777" w:rsidTr="33378111">
        <w:trPr>
          <w:trHeight w:val="300"/>
        </w:trPr>
        <w:tc>
          <w:tcPr>
            <w:tcW w:w="1097" w:type="pct"/>
          </w:tcPr>
          <w:p w14:paraId="6B743DA3" w14:textId="77777777" w:rsidR="0099188F" w:rsidRPr="00C4460A" w:rsidRDefault="0099188F" w:rsidP="00DA5ABA">
            <w:pPr>
              <w:pStyle w:val="Tabletext"/>
              <w:spacing w:before="120"/>
            </w:pPr>
            <w:r w:rsidRPr="00C4460A">
              <w:t>Be fair and transparent about decisions</w:t>
            </w:r>
          </w:p>
        </w:tc>
        <w:tc>
          <w:tcPr>
            <w:tcW w:w="3903" w:type="pct"/>
          </w:tcPr>
          <w:p w14:paraId="71BE8EDA" w14:textId="64122CFE" w:rsidR="0099188F" w:rsidRPr="00DA5ABA" w:rsidRDefault="3C81530A" w:rsidP="00DA5ABA">
            <w:pPr>
              <w:rPr>
                <w:rFonts w:asciiTheme="majorHAnsi" w:hAnsiTheme="majorHAnsi"/>
              </w:rPr>
            </w:pPr>
            <w:r w:rsidRPr="00DA5ABA">
              <w:rPr>
                <w:rFonts w:asciiTheme="majorHAnsi" w:hAnsiTheme="majorHAnsi"/>
              </w:rPr>
              <w:t xml:space="preserve">Procedural </w:t>
            </w:r>
            <w:r w:rsidR="00A258A4">
              <w:rPr>
                <w:rFonts w:asciiTheme="majorHAnsi" w:hAnsiTheme="majorHAnsi"/>
              </w:rPr>
              <w:t>fairness</w:t>
            </w:r>
            <w:r w:rsidRPr="00DA5ABA">
              <w:rPr>
                <w:rFonts w:asciiTheme="majorHAnsi" w:hAnsiTheme="majorHAnsi"/>
              </w:rPr>
              <w:t xml:space="preserve"> is essential to administrative law and building trust</w:t>
            </w:r>
          </w:p>
          <w:p w14:paraId="737CA686" w14:textId="77777777" w:rsidR="00DA5ABA" w:rsidRPr="00813BBC" w:rsidRDefault="00DA5ABA" w:rsidP="00DA5ABA">
            <w:pPr>
              <w:pStyle w:val="Tabletext"/>
              <w:rPr>
                <w:b/>
                <w:bCs/>
              </w:rPr>
            </w:pPr>
            <w:r w:rsidRPr="00813BBC">
              <w:rPr>
                <w:b/>
                <w:bCs/>
              </w:rPr>
              <w:t>Considerations:</w:t>
            </w:r>
          </w:p>
          <w:p w14:paraId="7BC09A7B" w14:textId="77777777" w:rsidR="00435B32" w:rsidRPr="00435B32" w:rsidRDefault="24382E43" w:rsidP="00DA5ABA">
            <w:pPr>
              <w:pStyle w:val="Tablebullet"/>
            </w:pPr>
            <w:r w:rsidRPr="4FCA2E5A">
              <w:t>Clearly explain the considerations made, the reason for the decision, the alternatives considered, the effects of the decision, and recourse available for those affected.</w:t>
            </w:r>
          </w:p>
          <w:p w14:paraId="4F2EBA7C" w14:textId="77777777" w:rsidR="00435B32" w:rsidRPr="00C4460A" w:rsidRDefault="3F29F4B1" w:rsidP="00DA5ABA">
            <w:pPr>
              <w:pStyle w:val="Tablebullet"/>
            </w:pPr>
            <w:r>
              <w:t xml:space="preserve">Consistently employ the same processes and have regard to the same criteria when deciding how a requirement should be interpreted or applied </w:t>
            </w:r>
            <w:bookmarkStart w:id="33" w:name="_Int_p3Qh90cR"/>
            <w:r>
              <w:t>in a given</w:t>
            </w:r>
            <w:bookmarkEnd w:id="33"/>
            <w:r>
              <w:t xml:space="preserve"> situation.</w:t>
            </w:r>
          </w:p>
          <w:p w14:paraId="656D784B" w14:textId="3F08C9B3" w:rsidR="00435B32" w:rsidRPr="00C4460A" w:rsidRDefault="3F29F4B1" w:rsidP="00DA5ABA">
            <w:pPr>
              <w:pStyle w:val="Tablebullet"/>
            </w:pPr>
            <w:bookmarkStart w:id="34" w:name="_Int_S1sxcubE"/>
            <w:r>
              <w:t>Ensure that all facts and circumstances in an individual situation have been fully and fairly considered on their merits.</w:t>
            </w:r>
            <w:bookmarkEnd w:id="34"/>
          </w:p>
        </w:tc>
      </w:tr>
      <w:tr w:rsidR="0099188F" w:rsidRPr="00C4460A" w14:paraId="2BEB46EC" w14:textId="77777777" w:rsidTr="33378111">
        <w:trPr>
          <w:trHeight w:val="300"/>
        </w:trPr>
        <w:tc>
          <w:tcPr>
            <w:tcW w:w="1097" w:type="pct"/>
          </w:tcPr>
          <w:p w14:paraId="07323DB7" w14:textId="77777777" w:rsidR="0099188F" w:rsidRPr="00C4460A" w:rsidRDefault="0099188F" w:rsidP="00DA5ABA">
            <w:pPr>
              <w:pStyle w:val="Tabletext"/>
              <w:spacing w:before="120"/>
            </w:pPr>
            <w:r w:rsidRPr="00C4460A">
              <w:t>Make fee setting transparent</w:t>
            </w:r>
          </w:p>
        </w:tc>
        <w:tc>
          <w:tcPr>
            <w:tcW w:w="3903" w:type="pct"/>
          </w:tcPr>
          <w:p w14:paraId="0F12AB9C" w14:textId="57490885" w:rsidR="0099188F" w:rsidRPr="00DA5ABA" w:rsidRDefault="4874373F" w:rsidP="00DA5ABA">
            <w:pPr>
              <w:rPr>
                <w:rFonts w:asciiTheme="majorHAnsi" w:hAnsiTheme="majorHAnsi"/>
              </w:rPr>
            </w:pPr>
            <w:r w:rsidRPr="00DA5ABA">
              <w:rPr>
                <w:rFonts w:asciiTheme="majorHAnsi" w:hAnsiTheme="majorHAnsi"/>
              </w:rPr>
              <w:t xml:space="preserve">People expect to understand why they pay fees and the activities </w:t>
            </w:r>
            <w:r w:rsidR="4C036314" w:rsidRPr="00DA5ABA">
              <w:rPr>
                <w:rFonts w:asciiTheme="majorHAnsi" w:hAnsiTheme="majorHAnsi"/>
              </w:rPr>
              <w:t>the</w:t>
            </w:r>
            <w:r w:rsidR="250EEC94" w:rsidRPr="00DA5ABA">
              <w:rPr>
                <w:rFonts w:asciiTheme="majorHAnsi" w:hAnsiTheme="majorHAnsi"/>
              </w:rPr>
              <w:t>y</w:t>
            </w:r>
            <w:r w:rsidRPr="00DA5ABA">
              <w:rPr>
                <w:rFonts w:asciiTheme="majorHAnsi" w:hAnsiTheme="majorHAnsi"/>
              </w:rPr>
              <w:t xml:space="preserve"> support</w:t>
            </w:r>
          </w:p>
          <w:p w14:paraId="6F2AAA48" w14:textId="77777777" w:rsidR="00DA5ABA" w:rsidRPr="00813BBC" w:rsidRDefault="00DA5ABA" w:rsidP="00DA5ABA">
            <w:pPr>
              <w:pStyle w:val="Tabletext"/>
              <w:rPr>
                <w:b/>
                <w:bCs/>
              </w:rPr>
            </w:pPr>
            <w:r w:rsidRPr="00813BBC">
              <w:rPr>
                <w:b/>
                <w:bCs/>
              </w:rPr>
              <w:t>Considerations:</w:t>
            </w:r>
          </w:p>
          <w:p w14:paraId="6A26D510" w14:textId="77777777" w:rsidR="00607F1B" w:rsidRPr="00C4460A" w:rsidRDefault="4BE8F772" w:rsidP="00DA5ABA">
            <w:pPr>
              <w:pStyle w:val="Tablebullet"/>
            </w:pPr>
            <w:r w:rsidRPr="4FCA2E5A">
              <w:t>Understand the cost and policy basis for fees.</w:t>
            </w:r>
          </w:p>
          <w:p w14:paraId="2D763C12" w14:textId="504109EE" w:rsidR="00435B32" w:rsidRPr="00C4460A" w:rsidRDefault="4BE8F772" w:rsidP="00DA5ABA">
            <w:pPr>
              <w:pStyle w:val="Tablebullet"/>
            </w:pPr>
            <w:r w:rsidRPr="4FCA2E5A">
              <w:t>Assess how to best communicate these.</w:t>
            </w:r>
          </w:p>
        </w:tc>
      </w:tr>
    </w:tbl>
    <w:p w14:paraId="7C0C910A" w14:textId="599B26CE" w:rsidR="00844244" w:rsidRDefault="00844244" w:rsidP="00DA5ABA"/>
    <w:p w14:paraId="67DB0D53" w14:textId="360F03B1" w:rsidR="0099188F" w:rsidRDefault="00844244" w:rsidP="00844244">
      <w:pPr>
        <w:keepLines w:val="0"/>
        <w:spacing w:before="0" w:after="160" w:line="259" w:lineRule="auto"/>
      </w:pPr>
      <w:r>
        <w:br w:type="page"/>
      </w:r>
    </w:p>
    <w:p w14:paraId="44352F6E" w14:textId="56B2DA76" w:rsidR="00DA5ABA" w:rsidRPr="00874559" w:rsidRDefault="00DA5ABA" w:rsidP="00DA5ABA">
      <w:pPr>
        <w:pStyle w:val="Principle"/>
      </w:pPr>
      <w:bookmarkStart w:id="35" w:name="_Toc100589357"/>
      <w:r w:rsidRPr="00874559">
        <w:lastRenderedPageBreak/>
        <w:t>Continuously improve your regulatory operations</w:t>
      </w:r>
      <w:bookmarkEnd w:id="35"/>
      <w:r w:rsidRPr="00874559">
        <w:t xml:space="preserve"> </w:t>
      </w:r>
    </w:p>
    <w:p w14:paraId="5E25558B" w14:textId="77777777" w:rsidR="0099188F" w:rsidRPr="0099188F" w:rsidRDefault="0099188F" w:rsidP="00DA5ABA">
      <w:r w:rsidRPr="0099188F">
        <w:t>The sub-elements of principle ten set out important approaches for regulators to become a learning organisation, that uses external insights, and knowledge from operational experience, to review why and how actions are taken, and to optimise their operations.</w:t>
      </w:r>
    </w:p>
    <w:p w14:paraId="60AA14D4" w14:textId="137E409C" w:rsidR="0099188F" w:rsidRPr="0099188F" w:rsidRDefault="0099188F" w:rsidP="00DA5ABA">
      <w:r>
        <w:t>Overall, this principle asks regulator leaders to attend to internal management and quality systems as a core part of effective delivery, and translation of strategy to execution. A critical part of this is refining how decisions are best distributed and delegated, with the right mixture of supports and quality controls</w:t>
      </w:r>
      <w:r w:rsidR="21E0F947">
        <w:t xml:space="preserve">. </w:t>
      </w:r>
    </w:p>
    <w:p w14:paraId="7F57F85E" w14:textId="67DFBC6D" w:rsidR="0099188F" w:rsidRPr="0099188F" w:rsidRDefault="0099188F" w:rsidP="00DA5ABA">
      <w:bookmarkStart w:id="36" w:name="_Hlk120716517"/>
      <w:r w:rsidRPr="0099188F">
        <w:t xml:space="preserve">To </w:t>
      </w:r>
      <w:r w:rsidR="001C2F49">
        <w:t xml:space="preserve">help meet this principle, consider engaging staff to </w:t>
      </w:r>
      <w:r w:rsidR="2D057919">
        <w:t xml:space="preserve">develop </w:t>
      </w:r>
      <w:r w:rsidR="001C2F49">
        <w:t xml:space="preserve">processes </w:t>
      </w:r>
      <w:r w:rsidR="42CCEC44">
        <w:t>or</w:t>
      </w:r>
      <w:r w:rsidR="001C2F49">
        <w:t xml:space="preserve"> </w:t>
      </w:r>
      <w:r w:rsidRPr="0099188F">
        <w:t>documents outlining:</w:t>
      </w:r>
    </w:p>
    <w:bookmarkEnd w:id="36"/>
    <w:p w14:paraId="6CE03CBC" w14:textId="77777777" w:rsidR="0099188F" w:rsidRPr="0099188F" w:rsidRDefault="0099188F" w:rsidP="00DA5ABA">
      <w:pPr>
        <w:pStyle w:val="Bullet1"/>
      </w:pPr>
      <w:r w:rsidRPr="0099188F">
        <w:t>A performance management framework that accounts for regulatory delivery (quality, quantity, timeliness) across regulatory functions (for example, outreach, monitoring, approvals, enforcement, investigations)</w:t>
      </w:r>
    </w:p>
    <w:p w14:paraId="7186EB9C" w14:textId="77777777" w:rsidR="0099188F" w:rsidRPr="0099188F" w:rsidRDefault="0099188F" w:rsidP="00DA5ABA">
      <w:pPr>
        <w:pStyle w:val="Bullet1"/>
      </w:pPr>
      <w:r w:rsidRPr="0099188F">
        <w:t>A capability framework that outlines an approach to learning, development, and workforce planning</w:t>
      </w:r>
    </w:p>
    <w:p w14:paraId="6009AE7D" w14:textId="77777777" w:rsidR="0099188F" w:rsidRPr="0099188F" w:rsidRDefault="0099188F" w:rsidP="00DA5ABA">
      <w:pPr>
        <w:pStyle w:val="Bullet1"/>
      </w:pPr>
      <w:r w:rsidRPr="0099188F">
        <w:t>An approach to capturing lessons learnt or improvements from after action reviews, operational debriefs, or public reviews</w:t>
      </w:r>
    </w:p>
    <w:p w14:paraId="08777CFD" w14:textId="77777777" w:rsidR="0099188F" w:rsidRPr="0099188F" w:rsidRDefault="0099188F" w:rsidP="00DA5ABA">
      <w:r w:rsidRPr="0099188F">
        <w:t>To best deliver, consider the following approaches as appropriate to your context:</w:t>
      </w:r>
    </w:p>
    <w:tbl>
      <w:tblPr>
        <w:tblStyle w:val="Texttable"/>
        <w:tblW w:w="4999" w:type="pct"/>
        <w:tblLayout w:type="fixed"/>
        <w:tblLook w:val="0620" w:firstRow="1" w:lastRow="0" w:firstColumn="0" w:lastColumn="0" w:noHBand="1" w:noVBand="1"/>
      </w:tblPr>
      <w:tblGrid>
        <w:gridCol w:w="1980"/>
        <w:gridCol w:w="7044"/>
      </w:tblGrid>
      <w:tr w:rsidR="0099188F" w:rsidRPr="006E1F6E" w14:paraId="6C434456" w14:textId="77777777" w:rsidTr="33378111">
        <w:trPr>
          <w:cnfStyle w:val="100000000000" w:firstRow="1" w:lastRow="0" w:firstColumn="0" w:lastColumn="0" w:oddVBand="0" w:evenVBand="0" w:oddHBand="0" w:evenHBand="0" w:firstRowFirstColumn="0" w:firstRowLastColumn="0" w:lastRowFirstColumn="0" w:lastRowLastColumn="0"/>
          <w:trHeight w:val="300"/>
          <w:tblHeader/>
        </w:trPr>
        <w:tc>
          <w:tcPr>
            <w:tcW w:w="1097" w:type="pct"/>
          </w:tcPr>
          <w:p w14:paraId="620BF6E8" w14:textId="77777777" w:rsidR="0099188F" w:rsidRPr="006E1F6E" w:rsidRDefault="0099188F" w:rsidP="00DA5ABA">
            <w:pPr>
              <w:pStyle w:val="Tableheader"/>
            </w:pPr>
            <w:r w:rsidRPr="006E1F6E">
              <w:t xml:space="preserve">Action area </w:t>
            </w:r>
          </w:p>
        </w:tc>
        <w:tc>
          <w:tcPr>
            <w:tcW w:w="3903" w:type="pct"/>
          </w:tcPr>
          <w:p w14:paraId="000C2064" w14:textId="7641165D" w:rsidR="0099188F" w:rsidRPr="006E1F6E" w:rsidRDefault="0099188F" w:rsidP="00DA5ABA">
            <w:pPr>
              <w:pStyle w:val="Tableheader"/>
            </w:pPr>
            <w:r w:rsidRPr="006E1F6E">
              <w:t xml:space="preserve">Rationale </w:t>
            </w:r>
            <w:r w:rsidR="00CB06DE" w:rsidRPr="006E1F6E">
              <w:t xml:space="preserve">and </w:t>
            </w:r>
            <w:r w:rsidR="00DA5ABA" w:rsidRPr="006E1F6E">
              <w:t>considerations for implementin</w:t>
            </w:r>
            <w:r w:rsidR="00CB06DE" w:rsidRPr="006E1F6E">
              <w:t>g</w:t>
            </w:r>
          </w:p>
        </w:tc>
      </w:tr>
      <w:tr w:rsidR="0099188F" w:rsidRPr="006E1F6E" w14:paraId="0212D403" w14:textId="77777777" w:rsidTr="33378111">
        <w:trPr>
          <w:trHeight w:val="300"/>
        </w:trPr>
        <w:tc>
          <w:tcPr>
            <w:tcW w:w="1097" w:type="pct"/>
          </w:tcPr>
          <w:p w14:paraId="6BA1974B" w14:textId="0E26DC26" w:rsidR="0099188F" w:rsidRPr="006E1F6E" w:rsidRDefault="0099188F" w:rsidP="00DA5ABA">
            <w:pPr>
              <w:pStyle w:val="Tabletext"/>
              <w:spacing w:before="120"/>
            </w:pPr>
            <w:r w:rsidRPr="006E1F6E">
              <w:t>Monitor your external environment</w:t>
            </w:r>
          </w:p>
        </w:tc>
        <w:tc>
          <w:tcPr>
            <w:tcW w:w="3903" w:type="pct"/>
          </w:tcPr>
          <w:p w14:paraId="628CE47B" w14:textId="598AD03C" w:rsidR="0099188F" w:rsidRPr="00DD64DB" w:rsidRDefault="5D648297" w:rsidP="33378111">
            <w:pPr>
              <w:rPr>
                <w:rFonts w:asciiTheme="majorHAnsi" w:hAnsiTheme="majorHAnsi"/>
              </w:rPr>
            </w:pPr>
            <w:r w:rsidRPr="33378111">
              <w:rPr>
                <w:rFonts w:asciiTheme="majorHAnsi" w:hAnsiTheme="majorHAnsi"/>
              </w:rPr>
              <w:t xml:space="preserve">The risk landscape is rarely </w:t>
            </w:r>
            <w:r w:rsidR="55479F9E" w:rsidRPr="33378111">
              <w:rPr>
                <w:rFonts w:asciiTheme="majorHAnsi" w:hAnsiTheme="majorHAnsi"/>
              </w:rPr>
              <w:t>static,</w:t>
            </w:r>
            <w:r w:rsidRPr="33378111">
              <w:rPr>
                <w:rFonts w:asciiTheme="majorHAnsi" w:hAnsiTheme="majorHAnsi"/>
              </w:rPr>
              <w:t xml:space="preserve"> and regulators are expected to address emerging issues</w:t>
            </w:r>
          </w:p>
          <w:p w14:paraId="0330E356" w14:textId="77777777" w:rsidR="00DA5ABA" w:rsidRPr="00813BBC" w:rsidRDefault="00DA5ABA" w:rsidP="00DA5ABA">
            <w:pPr>
              <w:pStyle w:val="Tabletext"/>
              <w:rPr>
                <w:b/>
                <w:bCs/>
              </w:rPr>
            </w:pPr>
            <w:r w:rsidRPr="00813BBC">
              <w:rPr>
                <w:b/>
                <w:bCs/>
              </w:rPr>
              <w:t>Considerations:</w:t>
            </w:r>
          </w:p>
          <w:p w14:paraId="3BCD22BB" w14:textId="77777777" w:rsidR="006D770E" w:rsidRPr="006D770E" w:rsidRDefault="78B0EE62" w:rsidP="00DA5ABA">
            <w:pPr>
              <w:pStyle w:val="Tablebullet"/>
            </w:pPr>
            <w:r w:rsidRPr="4FCA2E5A">
              <w:t>Scan, plan for and respond to changes in the regulatory environment that could impact on you or duty holders.</w:t>
            </w:r>
          </w:p>
          <w:p w14:paraId="6EE4570B" w14:textId="77777777" w:rsidR="006D770E" w:rsidRPr="006E1F6E" w:rsidRDefault="78B0EE62" w:rsidP="00DA5ABA">
            <w:pPr>
              <w:pStyle w:val="Tablebullet"/>
            </w:pPr>
            <w:r w:rsidRPr="4FCA2E5A">
              <w:t>Conduct a horizon scanning program, informed by consultations with duty holders, to seek insights and data and to continuously improve your understanding of harms.</w:t>
            </w:r>
          </w:p>
          <w:p w14:paraId="3136100F" w14:textId="69A80C14" w:rsidR="004E20E1" w:rsidRPr="006E1F6E" w:rsidRDefault="78B0EE62" w:rsidP="00DA5ABA">
            <w:pPr>
              <w:pStyle w:val="Tablebullet"/>
            </w:pPr>
            <w:r w:rsidRPr="4FCA2E5A">
              <w:t>Engage with communities of practice, industry bodies, government entities, and other organisations to learn from peer experiences and share better practice.</w:t>
            </w:r>
          </w:p>
        </w:tc>
      </w:tr>
      <w:tr w:rsidR="0099188F" w:rsidRPr="006E1F6E" w14:paraId="3E22B777" w14:textId="77777777" w:rsidTr="33378111">
        <w:trPr>
          <w:trHeight w:val="300"/>
        </w:trPr>
        <w:tc>
          <w:tcPr>
            <w:tcW w:w="1097" w:type="pct"/>
          </w:tcPr>
          <w:p w14:paraId="275C3249" w14:textId="03D85FE5" w:rsidR="0099188F" w:rsidRPr="006E1F6E" w:rsidRDefault="0099188F" w:rsidP="00DA5ABA">
            <w:pPr>
              <w:pStyle w:val="Tabletext"/>
              <w:spacing w:before="120"/>
            </w:pPr>
            <w:r w:rsidRPr="006E1F6E">
              <w:lastRenderedPageBreak/>
              <w:t>Promote a learning culture</w:t>
            </w:r>
          </w:p>
        </w:tc>
        <w:tc>
          <w:tcPr>
            <w:tcW w:w="3903" w:type="pct"/>
          </w:tcPr>
          <w:p w14:paraId="20ECFBA4" w14:textId="42DE92AE" w:rsidR="0099188F" w:rsidRPr="00DD64DB" w:rsidRDefault="67148DA4" w:rsidP="00DA5ABA">
            <w:pPr>
              <w:rPr>
                <w:rFonts w:asciiTheme="majorHAnsi" w:hAnsiTheme="majorHAnsi"/>
              </w:rPr>
            </w:pPr>
            <w:r w:rsidRPr="00DD64DB">
              <w:rPr>
                <w:rFonts w:asciiTheme="majorHAnsi" w:hAnsiTheme="majorHAnsi"/>
              </w:rPr>
              <w:t xml:space="preserve">Staff should feel empowered to exercise discretion, with </w:t>
            </w:r>
            <w:r w:rsidR="2CCF7EDD" w:rsidRPr="00DD64DB">
              <w:rPr>
                <w:rFonts w:asciiTheme="majorHAnsi" w:hAnsiTheme="majorHAnsi"/>
              </w:rPr>
              <w:t>constructive</w:t>
            </w:r>
            <w:r w:rsidRPr="00DD64DB">
              <w:rPr>
                <w:rFonts w:asciiTheme="majorHAnsi" w:hAnsiTheme="majorHAnsi"/>
              </w:rPr>
              <w:t xml:space="preserve"> feedback and continuous improvement if issues occur</w:t>
            </w:r>
          </w:p>
          <w:p w14:paraId="4D5C4C19" w14:textId="77777777" w:rsidR="00DA5ABA" w:rsidRPr="00813BBC" w:rsidRDefault="00DA5ABA" w:rsidP="00DA5ABA">
            <w:pPr>
              <w:pStyle w:val="Tabletext"/>
              <w:rPr>
                <w:b/>
                <w:bCs/>
              </w:rPr>
            </w:pPr>
            <w:r w:rsidRPr="00813BBC">
              <w:rPr>
                <w:b/>
                <w:bCs/>
              </w:rPr>
              <w:t>Considerations:</w:t>
            </w:r>
          </w:p>
          <w:p w14:paraId="29DF1FDD" w14:textId="77777777" w:rsidR="00FB597E" w:rsidRPr="00FB597E" w:rsidRDefault="579A6B39" w:rsidP="00DA5ABA">
            <w:pPr>
              <w:pStyle w:val="Tablebullet"/>
            </w:pPr>
            <w:r w:rsidRPr="4FCA2E5A">
              <w:t>Empower and support staff to make decisions and exercise judgement.</w:t>
            </w:r>
          </w:p>
          <w:p w14:paraId="6FD6289D" w14:textId="77777777" w:rsidR="00FB597E" w:rsidRPr="00FB597E" w:rsidRDefault="579A6B39" w:rsidP="00DA5ABA">
            <w:pPr>
              <w:pStyle w:val="Tablebullet"/>
            </w:pPr>
            <w:r w:rsidRPr="4FCA2E5A">
              <w:t>Make leadership commitments that staff decisions will be backed and supported, not overturned without cause, and will not be subject to undue interference.</w:t>
            </w:r>
          </w:p>
          <w:p w14:paraId="05E10C3F" w14:textId="77777777" w:rsidR="00FB597E" w:rsidRPr="00FB597E" w:rsidRDefault="579A6B39" w:rsidP="00DA5ABA">
            <w:pPr>
              <w:pStyle w:val="Tablebullet"/>
            </w:pPr>
            <w:r w:rsidRPr="4FCA2E5A">
              <w:t>Support a culture of appropriate tolerance to mistakes, and practices to learn and improve from errors.</w:t>
            </w:r>
          </w:p>
          <w:p w14:paraId="259F6E15" w14:textId="1CE4602D" w:rsidR="00FB597E" w:rsidRPr="00FB597E" w:rsidRDefault="579A6B39" w:rsidP="00DA5ABA">
            <w:pPr>
              <w:pStyle w:val="Tablebullet"/>
            </w:pPr>
            <w:r>
              <w:t xml:space="preserve">Establish internal processes for learning and review, such as from the outcomes of complaints, internal </w:t>
            </w:r>
            <w:r w:rsidR="1A407742">
              <w:t>reviews,</w:t>
            </w:r>
            <w:r>
              <w:t xml:space="preserve"> or other feedback.</w:t>
            </w:r>
          </w:p>
          <w:p w14:paraId="785422F8" w14:textId="77777777" w:rsidR="00FB597E" w:rsidRPr="006E1F6E" w:rsidRDefault="579A6B39" w:rsidP="00DA5ABA">
            <w:pPr>
              <w:pStyle w:val="Tablebullet"/>
            </w:pPr>
            <w:r w:rsidRPr="4FCA2E5A">
              <w:t>Develop systems to monitor regulatory actions and decisions, including a set of performance indicators, and establish the flexibility to adjust operational practices in response to these indicators</w:t>
            </w:r>
          </w:p>
          <w:p w14:paraId="1701E108" w14:textId="262F1C0F" w:rsidR="004E20E1" w:rsidRPr="006E1F6E" w:rsidRDefault="579A6B39" w:rsidP="00DA5ABA">
            <w:pPr>
              <w:pStyle w:val="Tablebullet"/>
            </w:pPr>
            <w:r>
              <w:t xml:space="preserve">Support the development and implementation of </w:t>
            </w:r>
            <w:bookmarkStart w:id="37" w:name="_Int_YWKiNihA"/>
            <w:r>
              <w:t>new ideas</w:t>
            </w:r>
            <w:bookmarkEnd w:id="37"/>
            <w:r>
              <w:t xml:space="preserve"> and improvement to the status quo.</w:t>
            </w:r>
          </w:p>
        </w:tc>
      </w:tr>
      <w:tr w:rsidR="0099188F" w:rsidRPr="006E1F6E" w14:paraId="5228F2DB" w14:textId="77777777" w:rsidTr="33378111">
        <w:trPr>
          <w:trHeight w:val="300"/>
        </w:trPr>
        <w:tc>
          <w:tcPr>
            <w:tcW w:w="1097" w:type="pct"/>
          </w:tcPr>
          <w:p w14:paraId="54E5159D" w14:textId="1EE38F9D" w:rsidR="0099188F" w:rsidRPr="006E1F6E" w:rsidRDefault="0099188F" w:rsidP="00DA5ABA">
            <w:pPr>
              <w:pStyle w:val="Tabletext"/>
              <w:spacing w:before="120"/>
            </w:pPr>
            <w:r>
              <w:t xml:space="preserve">Adopt </w:t>
            </w:r>
            <w:bookmarkStart w:id="38" w:name="_Int_2DHQm9Cg"/>
            <w:r>
              <w:t>a holistic approach</w:t>
            </w:r>
            <w:bookmarkEnd w:id="38"/>
            <w:r>
              <w:t xml:space="preserve"> to delegation oversight</w:t>
            </w:r>
          </w:p>
        </w:tc>
        <w:tc>
          <w:tcPr>
            <w:tcW w:w="3903" w:type="pct"/>
          </w:tcPr>
          <w:p w14:paraId="3863ACAD" w14:textId="6FADFDCA" w:rsidR="0099188F" w:rsidRPr="00DD64DB" w:rsidRDefault="45A8982A" w:rsidP="00DA5ABA">
            <w:pPr>
              <w:rPr>
                <w:rFonts w:asciiTheme="majorHAnsi" w:hAnsiTheme="majorHAnsi"/>
              </w:rPr>
            </w:pPr>
            <w:r w:rsidRPr="00DD64DB">
              <w:rPr>
                <w:rFonts w:asciiTheme="majorHAnsi" w:hAnsiTheme="majorHAnsi"/>
              </w:rPr>
              <w:t xml:space="preserve">Delegations work when supported by training, protocols, quality assurance, and periodic reviews of the level at which decisions are made </w:t>
            </w:r>
          </w:p>
          <w:p w14:paraId="6EE10879" w14:textId="77777777" w:rsidR="00DA5ABA" w:rsidRPr="00813BBC" w:rsidRDefault="00DA5ABA" w:rsidP="00DA5ABA">
            <w:pPr>
              <w:pStyle w:val="Tabletext"/>
              <w:rPr>
                <w:b/>
                <w:bCs/>
              </w:rPr>
            </w:pPr>
            <w:r w:rsidRPr="00813BBC">
              <w:rPr>
                <w:b/>
                <w:bCs/>
              </w:rPr>
              <w:t>Considerations:</w:t>
            </w:r>
          </w:p>
          <w:p w14:paraId="2CCD6F5E" w14:textId="77777777" w:rsidR="00E62EA8" w:rsidRPr="00E62EA8" w:rsidRDefault="2495E363" w:rsidP="00DA5ABA">
            <w:pPr>
              <w:pStyle w:val="Tablebullet"/>
            </w:pPr>
            <w:r w:rsidRPr="4FCA2E5A">
              <w:t xml:space="preserve">Seek opportunities to refine delegations for decision making to the lowest appropriate level. </w:t>
            </w:r>
          </w:p>
          <w:p w14:paraId="6036270A" w14:textId="77777777" w:rsidR="00E62EA8" w:rsidRPr="00E62EA8" w:rsidRDefault="2495E363" w:rsidP="00DA5ABA">
            <w:pPr>
              <w:pStyle w:val="Tablebullet"/>
            </w:pPr>
            <w:r w:rsidRPr="4FCA2E5A">
              <w:t>Consider staff capability, the risks inherent in the decision and the systems to monitor decision-making quality.</w:t>
            </w:r>
          </w:p>
          <w:p w14:paraId="188485D3" w14:textId="77777777" w:rsidR="00E62EA8" w:rsidRPr="00E62EA8" w:rsidRDefault="2495E363" w:rsidP="00DA5ABA">
            <w:pPr>
              <w:pStyle w:val="Tablebullet"/>
            </w:pPr>
            <w:r w:rsidRPr="4FCA2E5A">
              <w:t>Determine the appropriate approach to pre or post review of regulatory decisions, depending on risk, regulatory officer capability, and other objectives such as timeliness.</w:t>
            </w:r>
          </w:p>
          <w:p w14:paraId="37A2F4C4" w14:textId="77777777" w:rsidR="00E62EA8" w:rsidRPr="006E1F6E" w:rsidRDefault="2495E363" w:rsidP="00DA5ABA">
            <w:pPr>
              <w:pStyle w:val="Tablebullet"/>
            </w:pPr>
            <w:r w:rsidRPr="4FCA2E5A">
              <w:t>Apply a suite of approaches to delegate and manage decision-making, including training, appointments and delegations, procedures and decision-making frameworks, quality control and quality assurance processes, and duty holder feedback processes.</w:t>
            </w:r>
          </w:p>
          <w:p w14:paraId="737B0984" w14:textId="21EDB76F" w:rsidR="004E20E1" w:rsidRPr="006E1F6E" w:rsidRDefault="2495E363" w:rsidP="00DA5ABA">
            <w:pPr>
              <w:pStyle w:val="Tablebullet"/>
            </w:pPr>
            <w:r w:rsidRPr="4FCA2E5A">
              <w:t>Establish appropriate mechanisms for periodic review of regulatory activities or functions.</w:t>
            </w:r>
          </w:p>
        </w:tc>
      </w:tr>
      <w:tr w:rsidR="0099188F" w:rsidRPr="006E1F6E" w14:paraId="3597C636" w14:textId="77777777" w:rsidTr="33378111">
        <w:trPr>
          <w:trHeight w:val="300"/>
        </w:trPr>
        <w:tc>
          <w:tcPr>
            <w:tcW w:w="1097" w:type="pct"/>
          </w:tcPr>
          <w:p w14:paraId="07F9969A" w14:textId="1B092F16" w:rsidR="0099188F" w:rsidRPr="006E1F6E" w:rsidRDefault="0099188F" w:rsidP="00DA5ABA">
            <w:pPr>
              <w:pStyle w:val="Tabletext"/>
              <w:spacing w:before="120"/>
            </w:pPr>
            <w:r w:rsidRPr="006E1F6E">
              <w:t>Document, measure and manage</w:t>
            </w:r>
          </w:p>
        </w:tc>
        <w:tc>
          <w:tcPr>
            <w:tcW w:w="3903" w:type="pct"/>
          </w:tcPr>
          <w:p w14:paraId="3A8C724B" w14:textId="1C3117EA" w:rsidR="0099188F" w:rsidRPr="00DD64DB" w:rsidRDefault="29F3C371" w:rsidP="00DA5ABA">
            <w:pPr>
              <w:rPr>
                <w:rFonts w:asciiTheme="majorHAnsi" w:hAnsiTheme="majorHAnsi"/>
              </w:rPr>
            </w:pPr>
            <w:r w:rsidRPr="00DD64DB">
              <w:rPr>
                <w:rFonts w:asciiTheme="majorHAnsi" w:hAnsiTheme="majorHAnsi"/>
              </w:rPr>
              <w:t>P</w:t>
            </w:r>
            <w:r w:rsidR="020CC30E" w:rsidRPr="00DD64DB">
              <w:rPr>
                <w:rFonts w:asciiTheme="majorHAnsi" w:hAnsiTheme="majorHAnsi"/>
              </w:rPr>
              <w:t xml:space="preserve">erformance </w:t>
            </w:r>
            <w:r w:rsidR="639FEFF4" w:rsidRPr="00DD64DB">
              <w:rPr>
                <w:rFonts w:asciiTheme="majorHAnsi" w:hAnsiTheme="majorHAnsi"/>
              </w:rPr>
              <w:t>frameworks and documentation requirements help to maintain accountability and delivery</w:t>
            </w:r>
          </w:p>
          <w:p w14:paraId="1DE80D57" w14:textId="77777777" w:rsidR="00DA5ABA" w:rsidRPr="00813BBC" w:rsidRDefault="00DA5ABA" w:rsidP="00DA5ABA">
            <w:pPr>
              <w:pStyle w:val="Tabletext"/>
              <w:rPr>
                <w:b/>
                <w:bCs/>
              </w:rPr>
            </w:pPr>
            <w:r w:rsidRPr="00813BBC">
              <w:rPr>
                <w:b/>
                <w:bCs/>
              </w:rPr>
              <w:t>Considerations:</w:t>
            </w:r>
          </w:p>
          <w:p w14:paraId="71F9D119" w14:textId="77777777" w:rsidR="002C674C" w:rsidRPr="002C674C" w:rsidRDefault="38B2AA5C" w:rsidP="00DA5ABA">
            <w:pPr>
              <w:pStyle w:val="Tablebullet"/>
            </w:pPr>
            <w:r w:rsidRPr="4FCA2E5A">
              <w:t>Consistently and clearly document decisions, including application of risk frameworks, to enable ongoing assessment and review.</w:t>
            </w:r>
          </w:p>
          <w:p w14:paraId="4DF670A2" w14:textId="77777777" w:rsidR="002C674C" w:rsidRPr="006E1F6E" w:rsidRDefault="38B2AA5C" w:rsidP="00DA5ABA">
            <w:pPr>
              <w:pStyle w:val="Tablebullet"/>
            </w:pPr>
            <w:r w:rsidRPr="4FCA2E5A">
              <w:t>Set targets to drive effective operational delivery, targeting, productivity and efficiency.</w:t>
            </w:r>
          </w:p>
          <w:p w14:paraId="0D1339A9" w14:textId="348ADABE" w:rsidR="004E20E1" w:rsidRPr="006E1F6E" w:rsidRDefault="38B2AA5C" w:rsidP="00DA5ABA">
            <w:pPr>
              <w:pStyle w:val="Tablebullet"/>
            </w:pPr>
            <w:r w:rsidRPr="4FCA2E5A">
              <w:t>Promote a culture of data quality and integrity, to underpin accurate routine management, and facilitate ongoing improvement in data analytics capabilities.</w:t>
            </w:r>
          </w:p>
        </w:tc>
      </w:tr>
      <w:tr w:rsidR="0099188F" w:rsidRPr="006E1F6E" w14:paraId="00DA5AF1" w14:textId="77777777" w:rsidTr="33378111">
        <w:trPr>
          <w:trHeight w:val="300"/>
        </w:trPr>
        <w:tc>
          <w:tcPr>
            <w:tcW w:w="1097" w:type="pct"/>
          </w:tcPr>
          <w:p w14:paraId="1A9BD9D7" w14:textId="4A60298C" w:rsidR="0099188F" w:rsidRPr="006E1F6E" w:rsidRDefault="0099188F" w:rsidP="00DA5ABA">
            <w:pPr>
              <w:pStyle w:val="Tabletext"/>
              <w:spacing w:before="120"/>
            </w:pPr>
            <w:r>
              <w:lastRenderedPageBreak/>
              <w:t xml:space="preserve">Adopt </w:t>
            </w:r>
            <w:bookmarkStart w:id="39" w:name="_Int_xXPDBNh3"/>
            <w:r>
              <w:t>a holistic approach</w:t>
            </w:r>
            <w:bookmarkEnd w:id="39"/>
            <w:r>
              <w:t xml:space="preserve"> to improving staff capability</w:t>
            </w:r>
          </w:p>
        </w:tc>
        <w:tc>
          <w:tcPr>
            <w:tcW w:w="3903" w:type="pct"/>
          </w:tcPr>
          <w:p w14:paraId="242E1EB9" w14:textId="572222BB" w:rsidR="0099188F" w:rsidRPr="00DD64DB" w:rsidRDefault="7E6173CA" w:rsidP="00DA5ABA">
            <w:pPr>
              <w:rPr>
                <w:rFonts w:asciiTheme="majorHAnsi" w:hAnsiTheme="majorHAnsi"/>
              </w:rPr>
            </w:pPr>
            <w:r w:rsidRPr="00DD64DB">
              <w:rPr>
                <w:rFonts w:asciiTheme="majorHAnsi" w:hAnsiTheme="majorHAnsi"/>
              </w:rPr>
              <w:t>There can be many means to recruiting, retaining and building staff capability, going beyond routine training</w:t>
            </w:r>
          </w:p>
          <w:p w14:paraId="4C5F8CAD" w14:textId="77777777" w:rsidR="00DA5ABA" w:rsidRPr="00813BBC" w:rsidRDefault="00DA5ABA" w:rsidP="00DA5ABA">
            <w:pPr>
              <w:pStyle w:val="Tabletext"/>
              <w:rPr>
                <w:b/>
                <w:bCs/>
              </w:rPr>
            </w:pPr>
            <w:r w:rsidRPr="00813BBC">
              <w:rPr>
                <w:b/>
                <w:bCs/>
              </w:rPr>
              <w:t>Considerations:</w:t>
            </w:r>
          </w:p>
          <w:p w14:paraId="14DC770C" w14:textId="77777777" w:rsidR="0089348C" w:rsidRPr="006E1F6E" w:rsidRDefault="0CD76033" w:rsidP="00DA5ABA">
            <w:pPr>
              <w:pStyle w:val="Tablebullet"/>
            </w:pPr>
            <w:r w:rsidRPr="4FCA2E5A">
              <w:t>Have an official training program and curriculum.</w:t>
            </w:r>
          </w:p>
          <w:p w14:paraId="6800C6E0" w14:textId="2DB769BA" w:rsidR="004E20E1" w:rsidRPr="006E1F6E" w:rsidRDefault="0CD76033" w:rsidP="00DA5ABA">
            <w:pPr>
              <w:pStyle w:val="Tablebullet"/>
            </w:pPr>
            <w:r>
              <w:t xml:space="preserve">Account for how training, policies, and peer review can support authorisations, </w:t>
            </w:r>
            <w:r w:rsidR="568D6EF5">
              <w:t>delegations,</w:t>
            </w:r>
            <w:r>
              <w:t xml:space="preserve"> and professional development of staff</w:t>
            </w:r>
          </w:p>
        </w:tc>
      </w:tr>
    </w:tbl>
    <w:p w14:paraId="6C6AB89A" w14:textId="3D9A2817" w:rsidR="00844244" w:rsidRDefault="00844244" w:rsidP="00DD64DB"/>
    <w:p w14:paraId="58EAAA75" w14:textId="2874E8F3" w:rsidR="0099188F" w:rsidRDefault="00844244" w:rsidP="00844244">
      <w:pPr>
        <w:keepLines w:val="0"/>
        <w:spacing w:before="0" w:after="160" w:line="259" w:lineRule="auto"/>
      </w:pPr>
      <w:r>
        <w:br w:type="page"/>
      </w:r>
    </w:p>
    <w:p w14:paraId="05117EE2" w14:textId="6180F94F" w:rsidR="008619EB" w:rsidRDefault="008619EB" w:rsidP="00AB3159">
      <w:pPr>
        <w:pageBreakBefore/>
        <w:rPr>
          <w:rFonts w:asciiTheme="majorHAnsi" w:eastAsiaTheme="majorEastAsia" w:hAnsiTheme="majorHAnsi" w:cstheme="majorBidi"/>
          <w:color w:val="00B2A9" w:themeColor="accent1"/>
          <w:sz w:val="32"/>
          <w:szCs w:val="26"/>
        </w:rPr>
      </w:pPr>
      <w:r w:rsidRPr="7EBE0BB5">
        <w:rPr>
          <w:rFonts w:asciiTheme="majorHAnsi" w:eastAsiaTheme="majorEastAsia" w:hAnsiTheme="majorHAnsi" w:cstheme="majorBidi"/>
          <w:color w:val="00B2A9" w:themeColor="accent1"/>
          <w:sz w:val="32"/>
          <w:szCs w:val="32"/>
        </w:rPr>
        <w:lastRenderedPageBreak/>
        <w:t xml:space="preserve">Further </w:t>
      </w:r>
      <w:r w:rsidR="00DD64DB" w:rsidRPr="7EBE0BB5">
        <w:rPr>
          <w:rFonts w:asciiTheme="majorHAnsi" w:eastAsiaTheme="majorEastAsia" w:hAnsiTheme="majorHAnsi" w:cstheme="majorBidi"/>
          <w:color w:val="00B2A9" w:themeColor="accent1"/>
          <w:sz w:val="32"/>
          <w:szCs w:val="32"/>
        </w:rPr>
        <w:t>reading</w:t>
      </w:r>
    </w:p>
    <w:p w14:paraId="6A840053" w14:textId="77777777" w:rsidR="00AB3159" w:rsidRDefault="00AB3159" w:rsidP="009C32B8">
      <w:pPr>
        <w:spacing w:line="240" w:lineRule="auto"/>
        <w:sectPr w:rsidR="00AB3159" w:rsidSect="00155F3E">
          <w:headerReference w:type="default" r:id="rId31"/>
          <w:footerReference w:type="default" r:id="rId32"/>
          <w:type w:val="oddPage"/>
          <w:pgSz w:w="11906" w:h="16838" w:code="9"/>
          <w:pgMar w:top="1440" w:right="1440" w:bottom="1728" w:left="1440" w:header="562" w:footer="360" w:gutter="0"/>
          <w:cols w:space="708"/>
          <w:docGrid w:linePitch="360"/>
        </w:sectPr>
      </w:pPr>
    </w:p>
    <w:p w14:paraId="4689B4AB" w14:textId="321B643E" w:rsidR="00173A9E" w:rsidRPr="00EF4D39" w:rsidRDefault="00173A9E" w:rsidP="009C32B8">
      <w:pPr>
        <w:spacing w:line="240" w:lineRule="auto"/>
      </w:pPr>
      <w:r>
        <w:t xml:space="preserve">Baldwin, R &amp; Black, J 2008, ‘Really Responsive Regulation’, </w:t>
      </w:r>
      <w:r>
        <w:rPr>
          <w:i/>
          <w:iCs/>
        </w:rPr>
        <w:t xml:space="preserve">The Modern Law Review, </w:t>
      </w:r>
      <w:r>
        <w:t xml:space="preserve">vol. 71, no. 1, pp. 59 – 94, </w:t>
      </w:r>
      <w:hyperlink r:id="rId33" w:history="1">
        <w:r w:rsidRPr="004B4B6A">
          <w:rPr>
            <w:rStyle w:val="Hyperlink"/>
          </w:rPr>
          <w:t>https://onlinelibrary.wiley.com/doi/epdf/10.1111/j.1468-2230.2008.00681.x</w:t>
        </w:r>
      </w:hyperlink>
      <w:r>
        <w:t xml:space="preserve"> </w:t>
      </w:r>
    </w:p>
    <w:p w14:paraId="2BE4DD83" w14:textId="77777777" w:rsidR="00173A9E" w:rsidRDefault="00173A9E" w:rsidP="009C32B8">
      <w:pPr>
        <w:spacing w:line="240" w:lineRule="auto"/>
      </w:pPr>
      <w:proofErr w:type="spellStart"/>
      <w:r>
        <w:t>Coglianese</w:t>
      </w:r>
      <w:proofErr w:type="spellEnd"/>
      <w:r>
        <w:t xml:space="preserve">, C (ed) 2016, </w:t>
      </w:r>
      <w:r w:rsidRPr="006F6726">
        <w:rPr>
          <w:i/>
          <w:iCs/>
        </w:rPr>
        <w:t>Achieving Regulatory Excellence</w:t>
      </w:r>
      <w:r>
        <w:t>, Brookings Institution Press, Washington.</w:t>
      </w:r>
    </w:p>
    <w:p w14:paraId="0612B8D2" w14:textId="5FE16E18" w:rsidR="00173A9E" w:rsidRPr="00F45449" w:rsidRDefault="00173A9E" w:rsidP="006F6726">
      <w:pPr>
        <w:spacing w:line="240" w:lineRule="auto"/>
      </w:pPr>
      <w:proofErr w:type="spellStart"/>
      <w:r>
        <w:t>Coglianese</w:t>
      </w:r>
      <w:proofErr w:type="spellEnd"/>
      <w:r>
        <w:t xml:space="preserve">, C 2012, ‘Measuring Regulatory Performance’, </w:t>
      </w:r>
      <w:r w:rsidRPr="33378111">
        <w:rPr>
          <w:i/>
          <w:iCs/>
        </w:rPr>
        <w:t>Expert Paper No. 1</w:t>
      </w:r>
      <w:r>
        <w:t xml:space="preserve">, Organisation for Economic </w:t>
      </w:r>
      <w:bookmarkStart w:id="40" w:name="_Int_zinXCR3r"/>
      <w:r>
        <w:t>Co-operation</w:t>
      </w:r>
      <w:bookmarkEnd w:id="40"/>
      <w:r>
        <w:t xml:space="preserve"> and Development, </w:t>
      </w:r>
      <w:hyperlink r:id="rId34">
        <w:r w:rsidRPr="33378111">
          <w:rPr>
            <w:rStyle w:val="Hyperlink"/>
          </w:rPr>
          <w:t>https://www.oecd.org/regreform/regulatory-policy/1_coglianese%20web.pdf</w:t>
        </w:r>
      </w:hyperlink>
      <w:r>
        <w:t xml:space="preserve"> </w:t>
      </w:r>
    </w:p>
    <w:p w14:paraId="1748F5AE" w14:textId="66498B2C" w:rsidR="00173A9E" w:rsidRDefault="00173A9E" w:rsidP="009C32B8">
      <w:pPr>
        <w:spacing w:line="240" w:lineRule="auto"/>
      </w:pPr>
      <w:proofErr w:type="spellStart"/>
      <w:r>
        <w:t>Drahos</w:t>
      </w:r>
      <w:proofErr w:type="spellEnd"/>
      <w:r>
        <w:t xml:space="preserve">, P (ed) 2017, ‘Regulatory Theory: Foundations and Applications’, Australian National University Press, </w:t>
      </w:r>
      <w:hyperlink r:id="rId35" w:anchor="pdf" w:history="1">
        <w:r w:rsidRPr="004B4B6A">
          <w:rPr>
            <w:rStyle w:val="Hyperlink"/>
          </w:rPr>
          <w:t>https://press.anu.edu.au/publications/regulatory-theory#pdf</w:t>
        </w:r>
      </w:hyperlink>
      <w:r>
        <w:t xml:space="preserve"> </w:t>
      </w:r>
    </w:p>
    <w:p w14:paraId="29CCDF84" w14:textId="443AC7E5" w:rsidR="007B55D8" w:rsidRPr="007F38E4" w:rsidRDefault="007F38E4" w:rsidP="009C32B8">
      <w:pPr>
        <w:spacing w:line="240" w:lineRule="auto"/>
      </w:pPr>
      <w:r>
        <w:t xml:space="preserve">McKenzie, F 2006, </w:t>
      </w:r>
      <w:r w:rsidRPr="33378111">
        <w:rPr>
          <w:i/>
          <w:iCs/>
        </w:rPr>
        <w:t xml:space="preserve">Administrative </w:t>
      </w:r>
      <w:bookmarkStart w:id="41" w:name="_Int_ZQwPQe00"/>
      <w:r w:rsidRPr="33378111">
        <w:rPr>
          <w:i/>
          <w:iCs/>
        </w:rPr>
        <w:t>Power</w:t>
      </w:r>
      <w:bookmarkEnd w:id="41"/>
      <w:r w:rsidRPr="33378111">
        <w:rPr>
          <w:i/>
          <w:iCs/>
        </w:rPr>
        <w:t xml:space="preserve"> and the Law: A Succinct Guide to Administrative Law</w:t>
      </w:r>
      <w:r>
        <w:t xml:space="preserve">, </w:t>
      </w:r>
      <w:r w:rsidR="00A15BB6">
        <w:t>Ligare Pty Ltd, Riverwood.</w:t>
      </w:r>
    </w:p>
    <w:p w14:paraId="6505E030" w14:textId="17441456" w:rsidR="00173A9E" w:rsidRDefault="00173A9E" w:rsidP="009C32B8">
      <w:pPr>
        <w:spacing w:line="240" w:lineRule="auto"/>
      </w:pPr>
      <w:r>
        <w:t>Organisation for Economic Co-operation</w:t>
      </w:r>
      <w:r w:rsidRPr="00CF3451">
        <w:t xml:space="preserve"> </w:t>
      </w:r>
      <w:r>
        <w:t xml:space="preserve">and Development (OECD) 2018, </w:t>
      </w:r>
      <w:r w:rsidRPr="00173A9E">
        <w:rPr>
          <w:i/>
          <w:iCs/>
        </w:rPr>
        <w:t>OECD Regulatory Enforcement and Inspections Toolkit</w:t>
      </w:r>
      <w:r>
        <w:t>, OECD Publishing, Paris.</w:t>
      </w:r>
    </w:p>
    <w:p w14:paraId="2D767252" w14:textId="77777777" w:rsidR="00173A9E" w:rsidRPr="006C0D6D" w:rsidRDefault="00173A9E" w:rsidP="009C32B8">
      <w:pPr>
        <w:spacing w:line="240" w:lineRule="auto"/>
      </w:pPr>
      <w:r>
        <w:t xml:space="preserve">Paddock, L, Markell, D &amp; </w:t>
      </w:r>
      <w:proofErr w:type="spellStart"/>
      <w:r>
        <w:t>Bryner</w:t>
      </w:r>
      <w:proofErr w:type="spellEnd"/>
      <w:r>
        <w:t xml:space="preserve">, N (eds) 2017, </w:t>
      </w:r>
      <w:r>
        <w:rPr>
          <w:i/>
          <w:iCs/>
        </w:rPr>
        <w:t>Compliance and Enforcement of Environmental Law</w:t>
      </w:r>
      <w:r>
        <w:t>, Edward Elgar Publishing.</w:t>
      </w:r>
    </w:p>
    <w:p w14:paraId="6DF4196F" w14:textId="77777777" w:rsidR="000E59D9" w:rsidRDefault="00173A9E" w:rsidP="33378111">
      <w:pPr>
        <w:spacing w:line="240" w:lineRule="auto"/>
      </w:pPr>
      <w:r>
        <w:t xml:space="preserve">Parker, C &amp; Lehmann Nielson, V 2017, ‘Compliance: 14 Questions’, </w:t>
      </w:r>
      <w:bookmarkStart w:id="42" w:name="_Int_MUA3ISDK"/>
      <w:r>
        <w:t>ANU</w:t>
      </w:r>
      <w:bookmarkEnd w:id="42"/>
      <w:r>
        <w:t xml:space="preserve"> Press, </w:t>
      </w:r>
      <w:r w:rsidRPr="33378111">
        <w:rPr>
          <w:i/>
          <w:iCs/>
        </w:rPr>
        <w:t>Regulatory Theory: Foundations and Applications</w:t>
      </w:r>
      <w:r>
        <w:t xml:space="preserve">, </w:t>
      </w:r>
      <w:proofErr w:type="spellStart"/>
      <w:r>
        <w:t>ch.</w:t>
      </w:r>
      <w:proofErr w:type="spellEnd"/>
      <w:r>
        <w:t xml:space="preserve"> 13,</w:t>
      </w:r>
      <w:r w:rsidRPr="33378111">
        <w:rPr>
          <w:i/>
          <w:iCs/>
        </w:rPr>
        <w:t xml:space="preserve"> </w:t>
      </w:r>
      <w:hyperlink r:id="rId36">
        <w:r w:rsidRPr="33378111">
          <w:rPr>
            <w:rStyle w:val="Hyperlink"/>
          </w:rPr>
          <w:t>https://press-files.anu.edu.au/downloads/press/n2304/pdf/ch13.pdf</w:t>
        </w:r>
      </w:hyperlink>
      <w:r>
        <w:t xml:space="preserve"> </w:t>
      </w:r>
    </w:p>
    <w:p w14:paraId="5FD61457" w14:textId="248BD80D" w:rsidR="00173A9E" w:rsidRPr="006F6726" w:rsidRDefault="00173A9E" w:rsidP="33378111">
      <w:pPr>
        <w:spacing w:line="240" w:lineRule="auto"/>
        <w:rPr>
          <w:i/>
          <w:iCs/>
        </w:rPr>
      </w:pPr>
      <w:r>
        <w:t xml:space="preserve">Pink, G 2021, </w:t>
      </w:r>
      <w:r w:rsidRPr="33378111">
        <w:rPr>
          <w:i/>
          <w:iCs/>
        </w:rPr>
        <w:t xml:space="preserve">Navigating Regulatory </w:t>
      </w:r>
      <w:proofErr w:type="spellStart"/>
      <w:r w:rsidR="008640BA">
        <w:rPr>
          <w:i/>
          <w:iCs/>
        </w:rPr>
        <w:t>Regulatory</w:t>
      </w:r>
      <w:proofErr w:type="spellEnd"/>
      <w:r w:rsidR="008640BA">
        <w:rPr>
          <w:i/>
          <w:iCs/>
        </w:rPr>
        <w:t xml:space="preserve"> Language: An A to Z Guide</w:t>
      </w:r>
      <w:r w:rsidRPr="33378111">
        <w:rPr>
          <w:i/>
          <w:iCs/>
        </w:rPr>
        <w:t xml:space="preserve">, </w:t>
      </w:r>
      <w:r>
        <w:t>RECAP Consultants Pty Ltd, Canberra.</w:t>
      </w:r>
      <w:r w:rsidRPr="33378111">
        <w:rPr>
          <w:i/>
          <w:iCs/>
        </w:rPr>
        <w:t xml:space="preserve"> </w:t>
      </w:r>
    </w:p>
    <w:p w14:paraId="32D73F0C" w14:textId="77777777" w:rsidR="00173A9E" w:rsidRPr="00187AA3" w:rsidRDefault="00173A9E" w:rsidP="00AB3159">
      <w:pPr>
        <w:keepNext/>
        <w:spacing w:line="240" w:lineRule="auto"/>
      </w:pPr>
      <w:proofErr w:type="spellStart"/>
      <w:r>
        <w:t>Quarmby</w:t>
      </w:r>
      <w:proofErr w:type="spellEnd"/>
      <w:r>
        <w:t xml:space="preserve">, N 2018, </w:t>
      </w:r>
      <w:r>
        <w:rPr>
          <w:i/>
          <w:iCs/>
        </w:rPr>
        <w:t>Intelligence in Regulation</w:t>
      </w:r>
      <w:r>
        <w:t>, The Federation Press.</w:t>
      </w:r>
    </w:p>
    <w:p w14:paraId="069A895A" w14:textId="77777777" w:rsidR="00173A9E" w:rsidRPr="004D3D43" w:rsidRDefault="00173A9E" w:rsidP="00774F78">
      <w:pPr>
        <w:spacing w:line="240" w:lineRule="auto"/>
      </w:pPr>
      <w:proofErr w:type="spellStart"/>
      <w:r>
        <w:t>Rooij</w:t>
      </w:r>
      <w:proofErr w:type="spellEnd"/>
      <w:r>
        <w:t xml:space="preserve">, B van &amp; Fine, A 2021, </w:t>
      </w:r>
      <w:r>
        <w:rPr>
          <w:i/>
          <w:iCs/>
        </w:rPr>
        <w:t>The Behavioural Code: the hidden ways the law makes us better…or worse</w:t>
      </w:r>
      <w:r>
        <w:t>, Beacon Press, Boston.</w:t>
      </w:r>
    </w:p>
    <w:p w14:paraId="7193FAF0" w14:textId="77777777" w:rsidR="00173A9E" w:rsidRDefault="00173A9E" w:rsidP="00921F47">
      <w:pPr>
        <w:spacing w:line="240" w:lineRule="auto"/>
      </w:pPr>
      <w:r>
        <w:t>Sparrow, M 2000</w:t>
      </w:r>
      <w:r w:rsidRPr="00190CBA">
        <w:rPr>
          <w:i/>
          <w:iCs/>
        </w:rPr>
        <w:t>, The Regulatory Craft: Controlling Risks, Solving Problems and Managing Compliance</w:t>
      </w:r>
      <w:r>
        <w:t>, Brookings Press, Washington.</w:t>
      </w:r>
    </w:p>
    <w:p w14:paraId="550EC0B2" w14:textId="77777777" w:rsidR="00173A9E" w:rsidRDefault="00173A9E" w:rsidP="009C32B8">
      <w:pPr>
        <w:spacing w:line="240" w:lineRule="auto"/>
      </w:pPr>
      <w:bookmarkStart w:id="43" w:name="_Int_3XQWwqV8"/>
      <w:r>
        <w:t xml:space="preserve">Sparrow, M 2008, </w:t>
      </w:r>
      <w:r w:rsidRPr="33378111">
        <w:rPr>
          <w:i/>
          <w:iCs/>
        </w:rPr>
        <w:t>The Character of Harms</w:t>
      </w:r>
      <w:r>
        <w:t>, Cambridge University Press, New York.</w:t>
      </w:r>
      <w:bookmarkEnd w:id="43"/>
    </w:p>
    <w:p w14:paraId="32036214" w14:textId="2E6D0BE0" w:rsidR="00173A9E" w:rsidRPr="00EF4D39" w:rsidRDefault="00173A9E" w:rsidP="009C32B8">
      <w:pPr>
        <w:spacing w:line="240" w:lineRule="auto"/>
      </w:pPr>
      <w:r>
        <w:t xml:space="preserve">Victorian Competition and Efficiency Commission, 2015, ‘Smart Regulation: Grappling with Risk’, </w:t>
      </w:r>
      <w:r>
        <w:rPr>
          <w:i/>
          <w:iCs/>
        </w:rPr>
        <w:t>Guidance Note Version 1</w:t>
      </w:r>
      <w:r>
        <w:t xml:space="preserve">, Melbourne, </w:t>
      </w:r>
      <w:hyperlink r:id="rId37" w:history="1">
        <w:r w:rsidRPr="004B4B6A">
          <w:rPr>
            <w:rStyle w:val="Hyperlink"/>
          </w:rPr>
          <w:t>https://www.vic.gov.au/sites/default/files/2019-06/Smart-regulation-Grappling-with-risk-Guidance-Note.pdf</w:t>
        </w:r>
      </w:hyperlink>
      <w:r>
        <w:t xml:space="preserve">. </w:t>
      </w:r>
    </w:p>
    <w:p w14:paraId="46D664F1" w14:textId="529F02E1" w:rsidR="00173A9E" w:rsidRDefault="00173A9E" w:rsidP="009C32B8">
      <w:pPr>
        <w:spacing w:line="240" w:lineRule="auto"/>
      </w:pPr>
      <w:r w:rsidRPr="1A8E4B59">
        <w:t>Victorian Managed Insurance Authority, ‘Risk Maturity Benchmark’</w:t>
      </w:r>
      <w:r w:rsidR="00A559A1">
        <w:t>,</w:t>
      </w:r>
      <w:r w:rsidRPr="1A8E4B59">
        <w:t xml:space="preserve">  </w:t>
      </w:r>
      <w:hyperlink r:id="rId38" w:anchor=":~:text=Risk%20Maturity%20Benchmark%20will%20help,are%20working%20for%20your%20agency">
        <w:r w:rsidRPr="1A8E4B59">
          <w:rPr>
            <w:rStyle w:val="Hyperlink"/>
          </w:rPr>
          <w:t>https://www.vmia.vic.gov.au/tools-and-insights/risk-maturity-benchmark#:~:text=Risk%20Maturity%20Benchmark%20will%20help,are%20working%20for%20your%20agency</w:t>
        </w:r>
      </w:hyperlink>
      <w:r w:rsidRPr="1A8E4B59">
        <w:t xml:space="preserve">. </w:t>
      </w:r>
    </w:p>
    <w:p w14:paraId="29EB5CED" w14:textId="77777777" w:rsidR="00173A9E" w:rsidDel="008B623E" w:rsidRDefault="00173A9E" w:rsidP="2B8E086E">
      <w:pPr>
        <w:spacing w:line="240" w:lineRule="auto"/>
      </w:pPr>
      <w:proofErr w:type="spellStart"/>
      <w:r>
        <w:t>Wauchop</w:t>
      </w:r>
      <w:proofErr w:type="spellEnd"/>
      <w:r>
        <w:t xml:space="preserve">, B &amp; Manch, K 2017, ‘Are Regulated Parties </w:t>
      </w:r>
      <w:r w:rsidRPr="3C6EB9EC">
        <w:t>Customers</w:t>
      </w:r>
      <w:r>
        <w:t xml:space="preserve">?’ Victorian University of Wellington, </w:t>
      </w:r>
      <w:r>
        <w:rPr>
          <w:i/>
          <w:iCs/>
        </w:rPr>
        <w:t xml:space="preserve">Policy Quarterly, </w:t>
      </w:r>
      <w:r>
        <w:t xml:space="preserve">vol.13, no. 4, pp. 10 – 12, </w:t>
      </w:r>
      <w:hyperlink r:id="rId39">
        <w:r w:rsidRPr="2B8E086E">
          <w:rPr>
            <w:rStyle w:val="Hyperlink"/>
          </w:rPr>
          <w:t>https://apo.org.au/node/121546</w:t>
        </w:r>
      </w:hyperlink>
      <w:r>
        <w:t xml:space="preserve"> </w:t>
      </w:r>
    </w:p>
    <w:p w14:paraId="012A2BA9" w14:textId="7B7FF0E7" w:rsidR="006063E5" w:rsidDel="008B623E" w:rsidRDefault="006063E5" w:rsidP="2B8E086E">
      <w:pPr>
        <w:spacing w:line="240" w:lineRule="auto"/>
      </w:pPr>
    </w:p>
    <w:p w14:paraId="7B143534" w14:textId="77777777" w:rsidR="00DD64DB" w:rsidRDefault="00DD64DB">
      <w:pPr>
        <w:sectPr w:rsidR="00DD64DB" w:rsidSect="00AB3159">
          <w:type w:val="continuous"/>
          <w:pgSz w:w="11906" w:h="16838" w:code="9"/>
          <w:pgMar w:top="2160" w:right="1440" w:bottom="1728" w:left="1440" w:header="562" w:footer="461" w:gutter="0"/>
          <w:cols w:num="2" w:space="708"/>
          <w:docGrid w:linePitch="360"/>
        </w:sectPr>
      </w:pPr>
    </w:p>
    <w:p w14:paraId="61894D28" w14:textId="30266B91" w:rsidR="00DC0F10" w:rsidRDefault="00DC0F10" w:rsidP="00DC0F10"/>
    <w:sectPr w:rsidR="00DC0F10" w:rsidSect="00D446DE">
      <w:headerReference w:type="default" r:id="rId40"/>
      <w:footerReference w:type="default" r:id="rId41"/>
      <w:pgSz w:w="11906" w:h="16838" w:code="9"/>
      <w:pgMar w:top="2160" w:right="1440" w:bottom="1728" w:left="1440" w:header="562"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83ED" w14:textId="77777777" w:rsidR="005B5FC8" w:rsidRDefault="005B5FC8" w:rsidP="00C671DA">
      <w:pPr>
        <w:spacing w:after="0" w:line="240" w:lineRule="auto"/>
      </w:pPr>
      <w:r>
        <w:separator/>
      </w:r>
    </w:p>
  </w:endnote>
  <w:endnote w:type="continuationSeparator" w:id="0">
    <w:p w14:paraId="28D7DCD3" w14:textId="77777777" w:rsidR="005B5FC8" w:rsidRDefault="005B5FC8" w:rsidP="00C671DA">
      <w:pPr>
        <w:spacing w:after="0" w:line="240" w:lineRule="auto"/>
      </w:pPr>
      <w:r>
        <w:continuationSeparator/>
      </w:r>
    </w:p>
  </w:endnote>
  <w:endnote w:type="continuationNotice" w:id="1">
    <w:p w14:paraId="25165D6F" w14:textId="77777777" w:rsidR="005B5FC8" w:rsidRDefault="005B5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447F" w14:textId="3BE3E586" w:rsidR="00AB0258" w:rsidRDefault="00AB0258" w:rsidP="003A60FD">
    <w:pPr>
      <w:pStyle w:val="Footer"/>
      <w:ind w:right="-540"/>
      <w:jc w:val="right"/>
    </w:pPr>
    <w:r>
      <w:drawing>
        <wp:inline distT="0" distB="0" distL="0" distR="0" wp14:anchorId="11732627" wp14:editId="1E7AAD41">
          <wp:extent cx="799044"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99044" cy="457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B048" w14:textId="28C7F63A" w:rsidR="001C2F49" w:rsidRPr="00DC0F10" w:rsidRDefault="001C2F49" w:rsidP="00DC0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D8A" w14:textId="47578E31" w:rsidR="001C2F49" w:rsidRPr="00546AED" w:rsidRDefault="001C2F49" w:rsidP="001A0C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B39C" w14:textId="3FCDC6C6" w:rsidR="001A0CE2" w:rsidRDefault="008351E2" w:rsidP="008351E2">
    <w:pPr>
      <w:pStyle w:val="Footer"/>
      <w:tabs>
        <w:tab w:val="clear" w:pos="9026"/>
        <w:tab w:val="right" w:pos="9090"/>
      </w:tabs>
      <w:spacing w:before="60"/>
      <w:ind w:right="-158"/>
    </w:pPr>
    <w:r>
      <mc:AlternateContent>
        <mc:Choice Requires="wpg">
          <w:drawing>
            <wp:anchor distT="0" distB="0" distL="114300" distR="114300" simplePos="0" relativeHeight="251657216" behindDoc="1" locked="0" layoutInCell="1" allowOverlap="1" wp14:anchorId="165EF604" wp14:editId="63555088">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87AB7" id="Group 46" o:spid="_x0000_s1026" alt="&quot;&quot;" style="position:absolute;margin-left:450.85pt;margin-top:768.75pt;width:146.4pt;height:73.1pt;z-index:-251659264;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00b2a9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99dfdd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99dfdd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4dc7c4 [3208]" stroked="f" strokeweight=".1125mm">
                <v:stroke joinstyle="miter"/>
                <v:path arrowok="t" o:connecttype="custom" o:connectlocs="1449462,724702;0,724702;724751,0;1449462,724702" o:connectangles="0,0,0,0"/>
              </v:shape>
              <w10:wrap anchorx="page" anchory="page"/>
            </v:group>
          </w:pict>
        </mc:Fallback>
      </mc:AlternateContent>
    </w:r>
    <w:r w:rsidR="001A0CE2" w:rsidRPr="009057A9">
      <w:rPr>
        <w:rFonts w:asciiTheme="majorHAnsi" w:hAnsiTheme="majorHAnsi"/>
      </w:rPr>
      <w:fldChar w:fldCharType="begin"/>
    </w:r>
    <w:r w:rsidR="001A0CE2" w:rsidRPr="009057A9">
      <w:rPr>
        <w:rFonts w:asciiTheme="majorHAnsi" w:hAnsiTheme="majorHAnsi"/>
      </w:rPr>
      <w:instrText xml:space="preserve"> STYLEREF  Title  \* MERGEFORMAT </w:instrText>
    </w:r>
    <w:r w:rsidR="001A0CE2" w:rsidRPr="009057A9">
      <w:rPr>
        <w:rFonts w:asciiTheme="majorHAnsi" w:hAnsiTheme="majorHAnsi"/>
      </w:rPr>
      <w:fldChar w:fldCharType="separate"/>
    </w:r>
    <w:r w:rsidR="00EF7F77">
      <w:rPr>
        <w:rFonts w:asciiTheme="majorHAnsi" w:hAnsiTheme="majorHAnsi"/>
      </w:rPr>
      <w:t>Towards Best Practice Implementation Handbook</w:t>
    </w:r>
    <w:r w:rsidR="001A0CE2" w:rsidRPr="009057A9">
      <w:rPr>
        <w:rFonts w:asciiTheme="majorHAnsi" w:hAnsiTheme="majorHAnsi"/>
      </w:rPr>
      <w:fldChar w:fldCharType="end"/>
    </w:r>
    <w:r w:rsidR="001A0CE2">
      <w:tab/>
    </w:r>
    <w:r w:rsidR="001A0CE2" w:rsidRPr="008351E2">
      <w:rPr>
        <w:noProof w:val="0"/>
        <w:color w:val="FFFFFF" w:themeColor="background1"/>
      </w:rPr>
      <w:fldChar w:fldCharType="begin"/>
    </w:r>
    <w:r w:rsidR="001A0CE2" w:rsidRPr="008351E2">
      <w:rPr>
        <w:color w:val="FFFFFF" w:themeColor="background1"/>
      </w:rPr>
      <w:instrText xml:space="preserve"> PAGE   \* MERGEFORMAT </w:instrText>
    </w:r>
    <w:r w:rsidR="001A0CE2" w:rsidRPr="008351E2">
      <w:rPr>
        <w:noProof w:val="0"/>
        <w:color w:val="FFFFFF" w:themeColor="background1"/>
      </w:rPr>
      <w:fldChar w:fldCharType="separate"/>
    </w:r>
    <w:r w:rsidR="001A0CE2" w:rsidRPr="008351E2">
      <w:rPr>
        <w:noProof w:val="0"/>
        <w:color w:val="FFFFFF" w:themeColor="background1"/>
      </w:rPr>
      <w:t>1</w:t>
    </w:r>
    <w:r w:rsidR="001A0CE2" w:rsidRPr="008351E2">
      <w:rPr>
        <w:color w:val="FFFFFF" w:themeColor="background1"/>
      </w:rPr>
      <w:fldChar w:fldCharType="end"/>
    </w:r>
  </w:p>
  <w:p w14:paraId="107E2DF5" w14:textId="26FD3F54" w:rsidR="001A0CE2" w:rsidRPr="00546AED" w:rsidRDefault="001A0CE2" w:rsidP="008351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B08C" w14:textId="77777777" w:rsidR="0001044F" w:rsidRPr="00546AED" w:rsidRDefault="0001044F" w:rsidP="0001044F">
    <w:pPr>
      <w:pStyle w:val="Footer"/>
    </w:pPr>
    <w:r>
      <mc:AlternateContent>
        <mc:Choice Requires="wpg">
          <w:drawing>
            <wp:anchor distT="0" distB="0" distL="114300" distR="114300" simplePos="0" relativeHeight="251659264" behindDoc="0" locked="0" layoutInCell="1" allowOverlap="1" wp14:anchorId="55D0BD21" wp14:editId="5AFF5AE7">
              <wp:simplePos x="0" y="0"/>
              <wp:positionH relativeFrom="page">
                <wp:posOffset>-21590</wp:posOffset>
              </wp:positionH>
              <wp:positionV relativeFrom="paragraph">
                <wp:posOffset>-4171950</wp:posOffset>
              </wp:positionV>
              <wp:extent cx="7577455" cy="5053965"/>
              <wp:effectExtent l="0" t="0" r="4445" b="32385"/>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7455" cy="5053965"/>
                        <a:chOff x="0" y="0"/>
                        <a:chExt cx="7577595" cy="5054542"/>
                      </a:xfrm>
                    </wpg:grpSpPr>
                    <wps:wsp>
                      <wps:cNvPr id="9" name="Freeform: Shape 9"/>
                      <wps:cNvSpPr/>
                      <wps:spPr>
                        <a:xfrm rot="18900000">
                          <a:off x="3262866" y="753583"/>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0"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0"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5050465" y="2519917"/>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960637" id="Group 8" o:spid="_x0000_s1026" alt="&quot;&quot;" style="position:absolute;margin-left:-1.7pt;margin-top:-328.5pt;width:596.65pt;height:397.95pt;flip:x;z-index:251659264;mso-position-horizontal-relative:page" coordsize="75775,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">
              <v:shape id="Freeform: Shape 9" o:spid="_x0000_s1027" style="position:absolute;left:32628;top:7535;width:35740;height:35741;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" path="m,l3574033,r,3574034l,3574034,,xe" fillcolor="#00b2a9 [3204]" stroked="f" strokeweight=".39244mm">
                <v:stroke joinstyle="miter"/>
                <v:path arrowok="t" o:connecttype="custom" o:connectlocs="0,0;3574033,0;3574033,3574034;0,3574034" o:connectangles="0,0,0,0"/>
              </v:shape>
              <v:shape id="Freeform: Shape 11" o:spid="_x0000_s1028" style="position:absolute;width:25272;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" path="m,l,5054543,2527272,2527271,,,,xe" fillcolor="#99dfdd [3209]" stroked="f" strokeweight=".39244mm">
                <v:stroke joinstyle="miter"/>
                <v:path arrowok="t" o:connecttype="custom" o:connectlocs="0,0;0,5054543;2527272,2527271;0,0;0,0" o:connectangles="0,0,0,0,0"/>
              </v:shape>
              <v:shape id="Freeform: Shape 12" o:spid="_x0000_s1029" style="position:absolute;top:25199;width:50545;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" path="m,2527271r5054543,l2527272,,,2527271xe" fillcolor="#4dc7c4 [3208]" stroked="f" strokeweight=".39244mm">
                <v:stroke joinstyle="miter"/>
                <v:path arrowok="t" o:connecttype="custom" o:connectlocs="0,2527271;5054543,2527271;2527272,0;0,2527271" o:connectangles="0,0,0,0"/>
              </v:shape>
              <v:shape id="Freeform: Shape 13" o:spid="_x0000_s1030" style="position:absolute;left:50504;top:25199;width:25271;height:25272;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" path="m,2527130r2527131,141l2527131,,,2527130xe" fillcolor="#1f2a44 [3215]" stroked="f" strokeweight=".39244mm">
                <v:stroke joinstyle="miter"/>
                <v:path arrowok="t" o:connecttype="custom" o:connectlocs="0,2527130;2527131,2527271;2527131,0;0,2527130" o:connectangles="0,0,0,0"/>
              </v:shape>
              <w10:wrap anchorx="page"/>
            </v:group>
          </w:pict>
        </mc:Fallback>
      </mc:AlternateContent>
    </w:r>
  </w:p>
  <w:p w14:paraId="5EBDE203" w14:textId="0F4B85B1" w:rsidR="00AB3159" w:rsidRPr="0001044F" w:rsidRDefault="00AB3159" w:rsidP="0001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1FB5" w14:textId="77777777" w:rsidR="005B5FC8" w:rsidRDefault="005B5FC8" w:rsidP="00C671DA">
      <w:pPr>
        <w:spacing w:after="0" w:line="240" w:lineRule="auto"/>
      </w:pPr>
      <w:r>
        <w:separator/>
      </w:r>
    </w:p>
  </w:footnote>
  <w:footnote w:type="continuationSeparator" w:id="0">
    <w:p w14:paraId="74978C34" w14:textId="77777777" w:rsidR="005B5FC8" w:rsidRDefault="005B5FC8" w:rsidP="00C671DA">
      <w:pPr>
        <w:spacing w:after="0" w:line="240" w:lineRule="auto"/>
      </w:pPr>
      <w:r>
        <w:continuationSeparator/>
      </w:r>
    </w:p>
  </w:footnote>
  <w:footnote w:type="continuationNotice" w:id="1">
    <w:p w14:paraId="670DED00" w14:textId="77777777" w:rsidR="005B5FC8" w:rsidRDefault="005B5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1D0F" w14:textId="0A92990D" w:rsidR="001C2F49" w:rsidRDefault="0058650E" w:rsidP="00155F3E">
    <w:pPr>
      <w:pStyle w:val="Footer"/>
    </w:pPr>
    <w:r>
      <mc:AlternateContent>
        <mc:Choice Requires="wps">
          <w:drawing>
            <wp:anchor distT="0" distB="0" distL="114300" distR="114300" simplePos="0" relativeHeight="251656192" behindDoc="1" locked="0" layoutInCell="1" allowOverlap="1" wp14:anchorId="35063E32" wp14:editId="7D0C4C3F">
              <wp:simplePos x="0" y="0"/>
              <wp:positionH relativeFrom="page">
                <wp:align>right</wp:align>
              </wp:positionH>
              <wp:positionV relativeFrom="paragraph">
                <wp:posOffset>-725214</wp:posOffset>
              </wp:positionV>
              <wp:extent cx="7552944" cy="10661904"/>
              <wp:effectExtent l="0" t="0" r="0" b="6350"/>
              <wp:wrapNone/>
              <wp:docPr id="1" name="Rectangle 1"/>
              <wp:cNvGraphicFramePr/>
              <a:graphic xmlns:a="http://schemas.openxmlformats.org/drawingml/2006/main">
                <a:graphicData uri="http://schemas.microsoft.com/office/word/2010/wordprocessingShape">
                  <wps:wsp>
                    <wps:cNvSpPr/>
                    <wps:spPr>
                      <a:xfrm>
                        <a:off x="0" y="0"/>
                        <a:ext cx="7552944" cy="1066190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3FD17" id="Rectangle 1" o:spid="_x0000_s1026" style="position:absolute;margin-left:543.5pt;margin-top:-57.1pt;width:594.7pt;height:839.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" fillcolor="#1f2a44 [3215]" stroked="f" strokeweight="1pt">
              <w10:wrap anchorx="page"/>
            </v:rect>
          </w:pict>
        </mc:Fallback>
      </mc:AlternateContent>
    </w:r>
    <w:r w:rsidR="00DA5936">
      <mc:AlternateContent>
        <mc:Choice Requires="wpg">
          <w:drawing>
            <wp:anchor distT="0" distB="0" distL="114300" distR="114300" simplePos="0" relativeHeight="251658240" behindDoc="1" locked="1" layoutInCell="1" allowOverlap="1" wp14:anchorId="727F691F" wp14:editId="5BD5F9AE">
              <wp:simplePos x="0" y="0"/>
              <wp:positionH relativeFrom="page">
                <wp:posOffset>-21590</wp:posOffset>
              </wp:positionH>
              <wp:positionV relativeFrom="page">
                <wp:posOffset>5660390</wp:posOffset>
              </wp:positionV>
              <wp:extent cx="7580376" cy="5056632"/>
              <wp:effectExtent l="0" t="0" r="1905"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0376" cy="5056632"/>
                        <a:chOff x="0" y="0"/>
                        <a:chExt cx="7577595" cy="5054542"/>
                      </a:xfrm>
                    </wpg:grpSpPr>
                    <wps:wsp>
                      <wps:cNvPr id="18" name="Freeform: Shape 18"/>
                      <wps:cNvSpPr/>
                      <wps:spPr>
                        <a:xfrm rot="18900000">
                          <a:off x="3262866" y="753583"/>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0"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0"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19917"/>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F81314" id="Group 22" o:spid="_x0000_s1026" alt="&quot;&quot;" style="position:absolute;margin-left:-1.7pt;margin-top:445.7pt;width:596.9pt;height:398.15pt;z-index:-251658240;mso-position-horizontal-relative:page;mso-position-vertical-relative:page;mso-width-relative:margin;mso-height-relative:margin" coordsize="75775,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">
              <v:shape id="Freeform: Shape 18" o:spid="_x0000_s1027" style="position:absolute;left:32628;top:7535;width:35740;height:35741;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path="m,l3574033,r,3574034l,3574034,,xe" fillcolor="#00b2a9 [3204]" stroked="f" strokeweight=".39244mm">
                <v:stroke joinstyle="miter"/>
                <v:path arrowok="t" o:connecttype="custom" o:connectlocs="0,0;3574033,0;3574033,3574034;0,3574034" o:connectangles="0,0,0,0"/>
              </v:shape>
              <v:shape id="Freeform: Shape 19" o:spid="_x0000_s1028" style="position:absolute;width:25272;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path="m,l,5054543,2527272,2527271,,,,xe" fillcolor="#99dfdd [3209]" stroked="f" strokeweight=".39244mm">
                <v:stroke joinstyle="miter"/>
                <v:path arrowok="t" o:connecttype="custom" o:connectlocs="0,0;0,5054543;2527272,2527271;0,0;0,0" o:connectangles="0,0,0,0,0"/>
              </v:shape>
              <v:shape id="Freeform: Shape 20" o:spid="_x0000_s1029" style="position:absolute;top:25199;width:50545;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path="m,2527271r5054543,l2527272,,,2527271xe" fillcolor="#4dc7c4 [3208]" stroked="f" strokeweight=".39244mm">
                <v:stroke joinstyle="miter"/>
                <v:path arrowok="t" o:connecttype="custom" o:connectlocs="0,2527271;5054543,2527271;2527272,0;0,2527271" o:connectangles="0,0,0,0"/>
              </v:shape>
              <v:shape id="Freeform: Shape 21" o:spid="_x0000_s1030" style="position:absolute;left:50504;top:25199;width:25271;height:25272;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" path="m,2527130r2527131,141l2527131,,,2527130xe" fillcolor="#99dfdd [3209]" stroked="f" strokeweight=".39244mm">
                <v:stroke joinstyle="miter"/>
                <v:path arrowok="t" o:connecttype="custom" o:connectlocs="0,2527130;2527131,2527271;2527131,0;0,2527130" o:connectangles="0,0,0,0"/>
              </v:shape>
              <w10:wrap anchorx="page" anchory="page"/>
              <w10:anchorlock/>
            </v:group>
          </w:pict>
        </mc:Fallback>
      </mc:AlternateContent>
    </w:r>
    <w:r w:rsidR="00CE0D05">
      <w:drawing>
        <wp:inline distT="0" distB="0" distL="0" distR="0" wp14:anchorId="7FEA0028" wp14:editId="3AD87E86">
          <wp:extent cx="2397563" cy="548639"/>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397563" cy="5486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E86D" w14:textId="54FD9B6A" w:rsidR="001C2F49" w:rsidRPr="00DC0F10" w:rsidRDefault="001C2F49" w:rsidP="00DC0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87D" w14:textId="55AD51C1" w:rsidR="001C2F49" w:rsidRPr="00546AED" w:rsidRDefault="001C2F49" w:rsidP="00546A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EA3" w14:textId="77777777" w:rsidR="001C2F49" w:rsidRDefault="001C2F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382F" w14:textId="2C066002" w:rsidR="001A0CE2" w:rsidRPr="008351E2" w:rsidRDefault="001A0CE2" w:rsidP="008351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D2D8" w14:textId="0F33A6F4" w:rsidR="00AB3159" w:rsidRPr="00546AED" w:rsidRDefault="00AB3159" w:rsidP="00546AED">
    <w:pPr>
      <w:pStyle w:val="Header"/>
    </w:pPr>
  </w:p>
</w:hdr>
</file>

<file path=word/intelligence2.xml><?xml version="1.0" encoding="utf-8"?>
<int2:intelligence xmlns:int2="http://schemas.microsoft.com/office/intelligence/2020/intelligence" xmlns:oel="http://schemas.microsoft.com/office/2019/extlst">
  <int2:observations>
    <int2:textHash int2:hashCode="jGpuwlTcpc5wHN" int2:id="3Q4ypK6g">
      <int2:state int2:value="Rejected" int2:type="LegacyProofing"/>
    </int2:textHash>
    <int2:textHash int2:hashCode="R3+viCzlzzjOfa" int2:id="DcVJWTm4">
      <int2:state int2:value="Rejected" int2:type="LegacyProofing"/>
    </int2:textHash>
    <int2:textHash int2:hashCode="5ukLkRn85Wl6ss" int2:id="hfuw4GjJ">
      <int2:state int2:value="Rejected" int2:type="LegacyProofing"/>
    </int2:textHash>
    <int2:textHash int2:hashCode="HrbTK0/y8pljAP" int2:id="sYZCxd9o">
      <int2:state int2:value="Rejected" int2:type="LegacyProofing"/>
    </int2:textHash>
    <int2:bookmark int2:bookmarkName="_Int_7ifANK8s" int2:invalidationBookmarkName="" int2:hashCode="Ub6cI5hesxrTwA" int2:id="127Di057">
      <int2:state int2:value="Rejected" int2:type="AugLoop_Text_Critique"/>
    </int2:bookmark>
    <int2:bookmark int2:bookmarkName="_Int_ovWypQZf" int2:invalidationBookmarkName="" int2:hashCode="Y998es94kXtamg" int2:id="57lKsNRd">
      <int2:state int2:value="Rejected" int2:type="AugLoop_Acronyms_AcronymsCritique"/>
    </int2:bookmark>
    <int2:bookmark int2:bookmarkName="_Int_zinXCR3r" int2:invalidationBookmarkName="" int2:hashCode="brYSMEnsOS9FEv" int2:id="A9H8sdpe">
      <int2:state int2:value="Rejected" int2:type="AugLoop_Text_Critique"/>
    </int2:bookmark>
    <int2:bookmark int2:bookmarkName="_Int_S1sxcubE" int2:invalidationBookmarkName="" int2:hashCode="OozqXKymNWlQLp" int2:id="BHqA2kw0">
      <int2:extLst>
        <oel:ext uri="426473B9-03D8-482F-96C9-C2C85392BACA">
          <int2:similarityCritique int2:version="1" int2:context="Ensure that all facts and circumstances in an individual situation have been fully and fairly considered on their merits.">
            <int2:source int2:sourceType="Online" int2:sourceTitle="Our regulatory philosophy | Civil Aviation Safety Authority" int2:sourceUrl="https://www.casa.gov.au/about-us/who-we-are/our-regulatory-philosophy" int2:sourceSnippet="Our regulatory philosophy is published in accordance with the Government's response to the aviation safety Regulation Review. ... CASA will also ensure that all relevant facts and circumstances peculiar to an individual situation have been fully and fairly considered on their merits, and will provide advice about, or decide the outcome of, a ...">
              <int2:suggestions int2:citationType="Inline">
                <int2:suggestion int2:citationStyle="Mla" int2:isIdentical="0">
                  <int2:citationText>(“Our regulatory philosophy | Civil Aviation Safety Authority”)</int2:citationText>
                </int2:suggestion>
                <int2:suggestion int2:citationStyle="Apa" int2:isIdentical="0">
                  <int2:citationText>(“Our regulatory philosophy | Civil Aviation Safety Authority”)</int2:citationText>
                </int2:suggestion>
                <int2:suggestion int2:citationStyle="Chicago" int2:isIdentical="0">
                  <int2:citationText>(“Our regulatory philosophy | Civil Aviation Safety Authority”)</int2:citationText>
                </int2:suggestion>
              </int2:suggestions>
              <int2:suggestions int2:citationType="Full">
                <int2:suggestion int2:citationStyle="Mla" int2:isIdentical="0">
                  <int2:citationText>&lt;i&gt;Our regulatory philosophy | Civil Aviation Safety Authority&lt;/i&gt;, https://www.casa.gov.au/about-us/who-we-are/our-regulatory-philosophy.</int2:citationText>
                </int2:suggestion>
                <int2:suggestion int2:citationStyle="Apa" int2:isIdentical="0">
                  <int2:citationText>&lt;i&gt;Our regulatory philosophy | Civil Aviation Safety Authority&lt;/i&gt;. (n.d.). Retrieved from https://www.casa.gov.au/about-us/who-we-are/our-regulatory-philosophy</int2:citationText>
                </int2:suggestion>
                <int2:suggestion int2:citationStyle="Chicago" int2:isIdentical="0">
                  <int2:citationText>“Our regulatory philosophy | Civil Aviation Safety Authority” n.d., https://www.casa.gov.au/about-us/who-we-are/our-regulatory-philosophy.</int2:citationText>
                </int2:suggestion>
              </int2:suggestions>
            </int2:source>
          </int2:similarityCritique>
        </oel:ext>
      </int2:extLst>
    </int2:bookmark>
    <int2:bookmark int2:bookmarkName="_Int_H7tLikRM" int2:invalidationBookmarkName="" int2:hashCode="DjNvRenrPbykE0" int2:id="Bvyp9Quk">
      <int2:state int2:value="Rejected" int2:type="AugLoop_Acronyms_AcronymsCritique"/>
    </int2:bookmark>
    <int2:bookmark int2:bookmarkName="_Int_MUA3ISDK" int2:invalidationBookmarkName="" int2:hashCode="PUAZAeX3ua7LWe" int2:id="EPOJ7OjS">
      <int2:state int2:value="Rejected" int2:type="AugLoop_Acronyms_AcronymsCritique"/>
    </int2:bookmark>
    <int2:bookmark int2:bookmarkName="_Int_tAzDMBj2" int2:invalidationBookmarkName="" int2:hashCode="y21Hx97093B/5K" int2:id="HcZk8FRB">
      <int2:state int2:value="Rejected" int2:type="AugLoop_Text_Critique"/>
    </int2:bookmark>
    <int2:bookmark int2:bookmarkName="_Int_p3Qh90cR" int2:invalidationBookmarkName="" int2:hashCode="Dvj+hORBXaM3mO" int2:id="Hmb4edVJ">
      <int2:state int2:value="Rejected" int2:type="AugLoop_Text_Critique"/>
    </int2:bookmark>
    <int2:bookmark int2:bookmarkName="_Int_1O9aTmjp" int2:invalidationBookmarkName="" int2:hashCode="LVawTF0mEXYGoa" int2:id="I5MWLuks">
      <int2:state int2:value="Rejected" int2:type="AugLoop_Text_Critique"/>
    </int2:bookmark>
    <int2:bookmark int2:bookmarkName="_Int_iBFPco60" int2:invalidationBookmarkName="" int2:hashCode="6pLkQ3xidruP1Y" int2:id="LlMUVg8p">
      <int2:state int2:value="Rejected" int2:type="AugLoop_Text_Critique"/>
    </int2:bookmark>
    <int2:bookmark int2:bookmarkName="_Int_wyNPclcA" int2:invalidationBookmarkName="" int2:hashCode="owtyu7MGGZtnZf" int2:id="LwhY9aP8">
      <int2:state int2:value="Rejected" int2:type="AugLoop_Text_Critique"/>
    </int2:bookmark>
    <int2:bookmark int2:bookmarkName="_Int_UBcEGIao" int2:invalidationBookmarkName="" int2:hashCode="AuJWVWdMWkcp2A" int2:id="NHTEV3wy">
      <int2:state int2:value="Rejected" int2:type="LegacyProofing"/>
    </int2:bookmark>
    <int2:bookmark int2:bookmarkName="_Int_WYeqOYaD" int2:invalidationBookmarkName="" int2:hashCode="VRd/LyDcPFdCnc" int2:id="RiIncIbw">
      <int2:state int2:value="Rejected" int2:type="AugLoop_Text_Critique"/>
    </int2:bookmark>
    <int2:bookmark int2:bookmarkName="_Int_jHS5Xm7q" int2:invalidationBookmarkName="" int2:hashCode="SmBxMu1yXeewFC" int2:id="RulGITrF">
      <int2:state int2:value="Rejected" int2:type="LegacyProofing"/>
    </int2:bookmark>
    <int2:bookmark int2:bookmarkName="_Int_2DHQm9Cg" int2:invalidationBookmarkName="" int2:hashCode="aups33Dx9cjmOq" int2:id="WoXRIbm3">
      <int2:state int2:value="Rejected" int2:type="AugLoop_Text_Critique"/>
    </int2:bookmark>
    <int2:bookmark int2:bookmarkName="_Int_3XQWwqV8" int2:invalidationBookmarkName="" int2:hashCode="JaUYcHRL8yLIm0" int2:id="X90eX5H2">
      <int2:extLst>
        <oel:ext uri="426473B9-03D8-482F-96C9-C2C85392BACA">
          <int2:similarityCritique int2:version="1" int2:context="Sparrow, M 2008, The Character of Harms, Cambridge University Press, New York.">
            <int2:source int2:sourceType="Online" int2:sourceTitle="The Harms of Cocaine Trafficking: Applying a New Framework for ..." int2:sourceUrl="https://journals.sagepub.com/doi/abs/10.1177/0022042613475614" int2:sourceSnippet="The Harms of Cocaine Trafficking: Applying a New Framework for Assessment. Letizia Paoli, Victoria A. Greenfield, and Andries Zoutendijk View all authors and affiliations. Volume 43, Issue 4. ... Sparrow M. (2008) The character of harms. Operational challenges in control. Cambridge, UK: Cambridge University Press.">
              <int2:suggestions int2:citationType="Inline">
                <int2:suggestion int2:citationStyle="Mla" int2:isIdentical="0">
                  <int2:citationText>(“The Harms of Cocaine Trafficking: Applying a New Framework for ...”)</int2:citationText>
                </int2:suggestion>
                <int2:suggestion int2:citationStyle="Apa" int2:isIdentical="0">
                  <int2:citationText>(“The Harms of Cocaine Trafficking: Applying a New Framework for ...”)</int2:citationText>
                </int2:suggestion>
                <int2:suggestion int2:citationStyle="Chicago" int2:isIdentical="0">
                  <int2:citationText>(“The Harms of Cocaine Trafficking: Applying a New Framework for ...”)</int2:citationText>
                </int2:suggestion>
              </int2:suggestions>
              <int2:suggestions int2:citationType="Full">
                <int2:suggestion int2:citationStyle="Mla" int2:isIdentical="0">
                  <int2:citationText>&lt;i&gt;The Harms of Cocaine Trafficking: Applying a New Framework for ...&lt;/i&gt;, https://journals.sagepub.com/doi/abs/10.1177/0022042613475614.</int2:citationText>
                </int2:suggestion>
                <int2:suggestion int2:citationStyle="Apa" int2:isIdentical="0">
                  <int2:citationText>&lt;i&gt;The Harms of Cocaine Trafficking: Applying a New Framework for ...&lt;/i&gt;. (n.d.). Retrieved from https://journals.sagepub.com/doi/abs/10.1177/0022042613475614</int2:citationText>
                </int2:suggestion>
                <int2:suggestion int2:citationStyle="Chicago" int2:isIdentical="0">
                  <int2:citationText>“The Harms of Cocaine Trafficking: Applying a New Framework for ...” n.d., https://journals.sagepub.com/doi/abs/10.1177/0022042613475614.</int2:citationText>
                </int2:suggestion>
              </int2:suggestions>
            </int2:source>
          </int2:similarityCritique>
        </oel:ext>
      </int2:extLst>
    </int2:bookmark>
    <int2:bookmark int2:bookmarkName="_Int_YWKiNihA" int2:invalidationBookmarkName="" int2:hashCode="YqqI4Vi4b11W3T" int2:id="XxtxR06F">
      <int2:state int2:value="Rejected" int2:type="AugLoop_Text_Critique"/>
    </int2:bookmark>
    <int2:bookmark int2:bookmarkName="_Int_ZQwPQe00" int2:invalidationBookmarkName="" int2:hashCode="dUirUsPR1ZUkA3" int2:id="dVHKU5Oh">
      <int2:state int2:value="Rejected" int2:type="AugLoop_Text_Critique"/>
    </int2:bookmark>
    <int2:bookmark int2:bookmarkName="_Int_vwaaTrHW" int2:invalidationBookmarkName="" int2:hashCode="3KzQTPmfarL0ia" int2:id="jsBX54aD">
      <int2:state int2:value="Rejected" int2:type="LegacyProofing"/>
    </int2:bookmark>
    <int2:bookmark int2:bookmarkName="_Int_TlS6Z85u" int2:invalidationBookmarkName="" int2:hashCode="dZYT5DE/N3sn7L" int2:id="nr4LIL3I">
      <int2:state int2:value="Rejected" int2:type="AugLoop_Text_Critique"/>
    </int2:bookmark>
    <int2:bookmark int2:bookmarkName="_Int_t2KVrodW" int2:invalidationBookmarkName="" int2:hashCode="Ahkp2yRIj4thmq" int2:id="o5zrSNWX">
      <int2:state int2:value="Rejected" int2:type="AugLoop_Text_Critique"/>
    </int2:bookmark>
    <int2:bookmark int2:bookmarkName="_Int_J6BUxwMo" int2:invalidationBookmarkName="" int2:hashCode="7S6zdCYYuxDTsr" int2:id="oPLLSRkr">
      <int2:state int2:value="Rejected" int2:type="LegacyProofing"/>
    </int2:bookmark>
    <int2:bookmark int2:bookmarkName="_Int_xXPDBNh3" int2:invalidationBookmarkName="" int2:hashCode="aups33Dx9cjmOq" int2:id="oqhoxzKb">
      <int2:state int2:value="Rejected" int2:type="AugLoop_Text_Critique"/>
    </int2:bookmark>
    <int2:bookmark int2:bookmarkName="_Int_shMvmyME" int2:invalidationBookmarkName="" int2:hashCode="L19RUXGDDgJqGk" int2:id="ovrEapeZ">
      <int2:state int2:value="Rejected" int2:type="AugLoop_Text_Critique"/>
    </int2:bookmark>
    <int2:bookmark int2:bookmarkName="_Int_WZEhH9jd" int2:invalidationBookmarkName="" int2:hashCode="uI5ptMiYXW/yiU" int2:id="pqRpnGAg">
      <int2:extLst>
        <oel:ext uri="426473B9-03D8-482F-96C9-C2C85392BACA">
          <int2:similarityCritique int2:version="1" int2:context="Work with regulatory peers and partners on shared harms and risks">
            <int2:source int2:sourceType="Online" int2:sourceTitle="Towards best practice guide for regulators | Victorian Government" int2:sourceUrl="https://www.vic.gov.au/towards-best-practice-guide-regulators" int2:sourceSnippet="Work with regulatory peers and partners on shared harms and risks; Be transparent and accountable for how you perform your activities; Continuously improve your regulatory operations; Better Regulation Victoria will develop further guidance to explain the principles and provide practical support to regulators. BRV also delivers health checks ...">
              <int2:suggestions int2:citationType="Inline">
                <int2:suggestion int2:citationStyle="Mla" int2:isIdentical="1">
                  <int2:citationText>(“Towards best practice guide for regulators | Victorian Government”)</int2:citationText>
                </int2:suggestion>
                <int2:suggestion int2:citationStyle="Apa" int2:isIdentical="1">
                  <int2:citationText>(“Towards best practice guide for regulators | Victorian Government”)</int2:citationText>
                </int2:suggestion>
                <int2:suggestion int2:citationStyle="Chicago" int2:isIdentical="1">
                  <int2:citationText>(“Towards best practice guide for regulators | Victorian Government”)</int2:citationText>
                </int2:suggestion>
              </int2:suggestions>
              <int2:suggestions int2:citationType="Full">
                <int2:suggestion int2:citationStyle="Mla" int2:isIdentical="1">
                  <int2:citationText>&lt;i&gt;Towards best practice guide for regulators | Victorian Government&lt;/i&gt;, https://www.vic.gov.au/towards-best-practice-guide-regulators.</int2:citationText>
                </int2:suggestion>
                <int2:suggestion int2:citationStyle="Apa" int2:isIdentical="1">
                  <int2:citationText>&lt;i&gt;Towards best practice guide for regulators | Victorian Government&lt;/i&gt;. (n.d.). Retrieved from https://www.vic.gov.au/towards-best-practice-guide-regulators</int2:citationText>
                </int2:suggestion>
                <int2:suggestion int2:citationStyle="Chicago" int2:isIdentical="1">
                  <int2:citationText>“Towards best practice guide for regulators | Victorian Government” n.d., https://www.vic.gov.au/towards-best-practice-guide-regulators.</int2:citationText>
                </int2:suggestion>
              </int2:suggestions>
            </int2:source>
          </int2:similarityCritique>
        </oel:ext>
      </int2:extLst>
    </int2:bookmark>
    <int2:bookmark int2:bookmarkName="_Int_7Wzx4Ipu" int2:invalidationBookmarkName="" int2:hashCode="SyDlj8g609TV2I" int2:id="smkfdOWf">
      <int2:state int2:value="Rejected" int2:type="AugLoop_Text_Critique"/>
    </int2:bookmark>
    <int2:bookmark int2:bookmarkName="_Int_LasvQv5z" int2:invalidationBookmarkName="" int2:hashCode="XLpTDkzgmpwU+M" int2:id="snWrVQ6s">
      <int2:state int2:value="Rejected" int2:type="AugLoop_Text_Critique"/>
    </int2:bookmark>
    <int2:bookmark int2:bookmarkName="_Int_YsFhz2jT" int2:invalidationBookmarkName="" int2:hashCode="eFmHZI+FGQz96e" int2:id="x7Hn7Fuf">
      <int2:state int2:value="Rejected" int2:type="LegacyProofing"/>
    </int2:bookmark>
    <int2:bookmark int2:bookmarkName="_Int_4DBzayYI" int2:invalidationBookmarkName="" int2:hashCode="EbWG/ZcbGaR1TT" int2:id="yyGele79">
      <int2:state int2:value="Rejected" int2:type="AugLoop_Text_Critique"/>
    </int2:bookmark>
    <int2:bookmark int2:bookmarkName="_Int_3nViSzp3" int2:invalidationBookmarkName="" int2:hashCode="WHMoXtBy5i+SKO" int2:id="zJBNL3tg">
      <int2:state int2:value="Rejected" int2:type="AugLoop_Text_Critique"/>
    </int2:bookmark>
    <int2:entireDocument int2:id="LT8XNRhW">
      <int2:extLst>
        <oel:ext uri="E302BA01-7950-474C-9AD3-286E660C40A8">
          <int2:similaritySummary int2:version="1" int2:runId="1673331425689" int2:tilesCheckedInThisRun="580" int2:totalNumOfTiles="580" int2:similarityAnnotationCount="3" int2:numWords="8061" int2:numFlaggedWords="42"/>
        </oel:ext>
      </int2:extLst>
    </int2:entireDocument>
  </int2:observations>
  <int2:intelligenceSettings/>
  <int2:onDemandWorkflows>
    <int2:onDemandWorkflow int2:type="SimilarityCheck" int2:paragraphVersions="172772C8-77777777 00EAC0D9-79039F6C 3F972841-48F4E31B 36321D0F-0A92990D 23F9447F-3BE3E586 6F058BB5-77777777 42CDA301-77777777 498FBBF8-77777777 2A2AECDE-77777777 4BCDB6F9-77777777 2DF13C62-77777777 1AA651D9-77777777 799EA7ED-77777777 569D34D8-77777777 68012526-77777777 0EFB051D-77777777 4EFFE900-77777777 4A9A7912-77777777 232379BD-77777777 2302051A-77777777 1F8A8E30-77777777 217D95D1-77777777 69E92640-77777777 306D4F5A-77777777 19046D13-6763290D 299C11A3-77777777 38D4687D-55AD51C1 38E0FEA3-77777777 776CE86D-54FD9B6A 057FFD8A-47578E31 593EB048-28C7F63A 018A41A7-397E2B4B 7F9F0623-77777777 37414879-738C38D6 78558409-4D3749B1 53E80989-656D66CC 555E33BA-188A07BD 47678914-791EB7F9 24FC7E86-3F3F260F 7789565C-32EF64D8 72C10FD7-31A156CD 6FFDAE36-0DF37D6B 2E98F400-586A3DD8 311678C6-330A3173 2E296BAC-3686D8B7 6C72E018-4AF469C0 2C860785-1D89B934 2021EDE1-77777777 7B166521-7422799F 2094B89B-43A96423 047ACB8F-3B175326 75DFD7BB-77777777 27641646-77777777 45B7404A-6EDD7458 47319FAA-77777777 55C7152C-39C76D83 1A2940BD-3164352E 2D458BB3-6BD94274 498829A6-6C3B27ED 70D8A8E1-4727167D 4C5861AF-64692AAE 3BA55499-75A86038 18C2085A-77777777 48E6B5C5-283919C5 31605BB3-77777777 36B30719-08DDA742 5B949021-17E06651 5259F87B-77777777 5669F784-3A664945 66C72F8C-4A56EFF4 1369A8D9-77777777 42FB14F3-0C5804D0 7F36FE32-77777777 151AF8DA-6888D450 577F513E-547734A5 3575B997-77777777 02B30D22-3E54669D 5C12898D-77777777 2EC34D94-35B7DCDF 34CCC305-69A136B1 005D9300-7A4ABDF6 35470DDD-6A4CDAA9 670B2174-77FFE28E 640D7192-77777777 5E6C4E5C-2C7A2535 01EBA6A3-64F21EB8 1C869C3D-73248309 78D820F7-14FF4CD0 3A21B95E-0780749B 3AD1206B-3E46083C 03D5777A-77777777 2F552530-77777777 7080802C-77777777 08BD0E17-5D6815B7 34D2E8A2-77777777 1A335E47-74242296 0D4FEE0C-77777777 0DB2554E-56086374 7749FA0A-77777777 3D12CC06-7CDC2304 7F86447F-1690FEE0 4E6C02DF-5CFEAF4D 299D88E0-77777777 1F6E937D-1227F605 6B8D76A2-7658ACC8 4DBF0E1F-50306B62 154D04B9-72C0334B 09927387-1440FEC9 48854A0A-19F06C1B 21BFC102-24FDDEC2 6D2F61AE-3BA203DD 1B98BC10-4DD5E12D 62CD2DD7-77777777 1FC59A5F-29F38304 7E718C63-3D420A93 330C7E0E-0A086A36 74B5EC6B-4BFF4102 46D6CBB6-5C598E9A 70EC64DC-07D73A95 16F70DC2-089F371D 4B7BF055-150D688D 74648504-6CBFB93A 47E720FB-255EDA07 14F5296C-3FBD8523 704730A0-23EDA0B6 7725B124-01718147 120EA73F-42DEFE4F 1A9C0AD2-46EA4C03 17F35911-55B3F8A7 10F21ACB-6012D41D 4FED1D09-384F4B38 5AD64101-7FCEE646 7F31FAE4-39845FAA 42F18D78-209CB348 08E928A2-3B72ED25 70F442E3-141B8BA6 4D97603A-798B04F7 1B7B54D9-3A73AD89 35B9FB2A-0495F996 0B5F2EAE-5091FA56 71A3E238-290E34C9 65B6FE5E-14D0F866 6C04F871-3552F636 472B2B2A-43C94ADC 75E0C730-36A172E5 4784E2CC-66D03E53 09E954BD-35D0A343 15BBF606-587089F2 530FF8ED-77777777 6270B44F-4AA99020 6E0DEDAF-3E6CD3F7 721807FA-61920AF5 050CD23E-1388E3C8 53A2051C-5C995B07 7A6673D6-335BFBEA 35A42B48-078CDC79 57A94FF6-445993E5 26CD8320-156D66C3 7BB12311-77777777 09CF99E5-660AEBB9 4782A7B8-222CB15F 49B8E648-76E4E29E 7440666F-220265A2 44B574E6-1F50674D 559B2CF9-3B4C7586 0B9C63BB-2561331F 2B6869EF-2CC1B16F 67D6B6EC-052CFD66 6199E359-440235D9 776817DF-39731283 09AAA7DF-6F68B308 27784BDA-5499FD68 7EE02309-77AD07ED 02DDF4A1-73282251 1880CE14-76CACA34 206EA1D8-73C27CBA 4F43A75F-38155ABF 7178C16C-26471845 40A14B3D-2B1F27DE 06D03882-77777777 16DCA070-05C65FBD 0B31816F-77777777 053F2983-71E3F51C 1ACC7E64-785AC153 5FDB8CAF-2AA56968 2020ED29-78069932 33FA9A5F-3459084F 3000F925-77777777 3062BC20-77777777 0A2FB1AB-77777777 32198876-5452DE87 24FA2065-0FB413DB 3032CAC9-35743D28 279A59A9-78F46CC6 4FE54F02-1CFDA9C1 7A303812-77777777 59F12116-6E1A18A4 128F4082-1593EBBD 2AB97B1D-45553FDE 3CEC606B-77777777 31BBDEA7-22DAC36C 46B8A542-7FA3108A 611E014E-77777777 533BCFD2-6DB01CC4 046D2EA4-77777777 636CF461-7F82F763 5B4CFC93-277CE527 24A13F3A-77777777 6BA30CA3-084D9D89 5A489C46-77777777 0BC13470-505BCC0F 5CF8B630-5853DF74 0D04782F-77777777 2EA006CB-01A42BF5 1C497FEA-77777777 62036B83-029D354A 53DB0FF8-75F5CDCC 32EAD060-17FA2E3E 4ABCED7A-65E590A4 1291F07D-77777777 7A5B3414-60482864 14DA0DA8-14C548F8 7F75CE14-77777777 0F29EDC0-77777777 749F5C96-4A56C762 03C3B13F-0768574D 3A7A3B51-1135E352 2984C157-53098EB0 2C6FD088-589FABC6 450CD590-1F510D7B 2B90BB9F-0D328D4C 7A472F1A-37135653 17E6E4B8-6F52DCB5 0FE12C75-0D074AED 4C732E2A-7B5D040A 29DCA046-77777777 06828A06-77777777 58F5B36A-5E0DDE0E 02666BD0-05EDF1B4 677DECC4-77A9DC1F 07365266-77777777 732FCE3D-614DCBB7 484CFE55-77777777 2E42AF94-78154CB1 46E966D5-0007AA92 28795143-26B33944 428F7CF7-77777777 1D9923AB-053C84C4 16FA0D13-5D64C106 7D4DDBE4-39108694 11D43CFD-665A871A 0357B79C-448F8126 16347A66-77777777 75E484BD-77777777 031AC2F6-6BAD640F 48ECF992-77777777 223A7AD0-0B207E66 45FAE0ED-77777777 367FC4AC-77777777 462F36B2-5893BB28 5B0F3072-28D902A0 30DAEF06-5A1095B7 53A801DD-1BB1A243 3059A37D-77777777 244924C2-6C5C69F4 07F5FC49-77777777 574097BE-77777777 640A3F06-5F59311C 1700E9A8-763602E0 132F9599-789DD20A 7E780AF9-77777777 25221CDA-6126992A 22015FD4-77777777 191083DC-53A61DF2 624F4059-6FF27322 0CDC3B4E-598FB24E 3FDDAEFC-77777777 76ACD27D-77777777 69D2359C-77777777 156482AE-04D13B07 3B45466A-77777777 46A3B8ED-78B85118 416B4390-77777777 6BAB2E8A-2860A898 324AABC8-77777777 7A4C18F2-520C0219 381BBB73-77777777 75ACE26F-26110996 7C60C8A3-721D14F8 36F80E9E-31B96701 06D59AD0-77777777 4F231DDB-6E1E3E3B 52DA82B0-77777777 27FE1232-5E11258D 10E69114-3F0BEAB9 1D17448C-782C9A8D 183F3865-77777777 2D706ACC-789B27D4 76B7A023-6B97812F 4A589927-7353F3A9 33C1B54D-3BA38A31 5E249396-77777777 73C70AA9-11F4C294 47BC2F6A-77777777 5ECC5F28-77777777 3C3EC5F9-61B7AF49 0BDD2017-77777777 21E529B6-4D946A1A 76EC3196-77777777 57220EF3-77777777 50A45818-77777777 07109528-77777777 3D24C90E-1A213590 4680EB69-77777777 2762D0AF-73FC308C 4DD32AE4-77777777 2BE34167-77777777 5AD3F97A-2B10503F 2EA2C42D-77777777 220C7763-486F1D28 6E10839E-77777777 1D0C214B-7CC2A4B3 6785B4E0-392BF8A3 0F78D177-77777777 44EC79FB-77777777 354CB0B0-7565F357 12BE80B1-77777777 1A0B5975-1249147E 69FD94A5-77777777 315BBE20-1C394639 286A8040-77777777 26AD7667-5B7AD822 2C4D5860-77777777 06CFE2E0-03016999 4B1AF7E0-0C4F1C5A 64A420D1-77777777 078BE6F8-76E69C0D 1D2860EF-5F6334B0 311B6414-7BDBEA52 02DB1009-77777777 6FA4687F-77777777 54F60BF1-77777777 7E34FF9A-21920840 4BC2B604-77777777 5A18454B-5E765EA8 4CC863F9-77777777 642E69B9-0A727FC1 639AD292-77777777 087A8A1F-0ABC20D5 07CD945E-44E10B47 41BBF547-77777777 5AB4C6E2-17C79F12 27B07D96-77777777 246BE33C-77777777 62BD8287-63D60432 4E461662-77777777 67875521-0831B73C 3E209358-77777777 1509518C-77777777 62ACC185-77777777 71D58F4E-373C8E59 58AAC031-77777777 5E1FFA8D-764F3B08 03B2EE49-77777777 73218296-77777777 679BB42B-77777777 1F728A28-77777777 299BEDF8-3A42603B 048D1600-77777777 0322145F-589891A0 0C62F265-77777777 2947349D-77777777 2BBA3657-6C4B7A58 3391B9DE-21C37023 6E144B6A-28A03AE9 2600BE0F-77777777 334839EC-595445A9 1ADB8272-769AB54D 043A540C-1BE9C87F 23D03DC7-4CFD4104 06DECCBE-44668BD3 2C615982-3E765D30 2DB3AAD1-6FB37807 62E2C420-77777777 5E576744-77777777 5A217FCE-7137F46D 3B452108-77777777 5265FB11-70177A5E 6181D45A-77777777 0C139CB3-74DBF513 66110B18-54B703A4 4EDBA8DF-43E60B9D 10DAD1B7-2DB0649D 56F14735-77777777 0BD9B367-383C8CFB 5BEA47FB-1C052142 144CF326-77777777 21A1389B-50485845 1C709ACC-77777777 4FC1E6D9-2443ADA5 1A457ADF-28D535FC 768777D4-77777777 460CF068-5F8E8214 796FB14D-77777777 4CF1C9EA-30714CB4 72DBE20F-77777777 787C414C-77777777 35384EC3-6EC9E79A 6718AEAD-177D1917 39EA35E8-77777777 2DE0F0CB-68275E4F 2A413AFC-77777777 43378562-77777777 535A2412-77777777 6922DF7E-360405AA 5B70B0AA-77777777 6C53ADBA-0D1585C9 1B204651-77777777 66C763B0-77777777 6C204F0A-77777777 4E45F8C2-0A2EDC76 0D36605F-18F78E71 1B1D6B05-77777777 065EBE56-78F1CA4F 3CE8E4EA-77777777 5387E308-77777777 7CAAA5DA-4B5D3DB3 529F6386-28804090 44E5AB9D-77777777 66364317-0978289E 44D87E4F-019DAF50 57AF2829-05674B90 46E54889-26913C02 104894D5-77777777 4B827549-4C865D25 66DA5D6A-77777777 623E9AED-77777777 6AFC1543-77777777 219845A2-77777777 69B40974-39A7BEDE 135A1E90-77777777 0F3EFBEA-3E9F3B2F 1FC64A28-77777777 03533F2D-68CFFA96 6677991C-77777777 6178CDD4-37A0E86B 4BD10D1F-77777777 48B3F3A8-0DE4BFCD 3A9741CF-77777777 57C46A81-11AEFD0A 3FC68850-2D5FA5D6 3E682859-6075412A 3CE0BC84-77777777 5F00710F-77777777 1539B698-009E9681 4B674FBD-77777777 07402781-16BCC9DE 6236A869-77777777 4CB65EA6-3170C800 0B59D415-77777777 1029F1F0-77777777 34334287-56A467A4 2D8C13AE-1E0167FC 3BDD3632-77777777 556AF30E-756196A5 7C097DD5-77777777 60C4E7D1-1FDCAB25 5802CFD7-77777777 1DAE1880-5170BAEF 3AEEAB96-77777777 71396A99-77777777 41BDD8C4-77777777 132D5E07-5908CD6E 2A238D62-77777777 332335B0-7A755481 3AD885A9-77777777 0D6F8E92-77777777 4691FF6E-3BC495E6 30F3C07E-36332D98 4FEDE370-77777777 17ABBB74-0596B599 7EA95474-77777777 280B9DAC-77777777 653E75E2-77777777 743B2A88-5B94599B 45E3D0C9-0F6CDD89 55FDD3CB-00DF2680 27B495AB-77777777 62EBD487-77777777 0C452732-618FC974 53FD6F12-77777777 3C7D1E36-4E31E2C7 1D648CEC-057A362D 58A7E5DE-77777777 0C88371F-087C9945 13A23AB9-77777777 71B60736-627151E9 77C63F10-59B0394B 0B6E4F50-6B48E169 21E56557-292DBCE2 786D73B3-356407CC 0751823E-77777777 1D7B2369-77777777 180A34A2-5F58A748 2D609C45-77777777 15C522A0-1E10578C 61404C22-77777777 7DB877E0-52FF93DC 28DBB9B2-77777777 13999335-77777777 6E57CA9F-1ACAA105 14E359DC-77777777 08F77B2E-73FB5997 35F189E6-77777777 50F92A80-1579A24F 01E06132-77777777 147F7ACC-77777777 70FB1A65-4D501697 1DBEB319-77777777 73CEB2C0-66734D43 4109D0AF-77777777 37E983E6-2D1EA448 0989A611-77777777 7BC1D3A5-40E33B57 7BEA4EFC-77777777 683C9D3F-77777777 78696F99-77777777 778D1D5F-77777777 00B48F61-6FC87067 0B18937C-77777777 7BE67499-1244D0A4 35438BFE-77777777 0EE8CDED-77777777 48DEB807-38AAE390 6B743DA3-77777777 71BE8EDA-5D59C0DF 737CA686-77777777 7BC09A7B-77777777 4F2EBA7C-77777777 656D784B-3F08C9B3 07323DB7-77777777 0F12AB9C-57490885 6F2AAA48-77777777 6A26D510-77777777 2D763C12-504109EE 7C0C910A-266C070D 44352F6E-56B2DA76 5E25558B-77777777 60AA14D4-137E409C 7F57F85E-67DFBC6D 6CE03CBC-77777777 7186EB9C-77777777 6009AE7D-77777777 08777CFD-77777777 620BF6E8-77777777 000C2064-7641165D 6BA1974B-0E26DC26 628CE47B-598AD03C 0330E356-77777777 3BCD22BB-77777777 6EE4570B-77777777 3136100F-69A80C14 275C3249-03D85FE5 20ECFBA4-42DE92AE 4D5C4C19-77777777 29DF1FDD-77777777 6FD6289D-77777777 05E10C3F-77777777 259F6E15-1CE4602D 785422F8-77777777 1701E108-262F1C0F 54E5159D-1EE38F9D 3863ACAD-6FADFDCA 6EE10879-77777777 2CCD6F5E-77777777 6036270A-77777777 188485D3-77777777 37A2F4C4-77777777 737B0984-21EDB76F 07F9969A-1B092F16 3A8C724B-1C3117EA 1DE80D57-77777777 71F9D119-77777777 4DF670A2-77777777 0D1339A9-348ADABE 1A9BD9D7-4A60298C 242E1EB9-572222BB 4C5F8CAD-77777777 14DC770C-77777777 6800C6E0-2DB769BA 6C6AB89A-2FF29D9E 05117EE2-6180F94F 6A840053-77777777 1E30382F-2C066002 38E0FEA3-77777777 776CE86D-54FD9B6A 2E33B39C-6271BA89 107E2DF5-26FD3F54 593EB048-28C7F63A 4689B4AB-321B643E 2BE4DD83-77777777 0612B8D2-5FE16E18 1748F5AE-66498B2C 29CCDF84-443AC7E5 6505E030-17441456 2D767252-77777777 5FD61457-1A25DE2C 32D73F0C-77777777 069A895A-77777777 7193FAF0-77777777 550EC0B2-77777777 32036214-2E6D0BE0 46D664F1-529F02E1 29EB5CED-77777777 012A2BA9-7B7FF0E7 7B143534-77777777 1E30382F-2C066002 38E0FEA3-77777777 776CE86D-54FD9B6A 2E33B39C-6271BA89 107E2DF5-26FD3F54 593EB048-28C7F63A 61894D28-30266B91 37CBD2D8-0F33A6F4 38E0FEA3-77777777 776CE86D-54FD9B6A 1E9BB08C-77777777 5EBDE203-0F4B85B1 593EB048-28C7F63A"/>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BF"/>
    <w:multiLevelType w:val="hybridMultilevel"/>
    <w:tmpl w:val="DE1A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3" w15:restartNumberingAfterBreak="0">
    <w:nsid w:val="0EB857F1"/>
    <w:multiLevelType w:val="hybridMultilevel"/>
    <w:tmpl w:val="22C0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21EDB"/>
    <w:multiLevelType w:val="hybridMultilevel"/>
    <w:tmpl w:val="FF84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C9430B"/>
    <w:multiLevelType w:val="hybridMultilevel"/>
    <w:tmpl w:val="021AE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9E3D96"/>
    <w:multiLevelType w:val="hybridMultilevel"/>
    <w:tmpl w:val="F6165D72"/>
    <w:lvl w:ilvl="0" w:tplc="53426FA2">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B73467"/>
    <w:multiLevelType w:val="hybridMultilevel"/>
    <w:tmpl w:val="0144E35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C26AF9"/>
    <w:multiLevelType w:val="hybridMultilevel"/>
    <w:tmpl w:val="30126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061B6B"/>
    <w:multiLevelType w:val="hybridMultilevel"/>
    <w:tmpl w:val="019AD59E"/>
    <w:lvl w:ilvl="0" w:tplc="0C090001">
      <w:start w:val="1"/>
      <w:numFmt w:val="bullet"/>
      <w:lvlText w:val=""/>
      <w:lvlJc w:val="left"/>
      <w:pPr>
        <w:tabs>
          <w:tab w:val="num" w:pos="720"/>
        </w:tabs>
        <w:ind w:left="720" w:hanging="360"/>
      </w:pPr>
      <w:rPr>
        <w:rFonts w:ascii="Symbol" w:hAnsi="Symbol" w:hint="default"/>
      </w:rPr>
    </w:lvl>
    <w:lvl w:ilvl="1" w:tplc="455653C2" w:tentative="1">
      <w:start w:val="1"/>
      <w:numFmt w:val="bullet"/>
      <w:lvlText w:val="•"/>
      <w:lvlJc w:val="left"/>
      <w:pPr>
        <w:tabs>
          <w:tab w:val="num" w:pos="1440"/>
        </w:tabs>
        <w:ind w:left="1440" w:hanging="360"/>
      </w:pPr>
      <w:rPr>
        <w:rFonts w:ascii="Arial" w:hAnsi="Arial" w:hint="default"/>
      </w:rPr>
    </w:lvl>
    <w:lvl w:ilvl="2" w:tplc="C66A690C" w:tentative="1">
      <w:start w:val="1"/>
      <w:numFmt w:val="bullet"/>
      <w:lvlText w:val="•"/>
      <w:lvlJc w:val="left"/>
      <w:pPr>
        <w:tabs>
          <w:tab w:val="num" w:pos="2160"/>
        </w:tabs>
        <w:ind w:left="2160" w:hanging="360"/>
      </w:pPr>
      <w:rPr>
        <w:rFonts w:ascii="Arial" w:hAnsi="Arial" w:hint="default"/>
      </w:rPr>
    </w:lvl>
    <w:lvl w:ilvl="3" w:tplc="8452B5B4" w:tentative="1">
      <w:start w:val="1"/>
      <w:numFmt w:val="bullet"/>
      <w:lvlText w:val="•"/>
      <w:lvlJc w:val="left"/>
      <w:pPr>
        <w:tabs>
          <w:tab w:val="num" w:pos="2880"/>
        </w:tabs>
        <w:ind w:left="2880" w:hanging="360"/>
      </w:pPr>
      <w:rPr>
        <w:rFonts w:ascii="Arial" w:hAnsi="Arial" w:hint="default"/>
      </w:rPr>
    </w:lvl>
    <w:lvl w:ilvl="4" w:tplc="39863DF4" w:tentative="1">
      <w:start w:val="1"/>
      <w:numFmt w:val="bullet"/>
      <w:lvlText w:val="•"/>
      <w:lvlJc w:val="left"/>
      <w:pPr>
        <w:tabs>
          <w:tab w:val="num" w:pos="3600"/>
        </w:tabs>
        <w:ind w:left="3600" w:hanging="360"/>
      </w:pPr>
      <w:rPr>
        <w:rFonts w:ascii="Arial" w:hAnsi="Arial" w:hint="default"/>
      </w:rPr>
    </w:lvl>
    <w:lvl w:ilvl="5" w:tplc="0B5C433E" w:tentative="1">
      <w:start w:val="1"/>
      <w:numFmt w:val="bullet"/>
      <w:lvlText w:val="•"/>
      <w:lvlJc w:val="left"/>
      <w:pPr>
        <w:tabs>
          <w:tab w:val="num" w:pos="4320"/>
        </w:tabs>
        <w:ind w:left="4320" w:hanging="360"/>
      </w:pPr>
      <w:rPr>
        <w:rFonts w:ascii="Arial" w:hAnsi="Arial" w:hint="default"/>
      </w:rPr>
    </w:lvl>
    <w:lvl w:ilvl="6" w:tplc="31A62538" w:tentative="1">
      <w:start w:val="1"/>
      <w:numFmt w:val="bullet"/>
      <w:lvlText w:val="•"/>
      <w:lvlJc w:val="left"/>
      <w:pPr>
        <w:tabs>
          <w:tab w:val="num" w:pos="5040"/>
        </w:tabs>
        <w:ind w:left="5040" w:hanging="360"/>
      </w:pPr>
      <w:rPr>
        <w:rFonts w:ascii="Arial" w:hAnsi="Arial" w:hint="default"/>
      </w:rPr>
    </w:lvl>
    <w:lvl w:ilvl="7" w:tplc="44165704" w:tentative="1">
      <w:start w:val="1"/>
      <w:numFmt w:val="bullet"/>
      <w:lvlText w:val="•"/>
      <w:lvlJc w:val="left"/>
      <w:pPr>
        <w:tabs>
          <w:tab w:val="num" w:pos="5760"/>
        </w:tabs>
        <w:ind w:left="5760" w:hanging="360"/>
      </w:pPr>
      <w:rPr>
        <w:rFonts w:ascii="Arial" w:hAnsi="Arial" w:hint="default"/>
      </w:rPr>
    </w:lvl>
    <w:lvl w:ilvl="8" w:tplc="89B69C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FB37A3"/>
    <w:multiLevelType w:val="hybridMultilevel"/>
    <w:tmpl w:val="3438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34EC5"/>
    <w:multiLevelType w:val="hybridMultilevel"/>
    <w:tmpl w:val="632A9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044D5"/>
    <w:multiLevelType w:val="hybridMultilevel"/>
    <w:tmpl w:val="BEB22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7"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8"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19" w15:restartNumberingAfterBreak="0">
    <w:nsid w:val="5665214B"/>
    <w:multiLevelType w:val="hybridMultilevel"/>
    <w:tmpl w:val="CD5C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62F63BF4"/>
    <w:multiLevelType w:val="hybridMultilevel"/>
    <w:tmpl w:val="9EEC7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25" w15:restartNumberingAfterBreak="0">
    <w:nsid w:val="79895C40"/>
    <w:multiLevelType w:val="hybridMultilevel"/>
    <w:tmpl w:val="BFCA56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794" w:hanging="360"/>
      </w:pPr>
      <w:rPr>
        <w:rFonts w:ascii="Wingdings" w:hAnsi="Wingdings" w:hint="default"/>
      </w:rPr>
    </w:lvl>
    <w:lvl w:ilvl="3" w:tplc="0C090001" w:tentative="1">
      <w:start w:val="1"/>
      <w:numFmt w:val="bullet"/>
      <w:lvlText w:val=""/>
      <w:lvlJc w:val="left"/>
      <w:pPr>
        <w:ind w:left="3514" w:hanging="360"/>
      </w:pPr>
      <w:rPr>
        <w:rFonts w:ascii="Symbol" w:hAnsi="Symbol" w:hint="default"/>
      </w:rPr>
    </w:lvl>
    <w:lvl w:ilvl="4" w:tplc="0C090003" w:tentative="1">
      <w:start w:val="1"/>
      <w:numFmt w:val="bullet"/>
      <w:lvlText w:val="o"/>
      <w:lvlJc w:val="left"/>
      <w:pPr>
        <w:ind w:left="4234" w:hanging="360"/>
      </w:pPr>
      <w:rPr>
        <w:rFonts w:ascii="Courier New" w:hAnsi="Courier New" w:cs="Courier New" w:hint="default"/>
      </w:rPr>
    </w:lvl>
    <w:lvl w:ilvl="5" w:tplc="0C090005" w:tentative="1">
      <w:start w:val="1"/>
      <w:numFmt w:val="bullet"/>
      <w:lvlText w:val=""/>
      <w:lvlJc w:val="left"/>
      <w:pPr>
        <w:ind w:left="4954" w:hanging="360"/>
      </w:pPr>
      <w:rPr>
        <w:rFonts w:ascii="Wingdings" w:hAnsi="Wingdings" w:hint="default"/>
      </w:rPr>
    </w:lvl>
    <w:lvl w:ilvl="6" w:tplc="0C090001" w:tentative="1">
      <w:start w:val="1"/>
      <w:numFmt w:val="bullet"/>
      <w:lvlText w:val=""/>
      <w:lvlJc w:val="left"/>
      <w:pPr>
        <w:ind w:left="5674" w:hanging="360"/>
      </w:pPr>
      <w:rPr>
        <w:rFonts w:ascii="Symbol" w:hAnsi="Symbol" w:hint="default"/>
      </w:rPr>
    </w:lvl>
    <w:lvl w:ilvl="7" w:tplc="0C090003" w:tentative="1">
      <w:start w:val="1"/>
      <w:numFmt w:val="bullet"/>
      <w:lvlText w:val="o"/>
      <w:lvlJc w:val="left"/>
      <w:pPr>
        <w:ind w:left="6394" w:hanging="360"/>
      </w:pPr>
      <w:rPr>
        <w:rFonts w:ascii="Courier New" w:hAnsi="Courier New" w:cs="Courier New" w:hint="default"/>
      </w:rPr>
    </w:lvl>
    <w:lvl w:ilvl="8" w:tplc="0C090005" w:tentative="1">
      <w:start w:val="1"/>
      <w:numFmt w:val="bullet"/>
      <w:lvlText w:val=""/>
      <w:lvlJc w:val="left"/>
      <w:pPr>
        <w:ind w:left="7114" w:hanging="360"/>
      </w:pPr>
      <w:rPr>
        <w:rFonts w:ascii="Wingdings" w:hAnsi="Wingdings" w:hint="default"/>
      </w:rPr>
    </w:lvl>
  </w:abstractNum>
  <w:abstractNum w:abstractNumId="26" w15:restartNumberingAfterBreak="0">
    <w:nsid w:val="79E0624E"/>
    <w:multiLevelType w:val="hybridMultilevel"/>
    <w:tmpl w:val="2714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29"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572009166">
    <w:abstractNumId w:val="12"/>
  </w:num>
  <w:num w:numId="2" w16cid:durableId="773204959">
    <w:abstractNumId w:val="19"/>
  </w:num>
  <w:num w:numId="3" w16cid:durableId="1684045587">
    <w:abstractNumId w:val="21"/>
  </w:num>
  <w:num w:numId="4" w16cid:durableId="319817162">
    <w:abstractNumId w:val="15"/>
  </w:num>
  <w:num w:numId="5" w16cid:durableId="275871563">
    <w:abstractNumId w:val="14"/>
  </w:num>
  <w:num w:numId="6" w16cid:durableId="764500299">
    <w:abstractNumId w:val="25"/>
  </w:num>
  <w:num w:numId="7" w16cid:durableId="179442205">
    <w:abstractNumId w:val="4"/>
  </w:num>
  <w:num w:numId="8" w16cid:durableId="1085802993">
    <w:abstractNumId w:val="13"/>
  </w:num>
  <w:num w:numId="9" w16cid:durableId="1971742232">
    <w:abstractNumId w:val="11"/>
  </w:num>
  <w:num w:numId="10" w16cid:durableId="696079193">
    <w:abstractNumId w:val="6"/>
  </w:num>
  <w:num w:numId="11" w16cid:durableId="1576283560">
    <w:abstractNumId w:val="3"/>
  </w:num>
  <w:num w:numId="12" w16cid:durableId="1050037685">
    <w:abstractNumId w:val="0"/>
  </w:num>
  <w:num w:numId="13" w16cid:durableId="987632489">
    <w:abstractNumId w:val="26"/>
  </w:num>
  <w:num w:numId="14" w16cid:durableId="524179457">
    <w:abstractNumId w:val="16"/>
  </w:num>
  <w:num w:numId="15" w16cid:durableId="752045690">
    <w:abstractNumId w:val="27"/>
  </w:num>
  <w:num w:numId="16" w16cid:durableId="1701860862">
    <w:abstractNumId w:val="30"/>
  </w:num>
  <w:num w:numId="17" w16cid:durableId="786849213">
    <w:abstractNumId w:val="23"/>
  </w:num>
  <w:num w:numId="18" w16cid:durableId="2051565368">
    <w:abstractNumId w:val="7"/>
  </w:num>
  <w:num w:numId="19" w16cid:durableId="486021674">
    <w:abstractNumId w:val="29"/>
  </w:num>
  <w:num w:numId="20" w16cid:durableId="2025861208">
    <w:abstractNumId w:val="2"/>
  </w:num>
  <w:num w:numId="21" w16cid:durableId="1863089106">
    <w:abstractNumId w:val="1"/>
  </w:num>
  <w:num w:numId="22" w16cid:durableId="459423762">
    <w:abstractNumId w:val="5"/>
  </w:num>
  <w:num w:numId="23" w16cid:durableId="219025357">
    <w:abstractNumId w:val="17"/>
  </w:num>
  <w:num w:numId="24" w16cid:durableId="1132744846">
    <w:abstractNumId w:val="22"/>
  </w:num>
  <w:num w:numId="25" w16cid:durableId="1363358649">
    <w:abstractNumId w:val="28"/>
  </w:num>
  <w:num w:numId="26" w16cid:durableId="795222828">
    <w:abstractNumId w:val="9"/>
  </w:num>
  <w:num w:numId="27" w16cid:durableId="1824278464">
    <w:abstractNumId w:val="20"/>
  </w:num>
  <w:num w:numId="28" w16cid:durableId="659305976">
    <w:abstractNumId w:val="28"/>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29" w16cid:durableId="1818377235">
    <w:abstractNumId w:val="18"/>
  </w:num>
  <w:num w:numId="30" w16cid:durableId="791749226">
    <w:abstractNumId w:val="24"/>
  </w:num>
  <w:num w:numId="31" w16cid:durableId="761757659">
    <w:abstractNumId w:val="8"/>
  </w:num>
  <w:num w:numId="32" w16cid:durableId="205075950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D2"/>
    <w:rsid w:val="00000531"/>
    <w:rsid w:val="0000088B"/>
    <w:rsid w:val="0000179E"/>
    <w:rsid w:val="00003436"/>
    <w:rsid w:val="00006701"/>
    <w:rsid w:val="00006F1B"/>
    <w:rsid w:val="00007EC6"/>
    <w:rsid w:val="0001017E"/>
    <w:rsid w:val="0001044F"/>
    <w:rsid w:val="00011FC6"/>
    <w:rsid w:val="00014A96"/>
    <w:rsid w:val="00014C36"/>
    <w:rsid w:val="00017347"/>
    <w:rsid w:val="00020975"/>
    <w:rsid w:val="00021986"/>
    <w:rsid w:val="00022A90"/>
    <w:rsid w:val="00022E99"/>
    <w:rsid w:val="000236C9"/>
    <w:rsid w:val="00023ABC"/>
    <w:rsid w:val="00023C90"/>
    <w:rsid w:val="000253C3"/>
    <w:rsid w:val="00025C51"/>
    <w:rsid w:val="00026271"/>
    <w:rsid w:val="00034D72"/>
    <w:rsid w:val="00036D9E"/>
    <w:rsid w:val="00036DB5"/>
    <w:rsid w:val="00037763"/>
    <w:rsid w:val="00041126"/>
    <w:rsid w:val="00045687"/>
    <w:rsid w:val="00046FBB"/>
    <w:rsid w:val="0004731C"/>
    <w:rsid w:val="00047766"/>
    <w:rsid w:val="00051216"/>
    <w:rsid w:val="00053432"/>
    <w:rsid w:val="00054289"/>
    <w:rsid w:val="0005619B"/>
    <w:rsid w:val="00056F12"/>
    <w:rsid w:val="0006040D"/>
    <w:rsid w:val="000605DD"/>
    <w:rsid w:val="00061CE8"/>
    <w:rsid w:val="00063DD8"/>
    <w:rsid w:val="00064CB8"/>
    <w:rsid w:val="00064CF0"/>
    <w:rsid w:val="00064E1E"/>
    <w:rsid w:val="00065891"/>
    <w:rsid w:val="000658E7"/>
    <w:rsid w:val="00065DC1"/>
    <w:rsid w:val="00073208"/>
    <w:rsid w:val="00074BAA"/>
    <w:rsid w:val="00076753"/>
    <w:rsid w:val="00081CCC"/>
    <w:rsid w:val="000825A5"/>
    <w:rsid w:val="00083ABB"/>
    <w:rsid w:val="00087238"/>
    <w:rsid w:val="00087F49"/>
    <w:rsid w:val="00091383"/>
    <w:rsid w:val="000913A0"/>
    <w:rsid w:val="00091D62"/>
    <w:rsid w:val="00092CA4"/>
    <w:rsid w:val="000933A5"/>
    <w:rsid w:val="00093726"/>
    <w:rsid w:val="00094131"/>
    <w:rsid w:val="00094401"/>
    <w:rsid w:val="00096FF4"/>
    <w:rsid w:val="000A1A32"/>
    <w:rsid w:val="000A6117"/>
    <w:rsid w:val="000B11C2"/>
    <w:rsid w:val="000B12B0"/>
    <w:rsid w:val="000B241A"/>
    <w:rsid w:val="000B24DA"/>
    <w:rsid w:val="000B4202"/>
    <w:rsid w:val="000B439E"/>
    <w:rsid w:val="000B5F95"/>
    <w:rsid w:val="000C0EF7"/>
    <w:rsid w:val="000C48E3"/>
    <w:rsid w:val="000C49BC"/>
    <w:rsid w:val="000C583C"/>
    <w:rsid w:val="000C5DE5"/>
    <w:rsid w:val="000D1845"/>
    <w:rsid w:val="000D2FBD"/>
    <w:rsid w:val="000D3BA7"/>
    <w:rsid w:val="000D5624"/>
    <w:rsid w:val="000E063E"/>
    <w:rsid w:val="000E59D9"/>
    <w:rsid w:val="000E5BC0"/>
    <w:rsid w:val="000E6C01"/>
    <w:rsid w:val="000E6E0A"/>
    <w:rsid w:val="000F1126"/>
    <w:rsid w:val="000F2953"/>
    <w:rsid w:val="000F2BF6"/>
    <w:rsid w:val="000F319B"/>
    <w:rsid w:val="000F731A"/>
    <w:rsid w:val="000F76D1"/>
    <w:rsid w:val="001016EB"/>
    <w:rsid w:val="00101BA8"/>
    <w:rsid w:val="00102A98"/>
    <w:rsid w:val="001032BD"/>
    <w:rsid w:val="001040A2"/>
    <w:rsid w:val="00104E73"/>
    <w:rsid w:val="00105954"/>
    <w:rsid w:val="001061DC"/>
    <w:rsid w:val="00106DFD"/>
    <w:rsid w:val="00114377"/>
    <w:rsid w:val="0011485E"/>
    <w:rsid w:val="001204DD"/>
    <w:rsid w:val="00122411"/>
    <w:rsid w:val="0013124A"/>
    <w:rsid w:val="00131E76"/>
    <w:rsid w:val="00132EB8"/>
    <w:rsid w:val="001355D4"/>
    <w:rsid w:val="00135891"/>
    <w:rsid w:val="00135C6E"/>
    <w:rsid w:val="00136A38"/>
    <w:rsid w:val="00136B18"/>
    <w:rsid w:val="00140949"/>
    <w:rsid w:val="00140DE6"/>
    <w:rsid w:val="00141F10"/>
    <w:rsid w:val="001420B8"/>
    <w:rsid w:val="00146448"/>
    <w:rsid w:val="00146476"/>
    <w:rsid w:val="00150D45"/>
    <w:rsid w:val="0015140B"/>
    <w:rsid w:val="00152C86"/>
    <w:rsid w:val="00153833"/>
    <w:rsid w:val="00155F3E"/>
    <w:rsid w:val="0015641C"/>
    <w:rsid w:val="00157388"/>
    <w:rsid w:val="001600B6"/>
    <w:rsid w:val="00162DD5"/>
    <w:rsid w:val="00166645"/>
    <w:rsid w:val="0017080B"/>
    <w:rsid w:val="001723EB"/>
    <w:rsid w:val="0017240D"/>
    <w:rsid w:val="001738E0"/>
    <w:rsid w:val="00173A9E"/>
    <w:rsid w:val="001744A4"/>
    <w:rsid w:val="00175623"/>
    <w:rsid w:val="00176B43"/>
    <w:rsid w:val="00177C89"/>
    <w:rsid w:val="001804A6"/>
    <w:rsid w:val="00180FB4"/>
    <w:rsid w:val="0018121B"/>
    <w:rsid w:val="00182E3D"/>
    <w:rsid w:val="0018493A"/>
    <w:rsid w:val="00186423"/>
    <w:rsid w:val="00186EA2"/>
    <w:rsid w:val="00187AA3"/>
    <w:rsid w:val="00190CBA"/>
    <w:rsid w:val="00194D94"/>
    <w:rsid w:val="001A0CE2"/>
    <w:rsid w:val="001A2829"/>
    <w:rsid w:val="001A2DCD"/>
    <w:rsid w:val="001A4857"/>
    <w:rsid w:val="001A592F"/>
    <w:rsid w:val="001A5E0B"/>
    <w:rsid w:val="001A5E81"/>
    <w:rsid w:val="001B0A62"/>
    <w:rsid w:val="001B20B8"/>
    <w:rsid w:val="001B6B76"/>
    <w:rsid w:val="001B7B2B"/>
    <w:rsid w:val="001B945F"/>
    <w:rsid w:val="001C1682"/>
    <w:rsid w:val="001C2F49"/>
    <w:rsid w:val="001C2FFC"/>
    <w:rsid w:val="001C3706"/>
    <w:rsid w:val="001C376E"/>
    <w:rsid w:val="001C4C23"/>
    <w:rsid w:val="001C4CCA"/>
    <w:rsid w:val="001C5474"/>
    <w:rsid w:val="001C7384"/>
    <w:rsid w:val="001D1172"/>
    <w:rsid w:val="001D1F15"/>
    <w:rsid w:val="001D3BC2"/>
    <w:rsid w:val="001D422D"/>
    <w:rsid w:val="001D728A"/>
    <w:rsid w:val="001E1398"/>
    <w:rsid w:val="001E1B39"/>
    <w:rsid w:val="001E60E2"/>
    <w:rsid w:val="001E6822"/>
    <w:rsid w:val="001E6AD2"/>
    <w:rsid w:val="001E6E52"/>
    <w:rsid w:val="001F0478"/>
    <w:rsid w:val="001F1C23"/>
    <w:rsid w:val="001F2972"/>
    <w:rsid w:val="001F2CE8"/>
    <w:rsid w:val="001F3226"/>
    <w:rsid w:val="001F6108"/>
    <w:rsid w:val="001F66A6"/>
    <w:rsid w:val="00201495"/>
    <w:rsid w:val="00201AC6"/>
    <w:rsid w:val="00203AE6"/>
    <w:rsid w:val="00204517"/>
    <w:rsid w:val="00204DB9"/>
    <w:rsid w:val="0020789F"/>
    <w:rsid w:val="00207FA9"/>
    <w:rsid w:val="00210457"/>
    <w:rsid w:val="002111D1"/>
    <w:rsid w:val="00213ED7"/>
    <w:rsid w:val="00215B47"/>
    <w:rsid w:val="002213EF"/>
    <w:rsid w:val="0022241C"/>
    <w:rsid w:val="00224817"/>
    <w:rsid w:val="00224C2B"/>
    <w:rsid w:val="00225987"/>
    <w:rsid w:val="00226FBF"/>
    <w:rsid w:val="00231A93"/>
    <w:rsid w:val="00232CD7"/>
    <w:rsid w:val="002343B0"/>
    <w:rsid w:val="002345AD"/>
    <w:rsid w:val="00236CEF"/>
    <w:rsid w:val="002405E3"/>
    <w:rsid w:val="00240E33"/>
    <w:rsid w:val="002419E2"/>
    <w:rsid w:val="00245D2B"/>
    <w:rsid w:val="002462FF"/>
    <w:rsid w:val="00246A77"/>
    <w:rsid w:val="00251833"/>
    <w:rsid w:val="00251983"/>
    <w:rsid w:val="00251DD2"/>
    <w:rsid w:val="00251EA3"/>
    <w:rsid w:val="00252363"/>
    <w:rsid w:val="002525E4"/>
    <w:rsid w:val="002552C5"/>
    <w:rsid w:val="002553E9"/>
    <w:rsid w:val="002554AD"/>
    <w:rsid w:val="002569E3"/>
    <w:rsid w:val="00257233"/>
    <w:rsid w:val="00260D79"/>
    <w:rsid w:val="002641B1"/>
    <w:rsid w:val="00270003"/>
    <w:rsid w:val="00270E68"/>
    <w:rsid w:val="002725F5"/>
    <w:rsid w:val="0027389D"/>
    <w:rsid w:val="00273C16"/>
    <w:rsid w:val="00274A03"/>
    <w:rsid w:val="00276103"/>
    <w:rsid w:val="002766E7"/>
    <w:rsid w:val="0027775C"/>
    <w:rsid w:val="0028245E"/>
    <w:rsid w:val="0028327C"/>
    <w:rsid w:val="002855FF"/>
    <w:rsid w:val="00287D03"/>
    <w:rsid w:val="00290173"/>
    <w:rsid w:val="002901EB"/>
    <w:rsid w:val="002907EA"/>
    <w:rsid w:val="002911B9"/>
    <w:rsid w:val="00291DD8"/>
    <w:rsid w:val="00291E18"/>
    <w:rsid w:val="0029282D"/>
    <w:rsid w:val="002937BB"/>
    <w:rsid w:val="002954DE"/>
    <w:rsid w:val="0029743C"/>
    <w:rsid w:val="002A00DC"/>
    <w:rsid w:val="002A0771"/>
    <w:rsid w:val="002A41E4"/>
    <w:rsid w:val="002A4428"/>
    <w:rsid w:val="002A5AA6"/>
    <w:rsid w:val="002A6937"/>
    <w:rsid w:val="002B4808"/>
    <w:rsid w:val="002B57C2"/>
    <w:rsid w:val="002B58C4"/>
    <w:rsid w:val="002B6805"/>
    <w:rsid w:val="002B7B0A"/>
    <w:rsid w:val="002C0820"/>
    <w:rsid w:val="002C42B7"/>
    <w:rsid w:val="002C64E8"/>
    <w:rsid w:val="002C674C"/>
    <w:rsid w:val="002D02E5"/>
    <w:rsid w:val="002D0BAC"/>
    <w:rsid w:val="002D3C3E"/>
    <w:rsid w:val="002D4FE2"/>
    <w:rsid w:val="002D515E"/>
    <w:rsid w:val="002D58FF"/>
    <w:rsid w:val="002D6DBA"/>
    <w:rsid w:val="002D7092"/>
    <w:rsid w:val="002E1178"/>
    <w:rsid w:val="002E26CB"/>
    <w:rsid w:val="002E476B"/>
    <w:rsid w:val="002E56B6"/>
    <w:rsid w:val="002E5C05"/>
    <w:rsid w:val="002E622C"/>
    <w:rsid w:val="002E6488"/>
    <w:rsid w:val="002E6739"/>
    <w:rsid w:val="002E6807"/>
    <w:rsid w:val="002E680B"/>
    <w:rsid w:val="002E724C"/>
    <w:rsid w:val="002F0254"/>
    <w:rsid w:val="002F0A68"/>
    <w:rsid w:val="002F0D58"/>
    <w:rsid w:val="002F3374"/>
    <w:rsid w:val="002F3CF2"/>
    <w:rsid w:val="002F3E2F"/>
    <w:rsid w:val="002F6A0D"/>
    <w:rsid w:val="00302CD7"/>
    <w:rsid w:val="00303482"/>
    <w:rsid w:val="003076A2"/>
    <w:rsid w:val="00310AC6"/>
    <w:rsid w:val="00310FFD"/>
    <w:rsid w:val="0031442B"/>
    <w:rsid w:val="003150C8"/>
    <w:rsid w:val="0031602F"/>
    <w:rsid w:val="003167DF"/>
    <w:rsid w:val="003174B7"/>
    <w:rsid w:val="003207BA"/>
    <w:rsid w:val="00320B64"/>
    <w:rsid w:val="0032458A"/>
    <w:rsid w:val="00327B07"/>
    <w:rsid w:val="003301A9"/>
    <w:rsid w:val="00330538"/>
    <w:rsid w:val="003328AA"/>
    <w:rsid w:val="003340D2"/>
    <w:rsid w:val="00334D27"/>
    <w:rsid w:val="0033544F"/>
    <w:rsid w:val="003355A7"/>
    <w:rsid w:val="00336877"/>
    <w:rsid w:val="00336FD7"/>
    <w:rsid w:val="0033783C"/>
    <w:rsid w:val="003415A2"/>
    <w:rsid w:val="0034197B"/>
    <w:rsid w:val="00341E07"/>
    <w:rsid w:val="00343A16"/>
    <w:rsid w:val="00344374"/>
    <w:rsid w:val="00345F68"/>
    <w:rsid w:val="0035279F"/>
    <w:rsid w:val="0035712C"/>
    <w:rsid w:val="0035787E"/>
    <w:rsid w:val="00362943"/>
    <w:rsid w:val="00367A39"/>
    <w:rsid w:val="00367E93"/>
    <w:rsid w:val="00370388"/>
    <w:rsid w:val="00371AC8"/>
    <w:rsid w:val="00371F88"/>
    <w:rsid w:val="0037342B"/>
    <w:rsid w:val="0037406C"/>
    <w:rsid w:val="00374140"/>
    <w:rsid w:val="00374E92"/>
    <w:rsid w:val="003768C2"/>
    <w:rsid w:val="00376A4C"/>
    <w:rsid w:val="00377B1E"/>
    <w:rsid w:val="003801CF"/>
    <w:rsid w:val="00382596"/>
    <w:rsid w:val="00382F32"/>
    <w:rsid w:val="0038315E"/>
    <w:rsid w:val="00387A44"/>
    <w:rsid w:val="00390227"/>
    <w:rsid w:val="00391980"/>
    <w:rsid w:val="00391C24"/>
    <w:rsid w:val="00393F26"/>
    <w:rsid w:val="0039515A"/>
    <w:rsid w:val="003A016A"/>
    <w:rsid w:val="003A0634"/>
    <w:rsid w:val="003A0EA1"/>
    <w:rsid w:val="003A1C43"/>
    <w:rsid w:val="003A26C1"/>
    <w:rsid w:val="003A2876"/>
    <w:rsid w:val="003A2C0B"/>
    <w:rsid w:val="003A4A0E"/>
    <w:rsid w:val="003A4AF1"/>
    <w:rsid w:val="003A5595"/>
    <w:rsid w:val="003A5781"/>
    <w:rsid w:val="003A5D9A"/>
    <w:rsid w:val="003A5F69"/>
    <w:rsid w:val="003A60FD"/>
    <w:rsid w:val="003B0044"/>
    <w:rsid w:val="003B31AC"/>
    <w:rsid w:val="003B41E2"/>
    <w:rsid w:val="003B5331"/>
    <w:rsid w:val="003B5C1C"/>
    <w:rsid w:val="003C15F6"/>
    <w:rsid w:val="003C174E"/>
    <w:rsid w:val="003C2610"/>
    <w:rsid w:val="003C3656"/>
    <w:rsid w:val="003C3D38"/>
    <w:rsid w:val="003C692D"/>
    <w:rsid w:val="003D14F0"/>
    <w:rsid w:val="003D4783"/>
    <w:rsid w:val="003D4AAD"/>
    <w:rsid w:val="003E1141"/>
    <w:rsid w:val="003E17D0"/>
    <w:rsid w:val="003E2673"/>
    <w:rsid w:val="003E3F38"/>
    <w:rsid w:val="003E4434"/>
    <w:rsid w:val="003E6307"/>
    <w:rsid w:val="003E7401"/>
    <w:rsid w:val="003E77C6"/>
    <w:rsid w:val="003F2102"/>
    <w:rsid w:val="003F3917"/>
    <w:rsid w:val="003F480E"/>
    <w:rsid w:val="003F5809"/>
    <w:rsid w:val="003F754F"/>
    <w:rsid w:val="004007F5"/>
    <w:rsid w:val="004014BE"/>
    <w:rsid w:val="00401ACF"/>
    <w:rsid w:val="0040282E"/>
    <w:rsid w:val="00402AEC"/>
    <w:rsid w:val="00403DC6"/>
    <w:rsid w:val="004041A8"/>
    <w:rsid w:val="00404D13"/>
    <w:rsid w:val="00406447"/>
    <w:rsid w:val="0040787F"/>
    <w:rsid w:val="0040788A"/>
    <w:rsid w:val="00407A7C"/>
    <w:rsid w:val="0041292D"/>
    <w:rsid w:val="00421C0E"/>
    <w:rsid w:val="004250D4"/>
    <w:rsid w:val="004308E6"/>
    <w:rsid w:val="004311E2"/>
    <w:rsid w:val="00433E1B"/>
    <w:rsid w:val="00434ADA"/>
    <w:rsid w:val="00434B6F"/>
    <w:rsid w:val="00435B32"/>
    <w:rsid w:val="004368B3"/>
    <w:rsid w:val="0043690B"/>
    <w:rsid w:val="0043690F"/>
    <w:rsid w:val="00436A73"/>
    <w:rsid w:val="00440908"/>
    <w:rsid w:val="00441FC9"/>
    <w:rsid w:val="004423F0"/>
    <w:rsid w:val="00445BAE"/>
    <w:rsid w:val="004463A5"/>
    <w:rsid w:val="00446E80"/>
    <w:rsid w:val="00452249"/>
    <w:rsid w:val="00452766"/>
    <w:rsid w:val="00453161"/>
    <w:rsid w:val="004550EB"/>
    <w:rsid w:val="00455DEF"/>
    <w:rsid w:val="0045609C"/>
    <w:rsid w:val="00456A9A"/>
    <w:rsid w:val="00456FCC"/>
    <w:rsid w:val="004573C9"/>
    <w:rsid w:val="00460CB8"/>
    <w:rsid w:val="004617A2"/>
    <w:rsid w:val="00461A54"/>
    <w:rsid w:val="0046283F"/>
    <w:rsid w:val="004678B5"/>
    <w:rsid w:val="00470E8E"/>
    <w:rsid w:val="00472597"/>
    <w:rsid w:val="00473249"/>
    <w:rsid w:val="00474478"/>
    <w:rsid w:val="00475433"/>
    <w:rsid w:val="00483086"/>
    <w:rsid w:val="0048325D"/>
    <w:rsid w:val="0048396D"/>
    <w:rsid w:val="00483FCA"/>
    <w:rsid w:val="00484A6C"/>
    <w:rsid w:val="00484F13"/>
    <w:rsid w:val="004855CE"/>
    <w:rsid w:val="00485FC7"/>
    <w:rsid w:val="0048717F"/>
    <w:rsid w:val="00490116"/>
    <w:rsid w:val="00490C0E"/>
    <w:rsid w:val="004912D1"/>
    <w:rsid w:val="00491C00"/>
    <w:rsid w:val="004929DA"/>
    <w:rsid w:val="00494976"/>
    <w:rsid w:val="004950EE"/>
    <w:rsid w:val="00495142"/>
    <w:rsid w:val="00495E6F"/>
    <w:rsid w:val="00497132"/>
    <w:rsid w:val="00497258"/>
    <w:rsid w:val="00497272"/>
    <w:rsid w:val="004A42A1"/>
    <w:rsid w:val="004A5166"/>
    <w:rsid w:val="004A5E96"/>
    <w:rsid w:val="004A6A07"/>
    <w:rsid w:val="004B25EE"/>
    <w:rsid w:val="004B5C94"/>
    <w:rsid w:val="004B7044"/>
    <w:rsid w:val="004C2263"/>
    <w:rsid w:val="004C2417"/>
    <w:rsid w:val="004C301C"/>
    <w:rsid w:val="004C418B"/>
    <w:rsid w:val="004C6433"/>
    <w:rsid w:val="004C6715"/>
    <w:rsid w:val="004D0333"/>
    <w:rsid w:val="004D062A"/>
    <w:rsid w:val="004D0E93"/>
    <w:rsid w:val="004D10E5"/>
    <w:rsid w:val="004D1BA2"/>
    <w:rsid w:val="004D2234"/>
    <w:rsid w:val="004D3064"/>
    <w:rsid w:val="004D35AB"/>
    <w:rsid w:val="004D3D43"/>
    <w:rsid w:val="004D3F94"/>
    <w:rsid w:val="004D5317"/>
    <w:rsid w:val="004D6E1C"/>
    <w:rsid w:val="004E1DE7"/>
    <w:rsid w:val="004E20E1"/>
    <w:rsid w:val="004E4DBD"/>
    <w:rsid w:val="004E5FA8"/>
    <w:rsid w:val="004E7014"/>
    <w:rsid w:val="004F49D3"/>
    <w:rsid w:val="004F585E"/>
    <w:rsid w:val="004F5F96"/>
    <w:rsid w:val="0050424B"/>
    <w:rsid w:val="00504873"/>
    <w:rsid w:val="00504C10"/>
    <w:rsid w:val="00510556"/>
    <w:rsid w:val="0051362A"/>
    <w:rsid w:val="00514C4A"/>
    <w:rsid w:val="0051779D"/>
    <w:rsid w:val="005200B6"/>
    <w:rsid w:val="005203C1"/>
    <w:rsid w:val="0052057D"/>
    <w:rsid w:val="00520793"/>
    <w:rsid w:val="00522667"/>
    <w:rsid w:val="00523E97"/>
    <w:rsid w:val="0052415C"/>
    <w:rsid w:val="00525497"/>
    <w:rsid w:val="005276D3"/>
    <w:rsid w:val="00531521"/>
    <w:rsid w:val="00531645"/>
    <w:rsid w:val="00532402"/>
    <w:rsid w:val="00534C09"/>
    <w:rsid w:val="00534CA4"/>
    <w:rsid w:val="0053513F"/>
    <w:rsid w:val="00542F98"/>
    <w:rsid w:val="0054332C"/>
    <w:rsid w:val="0054508F"/>
    <w:rsid w:val="00545941"/>
    <w:rsid w:val="00546AED"/>
    <w:rsid w:val="00550ABC"/>
    <w:rsid w:val="00551EF2"/>
    <w:rsid w:val="005524DE"/>
    <w:rsid w:val="00552A60"/>
    <w:rsid w:val="00554A41"/>
    <w:rsid w:val="00558BD7"/>
    <w:rsid w:val="00560511"/>
    <w:rsid w:val="0056116C"/>
    <w:rsid w:val="00562E79"/>
    <w:rsid w:val="00564B12"/>
    <w:rsid w:val="00564F43"/>
    <w:rsid w:val="00565958"/>
    <w:rsid w:val="00565B89"/>
    <w:rsid w:val="00566540"/>
    <w:rsid w:val="0056695A"/>
    <w:rsid w:val="00567BF9"/>
    <w:rsid w:val="005700B6"/>
    <w:rsid w:val="005718E5"/>
    <w:rsid w:val="005721F1"/>
    <w:rsid w:val="005724D2"/>
    <w:rsid w:val="00572629"/>
    <w:rsid w:val="0057627C"/>
    <w:rsid w:val="00577819"/>
    <w:rsid w:val="0058089E"/>
    <w:rsid w:val="00580939"/>
    <w:rsid w:val="005811E4"/>
    <w:rsid w:val="00582C5D"/>
    <w:rsid w:val="005832A5"/>
    <w:rsid w:val="005833F1"/>
    <w:rsid w:val="005834FF"/>
    <w:rsid w:val="00583D64"/>
    <w:rsid w:val="00584413"/>
    <w:rsid w:val="0058650E"/>
    <w:rsid w:val="005879BE"/>
    <w:rsid w:val="0058C59B"/>
    <w:rsid w:val="005901FA"/>
    <w:rsid w:val="005904A8"/>
    <w:rsid w:val="00591ECF"/>
    <w:rsid w:val="0059210A"/>
    <w:rsid w:val="0059290E"/>
    <w:rsid w:val="00594989"/>
    <w:rsid w:val="005949B3"/>
    <w:rsid w:val="005952B3"/>
    <w:rsid w:val="00595E74"/>
    <w:rsid w:val="00597EB5"/>
    <w:rsid w:val="005A0A8F"/>
    <w:rsid w:val="005A36F7"/>
    <w:rsid w:val="005A4B96"/>
    <w:rsid w:val="005A542C"/>
    <w:rsid w:val="005A74AA"/>
    <w:rsid w:val="005B0BF5"/>
    <w:rsid w:val="005B1688"/>
    <w:rsid w:val="005B251D"/>
    <w:rsid w:val="005B4D53"/>
    <w:rsid w:val="005B520B"/>
    <w:rsid w:val="005B5FC8"/>
    <w:rsid w:val="005B6232"/>
    <w:rsid w:val="005C05E9"/>
    <w:rsid w:val="005C1A6C"/>
    <w:rsid w:val="005C1E71"/>
    <w:rsid w:val="005C2419"/>
    <w:rsid w:val="005C2487"/>
    <w:rsid w:val="005C4715"/>
    <w:rsid w:val="005C4721"/>
    <w:rsid w:val="005C5817"/>
    <w:rsid w:val="005C7106"/>
    <w:rsid w:val="005C7775"/>
    <w:rsid w:val="005D061F"/>
    <w:rsid w:val="005D1BE0"/>
    <w:rsid w:val="005D224F"/>
    <w:rsid w:val="005D4957"/>
    <w:rsid w:val="005D5A6D"/>
    <w:rsid w:val="005D60A1"/>
    <w:rsid w:val="005D72BD"/>
    <w:rsid w:val="005E2ECA"/>
    <w:rsid w:val="005E4277"/>
    <w:rsid w:val="005E4BC5"/>
    <w:rsid w:val="005E5037"/>
    <w:rsid w:val="005F0EFE"/>
    <w:rsid w:val="005F0F0E"/>
    <w:rsid w:val="005F1BDE"/>
    <w:rsid w:val="005F309D"/>
    <w:rsid w:val="005F3AA6"/>
    <w:rsid w:val="005F4149"/>
    <w:rsid w:val="005F453B"/>
    <w:rsid w:val="005F4FCD"/>
    <w:rsid w:val="005F5A81"/>
    <w:rsid w:val="0060024D"/>
    <w:rsid w:val="00601333"/>
    <w:rsid w:val="00601E8B"/>
    <w:rsid w:val="00602F70"/>
    <w:rsid w:val="00603223"/>
    <w:rsid w:val="00604A71"/>
    <w:rsid w:val="00604F54"/>
    <w:rsid w:val="006063E5"/>
    <w:rsid w:val="00606656"/>
    <w:rsid w:val="00606ABA"/>
    <w:rsid w:val="00607F1B"/>
    <w:rsid w:val="006102B5"/>
    <w:rsid w:val="006110A4"/>
    <w:rsid w:val="006114E7"/>
    <w:rsid w:val="00611A9B"/>
    <w:rsid w:val="00613487"/>
    <w:rsid w:val="00613E77"/>
    <w:rsid w:val="006147BE"/>
    <w:rsid w:val="00614CF6"/>
    <w:rsid w:val="00616FFC"/>
    <w:rsid w:val="00622587"/>
    <w:rsid w:val="00622FE0"/>
    <w:rsid w:val="00623A44"/>
    <w:rsid w:val="00623D0E"/>
    <w:rsid w:val="00625138"/>
    <w:rsid w:val="006252BB"/>
    <w:rsid w:val="0062564F"/>
    <w:rsid w:val="00627050"/>
    <w:rsid w:val="006270A6"/>
    <w:rsid w:val="00630466"/>
    <w:rsid w:val="00630EE5"/>
    <w:rsid w:val="00633420"/>
    <w:rsid w:val="0063393B"/>
    <w:rsid w:val="00634469"/>
    <w:rsid w:val="006347D1"/>
    <w:rsid w:val="0063580F"/>
    <w:rsid w:val="006367B2"/>
    <w:rsid w:val="0063694D"/>
    <w:rsid w:val="006411B7"/>
    <w:rsid w:val="00642C86"/>
    <w:rsid w:val="0064550C"/>
    <w:rsid w:val="00645CF4"/>
    <w:rsid w:val="0064713E"/>
    <w:rsid w:val="006471E1"/>
    <w:rsid w:val="00651869"/>
    <w:rsid w:val="006520DB"/>
    <w:rsid w:val="00652314"/>
    <w:rsid w:val="0065330C"/>
    <w:rsid w:val="00653A7F"/>
    <w:rsid w:val="00653DD7"/>
    <w:rsid w:val="00654DCF"/>
    <w:rsid w:val="006564D5"/>
    <w:rsid w:val="00657E6A"/>
    <w:rsid w:val="00660E66"/>
    <w:rsid w:val="006611A9"/>
    <w:rsid w:val="00661C95"/>
    <w:rsid w:val="00663616"/>
    <w:rsid w:val="006705E5"/>
    <w:rsid w:val="00671DFF"/>
    <w:rsid w:val="006743E4"/>
    <w:rsid w:val="006772C3"/>
    <w:rsid w:val="00677431"/>
    <w:rsid w:val="0067787A"/>
    <w:rsid w:val="006806D0"/>
    <w:rsid w:val="00681BF4"/>
    <w:rsid w:val="00681D12"/>
    <w:rsid w:val="00683E05"/>
    <w:rsid w:val="0068599C"/>
    <w:rsid w:val="00685D4C"/>
    <w:rsid w:val="00687035"/>
    <w:rsid w:val="00687343"/>
    <w:rsid w:val="00687A67"/>
    <w:rsid w:val="0069194B"/>
    <w:rsid w:val="00692E84"/>
    <w:rsid w:val="00695054"/>
    <w:rsid w:val="00697BB2"/>
    <w:rsid w:val="006A0215"/>
    <w:rsid w:val="006A486E"/>
    <w:rsid w:val="006A5794"/>
    <w:rsid w:val="006A6F5F"/>
    <w:rsid w:val="006B1828"/>
    <w:rsid w:val="006B18E8"/>
    <w:rsid w:val="006B317E"/>
    <w:rsid w:val="006B3846"/>
    <w:rsid w:val="006B43D8"/>
    <w:rsid w:val="006B5FEC"/>
    <w:rsid w:val="006B6770"/>
    <w:rsid w:val="006B7349"/>
    <w:rsid w:val="006C0955"/>
    <w:rsid w:val="006C0D6D"/>
    <w:rsid w:val="006C1FE8"/>
    <w:rsid w:val="006C4B6E"/>
    <w:rsid w:val="006C7BCB"/>
    <w:rsid w:val="006D1A8D"/>
    <w:rsid w:val="006D1B84"/>
    <w:rsid w:val="006D2B42"/>
    <w:rsid w:val="006D5290"/>
    <w:rsid w:val="006D6AFF"/>
    <w:rsid w:val="006D770E"/>
    <w:rsid w:val="006E1F6E"/>
    <w:rsid w:val="006E29DD"/>
    <w:rsid w:val="006E47AA"/>
    <w:rsid w:val="006E496A"/>
    <w:rsid w:val="006E4A93"/>
    <w:rsid w:val="006E64AA"/>
    <w:rsid w:val="006E6C91"/>
    <w:rsid w:val="006F12C2"/>
    <w:rsid w:val="006F2E40"/>
    <w:rsid w:val="006F3917"/>
    <w:rsid w:val="006F55D8"/>
    <w:rsid w:val="006F6726"/>
    <w:rsid w:val="007039C6"/>
    <w:rsid w:val="00706908"/>
    <w:rsid w:val="00706D8F"/>
    <w:rsid w:val="00707E41"/>
    <w:rsid w:val="00710BF3"/>
    <w:rsid w:val="00711F94"/>
    <w:rsid w:val="00713321"/>
    <w:rsid w:val="00713CFA"/>
    <w:rsid w:val="00715C76"/>
    <w:rsid w:val="00715CA6"/>
    <w:rsid w:val="00715FF1"/>
    <w:rsid w:val="007162F9"/>
    <w:rsid w:val="00716AB3"/>
    <w:rsid w:val="007172F1"/>
    <w:rsid w:val="00717C98"/>
    <w:rsid w:val="0071F81C"/>
    <w:rsid w:val="00720510"/>
    <w:rsid w:val="0072132B"/>
    <w:rsid w:val="007227A5"/>
    <w:rsid w:val="007229CA"/>
    <w:rsid w:val="00722F7E"/>
    <w:rsid w:val="007231AC"/>
    <w:rsid w:val="00724230"/>
    <w:rsid w:val="00731033"/>
    <w:rsid w:val="00732AC8"/>
    <w:rsid w:val="00736CC8"/>
    <w:rsid w:val="00737DA7"/>
    <w:rsid w:val="007504B9"/>
    <w:rsid w:val="007505F7"/>
    <w:rsid w:val="007514A9"/>
    <w:rsid w:val="00751D4A"/>
    <w:rsid w:val="0075321D"/>
    <w:rsid w:val="007535ED"/>
    <w:rsid w:val="007536E3"/>
    <w:rsid w:val="00753F37"/>
    <w:rsid w:val="00754328"/>
    <w:rsid w:val="00755293"/>
    <w:rsid w:val="00755A9E"/>
    <w:rsid w:val="00755C06"/>
    <w:rsid w:val="007567A7"/>
    <w:rsid w:val="007669F3"/>
    <w:rsid w:val="007677E0"/>
    <w:rsid w:val="007720DA"/>
    <w:rsid w:val="007736AC"/>
    <w:rsid w:val="00774F78"/>
    <w:rsid w:val="007761EA"/>
    <w:rsid w:val="00776C1A"/>
    <w:rsid w:val="00777E60"/>
    <w:rsid w:val="00780E40"/>
    <w:rsid w:val="00783349"/>
    <w:rsid w:val="0078397D"/>
    <w:rsid w:val="007840E0"/>
    <w:rsid w:val="0078621C"/>
    <w:rsid w:val="00786C2D"/>
    <w:rsid w:val="0078783E"/>
    <w:rsid w:val="00791962"/>
    <w:rsid w:val="00792CEF"/>
    <w:rsid w:val="0079319B"/>
    <w:rsid w:val="0079388F"/>
    <w:rsid w:val="007947DF"/>
    <w:rsid w:val="00796435"/>
    <w:rsid w:val="007A4752"/>
    <w:rsid w:val="007A4FE7"/>
    <w:rsid w:val="007A5465"/>
    <w:rsid w:val="007B0417"/>
    <w:rsid w:val="007B04E1"/>
    <w:rsid w:val="007B1598"/>
    <w:rsid w:val="007B2D5C"/>
    <w:rsid w:val="007B55D8"/>
    <w:rsid w:val="007B5993"/>
    <w:rsid w:val="007B6461"/>
    <w:rsid w:val="007C0F1C"/>
    <w:rsid w:val="007C1106"/>
    <w:rsid w:val="007C21BE"/>
    <w:rsid w:val="007C5E3E"/>
    <w:rsid w:val="007C652B"/>
    <w:rsid w:val="007D1CC2"/>
    <w:rsid w:val="007D226C"/>
    <w:rsid w:val="007D299B"/>
    <w:rsid w:val="007D2EBD"/>
    <w:rsid w:val="007D594C"/>
    <w:rsid w:val="007D6D70"/>
    <w:rsid w:val="007E2444"/>
    <w:rsid w:val="007E348F"/>
    <w:rsid w:val="007E44D5"/>
    <w:rsid w:val="007E6246"/>
    <w:rsid w:val="007E681E"/>
    <w:rsid w:val="007E793B"/>
    <w:rsid w:val="007E7F5D"/>
    <w:rsid w:val="007F1EA4"/>
    <w:rsid w:val="007F2614"/>
    <w:rsid w:val="007F2844"/>
    <w:rsid w:val="007F366B"/>
    <w:rsid w:val="007F377C"/>
    <w:rsid w:val="007F38E4"/>
    <w:rsid w:val="007F498A"/>
    <w:rsid w:val="007F59C6"/>
    <w:rsid w:val="007F67C7"/>
    <w:rsid w:val="00801FAC"/>
    <w:rsid w:val="00804B05"/>
    <w:rsid w:val="00806204"/>
    <w:rsid w:val="00806EB4"/>
    <w:rsid w:val="00806F61"/>
    <w:rsid w:val="00806FCC"/>
    <w:rsid w:val="008107D8"/>
    <w:rsid w:val="0081089B"/>
    <w:rsid w:val="00810941"/>
    <w:rsid w:val="00811C3F"/>
    <w:rsid w:val="00811F3E"/>
    <w:rsid w:val="00812141"/>
    <w:rsid w:val="008123CE"/>
    <w:rsid w:val="00813BBC"/>
    <w:rsid w:val="00813C12"/>
    <w:rsid w:val="00813D0D"/>
    <w:rsid w:val="00813DD9"/>
    <w:rsid w:val="00815D35"/>
    <w:rsid w:val="00816252"/>
    <w:rsid w:val="008206FA"/>
    <w:rsid w:val="00823A6F"/>
    <w:rsid w:val="0082541F"/>
    <w:rsid w:val="0082580E"/>
    <w:rsid w:val="00826DDB"/>
    <w:rsid w:val="00826E16"/>
    <w:rsid w:val="008279D1"/>
    <w:rsid w:val="008351E2"/>
    <w:rsid w:val="00835ECB"/>
    <w:rsid w:val="0084228A"/>
    <w:rsid w:val="00843675"/>
    <w:rsid w:val="00844244"/>
    <w:rsid w:val="0085047A"/>
    <w:rsid w:val="00857E91"/>
    <w:rsid w:val="00857F24"/>
    <w:rsid w:val="00860706"/>
    <w:rsid w:val="00860E19"/>
    <w:rsid w:val="0086194E"/>
    <w:rsid w:val="008619EB"/>
    <w:rsid w:val="0086259C"/>
    <w:rsid w:val="00863471"/>
    <w:rsid w:val="008640BA"/>
    <w:rsid w:val="008665D0"/>
    <w:rsid w:val="00870412"/>
    <w:rsid w:val="00870779"/>
    <w:rsid w:val="00871980"/>
    <w:rsid w:val="0087444C"/>
    <w:rsid w:val="00874559"/>
    <w:rsid w:val="00880F6F"/>
    <w:rsid w:val="00885E66"/>
    <w:rsid w:val="0088755B"/>
    <w:rsid w:val="0089169F"/>
    <w:rsid w:val="00893017"/>
    <w:rsid w:val="0089348C"/>
    <w:rsid w:val="00894CEC"/>
    <w:rsid w:val="00895662"/>
    <w:rsid w:val="008963A3"/>
    <w:rsid w:val="008A609D"/>
    <w:rsid w:val="008A752E"/>
    <w:rsid w:val="008B1956"/>
    <w:rsid w:val="008B24EB"/>
    <w:rsid w:val="008B265A"/>
    <w:rsid w:val="008B2F1B"/>
    <w:rsid w:val="008B4A59"/>
    <w:rsid w:val="008B5432"/>
    <w:rsid w:val="008B623E"/>
    <w:rsid w:val="008B7689"/>
    <w:rsid w:val="008C1DDE"/>
    <w:rsid w:val="008C2422"/>
    <w:rsid w:val="008C245B"/>
    <w:rsid w:val="008C384F"/>
    <w:rsid w:val="008C5554"/>
    <w:rsid w:val="008C642D"/>
    <w:rsid w:val="008C6E97"/>
    <w:rsid w:val="008D23C4"/>
    <w:rsid w:val="008D3B58"/>
    <w:rsid w:val="008D41FB"/>
    <w:rsid w:val="008D583F"/>
    <w:rsid w:val="008D59A7"/>
    <w:rsid w:val="008D6FBE"/>
    <w:rsid w:val="008D7351"/>
    <w:rsid w:val="008D7742"/>
    <w:rsid w:val="008D7936"/>
    <w:rsid w:val="008E31B6"/>
    <w:rsid w:val="008E3AFB"/>
    <w:rsid w:val="008E4EAE"/>
    <w:rsid w:val="008E74B3"/>
    <w:rsid w:val="008E74CD"/>
    <w:rsid w:val="008E74EC"/>
    <w:rsid w:val="008E784C"/>
    <w:rsid w:val="008F10EA"/>
    <w:rsid w:val="008F1A2D"/>
    <w:rsid w:val="008F1E17"/>
    <w:rsid w:val="008F389A"/>
    <w:rsid w:val="00900634"/>
    <w:rsid w:val="00901F6D"/>
    <w:rsid w:val="00902F03"/>
    <w:rsid w:val="00903111"/>
    <w:rsid w:val="009057C6"/>
    <w:rsid w:val="00905E70"/>
    <w:rsid w:val="00906C58"/>
    <w:rsid w:val="00911567"/>
    <w:rsid w:val="00915EC1"/>
    <w:rsid w:val="00921813"/>
    <w:rsid w:val="00921F47"/>
    <w:rsid w:val="00922367"/>
    <w:rsid w:val="009228AC"/>
    <w:rsid w:val="00923F72"/>
    <w:rsid w:val="00924B30"/>
    <w:rsid w:val="00926637"/>
    <w:rsid w:val="0092764A"/>
    <w:rsid w:val="0093128E"/>
    <w:rsid w:val="00931C78"/>
    <w:rsid w:val="00940BE6"/>
    <w:rsid w:val="009414C5"/>
    <w:rsid w:val="00941F2C"/>
    <w:rsid w:val="00941F83"/>
    <w:rsid w:val="00942A14"/>
    <w:rsid w:val="0094443C"/>
    <w:rsid w:val="00950329"/>
    <w:rsid w:val="00952BA3"/>
    <w:rsid w:val="00953BC1"/>
    <w:rsid w:val="009540F7"/>
    <w:rsid w:val="00955351"/>
    <w:rsid w:val="00956A94"/>
    <w:rsid w:val="00957BD4"/>
    <w:rsid w:val="00957F3D"/>
    <w:rsid w:val="00961755"/>
    <w:rsid w:val="00964B0E"/>
    <w:rsid w:val="0096552F"/>
    <w:rsid w:val="00966E3E"/>
    <w:rsid w:val="00970B44"/>
    <w:rsid w:val="009714CE"/>
    <w:rsid w:val="00971723"/>
    <w:rsid w:val="009719B9"/>
    <w:rsid w:val="0097490A"/>
    <w:rsid w:val="009761DB"/>
    <w:rsid w:val="00980303"/>
    <w:rsid w:val="00984C9F"/>
    <w:rsid w:val="009860C1"/>
    <w:rsid w:val="00987872"/>
    <w:rsid w:val="009908C6"/>
    <w:rsid w:val="00990DAB"/>
    <w:rsid w:val="0099188F"/>
    <w:rsid w:val="009927F6"/>
    <w:rsid w:val="00997EEA"/>
    <w:rsid w:val="009A06D0"/>
    <w:rsid w:val="009A1215"/>
    <w:rsid w:val="009A1BA3"/>
    <w:rsid w:val="009A2188"/>
    <w:rsid w:val="009A4095"/>
    <w:rsid w:val="009A416A"/>
    <w:rsid w:val="009A5280"/>
    <w:rsid w:val="009A59A3"/>
    <w:rsid w:val="009A59D6"/>
    <w:rsid w:val="009A647D"/>
    <w:rsid w:val="009A6B61"/>
    <w:rsid w:val="009A6CA7"/>
    <w:rsid w:val="009B2424"/>
    <w:rsid w:val="009B3B6E"/>
    <w:rsid w:val="009B3FB2"/>
    <w:rsid w:val="009B4183"/>
    <w:rsid w:val="009B5CE1"/>
    <w:rsid w:val="009B6781"/>
    <w:rsid w:val="009B7C5F"/>
    <w:rsid w:val="009C32B8"/>
    <w:rsid w:val="009C5A97"/>
    <w:rsid w:val="009C6387"/>
    <w:rsid w:val="009C68CA"/>
    <w:rsid w:val="009C728B"/>
    <w:rsid w:val="009D0636"/>
    <w:rsid w:val="009D0EFE"/>
    <w:rsid w:val="009D150D"/>
    <w:rsid w:val="009D27F0"/>
    <w:rsid w:val="009D3282"/>
    <w:rsid w:val="009D32B9"/>
    <w:rsid w:val="009D36A5"/>
    <w:rsid w:val="009D3BAD"/>
    <w:rsid w:val="009E2164"/>
    <w:rsid w:val="009E25CE"/>
    <w:rsid w:val="009E44C5"/>
    <w:rsid w:val="009E5334"/>
    <w:rsid w:val="009E5E8E"/>
    <w:rsid w:val="009F0EDF"/>
    <w:rsid w:val="009F116C"/>
    <w:rsid w:val="009F1861"/>
    <w:rsid w:val="009F2CAC"/>
    <w:rsid w:val="009F3220"/>
    <w:rsid w:val="009F5AF1"/>
    <w:rsid w:val="009F5FB7"/>
    <w:rsid w:val="00A04F43"/>
    <w:rsid w:val="00A07BC6"/>
    <w:rsid w:val="00A12620"/>
    <w:rsid w:val="00A12DF6"/>
    <w:rsid w:val="00A13D82"/>
    <w:rsid w:val="00A147BF"/>
    <w:rsid w:val="00A1490F"/>
    <w:rsid w:val="00A15BB6"/>
    <w:rsid w:val="00A161B5"/>
    <w:rsid w:val="00A1798C"/>
    <w:rsid w:val="00A17B43"/>
    <w:rsid w:val="00A21F91"/>
    <w:rsid w:val="00A22E70"/>
    <w:rsid w:val="00A258A4"/>
    <w:rsid w:val="00A26D10"/>
    <w:rsid w:val="00A2768E"/>
    <w:rsid w:val="00A30D9F"/>
    <w:rsid w:val="00A311AE"/>
    <w:rsid w:val="00A31C9A"/>
    <w:rsid w:val="00A32463"/>
    <w:rsid w:val="00A32EAC"/>
    <w:rsid w:val="00A409F0"/>
    <w:rsid w:val="00A41357"/>
    <w:rsid w:val="00A41EB4"/>
    <w:rsid w:val="00A42052"/>
    <w:rsid w:val="00A43CA4"/>
    <w:rsid w:val="00A44E35"/>
    <w:rsid w:val="00A459F7"/>
    <w:rsid w:val="00A464B2"/>
    <w:rsid w:val="00A46F28"/>
    <w:rsid w:val="00A47D76"/>
    <w:rsid w:val="00A50284"/>
    <w:rsid w:val="00A50C35"/>
    <w:rsid w:val="00A510F3"/>
    <w:rsid w:val="00A540FE"/>
    <w:rsid w:val="00A54DB2"/>
    <w:rsid w:val="00A5528A"/>
    <w:rsid w:val="00A559A1"/>
    <w:rsid w:val="00A56325"/>
    <w:rsid w:val="00A565D0"/>
    <w:rsid w:val="00A5747F"/>
    <w:rsid w:val="00A61320"/>
    <w:rsid w:val="00A62348"/>
    <w:rsid w:val="00A634FA"/>
    <w:rsid w:val="00A67DC1"/>
    <w:rsid w:val="00A7094D"/>
    <w:rsid w:val="00A70959"/>
    <w:rsid w:val="00A70974"/>
    <w:rsid w:val="00A73AA2"/>
    <w:rsid w:val="00A74357"/>
    <w:rsid w:val="00A745DA"/>
    <w:rsid w:val="00A77C31"/>
    <w:rsid w:val="00A8227A"/>
    <w:rsid w:val="00A828F8"/>
    <w:rsid w:val="00A82E3E"/>
    <w:rsid w:val="00A839C0"/>
    <w:rsid w:val="00A843E2"/>
    <w:rsid w:val="00A848B3"/>
    <w:rsid w:val="00A85727"/>
    <w:rsid w:val="00A91DB3"/>
    <w:rsid w:val="00A92938"/>
    <w:rsid w:val="00A92C22"/>
    <w:rsid w:val="00A93EC8"/>
    <w:rsid w:val="00A93F48"/>
    <w:rsid w:val="00A95519"/>
    <w:rsid w:val="00A973F5"/>
    <w:rsid w:val="00AA07CB"/>
    <w:rsid w:val="00AA12DE"/>
    <w:rsid w:val="00AA15B7"/>
    <w:rsid w:val="00AA2198"/>
    <w:rsid w:val="00AA299B"/>
    <w:rsid w:val="00AA2AD5"/>
    <w:rsid w:val="00AA5C85"/>
    <w:rsid w:val="00AA5F63"/>
    <w:rsid w:val="00AA616D"/>
    <w:rsid w:val="00AA6236"/>
    <w:rsid w:val="00AA6E9E"/>
    <w:rsid w:val="00AA706D"/>
    <w:rsid w:val="00AB0258"/>
    <w:rsid w:val="00AB1400"/>
    <w:rsid w:val="00AB1793"/>
    <w:rsid w:val="00AB3159"/>
    <w:rsid w:val="00AB326D"/>
    <w:rsid w:val="00AB447C"/>
    <w:rsid w:val="00AB506A"/>
    <w:rsid w:val="00AB5205"/>
    <w:rsid w:val="00AB60DC"/>
    <w:rsid w:val="00AB6616"/>
    <w:rsid w:val="00AC2296"/>
    <w:rsid w:val="00AC4671"/>
    <w:rsid w:val="00AC5D7C"/>
    <w:rsid w:val="00AC5DCF"/>
    <w:rsid w:val="00AC6019"/>
    <w:rsid w:val="00AD16A4"/>
    <w:rsid w:val="00AD21D1"/>
    <w:rsid w:val="00AD41CA"/>
    <w:rsid w:val="00AD5FB5"/>
    <w:rsid w:val="00AE082D"/>
    <w:rsid w:val="00AE335B"/>
    <w:rsid w:val="00AE45F8"/>
    <w:rsid w:val="00AE5E05"/>
    <w:rsid w:val="00AE5FE3"/>
    <w:rsid w:val="00AE602C"/>
    <w:rsid w:val="00AE62F0"/>
    <w:rsid w:val="00AE6609"/>
    <w:rsid w:val="00AE6D46"/>
    <w:rsid w:val="00AF1A25"/>
    <w:rsid w:val="00AF2F44"/>
    <w:rsid w:val="00AF391B"/>
    <w:rsid w:val="00AF4C48"/>
    <w:rsid w:val="00AF5A45"/>
    <w:rsid w:val="00AF6A7A"/>
    <w:rsid w:val="00AF744C"/>
    <w:rsid w:val="00AF7E1A"/>
    <w:rsid w:val="00B0040C"/>
    <w:rsid w:val="00B02375"/>
    <w:rsid w:val="00B02F2C"/>
    <w:rsid w:val="00B039FE"/>
    <w:rsid w:val="00B0495F"/>
    <w:rsid w:val="00B05D72"/>
    <w:rsid w:val="00B10188"/>
    <w:rsid w:val="00B11C3B"/>
    <w:rsid w:val="00B12079"/>
    <w:rsid w:val="00B145EA"/>
    <w:rsid w:val="00B14F4C"/>
    <w:rsid w:val="00B15E34"/>
    <w:rsid w:val="00B166CF"/>
    <w:rsid w:val="00B166D4"/>
    <w:rsid w:val="00B1A659"/>
    <w:rsid w:val="00B20DB5"/>
    <w:rsid w:val="00B23081"/>
    <w:rsid w:val="00B23A52"/>
    <w:rsid w:val="00B24E4D"/>
    <w:rsid w:val="00B26312"/>
    <w:rsid w:val="00B2787D"/>
    <w:rsid w:val="00B32777"/>
    <w:rsid w:val="00B3367F"/>
    <w:rsid w:val="00B33AD6"/>
    <w:rsid w:val="00B34546"/>
    <w:rsid w:val="00B346F4"/>
    <w:rsid w:val="00B35350"/>
    <w:rsid w:val="00B35A9B"/>
    <w:rsid w:val="00B37054"/>
    <w:rsid w:val="00B404C7"/>
    <w:rsid w:val="00B42464"/>
    <w:rsid w:val="00B42812"/>
    <w:rsid w:val="00B428CD"/>
    <w:rsid w:val="00B4326B"/>
    <w:rsid w:val="00B43772"/>
    <w:rsid w:val="00B46B8F"/>
    <w:rsid w:val="00B50DDB"/>
    <w:rsid w:val="00B54BC6"/>
    <w:rsid w:val="00B60171"/>
    <w:rsid w:val="00B6020B"/>
    <w:rsid w:val="00B614CB"/>
    <w:rsid w:val="00B61623"/>
    <w:rsid w:val="00B64F57"/>
    <w:rsid w:val="00B65006"/>
    <w:rsid w:val="00B658DE"/>
    <w:rsid w:val="00B66000"/>
    <w:rsid w:val="00B66BA2"/>
    <w:rsid w:val="00B674C9"/>
    <w:rsid w:val="00B67743"/>
    <w:rsid w:val="00B67889"/>
    <w:rsid w:val="00B7001B"/>
    <w:rsid w:val="00B71247"/>
    <w:rsid w:val="00B71632"/>
    <w:rsid w:val="00B716D7"/>
    <w:rsid w:val="00B7181B"/>
    <w:rsid w:val="00B72FFC"/>
    <w:rsid w:val="00B73A70"/>
    <w:rsid w:val="00B74C67"/>
    <w:rsid w:val="00B7575D"/>
    <w:rsid w:val="00B75AAB"/>
    <w:rsid w:val="00B75D7B"/>
    <w:rsid w:val="00B764B0"/>
    <w:rsid w:val="00B764F2"/>
    <w:rsid w:val="00B77D31"/>
    <w:rsid w:val="00B814DA"/>
    <w:rsid w:val="00B81DF0"/>
    <w:rsid w:val="00B8388F"/>
    <w:rsid w:val="00B90E3A"/>
    <w:rsid w:val="00B94D69"/>
    <w:rsid w:val="00BA091E"/>
    <w:rsid w:val="00BA10B3"/>
    <w:rsid w:val="00BA20CA"/>
    <w:rsid w:val="00BA2B0D"/>
    <w:rsid w:val="00BA4AB3"/>
    <w:rsid w:val="00BA6FB8"/>
    <w:rsid w:val="00BA76EA"/>
    <w:rsid w:val="00BA7ACA"/>
    <w:rsid w:val="00BA7C59"/>
    <w:rsid w:val="00BB2358"/>
    <w:rsid w:val="00BB3065"/>
    <w:rsid w:val="00BB6376"/>
    <w:rsid w:val="00BB66BE"/>
    <w:rsid w:val="00BC1E78"/>
    <w:rsid w:val="00BC1EAB"/>
    <w:rsid w:val="00BC2E1E"/>
    <w:rsid w:val="00BC47E2"/>
    <w:rsid w:val="00BC54E1"/>
    <w:rsid w:val="00BC661F"/>
    <w:rsid w:val="00BC679C"/>
    <w:rsid w:val="00BD0BC2"/>
    <w:rsid w:val="00BD1609"/>
    <w:rsid w:val="00BD2F6F"/>
    <w:rsid w:val="00BD373B"/>
    <w:rsid w:val="00BD3C56"/>
    <w:rsid w:val="00BD4E0C"/>
    <w:rsid w:val="00BD6AA7"/>
    <w:rsid w:val="00BD6D54"/>
    <w:rsid w:val="00BD73DC"/>
    <w:rsid w:val="00BE2262"/>
    <w:rsid w:val="00BE3728"/>
    <w:rsid w:val="00BF2D4A"/>
    <w:rsid w:val="00BF3687"/>
    <w:rsid w:val="00BF5273"/>
    <w:rsid w:val="00BF5E7C"/>
    <w:rsid w:val="00BF67A8"/>
    <w:rsid w:val="00BF6EEC"/>
    <w:rsid w:val="00BF6F3C"/>
    <w:rsid w:val="00C003B8"/>
    <w:rsid w:val="00C0066A"/>
    <w:rsid w:val="00C00687"/>
    <w:rsid w:val="00C03E39"/>
    <w:rsid w:val="00C052C9"/>
    <w:rsid w:val="00C0565F"/>
    <w:rsid w:val="00C066CD"/>
    <w:rsid w:val="00C066DE"/>
    <w:rsid w:val="00C07AC8"/>
    <w:rsid w:val="00C07BB2"/>
    <w:rsid w:val="00C10A31"/>
    <w:rsid w:val="00C11AC5"/>
    <w:rsid w:val="00C11C29"/>
    <w:rsid w:val="00C14F9C"/>
    <w:rsid w:val="00C15C3B"/>
    <w:rsid w:val="00C21F3D"/>
    <w:rsid w:val="00C22EEB"/>
    <w:rsid w:val="00C24871"/>
    <w:rsid w:val="00C25038"/>
    <w:rsid w:val="00C25563"/>
    <w:rsid w:val="00C257D2"/>
    <w:rsid w:val="00C25CB5"/>
    <w:rsid w:val="00C300A6"/>
    <w:rsid w:val="00C32179"/>
    <w:rsid w:val="00C33B7B"/>
    <w:rsid w:val="00C41665"/>
    <w:rsid w:val="00C4278C"/>
    <w:rsid w:val="00C43A5B"/>
    <w:rsid w:val="00C4460A"/>
    <w:rsid w:val="00C454BF"/>
    <w:rsid w:val="00C45D22"/>
    <w:rsid w:val="00C45F1D"/>
    <w:rsid w:val="00C47323"/>
    <w:rsid w:val="00C502D7"/>
    <w:rsid w:val="00C50A17"/>
    <w:rsid w:val="00C55C0E"/>
    <w:rsid w:val="00C56D1C"/>
    <w:rsid w:val="00C61A1C"/>
    <w:rsid w:val="00C6319A"/>
    <w:rsid w:val="00C65567"/>
    <w:rsid w:val="00C662C0"/>
    <w:rsid w:val="00C671DA"/>
    <w:rsid w:val="00C70A7B"/>
    <w:rsid w:val="00C710BF"/>
    <w:rsid w:val="00C743CA"/>
    <w:rsid w:val="00C74686"/>
    <w:rsid w:val="00C748D7"/>
    <w:rsid w:val="00C74C33"/>
    <w:rsid w:val="00C7529F"/>
    <w:rsid w:val="00C75AA2"/>
    <w:rsid w:val="00C7717A"/>
    <w:rsid w:val="00C8273F"/>
    <w:rsid w:val="00C84504"/>
    <w:rsid w:val="00C85819"/>
    <w:rsid w:val="00C86BD6"/>
    <w:rsid w:val="00C93965"/>
    <w:rsid w:val="00C97340"/>
    <w:rsid w:val="00C97756"/>
    <w:rsid w:val="00CA049C"/>
    <w:rsid w:val="00CA0A18"/>
    <w:rsid w:val="00CA193F"/>
    <w:rsid w:val="00CA2200"/>
    <w:rsid w:val="00CA29E7"/>
    <w:rsid w:val="00CA35A3"/>
    <w:rsid w:val="00CA3AEB"/>
    <w:rsid w:val="00CA42A8"/>
    <w:rsid w:val="00CA4936"/>
    <w:rsid w:val="00CA6FF1"/>
    <w:rsid w:val="00CA7727"/>
    <w:rsid w:val="00CA79A7"/>
    <w:rsid w:val="00CB0103"/>
    <w:rsid w:val="00CB06DE"/>
    <w:rsid w:val="00CB073E"/>
    <w:rsid w:val="00CB0D78"/>
    <w:rsid w:val="00CB2FA4"/>
    <w:rsid w:val="00CB3328"/>
    <w:rsid w:val="00CB4558"/>
    <w:rsid w:val="00CC1C66"/>
    <w:rsid w:val="00CC3452"/>
    <w:rsid w:val="00CC34F6"/>
    <w:rsid w:val="00CC5F5C"/>
    <w:rsid w:val="00CC675C"/>
    <w:rsid w:val="00CD0870"/>
    <w:rsid w:val="00CD1B1D"/>
    <w:rsid w:val="00CD39FA"/>
    <w:rsid w:val="00CD3CF9"/>
    <w:rsid w:val="00CD5A03"/>
    <w:rsid w:val="00CD64A3"/>
    <w:rsid w:val="00CD6A7A"/>
    <w:rsid w:val="00CE0D05"/>
    <w:rsid w:val="00CE3157"/>
    <w:rsid w:val="00CE381E"/>
    <w:rsid w:val="00CE4FA9"/>
    <w:rsid w:val="00CE71B8"/>
    <w:rsid w:val="00CE7F85"/>
    <w:rsid w:val="00CF3451"/>
    <w:rsid w:val="00CF388F"/>
    <w:rsid w:val="00CF5C20"/>
    <w:rsid w:val="00CF7918"/>
    <w:rsid w:val="00D016BB"/>
    <w:rsid w:val="00D0210F"/>
    <w:rsid w:val="00D021C0"/>
    <w:rsid w:val="00D0258B"/>
    <w:rsid w:val="00D029F9"/>
    <w:rsid w:val="00D0424D"/>
    <w:rsid w:val="00D04638"/>
    <w:rsid w:val="00D0588D"/>
    <w:rsid w:val="00D06779"/>
    <w:rsid w:val="00D0715A"/>
    <w:rsid w:val="00D1112D"/>
    <w:rsid w:val="00D11C81"/>
    <w:rsid w:val="00D12C0D"/>
    <w:rsid w:val="00D12DF5"/>
    <w:rsid w:val="00D15184"/>
    <w:rsid w:val="00D17ACA"/>
    <w:rsid w:val="00D231B8"/>
    <w:rsid w:val="00D2395C"/>
    <w:rsid w:val="00D24232"/>
    <w:rsid w:val="00D25C55"/>
    <w:rsid w:val="00D27A90"/>
    <w:rsid w:val="00D3023A"/>
    <w:rsid w:val="00D3271B"/>
    <w:rsid w:val="00D329FC"/>
    <w:rsid w:val="00D33ABC"/>
    <w:rsid w:val="00D358E7"/>
    <w:rsid w:val="00D35CF3"/>
    <w:rsid w:val="00D37B5D"/>
    <w:rsid w:val="00D413AF"/>
    <w:rsid w:val="00D41594"/>
    <w:rsid w:val="00D42FEE"/>
    <w:rsid w:val="00D43A27"/>
    <w:rsid w:val="00D43E1F"/>
    <w:rsid w:val="00D446DE"/>
    <w:rsid w:val="00D462AC"/>
    <w:rsid w:val="00D47713"/>
    <w:rsid w:val="00D478B7"/>
    <w:rsid w:val="00D50E80"/>
    <w:rsid w:val="00D516D1"/>
    <w:rsid w:val="00D51C79"/>
    <w:rsid w:val="00D537A1"/>
    <w:rsid w:val="00D54541"/>
    <w:rsid w:val="00D559A5"/>
    <w:rsid w:val="00D60281"/>
    <w:rsid w:val="00D619FC"/>
    <w:rsid w:val="00D62212"/>
    <w:rsid w:val="00D62890"/>
    <w:rsid w:val="00D62DD6"/>
    <w:rsid w:val="00D64162"/>
    <w:rsid w:val="00D66B79"/>
    <w:rsid w:val="00D704AC"/>
    <w:rsid w:val="00D706C7"/>
    <w:rsid w:val="00D70BEF"/>
    <w:rsid w:val="00D71B9B"/>
    <w:rsid w:val="00D71F31"/>
    <w:rsid w:val="00D740F4"/>
    <w:rsid w:val="00D749A8"/>
    <w:rsid w:val="00D808FE"/>
    <w:rsid w:val="00D8176E"/>
    <w:rsid w:val="00D829D7"/>
    <w:rsid w:val="00D83216"/>
    <w:rsid w:val="00D832FA"/>
    <w:rsid w:val="00D833E2"/>
    <w:rsid w:val="00D84FE6"/>
    <w:rsid w:val="00D86C53"/>
    <w:rsid w:val="00D906BC"/>
    <w:rsid w:val="00D90D99"/>
    <w:rsid w:val="00D94945"/>
    <w:rsid w:val="00D94EA7"/>
    <w:rsid w:val="00D95E82"/>
    <w:rsid w:val="00D9655B"/>
    <w:rsid w:val="00DA1D97"/>
    <w:rsid w:val="00DA22F2"/>
    <w:rsid w:val="00DA2E82"/>
    <w:rsid w:val="00DA4569"/>
    <w:rsid w:val="00DA4B0C"/>
    <w:rsid w:val="00DA4C49"/>
    <w:rsid w:val="00DA5936"/>
    <w:rsid w:val="00DA5ABA"/>
    <w:rsid w:val="00DA5DE5"/>
    <w:rsid w:val="00DA7C2F"/>
    <w:rsid w:val="00DB29A1"/>
    <w:rsid w:val="00DB4B08"/>
    <w:rsid w:val="00DB5F6A"/>
    <w:rsid w:val="00DB6898"/>
    <w:rsid w:val="00DC0F10"/>
    <w:rsid w:val="00DD2591"/>
    <w:rsid w:val="00DD5501"/>
    <w:rsid w:val="00DD64DB"/>
    <w:rsid w:val="00DD68B3"/>
    <w:rsid w:val="00DD721A"/>
    <w:rsid w:val="00DE08C3"/>
    <w:rsid w:val="00DE0DF1"/>
    <w:rsid w:val="00DE0E6D"/>
    <w:rsid w:val="00DE1C26"/>
    <w:rsid w:val="00DE2786"/>
    <w:rsid w:val="00DE2794"/>
    <w:rsid w:val="00DE3408"/>
    <w:rsid w:val="00DE3ED2"/>
    <w:rsid w:val="00DE44D5"/>
    <w:rsid w:val="00DE6877"/>
    <w:rsid w:val="00DF1CB3"/>
    <w:rsid w:val="00DF1ED0"/>
    <w:rsid w:val="00DF5FDD"/>
    <w:rsid w:val="00DF6BF2"/>
    <w:rsid w:val="00E00B5C"/>
    <w:rsid w:val="00E0150F"/>
    <w:rsid w:val="00E016D3"/>
    <w:rsid w:val="00E031EA"/>
    <w:rsid w:val="00E03B96"/>
    <w:rsid w:val="00E12373"/>
    <w:rsid w:val="00E157E7"/>
    <w:rsid w:val="00E21027"/>
    <w:rsid w:val="00E2230A"/>
    <w:rsid w:val="00E27F00"/>
    <w:rsid w:val="00E30773"/>
    <w:rsid w:val="00E30927"/>
    <w:rsid w:val="00E3228A"/>
    <w:rsid w:val="00E3300F"/>
    <w:rsid w:val="00E33204"/>
    <w:rsid w:val="00E33640"/>
    <w:rsid w:val="00E341C3"/>
    <w:rsid w:val="00E34380"/>
    <w:rsid w:val="00E348C7"/>
    <w:rsid w:val="00E34902"/>
    <w:rsid w:val="00E34E0D"/>
    <w:rsid w:val="00E35086"/>
    <w:rsid w:val="00E40707"/>
    <w:rsid w:val="00E42F3D"/>
    <w:rsid w:val="00E43418"/>
    <w:rsid w:val="00E436A1"/>
    <w:rsid w:val="00E438DF"/>
    <w:rsid w:val="00E443FE"/>
    <w:rsid w:val="00E50DEE"/>
    <w:rsid w:val="00E513AD"/>
    <w:rsid w:val="00E523D9"/>
    <w:rsid w:val="00E54659"/>
    <w:rsid w:val="00E54F41"/>
    <w:rsid w:val="00E557A2"/>
    <w:rsid w:val="00E55930"/>
    <w:rsid w:val="00E5752A"/>
    <w:rsid w:val="00E60273"/>
    <w:rsid w:val="00E610B6"/>
    <w:rsid w:val="00E62452"/>
    <w:rsid w:val="00E6264E"/>
    <w:rsid w:val="00E62EA8"/>
    <w:rsid w:val="00E661C0"/>
    <w:rsid w:val="00E66295"/>
    <w:rsid w:val="00E666D1"/>
    <w:rsid w:val="00E678A3"/>
    <w:rsid w:val="00E72D5E"/>
    <w:rsid w:val="00E753A7"/>
    <w:rsid w:val="00E773CD"/>
    <w:rsid w:val="00E77B01"/>
    <w:rsid w:val="00E8024E"/>
    <w:rsid w:val="00E806D8"/>
    <w:rsid w:val="00E82511"/>
    <w:rsid w:val="00E82FD4"/>
    <w:rsid w:val="00E8348D"/>
    <w:rsid w:val="00E85728"/>
    <w:rsid w:val="00E903C9"/>
    <w:rsid w:val="00E92618"/>
    <w:rsid w:val="00E95543"/>
    <w:rsid w:val="00E962CB"/>
    <w:rsid w:val="00E96EF1"/>
    <w:rsid w:val="00EA10BA"/>
    <w:rsid w:val="00EA366C"/>
    <w:rsid w:val="00EA4D5B"/>
    <w:rsid w:val="00EA5BF1"/>
    <w:rsid w:val="00EA5F39"/>
    <w:rsid w:val="00EA6E2E"/>
    <w:rsid w:val="00EA7591"/>
    <w:rsid w:val="00EA7D24"/>
    <w:rsid w:val="00EB05DD"/>
    <w:rsid w:val="00EB1780"/>
    <w:rsid w:val="00EB1EBB"/>
    <w:rsid w:val="00EC1E22"/>
    <w:rsid w:val="00EC3F9B"/>
    <w:rsid w:val="00EC41C6"/>
    <w:rsid w:val="00EC61C9"/>
    <w:rsid w:val="00ED1075"/>
    <w:rsid w:val="00ED1459"/>
    <w:rsid w:val="00ED1669"/>
    <w:rsid w:val="00ED2FFE"/>
    <w:rsid w:val="00ED3186"/>
    <w:rsid w:val="00ED335B"/>
    <w:rsid w:val="00ED3BC3"/>
    <w:rsid w:val="00EE0863"/>
    <w:rsid w:val="00EE1275"/>
    <w:rsid w:val="00EE159F"/>
    <w:rsid w:val="00EE1ACF"/>
    <w:rsid w:val="00EE1DBE"/>
    <w:rsid w:val="00EE26CB"/>
    <w:rsid w:val="00EE2B12"/>
    <w:rsid w:val="00EE2CEE"/>
    <w:rsid w:val="00EF0440"/>
    <w:rsid w:val="00EF0861"/>
    <w:rsid w:val="00EF130E"/>
    <w:rsid w:val="00EF1FE6"/>
    <w:rsid w:val="00EF29CF"/>
    <w:rsid w:val="00EF4D39"/>
    <w:rsid w:val="00EF5BAE"/>
    <w:rsid w:val="00EF6258"/>
    <w:rsid w:val="00EF7F77"/>
    <w:rsid w:val="00F00EEA"/>
    <w:rsid w:val="00F01251"/>
    <w:rsid w:val="00F02150"/>
    <w:rsid w:val="00F024B7"/>
    <w:rsid w:val="00F02EA5"/>
    <w:rsid w:val="00F0391D"/>
    <w:rsid w:val="00F11D6D"/>
    <w:rsid w:val="00F11E6F"/>
    <w:rsid w:val="00F12BD6"/>
    <w:rsid w:val="00F12FA9"/>
    <w:rsid w:val="00F1347B"/>
    <w:rsid w:val="00F137B3"/>
    <w:rsid w:val="00F16092"/>
    <w:rsid w:val="00F17FCD"/>
    <w:rsid w:val="00F20EAE"/>
    <w:rsid w:val="00F20F0A"/>
    <w:rsid w:val="00F21A77"/>
    <w:rsid w:val="00F21FEF"/>
    <w:rsid w:val="00F2411C"/>
    <w:rsid w:val="00F242ED"/>
    <w:rsid w:val="00F246D3"/>
    <w:rsid w:val="00F25AC7"/>
    <w:rsid w:val="00F33886"/>
    <w:rsid w:val="00F35748"/>
    <w:rsid w:val="00F35823"/>
    <w:rsid w:val="00F36015"/>
    <w:rsid w:val="00F36A49"/>
    <w:rsid w:val="00F37642"/>
    <w:rsid w:val="00F37C75"/>
    <w:rsid w:val="00F37E5A"/>
    <w:rsid w:val="00F4516A"/>
    <w:rsid w:val="00F45449"/>
    <w:rsid w:val="00F46777"/>
    <w:rsid w:val="00F46924"/>
    <w:rsid w:val="00F47F54"/>
    <w:rsid w:val="00F501A3"/>
    <w:rsid w:val="00F51E36"/>
    <w:rsid w:val="00F5336A"/>
    <w:rsid w:val="00F53CED"/>
    <w:rsid w:val="00F55244"/>
    <w:rsid w:val="00F554F2"/>
    <w:rsid w:val="00F55545"/>
    <w:rsid w:val="00F55BC2"/>
    <w:rsid w:val="00F56EDA"/>
    <w:rsid w:val="00F572BB"/>
    <w:rsid w:val="00F61307"/>
    <w:rsid w:val="00F61A99"/>
    <w:rsid w:val="00F63A4D"/>
    <w:rsid w:val="00F63CD3"/>
    <w:rsid w:val="00F65490"/>
    <w:rsid w:val="00F65DFE"/>
    <w:rsid w:val="00F66AD9"/>
    <w:rsid w:val="00F67AB0"/>
    <w:rsid w:val="00F732A8"/>
    <w:rsid w:val="00F736C1"/>
    <w:rsid w:val="00F7375D"/>
    <w:rsid w:val="00F73DD1"/>
    <w:rsid w:val="00F73F0A"/>
    <w:rsid w:val="00F74175"/>
    <w:rsid w:val="00F75F88"/>
    <w:rsid w:val="00F7620A"/>
    <w:rsid w:val="00F76E2B"/>
    <w:rsid w:val="00F77F3B"/>
    <w:rsid w:val="00F77FE5"/>
    <w:rsid w:val="00F8147E"/>
    <w:rsid w:val="00F818E7"/>
    <w:rsid w:val="00F834A7"/>
    <w:rsid w:val="00F86900"/>
    <w:rsid w:val="00F9242A"/>
    <w:rsid w:val="00F93838"/>
    <w:rsid w:val="00F9482D"/>
    <w:rsid w:val="00F9491A"/>
    <w:rsid w:val="00F9580D"/>
    <w:rsid w:val="00F959E0"/>
    <w:rsid w:val="00F9666F"/>
    <w:rsid w:val="00FA21A8"/>
    <w:rsid w:val="00FA2AC4"/>
    <w:rsid w:val="00FA4EE8"/>
    <w:rsid w:val="00FA6BAB"/>
    <w:rsid w:val="00FB0A3B"/>
    <w:rsid w:val="00FB1925"/>
    <w:rsid w:val="00FB4DBC"/>
    <w:rsid w:val="00FB5973"/>
    <w:rsid w:val="00FB597E"/>
    <w:rsid w:val="00FC16FB"/>
    <w:rsid w:val="00FC31BC"/>
    <w:rsid w:val="00FC370F"/>
    <w:rsid w:val="00FC499E"/>
    <w:rsid w:val="00FC4F2C"/>
    <w:rsid w:val="00FD000D"/>
    <w:rsid w:val="00FD11DF"/>
    <w:rsid w:val="00FD1357"/>
    <w:rsid w:val="00FD2277"/>
    <w:rsid w:val="00FD41E5"/>
    <w:rsid w:val="00FD6067"/>
    <w:rsid w:val="00FD77B2"/>
    <w:rsid w:val="00FE07FC"/>
    <w:rsid w:val="00FE251C"/>
    <w:rsid w:val="00FE3F5D"/>
    <w:rsid w:val="00FE47A5"/>
    <w:rsid w:val="00FE49C2"/>
    <w:rsid w:val="00FE5737"/>
    <w:rsid w:val="00FE5997"/>
    <w:rsid w:val="00FE632F"/>
    <w:rsid w:val="00FE754A"/>
    <w:rsid w:val="00FE7652"/>
    <w:rsid w:val="00FE7809"/>
    <w:rsid w:val="00FF05C5"/>
    <w:rsid w:val="00FF1779"/>
    <w:rsid w:val="00FF21CC"/>
    <w:rsid w:val="00FF22D8"/>
    <w:rsid w:val="00FF25B1"/>
    <w:rsid w:val="00FF399F"/>
    <w:rsid w:val="00FF4669"/>
    <w:rsid w:val="00FF4DA5"/>
    <w:rsid w:val="00FF4E72"/>
    <w:rsid w:val="00FF5493"/>
    <w:rsid w:val="00FF7810"/>
    <w:rsid w:val="01118300"/>
    <w:rsid w:val="01161BF0"/>
    <w:rsid w:val="012CCE49"/>
    <w:rsid w:val="013582D8"/>
    <w:rsid w:val="01541EE0"/>
    <w:rsid w:val="015BDAC0"/>
    <w:rsid w:val="0178B81B"/>
    <w:rsid w:val="018E3442"/>
    <w:rsid w:val="0198A634"/>
    <w:rsid w:val="01A15998"/>
    <w:rsid w:val="01B73D21"/>
    <w:rsid w:val="01C5A3B6"/>
    <w:rsid w:val="01DF0B1A"/>
    <w:rsid w:val="01E816EF"/>
    <w:rsid w:val="01EDD86B"/>
    <w:rsid w:val="02074308"/>
    <w:rsid w:val="020CC30E"/>
    <w:rsid w:val="021D3C4F"/>
    <w:rsid w:val="022104AE"/>
    <w:rsid w:val="0227B26B"/>
    <w:rsid w:val="022898C9"/>
    <w:rsid w:val="0229DE8D"/>
    <w:rsid w:val="02389843"/>
    <w:rsid w:val="023BB8FF"/>
    <w:rsid w:val="024F9194"/>
    <w:rsid w:val="02652824"/>
    <w:rsid w:val="026CB8ED"/>
    <w:rsid w:val="0293EEAD"/>
    <w:rsid w:val="029C05CF"/>
    <w:rsid w:val="02AD5361"/>
    <w:rsid w:val="02BFE041"/>
    <w:rsid w:val="02CC32A2"/>
    <w:rsid w:val="02E9BABA"/>
    <w:rsid w:val="02F29C3C"/>
    <w:rsid w:val="0322CB84"/>
    <w:rsid w:val="0324E269"/>
    <w:rsid w:val="033C937C"/>
    <w:rsid w:val="036490AD"/>
    <w:rsid w:val="03693669"/>
    <w:rsid w:val="0399ED37"/>
    <w:rsid w:val="03A69244"/>
    <w:rsid w:val="03A846F1"/>
    <w:rsid w:val="03C09220"/>
    <w:rsid w:val="03CC87B4"/>
    <w:rsid w:val="03E19FF7"/>
    <w:rsid w:val="03F1F0E6"/>
    <w:rsid w:val="040382A0"/>
    <w:rsid w:val="041E0AE3"/>
    <w:rsid w:val="041EE0A4"/>
    <w:rsid w:val="043146FE"/>
    <w:rsid w:val="04602E9E"/>
    <w:rsid w:val="046325FE"/>
    <w:rsid w:val="046B7B3D"/>
    <w:rsid w:val="0471E876"/>
    <w:rsid w:val="0475E74B"/>
    <w:rsid w:val="0495652C"/>
    <w:rsid w:val="04C23A63"/>
    <w:rsid w:val="04D9EF51"/>
    <w:rsid w:val="04DA9034"/>
    <w:rsid w:val="050A516A"/>
    <w:rsid w:val="052E88B7"/>
    <w:rsid w:val="053CFA9D"/>
    <w:rsid w:val="053EDC6B"/>
    <w:rsid w:val="055DB4BA"/>
    <w:rsid w:val="055DD621"/>
    <w:rsid w:val="05793A8C"/>
    <w:rsid w:val="0579517E"/>
    <w:rsid w:val="057DD19B"/>
    <w:rsid w:val="058536A8"/>
    <w:rsid w:val="058D88D5"/>
    <w:rsid w:val="059161D1"/>
    <w:rsid w:val="059FB7A8"/>
    <w:rsid w:val="05A4C111"/>
    <w:rsid w:val="05E91770"/>
    <w:rsid w:val="05F7F1E2"/>
    <w:rsid w:val="062AC9CF"/>
    <w:rsid w:val="06378759"/>
    <w:rsid w:val="064C9606"/>
    <w:rsid w:val="06570FD2"/>
    <w:rsid w:val="067AB1D2"/>
    <w:rsid w:val="06805DD8"/>
    <w:rsid w:val="068233AE"/>
    <w:rsid w:val="068B4A88"/>
    <w:rsid w:val="069786E3"/>
    <w:rsid w:val="06BB8812"/>
    <w:rsid w:val="06C99126"/>
    <w:rsid w:val="06EFDBA2"/>
    <w:rsid w:val="07131D70"/>
    <w:rsid w:val="072F1AB2"/>
    <w:rsid w:val="07495796"/>
    <w:rsid w:val="079CD5AE"/>
    <w:rsid w:val="07A1F1C9"/>
    <w:rsid w:val="07A9BDD4"/>
    <w:rsid w:val="07CBB516"/>
    <w:rsid w:val="07E11D0E"/>
    <w:rsid w:val="07EBA9C5"/>
    <w:rsid w:val="07EF0870"/>
    <w:rsid w:val="07FB2448"/>
    <w:rsid w:val="07FC6150"/>
    <w:rsid w:val="08262F81"/>
    <w:rsid w:val="08296147"/>
    <w:rsid w:val="083DCB6F"/>
    <w:rsid w:val="086F49BD"/>
    <w:rsid w:val="0893CC8D"/>
    <w:rsid w:val="08A2DB27"/>
    <w:rsid w:val="08C9651E"/>
    <w:rsid w:val="08F3ED81"/>
    <w:rsid w:val="08FC9C32"/>
    <w:rsid w:val="090179D3"/>
    <w:rsid w:val="090803A6"/>
    <w:rsid w:val="0959DD06"/>
    <w:rsid w:val="095A87B2"/>
    <w:rsid w:val="098394B8"/>
    <w:rsid w:val="09A916AD"/>
    <w:rsid w:val="09D126F7"/>
    <w:rsid w:val="0A4920A1"/>
    <w:rsid w:val="0A68DD16"/>
    <w:rsid w:val="0A752C9C"/>
    <w:rsid w:val="0A8CBB33"/>
    <w:rsid w:val="0AA942C3"/>
    <w:rsid w:val="0AC6C502"/>
    <w:rsid w:val="0AE42940"/>
    <w:rsid w:val="0AEB7E53"/>
    <w:rsid w:val="0B278C98"/>
    <w:rsid w:val="0B2E04C2"/>
    <w:rsid w:val="0B4F89C9"/>
    <w:rsid w:val="0B4FBC9A"/>
    <w:rsid w:val="0B50266A"/>
    <w:rsid w:val="0B50B456"/>
    <w:rsid w:val="0B67F000"/>
    <w:rsid w:val="0B748242"/>
    <w:rsid w:val="0BB2CE06"/>
    <w:rsid w:val="0BC8ABE9"/>
    <w:rsid w:val="0BCF6735"/>
    <w:rsid w:val="0BDD051E"/>
    <w:rsid w:val="0C1BAC0F"/>
    <w:rsid w:val="0C48FCB7"/>
    <w:rsid w:val="0C60DCF7"/>
    <w:rsid w:val="0CB05122"/>
    <w:rsid w:val="0CC51B3E"/>
    <w:rsid w:val="0CCF65A9"/>
    <w:rsid w:val="0CCFD273"/>
    <w:rsid w:val="0CD76033"/>
    <w:rsid w:val="0CDD3215"/>
    <w:rsid w:val="0CDFF083"/>
    <w:rsid w:val="0CE04671"/>
    <w:rsid w:val="0CF0AFA0"/>
    <w:rsid w:val="0D08FB94"/>
    <w:rsid w:val="0D0B8BE0"/>
    <w:rsid w:val="0D3B32FC"/>
    <w:rsid w:val="0D4226FB"/>
    <w:rsid w:val="0D569828"/>
    <w:rsid w:val="0D597BA2"/>
    <w:rsid w:val="0D673EF7"/>
    <w:rsid w:val="0D985FC6"/>
    <w:rsid w:val="0D992407"/>
    <w:rsid w:val="0DAAEB13"/>
    <w:rsid w:val="0DD91F9E"/>
    <w:rsid w:val="0DE67008"/>
    <w:rsid w:val="0DF3F684"/>
    <w:rsid w:val="0DF5C05C"/>
    <w:rsid w:val="0E59C862"/>
    <w:rsid w:val="0E611D75"/>
    <w:rsid w:val="0E67B15D"/>
    <w:rsid w:val="0E7630CF"/>
    <w:rsid w:val="0EA43C18"/>
    <w:rsid w:val="0EA6DD1C"/>
    <w:rsid w:val="0EB433A0"/>
    <w:rsid w:val="0EC53F64"/>
    <w:rsid w:val="0EDD9E5D"/>
    <w:rsid w:val="0EDF90AE"/>
    <w:rsid w:val="0EFC1EEC"/>
    <w:rsid w:val="0F007C32"/>
    <w:rsid w:val="0F11EB0D"/>
    <w:rsid w:val="0F21743B"/>
    <w:rsid w:val="0F24178A"/>
    <w:rsid w:val="0F29DB24"/>
    <w:rsid w:val="0F681037"/>
    <w:rsid w:val="0F7236AA"/>
    <w:rsid w:val="0F72AE0C"/>
    <w:rsid w:val="0F8C8C1C"/>
    <w:rsid w:val="0FA6C1AE"/>
    <w:rsid w:val="0FB0127F"/>
    <w:rsid w:val="0FD28B9D"/>
    <w:rsid w:val="0FE01CD5"/>
    <w:rsid w:val="0FE9F4BA"/>
    <w:rsid w:val="0FF375D7"/>
    <w:rsid w:val="10022F27"/>
    <w:rsid w:val="1048708A"/>
    <w:rsid w:val="104D01CC"/>
    <w:rsid w:val="1051E96A"/>
    <w:rsid w:val="1081F641"/>
    <w:rsid w:val="108DB086"/>
    <w:rsid w:val="109B0EC0"/>
    <w:rsid w:val="109F6C99"/>
    <w:rsid w:val="10A29E5F"/>
    <w:rsid w:val="10BA2E1A"/>
    <w:rsid w:val="10E7D2B7"/>
    <w:rsid w:val="10FC9963"/>
    <w:rsid w:val="10FE024C"/>
    <w:rsid w:val="10FFC8B4"/>
    <w:rsid w:val="1101E8F2"/>
    <w:rsid w:val="114013FD"/>
    <w:rsid w:val="115A3FB5"/>
    <w:rsid w:val="117307C1"/>
    <w:rsid w:val="117F322E"/>
    <w:rsid w:val="1191047D"/>
    <w:rsid w:val="11A60892"/>
    <w:rsid w:val="11AC2FB0"/>
    <w:rsid w:val="11B727E5"/>
    <w:rsid w:val="11B7A810"/>
    <w:rsid w:val="11BAE378"/>
    <w:rsid w:val="11CA5763"/>
    <w:rsid w:val="1213F2EC"/>
    <w:rsid w:val="12224F91"/>
    <w:rsid w:val="1235C00F"/>
    <w:rsid w:val="1238125F"/>
    <w:rsid w:val="127F7438"/>
    <w:rsid w:val="12B23C54"/>
    <w:rsid w:val="12B756A8"/>
    <w:rsid w:val="12CA26BD"/>
    <w:rsid w:val="1307979B"/>
    <w:rsid w:val="13081F07"/>
    <w:rsid w:val="130DB834"/>
    <w:rsid w:val="131DDC6C"/>
    <w:rsid w:val="13370F2B"/>
    <w:rsid w:val="1357AF74"/>
    <w:rsid w:val="136F1445"/>
    <w:rsid w:val="1374089C"/>
    <w:rsid w:val="137AEEC2"/>
    <w:rsid w:val="137FACA5"/>
    <w:rsid w:val="138B22E6"/>
    <w:rsid w:val="139B9EE2"/>
    <w:rsid w:val="13A3FB76"/>
    <w:rsid w:val="13BE0E6C"/>
    <w:rsid w:val="13C8082B"/>
    <w:rsid w:val="13FDF67A"/>
    <w:rsid w:val="1400AF94"/>
    <w:rsid w:val="14257E0A"/>
    <w:rsid w:val="142AA1E2"/>
    <w:rsid w:val="145AE6D6"/>
    <w:rsid w:val="146F39FA"/>
    <w:rsid w:val="147A32D1"/>
    <w:rsid w:val="14981AED"/>
    <w:rsid w:val="14B071AF"/>
    <w:rsid w:val="14B33D54"/>
    <w:rsid w:val="14B5477E"/>
    <w:rsid w:val="14BFC156"/>
    <w:rsid w:val="14CF4203"/>
    <w:rsid w:val="14D3F41C"/>
    <w:rsid w:val="14E1701D"/>
    <w:rsid w:val="14F2A46B"/>
    <w:rsid w:val="150FD8FD"/>
    <w:rsid w:val="1518EB0B"/>
    <w:rsid w:val="15418A1C"/>
    <w:rsid w:val="1543E621"/>
    <w:rsid w:val="156E879E"/>
    <w:rsid w:val="158F88C6"/>
    <w:rsid w:val="15913840"/>
    <w:rsid w:val="159BC289"/>
    <w:rsid w:val="15D3879F"/>
    <w:rsid w:val="1617FDF5"/>
    <w:rsid w:val="161B2893"/>
    <w:rsid w:val="162432B8"/>
    <w:rsid w:val="1625ACF7"/>
    <w:rsid w:val="16273408"/>
    <w:rsid w:val="1632E004"/>
    <w:rsid w:val="16344DAC"/>
    <w:rsid w:val="1652AA79"/>
    <w:rsid w:val="166BD2D6"/>
    <w:rsid w:val="1689EB3E"/>
    <w:rsid w:val="16A7B6EE"/>
    <w:rsid w:val="16C7DBEE"/>
    <w:rsid w:val="16CBECD5"/>
    <w:rsid w:val="16D2C403"/>
    <w:rsid w:val="16D6415D"/>
    <w:rsid w:val="16D854F1"/>
    <w:rsid w:val="16E0D77F"/>
    <w:rsid w:val="17036EBB"/>
    <w:rsid w:val="170D62A3"/>
    <w:rsid w:val="1710E3C4"/>
    <w:rsid w:val="17172CF6"/>
    <w:rsid w:val="1729172A"/>
    <w:rsid w:val="17368C33"/>
    <w:rsid w:val="173698A7"/>
    <w:rsid w:val="173F40C2"/>
    <w:rsid w:val="174A817E"/>
    <w:rsid w:val="1786FB82"/>
    <w:rsid w:val="17AA0317"/>
    <w:rsid w:val="17AC91AF"/>
    <w:rsid w:val="17D08D20"/>
    <w:rsid w:val="17DA5076"/>
    <w:rsid w:val="17ED85E7"/>
    <w:rsid w:val="17F19AE0"/>
    <w:rsid w:val="181C0A3B"/>
    <w:rsid w:val="182B2097"/>
    <w:rsid w:val="1848DDF5"/>
    <w:rsid w:val="1864C489"/>
    <w:rsid w:val="1868AFBF"/>
    <w:rsid w:val="187A335E"/>
    <w:rsid w:val="188AAB41"/>
    <w:rsid w:val="1890E4D5"/>
    <w:rsid w:val="189826D5"/>
    <w:rsid w:val="18A5C3B9"/>
    <w:rsid w:val="18C3D7D1"/>
    <w:rsid w:val="18E0D4E4"/>
    <w:rsid w:val="18EAC1D0"/>
    <w:rsid w:val="18F9EF62"/>
    <w:rsid w:val="1942AB1D"/>
    <w:rsid w:val="195B557B"/>
    <w:rsid w:val="195BD37A"/>
    <w:rsid w:val="196735F2"/>
    <w:rsid w:val="1967E54F"/>
    <w:rsid w:val="197C3792"/>
    <w:rsid w:val="198B68E2"/>
    <w:rsid w:val="1992EB54"/>
    <w:rsid w:val="19B17061"/>
    <w:rsid w:val="19D63296"/>
    <w:rsid w:val="19E075D9"/>
    <w:rsid w:val="1A2D26B9"/>
    <w:rsid w:val="1A3CE4CF"/>
    <w:rsid w:val="1A407742"/>
    <w:rsid w:val="1A4109DC"/>
    <w:rsid w:val="1A6E0CF1"/>
    <w:rsid w:val="1A705F2C"/>
    <w:rsid w:val="1A8D85F4"/>
    <w:rsid w:val="1A8E4B59"/>
    <w:rsid w:val="1A9B8486"/>
    <w:rsid w:val="1AB5561B"/>
    <w:rsid w:val="1ABD0D50"/>
    <w:rsid w:val="1AC5B1F8"/>
    <w:rsid w:val="1AC81B84"/>
    <w:rsid w:val="1AD8C054"/>
    <w:rsid w:val="1B3DA24A"/>
    <w:rsid w:val="1B5CF276"/>
    <w:rsid w:val="1B6AD892"/>
    <w:rsid w:val="1B6F7CEB"/>
    <w:rsid w:val="1B7FD330"/>
    <w:rsid w:val="1B86F54C"/>
    <w:rsid w:val="1B8A2712"/>
    <w:rsid w:val="1BED45B4"/>
    <w:rsid w:val="1BF667FF"/>
    <w:rsid w:val="1C019FB1"/>
    <w:rsid w:val="1C23836A"/>
    <w:rsid w:val="1C469562"/>
    <w:rsid w:val="1C5653F0"/>
    <w:rsid w:val="1C742D2C"/>
    <w:rsid w:val="1C7A4BDF"/>
    <w:rsid w:val="1C7D2CFD"/>
    <w:rsid w:val="1C7FE243"/>
    <w:rsid w:val="1C994705"/>
    <w:rsid w:val="1CC0589E"/>
    <w:rsid w:val="1CDB7901"/>
    <w:rsid w:val="1CDFC21D"/>
    <w:rsid w:val="1CEDE638"/>
    <w:rsid w:val="1D0A081B"/>
    <w:rsid w:val="1D271560"/>
    <w:rsid w:val="1D27285D"/>
    <w:rsid w:val="1D3BCDF4"/>
    <w:rsid w:val="1D5E1C64"/>
    <w:rsid w:val="1D71B420"/>
    <w:rsid w:val="1D84C66A"/>
    <w:rsid w:val="1D90C8A7"/>
    <w:rsid w:val="1DA8F4E5"/>
    <w:rsid w:val="1DB1E5B2"/>
    <w:rsid w:val="1DB9A9A3"/>
    <w:rsid w:val="1DCCE0E2"/>
    <w:rsid w:val="1DF46FE0"/>
    <w:rsid w:val="1DFAD480"/>
    <w:rsid w:val="1E1348E2"/>
    <w:rsid w:val="1E4820D1"/>
    <w:rsid w:val="1E5CEAED"/>
    <w:rsid w:val="1E72D7C9"/>
    <w:rsid w:val="1E7907A7"/>
    <w:rsid w:val="1E7C396D"/>
    <w:rsid w:val="1EA5D87C"/>
    <w:rsid w:val="1EAC8EE2"/>
    <w:rsid w:val="1EB2C555"/>
    <w:rsid w:val="1EB469C1"/>
    <w:rsid w:val="1EC722EA"/>
    <w:rsid w:val="1EEF96C7"/>
    <w:rsid w:val="1EF38132"/>
    <w:rsid w:val="1F00002D"/>
    <w:rsid w:val="1F01F1AD"/>
    <w:rsid w:val="1F065A1C"/>
    <w:rsid w:val="1F2A761C"/>
    <w:rsid w:val="1F3DA209"/>
    <w:rsid w:val="1F5B242C"/>
    <w:rsid w:val="1F83B8D4"/>
    <w:rsid w:val="1F8AEA94"/>
    <w:rsid w:val="1F8EB21E"/>
    <w:rsid w:val="1F923BD5"/>
    <w:rsid w:val="1FD4150C"/>
    <w:rsid w:val="1FE93F00"/>
    <w:rsid w:val="1FF41374"/>
    <w:rsid w:val="2009C44F"/>
    <w:rsid w:val="201E9593"/>
    <w:rsid w:val="2036C1D1"/>
    <w:rsid w:val="20564A4A"/>
    <w:rsid w:val="206FD439"/>
    <w:rsid w:val="2071FE1A"/>
    <w:rsid w:val="20752FCD"/>
    <w:rsid w:val="208ED67C"/>
    <w:rsid w:val="2098E3E5"/>
    <w:rsid w:val="20B66544"/>
    <w:rsid w:val="20D5B3C4"/>
    <w:rsid w:val="20D9D711"/>
    <w:rsid w:val="2110261E"/>
    <w:rsid w:val="21102D77"/>
    <w:rsid w:val="211C5C16"/>
    <w:rsid w:val="21311D9E"/>
    <w:rsid w:val="213126DB"/>
    <w:rsid w:val="2149184D"/>
    <w:rsid w:val="214F3AB1"/>
    <w:rsid w:val="21597A84"/>
    <w:rsid w:val="21672986"/>
    <w:rsid w:val="21C7AF16"/>
    <w:rsid w:val="21D64AF3"/>
    <w:rsid w:val="21E0F947"/>
    <w:rsid w:val="21E1DBF3"/>
    <w:rsid w:val="21F46FFC"/>
    <w:rsid w:val="2220CFB4"/>
    <w:rsid w:val="22269F2D"/>
    <w:rsid w:val="22272E8F"/>
    <w:rsid w:val="222B62E9"/>
    <w:rsid w:val="22578668"/>
    <w:rsid w:val="22727CD7"/>
    <w:rsid w:val="22AE67C1"/>
    <w:rsid w:val="22BA1181"/>
    <w:rsid w:val="22C9DC97"/>
    <w:rsid w:val="22F3BE46"/>
    <w:rsid w:val="22FDA0D4"/>
    <w:rsid w:val="23068DDF"/>
    <w:rsid w:val="231C9C95"/>
    <w:rsid w:val="23338B61"/>
    <w:rsid w:val="234A11F6"/>
    <w:rsid w:val="2363A675"/>
    <w:rsid w:val="236E0514"/>
    <w:rsid w:val="23C7C61F"/>
    <w:rsid w:val="23CBA3AB"/>
    <w:rsid w:val="23CEBEAE"/>
    <w:rsid w:val="23D1B00B"/>
    <w:rsid w:val="23DD5056"/>
    <w:rsid w:val="23DE65EE"/>
    <w:rsid w:val="23F7CA88"/>
    <w:rsid w:val="240695F0"/>
    <w:rsid w:val="241444F2"/>
    <w:rsid w:val="24382E43"/>
    <w:rsid w:val="2445A0B5"/>
    <w:rsid w:val="244B0822"/>
    <w:rsid w:val="2495E363"/>
    <w:rsid w:val="249CD932"/>
    <w:rsid w:val="24BDF18A"/>
    <w:rsid w:val="24F98D50"/>
    <w:rsid w:val="2503BCBB"/>
    <w:rsid w:val="250BE071"/>
    <w:rsid w:val="250EEC94"/>
    <w:rsid w:val="2516C5A0"/>
    <w:rsid w:val="2517B9BD"/>
    <w:rsid w:val="251B0025"/>
    <w:rsid w:val="2531080E"/>
    <w:rsid w:val="2531D85D"/>
    <w:rsid w:val="25464861"/>
    <w:rsid w:val="2560D184"/>
    <w:rsid w:val="25697F55"/>
    <w:rsid w:val="257BF494"/>
    <w:rsid w:val="258B3F50"/>
    <w:rsid w:val="25913612"/>
    <w:rsid w:val="25A1A42B"/>
    <w:rsid w:val="25AE7644"/>
    <w:rsid w:val="25D62D01"/>
    <w:rsid w:val="25D76994"/>
    <w:rsid w:val="25FCC335"/>
    <w:rsid w:val="26083E77"/>
    <w:rsid w:val="26259DBC"/>
    <w:rsid w:val="263E9E88"/>
    <w:rsid w:val="26522E74"/>
    <w:rsid w:val="2674E18B"/>
    <w:rsid w:val="26C02159"/>
    <w:rsid w:val="26DA32EC"/>
    <w:rsid w:val="26E88BD6"/>
    <w:rsid w:val="26FD0011"/>
    <w:rsid w:val="271D7061"/>
    <w:rsid w:val="271E8AB3"/>
    <w:rsid w:val="2761CA40"/>
    <w:rsid w:val="276ECAA5"/>
    <w:rsid w:val="27931817"/>
    <w:rsid w:val="27966A04"/>
    <w:rsid w:val="27AC94B6"/>
    <w:rsid w:val="27AED242"/>
    <w:rsid w:val="27B4612B"/>
    <w:rsid w:val="27BA10E7"/>
    <w:rsid w:val="27BB0D52"/>
    <w:rsid w:val="27BBACA1"/>
    <w:rsid w:val="27D4154D"/>
    <w:rsid w:val="27E750AA"/>
    <w:rsid w:val="27EE3702"/>
    <w:rsid w:val="2802FCF5"/>
    <w:rsid w:val="280DD6C5"/>
    <w:rsid w:val="28140BEB"/>
    <w:rsid w:val="2820EEF2"/>
    <w:rsid w:val="285C6771"/>
    <w:rsid w:val="2878379E"/>
    <w:rsid w:val="28A54EDC"/>
    <w:rsid w:val="28C23D0A"/>
    <w:rsid w:val="28CB6785"/>
    <w:rsid w:val="28D3E818"/>
    <w:rsid w:val="28F10265"/>
    <w:rsid w:val="28F24047"/>
    <w:rsid w:val="291727C9"/>
    <w:rsid w:val="2917B017"/>
    <w:rsid w:val="291FF5BE"/>
    <w:rsid w:val="2947A03F"/>
    <w:rsid w:val="2951FC07"/>
    <w:rsid w:val="295DD5F6"/>
    <w:rsid w:val="298E6760"/>
    <w:rsid w:val="29BE0581"/>
    <w:rsid w:val="29F3C371"/>
    <w:rsid w:val="2A1B1A4A"/>
    <w:rsid w:val="2A1C493A"/>
    <w:rsid w:val="2A253AF6"/>
    <w:rsid w:val="2A37A7E5"/>
    <w:rsid w:val="2A3E6254"/>
    <w:rsid w:val="2A630906"/>
    <w:rsid w:val="2A69430F"/>
    <w:rsid w:val="2A7142EF"/>
    <w:rsid w:val="2A86DEF8"/>
    <w:rsid w:val="2A8DBE5B"/>
    <w:rsid w:val="2A975DAF"/>
    <w:rsid w:val="2A9B51F2"/>
    <w:rsid w:val="2AB6CB8A"/>
    <w:rsid w:val="2B141310"/>
    <w:rsid w:val="2B784588"/>
    <w:rsid w:val="2B879044"/>
    <w:rsid w:val="2B8E086E"/>
    <w:rsid w:val="2B9576E7"/>
    <w:rsid w:val="2B9D7B75"/>
    <w:rsid w:val="2BA5430A"/>
    <w:rsid w:val="2BB135CB"/>
    <w:rsid w:val="2BB28389"/>
    <w:rsid w:val="2BB48DC6"/>
    <w:rsid w:val="2BC7F3AC"/>
    <w:rsid w:val="2BDCC4F0"/>
    <w:rsid w:val="2BF1E05B"/>
    <w:rsid w:val="2BF5C7FE"/>
    <w:rsid w:val="2C1266FA"/>
    <w:rsid w:val="2C2DD74A"/>
    <w:rsid w:val="2C469E26"/>
    <w:rsid w:val="2C4EB239"/>
    <w:rsid w:val="2C579680"/>
    <w:rsid w:val="2C614CF6"/>
    <w:rsid w:val="2C7BAFBB"/>
    <w:rsid w:val="2C84525E"/>
    <w:rsid w:val="2C871D78"/>
    <w:rsid w:val="2CA560CE"/>
    <w:rsid w:val="2CB3CCB9"/>
    <w:rsid w:val="2CCF7EDD"/>
    <w:rsid w:val="2CDFF52A"/>
    <w:rsid w:val="2D057919"/>
    <w:rsid w:val="2D0DB988"/>
    <w:rsid w:val="2D305B70"/>
    <w:rsid w:val="2D319825"/>
    <w:rsid w:val="2D382895"/>
    <w:rsid w:val="2D5B1064"/>
    <w:rsid w:val="2D5B5BF1"/>
    <w:rsid w:val="2D63CC69"/>
    <w:rsid w:val="2D75B37D"/>
    <w:rsid w:val="2D9A2D12"/>
    <w:rsid w:val="2D9D7194"/>
    <w:rsid w:val="2DA55078"/>
    <w:rsid w:val="2DDCBB61"/>
    <w:rsid w:val="2E0941C5"/>
    <w:rsid w:val="2E12BF62"/>
    <w:rsid w:val="2E3D945A"/>
    <w:rsid w:val="2E408C27"/>
    <w:rsid w:val="2E481196"/>
    <w:rsid w:val="2E8BD796"/>
    <w:rsid w:val="2EA19FD0"/>
    <w:rsid w:val="2EA1D2A1"/>
    <w:rsid w:val="2EA20C9A"/>
    <w:rsid w:val="2EB6AA7B"/>
    <w:rsid w:val="2EE9EFDE"/>
    <w:rsid w:val="2F1058C0"/>
    <w:rsid w:val="2F2FA4DC"/>
    <w:rsid w:val="2F686002"/>
    <w:rsid w:val="2F6DFF7F"/>
    <w:rsid w:val="2F8849E3"/>
    <w:rsid w:val="2FD05196"/>
    <w:rsid w:val="3004BC06"/>
    <w:rsid w:val="3020EEF8"/>
    <w:rsid w:val="302C72C3"/>
    <w:rsid w:val="30371AB3"/>
    <w:rsid w:val="30442EC7"/>
    <w:rsid w:val="30735A08"/>
    <w:rsid w:val="30863881"/>
    <w:rsid w:val="3086D0E1"/>
    <w:rsid w:val="30907AC9"/>
    <w:rsid w:val="30A2AB01"/>
    <w:rsid w:val="30B954FE"/>
    <w:rsid w:val="30D92865"/>
    <w:rsid w:val="30FB5420"/>
    <w:rsid w:val="310560F1"/>
    <w:rsid w:val="310BF525"/>
    <w:rsid w:val="31455CF1"/>
    <w:rsid w:val="3147A60D"/>
    <w:rsid w:val="315F5F86"/>
    <w:rsid w:val="31AF17BC"/>
    <w:rsid w:val="31E35372"/>
    <w:rsid w:val="321ADD82"/>
    <w:rsid w:val="3221E53B"/>
    <w:rsid w:val="322208E2"/>
    <w:rsid w:val="3231A6B5"/>
    <w:rsid w:val="326011DA"/>
    <w:rsid w:val="327CEDC2"/>
    <w:rsid w:val="328CDA16"/>
    <w:rsid w:val="329B36EB"/>
    <w:rsid w:val="32C44CB1"/>
    <w:rsid w:val="32D1E02F"/>
    <w:rsid w:val="330943A0"/>
    <w:rsid w:val="330C72F1"/>
    <w:rsid w:val="331B15EF"/>
    <w:rsid w:val="33364122"/>
    <w:rsid w:val="33378111"/>
    <w:rsid w:val="333A68FF"/>
    <w:rsid w:val="339A8691"/>
    <w:rsid w:val="33E2E217"/>
    <w:rsid w:val="33F4B466"/>
    <w:rsid w:val="33FE7953"/>
    <w:rsid w:val="34159EA0"/>
    <w:rsid w:val="341A63FD"/>
    <w:rsid w:val="3459812A"/>
    <w:rsid w:val="348ECB62"/>
    <w:rsid w:val="34C11CB1"/>
    <w:rsid w:val="34EF6FE8"/>
    <w:rsid w:val="34FDDFB8"/>
    <w:rsid w:val="34FE45B7"/>
    <w:rsid w:val="351711ED"/>
    <w:rsid w:val="352DF071"/>
    <w:rsid w:val="35475FF3"/>
    <w:rsid w:val="354B73A3"/>
    <w:rsid w:val="3554EEDF"/>
    <w:rsid w:val="356E173C"/>
    <w:rsid w:val="35D1BD10"/>
    <w:rsid w:val="35FCF1B5"/>
    <w:rsid w:val="35FF0ED3"/>
    <w:rsid w:val="3607AB5F"/>
    <w:rsid w:val="361AA47B"/>
    <w:rsid w:val="362E9661"/>
    <w:rsid w:val="36545E1A"/>
    <w:rsid w:val="3658B321"/>
    <w:rsid w:val="36816648"/>
    <w:rsid w:val="369F9EBA"/>
    <w:rsid w:val="36D56696"/>
    <w:rsid w:val="36DB86A5"/>
    <w:rsid w:val="36E6C6C1"/>
    <w:rsid w:val="36F0BF40"/>
    <w:rsid w:val="36F6117D"/>
    <w:rsid w:val="370B62B9"/>
    <w:rsid w:val="370C4482"/>
    <w:rsid w:val="370EB547"/>
    <w:rsid w:val="3750651B"/>
    <w:rsid w:val="3763386E"/>
    <w:rsid w:val="377E63A1"/>
    <w:rsid w:val="37A9F144"/>
    <w:rsid w:val="37ABB4D0"/>
    <w:rsid w:val="37EA30F4"/>
    <w:rsid w:val="37F05812"/>
    <w:rsid w:val="37FCEEBF"/>
    <w:rsid w:val="3822B20A"/>
    <w:rsid w:val="3867B6C0"/>
    <w:rsid w:val="387B1ACC"/>
    <w:rsid w:val="388C8FA1"/>
    <w:rsid w:val="389126BF"/>
    <w:rsid w:val="38914056"/>
    <w:rsid w:val="3893A023"/>
    <w:rsid w:val="38B2AA5C"/>
    <w:rsid w:val="38DBC8D8"/>
    <w:rsid w:val="38E38D72"/>
    <w:rsid w:val="390A786F"/>
    <w:rsid w:val="392017C2"/>
    <w:rsid w:val="39236238"/>
    <w:rsid w:val="39564A0D"/>
    <w:rsid w:val="396A0CD4"/>
    <w:rsid w:val="3971AB48"/>
    <w:rsid w:val="39A28124"/>
    <w:rsid w:val="39ABDB9A"/>
    <w:rsid w:val="39C319BC"/>
    <w:rsid w:val="39C407D8"/>
    <w:rsid w:val="39C4FDBC"/>
    <w:rsid w:val="39C8A082"/>
    <w:rsid w:val="39DF4A20"/>
    <w:rsid w:val="39F58BEE"/>
    <w:rsid w:val="3A10B41E"/>
    <w:rsid w:val="3A3832C1"/>
    <w:rsid w:val="3A40A8DF"/>
    <w:rsid w:val="3A4E331F"/>
    <w:rsid w:val="3A5584C2"/>
    <w:rsid w:val="3A6FB6A4"/>
    <w:rsid w:val="3A82D9AE"/>
    <w:rsid w:val="3A866E10"/>
    <w:rsid w:val="3A8A5FF6"/>
    <w:rsid w:val="3A9156C9"/>
    <w:rsid w:val="3A9552F9"/>
    <w:rsid w:val="3AA959A3"/>
    <w:rsid w:val="3AB59FBC"/>
    <w:rsid w:val="3ABEC35A"/>
    <w:rsid w:val="3AC2E6A7"/>
    <w:rsid w:val="3AD64DB8"/>
    <w:rsid w:val="3AE36EAF"/>
    <w:rsid w:val="3AE68DBA"/>
    <w:rsid w:val="3B249C60"/>
    <w:rsid w:val="3B30B7CB"/>
    <w:rsid w:val="3B354103"/>
    <w:rsid w:val="3B45F006"/>
    <w:rsid w:val="3B4FF8AD"/>
    <w:rsid w:val="3B50064B"/>
    <w:rsid w:val="3B56E483"/>
    <w:rsid w:val="3B9AF3FC"/>
    <w:rsid w:val="3BB2B000"/>
    <w:rsid w:val="3BD6FED1"/>
    <w:rsid w:val="3BF2E192"/>
    <w:rsid w:val="3BF3D413"/>
    <w:rsid w:val="3BF7D9C0"/>
    <w:rsid w:val="3BFBC237"/>
    <w:rsid w:val="3BFBCA3C"/>
    <w:rsid w:val="3BFEC950"/>
    <w:rsid w:val="3C24AC94"/>
    <w:rsid w:val="3C33A0E1"/>
    <w:rsid w:val="3C53B17E"/>
    <w:rsid w:val="3C5BEC5E"/>
    <w:rsid w:val="3C6EB9EC"/>
    <w:rsid w:val="3C8078E5"/>
    <w:rsid w:val="3C81530A"/>
    <w:rsid w:val="3C859804"/>
    <w:rsid w:val="3C9157A8"/>
    <w:rsid w:val="3CB2E86D"/>
    <w:rsid w:val="3CB8705A"/>
    <w:rsid w:val="3CEC0CCC"/>
    <w:rsid w:val="3CFB4B1B"/>
    <w:rsid w:val="3D00372B"/>
    <w:rsid w:val="3D22404F"/>
    <w:rsid w:val="3D28489D"/>
    <w:rsid w:val="3D6BABF5"/>
    <w:rsid w:val="3D74CAE0"/>
    <w:rsid w:val="3DA027EE"/>
    <w:rsid w:val="3DB5EBDC"/>
    <w:rsid w:val="3DC86013"/>
    <w:rsid w:val="3E121E6C"/>
    <w:rsid w:val="3E16AEBB"/>
    <w:rsid w:val="3E2F3672"/>
    <w:rsid w:val="3E7E6F1C"/>
    <w:rsid w:val="3E9A3B82"/>
    <w:rsid w:val="3EA4C25B"/>
    <w:rsid w:val="3EBB36D5"/>
    <w:rsid w:val="3EBCEE99"/>
    <w:rsid w:val="3EC228E2"/>
    <w:rsid w:val="3EC7A5CE"/>
    <w:rsid w:val="3ED90B53"/>
    <w:rsid w:val="3EDC0A48"/>
    <w:rsid w:val="3EDC3D19"/>
    <w:rsid w:val="3EE10A99"/>
    <w:rsid w:val="3EEB3274"/>
    <w:rsid w:val="3EFD4E7A"/>
    <w:rsid w:val="3F039834"/>
    <w:rsid w:val="3F06F805"/>
    <w:rsid w:val="3F1F1F4B"/>
    <w:rsid w:val="3F206CC8"/>
    <w:rsid w:val="3F287568"/>
    <w:rsid w:val="3F29F4B1"/>
    <w:rsid w:val="3F3ABAD9"/>
    <w:rsid w:val="3F4C84E8"/>
    <w:rsid w:val="3F609196"/>
    <w:rsid w:val="3F63153E"/>
    <w:rsid w:val="3F63359F"/>
    <w:rsid w:val="3F72B32C"/>
    <w:rsid w:val="3F760412"/>
    <w:rsid w:val="3F8AC6E9"/>
    <w:rsid w:val="3F9DA710"/>
    <w:rsid w:val="3FA869F7"/>
    <w:rsid w:val="3FAA51CE"/>
    <w:rsid w:val="3FC10049"/>
    <w:rsid w:val="3FDFE145"/>
    <w:rsid w:val="400291D7"/>
    <w:rsid w:val="4013B477"/>
    <w:rsid w:val="403FFC3F"/>
    <w:rsid w:val="404B5855"/>
    <w:rsid w:val="40519BBD"/>
    <w:rsid w:val="407C788F"/>
    <w:rsid w:val="409C8F1C"/>
    <w:rsid w:val="40A73F43"/>
    <w:rsid w:val="40A90798"/>
    <w:rsid w:val="40BE470B"/>
    <w:rsid w:val="40C0BC51"/>
    <w:rsid w:val="40C1D023"/>
    <w:rsid w:val="40C3902E"/>
    <w:rsid w:val="40D0E1B1"/>
    <w:rsid w:val="40EE62A1"/>
    <w:rsid w:val="40FC1EAF"/>
    <w:rsid w:val="4105C496"/>
    <w:rsid w:val="412129EF"/>
    <w:rsid w:val="414756EE"/>
    <w:rsid w:val="4154D31F"/>
    <w:rsid w:val="418CBAA7"/>
    <w:rsid w:val="41CB1DAE"/>
    <w:rsid w:val="41E13C60"/>
    <w:rsid w:val="41E3171B"/>
    <w:rsid w:val="4210149D"/>
    <w:rsid w:val="42352E05"/>
    <w:rsid w:val="42469DD4"/>
    <w:rsid w:val="42549F2C"/>
    <w:rsid w:val="42555690"/>
    <w:rsid w:val="42587023"/>
    <w:rsid w:val="426D21C6"/>
    <w:rsid w:val="4286C2A2"/>
    <w:rsid w:val="4292BF28"/>
    <w:rsid w:val="42CA9E8D"/>
    <w:rsid w:val="42CCEC44"/>
    <w:rsid w:val="42DBF60A"/>
    <w:rsid w:val="42E464C0"/>
    <w:rsid w:val="43535AF6"/>
    <w:rsid w:val="435D74E0"/>
    <w:rsid w:val="437DA816"/>
    <w:rsid w:val="438BD6CD"/>
    <w:rsid w:val="43A2FA79"/>
    <w:rsid w:val="43A4F492"/>
    <w:rsid w:val="43AFF332"/>
    <w:rsid w:val="43DE622A"/>
    <w:rsid w:val="440300E0"/>
    <w:rsid w:val="440CA9EA"/>
    <w:rsid w:val="440F976B"/>
    <w:rsid w:val="44116C18"/>
    <w:rsid w:val="441DEEDA"/>
    <w:rsid w:val="442D20B4"/>
    <w:rsid w:val="445EC363"/>
    <w:rsid w:val="448A51D7"/>
    <w:rsid w:val="44A47571"/>
    <w:rsid w:val="44AB908B"/>
    <w:rsid w:val="44B21490"/>
    <w:rsid w:val="44B94A25"/>
    <w:rsid w:val="44FA8A0A"/>
    <w:rsid w:val="44FCDCDE"/>
    <w:rsid w:val="4507BAF3"/>
    <w:rsid w:val="45197E67"/>
    <w:rsid w:val="455CCEBB"/>
    <w:rsid w:val="45610C7A"/>
    <w:rsid w:val="45777FD7"/>
    <w:rsid w:val="457DA71E"/>
    <w:rsid w:val="45A8982A"/>
    <w:rsid w:val="45B3592F"/>
    <w:rsid w:val="45C5F751"/>
    <w:rsid w:val="45F5C3F2"/>
    <w:rsid w:val="45FA93C4"/>
    <w:rsid w:val="4618407E"/>
    <w:rsid w:val="462420F5"/>
    <w:rsid w:val="464DECB1"/>
    <w:rsid w:val="4685349E"/>
    <w:rsid w:val="468A34EF"/>
    <w:rsid w:val="46A04ED7"/>
    <w:rsid w:val="46A1AF77"/>
    <w:rsid w:val="46AC3418"/>
    <w:rsid w:val="46B23220"/>
    <w:rsid w:val="46BE8784"/>
    <w:rsid w:val="46E41974"/>
    <w:rsid w:val="46F433B7"/>
    <w:rsid w:val="475156E4"/>
    <w:rsid w:val="4776DD81"/>
    <w:rsid w:val="48071B77"/>
    <w:rsid w:val="48100791"/>
    <w:rsid w:val="48179247"/>
    <w:rsid w:val="48249B6C"/>
    <w:rsid w:val="4824D8D5"/>
    <w:rsid w:val="48255162"/>
    <w:rsid w:val="482CE235"/>
    <w:rsid w:val="48549BBA"/>
    <w:rsid w:val="4869925B"/>
    <w:rsid w:val="4874373F"/>
    <w:rsid w:val="488C75CE"/>
    <w:rsid w:val="48985E68"/>
    <w:rsid w:val="48CBCE36"/>
    <w:rsid w:val="48CE0A9B"/>
    <w:rsid w:val="48D29BDD"/>
    <w:rsid w:val="48D5F30B"/>
    <w:rsid w:val="48D7A15E"/>
    <w:rsid w:val="48D86598"/>
    <w:rsid w:val="491D8BF2"/>
    <w:rsid w:val="492292E5"/>
    <w:rsid w:val="493FD922"/>
    <w:rsid w:val="494031DD"/>
    <w:rsid w:val="49438B8A"/>
    <w:rsid w:val="49566985"/>
    <w:rsid w:val="495C1BC6"/>
    <w:rsid w:val="4962DAC4"/>
    <w:rsid w:val="498D3BE6"/>
    <w:rsid w:val="4996C84A"/>
    <w:rsid w:val="49A4447B"/>
    <w:rsid w:val="49A990A7"/>
    <w:rsid w:val="49BC70B9"/>
    <w:rsid w:val="4A301644"/>
    <w:rsid w:val="4A313971"/>
    <w:rsid w:val="4A31C9C1"/>
    <w:rsid w:val="4A4803EE"/>
    <w:rsid w:val="4A4ABE52"/>
    <w:rsid w:val="4A529B9D"/>
    <w:rsid w:val="4A586D54"/>
    <w:rsid w:val="4A5B9CA5"/>
    <w:rsid w:val="4A86FD23"/>
    <w:rsid w:val="4A8E7AD9"/>
    <w:rsid w:val="4A911E2A"/>
    <w:rsid w:val="4AAC7FC9"/>
    <w:rsid w:val="4AB53C61"/>
    <w:rsid w:val="4AE10194"/>
    <w:rsid w:val="4AE8800B"/>
    <w:rsid w:val="4B1ED056"/>
    <w:rsid w:val="4B2F6083"/>
    <w:rsid w:val="4B395E69"/>
    <w:rsid w:val="4B39913A"/>
    <w:rsid w:val="4B3A0DCE"/>
    <w:rsid w:val="4B57DB1A"/>
    <w:rsid w:val="4B58C010"/>
    <w:rsid w:val="4B661270"/>
    <w:rsid w:val="4B77628A"/>
    <w:rsid w:val="4BACA683"/>
    <w:rsid w:val="4BCB50C4"/>
    <w:rsid w:val="4BDA542D"/>
    <w:rsid w:val="4BE8F772"/>
    <w:rsid w:val="4BFC6534"/>
    <w:rsid w:val="4C036314"/>
    <w:rsid w:val="4C036EF8"/>
    <w:rsid w:val="4C1D7D8C"/>
    <w:rsid w:val="4C21DFD0"/>
    <w:rsid w:val="4C2B8124"/>
    <w:rsid w:val="4C390771"/>
    <w:rsid w:val="4C4D9785"/>
    <w:rsid w:val="4C548A6C"/>
    <w:rsid w:val="4C69D548"/>
    <w:rsid w:val="4C8A5EC6"/>
    <w:rsid w:val="4C8D6BE7"/>
    <w:rsid w:val="4CA767FA"/>
    <w:rsid w:val="4CDBF0D0"/>
    <w:rsid w:val="4D08B811"/>
    <w:rsid w:val="4D1D822D"/>
    <w:rsid w:val="4D51BDFE"/>
    <w:rsid w:val="4D607C9D"/>
    <w:rsid w:val="4D6DBD34"/>
    <w:rsid w:val="4D9F3F59"/>
    <w:rsid w:val="4DA98DB7"/>
    <w:rsid w:val="4DB51F0D"/>
    <w:rsid w:val="4DC85CD6"/>
    <w:rsid w:val="4DCE40BA"/>
    <w:rsid w:val="4DD13BC7"/>
    <w:rsid w:val="4E0A7533"/>
    <w:rsid w:val="4E16849C"/>
    <w:rsid w:val="4E182DC8"/>
    <w:rsid w:val="4E194A14"/>
    <w:rsid w:val="4E262E11"/>
    <w:rsid w:val="4E306020"/>
    <w:rsid w:val="4E4A3292"/>
    <w:rsid w:val="4E55FD22"/>
    <w:rsid w:val="4E694571"/>
    <w:rsid w:val="4E73BBD2"/>
    <w:rsid w:val="4E7C1E77"/>
    <w:rsid w:val="4EA64EDA"/>
    <w:rsid w:val="4EC2E349"/>
    <w:rsid w:val="4EC82837"/>
    <w:rsid w:val="4ECA5B8F"/>
    <w:rsid w:val="4ED057FF"/>
    <w:rsid w:val="4EF75911"/>
    <w:rsid w:val="4F1375CB"/>
    <w:rsid w:val="4F74E774"/>
    <w:rsid w:val="4F98198F"/>
    <w:rsid w:val="4FAE7E6A"/>
    <w:rsid w:val="4FC47F99"/>
    <w:rsid w:val="4FCA2E5A"/>
    <w:rsid w:val="4FCDC5C2"/>
    <w:rsid w:val="4FD76C49"/>
    <w:rsid w:val="4FEEF4A3"/>
    <w:rsid w:val="50099EF1"/>
    <w:rsid w:val="500AC2C6"/>
    <w:rsid w:val="501EDF44"/>
    <w:rsid w:val="508017A6"/>
    <w:rsid w:val="50BE22D7"/>
    <w:rsid w:val="50BF5DA6"/>
    <w:rsid w:val="50C63707"/>
    <w:rsid w:val="50E2EF83"/>
    <w:rsid w:val="510D0924"/>
    <w:rsid w:val="51355A26"/>
    <w:rsid w:val="514086F4"/>
    <w:rsid w:val="5159C435"/>
    <w:rsid w:val="51618C12"/>
    <w:rsid w:val="519BC5CC"/>
    <w:rsid w:val="51AACE6C"/>
    <w:rsid w:val="51AD0438"/>
    <w:rsid w:val="51C7251F"/>
    <w:rsid w:val="51E3A59B"/>
    <w:rsid w:val="51F6949B"/>
    <w:rsid w:val="521CF86B"/>
    <w:rsid w:val="524695C1"/>
    <w:rsid w:val="5274EB97"/>
    <w:rsid w:val="5292DA9B"/>
    <w:rsid w:val="52A11619"/>
    <w:rsid w:val="52A3B8EE"/>
    <w:rsid w:val="52B7296C"/>
    <w:rsid w:val="52C4DB0D"/>
    <w:rsid w:val="52CF8713"/>
    <w:rsid w:val="52D19C84"/>
    <w:rsid w:val="52D22983"/>
    <w:rsid w:val="52D89F64"/>
    <w:rsid w:val="5325483B"/>
    <w:rsid w:val="53325E25"/>
    <w:rsid w:val="533C49CA"/>
    <w:rsid w:val="53574CC2"/>
    <w:rsid w:val="5367089E"/>
    <w:rsid w:val="536E453A"/>
    <w:rsid w:val="537701CC"/>
    <w:rsid w:val="53904D47"/>
    <w:rsid w:val="53AE4563"/>
    <w:rsid w:val="53B7B868"/>
    <w:rsid w:val="53D3AC20"/>
    <w:rsid w:val="53DF07B3"/>
    <w:rsid w:val="53E290D0"/>
    <w:rsid w:val="53FDD7C9"/>
    <w:rsid w:val="53FF1B7F"/>
    <w:rsid w:val="541EB33C"/>
    <w:rsid w:val="5440A28A"/>
    <w:rsid w:val="54556089"/>
    <w:rsid w:val="546552B2"/>
    <w:rsid w:val="546BF69F"/>
    <w:rsid w:val="547B4968"/>
    <w:rsid w:val="54935512"/>
    <w:rsid w:val="54B9377A"/>
    <w:rsid w:val="54E634FC"/>
    <w:rsid w:val="55176A5B"/>
    <w:rsid w:val="553DAA82"/>
    <w:rsid w:val="55472E04"/>
    <w:rsid w:val="55479F9E"/>
    <w:rsid w:val="5586F43D"/>
    <w:rsid w:val="55AD9DE4"/>
    <w:rsid w:val="55B227E1"/>
    <w:rsid w:val="55DB7DD8"/>
    <w:rsid w:val="55E6932E"/>
    <w:rsid w:val="55F14B7F"/>
    <w:rsid w:val="55FFD5AC"/>
    <w:rsid w:val="562AF12C"/>
    <w:rsid w:val="562C751F"/>
    <w:rsid w:val="565176E0"/>
    <w:rsid w:val="5667AF0B"/>
    <w:rsid w:val="56714B72"/>
    <w:rsid w:val="568D6EF5"/>
    <w:rsid w:val="56C00BE0"/>
    <w:rsid w:val="56D2FEC9"/>
    <w:rsid w:val="56D4A32B"/>
    <w:rsid w:val="56DF5CB7"/>
    <w:rsid w:val="574F6A69"/>
    <w:rsid w:val="576BF717"/>
    <w:rsid w:val="579A6B39"/>
    <w:rsid w:val="57A0C571"/>
    <w:rsid w:val="57B9DAE3"/>
    <w:rsid w:val="57F3EDA2"/>
    <w:rsid w:val="58047778"/>
    <w:rsid w:val="581EC45A"/>
    <w:rsid w:val="58622E0D"/>
    <w:rsid w:val="58860DCF"/>
    <w:rsid w:val="58C390B2"/>
    <w:rsid w:val="58DA3D29"/>
    <w:rsid w:val="58E92693"/>
    <w:rsid w:val="59249C39"/>
    <w:rsid w:val="5931C967"/>
    <w:rsid w:val="5941FDE0"/>
    <w:rsid w:val="59571837"/>
    <w:rsid w:val="59632EE8"/>
    <w:rsid w:val="5986827A"/>
    <w:rsid w:val="59AE5D10"/>
    <w:rsid w:val="59AEB27C"/>
    <w:rsid w:val="59B21E3B"/>
    <w:rsid w:val="59B446C5"/>
    <w:rsid w:val="59B9AEE1"/>
    <w:rsid w:val="59BB07E0"/>
    <w:rsid w:val="59DEAEF3"/>
    <w:rsid w:val="59F45110"/>
    <w:rsid w:val="59F5A0C9"/>
    <w:rsid w:val="5A01E62A"/>
    <w:rsid w:val="5A04C42C"/>
    <w:rsid w:val="5A40EBD3"/>
    <w:rsid w:val="5A65DA4A"/>
    <w:rsid w:val="5A698F2B"/>
    <w:rsid w:val="5A7E1120"/>
    <w:rsid w:val="5A847FFC"/>
    <w:rsid w:val="5A93F9A1"/>
    <w:rsid w:val="5A9A9AA4"/>
    <w:rsid w:val="5AB54E75"/>
    <w:rsid w:val="5AB8C1A9"/>
    <w:rsid w:val="5AC2FD77"/>
    <w:rsid w:val="5B23B6B1"/>
    <w:rsid w:val="5B2F422C"/>
    <w:rsid w:val="5B69447D"/>
    <w:rsid w:val="5B70374B"/>
    <w:rsid w:val="5B78202A"/>
    <w:rsid w:val="5BB4955B"/>
    <w:rsid w:val="5BC7913C"/>
    <w:rsid w:val="5BE5805C"/>
    <w:rsid w:val="5BE8E57B"/>
    <w:rsid w:val="5BEACEEE"/>
    <w:rsid w:val="5BEE5EE3"/>
    <w:rsid w:val="5C2391FF"/>
    <w:rsid w:val="5C48A0D0"/>
    <w:rsid w:val="5C7AA6D5"/>
    <w:rsid w:val="5C7EC95C"/>
    <w:rsid w:val="5C8214E4"/>
    <w:rsid w:val="5CA18249"/>
    <w:rsid w:val="5CFDF1A1"/>
    <w:rsid w:val="5CFEC6B0"/>
    <w:rsid w:val="5D0738B9"/>
    <w:rsid w:val="5D08A8D6"/>
    <w:rsid w:val="5D1B0C71"/>
    <w:rsid w:val="5D2E174C"/>
    <w:rsid w:val="5D3986EC"/>
    <w:rsid w:val="5D648297"/>
    <w:rsid w:val="5D7018E3"/>
    <w:rsid w:val="5D821EB3"/>
    <w:rsid w:val="5DA827AC"/>
    <w:rsid w:val="5DAFF482"/>
    <w:rsid w:val="5DD03CF4"/>
    <w:rsid w:val="5DD1D33F"/>
    <w:rsid w:val="5E015BD4"/>
    <w:rsid w:val="5E07B5C3"/>
    <w:rsid w:val="5E0DE75D"/>
    <w:rsid w:val="5E10A690"/>
    <w:rsid w:val="5E25AAA5"/>
    <w:rsid w:val="5E3BFC2E"/>
    <w:rsid w:val="5E3F04D8"/>
    <w:rsid w:val="5E66346B"/>
    <w:rsid w:val="5E6ED074"/>
    <w:rsid w:val="5E76B267"/>
    <w:rsid w:val="5EA3AFE9"/>
    <w:rsid w:val="5EA71642"/>
    <w:rsid w:val="5EB88228"/>
    <w:rsid w:val="5F15A45A"/>
    <w:rsid w:val="5F1FB21B"/>
    <w:rsid w:val="5F1FB9F5"/>
    <w:rsid w:val="5F381D78"/>
    <w:rsid w:val="5F3C0DF4"/>
    <w:rsid w:val="5F70150F"/>
    <w:rsid w:val="5F93C46A"/>
    <w:rsid w:val="5FA08634"/>
    <w:rsid w:val="5FD0B57C"/>
    <w:rsid w:val="5FFEAEAB"/>
    <w:rsid w:val="5FFF127A"/>
    <w:rsid w:val="6002B34F"/>
    <w:rsid w:val="6004FE74"/>
    <w:rsid w:val="60127AA5"/>
    <w:rsid w:val="6023717A"/>
    <w:rsid w:val="6035AECA"/>
    <w:rsid w:val="60385450"/>
    <w:rsid w:val="6048F265"/>
    <w:rsid w:val="606F3AA6"/>
    <w:rsid w:val="609B025F"/>
    <w:rsid w:val="60AF1998"/>
    <w:rsid w:val="60B76D85"/>
    <w:rsid w:val="60D57F2B"/>
    <w:rsid w:val="60D93651"/>
    <w:rsid w:val="60DE6A1A"/>
    <w:rsid w:val="60F8F25D"/>
    <w:rsid w:val="60FC6B99"/>
    <w:rsid w:val="61097401"/>
    <w:rsid w:val="61242321"/>
    <w:rsid w:val="612427E5"/>
    <w:rsid w:val="61287E12"/>
    <w:rsid w:val="612AE481"/>
    <w:rsid w:val="613BD117"/>
    <w:rsid w:val="6147739C"/>
    <w:rsid w:val="61491ED0"/>
    <w:rsid w:val="61517045"/>
    <w:rsid w:val="615FED8D"/>
    <w:rsid w:val="6184A858"/>
    <w:rsid w:val="61CCD038"/>
    <w:rsid w:val="61CEB756"/>
    <w:rsid w:val="61D11C9B"/>
    <w:rsid w:val="61D59A08"/>
    <w:rsid w:val="61F6D862"/>
    <w:rsid w:val="6217C29C"/>
    <w:rsid w:val="62183F6E"/>
    <w:rsid w:val="6219BBD5"/>
    <w:rsid w:val="623E9597"/>
    <w:rsid w:val="62468686"/>
    <w:rsid w:val="624AB566"/>
    <w:rsid w:val="624B1A0D"/>
    <w:rsid w:val="62543588"/>
    <w:rsid w:val="6262ADD8"/>
    <w:rsid w:val="6286D052"/>
    <w:rsid w:val="628FAECA"/>
    <w:rsid w:val="629798E0"/>
    <w:rsid w:val="62ABB843"/>
    <w:rsid w:val="62E57151"/>
    <w:rsid w:val="62F5DD7C"/>
    <w:rsid w:val="6306E2D1"/>
    <w:rsid w:val="630E8A00"/>
    <w:rsid w:val="6329193A"/>
    <w:rsid w:val="634200AE"/>
    <w:rsid w:val="63435CD1"/>
    <w:rsid w:val="636B3599"/>
    <w:rsid w:val="6385CC2D"/>
    <w:rsid w:val="639B1698"/>
    <w:rsid w:val="639FEFF4"/>
    <w:rsid w:val="63AA4E88"/>
    <w:rsid w:val="63B279EB"/>
    <w:rsid w:val="63C02A65"/>
    <w:rsid w:val="63DB0DB0"/>
    <w:rsid w:val="63EBA63C"/>
    <w:rsid w:val="63FDEA31"/>
    <w:rsid w:val="64290542"/>
    <w:rsid w:val="644114C3"/>
    <w:rsid w:val="64716FC4"/>
    <w:rsid w:val="6484ECF3"/>
    <w:rsid w:val="64F376CC"/>
    <w:rsid w:val="651D33B5"/>
    <w:rsid w:val="652532FB"/>
    <w:rsid w:val="65AA862A"/>
    <w:rsid w:val="65F72412"/>
    <w:rsid w:val="65FB9FAC"/>
    <w:rsid w:val="662453E8"/>
    <w:rsid w:val="6646540E"/>
    <w:rsid w:val="6657271F"/>
    <w:rsid w:val="6660B9FC"/>
    <w:rsid w:val="66963459"/>
    <w:rsid w:val="66A6A850"/>
    <w:rsid w:val="66AA8455"/>
    <w:rsid w:val="66ADF05D"/>
    <w:rsid w:val="66C2C1A1"/>
    <w:rsid w:val="66DB2B48"/>
    <w:rsid w:val="67148DA4"/>
    <w:rsid w:val="6755D31D"/>
    <w:rsid w:val="67AB129B"/>
    <w:rsid w:val="67AEF138"/>
    <w:rsid w:val="67B170E2"/>
    <w:rsid w:val="67C6693D"/>
    <w:rsid w:val="67D0763F"/>
    <w:rsid w:val="67DB9C91"/>
    <w:rsid w:val="67FC8A5D"/>
    <w:rsid w:val="67FD73C1"/>
    <w:rsid w:val="6801217B"/>
    <w:rsid w:val="680B5594"/>
    <w:rsid w:val="684558C9"/>
    <w:rsid w:val="68527BA3"/>
    <w:rsid w:val="686E3481"/>
    <w:rsid w:val="688A0E2E"/>
    <w:rsid w:val="68921B49"/>
    <w:rsid w:val="689662A7"/>
    <w:rsid w:val="689B0D11"/>
    <w:rsid w:val="68C29788"/>
    <w:rsid w:val="68DD5527"/>
    <w:rsid w:val="68FCED78"/>
    <w:rsid w:val="6915E209"/>
    <w:rsid w:val="6916A8E5"/>
    <w:rsid w:val="692C5002"/>
    <w:rsid w:val="697636FC"/>
    <w:rsid w:val="699CF1DC"/>
    <w:rsid w:val="69BFF75B"/>
    <w:rsid w:val="69D2B060"/>
    <w:rsid w:val="69D5D052"/>
    <w:rsid w:val="69D74AA5"/>
    <w:rsid w:val="69E533A0"/>
    <w:rsid w:val="6A01C094"/>
    <w:rsid w:val="6A02C4F1"/>
    <w:rsid w:val="6A109D8B"/>
    <w:rsid w:val="6A1528EF"/>
    <w:rsid w:val="6A2A2A8F"/>
    <w:rsid w:val="6A317FA2"/>
    <w:rsid w:val="6A3A5C18"/>
    <w:rsid w:val="6A4E6A82"/>
    <w:rsid w:val="6A5100F3"/>
    <w:rsid w:val="6A599089"/>
    <w:rsid w:val="6A5E75FC"/>
    <w:rsid w:val="6A60FEF4"/>
    <w:rsid w:val="6A6BF22D"/>
    <w:rsid w:val="6AA36CEB"/>
    <w:rsid w:val="6AB262C6"/>
    <w:rsid w:val="6AE2B35D"/>
    <w:rsid w:val="6AEFB433"/>
    <w:rsid w:val="6B0D46A3"/>
    <w:rsid w:val="6B0F076D"/>
    <w:rsid w:val="6B16CA45"/>
    <w:rsid w:val="6B2D94C2"/>
    <w:rsid w:val="6B7DAA02"/>
    <w:rsid w:val="6BA4AC0F"/>
    <w:rsid w:val="6BA7B475"/>
    <w:rsid w:val="6BAE662A"/>
    <w:rsid w:val="6BB034CB"/>
    <w:rsid w:val="6BCB25EF"/>
    <w:rsid w:val="6BE514A0"/>
    <w:rsid w:val="6C08BB40"/>
    <w:rsid w:val="6C190588"/>
    <w:rsid w:val="6C33F6C2"/>
    <w:rsid w:val="6C5C68E0"/>
    <w:rsid w:val="6C664DA9"/>
    <w:rsid w:val="6C807595"/>
    <w:rsid w:val="6C8581CF"/>
    <w:rsid w:val="6C8596C8"/>
    <w:rsid w:val="6C8767CA"/>
    <w:rsid w:val="6C91BCF3"/>
    <w:rsid w:val="6CC7BB85"/>
    <w:rsid w:val="6CCFFB80"/>
    <w:rsid w:val="6CD4929E"/>
    <w:rsid w:val="6CDB4AA4"/>
    <w:rsid w:val="6CE8DE51"/>
    <w:rsid w:val="6CE923DD"/>
    <w:rsid w:val="6D02AFE6"/>
    <w:rsid w:val="6D209CFE"/>
    <w:rsid w:val="6D484CEA"/>
    <w:rsid w:val="6D570D75"/>
    <w:rsid w:val="6D80E501"/>
    <w:rsid w:val="6D8F3627"/>
    <w:rsid w:val="6D98B10C"/>
    <w:rsid w:val="6DA8CB8D"/>
    <w:rsid w:val="6E33179B"/>
    <w:rsid w:val="6E3ABF36"/>
    <w:rsid w:val="6E49991D"/>
    <w:rsid w:val="6E61440D"/>
    <w:rsid w:val="6E659208"/>
    <w:rsid w:val="6E6BEBF7"/>
    <w:rsid w:val="6E7062FF"/>
    <w:rsid w:val="6E78F9B5"/>
    <w:rsid w:val="6E81A9CF"/>
    <w:rsid w:val="6E82935A"/>
    <w:rsid w:val="6E861A6D"/>
    <w:rsid w:val="6E8C95B4"/>
    <w:rsid w:val="6E8FCBB9"/>
    <w:rsid w:val="6E9777B0"/>
    <w:rsid w:val="6EB837F9"/>
    <w:rsid w:val="6EBE8075"/>
    <w:rsid w:val="6EDB0177"/>
    <w:rsid w:val="6EE5357B"/>
    <w:rsid w:val="6EEA4FBE"/>
    <w:rsid w:val="6F1232FD"/>
    <w:rsid w:val="6F2AA00E"/>
    <w:rsid w:val="6F68FC3B"/>
    <w:rsid w:val="6F84276E"/>
    <w:rsid w:val="6F85A60C"/>
    <w:rsid w:val="6F85C328"/>
    <w:rsid w:val="6F878990"/>
    <w:rsid w:val="6F87E1B1"/>
    <w:rsid w:val="6FA69E17"/>
    <w:rsid w:val="6FB33C67"/>
    <w:rsid w:val="6FB48712"/>
    <w:rsid w:val="6FC9D4FB"/>
    <w:rsid w:val="6FD75AC2"/>
    <w:rsid w:val="6FEBD174"/>
    <w:rsid w:val="700AE0C8"/>
    <w:rsid w:val="701C6FB9"/>
    <w:rsid w:val="7044B715"/>
    <w:rsid w:val="7048F4A1"/>
    <w:rsid w:val="7051E56E"/>
    <w:rsid w:val="706A3D3B"/>
    <w:rsid w:val="707EE2F0"/>
    <w:rsid w:val="709A091E"/>
    <w:rsid w:val="709FC507"/>
    <w:rsid w:val="70BF0C5F"/>
    <w:rsid w:val="70DE5ADF"/>
    <w:rsid w:val="710E5CF4"/>
    <w:rsid w:val="710E66EB"/>
    <w:rsid w:val="71150778"/>
    <w:rsid w:val="7123B212"/>
    <w:rsid w:val="7146424E"/>
    <w:rsid w:val="7149BA7D"/>
    <w:rsid w:val="7161E60E"/>
    <w:rsid w:val="7168B587"/>
    <w:rsid w:val="7180810E"/>
    <w:rsid w:val="718E2D9A"/>
    <w:rsid w:val="7195B309"/>
    <w:rsid w:val="719F33E2"/>
    <w:rsid w:val="71A45A93"/>
    <w:rsid w:val="71ADAC76"/>
    <w:rsid w:val="71BB6750"/>
    <w:rsid w:val="71DA431B"/>
    <w:rsid w:val="71F89B0C"/>
    <w:rsid w:val="722728CB"/>
    <w:rsid w:val="722FB766"/>
    <w:rsid w:val="723A09C4"/>
    <w:rsid w:val="72658BD2"/>
    <w:rsid w:val="7271E517"/>
    <w:rsid w:val="7292BE27"/>
    <w:rsid w:val="72D20358"/>
    <w:rsid w:val="72E61826"/>
    <w:rsid w:val="73024DA3"/>
    <w:rsid w:val="7307AF8B"/>
    <w:rsid w:val="730E56B8"/>
    <w:rsid w:val="731EC32B"/>
    <w:rsid w:val="7328B7F0"/>
    <w:rsid w:val="734D5698"/>
    <w:rsid w:val="736011FE"/>
    <w:rsid w:val="7377C339"/>
    <w:rsid w:val="737CD41C"/>
    <w:rsid w:val="73B1E596"/>
    <w:rsid w:val="73B6E8A8"/>
    <w:rsid w:val="73BA7529"/>
    <w:rsid w:val="73BD25D2"/>
    <w:rsid w:val="73DEC940"/>
    <w:rsid w:val="740F5768"/>
    <w:rsid w:val="7445FDB6"/>
    <w:rsid w:val="745F1F2B"/>
    <w:rsid w:val="74E1C068"/>
    <w:rsid w:val="74E32229"/>
    <w:rsid w:val="75072EDE"/>
    <w:rsid w:val="750E83F1"/>
    <w:rsid w:val="752009C5"/>
    <w:rsid w:val="7545FEAF"/>
    <w:rsid w:val="754ACC2F"/>
    <w:rsid w:val="7553ADB1"/>
    <w:rsid w:val="7560FE5A"/>
    <w:rsid w:val="76646967"/>
    <w:rsid w:val="766B87E6"/>
    <w:rsid w:val="768E5FD1"/>
    <w:rsid w:val="76919197"/>
    <w:rsid w:val="76A1D3F0"/>
    <w:rsid w:val="76A98B04"/>
    <w:rsid w:val="76C7B2B7"/>
    <w:rsid w:val="76D02E97"/>
    <w:rsid w:val="76E4EE33"/>
    <w:rsid w:val="76FE5CFB"/>
    <w:rsid w:val="76FF0447"/>
    <w:rsid w:val="7700009A"/>
    <w:rsid w:val="77120FA5"/>
    <w:rsid w:val="7724A313"/>
    <w:rsid w:val="7734A6D7"/>
    <w:rsid w:val="778D34E1"/>
    <w:rsid w:val="77942F1A"/>
    <w:rsid w:val="779ABAD1"/>
    <w:rsid w:val="77ACF537"/>
    <w:rsid w:val="77B44A4A"/>
    <w:rsid w:val="77CEC8AD"/>
    <w:rsid w:val="77D53484"/>
    <w:rsid w:val="77DE0A6B"/>
    <w:rsid w:val="77F05BD9"/>
    <w:rsid w:val="77F60F73"/>
    <w:rsid w:val="77FB0243"/>
    <w:rsid w:val="7800964C"/>
    <w:rsid w:val="780858BA"/>
    <w:rsid w:val="780A13FC"/>
    <w:rsid w:val="78208667"/>
    <w:rsid w:val="783032D6"/>
    <w:rsid w:val="783CDE8A"/>
    <w:rsid w:val="78575F8A"/>
    <w:rsid w:val="78643ACE"/>
    <w:rsid w:val="787247ED"/>
    <w:rsid w:val="787A1AC4"/>
    <w:rsid w:val="78A1F452"/>
    <w:rsid w:val="78B0EE62"/>
    <w:rsid w:val="78C5637F"/>
    <w:rsid w:val="78C953FB"/>
    <w:rsid w:val="78D76E3A"/>
    <w:rsid w:val="78DEB4E8"/>
    <w:rsid w:val="791C33E5"/>
    <w:rsid w:val="791FD52B"/>
    <w:rsid w:val="792B086A"/>
    <w:rsid w:val="79311C7F"/>
    <w:rsid w:val="796FFF59"/>
    <w:rsid w:val="7976F0E7"/>
    <w:rsid w:val="799BD030"/>
    <w:rsid w:val="79B6E912"/>
    <w:rsid w:val="79C8CDB2"/>
    <w:rsid w:val="79FFA38A"/>
    <w:rsid w:val="7A0030B2"/>
    <w:rsid w:val="7A1082A9"/>
    <w:rsid w:val="7A2B32EC"/>
    <w:rsid w:val="7A3EB29F"/>
    <w:rsid w:val="7A870E25"/>
    <w:rsid w:val="7A89191E"/>
    <w:rsid w:val="7A9A7C2E"/>
    <w:rsid w:val="7AF2DB78"/>
    <w:rsid w:val="7B2A2365"/>
    <w:rsid w:val="7B9A7CC3"/>
    <w:rsid w:val="7BC09978"/>
    <w:rsid w:val="7BD9D004"/>
    <w:rsid w:val="7BDBBBD5"/>
    <w:rsid w:val="7BEF8810"/>
    <w:rsid w:val="7BF2F861"/>
    <w:rsid w:val="7C0FA801"/>
    <w:rsid w:val="7C172FE5"/>
    <w:rsid w:val="7C8DE28B"/>
    <w:rsid w:val="7CA11DC3"/>
    <w:rsid w:val="7CBED089"/>
    <w:rsid w:val="7CCC7F8B"/>
    <w:rsid w:val="7CE39E3A"/>
    <w:rsid w:val="7CF33635"/>
    <w:rsid w:val="7CF64B47"/>
    <w:rsid w:val="7D223B54"/>
    <w:rsid w:val="7D3A6864"/>
    <w:rsid w:val="7D5E91EF"/>
    <w:rsid w:val="7D607F87"/>
    <w:rsid w:val="7D6F421E"/>
    <w:rsid w:val="7D792080"/>
    <w:rsid w:val="7D8857FA"/>
    <w:rsid w:val="7D8EC8C2"/>
    <w:rsid w:val="7DB70383"/>
    <w:rsid w:val="7DDA3429"/>
    <w:rsid w:val="7DF6317D"/>
    <w:rsid w:val="7DFB6C66"/>
    <w:rsid w:val="7E19CCAD"/>
    <w:rsid w:val="7E268A81"/>
    <w:rsid w:val="7E2FAC1A"/>
    <w:rsid w:val="7E333C5A"/>
    <w:rsid w:val="7E4BBB0E"/>
    <w:rsid w:val="7E6173CA"/>
    <w:rsid w:val="7E6EB241"/>
    <w:rsid w:val="7E81EFAB"/>
    <w:rsid w:val="7EABDA9D"/>
    <w:rsid w:val="7EAE2B39"/>
    <w:rsid w:val="7EBE0BB5"/>
    <w:rsid w:val="7F0B127F"/>
    <w:rsid w:val="7F1F9FF3"/>
    <w:rsid w:val="7F37CC31"/>
    <w:rsid w:val="7F630B6E"/>
    <w:rsid w:val="7F68F798"/>
    <w:rsid w:val="7F77D088"/>
    <w:rsid w:val="7F7F8CD8"/>
    <w:rsid w:val="7F7FF4E6"/>
    <w:rsid w:val="7F971892"/>
    <w:rsid w:val="7F9D1262"/>
    <w:rsid w:val="7FA05E03"/>
    <w:rsid w:val="7FCDA064"/>
    <w:rsid w:val="7FDA9818"/>
    <w:rsid w:val="7FDDC416"/>
    <w:rsid w:val="7FEB60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512AE4"/>
  <w15:docId w15:val="{372942D0-D9B2-4591-925C-9788971C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6C"/>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37406C"/>
    <w:pPr>
      <w:keepNext/>
      <w:keepLines/>
      <w:spacing w:before="360" w:after="120" w:line="276" w:lineRule="auto"/>
      <w:outlineLvl w:val="0"/>
    </w:pPr>
    <w:rPr>
      <w:rFonts w:asciiTheme="majorHAnsi" w:eastAsiaTheme="majorEastAsia" w:hAnsiTheme="majorHAnsi" w:cstheme="majorBidi"/>
      <w:bCs/>
      <w:color w:val="00B2A9" w:themeColor="accent1"/>
      <w:sz w:val="36"/>
      <w:szCs w:val="28"/>
      <w:lang w:eastAsia="en-AU"/>
    </w:rPr>
  </w:style>
  <w:style w:type="paragraph" w:styleId="Heading2">
    <w:name w:val="heading 2"/>
    <w:basedOn w:val="Normal"/>
    <w:next w:val="Normal"/>
    <w:link w:val="Heading2Char"/>
    <w:qFormat/>
    <w:rsid w:val="0037406C"/>
    <w:pPr>
      <w:keepNext/>
      <w:spacing w:before="280"/>
      <w:outlineLvl w:val="1"/>
    </w:pPr>
    <w:rPr>
      <w:rFonts w:asciiTheme="majorHAnsi" w:eastAsiaTheme="majorEastAsia" w:hAnsiTheme="majorHAnsi" w:cstheme="majorBidi"/>
      <w:bCs/>
      <w:color w:val="00B2A9" w:themeColor="accent1"/>
      <w:sz w:val="28"/>
      <w:szCs w:val="26"/>
    </w:rPr>
  </w:style>
  <w:style w:type="paragraph" w:styleId="Heading3">
    <w:name w:val="heading 3"/>
    <w:basedOn w:val="Normal"/>
    <w:next w:val="Normal"/>
    <w:link w:val="Heading3Char"/>
    <w:qFormat/>
    <w:rsid w:val="0037406C"/>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37406C"/>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37406C"/>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06C"/>
    <w:rPr>
      <w:rFonts w:asciiTheme="majorHAnsi" w:eastAsiaTheme="majorEastAsia" w:hAnsiTheme="majorHAnsi" w:cstheme="majorBidi"/>
      <w:bCs/>
      <w:color w:val="00B2A9" w:themeColor="accent1"/>
      <w:sz w:val="36"/>
      <w:szCs w:val="28"/>
      <w:lang w:eastAsia="en-AU"/>
    </w:rPr>
  </w:style>
  <w:style w:type="paragraph" w:styleId="Title">
    <w:name w:val="Title"/>
    <w:next w:val="Subtitle"/>
    <w:link w:val="TitleChar"/>
    <w:uiPriority w:val="44"/>
    <w:qFormat/>
    <w:rsid w:val="0037406C"/>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37406C"/>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37406C"/>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37406C"/>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37406C"/>
    <w:rPr>
      <w:color w:val="00B2A9" w:themeColor="accent1"/>
      <w:u w:val="none"/>
    </w:rPr>
  </w:style>
  <w:style w:type="character" w:customStyle="1" w:styleId="UnresolvedMention1">
    <w:name w:val="Unresolved Mention1"/>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rsid w:val="00374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06C"/>
    <w:rPr>
      <w:rFonts w:eastAsiaTheme="minorEastAsia"/>
      <w:color w:val="000000" w:themeColor="text1"/>
      <w:sz w:val="20"/>
      <w:szCs w:val="20"/>
      <w:lang w:eastAsia="en-AU"/>
    </w:rPr>
  </w:style>
  <w:style w:type="paragraph" w:styleId="Footer">
    <w:name w:val="footer"/>
    <w:basedOn w:val="Normal"/>
    <w:link w:val="FooterChar"/>
    <w:uiPriority w:val="99"/>
    <w:rsid w:val="0037406C"/>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37406C"/>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37406C"/>
    <w:rPr>
      <w:rFonts w:asciiTheme="majorHAnsi" w:eastAsiaTheme="majorEastAsia" w:hAnsiTheme="majorHAnsi" w:cstheme="majorBidi"/>
      <w:bCs/>
      <w:color w:val="00B2A9" w:themeColor="accent1"/>
      <w:sz w:val="28"/>
      <w:szCs w:val="26"/>
      <w:lang w:eastAsia="en-AU"/>
    </w:rPr>
  </w:style>
  <w:style w:type="character" w:customStyle="1" w:styleId="Heading3Char">
    <w:name w:val="Heading 3 Char"/>
    <w:basedOn w:val="DefaultParagraphFont"/>
    <w:link w:val="Heading3"/>
    <w:rsid w:val="0037406C"/>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37406C"/>
    <w:rPr>
      <w:rFonts w:asciiTheme="majorHAnsi" w:eastAsiaTheme="majorEastAsia" w:hAnsiTheme="majorHAnsi" w:cstheme="majorBidi"/>
      <w:bCs/>
      <w:iCs/>
      <w:color w:val="1F2A44" w:themeColor="text2"/>
      <w:szCs w:val="21"/>
      <w:lang w:eastAsia="en-AU"/>
    </w:rPr>
  </w:style>
  <w:style w:type="table" w:styleId="TableGrid">
    <w:name w:val="Table Grid"/>
    <w:basedOn w:val="TableNormal"/>
    <w:uiPriority w:val="39"/>
    <w:rsid w:val="0037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7406C"/>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37406C"/>
    <w:pPr>
      <w:pBdr>
        <w:top w:val="single" w:sz="4" w:space="10" w:color="71C5E8" w:themeColor="accent2"/>
        <w:bottom w:val="single" w:sz="4" w:space="10" w:color="71C5E8" w:themeColor="accent2"/>
      </w:pBdr>
      <w:spacing w:before="360" w:after="360"/>
      <w:ind w:left="864" w:right="864"/>
      <w:jc w:val="center"/>
    </w:pPr>
    <w:rPr>
      <w:i/>
      <w:iCs/>
      <w:color w:val="71C5E8" w:themeColor="accent2"/>
    </w:rPr>
  </w:style>
  <w:style w:type="character" w:customStyle="1" w:styleId="IntenseQuoteChar">
    <w:name w:val="Intense Quote Char"/>
    <w:aliases w:val="Quotation Char"/>
    <w:basedOn w:val="DefaultParagraphFont"/>
    <w:link w:val="IntenseQuote"/>
    <w:uiPriority w:val="30"/>
    <w:semiHidden/>
    <w:rsid w:val="0037406C"/>
    <w:rPr>
      <w:rFonts w:eastAsiaTheme="minorEastAsia"/>
      <w:i/>
      <w:iCs/>
      <w:color w:val="71C5E8" w:themeColor="accent2"/>
      <w:sz w:val="20"/>
      <w:szCs w:val="20"/>
      <w:lang w:eastAsia="en-AU"/>
    </w:rPr>
  </w:style>
  <w:style w:type="paragraph" w:styleId="ListParagraph">
    <w:name w:val="List Paragraph"/>
    <w:basedOn w:val="Normal"/>
    <w:uiPriority w:val="34"/>
    <w:semiHidden/>
    <w:qFormat/>
    <w:rsid w:val="0037406C"/>
    <w:pPr>
      <w:ind w:left="720"/>
      <w:contextualSpacing/>
    </w:pPr>
  </w:style>
  <w:style w:type="character" w:styleId="Strong">
    <w:name w:val="Strong"/>
    <w:aliases w:val="Table heading"/>
    <w:basedOn w:val="DefaultParagraphFont"/>
    <w:uiPriority w:val="22"/>
    <w:semiHidden/>
    <w:qFormat/>
    <w:rsid w:val="0037406C"/>
    <w:rPr>
      <w:b/>
      <w:bCs/>
    </w:rPr>
  </w:style>
  <w:style w:type="character" w:styleId="Emphasis">
    <w:name w:val="Emphasis"/>
    <w:aliases w:val="Table notes"/>
    <w:basedOn w:val="DefaultParagraphFont"/>
    <w:uiPriority w:val="20"/>
    <w:semiHidden/>
    <w:qFormat/>
    <w:rsid w:val="0037406C"/>
    <w:rPr>
      <w:i/>
      <w:iCs/>
      <w:sz w:val="18"/>
      <w:szCs w:val="18"/>
    </w:rPr>
  </w:style>
  <w:style w:type="paragraph" w:customStyle="1" w:styleId="Bullet1">
    <w:name w:val="Bullet 1"/>
    <w:link w:val="Bullet1Char"/>
    <w:uiPriority w:val="1"/>
    <w:qFormat/>
    <w:rsid w:val="0037406C"/>
    <w:pPr>
      <w:numPr>
        <w:numId w:val="14"/>
      </w:numPr>
      <w:spacing w:before="100" w:after="100" w:line="264"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37406C"/>
    <w:pPr>
      <w:numPr>
        <w:ilvl w:val="1"/>
      </w:numPr>
    </w:pPr>
  </w:style>
  <w:style w:type="paragraph" w:customStyle="1" w:styleId="Bulletindent">
    <w:name w:val="Bullet indent"/>
    <w:basedOn w:val="Bullet2"/>
    <w:uiPriority w:val="9"/>
    <w:qFormat/>
    <w:rsid w:val="0037406C"/>
    <w:pPr>
      <w:numPr>
        <w:ilvl w:val="2"/>
      </w:numPr>
    </w:pPr>
  </w:style>
  <w:style w:type="paragraph" w:customStyle="1" w:styleId="Bulletindent2">
    <w:name w:val="Bullet indent 2"/>
    <w:basedOn w:val="Normal"/>
    <w:uiPriority w:val="9"/>
    <w:qFormat/>
    <w:rsid w:val="0037406C"/>
    <w:pPr>
      <w:numPr>
        <w:ilvl w:val="3"/>
        <w:numId w:val="14"/>
      </w:numPr>
      <w:spacing w:before="100"/>
      <w:contextualSpacing/>
    </w:pPr>
  </w:style>
  <w:style w:type="paragraph" w:customStyle="1" w:styleId="Heading1numbered">
    <w:name w:val="Heading 1 numbered"/>
    <w:basedOn w:val="Heading1"/>
    <w:next w:val="NormalIndent"/>
    <w:link w:val="Heading1numberedChar"/>
    <w:uiPriority w:val="8"/>
    <w:qFormat/>
    <w:rsid w:val="0037406C"/>
    <w:pPr>
      <w:numPr>
        <w:ilvl w:val="2"/>
        <w:numId w:val="16"/>
      </w:numPr>
    </w:pPr>
  </w:style>
  <w:style w:type="paragraph" w:customStyle="1" w:styleId="Heading2numbered">
    <w:name w:val="Heading 2 numbered"/>
    <w:basedOn w:val="Heading2"/>
    <w:next w:val="NormalIndent"/>
    <w:link w:val="Heading2numberedChar"/>
    <w:uiPriority w:val="8"/>
    <w:qFormat/>
    <w:rsid w:val="0037406C"/>
    <w:pPr>
      <w:numPr>
        <w:ilvl w:val="3"/>
        <w:numId w:val="16"/>
      </w:numPr>
    </w:pPr>
  </w:style>
  <w:style w:type="character" w:customStyle="1" w:styleId="Heading1numberedChar">
    <w:name w:val="Heading 1 numbered Char"/>
    <w:basedOn w:val="Heading1Char"/>
    <w:link w:val="Heading1numbered"/>
    <w:uiPriority w:val="8"/>
    <w:rsid w:val="0037406C"/>
    <w:rPr>
      <w:rFonts w:asciiTheme="majorHAnsi" w:eastAsiaTheme="majorEastAsia" w:hAnsiTheme="majorHAnsi" w:cstheme="majorBidi"/>
      <w:bCs/>
      <w:color w:val="00B2A9"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37406C"/>
    <w:pPr>
      <w:numPr>
        <w:ilvl w:val="4"/>
        <w:numId w:val="16"/>
      </w:numPr>
    </w:pPr>
  </w:style>
  <w:style w:type="character" w:customStyle="1" w:styleId="Heading2numberedChar">
    <w:name w:val="Heading 2 numbered Char"/>
    <w:basedOn w:val="Heading2Char"/>
    <w:link w:val="Heading2numbered"/>
    <w:uiPriority w:val="8"/>
    <w:rsid w:val="0037406C"/>
    <w:rPr>
      <w:rFonts w:asciiTheme="majorHAnsi" w:eastAsiaTheme="majorEastAsia" w:hAnsiTheme="majorHAnsi" w:cstheme="majorBidi"/>
      <w:bCs/>
      <w:color w:val="00B2A9" w:themeColor="accent1"/>
      <w:sz w:val="28"/>
      <w:szCs w:val="26"/>
      <w:lang w:eastAsia="en-AU"/>
    </w:rPr>
  </w:style>
  <w:style w:type="character" w:customStyle="1" w:styleId="Heading3numberedChar">
    <w:name w:val="Heading 3 numbered Char"/>
    <w:basedOn w:val="Heading3Char"/>
    <w:link w:val="Heading3numbered"/>
    <w:uiPriority w:val="8"/>
    <w:rsid w:val="0037406C"/>
    <w:rPr>
      <w:rFonts w:asciiTheme="majorHAnsi" w:eastAsiaTheme="majorEastAsia" w:hAnsiTheme="majorHAnsi" w:cstheme="majorBidi"/>
      <w:bCs/>
      <w:color w:val="1F2A44" w:themeColor="text2"/>
      <w:sz w:val="24"/>
      <w:szCs w:val="24"/>
      <w:lang w:eastAsia="en-AU"/>
    </w:rPr>
  </w:style>
  <w:style w:type="character" w:customStyle="1" w:styleId="Bullet1Char">
    <w:name w:val="Bullet 1 Char"/>
    <w:basedOn w:val="DefaultParagraphFont"/>
    <w:link w:val="Bullet1"/>
    <w:uiPriority w:val="1"/>
    <w:rsid w:val="0037406C"/>
    <w:rPr>
      <w:rFonts w:eastAsia="Times New Roman" w:cs="Calibri"/>
      <w:color w:val="000000" w:themeColor="text1"/>
      <w:sz w:val="20"/>
      <w:szCs w:val="20"/>
      <w:lang w:eastAsia="en-AU"/>
    </w:rPr>
  </w:style>
  <w:style w:type="character" w:styleId="CommentReference">
    <w:name w:val="annotation reference"/>
    <w:basedOn w:val="DefaultParagraphFont"/>
    <w:uiPriority w:val="99"/>
    <w:semiHidden/>
    <w:unhideWhenUsed/>
    <w:rsid w:val="0037406C"/>
    <w:rPr>
      <w:sz w:val="16"/>
      <w:szCs w:val="16"/>
    </w:rPr>
  </w:style>
  <w:style w:type="paragraph" w:styleId="CommentText">
    <w:name w:val="annotation text"/>
    <w:basedOn w:val="Normal"/>
    <w:link w:val="CommentTextChar"/>
    <w:uiPriority w:val="99"/>
    <w:semiHidden/>
    <w:unhideWhenUsed/>
    <w:rsid w:val="0037406C"/>
    <w:pPr>
      <w:spacing w:after="0" w:line="240" w:lineRule="auto"/>
    </w:pPr>
  </w:style>
  <w:style w:type="character" w:customStyle="1" w:styleId="CommentTextChar">
    <w:name w:val="Comment Text Char"/>
    <w:basedOn w:val="DefaultParagraphFont"/>
    <w:link w:val="CommentText"/>
    <w:uiPriority w:val="99"/>
    <w:semiHidden/>
    <w:rsid w:val="0037406C"/>
    <w:rPr>
      <w:rFonts w:eastAsiaTheme="minorEastAsia"/>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37406C"/>
    <w:pPr>
      <w:spacing w:after="160"/>
      <w:jc w:val="both"/>
    </w:pPr>
    <w:rPr>
      <w:b/>
      <w:bCs/>
    </w:rPr>
  </w:style>
  <w:style w:type="character" w:customStyle="1" w:styleId="CommentSubjectChar">
    <w:name w:val="Comment Subject Char"/>
    <w:basedOn w:val="CommentTextChar"/>
    <w:link w:val="CommentSubject"/>
    <w:uiPriority w:val="99"/>
    <w:semiHidden/>
    <w:rsid w:val="0037406C"/>
    <w:rPr>
      <w:rFonts w:eastAsiaTheme="minorEastAsia"/>
      <w:b/>
      <w:bCs/>
      <w:color w:val="000000" w:themeColor="text1"/>
      <w:sz w:val="20"/>
      <w:szCs w:val="20"/>
      <w:lang w:eastAsia="en-AU"/>
    </w:rPr>
  </w:style>
  <w:style w:type="paragraph" w:styleId="FootnoteText">
    <w:name w:val="footnote text"/>
    <w:basedOn w:val="Normal"/>
    <w:link w:val="FootnoteTextChar"/>
    <w:uiPriority w:val="99"/>
    <w:semiHidden/>
    <w:rsid w:val="0037406C"/>
    <w:pPr>
      <w:spacing w:before="0" w:after="0" w:line="240" w:lineRule="auto"/>
    </w:pPr>
    <w:rPr>
      <w:sz w:val="17"/>
    </w:rPr>
  </w:style>
  <w:style w:type="character" w:customStyle="1" w:styleId="FootnoteTextChar">
    <w:name w:val="Footnote Text Char"/>
    <w:basedOn w:val="DefaultParagraphFont"/>
    <w:link w:val="FootnoteText"/>
    <w:uiPriority w:val="99"/>
    <w:semiHidden/>
    <w:rsid w:val="0037406C"/>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37406C"/>
    <w:rPr>
      <w:vertAlign w:val="superscript"/>
    </w:rPr>
  </w:style>
  <w:style w:type="paragraph" w:styleId="Revision">
    <w:name w:val="Revision"/>
    <w:hidden/>
    <w:uiPriority w:val="99"/>
    <w:semiHidden/>
    <w:rsid w:val="0037406C"/>
    <w:pPr>
      <w:spacing w:after="0" w:line="240" w:lineRule="auto"/>
    </w:pPr>
  </w:style>
  <w:style w:type="paragraph" w:styleId="BalloonText">
    <w:name w:val="Balloon Text"/>
    <w:basedOn w:val="Normal"/>
    <w:link w:val="BalloonTextChar"/>
    <w:uiPriority w:val="99"/>
    <w:semiHidden/>
    <w:rsid w:val="00374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6C"/>
    <w:rPr>
      <w:rFonts w:ascii="Tahoma" w:eastAsiaTheme="minorEastAsia" w:hAnsi="Tahoma" w:cs="Tahoma"/>
      <w:color w:val="000000" w:themeColor="text1"/>
      <w:sz w:val="16"/>
      <w:szCs w:val="16"/>
      <w:lang w:eastAsia="en-AU"/>
    </w:rPr>
  </w:style>
  <w:style w:type="character" w:styleId="UnresolvedMention">
    <w:name w:val="Unresolved Mention"/>
    <w:basedOn w:val="DefaultParagraphFont"/>
    <w:uiPriority w:val="99"/>
    <w:semiHidden/>
    <w:unhideWhenUsed/>
    <w:rsid w:val="0037406C"/>
    <w:rPr>
      <w:color w:val="605E5C"/>
      <w:shd w:val="clear" w:color="auto" w:fill="E1DFDD"/>
    </w:rPr>
  </w:style>
  <w:style w:type="paragraph" w:styleId="BodyText">
    <w:name w:val="Body Text"/>
    <w:basedOn w:val="Normal"/>
    <w:link w:val="BodyTextChar"/>
    <w:uiPriority w:val="49"/>
    <w:semiHidden/>
    <w:rsid w:val="0037406C"/>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37406C"/>
    <w:rPr>
      <w:rFonts w:ascii="Calibri" w:eastAsia="Times New Roman" w:hAnsi="Calibri" w:cs="Calibri"/>
      <w:color w:val="000000" w:themeColor="text1"/>
      <w:lang w:eastAsia="en-AU"/>
    </w:rPr>
  </w:style>
  <w:style w:type="paragraph" w:styleId="Caption">
    <w:name w:val="caption"/>
    <w:basedOn w:val="Normal"/>
    <w:next w:val="Normal"/>
    <w:uiPriority w:val="5"/>
    <w:rsid w:val="0037406C"/>
    <w:pPr>
      <w:keepNext/>
      <w:spacing w:before="200" w:after="60" w:line="240" w:lineRule="auto"/>
    </w:pPr>
    <w:rPr>
      <w:b/>
      <w:bCs/>
      <w:szCs w:val="18"/>
    </w:rPr>
  </w:style>
  <w:style w:type="paragraph" w:customStyle="1" w:styleId="Captionindent">
    <w:name w:val="Caption indent"/>
    <w:basedOn w:val="Caption"/>
    <w:uiPriority w:val="7"/>
    <w:qFormat/>
    <w:rsid w:val="0037406C"/>
    <w:pPr>
      <w:spacing w:before="240"/>
      <w:ind w:left="792"/>
    </w:pPr>
  </w:style>
  <w:style w:type="paragraph" w:customStyle="1" w:styleId="CM">
    <w:name w:val="CM"/>
    <w:next w:val="Title"/>
    <w:uiPriority w:val="79"/>
    <w:semiHidden/>
    <w:rsid w:val="0037406C"/>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37406C"/>
    <w:pPr>
      <w:spacing w:before="4600" w:after="0"/>
    </w:pPr>
  </w:style>
  <w:style w:type="table" w:customStyle="1" w:styleId="Financialtable">
    <w:name w:val="Financial table"/>
    <w:basedOn w:val="TableNormal"/>
    <w:uiPriority w:val="99"/>
    <w:rsid w:val="0037406C"/>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Financialtableindent">
    <w:name w:val="Financial table indent"/>
    <w:basedOn w:val="Financialtable"/>
    <w:uiPriority w:val="99"/>
    <w:rsid w:val="0037406C"/>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Texttable">
    <w:name w:val="Text table"/>
    <w:basedOn w:val="TableNormal"/>
    <w:uiPriority w:val="99"/>
    <w:rsid w:val="0037406C"/>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00B2A9" w:themeFill="accent1"/>
      </w:tcPr>
    </w:tblStylePr>
    <w:tblStylePr w:type="lastRow">
      <w:rPr>
        <w:b/>
      </w:rPr>
      <w:tblPr/>
      <w:tcPr>
        <w:tcBorders>
          <w:top w:val="single" w:sz="6" w:space="0" w:color="71C5E8" w:themeColor="accent2"/>
          <w:left w:val="nil"/>
          <w:bottom w:val="single" w:sz="12" w:space="0" w:color="71C5E8"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37406C"/>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00B2A9" w:themeFill="accent1"/>
      </w:tcPr>
    </w:tblStylePr>
    <w:tblStylePr w:type="lastRow">
      <w:rPr>
        <w:b/>
      </w:rPr>
      <w:tblPr/>
      <w:tcPr>
        <w:tcBorders>
          <w:top w:val="single" w:sz="6" w:space="0" w:color="00B2A9" w:themeColor="accent1"/>
          <w:left w:val="nil"/>
          <w:bottom w:val="single" w:sz="12" w:space="0" w:color="00B2A9"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FollowedHyperlink">
    <w:name w:val="FollowedHyperlink"/>
    <w:basedOn w:val="DefaultParagraphFont"/>
    <w:uiPriority w:val="99"/>
    <w:semiHidden/>
    <w:rsid w:val="0037406C"/>
    <w:rPr>
      <w:color w:val="808080" w:themeColor="background1" w:themeShade="80"/>
      <w:u w:val="none"/>
    </w:rPr>
  </w:style>
  <w:style w:type="paragraph" w:styleId="NormalIndent">
    <w:name w:val="Normal Indent"/>
    <w:basedOn w:val="Normal"/>
    <w:uiPriority w:val="9"/>
    <w:qFormat/>
    <w:rsid w:val="0037406C"/>
    <w:pPr>
      <w:ind w:left="792"/>
    </w:pPr>
  </w:style>
  <w:style w:type="paragraph" w:styleId="Index1">
    <w:name w:val="index 1"/>
    <w:basedOn w:val="Normal"/>
    <w:next w:val="Normal"/>
    <w:uiPriority w:val="99"/>
    <w:semiHidden/>
    <w:rsid w:val="0037406C"/>
    <w:pPr>
      <w:spacing w:after="60" w:line="240" w:lineRule="auto"/>
    </w:pPr>
    <w:rPr>
      <w:sz w:val="16"/>
    </w:rPr>
  </w:style>
  <w:style w:type="paragraph" w:styleId="Index2">
    <w:name w:val="index 2"/>
    <w:basedOn w:val="Normal"/>
    <w:next w:val="Normal"/>
    <w:uiPriority w:val="99"/>
    <w:semiHidden/>
    <w:rsid w:val="0037406C"/>
    <w:pPr>
      <w:spacing w:after="0" w:line="240" w:lineRule="auto"/>
      <w:ind w:left="216"/>
    </w:pPr>
    <w:rPr>
      <w:sz w:val="16"/>
      <w:szCs w:val="16"/>
    </w:rPr>
  </w:style>
  <w:style w:type="paragraph" w:styleId="IndexHeading">
    <w:name w:val="index heading"/>
    <w:basedOn w:val="Normal"/>
    <w:next w:val="Index1"/>
    <w:uiPriority w:val="99"/>
    <w:semiHidden/>
    <w:rsid w:val="0037406C"/>
    <w:rPr>
      <w:rFonts w:asciiTheme="majorHAnsi" w:eastAsiaTheme="majorEastAsia" w:hAnsiTheme="majorHAnsi" w:cstheme="majorBidi"/>
      <w:b/>
      <w:bCs/>
    </w:rPr>
  </w:style>
  <w:style w:type="paragraph" w:customStyle="1" w:styleId="NormalTight">
    <w:name w:val="Normal Tight"/>
    <w:uiPriority w:val="99"/>
    <w:semiHidden/>
    <w:rsid w:val="0037406C"/>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37406C"/>
    <w:pPr>
      <w:spacing w:before="3800"/>
      <w:ind w:right="1382"/>
    </w:pPr>
  </w:style>
  <w:style w:type="table" w:styleId="LightList-Accent1">
    <w:name w:val="Light List Accent 1"/>
    <w:basedOn w:val="TableNormal"/>
    <w:uiPriority w:val="61"/>
    <w:rsid w:val="0037406C"/>
    <w:pPr>
      <w:spacing w:after="0" w:line="240" w:lineRule="auto"/>
    </w:pPr>
    <w:rPr>
      <w:rFonts w:eastAsiaTheme="minorEastAsia"/>
      <w:sz w:val="20"/>
      <w:szCs w:val="20"/>
      <w:lang w:eastAsia="en-AU"/>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table" w:styleId="LightList-Accent4">
    <w:name w:val="Light List Accent 4"/>
    <w:basedOn w:val="TableNormal"/>
    <w:uiPriority w:val="61"/>
    <w:rsid w:val="0037406C"/>
    <w:pPr>
      <w:spacing w:after="0" w:line="240" w:lineRule="auto"/>
    </w:pPr>
    <w:rPr>
      <w:rFonts w:eastAsiaTheme="minorEastAsia"/>
      <w:sz w:val="20"/>
      <w:szCs w:val="20"/>
      <w:lang w:eastAsia="en-AU"/>
    </w:rPr>
    <w:tblPr>
      <w:tblStyleRowBandSize w:val="1"/>
      <w:tblStyleColBandSize w:val="1"/>
      <w:tblBorders>
        <w:top w:val="single" w:sz="8" w:space="0" w:color="78BE20" w:themeColor="accent4"/>
        <w:left w:val="single" w:sz="8" w:space="0" w:color="78BE20" w:themeColor="accent4"/>
        <w:bottom w:val="single" w:sz="8" w:space="0" w:color="78BE20" w:themeColor="accent4"/>
        <w:right w:val="single" w:sz="8" w:space="0" w:color="78BE20" w:themeColor="accent4"/>
      </w:tblBorders>
    </w:tblPr>
    <w:tblStylePr w:type="firstRow">
      <w:pPr>
        <w:spacing w:before="0" w:after="0" w:line="240" w:lineRule="auto"/>
      </w:pPr>
      <w:rPr>
        <w:b/>
        <w:bCs/>
        <w:color w:val="FFFFFF" w:themeColor="background1"/>
      </w:rPr>
      <w:tblPr/>
      <w:tcPr>
        <w:shd w:val="clear" w:color="auto" w:fill="78BE20" w:themeFill="accent4"/>
      </w:tcPr>
    </w:tblStylePr>
    <w:tblStylePr w:type="lastRow">
      <w:pPr>
        <w:spacing w:before="0" w:after="0" w:line="240" w:lineRule="auto"/>
      </w:pPr>
      <w:rPr>
        <w:b/>
        <w:bCs/>
      </w:rPr>
      <w:tblPr/>
      <w:tcPr>
        <w:tcBorders>
          <w:top w:val="double" w:sz="6" w:space="0" w:color="78BE20" w:themeColor="accent4"/>
          <w:left w:val="single" w:sz="8" w:space="0" w:color="78BE20" w:themeColor="accent4"/>
          <w:bottom w:val="single" w:sz="8" w:space="0" w:color="78BE20" w:themeColor="accent4"/>
          <w:right w:val="single" w:sz="8" w:space="0" w:color="78BE20" w:themeColor="accent4"/>
        </w:tcBorders>
      </w:tcPr>
    </w:tblStylePr>
    <w:tblStylePr w:type="firstCol">
      <w:rPr>
        <w:b/>
        <w:bCs/>
      </w:rPr>
    </w:tblStylePr>
    <w:tblStylePr w:type="lastCol">
      <w:rPr>
        <w:b/>
        <w:bCs/>
      </w:rPr>
    </w:tblStylePr>
    <w:tblStylePr w:type="band1Vert">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tblStylePr w:type="band1Horz">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style>
  <w:style w:type="table" w:styleId="LightShading">
    <w:name w:val="Light Shading"/>
    <w:basedOn w:val="TableNormal"/>
    <w:uiPriority w:val="60"/>
    <w:rsid w:val="0037406C"/>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37406C"/>
    <w:pPr>
      <w:numPr>
        <w:numId w:val="16"/>
      </w:numPr>
    </w:pPr>
  </w:style>
  <w:style w:type="paragraph" w:customStyle="1" w:styleId="Listnum2">
    <w:name w:val="List num 2"/>
    <w:basedOn w:val="Normal"/>
    <w:uiPriority w:val="2"/>
    <w:qFormat/>
    <w:rsid w:val="0037406C"/>
    <w:pPr>
      <w:numPr>
        <w:ilvl w:val="1"/>
        <w:numId w:val="16"/>
      </w:numPr>
    </w:pPr>
  </w:style>
  <w:style w:type="paragraph" w:customStyle="1" w:styleId="Listnumindent">
    <w:name w:val="List num indent"/>
    <w:basedOn w:val="Normal"/>
    <w:uiPriority w:val="9"/>
    <w:qFormat/>
    <w:rsid w:val="0037406C"/>
    <w:pPr>
      <w:numPr>
        <w:ilvl w:val="6"/>
        <w:numId w:val="16"/>
      </w:numPr>
      <w:spacing w:before="100"/>
    </w:pPr>
  </w:style>
  <w:style w:type="paragraph" w:customStyle="1" w:styleId="Listnumindent2">
    <w:name w:val="List num indent 2"/>
    <w:basedOn w:val="Normal"/>
    <w:uiPriority w:val="9"/>
    <w:qFormat/>
    <w:rsid w:val="0037406C"/>
    <w:pPr>
      <w:numPr>
        <w:ilvl w:val="7"/>
        <w:numId w:val="16"/>
      </w:numPr>
      <w:spacing w:before="100"/>
      <w:contextualSpacing/>
    </w:pPr>
  </w:style>
  <w:style w:type="table" w:styleId="ListTable3-Accent1">
    <w:name w:val="List Table 3 Accent 1"/>
    <w:basedOn w:val="TableNormal"/>
    <w:uiPriority w:val="48"/>
    <w:rsid w:val="0037406C"/>
    <w:pPr>
      <w:spacing w:after="0" w:line="240" w:lineRule="auto"/>
    </w:pPr>
    <w:tblPr>
      <w:tblStyleRowBandSize w:val="1"/>
      <w:tblStyleColBandSize w:val="1"/>
      <w:tblBorders>
        <w:top w:val="single" w:sz="4" w:space="0" w:color="00B2A9" w:themeColor="accent1"/>
        <w:left w:val="single" w:sz="4" w:space="0" w:color="00B2A9" w:themeColor="accent1"/>
        <w:bottom w:val="single" w:sz="4" w:space="0" w:color="00B2A9" w:themeColor="accent1"/>
        <w:right w:val="single" w:sz="4" w:space="0" w:color="00B2A9" w:themeColor="accent1"/>
      </w:tblBorders>
    </w:tblPr>
    <w:tblStylePr w:type="firstRow">
      <w:rPr>
        <w:b/>
        <w:bCs/>
        <w:color w:val="FFFFFF" w:themeColor="background1"/>
      </w:rPr>
      <w:tblPr/>
      <w:tcPr>
        <w:shd w:val="clear" w:color="auto" w:fill="00B2A9" w:themeFill="accent1"/>
      </w:tcPr>
    </w:tblStylePr>
    <w:tblStylePr w:type="lastRow">
      <w:rPr>
        <w:b/>
        <w:bCs/>
      </w:rPr>
      <w:tblPr/>
      <w:tcPr>
        <w:tcBorders>
          <w:top w:val="double" w:sz="4" w:space="0" w:color="00B2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1"/>
          <w:right w:val="single" w:sz="4" w:space="0" w:color="00B2A9" w:themeColor="accent1"/>
        </w:tcBorders>
      </w:tcPr>
    </w:tblStylePr>
    <w:tblStylePr w:type="band1Horz">
      <w:tblPr/>
      <w:tcPr>
        <w:tcBorders>
          <w:top w:val="single" w:sz="4" w:space="0" w:color="00B2A9" w:themeColor="accent1"/>
          <w:bottom w:val="single" w:sz="4" w:space="0" w:color="00B2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1"/>
          <w:left w:val="nil"/>
        </w:tcBorders>
      </w:tcPr>
    </w:tblStylePr>
    <w:tblStylePr w:type="swCell">
      <w:tblPr/>
      <w:tcPr>
        <w:tcBorders>
          <w:top w:val="double" w:sz="4" w:space="0" w:color="00B2A9" w:themeColor="accent1"/>
          <w:right w:val="nil"/>
        </w:tcBorders>
      </w:tcPr>
    </w:tblStylePr>
  </w:style>
  <w:style w:type="paragraph" w:customStyle="1" w:styleId="NoteNormal">
    <w:name w:val="Note Normal"/>
    <w:basedOn w:val="Normal"/>
    <w:rsid w:val="0037406C"/>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37406C"/>
    <w:pPr>
      <w:ind w:left="792"/>
    </w:pPr>
  </w:style>
  <w:style w:type="paragraph" w:customStyle="1" w:styleId="Numpara">
    <w:name w:val="Num para"/>
    <w:basedOn w:val="ListParagraph"/>
    <w:uiPriority w:val="2"/>
    <w:qFormat/>
    <w:rsid w:val="0037406C"/>
    <w:pPr>
      <w:numPr>
        <w:numId w:val="15"/>
      </w:numPr>
      <w:tabs>
        <w:tab w:val="left" w:pos="540"/>
      </w:tabs>
    </w:pPr>
  </w:style>
  <w:style w:type="paragraph" w:customStyle="1" w:styleId="Numparaindent">
    <w:name w:val="Num para indent"/>
    <w:basedOn w:val="Numpara"/>
    <w:uiPriority w:val="9"/>
    <w:qFormat/>
    <w:rsid w:val="0037406C"/>
    <w:pPr>
      <w:numPr>
        <w:ilvl w:val="8"/>
        <w:numId w:val="16"/>
      </w:numPr>
      <w:tabs>
        <w:tab w:val="clear" w:pos="540"/>
      </w:tabs>
    </w:pPr>
  </w:style>
  <w:style w:type="character" w:styleId="PageNumber">
    <w:name w:val="page number"/>
    <w:uiPriority w:val="49"/>
    <w:semiHidden/>
    <w:rsid w:val="0037406C"/>
    <w:rPr>
      <w:rFonts w:asciiTheme="minorHAnsi" w:hAnsiTheme="minorHAnsi"/>
      <w:b w:val="0"/>
      <w:color w:val="000000" w:themeColor="text1"/>
    </w:rPr>
  </w:style>
  <w:style w:type="character" w:styleId="PlaceholderText">
    <w:name w:val="Placeholder Text"/>
    <w:basedOn w:val="DefaultParagraphFont"/>
    <w:uiPriority w:val="99"/>
    <w:semiHidden/>
    <w:rsid w:val="0037406C"/>
    <w:rPr>
      <w:color w:val="808080"/>
    </w:rPr>
  </w:style>
  <w:style w:type="table" w:styleId="PlainTable4">
    <w:name w:val="Plain Table 4"/>
    <w:basedOn w:val="TableNormal"/>
    <w:uiPriority w:val="44"/>
    <w:rsid w:val="0037406C"/>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inciple">
    <w:name w:val="Principle"/>
    <w:basedOn w:val="Normal"/>
    <w:qFormat/>
    <w:rsid w:val="0037406C"/>
    <w:pPr>
      <w:keepNext/>
      <w:pageBreakBefore/>
      <w:numPr>
        <w:numId w:val="17"/>
      </w:numPr>
      <w:ind w:right="115"/>
      <w:contextualSpacing/>
      <w:outlineLvl w:val="2"/>
    </w:pPr>
    <w:rPr>
      <w:rFonts w:ascii="VIC" w:hAnsi="VIC" w:cstheme="majorBidi"/>
      <w:b/>
      <w:bCs/>
      <w:sz w:val="24"/>
      <w:szCs w:val="22"/>
    </w:rPr>
  </w:style>
  <w:style w:type="paragraph" w:styleId="Quote">
    <w:name w:val="Quote"/>
    <w:basedOn w:val="Normal"/>
    <w:next w:val="Normal"/>
    <w:link w:val="QuoteChar"/>
    <w:uiPriority w:val="14"/>
    <w:qFormat/>
    <w:rsid w:val="0037406C"/>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37406C"/>
    <w:rPr>
      <w:rFonts w:eastAsiaTheme="minorEastAsia"/>
      <w:i/>
      <w:iCs/>
      <w:color w:val="000000" w:themeColor="text1"/>
      <w:sz w:val="18"/>
      <w:szCs w:val="18"/>
      <w:lang w:eastAsia="en-AU"/>
    </w:rPr>
  </w:style>
  <w:style w:type="paragraph" w:customStyle="1" w:styleId="ReportDate">
    <w:name w:val="ReportDate"/>
    <w:uiPriority w:val="79"/>
    <w:semiHidden/>
    <w:rsid w:val="0037406C"/>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13"/>
    <w:semiHidden/>
    <w:qFormat/>
    <w:rsid w:val="0037406C"/>
    <w:pPr>
      <w:spacing w:before="0" w:after="0" w:line="120" w:lineRule="atLeast"/>
    </w:pPr>
    <w:rPr>
      <w:rFonts w:eastAsia="Times New Roman" w:cs="Calibri"/>
      <w:sz w:val="10"/>
      <w:szCs w:val="22"/>
    </w:rPr>
  </w:style>
  <w:style w:type="paragraph" w:customStyle="1" w:styleId="Sub-principle">
    <w:name w:val="Sub-principle"/>
    <w:basedOn w:val="Principle"/>
    <w:qFormat/>
    <w:rsid w:val="0037406C"/>
    <w:pPr>
      <w:keepNext w:val="0"/>
      <w:pageBreakBefore w:val="0"/>
      <w:numPr>
        <w:ilvl w:val="1"/>
      </w:numPr>
      <w:spacing w:before="60" w:after="60"/>
      <w:contextualSpacing w:val="0"/>
    </w:pPr>
    <w:rPr>
      <w:b w:val="0"/>
      <w:bCs w:val="0"/>
      <w:spacing w:val="2"/>
      <w:sz w:val="18"/>
      <w:szCs w:val="18"/>
    </w:rPr>
  </w:style>
  <w:style w:type="paragraph" w:customStyle="1" w:styleId="Tabletext">
    <w:name w:val="Table text"/>
    <w:basedOn w:val="Normal"/>
    <w:uiPriority w:val="5"/>
    <w:qFormat/>
    <w:rsid w:val="0037406C"/>
    <w:pPr>
      <w:spacing w:before="60" w:after="60"/>
    </w:pPr>
    <w:rPr>
      <w:sz w:val="18"/>
    </w:rPr>
  </w:style>
  <w:style w:type="paragraph" w:customStyle="1" w:styleId="Tablebullet">
    <w:name w:val="Table bullet"/>
    <w:basedOn w:val="Tabletext"/>
    <w:uiPriority w:val="6"/>
    <w:rsid w:val="0037406C"/>
    <w:pPr>
      <w:numPr>
        <w:numId w:val="18"/>
      </w:numPr>
    </w:pPr>
  </w:style>
  <w:style w:type="paragraph" w:customStyle="1" w:styleId="Tabledash">
    <w:name w:val="Table dash"/>
    <w:basedOn w:val="Tablebullet"/>
    <w:uiPriority w:val="6"/>
    <w:rsid w:val="0037406C"/>
    <w:pPr>
      <w:numPr>
        <w:ilvl w:val="1"/>
      </w:numPr>
    </w:pPr>
  </w:style>
  <w:style w:type="table" w:styleId="TableGridLight">
    <w:name w:val="Grid Table Light"/>
    <w:basedOn w:val="TableNormal"/>
    <w:uiPriority w:val="40"/>
    <w:rsid w:val="003740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Tabletext"/>
    <w:uiPriority w:val="5"/>
    <w:qFormat/>
    <w:rsid w:val="0037406C"/>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37406C"/>
    <w:pPr>
      <w:numPr>
        <w:ilvl w:val="2"/>
        <w:numId w:val="18"/>
      </w:numPr>
      <w:spacing w:before="60" w:after="60"/>
    </w:pPr>
    <w:rPr>
      <w:sz w:val="17"/>
    </w:rPr>
  </w:style>
  <w:style w:type="paragraph" w:customStyle="1" w:styleId="Tablenum2">
    <w:name w:val="Table num 2"/>
    <w:basedOn w:val="Normal"/>
    <w:uiPriority w:val="6"/>
    <w:rsid w:val="0037406C"/>
    <w:pPr>
      <w:numPr>
        <w:ilvl w:val="3"/>
        <w:numId w:val="18"/>
      </w:numPr>
      <w:spacing w:before="60" w:after="60"/>
    </w:pPr>
    <w:rPr>
      <w:sz w:val="17"/>
    </w:rPr>
  </w:style>
  <w:style w:type="paragraph" w:customStyle="1" w:styleId="Tabletextcentred">
    <w:name w:val="Table text centred"/>
    <w:basedOn w:val="Tabletext"/>
    <w:uiPriority w:val="5"/>
    <w:qFormat/>
    <w:rsid w:val="0037406C"/>
    <w:pPr>
      <w:jc w:val="center"/>
    </w:pPr>
  </w:style>
  <w:style w:type="paragraph" w:customStyle="1" w:styleId="Tabletextindent">
    <w:name w:val="Table text indent"/>
    <w:basedOn w:val="Tabletext"/>
    <w:uiPriority w:val="5"/>
    <w:qFormat/>
    <w:rsid w:val="0037406C"/>
    <w:pPr>
      <w:ind w:left="288"/>
    </w:pPr>
  </w:style>
  <w:style w:type="paragraph" w:customStyle="1" w:styleId="Tabletextright">
    <w:name w:val="Table text right"/>
    <w:basedOn w:val="Tabletext"/>
    <w:uiPriority w:val="5"/>
    <w:qFormat/>
    <w:rsid w:val="0037406C"/>
    <w:pPr>
      <w:jc w:val="right"/>
    </w:pPr>
  </w:style>
  <w:style w:type="paragraph" w:customStyle="1" w:styleId="TertiaryTitle">
    <w:name w:val="Tertiary Title"/>
    <w:next w:val="Normal"/>
    <w:uiPriority w:val="99"/>
    <w:semiHidden/>
    <w:rsid w:val="0037406C"/>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37406C"/>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37406C"/>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37406C"/>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37406C"/>
    <w:pPr>
      <w:spacing w:before="280"/>
      <w:ind w:left="446" w:right="29" w:hanging="446"/>
    </w:pPr>
    <w:rPr>
      <w:lang w:eastAsia="en-US"/>
    </w:rPr>
  </w:style>
  <w:style w:type="paragraph" w:styleId="TOC5">
    <w:name w:val="toc 5"/>
    <w:basedOn w:val="TOC2"/>
    <w:next w:val="Normal"/>
    <w:uiPriority w:val="39"/>
    <w:semiHidden/>
    <w:rsid w:val="0037406C"/>
    <w:pPr>
      <w:ind w:left="1080" w:hanging="634"/>
    </w:pPr>
    <w:rPr>
      <w:lang w:eastAsia="en-US"/>
    </w:rPr>
  </w:style>
  <w:style w:type="paragraph" w:styleId="TOC6">
    <w:name w:val="toc 6"/>
    <w:basedOn w:val="TOC3"/>
    <w:next w:val="Normal"/>
    <w:uiPriority w:val="39"/>
    <w:semiHidden/>
    <w:rsid w:val="0037406C"/>
    <w:pPr>
      <w:ind w:hanging="720"/>
    </w:pPr>
    <w:rPr>
      <w:lang w:eastAsia="en-US"/>
    </w:rPr>
  </w:style>
  <w:style w:type="paragraph" w:styleId="TOCHeading">
    <w:name w:val="TOC Heading"/>
    <w:basedOn w:val="Heading1"/>
    <w:next w:val="Normal"/>
    <w:uiPriority w:val="38"/>
    <w:rsid w:val="0037406C"/>
    <w:pPr>
      <w:spacing w:before="440" w:after="440"/>
      <w:outlineLvl w:val="9"/>
    </w:pPr>
    <w:rPr>
      <w:spacing w:val="2"/>
    </w:rPr>
  </w:style>
  <w:style w:type="paragraph" w:styleId="NoSpacing">
    <w:name w:val="No Spacing"/>
    <w:uiPriority w:val="1"/>
    <w:semiHidden/>
    <w:qFormat/>
    <w:rsid w:val="0037406C"/>
    <w:pPr>
      <w:spacing w:after="0" w:line="240" w:lineRule="auto"/>
    </w:pPr>
  </w:style>
  <w:style w:type="paragraph" w:customStyle="1" w:styleId="Heading4numbered">
    <w:name w:val="Heading 4 numbered"/>
    <w:basedOn w:val="Heading4"/>
    <w:next w:val="NormalIndent"/>
    <w:uiPriority w:val="8"/>
    <w:qFormat/>
    <w:rsid w:val="0037406C"/>
    <w:pPr>
      <w:tabs>
        <w:tab w:val="num" w:pos="792"/>
      </w:tabs>
      <w:spacing w:line="264" w:lineRule="auto"/>
      <w:ind w:left="792" w:hanging="792"/>
    </w:pPr>
    <w:rPr>
      <w:b/>
    </w:rPr>
  </w:style>
  <w:style w:type="paragraph" w:customStyle="1" w:styleId="Highlightboxbullet">
    <w:name w:val="Highlight box bullet"/>
    <w:basedOn w:val="ListParagraph"/>
    <w:uiPriority w:val="13"/>
    <w:qFormat/>
    <w:rsid w:val="0037406C"/>
    <w:pPr>
      <w:numPr>
        <w:numId w:val="31"/>
      </w:numPr>
      <w:pBdr>
        <w:top w:val="single" w:sz="6" w:space="6" w:color="00B2A9" w:themeColor="accent1"/>
        <w:bottom w:val="single" w:sz="6" w:space="4" w:color="00B2A9" w:themeColor="accent1"/>
      </w:pBdr>
      <w:shd w:val="clear" w:color="auto" w:fill="E2E6F2" w:themeFill="text2" w:themeFillTint="1A"/>
    </w:pPr>
  </w:style>
  <w:style w:type="paragraph" w:customStyle="1" w:styleId="Highlightboxheading">
    <w:name w:val="Highlight box heading"/>
    <w:basedOn w:val="Normal"/>
    <w:uiPriority w:val="13"/>
    <w:qFormat/>
    <w:rsid w:val="0037406C"/>
    <w:pPr>
      <w:pBdr>
        <w:top w:val="single" w:sz="6" w:space="6" w:color="00B2A9" w:themeColor="accent1"/>
        <w:bottom w:val="single" w:sz="6" w:space="4" w:color="00B2A9" w:themeColor="accent1"/>
      </w:pBdr>
      <w:shd w:val="clear" w:color="auto" w:fill="E2E6F2" w:themeFill="text2" w:themeFillTint="1A"/>
    </w:pPr>
    <w:rPr>
      <w:rFonts w:asciiTheme="majorHAnsi" w:hAnsiTheme="majorHAnsi"/>
      <w:bCs/>
    </w:rPr>
  </w:style>
  <w:style w:type="paragraph" w:customStyle="1" w:styleId="Highlightboxtext">
    <w:name w:val="Highlight box text"/>
    <w:basedOn w:val="Normal"/>
    <w:uiPriority w:val="13"/>
    <w:qFormat/>
    <w:rsid w:val="0037406C"/>
    <w:pPr>
      <w:pBdr>
        <w:top w:val="single" w:sz="6" w:space="6" w:color="00B2A9" w:themeColor="accent1"/>
        <w:bottom w:val="single" w:sz="6" w:space="4" w:color="00B2A9" w:themeColor="accent1"/>
      </w:pBdr>
      <w:shd w:val="clear" w:color="auto" w:fill="E2E6F2" w:themeFill="text2" w:themeFillTint="1A"/>
    </w:pPr>
  </w:style>
  <w:style w:type="character" w:styleId="Mention">
    <w:name w:val="Mention"/>
    <w:basedOn w:val="DefaultParagraphFont"/>
    <w:uiPriority w:val="99"/>
    <w:unhideWhenUsed/>
    <w:rsid w:val="001464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Ppolicy@dtf.vic.gov.au" TargetMode="External"/><Relationship Id="rId26" Type="http://schemas.openxmlformats.org/officeDocument/2006/relationships/diagramData" Target="diagrams/data1.xml"/><Relationship Id="rId39" Type="http://schemas.openxmlformats.org/officeDocument/2006/relationships/hyperlink" Target="https://apo.org.au/node/121546"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oecd.org/regreform/regulatory-policy/1_coglianese%20web.pdf"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hyperlink" Target="https://onlinelibrary.wiley.com/doi/epdf/10.1111/j.1468-2230.2008.00681.x" TargetMode="External"/><Relationship Id="rId38" Type="http://schemas.openxmlformats.org/officeDocument/2006/relationships/hyperlink" Target="https://www.vmia.vic.gov.au/tools-and-insights/risk-maturity-benchmark" TargetMode="Externa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yperlink" Target="http://www.betterregulation.vic.gov.au" TargetMode="External"/><Relationship Id="rId29" Type="http://schemas.openxmlformats.org/officeDocument/2006/relationships/diagramColors" Target="diagrams/colors1.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4.xml"/><Relationship Id="rId37" Type="http://schemas.openxmlformats.org/officeDocument/2006/relationships/hyperlink" Target="https://www.vic.gov.au/sites/default/files/2019-06/Smart-regulation-Grappling-with-risk-Guidance-Note.pdf" TargetMode="External"/><Relationship Id="rId40" Type="http://schemas.openxmlformats.org/officeDocument/2006/relationships/header" Target="header6.xml"/><Relationship Id="rId45"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betterregulation.vic.gov.au" TargetMode="External"/><Relationship Id="rId23" Type="http://schemas.openxmlformats.org/officeDocument/2006/relationships/footer" Target="footer2.xml"/><Relationship Id="rId28" Type="http://schemas.openxmlformats.org/officeDocument/2006/relationships/diagramQuickStyle" Target="diagrams/quickStyle1.xml"/><Relationship Id="rId36" Type="http://schemas.openxmlformats.org/officeDocument/2006/relationships/hyperlink" Target="https://press-files.anu.edu.au/downloads/press/n2304/pdf/ch13.pdf" TargetMode="External"/><Relationship Id="rId10" Type="http://schemas.openxmlformats.org/officeDocument/2006/relationships/footnotes" Target="footnotes.xml"/><Relationship Id="rId19" Type="http://schemas.openxmlformats.org/officeDocument/2006/relationships/hyperlink" Target="mailto:contact@betterreg.vic.gov.au" TargetMode="External"/><Relationship Id="rId31" Type="http://schemas.openxmlformats.org/officeDocument/2006/relationships/header" Target="header5.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betterreg.vic.gov.au" TargetMode="External"/><Relationship Id="rId22" Type="http://schemas.openxmlformats.org/officeDocument/2006/relationships/header" Target="header3.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press.anu.edu.au/publications/regulatory-theory"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OneDrive%20-%20VicGov\Job%20Folders\0094%20-%20Regulator%20Best%20Practice%20Handbook\02.%20Working\Concepts\BRV%20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013A60-A4EE-4D01-A246-5E5E461EC697}" type="doc">
      <dgm:prSet loTypeId="urn:microsoft.com/office/officeart/2005/8/layout/pyramid1" loCatId="pyramid" qsTypeId="urn:microsoft.com/office/officeart/2005/8/quickstyle/simple1" qsCatId="simple" csTypeId="urn:microsoft.com/office/officeart/2005/8/colors/colorful1" csCatId="colorful" phldr="1"/>
      <dgm:spPr/>
      <dgm:t>
        <a:bodyPr/>
        <a:lstStyle/>
        <a:p>
          <a:endParaRPr lang="en-AU"/>
        </a:p>
      </dgm:t>
    </dgm:pt>
    <dgm:pt modelId="{E743D20E-062D-4C6E-9F23-E4AD1E34855D}">
      <dgm:prSet phldrT="[Text]" custT="1"/>
      <dgm:spPr>
        <a:solidFill>
          <a:schemeClr val="accent6"/>
        </a:solidFill>
      </dgm:spPr>
      <dgm:t>
        <a:bodyPr/>
        <a:lstStyle/>
        <a:p>
          <a:r>
            <a:rPr lang="en-AU" sz="1200" b="1" dirty="0">
              <a:solidFill>
                <a:sysClr val="windowText" lastClr="000000"/>
              </a:solidFill>
              <a:latin typeface="+mj-lt"/>
            </a:rPr>
            <a:t>Supporting Guidance and Resources</a:t>
          </a:r>
        </a:p>
      </dgm:t>
    </dgm:pt>
    <dgm:pt modelId="{AC6F5B70-159F-4EF4-9E6B-750054390EB4}" type="parTrans" cxnId="{FAA6FB56-6C83-4DB6-BAE4-09DBC0640481}">
      <dgm:prSet/>
      <dgm:spPr/>
      <dgm:t>
        <a:bodyPr/>
        <a:lstStyle/>
        <a:p>
          <a:endParaRPr lang="en-AU" sz="1200"/>
        </a:p>
      </dgm:t>
    </dgm:pt>
    <dgm:pt modelId="{348EC5B5-0DC7-4AB9-BB6E-F85405CD5318}" type="sibTrans" cxnId="{FAA6FB56-6C83-4DB6-BAE4-09DBC0640481}">
      <dgm:prSet/>
      <dgm:spPr/>
      <dgm:t>
        <a:bodyPr/>
        <a:lstStyle/>
        <a:p>
          <a:endParaRPr lang="en-AU" sz="1200"/>
        </a:p>
      </dgm:t>
    </dgm:pt>
    <dgm:pt modelId="{9894D9E4-7D07-46E8-8003-0F643AA0F59F}">
      <dgm:prSet phldrT="[Tex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b="1" i="1" dirty="0"/>
            <a:t>Handbook</a:t>
          </a:r>
          <a:endParaRPr lang="en-AU" sz="1200" b="1" i="1" dirty="0">
            <a:latin typeface="+mj-lt"/>
          </a:endParaRPr>
        </a:p>
      </dgm:t>
    </dgm:pt>
    <dgm:pt modelId="{FFF33244-D725-4778-8DA4-95B59637C049}" type="parTrans" cxnId="{3A625022-201C-49A4-AAB7-57263DCB64BA}">
      <dgm:prSet/>
      <dgm:spPr/>
      <dgm:t>
        <a:bodyPr/>
        <a:lstStyle/>
        <a:p>
          <a:endParaRPr lang="en-AU"/>
        </a:p>
      </dgm:t>
    </dgm:pt>
    <dgm:pt modelId="{04C286AE-5DA4-4EB0-8F12-A1E5E9DEEE6F}" type="sibTrans" cxnId="{3A625022-201C-49A4-AAB7-57263DCB64BA}">
      <dgm:prSet/>
      <dgm:spPr/>
      <dgm:t>
        <a:bodyPr/>
        <a:lstStyle/>
        <a:p>
          <a:endParaRPr lang="en-AU"/>
        </a:p>
      </dgm:t>
    </dgm:pt>
    <dgm:pt modelId="{B6E7320E-78DE-400E-9853-228E65E6716C}">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Practice notes</a:t>
          </a:r>
        </a:p>
      </dgm:t>
    </dgm:pt>
    <dgm:pt modelId="{2689370B-BC48-4719-A961-8DED2DCE20FD}" type="parTrans" cxnId="{2C2E5BE1-98A3-4617-A20C-F5FCE1FC4F43}">
      <dgm:prSet/>
      <dgm:spPr/>
      <dgm:t>
        <a:bodyPr/>
        <a:lstStyle/>
        <a:p>
          <a:endParaRPr lang="en-AU"/>
        </a:p>
      </dgm:t>
    </dgm:pt>
    <dgm:pt modelId="{A51ECEC6-0F2A-4D39-9119-4DB78F050EB6}" type="sibTrans" cxnId="{2C2E5BE1-98A3-4617-A20C-F5FCE1FC4F43}">
      <dgm:prSet/>
      <dgm:spPr/>
      <dgm:t>
        <a:bodyPr/>
        <a:lstStyle/>
        <a:p>
          <a:endParaRPr lang="en-AU"/>
        </a:p>
      </dgm:t>
    </dgm:pt>
    <dgm:pt modelId="{CC7CA987-43BA-466C-836A-BE1CBAF00698}">
      <dgm:prSet custT="1"/>
      <dgm:spPr>
        <a:solidFill>
          <a:schemeClr val="accent6">
            <a:lumMod val="20000"/>
            <a:lumOff val="80000"/>
            <a:alpha val="90000"/>
          </a:schemeClr>
        </a:solidFill>
        <a:ln>
          <a:noFill/>
        </a:ln>
      </dgm:spPr>
      <dgm:t>
        <a:bodyPr/>
        <a:lstStyle/>
        <a:p>
          <a:pPr>
            <a:buFont typeface="Arial" panose="020B0604020202020204" pitchFamily="34" charset="0"/>
            <a:buChar char="•"/>
          </a:pPr>
          <a:r>
            <a:rPr lang="en-AU" sz="1200" dirty="0"/>
            <a:t>Explanatory Guide</a:t>
          </a:r>
        </a:p>
      </dgm:t>
    </dgm:pt>
    <dgm:pt modelId="{F11FD001-150C-40E4-81F9-9812F534D7CC}" type="parTrans" cxnId="{5D431B63-1D6E-4E69-B9DD-4FF221C70020}">
      <dgm:prSet/>
      <dgm:spPr/>
      <dgm:t>
        <a:bodyPr/>
        <a:lstStyle/>
        <a:p>
          <a:endParaRPr lang="en-AU"/>
        </a:p>
      </dgm:t>
    </dgm:pt>
    <dgm:pt modelId="{6622C2AD-8EFF-4813-8253-7404576255A9}" type="sibTrans" cxnId="{5D431B63-1D6E-4E69-B9DD-4FF221C70020}">
      <dgm:prSet/>
      <dgm:spPr/>
      <dgm:t>
        <a:bodyPr/>
        <a:lstStyle/>
        <a:p>
          <a:endParaRPr lang="en-AU"/>
        </a:p>
      </dgm:t>
    </dgm:pt>
    <dgm:pt modelId="{5B298ADB-3C20-406B-B357-27685077495A}">
      <dgm:prSet phldrT="[Text]" custT="1"/>
      <dgm:spPr>
        <a:solidFill>
          <a:schemeClr val="accent5"/>
        </a:solidFill>
      </dgm:spPr>
      <dgm:t>
        <a:bodyPr/>
        <a:lstStyle/>
        <a:p>
          <a:r>
            <a:rPr lang="en-AU" sz="1200" b="1" dirty="0">
              <a:solidFill>
                <a:sysClr val="windowText" lastClr="000000"/>
              </a:solidFill>
              <a:latin typeface="+mj-lt"/>
            </a:rPr>
            <a:t>Audience Specific</a:t>
          </a:r>
        </a:p>
        <a:p>
          <a:r>
            <a:rPr lang="en-AU" sz="1200" b="1" dirty="0">
              <a:solidFill>
                <a:sysClr val="windowText" lastClr="000000"/>
              </a:solidFill>
              <a:latin typeface="+mj-lt"/>
            </a:rPr>
            <a:t>Guidance</a:t>
          </a:r>
          <a:endParaRPr lang="en-AU" sz="1200" dirty="0">
            <a:solidFill>
              <a:sysClr val="windowText" lastClr="000000"/>
            </a:solidFill>
          </a:endParaRPr>
        </a:p>
      </dgm:t>
    </dgm:pt>
    <dgm:pt modelId="{32B2811C-B32D-4329-B188-CAFD1D5CC9A0}" type="parTrans" cxnId="{B3B88F13-2FBA-4232-A612-812B3DDF04A6}">
      <dgm:prSet/>
      <dgm:spPr/>
      <dgm:t>
        <a:bodyPr/>
        <a:lstStyle/>
        <a:p>
          <a:endParaRPr lang="en-AU"/>
        </a:p>
      </dgm:t>
    </dgm:pt>
    <dgm:pt modelId="{A32E3384-BB22-4051-B1C3-32F99BB9519C}" type="sibTrans" cxnId="{B3B88F13-2FBA-4232-A612-812B3DDF04A6}">
      <dgm:prSet/>
      <dgm:spPr/>
      <dgm:t>
        <a:bodyPr/>
        <a:lstStyle/>
        <a:p>
          <a:endParaRPr lang="en-AU"/>
        </a:p>
      </dgm:t>
    </dgm:pt>
    <dgm:pt modelId="{9E9923DD-98E0-40A3-8DFC-A1839E3BFB18}">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i="0" dirty="0"/>
            <a:t>Supporting Best Practice (Regulator Chairs and Boards)</a:t>
          </a:r>
          <a:endParaRPr lang="en-AU" sz="1200" i="0" dirty="0"/>
        </a:p>
      </dgm:t>
    </dgm:pt>
    <dgm:pt modelId="{0EA489F4-021E-4612-93B4-6EC2C86F9C2A}" type="parTrans" cxnId="{13219D51-2C37-4B63-98CA-297731A824FF}">
      <dgm:prSet/>
      <dgm:spPr/>
      <dgm:t>
        <a:bodyPr/>
        <a:lstStyle/>
        <a:p>
          <a:endParaRPr lang="en-AU"/>
        </a:p>
      </dgm:t>
    </dgm:pt>
    <dgm:pt modelId="{8E0CA537-3D09-426B-AA1A-6261779C2102}" type="sibTrans" cxnId="{13219D51-2C37-4B63-98CA-297731A824FF}">
      <dgm:prSet/>
      <dgm:spPr/>
      <dgm:t>
        <a:bodyPr/>
        <a:lstStyle/>
        <a:p>
          <a:endParaRPr lang="en-AU"/>
        </a:p>
      </dgm:t>
    </dgm:pt>
    <dgm:pt modelId="{E7C39018-4136-4BB4-8BC5-DFD98F046E02}">
      <dgm:prSet phldrT="[Text]" custT="1"/>
      <dgm:spPr>
        <a:solidFill>
          <a:schemeClr val="accent5">
            <a:lumMod val="20000"/>
            <a:lumOff val="80000"/>
          </a:schemeClr>
        </a:solidFill>
        <a:ln>
          <a:noFill/>
        </a:ln>
      </dgm:spPr>
      <dgm:t>
        <a:bodyPr/>
        <a:lstStyle/>
        <a:p>
          <a:pPr>
            <a:buFont typeface="Arial" panose="020B0604020202020204" pitchFamily="34" charset="0"/>
            <a:buChar char="•"/>
          </a:pPr>
          <a:r>
            <a:rPr lang="en-US" sz="1200" i="0" dirty="0"/>
            <a:t>Equipping Best Practice (Departments)</a:t>
          </a:r>
          <a:endParaRPr lang="en-AU" sz="1200" i="0" dirty="0"/>
        </a:p>
      </dgm:t>
    </dgm:pt>
    <dgm:pt modelId="{B4C7EA40-C0C1-42EA-B27E-C737DFB51E28}" type="parTrans" cxnId="{2B1CC3CA-E9C1-4356-8D10-428AAB704601}">
      <dgm:prSet/>
      <dgm:spPr/>
      <dgm:t>
        <a:bodyPr/>
        <a:lstStyle/>
        <a:p>
          <a:endParaRPr lang="en-AU"/>
        </a:p>
      </dgm:t>
    </dgm:pt>
    <dgm:pt modelId="{803B44B6-D45F-40A3-8AF1-3B76722A89C9}" type="sibTrans" cxnId="{2B1CC3CA-E9C1-4356-8D10-428AAB704601}">
      <dgm:prSet/>
      <dgm:spPr/>
      <dgm:t>
        <a:bodyPr/>
        <a:lstStyle/>
        <a:p>
          <a:endParaRPr lang="en-AU"/>
        </a:p>
      </dgm:t>
    </dgm:pt>
    <dgm:pt modelId="{476AC194-F503-4149-83B1-3AA2DC08B11F}">
      <dgm:prSet phldrT="[Text]" custT="1"/>
      <dgm:spPr>
        <a:solidFill>
          <a:schemeClr val="accent1">
            <a:lumMod val="20000"/>
            <a:lumOff val="80000"/>
            <a:alpha val="90000"/>
          </a:schemeClr>
        </a:solidFill>
        <a:ln>
          <a:noFill/>
        </a:ln>
      </dgm:spPr>
      <dgm:t>
        <a:bodyPr/>
        <a:lstStyle/>
        <a:p>
          <a:pPr algn="ctr">
            <a:buFont typeface="Arial" panose="020B0604020202020204" pitchFamily="34" charset="0"/>
            <a:buNone/>
          </a:pPr>
          <a:r>
            <a:rPr lang="en-US" sz="1200" b="0" i="0" dirty="0"/>
            <a:t>Towards Best Practice guidance for regulators</a:t>
          </a:r>
          <a:endParaRPr lang="en-AU" sz="1200" b="0" i="0" dirty="0"/>
        </a:p>
      </dgm:t>
    </dgm:pt>
    <dgm:pt modelId="{810C8B53-3DB2-487F-AC03-192A2AD266C1}" type="parTrans" cxnId="{ABE5429B-BA91-4EFA-A193-0E5FD5480B25}">
      <dgm:prSet/>
      <dgm:spPr/>
      <dgm:t>
        <a:bodyPr/>
        <a:lstStyle/>
        <a:p>
          <a:endParaRPr lang="en-AU"/>
        </a:p>
      </dgm:t>
    </dgm:pt>
    <dgm:pt modelId="{7F15F545-5CDA-4AC5-900A-CEF91B1A5D34}" type="sibTrans" cxnId="{ABE5429B-BA91-4EFA-A193-0E5FD5480B25}">
      <dgm:prSet/>
      <dgm:spPr/>
      <dgm:t>
        <a:bodyPr/>
        <a:lstStyle/>
        <a:p>
          <a:endParaRPr lang="en-AU"/>
        </a:p>
      </dgm:t>
    </dgm:pt>
    <dgm:pt modelId="{D6599545-A845-4128-AFF7-621A5F358517}">
      <dgm:prSet phldrT="[Text]" custT="1"/>
      <dgm:spPr>
        <a:solidFill>
          <a:schemeClr val="accent1"/>
        </a:solidFill>
      </dgm:spPr>
      <dgm:t>
        <a:bodyPr/>
        <a:lstStyle/>
        <a:p>
          <a:br>
            <a:rPr lang="en-AU" sz="1200" b="0" dirty="0">
              <a:solidFill>
                <a:sysClr val="windowText" lastClr="000000"/>
              </a:solidFill>
              <a:latin typeface="+mj-lt"/>
            </a:rPr>
          </a:br>
          <a:br>
            <a:rPr lang="en-AU" sz="1200" b="0" dirty="0">
              <a:solidFill>
                <a:sysClr val="windowText" lastClr="000000"/>
              </a:solidFill>
              <a:latin typeface="+mj-lt"/>
            </a:rPr>
          </a:br>
          <a:r>
            <a:rPr lang="en-AU" sz="1200" b="0" dirty="0">
              <a:solidFill>
                <a:sysClr val="windowText" lastClr="000000"/>
              </a:solidFill>
              <a:latin typeface="+mj-lt"/>
            </a:rPr>
            <a:t>Primary </a:t>
          </a:r>
          <a:br>
            <a:rPr lang="en-AU" sz="1200" b="0" dirty="0">
              <a:solidFill>
                <a:sysClr val="windowText" lastClr="000000"/>
              </a:solidFill>
              <a:latin typeface="+mj-lt"/>
            </a:rPr>
          </a:br>
          <a:r>
            <a:rPr lang="en-AU" sz="1200" b="0" dirty="0">
              <a:solidFill>
                <a:sysClr val="windowText" lastClr="000000"/>
              </a:solidFill>
              <a:latin typeface="+mj-lt"/>
            </a:rPr>
            <a:t>Principles</a:t>
          </a:r>
          <a:endParaRPr lang="en-AU" sz="1200" b="0" dirty="0">
            <a:solidFill>
              <a:sysClr val="windowText" lastClr="000000"/>
            </a:solidFill>
          </a:endParaRPr>
        </a:p>
      </dgm:t>
    </dgm:pt>
    <dgm:pt modelId="{49374077-B8E7-446F-8CE3-E4FDDA2227BD}" type="parTrans" cxnId="{B15A681E-1E35-44F4-A29F-5110989DE084}">
      <dgm:prSet/>
      <dgm:spPr/>
      <dgm:t>
        <a:bodyPr/>
        <a:lstStyle/>
        <a:p>
          <a:endParaRPr lang="en-AU"/>
        </a:p>
      </dgm:t>
    </dgm:pt>
    <dgm:pt modelId="{DC324657-E76D-43CB-871A-B4E737E6695A}" type="sibTrans" cxnId="{B15A681E-1E35-44F4-A29F-5110989DE084}">
      <dgm:prSet/>
      <dgm:spPr/>
      <dgm:t>
        <a:bodyPr/>
        <a:lstStyle/>
        <a:p>
          <a:endParaRPr lang="en-AU"/>
        </a:p>
      </dgm:t>
    </dgm:pt>
    <dgm:pt modelId="{D9F94F63-FE6F-44C1-B4D4-90A40AFF4C20}" type="pres">
      <dgm:prSet presAssocID="{44013A60-A4EE-4D01-A246-5E5E461EC697}" presName="Name0" presStyleCnt="0">
        <dgm:presLayoutVars>
          <dgm:dir/>
          <dgm:animLvl val="lvl"/>
          <dgm:resizeHandles val="exact"/>
        </dgm:presLayoutVars>
      </dgm:prSet>
      <dgm:spPr/>
    </dgm:pt>
    <dgm:pt modelId="{AD789B97-2E86-46CD-8F5B-B7D22895EA4A}" type="pres">
      <dgm:prSet presAssocID="{D6599545-A845-4128-AFF7-621A5F358517}" presName="Name8" presStyleCnt="0"/>
      <dgm:spPr/>
    </dgm:pt>
    <dgm:pt modelId="{EF3F3B0A-CA3F-4A7D-B75B-80776AC20E0A}" type="pres">
      <dgm:prSet presAssocID="{D6599545-A845-4128-AFF7-621A5F358517}" presName="acctBkgd" presStyleLbl="alignAcc1" presStyleIdx="0" presStyleCnt="3"/>
      <dgm:spPr/>
    </dgm:pt>
    <dgm:pt modelId="{55836DBE-A1D7-4E9D-8B6E-0A8FE4D24EB9}" type="pres">
      <dgm:prSet presAssocID="{D6599545-A845-4128-AFF7-621A5F358517}" presName="acctTx" presStyleLbl="alignAcc1" presStyleIdx="0" presStyleCnt="3">
        <dgm:presLayoutVars>
          <dgm:bulletEnabled val="1"/>
        </dgm:presLayoutVars>
      </dgm:prSet>
      <dgm:spPr/>
    </dgm:pt>
    <dgm:pt modelId="{C83A3092-BCE6-482F-8106-D2C058802803}" type="pres">
      <dgm:prSet presAssocID="{D6599545-A845-4128-AFF7-621A5F358517}" presName="level" presStyleLbl="node1" presStyleIdx="0" presStyleCnt="3">
        <dgm:presLayoutVars>
          <dgm:chMax val="1"/>
          <dgm:bulletEnabled val="1"/>
        </dgm:presLayoutVars>
      </dgm:prSet>
      <dgm:spPr/>
    </dgm:pt>
    <dgm:pt modelId="{901B3F0D-5E43-4E55-90C5-121A610B52FF}" type="pres">
      <dgm:prSet presAssocID="{D6599545-A845-4128-AFF7-621A5F358517}" presName="levelTx" presStyleLbl="revTx" presStyleIdx="0" presStyleCnt="0">
        <dgm:presLayoutVars>
          <dgm:chMax val="1"/>
          <dgm:bulletEnabled val="1"/>
        </dgm:presLayoutVars>
      </dgm:prSet>
      <dgm:spPr/>
    </dgm:pt>
    <dgm:pt modelId="{4A1A7E80-B566-40A5-92C5-76339F789BD8}" type="pres">
      <dgm:prSet presAssocID="{5B298ADB-3C20-406B-B357-27685077495A}" presName="Name8" presStyleCnt="0"/>
      <dgm:spPr/>
    </dgm:pt>
    <dgm:pt modelId="{6BD4B9F1-D9BE-4122-82C3-D95A81687525}" type="pres">
      <dgm:prSet presAssocID="{5B298ADB-3C20-406B-B357-27685077495A}" presName="acctBkgd" presStyleLbl="alignAcc1" presStyleIdx="1" presStyleCnt="3"/>
      <dgm:spPr/>
    </dgm:pt>
    <dgm:pt modelId="{C11BD8AC-0D0D-44E8-A270-CB689EB185D6}" type="pres">
      <dgm:prSet presAssocID="{5B298ADB-3C20-406B-B357-27685077495A}" presName="acctTx" presStyleLbl="alignAcc1" presStyleIdx="1" presStyleCnt="3">
        <dgm:presLayoutVars>
          <dgm:bulletEnabled val="1"/>
        </dgm:presLayoutVars>
      </dgm:prSet>
      <dgm:spPr/>
    </dgm:pt>
    <dgm:pt modelId="{1635EB1D-9A64-4BFC-BA46-FA36EBEE9C25}" type="pres">
      <dgm:prSet presAssocID="{5B298ADB-3C20-406B-B357-27685077495A}" presName="level" presStyleLbl="node1" presStyleIdx="1" presStyleCnt="3">
        <dgm:presLayoutVars>
          <dgm:chMax val="1"/>
          <dgm:bulletEnabled val="1"/>
        </dgm:presLayoutVars>
      </dgm:prSet>
      <dgm:spPr/>
    </dgm:pt>
    <dgm:pt modelId="{0BDDE68D-1338-4199-8406-45C8F8450849}" type="pres">
      <dgm:prSet presAssocID="{5B298ADB-3C20-406B-B357-27685077495A}" presName="levelTx" presStyleLbl="revTx" presStyleIdx="0" presStyleCnt="0">
        <dgm:presLayoutVars>
          <dgm:chMax val="1"/>
          <dgm:bulletEnabled val="1"/>
        </dgm:presLayoutVars>
      </dgm:prSet>
      <dgm:spPr/>
    </dgm:pt>
    <dgm:pt modelId="{54F98107-32A6-4EE5-9B14-DD61A7A5AEC9}" type="pres">
      <dgm:prSet presAssocID="{E743D20E-062D-4C6E-9F23-E4AD1E34855D}" presName="Name8" presStyleCnt="0"/>
      <dgm:spPr/>
    </dgm:pt>
    <dgm:pt modelId="{83C14A0E-F970-4039-8B94-77A1E14408D1}" type="pres">
      <dgm:prSet presAssocID="{E743D20E-062D-4C6E-9F23-E4AD1E34855D}" presName="acctBkgd" presStyleLbl="alignAcc1" presStyleIdx="2" presStyleCnt="3"/>
      <dgm:spPr/>
    </dgm:pt>
    <dgm:pt modelId="{44C1E91D-3113-4167-97D3-7B62F5D8530F}" type="pres">
      <dgm:prSet presAssocID="{E743D20E-062D-4C6E-9F23-E4AD1E34855D}" presName="acctTx" presStyleLbl="alignAcc1" presStyleIdx="2" presStyleCnt="3">
        <dgm:presLayoutVars>
          <dgm:bulletEnabled val="1"/>
        </dgm:presLayoutVars>
      </dgm:prSet>
      <dgm:spPr/>
    </dgm:pt>
    <dgm:pt modelId="{DDB0D329-6FA5-4C43-AD6B-AECE708E0965}" type="pres">
      <dgm:prSet presAssocID="{E743D20E-062D-4C6E-9F23-E4AD1E34855D}" presName="level" presStyleLbl="node1" presStyleIdx="2" presStyleCnt="3">
        <dgm:presLayoutVars>
          <dgm:chMax val="1"/>
          <dgm:bulletEnabled val="1"/>
        </dgm:presLayoutVars>
      </dgm:prSet>
      <dgm:spPr/>
    </dgm:pt>
    <dgm:pt modelId="{FE411856-68CD-4822-AA8C-70A0D014A50E}" type="pres">
      <dgm:prSet presAssocID="{E743D20E-062D-4C6E-9F23-E4AD1E34855D}" presName="levelTx" presStyleLbl="revTx" presStyleIdx="0" presStyleCnt="0">
        <dgm:presLayoutVars>
          <dgm:chMax val="1"/>
          <dgm:bulletEnabled val="1"/>
        </dgm:presLayoutVars>
      </dgm:prSet>
      <dgm:spPr/>
    </dgm:pt>
  </dgm:ptLst>
  <dgm:cxnLst>
    <dgm:cxn modelId="{81C1CF0F-BAE1-46B0-9DE5-B49234833C07}" type="presOf" srcId="{5B298ADB-3C20-406B-B357-27685077495A}" destId="{0BDDE68D-1338-4199-8406-45C8F8450849}" srcOrd="1" destOrd="0" presId="urn:microsoft.com/office/officeart/2005/8/layout/pyramid1"/>
    <dgm:cxn modelId="{B3B88F13-2FBA-4232-A612-812B3DDF04A6}" srcId="{44013A60-A4EE-4D01-A246-5E5E461EC697}" destId="{5B298ADB-3C20-406B-B357-27685077495A}" srcOrd="1" destOrd="0" parTransId="{32B2811C-B32D-4329-B188-CAFD1D5CC9A0}" sibTransId="{A32E3384-BB22-4051-B1C3-32F99BB9519C}"/>
    <dgm:cxn modelId="{B15A681E-1E35-44F4-A29F-5110989DE084}" srcId="{44013A60-A4EE-4D01-A246-5E5E461EC697}" destId="{D6599545-A845-4128-AFF7-621A5F358517}" srcOrd="0" destOrd="0" parTransId="{49374077-B8E7-446F-8CE3-E4FDDA2227BD}" sibTransId="{DC324657-E76D-43CB-871A-B4E737E6695A}"/>
    <dgm:cxn modelId="{3A625022-201C-49A4-AAB7-57263DCB64BA}" srcId="{E743D20E-062D-4C6E-9F23-E4AD1E34855D}" destId="{9894D9E4-7D07-46E8-8003-0F643AA0F59F}" srcOrd="0" destOrd="0" parTransId="{FFF33244-D725-4778-8DA4-95B59637C049}" sibTransId="{04C286AE-5DA4-4EB0-8F12-A1E5E9DEEE6F}"/>
    <dgm:cxn modelId="{C1FA3123-178A-46FA-B584-02FFCB269CC8}" type="presOf" srcId="{5B298ADB-3C20-406B-B357-27685077495A}" destId="{1635EB1D-9A64-4BFC-BA46-FA36EBEE9C25}" srcOrd="0" destOrd="0" presId="urn:microsoft.com/office/officeart/2005/8/layout/pyramid1"/>
    <dgm:cxn modelId="{4C339C30-7002-470B-9CD2-5149DE351421}" type="presOf" srcId="{9E9923DD-98E0-40A3-8DFC-A1839E3BFB18}" destId="{6BD4B9F1-D9BE-4122-82C3-D95A81687525}" srcOrd="0" destOrd="0" presId="urn:microsoft.com/office/officeart/2005/8/layout/pyramid1"/>
    <dgm:cxn modelId="{1F2E0931-4E77-48EF-A5BA-2BE06C5C95C2}" type="presOf" srcId="{D6599545-A845-4128-AFF7-621A5F358517}" destId="{C83A3092-BCE6-482F-8106-D2C058802803}" srcOrd="0" destOrd="0" presId="urn:microsoft.com/office/officeart/2005/8/layout/pyramid1"/>
    <dgm:cxn modelId="{5D431B63-1D6E-4E69-B9DD-4FF221C70020}" srcId="{E743D20E-062D-4C6E-9F23-E4AD1E34855D}" destId="{CC7CA987-43BA-466C-836A-BE1CBAF00698}" srcOrd="2" destOrd="0" parTransId="{F11FD001-150C-40E4-81F9-9812F534D7CC}" sibTransId="{6622C2AD-8EFF-4813-8253-7404576255A9}"/>
    <dgm:cxn modelId="{579C8143-CA59-4049-9C8B-0DB7F305AA90}" type="presOf" srcId="{9894D9E4-7D07-46E8-8003-0F643AA0F59F}" destId="{44C1E91D-3113-4167-97D3-7B62F5D8530F}" srcOrd="1" destOrd="0" presId="urn:microsoft.com/office/officeart/2005/8/layout/pyramid1"/>
    <dgm:cxn modelId="{47980B4A-8212-4DA4-847D-1D0D1FB66BD6}" type="presOf" srcId="{CC7CA987-43BA-466C-836A-BE1CBAF00698}" destId="{44C1E91D-3113-4167-97D3-7B62F5D8530F}" srcOrd="1" destOrd="2" presId="urn:microsoft.com/office/officeart/2005/8/layout/pyramid1"/>
    <dgm:cxn modelId="{E5ABD44A-CD18-44B2-821C-DF03981C5E65}" type="presOf" srcId="{E743D20E-062D-4C6E-9F23-E4AD1E34855D}" destId="{FE411856-68CD-4822-AA8C-70A0D014A50E}" srcOrd="1" destOrd="0" presId="urn:microsoft.com/office/officeart/2005/8/layout/pyramid1"/>
    <dgm:cxn modelId="{807CA750-E6F6-4AF6-BF29-AA0602646BA5}" type="presOf" srcId="{E7C39018-4136-4BB4-8BC5-DFD98F046E02}" destId="{C11BD8AC-0D0D-44E8-A270-CB689EB185D6}" srcOrd="1" destOrd="1" presId="urn:microsoft.com/office/officeart/2005/8/layout/pyramid1"/>
    <dgm:cxn modelId="{13219D51-2C37-4B63-98CA-297731A824FF}" srcId="{5B298ADB-3C20-406B-B357-27685077495A}" destId="{9E9923DD-98E0-40A3-8DFC-A1839E3BFB18}" srcOrd="0" destOrd="0" parTransId="{0EA489F4-021E-4612-93B4-6EC2C86F9C2A}" sibTransId="{8E0CA537-3D09-426B-AA1A-6261779C2102}"/>
    <dgm:cxn modelId="{F47FA373-48DC-45FB-8FB4-886895E04C2D}" type="presOf" srcId="{D6599545-A845-4128-AFF7-621A5F358517}" destId="{901B3F0D-5E43-4E55-90C5-121A610B52FF}" srcOrd="1" destOrd="0" presId="urn:microsoft.com/office/officeart/2005/8/layout/pyramid1"/>
    <dgm:cxn modelId="{C351A376-C8ED-4776-88F7-8009EFD6DB21}" type="presOf" srcId="{476AC194-F503-4149-83B1-3AA2DC08B11F}" destId="{55836DBE-A1D7-4E9D-8B6E-0A8FE4D24EB9}" srcOrd="1" destOrd="0" presId="urn:microsoft.com/office/officeart/2005/8/layout/pyramid1"/>
    <dgm:cxn modelId="{FAA6FB56-6C83-4DB6-BAE4-09DBC0640481}" srcId="{44013A60-A4EE-4D01-A246-5E5E461EC697}" destId="{E743D20E-062D-4C6E-9F23-E4AD1E34855D}" srcOrd="2" destOrd="0" parTransId="{AC6F5B70-159F-4EF4-9E6B-750054390EB4}" sibTransId="{348EC5B5-0DC7-4AB9-BB6E-F85405CD5318}"/>
    <dgm:cxn modelId="{4F5FB159-6E87-4B0B-9687-3E901699C974}" type="presOf" srcId="{E7C39018-4136-4BB4-8BC5-DFD98F046E02}" destId="{6BD4B9F1-D9BE-4122-82C3-D95A81687525}" srcOrd="0" destOrd="1" presId="urn:microsoft.com/office/officeart/2005/8/layout/pyramid1"/>
    <dgm:cxn modelId="{ABE5429B-BA91-4EFA-A193-0E5FD5480B25}" srcId="{D6599545-A845-4128-AFF7-621A5F358517}" destId="{476AC194-F503-4149-83B1-3AA2DC08B11F}" srcOrd="0" destOrd="0" parTransId="{810C8B53-3DB2-487F-AC03-192A2AD266C1}" sibTransId="{7F15F545-5CDA-4AC5-900A-CEF91B1A5D34}"/>
    <dgm:cxn modelId="{62250E8C-F8F2-4C73-AED2-51D8454A029E}" type="presOf" srcId="{B6E7320E-78DE-400E-9853-228E65E6716C}" destId="{44C1E91D-3113-4167-97D3-7B62F5D8530F}" srcOrd="1" destOrd="1" presId="urn:microsoft.com/office/officeart/2005/8/layout/pyramid1"/>
    <dgm:cxn modelId="{7C1926A4-1555-403C-BD15-3BA28250CDB0}" type="presOf" srcId="{9E9923DD-98E0-40A3-8DFC-A1839E3BFB18}" destId="{C11BD8AC-0D0D-44E8-A270-CB689EB185D6}" srcOrd="1" destOrd="0" presId="urn:microsoft.com/office/officeart/2005/8/layout/pyramid1"/>
    <dgm:cxn modelId="{97D0C1AC-DAC1-4545-9A13-5539AC695E4E}" type="presOf" srcId="{9894D9E4-7D07-46E8-8003-0F643AA0F59F}" destId="{83C14A0E-F970-4039-8B94-77A1E14408D1}" srcOrd="0" destOrd="0" presId="urn:microsoft.com/office/officeart/2005/8/layout/pyramid1"/>
    <dgm:cxn modelId="{2C2E5BE1-98A3-4617-A20C-F5FCE1FC4F43}" srcId="{E743D20E-062D-4C6E-9F23-E4AD1E34855D}" destId="{B6E7320E-78DE-400E-9853-228E65E6716C}" srcOrd="1" destOrd="0" parTransId="{2689370B-BC48-4719-A961-8DED2DCE20FD}" sibTransId="{A51ECEC6-0F2A-4D39-9119-4DB78F050EB6}"/>
    <dgm:cxn modelId="{956DEBC7-39E5-4A1D-8A0F-23949DC43EC0}" type="presOf" srcId="{44013A60-A4EE-4D01-A246-5E5E461EC697}" destId="{D9F94F63-FE6F-44C1-B4D4-90A40AFF4C20}" srcOrd="0" destOrd="0" presId="urn:microsoft.com/office/officeart/2005/8/layout/pyramid1"/>
    <dgm:cxn modelId="{2B1CC3CA-E9C1-4356-8D10-428AAB704601}" srcId="{5B298ADB-3C20-406B-B357-27685077495A}" destId="{E7C39018-4136-4BB4-8BC5-DFD98F046E02}" srcOrd="1" destOrd="0" parTransId="{B4C7EA40-C0C1-42EA-B27E-C737DFB51E28}" sibTransId="{803B44B6-D45F-40A3-8AF1-3B76722A89C9}"/>
    <dgm:cxn modelId="{81561FF1-D055-4583-9DEE-DF94D715B882}" type="presOf" srcId="{B6E7320E-78DE-400E-9853-228E65E6716C}" destId="{83C14A0E-F970-4039-8B94-77A1E14408D1}" srcOrd="0" destOrd="1" presId="urn:microsoft.com/office/officeart/2005/8/layout/pyramid1"/>
    <dgm:cxn modelId="{F3B0BEF6-05AD-4537-9334-417A45AAB6C2}" type="presOf" srcId="{CC7CA987-43BA-466C-836A-BE1CBAF00698}" destId="{83C14A0E-F970-4039-8B94-77A1E14408D1}" srcOrd="0" destOrd="2" presId="urn:microsoft.com/office/officeart/2005/8/layout/pyramid1"/>
    <dgm:cxn modelId="{6C13E0FB-1B8A-4A15-86F5-0A43B708442E}" type="presOf" srcId="{476AC194-F503-4149-83B1-3AA2DC08B11F}" destId="{EF3F3B0A-CA3F-4A7D-B75B-80776AC20E0A}" srcOrd="0" destOrd="0" presId="urn:microsoft.com/office/officeart/2005/8/layout/pyramid1"/>
    <dgm:cxn modelId="{8A78F1DD-97CE-450D-B65C-3E3156BDB3D1}" type="presOf" srcId="{E743D20E-062D-4C6E-9F23-E4AD1E34855D}" destId="{DDB0D329-6FA5-4C43-AD6B-AECE708E0965}" srcOrd="0" destOrd="0" presId="urn:microsoft.com/office/officeart/2005/8/layout/pyramid1"/>
    <dgm:cxn modelId="{0B7792B3-461E-4364-9492-BF772FFCDA6E}" type="presParOf" srcId="{D9F94F63-FE6F-44C1-B4D4-90A40AFF4C20}" destId="{AD789B97-2E86-46CD-8F5B-B7D22895EA4A}" srcOrd="0" destOrd="0" presId="urn:microsoft.com/office/officeart/2005/8/layout/pyramid1"/>
    <dgm:cxn modelId="{2597DD6E-FB0E-4450-BFE3-33BFB578A422}" type="presParOf" srcId="{AD789B97-2E86-46CD-8F5B-B7D22895EA4A}" destId="{EF3F3B0A-CA3F-4A7D-B75B-80776AC20E0A}" srcOrd="0" destOrd="0" presId="urn:microsoft.com/office/officeart/2005/8/layout/pyramid1"/>
    <dgm:cxn modelId="{935CD4B1-3339-46B9-BD3E-116E62D7F9F3}" type="presParOf" srcId="{AD789B97-2E86-46CD-8F5B-B7D22895EA4A}" destId="{55836DBE-A1D7-4E9D-8B6E-0A8FE4D24EB9}" srcOrd="1" destOrd="0" presId="urn:microsoft.com/office/officeart/2005/8/layout/pyramid1"/>
    <dgm:cxn modelId="{32688C65-17AA-4776-B5FE-C9B7C18082A2}" type="presParOf" srcId="{AD789B97-2E86-46CD-8F5B-B7D22895EA4A}" destId="{C83A3092-BCE6-482F-8106-D2C058802803}" srcOrd="2" destOrd="0" presId="urn:microsoft.com/office/officeart/2005/8/layout/pyramid1"/>
    <dgm:cxn modelId="{1FC3BB2F-6D14-41DE-BA6C-E36098A3B0B9}" type="presParOf" srcId="{AD789B97-2E86-46CD-8F5B-B7D22895EA4A}" destId="{901B3F0D-5E43-4E55-90C5-121A610B52FF}" srcOrd="3" destOrd="0" presId="urn:microsoft.com/office/officeart/2005/8/layout/pyramid1"/>
    <dgm:cxn modelId="{347FEE10-F50C-459C-8FA9-84EAC6C73E6C}" type="presParOf" srcId="{D9F94F63-FE6F-44C1-B4D4-90A40AFF4C20}" destId="{4A1A7E80-B566-40A5-92C5-76339F789BD8}" srcOrd="1" destOrd="0" presId="urn:microsoft.com/office/officeart/2005/8/layout/pyramid1"/>
    <dgm:cxn modelId="{D3881AA2-5D2D-40EC-B2AB-D875CD76A295}" type="presParOf" srcId="{4A1A7E80-B566-40A5-92C5-76339F789BD8}" destId="{6BD4B9F1-D9BE-4122-82C3-D95A81687525}" srcOrd="0" destOrd="0" presId="urn:microsoft.com/office/officeart/2005/8/layout/pyramid1"/>
    <dgm:cxn modelId="{E0BF7084-FBC7-4E09-80AE-D62B01F195ED}" type="presParOf" srcId="{4A1A7E80-B566-40A5-92C5-76339F789BD8}" destId="{C11BD8AC-0D0D-44E8-A270-CB689EB185D6}" srcOrd="1" destOrd="0" presId="urn:microsoft.com/office/officeart/2005/8/layout/pyramid1"/>
    <dgm:cxn modelId="{CD383403-820D-480C-AFA5-532845CDDEA3}" type="presParOf" srcId="{4A1A7E80-B566-40A5-92C5-76339F789BD8}" destId="{1635EB1D-9A64-4BFC-BA46-FA36EBEE9C25}" srcOrd="2" destOrd="0" presId="urn:microsoft.com/office/officeart/2005/8/layout/pyramid1"/>
    <dgm:cxn modelId="{8436F2EF-9430-47C7-BACF-7D696172BE24}" type="presParOf" srcId="{4A1A7E80-B566-40A5-92C5-76339F789BD8}" destId="{0BDDE68D-1338-4199-8406-45C8F8450849}" srcOrd="3" destOrd="0" presId="urn:microsoft.com/office/officeart/2005/8/layout/pyramid1"/>
    <dgm:cxn modelId="{24B700BE-0945-4CA9-9308-2EF4B086FD65}" type="presParOf" srcId="{D9F94F63-FE6F-44C1-B4D4-90A40AFF4C20}" destId="{54F98107-32A6-4EE5-9B14-DD61A7A5AEC9}" srcOrd="2" destOrd="0" presId="urn:microsoft.com/office/officeart/2005/8/layout/pyramid1"/>
    <dgm:cxn modelId="{46107916-D420-416C-9ACF-669498D639BD}" type="presParOf" srcId="{54F98107-32A6-4EE5-9B14-DD61A7A5AEC9}" destId="{83C14A0E-F970-4039-8B94-77A1E14408D1}" srcOrd="0" destOrd="0" presId="urn:microsoft.com/office/officeart/2005/8/layout/pyramid1"/>
    <dgm:cxn modelId="{8763B048-3B70-4A26-8BA0-AAC12F44DF16}" type="presParOf" srcId="{54F98107-32A6-4EE5-9B14-DD61A7A5AEC9}" destId="{44C1E91D-3113-4167-97D3-7B62F5D8530F}" srcOrd="1" destOrd="0" presId="urn:microsoft.com/office/officeart/2005/8/layout/pyramid1"/>
    <dgm:cxn modelId="{772DD29D-E992-4CB4-877F-FD7F5988427D}" type="presParOf" srcId="{54F98107-32A6-4EE5-9B14-DD61A7A5AEC9}" destId="{DDB0D329-6FA5-4C43-AD6B-AECE708E0965}" srcOrd="2" destOrd="0" presId="urn:microsoft.com/office/officeart/2005/8/layout/pyramid1"/>
    <dgm:cxn modelId="{EE060DE4-1EBD-4E14-A2B2-691E6DD6C7A1}" type="presParOf" srcId="{54F98107-32A6-4EE5-9B14-DD61A7A5AEC9}" destId="{FE411856-68CD-4822-AA8C-70A0D014A50E}" srcOrd="3" destOrd="0" presId="urn:microsoft.com/office/officeart/2005/8/layout/pyramid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3F3B0A-CA3F-4A7D-B75B-80776AC20E0A}">
      <dsp:nvSpPr>
        <dsp:cNvPr id="0" name=""/>
        <dsp:cNvSpPr/>
      </dsp:nvSpPr>
      <dsp:spPr>
        <a:xfrm rot="10800000">
          <a:off x="1948713" y="0"/>
          <a:ext cx="3782796" cy="1146598"/>
        </a:xfrm>
        <a:prstGeom prst="nonIsoscelesTrapezoid">
          <a:avLst>
            <a:gd name="adj1" fmla="val 0"/>
            <a:gd name="adj2" fmla="val 56652"/>
          </a:avLst>
        </a:prstGeom>
        <a:solidFill>
          <a:schemeClr val="accent1">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ctr" defTabSz="533400">
            <a:lnSpc>
              <a:spcPct val="90000"/>
            </a:lnSpc>
            <a:spcBef>
              <a:spcPct val="0"/>
            </a:spcBef>
            <a:spcAft>
              <a:spcPct val="15000"/>
            </a:spcAft>
            <a:buFont typeface="Arial" panose="020B0604020202020204" pitchFamily="34" charset="0"/>
            <a:buNone/>
          </a:pPr>
          <a:r>
            <a:rPr lang="en-US" sz="1200" b="0" i="0" kern="1200" dirty="0"/>
            <a:t>Towards Best Practice guidance for regulators</a:t>
          </a:r>
          <a:endParaRPr lang="en-AU" sz="1200" b="0" i="0" kern="1200" dirty="0"/>
        </a:p>
      </dsp:txBody>
      <dsp:txXfrm rot="10800000">
        <a:off x="2598284" y="0"/>
        <a:ext cx="3133225" cy="1146598"/>
      </dsp:txXfrm>
    </dsp:sp>
    <dsp:sp modelId="{C83A3092-BCE6-482F-8106-D2C058802803}">
      <dsp:nvSpPr>
        <dsp:cNvPr id="0" name=""/>
        <dsp:cNvSpPr/>
      </dsp:nvSpPr>
      <dsp:spPr>
        <a:xfrm>
          <a:off x="1299142" y="0"/>
          <a:ext cx="1299142" cy="1146598"/>
        </a:xfrm>
        <a:prstGeom prst="trapezoid">
          <a:avLst>
            <a:gd name="adj" fmla="val 56652"/>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br>
            <a:rPr lang="en-AU" sz="1200" b="0" kern="1200" dirty="0">
              <a:solidFill>
                <a:sysClr val="windowText" lastClr="000000"/>
              </a:solidFill>
              <a:latin typeface="+mj-lt"/>
            </a:rPr>
          </a:br>
          <a:br>
            <a:rPr lang="en-AU" sz="1200" b="0" kern="1200" dirty="0">
              <a:solidFill>
                <a:sysClr val="windowText" lastClr="000000"/>
              </a:solidFill>
              <a:latin typeface="+mj-lt"/>
            </a:rPr>
          </a:br>
          <a:r>
            <a:rPr lang="en-AU" sz="1200" b="0" kern="1200" dirty="0">
              <a:solidFill>
                <a:sysClr val="windowText" lastClr="000000"/>
              </a:solidFill>
              <a:latin typeface="+mj-lt"/>
            </a:rPr>
            <a:t>Primary </a:t>
          </a:r>
          <a:br>
            <a:rPr lang="en-AU" sz="1200" b="0" kern="1200" dirty="0">
              <a:solidFill>
                <a:sysClr val="windowText" lastClr="000000"/>
              </a:solidFill>
              <a:latin typeface="+mj-lt"/>
            </a:rPr>
          </a:br>
          <a:r>
            <a:rPr lang="en-AU" sz="1200" b="0" kern="1200" dirty="0">
              <a:solidFill>
                <a:sysClr val="windowText" lastClr="000000"/>
              </a:solidFill>
              <a:latin typeface="+mj-lt"/>
            </a:rPr>
            <a:t>Principles</a:t>
          </a:r>
          <a:endParaRPr lang="en-AU" sz="1200" b="0" kern="1200" dirty="0">
            <a:solidFill>
              <a:sysClr val="windowText" lastClr="000000"/>
            </a:solidFill>
          </a:endParaRPr>
        </a:p>
      </dsp:txBody>
      <dsp:txXfrm>
        <a:off x="1299142" y="0"/>
        <a:ext cx="1299142" cy="1146598"/>
      </dsp:txXfrm>
    </dsp:sp>
    <dsp:sp modelId="{6BD4B9F1-D9BE-4122-82C3-D95A81687525}">
      <dsp:nvSpPr>
        <dsp:cNvPr id="0" name=""/>
        <dsp:cNvSpPr/>
      </dsp:nvSpPr>
      <dsp:spPr>
        <a:xfrm rot="10800000">
          <a:off x="2598284" y="1146598"/>
          <a:ext cx="3133225" cy="1146598"/>
        </a:xfrm>
        <a:prstGeom prst="nonIsoscelesTrapezoid">
          <a:avLst>
            <a:gd name="adj1" fmla="val 0"/>
            <a:gd name="adj2" fmla="val 56652"/>
          </a:avLst>
        </a:prstGeom>
        <a:solidFill>
          <a:schemeClr val="accent5">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US" sz="1200" i="0" kern="1200" dirty="0"/>
            <a:t>Supporting Best Practice (Regulator Chairs and Boards)</a:t>
          </a:r>
          <a:endParaRPr lang="en-AU" sz="1200" i="0" kern="1200" dirty="0"/>
        </a:p>
        <a:p>
          <a:pPr marL="114300" lvl="1" indent="-114300" algn="l" defTabSz="533400">
            <a:lnSpc>
              <a:spcPct val="90000"/>
            </a:lnSpc>
            <a:spcBef>
              <a:spcPct val="0"/>
            </a:spcBef>
            <a:spcAft>
              <a:spcPct val="15000"/>
            </a:spcAft>
            <a:buFont typeface="Arial" panose="020B0604020202020204" pitchFamily="34" charset="0"/>
            <a:buChar char="•"/>
          </a:pPr>
          <a:r>
            <a:rPr lang="en-US" sz="1200" i="0" kern="1200" dirty="0"/>
            <a:t>Equipping Best Practice (Departments)</a:t>
          </a:r>
          <a:endParaRPr lang="en-AU" sz="1200" i="0" kern="1200" dirty="0"/>
        </a:p>
      </dsp:txBody>
      <dsp:txXfrm rot="10800000">
        <a:off x="3247855" y="1146598"/>
        <a:ext cx="2483654" cy="1146598"/>
      </dsp:txXfrm>
    </dsp:sp>
    <dsp:sp modelId="{1635EB1D-9A64-4BFC-BA46-FA36EBEE9C25}">
      <dsp:nvSpPr>
        <dsp:cNvPr id="0" name=""/>
        <dsp:cNvSpPr/>
      </dsp:nvSpPr>
      <dsp:spPr>
        <a:xfrm>
          <a:off x="649571" y="1146598"/>
          <a:ext cx="2598284" cy="1146598"/>
        </a:xfrm>
        <a:prstGeom prst="trapezoid">
          <a:avLst>
            <a:gd name="adj" fmla="val 56652"/>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Audience Specific</a:t>
          </a:r>
        </a:p>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Guidance</a:t>
          </a:r>
          <a:endParaRPr lang="en-AU" sz="1200" kern="1200" dirty="0">
            <a:solidFill>
              <a:sysClr val="windowText" lastClr="000000"/>
            </a:solidFill>
          </a:endParaRPr>
        </a:p>
      </dsp:txBody>
      <dsp:txXfrm>
        <a:off x="1104270" y="1146598"/>
        <a:ext cx="1688884" cy="1146598"/>
      </dsp:txXfrm>
    </dsp:sp>
    <dsp:sp modelId="{83C14A0E-F970-4039-8B94-77A1E14408D1}">
      <dsp:nvSpPr>
        <dsp:cNvPr id="0" name=""/>
        <dsp:cNvSpPr/>
      </dsp:nvSpPr>
      <dsp:spPr>
        <a:xfrm rot="10800000">
          <a:off x="3247855" y="2293196"/>
          <a:ext cx="2483654" cy="1146598"/>
        </a:xfrm>
        <a:prstGeom prst="nonIsoscelesTrapezoid">
          <a:avLst>
            <a:gd name="adj1" fmla="val 0"/>
            <a:gd name="adj2" fmla="val 56652"/>
          </a:avLst>
        </a:prstGeom>
        <a:solidFill>
          <a:schemeClr val="accent6">
            <a:lumMod val="20000"/>
            <a:lumOff val="8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Font typeface="Arial" panose="020B0604020202020204" pitchFamily="34" charset="0"/>
            <a:buChar char="•"/>
          </a:pPr>
          <a:r>
            <a:rPr lang="en-AU" sz="1200" b="1" i="1" kern="1200" dirty="0"/>
            <a:t>Handbook</a:t>
          </a:r>
          <a:endParaRPr lang="en-AU" sz="1200" b="1" i="1" kern="1200" dirty="0">
            <a:latin typeface="+mj-lt"/>
          </a:endParaRPr>
        </a:p>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Practice notes</a:t>
          </a:r>
        </a:p>
        <a:p>
          <a:pPr marL="114300" lvl="1" indent="-114300" algn="l" defTabSz="533400">
            <a:lnSpc>
              <a:spcPct val="90000"/>
            </a:lnSpc>
            <a:spcBef>
              <a:spcPct val="0"/>
            </a:spcBef>
            <a:spcAft>
              <a:spcPct val="15000"/>
            </a:spcAft>
            <a:buFont typeface="Arial" panose="020B0604020202020204" pitchFamily="34" charset="0"/>
            <a:buChar char="•"/>
          </a:pPr>
          <a:r>
            <a:rPr lang="en-AU" sz="1200" kern="1200" dirty="0"/>
            <a:t>Explanatory Guide</a:t>
          </a:r>
        </a:p>
      </dsp:txBody>
      <dsp:txXfrm rot="10800000">
        <a:off x="3897426" y="2293196"/>
        <a:ext cx="1834083" cy="1146598"/>
      </dsp:txXfrm>
    </dsp:sp>
    <dsp:sp modelId="{DDB0D329-6FA5-4C43-AD6B-AECE708E0965}">
      <dsp:nvSpPr>
        <dsp:cNvPr id="0" name=""/>
        <dsp:cNvSpPr/>
      </dsp:nvSpPr>
      <dsp:spPr>
        <a:xfrm>
          <a:off x="0" y="2293196"/>
          <a:ext cx="3897426" cy="1146598"/>
        </a:xfrm>
        <a:prstGeom prst="trapezoid">
          <a:avLst>
            <a:gd name="adj" fmla="val 56652"/>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Text" lastClr="000000"/>
              </a:solidFill>
              <a:latin typeface="+mj-lt"/>
            </a:rPr>
            <a:t>Supporting Guidance and Resources</a:t>
          </a:r>
        </a:p>
      </dsp:txBody>
      <dsp:txXfrm>
        <a:off x="682049" y="2293196"/>
        <a:ext cx="2533327" cy="114659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34CDA574-657A-40D6-81F7-BE6A8D1AB156}">
    <t:Anchor>
      <t:Comment id="654043212"/>
    </t:Anchor>
    <t:History>
      <t:Event id="{AB9DB71E-F925-42AB-97FC-50A6BD09C665}" time="2022-11-15T02:25:32.553Z">
        <t:Attribution userId="S::eliot.palmer@betterreg.vic.gov.au::bbaa89cf-5eb9-4b1b-a0db-4e59aca7fb93" userProvider="AD" userName="Eliot Palmer (DTF)"/>
        <t:Anchor>
          <t:Comment id="1064254042"/>
        </t:Anchor>
        <t:Create/>
      </t:Event>
      <t:Event id="{96BEC913-E470-4F02-BD43-312386BBC5D1}" time="2022-11-15T02:25:32.553Z">
        <t:Attribution userId="S::eliot.palmer@betterreg.vic.gov.au::bbaa89cf-5eb9-4b1b-a0db-4e59aca7fb93" userProvider="AD" userName="Eliot Palmer (DTF)"/>
        <t:Anchor>
          <t:Comment id="1064254042"/>
        </t:Anchor>
        <t:Assign userId="S::lucy.farnsworth@betterreg.vic.gov.au::1c731d8f-9f15-4e6a-9586-2af41163bd5f" userProvider="AD" userName="Lucy Farnsworth (DTF)"/>
      </t:Event>
      <t:Event id="{A2438FC3-2933-42B7-AAEA-29B77DF59762}" time="2022-11-15T02:25:32.553Z">
        <t:Attribution userId="S::eliot.palmer@betterreg.vic.gov.au::bbaa89cf-5eb9-4b1b-a0db-4e59aca7fb93" userProvider="AD" userName="Eliot Palmer (DTF)"/>
        <t:Anchor>
          <t:Comment id="1064254042"/>
        </t:Anchor>
        <t:SetTitle title="@Lucy Farnsworth (DTF) can you please do an alignment review for this? I think we fall back to 'your' as it's the frame carried over from chairs guide"/>
      </t:Event>
    </t:History>
  </t:Task>
  <t:Task id="{3678AB89-E54A-4D71-9D93-9162B040BF00}">
    <t:Anchor>
      <t:Comment id="653157308"/>
    </t:Anchor>
    <t:History>
      <t:Event id="{EE67141C-E60B-4F6B-A269-43CFB956C832}" time="2022-11-15T02:50:18.831Z">
        <t:Attribution userId="S::eliot.palmer@betterreg.vic.gov.au::bbaa89cf-5eb9-4b1b-a0db-4e59aca7fb93" userProvider="AD" userName="Eliot Palmer (DTF)"/>
        <t:Anchor>
          <t:Comment id="2094527907"/>
        </t:Anchor>
        <t:Create/>
      </t:Event>
      <t:Event id="{EF034E5B-3370-451E-A4F2-AC706BCB2249}" time="2022-11-15T02:50:18.831Z">
        <t:Attribution userId="S::eliot.palmer@betterreg.vic.gov.au::bbaa89cf-5eb9-4b1b-a0db-4e59aca7fb93" userProvider="AD" userName="Eliot Palmer (DTF)"/>
        <t:Anchor>
          <t:Comment id="2094527907"/>
        </t:Anchor>
        <t:Assign userId="S::lucy.farnsworth@betterreg.vic.gov.au::1c731d8f-9f15-4e6a-9586-2af41163bd5f" userProvider="AD" userName="Lucy Farnsworth (DTF)"/>
      </t:Event>
      <t:Event id="{C96E54D8-FD92-43E3-B169-2847AD862EAF}" time="2022-11-15T02:50:18.831Z">
        <t:Attribution userId="S::eliot.palmer@betterreg.vic.gov.au::bbaa89cf-5eb9-4b1b-a0db-4e59aca7fb93" userProvider="AD" userName="Eliot Palmer (DTF)"/>
        <t:Anchor>
          <t:Comment id="2094527907"/>
        </t:Anchor>
        <t:SetTitle title="I've put in something, points in the direction - @Lucy Farnsworth (DTF) is this clear enough?"/>
      </t:Event>
    </t:History>
  </t:Task>
</t:Tasks>
</file>

<file path=word/theme/theme1.xml><?xml version="1.0" encoding="utf-8"?>
<a:theme xmlns:a="http://schemas.openxmlformats.org/drawingml/2006/main" name="Office Theme">
  <a:themeElements>
    <a:clrScheme name="Better Regulation 3">
      <a:dk1>
        <a:sysClr val="windowText" lastClr="000000"/>
      </a:dk1>
      <a:lt1>
        <a:sysClr val="window" lastClr="FFFFFF"/>
      </a:lt1>
      <a:dk2>
        <a:srgbClr val="1F2A44"/>
      </a:dk2>
      <a:lt2>
        <a:srgbClr val="D2D4DA"/>
      </a:lt2>
      <a:accent1>
        <a:srgbClr val="00B2A9"/>
      </a:accent1>
      <a:accent2>
        <a:srgbClr val="71C5E8"/>
      </a:accent2>
      <a:accent3>
        <a:srgbClr val="87189D"/>
      </a:accent3>
      <a:accent4>
        <a:srgbClr val="78BE20"/>
      </a:accent4>
      <a:accent5>
        <a:srgbClr val="4DC7C4"/>
      </a:accent5>
      <a:accent6>
        <a:srgbClr val="99DFDD"/>
      </a:accent6>
      <a:hlink>
        <a:srgbClr val="00B2A9"/>
      </a:hlink>
      <a:folHlink>
        <a:srgbClr val="71C5E8"/>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15" ma:contentTypeDescription="Create a new document." ma:contentTypeScope="" ma:versionID="559acfdf00c12948a59ce0625431cf59">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efbff5a9cd8fa2b174e30a6d962fe2c7"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51EAC7D-3356-48E8-AE8B-E91F296C6057}">
  <ds:schemaRefs>
    <ds:schemaRef ds:uri="http://schemas.microsoft.com/sharepoint/v3/contenttype/forms"/>
  </ds:schemaRefs>
</ds:datastoreItem>
</file>

<file path=customXml/itemProps2.xml><?xml version="1.0" encoding="utf-8"?>
<ds:datastoreItem xmlns:ds="http://schemas.openxmlformats.org/officeDocument/2006/customXml" ds:itemID="{080A4F04-0BE7-43C1-898C-12BA35921DBA}">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3.xml><?xml version="1.0" encoding="utf-8"?>
<ds:datastoreItem xmlns:ds="http://schemas.openxmlformats.org/officeDocument/2006/customXml" ds:itemID="{0C97D89C-0728-C540-98CF-278E1008C6EC}">
  <ds:schemaRefs>
    <ds:schemaRef ds:uri="http://schemas.openxmlformats.org/officeDocument/2006/bibliography"/>
  </ds:schemaRefs>
</ds:datastoreItem>
</file>

<file path=customXml/itemProps4.xml><?xml version="1.0" encoding="utf-8"?>
<ds:datastoreItem xmlns:ds="http://schemas.openxmlformats.org/officeDocument/2006/customXml" ds:itemID="{F8A00DF0-7513-4205-8671-60DEECF89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2373-2CA1-4212-BF47-02B8ADF05DA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BRV report.dotx</Template>
  <TotalTime>1</TotalTime>
  <Pages>35</Pages>
  <Words>8761</Words>
  <Characters>49938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58582</CharactersWithSpaces>
  <SharedDoc>false</SharedDoc>
  <HLinks>
    <vt:vector size="72" baseType="variant">
      <vt:variant>
        <vt:i4>7471158</vt:i4>
      </vt:variant>
      <vt:variant>
        <vt:i4>33</vt:i4>
      </vt:variant>
      <vt:variant>
        <vt:i4>0</vt:i4>
      </vt:variant>
      <vt:variant>
        <vt:i4>5</vt:i4>
      </vt:variant>
      <vt:variant>
        <vt:lpwstr>https://apo.org.au/node/121546</vt:lpwstr>
      </vt:variant>
      <vt:variant>
        <vt:lpwstr/>
      </vt:variant>
      <vt:variant>
        <vt:i4>7667757</vt:i4>
      </vt:variant>
      <vt:variant>
        <vt:i4>30</vt:i4>
      </vt:variant>
      <vt:variant>
        <vt:i4>0</vt:i4>
      </vt:variant>
      <vt:variant>
        <vt:i4>5</vt:i4>
      </vt:variant>
      <vt:variant>
        <vt:lpwstr>https://www.vmia.vic.gov.au/tools-and-insights/risk-maturity-benchmark</vt:lpwstr>
      </vt:variant>
      <vt:variant>
        <vt:lpwstr>:~:text=Risk%20Maturity%20Benchmark%20will%20help,are%20working%20for%20your%20agency</vt:lpwstr>
      </vt:variant>
      <vt:variant>
        <vt:i4>5111824</vt:i4>
      </vt:variant>
      <vt:variant>
        <vt:i4>27</vt:i4>
      </vt:variant>
      <vt:variant>
        <vt:i4>0</vt:i4>
      </vt:variant>
      <vt:variant>
        <vt:i4>5</vt:i4>
      </vt:variant>
      <vt:variant>
        <vt:lpwstr>https://www.vic.gov.au/sites/default/files/2019-06/Smart-regulation-Grappling-with-risk-Guidance-Note.pdf</vt:lpwstr>
      </vt:variant>
      <vt:variant>
        <vt:lpwstr/>
      </vt:variant>
      <vt:variant>
        <vt:i4>786515</vt:i4>
      </vt:variant>
      <vt:variant>
        <vt:i4>24</vt:i4>
      </vt:variant>
      <vt:variant>
        <vt:i4>0</vt:i4>
      </vt:variant>
      <vt:variant>
        <vt:i4>5</vt:i4>
      </vt:variant>
      <vt:variant>
        <vt:lpwstr>https://press-files.anu.edu.au/downloads/press/n2304/pdf/ch13.pdf</vt:lpwstr>
      </vt:variant>
      <vt:variant>
        <vt:lpwstr/>
      </vt:variant>
      <vt:variant>
        <vt:i4>1245275</vt:i4>
      </vt:variant>
      <vt:variant>
        <vt:i4>21</vt:i4>
      </vt:variant>
      <vt:variant>
        <vt:i4>0</vt:i4>
      </vt:variant>
      <vt:variant>
        <vt:i4>5</vt:i4>
      </vt:variant>
      <vt:variant>
        <vt:lpwstr>https://press.anu.edu.au/publications/regulatory-theory</vt:lpwstr>
      </vt:variant>
      <vt:variant>
        <vt:lpwstr>pdf</vt:lpwstr>
      </vt:variant>
      <vt:variant>
        <vt:i4>5243004</vt:i4>
      </vt:variant>
      <vt:variant>
        <vt:i4>18</vt:i4>
      </vt:variant>
      <vt:variant>
        <vt:i4>0</vt:i4>
      </vt:variant>
      <vt:variant>
        <vt:i4>5</vt:i4>
      </vt:variant>
      <vt:variant>
        <vt:lpwstr>https://www.oecd.org/regreform/regulatory-policy/1_coglianese web.pdf</vt:lpwstr>
      </vt:variant>
      <vt:variant>
        <vt:lpwstr/>
      </vt:variant>
      <vt:variant>
        <vt:i4>5701721</vt:i4>
      </vt:variant>
      <vt:variant>
        <vt:i4>15</vt:i4>
      </vt:variant>
      <vt:variant>
        <vt:i4>0</vt:i4>
      </vt:variant>
      <vt:variant>
        <vt:i4>5</vt:i4>
      </vt:variant>
      <vt:variant>
        <vt:lpwstr>https://onlinelibrary.wiley.com/doi/epdf/10.1111/j.1468-2230.2008.00681.x</vt:lpwstr>
      </vt:variant>
      <vt:variant>
        <vt:lpwstr/>
      </vt: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Hutchison (DTF)</dc:creator>
  <cp:keywords/>
  <dc:description/>
  <cp:lastModifiedBy>Lucy Farnsworth (DTF)</cp:lastModifiedBy>
  <cp:revision>3</cp:revision>
  <cp:lastPrinted>2023-03-21T23:29:00Z</cp:lastPrinted>
  <dcterms:created xsi:type="dcterms:W3CDTF">2023-03-21T23:28:00Z</dcterms:created>
  <dcterms:modified xsi:type="dcterms:W3CDTF">2023-03-21T23:29:00Z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MediaServiceImageTags">
    <vt:lpwstr/>
  </property>
  <property fmtid="{D5CDD505-2E9C-101B-9397-08002B2CF9AE}" pid="4" name="MSIP_Label_bb4ee517-5ca4-4fff-98d2-ed4f906edd6d_Enabled">
    <vt:lpwstr>true</vt:lpwstr>
  </property>
  <property fmtid="{D5CDD505-2E9C-101B-9397-08002B2CF9AE}" pid="5" name="MSIP_Label_bb4ee517-5ca4-4fff-98d2-ed4f906edd6d_SetDate">
    <vt:lpwstr>2022-12-12T00:40:01Z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a011472e-a1e3-4773-b474-c1858bfd3fa4</vt:lpwstr>
  </property>
  <property fmtid="{D5CDD505-2E9C-101B-9397-08002B2CF9AE}" pid="10" name="MSIP_Label_bb4ee517-5ca4-4fff-98d2-ed4f906edd6d_ContentBits">
    <vt:lpwstr>0</vt:lpwstr>
  </property>
  <property fmtid="{D5CDD505-2E9C-101B-9397-08002B2CF9AE}" pid="11" name="Status">
    <vt:lpwstr>Unallocated</vt:lpwstr>
  </property>
</Properties>
</file>