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9AEC" w14:textId="68346D59" w:rsidR="00D36C05" w:rsidRPr="00DE25C4" w:rsidRDefault="00D36C05" w:rsidP="00DE25C4">
      <w:pPr>
        <w:pStyle w:val="Subtitle"/>
      </w:pPr>
      <w:r w:rsidRPr="00DE25C4">
        <w:t>VICTORIAN RACING INTEGRITY BOARD</w:t>
      </w:r>
    </w:p>
    <w:p w14:paraId="296A9935" w14:textId="427EED5B" w:rsidR="005F65BC" w:rsidRPr="00DE25C4" w:rsidRDefault="005F65BC" w:rsidP="00DE25C4">
      <w:pPr>
        <w:pStyle w:val="Title"/>
      </w:pPr>
      <w:r w:rsidRPr="00DE25C4">
        <w:t xml:space="preserve">2021-2022 </w:t>
      </w:r>
    </w:p>
    <w:p w14:paraId="689C744D" w14:textId="20522312" w:rsidR="00D36C05" w:rsidRPr="00980CE7" w:rsidRDefault="005F65BC" w:rsidP="00980CE7">
      <w:pPr>
        <w:pStyle w:val="Title"/>
        <w:spacing w:after="480"/>
      </w:pPr>
      <w:r w:rsidRPr="00DE25C4">
        <w:t xml:space="preserve">ANNUAL REPORT </w:t>
      </w:r>
    </w:p>
    <w:p w14:paraId="0C857674" w14:textId="5E1325D8" w:rsidR="005F65BC" w:rsidRPr="00DE25C4" w:rsidRDefault="005F65BC" w:rsidP="00DE25C4">
      <w:pPr>
        <w:spacing w:after="60"/>
      </w:pPr>
      <w:r w:rsidRPr="00DE25C4">
        <w:t xml:space="preserve">Authorised by the </w:t>
      </w:r>
    </w:p>
    <w:p w14:paraId="54065B56" w14:textId="1F9FB2E7" w:rsidR="005F65BC" w:rsidRPr="00DE25C4" w:rsidRDefault="005F65BC" w:rsidP="00DE25C4">
      <w:pPr>
        <w:spacing w:after="60"/>
      </w:pPr>
      <w:r w:rsidRPr="00DE25C4">
        <w:t xml:space="preserve">VICTORIAN RACING INTEGRITY BOARD </w:t>
      </w:r>
    </w:p>
    <w:p w14:paraId="12EACEEE" w14:textId="77777777" w:rsidR="005F65BC" w:rsidRPr="00DE25C4" w:rsidRDefault="005F65BC" w:rsidP="00DE25C4">
      <w:pPr>
        <w:spacing w:after="60"/>
      </w:pPr>
      <w:r w:rsidRPr="00DE25C4">
        <w:t xml:space="preserve">Level 16, 121 Exhibition Street </w:t>
      </w:r>
    </w:p>
    <w:p w14:paraId="55114E63" w14:textId="77777777" w:rsidR="005F65BC" w:rsidRPr="00DE25C4" w:rsidRDefault="005F65BC" w:rsidP="00DE25C4">
      <w:pPr>
        <w:spacing w:after="60"/>
      </w:pPr>
      <w:r w:rsidRPr="00DE25C4">
        <w:t xml:space="preserve">Melbourne Victoria 3000 </w:t>
      </w:r>
    </w:p>
    <w:p w14:paraId="52D687B7" w14:textId="5C327C10" w:rsidR="005F65BC" w:rsidRPr="00DE25C4" w:rsidRDefault="005F65BC" w:rsidP="00DE25C4">
      <w:r w:rsidRPr="00DE25C4">
        <w:t xml:space="preserve">GPO Box 4509 Melbourne Victoria 3001 </w:t>
      </w:r>
    </w:p>
    <w:p w14:paraId="0B2156DE" w14:textId="77777777" w:rsidR="005F65BC" w:rsidRPr="00DE25C4" w:rsidRDefault="005F65BC" w:rsidP="00DE25C4">
      <w:pPr>
        <w:spacing w:after="60"/>
      </w:pPr>
      <w:r w:rsidRPr="00DE25C4">
        <w:t xml:space="preserve">Phone +61 3 9668 2412 </w:t>
      </w:r>
    </w:p>
    <w:p w14:paraId="190E3EE5" w14:textId="04A03742" w:rsidR="005F65BC" w:rsidRPr="00DE25C4" w:rsidRDefault="005F65BC" w:rsidP="00DE25C4">
      <w:pPr>
        <w:spacing w:after="60"/>
      </w:pPr>
      <w:r w:rsidRPr="00DE25C4">
        <w:t xml:space="preserve">Email </w:t>
      </w:r>
      <w:hyperlink r:id="rId6" w:history="1">
        <w:r w:rsidR="00DE25C4" w:rsidRPr="007755BB">
          <w:rPr>
            <w:rStyle w:val="Hyperlink"/>
            <w:rFonts w:cs="Arial"/>
          </w:rPr>
          <w:t>enquiries@vrib.vic.gov.au</w:t>
        </w:r>
      </w:hyperlink>
    </w:p>
    <w:p w14:paraId="68011134" w14:textId="03467174" w:rsidR="005F65BC" w:rsidRPr="00DE25C4" w:rsidRDefault="005F65BC" w:rsidP="00DE25C4">
      <w:r w:rsidRPr="00DE25C4">
        <w:t xml:space="preserve">Website </w:t>
      </w:r>
      <w:hyperlink r:id="rId7" w:tooltip="Link to website" w:history="1">
        <w:r w:rsidRPr="00DE25C4">
          <w:rPr>
            <w:rStyle w:val="Hyperlink"/>
            <w:rFonts w:cs="Arial"/>
          </w:rPr>
          <w:t>djpr.vic.gov.au/</w:t>
        </w:r>
        <w:proofErr w:type="spellStart"/>
        <w:r w:rsidRPr="00DE25C4">
          <w:rPr>
            <w:rStyle w:val="Hyperlink"/>
            <w:rFonts w:cs="Arial"/>
          </w:rPr>
          <w:t>victorian</w:t>
        </w:r>
        <w:proofErr w:type="spellEnd"/>
        <w:r w:rsidRPr="00DE25C4">
          <w:rPr>
            <w:rStyle w:val="Hyperlink"/>
            <w:rFonts w:cs="Arial"/>
          </w:rPr>
          <w:t>-racing-integrity-board</w:t>
        </w:r>
      </w:hyperlink>
      <w:r w:rsidRPr="00DE25C4">
        <w:t xml:space="preserve"> </w:t>
      </w:r>
    </w:p>
    <w:p w14:paraId="7FC024AE" w14:textId="405235E5" w:rsidR="005F65BC" w:rsidRPr="00DE25C4" w:rsidRDefault="005F65BC" w:rsidP="00DE25C4">
      <w:r w:rsidRPr="00DE25C4">
        <w:t xml:space="preserve">© State of Victoria 2022 (Victorian Racing Integrity Board) </w:t>
      </w:r>
    </w:p>
    <w:p w14:paraId="14E82C17" w14:textId="101018F0" w:rsidR="005F65BC" w:rsidRPr="00DE25C4" w:rsidRDefault="005F65BC" w:rsidP="00DE25C4">
      <w:r w:rsidRPr="00DE25C4">
        <w:t xml:space="preserve">You are free to </w:t>
      </w:r>
      <w:proofErr w:type="spellStart"/>
      <w:r w:rsidRPr="00DE25C4">
        <w:t>re use</w:t>
      </w:r>
      <w:proofErr w:type="spellEnd"/>
      <w:r w:rsidRPr="00DE25C4">
        <w:t xml:space="preserve"> this work under a Creative Commons Attribution 4.0 licence,</w:t>
      </w:r>
      <w:r w:rsidR="00DE25C4">
        <w:t xml:space="preserve"> </w:t>
      </w:r>
      <w:r w:rsidRPr="00DE25C4">
        <w:t xml:space="preserve">provided you credit the State of Victoria (Victorian Racing Integrity Board) as author, indicate if changes were made and comply with the other licence terms. The licence does not apply to any branding, including Government logos. </w:t>
      </w:r>
    </w:p>
    <w:p w14:paraId="7D94FB5E" w14:textId="43443B71" w:rsidR="005F65BC" w:rsidRPr="00980CE7" w:rsidRDefault="005F65BC" w:rsidP="00980CE7">
      <w:r w:rsidRPr="00DE25C4">
        <w:t xml:space="preserve">Designed and typeset by Clear Design Studio </w:t>
      </w:r>
    </w:p>
    <w:p w14:paraId="08706CC8" w14:textId="407B3353" w:rsidR="005F65BC" w:rsidRPr="00DE25C4" w:rsidRDefault="005F65BC" w:rsidP="00980CE7">
      <w:pPr>
        <w:pageBreakBefore/>
        <w:spacing w:after="380"/>
        <w:rPr>
          <w:b/>
          <w:bCs/>
          <w:sz w:val="36"/>
          <w:szCs w:val="36"/>
        </w:rPr>
      </w:pPr>
      <w:r w:rsidRPr="00DE25C4">
        <w:rPr>
          <w:b/>
          <w:bCs/>
          <w:sz w:val="36"/>
          <w:szCs w:val="36"/>
        </w:rPr>
        <w:lastRenderedPageBreak/>
        <w:t xml:space="preserve">LETTER OF TRANSMITTAL </w:t>
      </w:r>
    </w:p>
    <w:p w14:paraId="06120FE3" w14:textId="516CDC3B" w:rsidR="005F65BC" w:rsidRPr="00DE25C4" w:rsidRDefault="005F65BC" w:rsidP="00DE25C4">
      <w:r w:rsidRPr="00DE25C4">
        <w:t xml:space="preserve">To The Hon Anthony Carbines MP, Minister for Racing </w:t>
      </w:r>
    </w:p>
    <w:p w14:paraId="5BEE99DE" w14:textId="1EC6AE34" w:rsidR="005F65BC" w:rsidRPr="00DE25C4" w:rsidRDefault="005F65BC" w:rsidP="00DE25C4">
      <w:r w:rsidRPr="00DE25C4">
        <w:t xml:space="preserve">I am pleased to provide you with the annual report of the Victorian Racing Integrity Board for the year ending 30 June 2022, for tabling in Parliament. </w:t>
      </w:r>
    </w:p>
    <w:p w14:paraId="1DC44C4F" w14:textId="1C68E3C8" w:rsidR="005F65BC" w:rsidRPr="00DE25C4" w:rsidRDefault="005F65BC" w:rsidP="00DE25C4">
      <w:r w:rsidRPr="00DE25C4">
        <w:t>As required by section 95T of the Racing Act 1958 (Vic), the report describes the board</w:t>
      </w:r>
      <w:r w:rsidR="00DE25C4">
        <w:t>’</w:t>
      </w:r>
      <w:r w:rsidRPr="00DE25C4">
        <w:t xml:space="preserve">s activities in the past year, including the performance of its statutory functions and engagement with the Victorian racing industry. </w:t>
      </w:r>
    </w:p>
    <w:p w14:paraId="0D0EC10F" w14:textId="101940F3" w:rsidR="005F65BC" w:rsidRPr="00DE25C4" w:rsidRDefault="005F65BC" w:rsidP="00DE25C4">
      <w:r w:rsidRPr="00DE25C4">
        <w:t>I hope that this report will help to inform the Parliament, controlling bodies, thoroughbred, harness and greyhound racing industry participants, and the wider Victorian community about the board</w:t>
      </w:r>
      <w:r w:rsidR="00DE25C4">
        <w:t>’</w:t>
      </w:r>
      <w:r w:rsidRPr="00DE25C4">
        <w:t>s racing integrity oversight and advisory roles under the Act.</w:t>
      </w:r>
    </w:p>
    <w:p w14:paraId="4DCD4F8D" w14:textId="33DD6519" w:rsidR="005F65BC" w:rsidRPr="00DE25C4" w:rsidRDefault="005F65BC" w:rsidP="00DE25C4">
      <w:pPr>
        <w:spacing w:after="0"/>
        <w:rPr>
          <w:b/>
          <w:bCs/>
        </w:rPr>
      </w:pPr>
      <w:r w:rsidRPr="00DE25C4">
        <w:rPr>
          <w:b/>
          <w:bCs/>
        </w:rPr>
        <w:t xml:space="preserve">The Hon Justice Jack Forrest </w:t>
      </w:r>
    </w:p>
    <w:p w14:paraId="5871AFA2" w14:textId="77777777" w:rsidR="005F65BC" w:rsidRPr="00DE25C4" w:rsidRDefault="005F65BC" w:rsidP="00DE25C4">
      <w:r w:rsidRPr="00DE25C4">
        <w:t xml:space="preserve">Chair </w:t>
      </w:r>
    </w:p>
    <w:p w14:paraId="1C6BCAC5" w14:textId="77777777" w:rsidR="005F65BC" w:rsidRPr="00DE25C4" w:rsidRDefault="005F65BC" w:rsidP="00DE25C4">
      <w:r w:rsidRPr="00DE25C4">
        <w:t xml:space="preserve">23 September 2022 </w:t>
      </w:r>
    </w:p>
    <w:p w14:paraId="61A434F1" w14:textId="77777777" w:rsidR="005F65BC" w:rsidRPr="00980CE7" w:rsidRDefault="005F65BC" w:rsidP="00980CE7">
      <w:pPr>
        <w:pStyle w:val="TOCHeading"/>
      </w:pPr>
      <w:r w:rsidRPr="00980CE7">
        <w:t xml:space="preserve">CONTENTS </w:t>
      </w:r>
    </w:p>
    <w:p w14:paraId="7A7BB364" w14:textId="4CAA1176" w:rsidR="00980CE7" w:rsidRDefault="00980CE7">
      <w:pPr>
        <w:pStyle w:val="TOC1"/>
        <w:rPr>
          <w:rFonts w:asciiTheme="minorHAnsi" w:eastAsiaTheme="minorEastAsia" w:hAnsiTheme="minorHAnsi" w:cstheme="minorBidi"/>
          <w:b w:val="0"/>
          <w:bCs w:val="0"/>
          <w:caps w:val="0"/>
          <w:sz w:val="24"/>
          <w:szCs w:val="24"/>
          <w:lang w:val="en-AU"/>
        </w:rPr>
      </w:pPr>
      <w:r>
        <w:rPr>
          <w:rFonts w:asciiTheme="minorHAnsi" w:hAnsiTheme="minorHAnsi" w:cstheme="minorHAnsi"/>
        </w:rPr>
        <w:fldChar w:fldCharType="begin"/>
      </w:r>
      <w:r>
        <w:rPr>
          <w:rFonts w:asciiTheme="minorHAnsi" w:hAnsiTheme="minorHAnsi" w:cstheme="minorHAnsi"/>
        </w:rPr>
        <w:instrText xml:space="preserve"> TOC \o "1-2" \h \z \u </w:instrText>
      </w:r>
      <w:r>
        <w:rPr>
          <w:rFonts w:asciiTheme="minorHAnsi" w:hAnsiTheme="minorHAnsi" w:cstheme="minorHAnsi"/>
        </w:rPr>
        <w:fldChar w:fldCharType="separate"/>
      </w:r>
      <w:hyperlink w:anchor="_Toc130411453" w:history="1">
        <w:r w:rsidRPr="00A63EA3">
          <w:rPr>
            <w:rStyle w:val="Hyperlink"/>
          </w:rPr>
          <w:t>CHAIR’S FOREWORD</w:t>
        </w:r>
        <w:r>
          <w:rPr>
            <w:webHidden/>
          </w:rPr>
          <w:tab/>
        </w:r>
        <w:r>
          <w:rPr>
            <w:webHidden/>
          </w:rPr>
          <w:fldChar w:fldCharType="begin"/>
        </w:r>
        <w:r>
          <w:rPr>
            <w:webHidden/>
          </w:rPr>
          <w:instrText xml:space="preserve"> PAGEREF _Toc130411453 \h </w:instrText>
        </w:r>
        <w:r>
          <w:rPr>
            <w:webHidden/>
          </w:rPr>
        </w:r>
        <w:r>
          <w:rPr>
            <w:webHidden/>
          </w:rPr>
          <w:fldChar w:fldCharType="separate"/>
        </w:r>
        <w:r>
          <w:rPr>
            <w:webHidden/>
          </w:rPr>
          <w:t>3</w:t>
        </w:r>
        <w:r>
          <w:rPr>
            <w:webHidden/>
          </w:rPr>
          <w:fldChar w:fldCharType="end"/>
        </w:r>
      </w:hyperlink>
    </w:p>
    <w:p w14:paraId="769E0F11" w14:textId="6CA910BE" w:rsidR="00980CE7" w:rsidRDefault="00980CE7">
      <w:pPr>
        <w:pStyle w:val="TOC2"/>
        <w:rPr>
          <w:rFonts w:asciiTheme="minorHAnsi" w:eastAsiaTheme="minorEastAsia" w:hAnsiTheme="minorHAnsi" w:cstheme="minorBidi"/>
          <w:noProof/>
          <w:sz w:val="24"/>
          <w:szCs w:val="24"/>
        </w:rPr>
      </w:pPr>
      <w:hyperlink w:anchor="_Toc130411454" w:history="1">
        <w:r w:rsidRPr="00A63EA3">
          <w:rPr>
            <w:rStyle w:val="Hyperlink"/>
            <w:noProof/>
          </w:rPr>
          <w:t>Mandatory oversight of racing integrity</w:t>
        </w:r>
        <w:r>
          <w:rPr>
            <w:noProof/>
            <w:webHidden/>
          </w:rPr>
          <w:tab/>
        </w:r>
        <w:r>
          <w:rPr>
            <w:noProof/>
            <w:webHidden/>
          </w:rPr>
          <w:fldChar w:fldCharType="begin"/>
        </w:r>
        <w:r>
          <w:rPr>
            <w:noProof/>
            <w:webHidden/>
          </w:rPr>
          <w:instrText xml:space="preserve"> PAGEREF _Toc130411454 \h </w:instrText>
        </w:r>
        <w:r>
          <w:rPr>
            <w:noProof/>
            <w:webHidden/>
          </w:rPr>
        </w:r>
        <w:r>
          <w:rPr>
            <w:noProof/>
            <w:webHidden/>
          </w:rPr>
          <w:fldChar w:fldCharType="separate"/>
        </w:r>
        <w:r>
          <w:rPr>
            <w:noProof/>
            <w:webHidden/>
          </w:rPr>
          <w:t>3</w:t>
        </w:r>
        <w:r>
          <w:rPr>
            <w:noProof/>
            <w:webHidden/>
          </w:rPr>
          <w:fldChar w:fldCharType="end"/>
        </w:r>
      </w:hyperlink>
    </w:p>
    <w:p w14:paraId="28B4F63D" w14:textId="305142EC" w:rsidR="00980CE7" w:rsidRDefault="00980CE7">
      <w:pPr>
        <w:pStyle w:val="TOC2"/>
        <w:rPr>
          <w:rFonts w:asciiTheme="minorHAnsi" w:eastAsiaTheme="minorEastAsia" w:hAnsiTheme="minorHAnsi" w:cstheme="minorBidi"/>
          <w:noProof/>
          <w:sz w:val="24"/>
          <w:szCs w:val="24"/>
        </w:rPr>
      </w:pPr>
      <w:hyperlink w:anchor="_Toc130411455" w:history="1">
        <w:r w:rsidRPr="00A63EA3">
          <w:rPr>
            <w:rStyle w:val="Hyperlink"/>
            <w:noProof/>
          </w:rPr>
          <w:t>Discretionary oversight</w:t>
        </w:r>
        <w:r>
          <w:rPr>
            <w:noProof/>
            <w:webHidden/>
          </w:rPr>
          <w:tab/>
        </w:r>
        <w:r>
          <w:rPr>
            <w:noProof/>
            <w:webHidden/>
          </w:rPr>
          <w:fldChar w:fldCharType="begin"/>
        </w:r>
        <w:r>
          <w:rPr>
            <w:noProof/>
            <w:webHidden/>
          </w:rPr>
          <w:instrText xml:space="preserve"> PAGEREF _Toc130411455 \h </w:instrText>
        </w:r>
        <w:r>
          <w:rPr>
            <w:noProof/>
            <w:webHidden/>
          </w:rPr>
        </w:r>
        <w:r>
          <w:rPr>
            <w:noProof/>
            <w:webHidden/>
          </w:rPr>
          <w:fldChar w:fldCharType="separate"/>
        </w:r>
        <w:r>
          <w:rPr>
            <w:noProof/>
            <w:webHidden/>
          </w:rPr>
          <w:t>3</w:t>
        </w:r>
        <w:r>
          <w:rPr>
            <w:noProof/>
            <w:webHidden/>
          </w:rPr>
          <w:fldChar w:fldCharType="end"/>
        </w:r>
      </w:hyperlink>
    </w:p>
    <w:p w14:paraId="41574DC3" w14:textId="4E355323" w:rsidR="00980CE7" w:rsidRDefault="00980CE7">
      <w:pPr>
        <w:pStyle w:val="TOC2"/>
        <w:rPr>
          <w:rFonts w:asciiTheme="minorHAnsi" w:eastAsiaTheme="minorEastAsia" w:hAnsiTheme="minorHAnsi" w:cstheme="minorBidi"/>
          <w:noProof/>
          <w:sz w:val="24"/>
          <w:szCs w:val="24"/>
        </w:rPr>
      </w:pPr>
      <w:hyperlink w:anchor="_Toc130411456" w:history="1">
        <w:r w:rsidRPr="00A63EA3">
          <w:rPr>
            <w:rStyle w:val="Hyperlink"/>
            <w:noProof/>
          </w:rPr>
          <w:t>Farewell to board members</w:t>
        </w:r>
        <w:r>
          <w:rPr>
            <w:noProof/>
            <w:webHidden/>
          </w:rPr>
          <w:tab/>
        </w:r>
        <w:r>
          <w:rPr>
            <w:noProof/>
            <w:webHidden/>
          </w:rPr>
          <w:fldChar w:fldCharType="begin"/>
        </w:r>
        <w:r>
          <w:rPr>
            <w:noProof/>
            <w:webHidden/>
          </w:rPr>
          <w:instrText xml:space="preserve"> PAGEREF _Toc130411456 \h </w:instrText>
        </w:r>
        <w:r>
          <w:rPr>
            <w:noProof/>
            <w:webHidden/>
          </w:rPr>
        </w:r>
        <w:r>
          <w:rPr>
            <w:noProof/>
            <w:webHidden/>
          </w:rPr>
          <w:fldChar w:fldCharType="separate"/>
        </w:r>
        <w:r>
          <w:rPr>
            <w:noProof/>
            <w:webHidden/>
          </w:rPr>
          <w:t>3</w:t>
        </w:r>
        <w:r>
          <w:rPr>
            <w:noProof/>
            <w:webHidden/>
          </w:rPr>
          <w:fldChar w:fldCharType="end"/>
        </w:r>
      </w:hyperlink>
    </w:p>
    <w:p w14:paraId="4D4F163E" w14:textId="527B66FE" w:rsidR="00980CE7" w:rsidRDefault="00980CE7">
      <w:pPr>
        <w:pStyle w:val="TOC1"/>
        <w:rPr>
          <w:rFonts w:asciiTheme="minorHAnsi" w:eastAsiaTheme="minorEastAsia" w:hAnsiTheme="minorHAnsi" w:cstheme="minorBidi"/>
          <w:b w:val="0"/>
          <w:bCs w:val="0"/>
          <w:caps w:val="0"/>
          <w:sz w:val="24"/>
          <w:szCs w:val="24"/>
          <w:lang w:val="en-AU"/>
        </w:rPr>
      </w:pPr>
      <w:hyperlink w:anchor="_Toc130411457" w:history="1">
        <w:r w:rsidRPr="00A63EA3">
          <w:rPr>
            <w:rStyle w:val="Hyperlink"/>
          </w:rPr>
          <w:t>EXECUTIVE OFFICER’S FOREWORD</w:t>
        </w:r>
        <w:r>
          <w:rPr>
            <w:webHidden/>
          </w:rPr>
          <w:tab/>
        </w:r>
        <w:r>
          <w:rPr>
            <w:webHidden/>
          </w:rPr>
          <w:fldChar w:fldCharType="begin"/>
        </w:r>
        <w:r>
          <w:rPr>
            <w:webHidden/>
          </w:rPr>
          <w:instrText xml:space="preserve"> PAGEREF _Toc130411457 \h </w:instrText>
        </w:r>
        <w:r>
          <w:rPr>
            <w:webHidden/>
          </w:rPr>
        </w:r>
        <w:r>
          <w:rPr>
            <w:webHidden/>
          </w:rPr>
          <w:fldChar w:fldCharType="separate"/>
        </w:r>
        <w:r>
          <w:rPr>
            <w:webHidden/>
          </w:rPr>
          <w:t>5</w:t>
        </w:r>
        <w:r>
          <w:rPr>
            <w:webHidden/>
          </w:rPr>
          <w:fldChar w:fldCharType="end"/>
        </w:r>
      </w:hyperlink>
    </w:p>
    <w:p w14:paraId="6E1531A5" w14:textId="01F3486B" w:rsidR="00980CE7" w:rsidRDefault="00980CE7">
      <w:pPr>
        <w:pStyle w:val="TOC1"/>
        <w:rPr>
          <w:rFonts w:asciiTheme="minorHAnsi" w:eastAsiaTheme="minorEastAsia" w:hAnsiTheme="minorHAnsi" w:cstheme="minorBidi"/>
          <w:b w:val="0"/>
          <w:bCs w:val="0"/>
          <w:caps w:val="0"/>
          <w:sz w:val="24"/>
          <w:szCs w:val="24"/>
          <w:lang w:val="en-AU"/>
        </w:rPr>
      </w:pPr>
      <w:hyperlink w:anchor="_Toc130411458" w:history="1">
        <w:r w:rsidRPr="00A63EA3">
          <w:rPr>
            <w:rStyle w:val="Hyperlink"/>
          </w:rPr>
          <w:t>YEAR AT A GLANCE</w:t>
        </w:r>
        <w:r>
          <w:rPr>
            <w:webHidden/>
          </w:rPr>
          <w:tab/>
        </w:r>
        <w:r>
          <w:rPr>
            <w:webHidden/>
          </w:rPr>
          <w:fldChar w:fldCharType="begin"/>
        </w:r>
        <w:r>
          <w:rPr>
            <w:webHidden/>
          </w:rPr>
          <w:instrText xml:space="preserve"> PAGEREF _Toc130411458 \h </w:instrText>
        </w:r>
        <w:r>
          <w:rPr>
            <w:webHidden/>
          </w:rPr>
        </w:r>
        <w:r>
          <w:rPr>
            <w:webHidden/>
          </w:rPr>
          <w:fldChar w:fldCharType="separate"/>
        </w:r>
        <w:r>
          <w:rPr>
            <w:webHidden/>
          </w:rPr>
          <w:t>6</w:t>
        </w:r>
        <w:r>
          <w:rPr>
            <w:webHidden/>
          </w:rPr>
          <w:fldChar w:fldCharType="end"/>
        </w:r>
      </w:hyperlink>
    </w:p>
    <w:p w14:paraId="3E1E8113" w14:textId="1572B270" w:rsidR="00980CE7" w:rsidRDefault="00980CE7">
      <w:pPr>
        <w:pStyle w:val="TOC2"/>
        <w:rPr>
          <w:rFonts w:asciiTheme="minorHAnsi" w:eastAsiaTheme="minorEastAsia" w:hAnsiTheme="minorHAnsi" w:cstheme="minorBidi"/>
          <w:noProof/>
          <w:sz w:val="24"/>
          <w:szCs w:val="24"/>
        </w:rPr>
      </w:pPr>
      <w:hyperlink w:anchor="_Toc130411459" w:history="1">
        <w:r w:rsidRPr="00A63EA3">
          <w:rPr>
            <w:rStyle w:val="Hyperlink"/>
            <w:noProof/>
          </w:rPr>
          <w:t>2021</w:t>
        </w:r>
        <w:r>
          <w:rPr>
            <w:noProof/>
            <w:webHidden/>
          </w:rPr>
          <w:tab/>
        </w:r>
        <w:r>
          <w:rPr>
            <w:noProof/>
            <w:webHidden/>
          </w:rPr>
          <w:fldChar w:fldCharType="begin"/>
        </w:r>
        <w:r>
          <w:rPr>
            <w:noProof/>
            <w:webHidden/>
          </w:rPr>
          <w:instrText xml:space="preserve"> PAGEREF _Toc130411459 \h </w:instrText>
        </w:r>
        <w:r>
          <w:rPr>
            <w:noProof/>
            <w:webHidden/>
          </w:rPr>
        </w:r>
        <w:r>
          <w:rPr>
            <w:noProof/>
            <w:webHidden/>
          </w:rPr>
          <w:fldChar w:fldCharType="separate"/>
        </w:r>
        <w:r>
          <w:rPr>
            <w:noProof/>
            <w:webHidden/>
          </w:rPr>
          <w:t>6</w:t>
        </w:r>
        <w:r>
          <w:rPr>
            <w:noProof/>
            <w:webHidden/>
          </w:rPr>
          <w:fldChar w:fldCharType="end"/>
        </w:r>
      </w:hyperlink>
    </w:p>
    <w:p w14:paraId="334A92BD" w14:textId="2B57C083" w:rsidR="00980CE7" w:rsidRDefault="00980CE7">
      <w:pPr>
        <w:pStyle w:val="TOC2"/>
        <w:rPr>
          <w:rFonts w:asciiTheme="minorHAnsi" w:eastAsiaTheme="minorEastAsia" w:hAnsiTheme="minorHAnsi" w:cstheme="minorBidi"/>
          <w:noProof/>
          <w:sz w:val="24"/>
          <w:szCs w:val="24"/>
        </w:rPr>
      </w:pPr>
      <w:hyperlink w:anchor="_Toc130411460" w:history="1">
        <w:r w:rsidRPr="00A63EA3">
          <w:rPr>
            <w:rStyle w:val="Hyperlink"/>
            <w:noProof/>
          </w:rPr>
          <w:t>2022</w:t>
        </w:r>
        <w:r>
          <w:rPr>
            <w:noProof/>
            <w:webHidden/>
          </w:rPr>
          <w:tab/>
        </w:r>
        <w:r>
          <w:rPr>
            <w:noProof/>
            <w:webHidden/>
          </w:rPr>
          <w:fldChar w:fldCharType="begin"/>
        </w:r>
        <w:r>
          <w:rPr>
            <w:noProof/>
            <w:webHidden/>
          </w:rPr>
          <w:instrText xml:space="preserve"> PAGEREF _Toc130411460 \h </w:instrText>
        </w:r>
        <w:r>
          <w:rPr>
            <w:noProof/>
            <w:webHidden/>
          </w:rPr>
        </w:r>
        <w:r>
          <w:rPr>
            <w:noProof/>
            <w:webHidden/>
          </w:rPr>
          <w:fldChar w:fldCharType="separate"/>
        </w:r>
        <w:r>
          <w:rPr>
            <w:noProof/>
            <w:webHidden/>
          </w:rPr>
          <w:t>6</w:t>
        </w:r>
        <w:r>
          <w:rPr>
            <w:noProof/>
            <w:webHidden/>
          </w:rPr>
          <w:fldChar w:fldCharType="end"/>
        </w:r>
      </w:hyperlink>
    </w:p>
    <w:p w14:paraId="4EEC3886" w14:textId="576D4CAB" w:rsidR="00980CE7" w:rsidRDefault="00980CE7">
      <w:pPr>
        <w:pStyle w:val="TOC1"/>
        <w:rPr>
          <w:rFonts w:asciiTheme="minorHAnsi" w:eastAsiaTheme="minorEastAsia" w:hAnsiTheme="minorHAnsi" w:cstheme="minorBidi"/>
          <w:b w:val="0"/>
          <w:bCs w:val="0"/>
          <w:caps w:val="0"/>
          <w:sz w:val="24"/>
          <w:szCs w:val="24"/>
          <w:lang w:val="en-AU"/>
        </w:rPr>
      </w:pPr>
      <w:hyperlink w:anchor="_Toc130411461" w:history="1">
        <w:r w:rsidRPr="00A63EA3">
          <w:rPr>
            <w:rStyle w:val="Hyperlink"/>
          </w:rPr>
          <w:t>1. WHO WE ARE</w:t>
        </w:r>
        <w:r>
          <w:rPr>
            <w:webHidden/>
          </w:rPr>
          <w:tab/>
        </w:r>
        <w:r>
          <w:rPr>
            <w:webHidden/>
          </w:rPr>
          <w:fldChar w:fldCharType="begin"/>
        </w:r>
        <w:r>
          <w:rPr>
            <w:webHidden/>
          </w:rPr>
          <w:instrText xml:space="preserve"> PAGEREF _Toc130411461 \h </w:instrText>
        </w:r>
        <w:r>
          <w:rPr>
            <w:webHidden/>
          </w:rPr>
        </w:r>
        <w:r>
          <w:rPr>
            <w:webHidden/>
          </w:rPr>
          <w:fldChar w:fldCharType="separate"/>
        </w:r>
        <w:r>
          <w:rPr>
            <w:webHidden/>
          </w:rPr>
          <w:t>7</w:t>
        </w:r>
        <w:r>
          <w:rPr>
            <w:webHidden/>
          </w:rPr>
          <w:fldChar w:fldCharType="end"/>
        </w:r>
      </w:hyperlink>
    </w:p>
    <w:p w14:paraId="57413AAE" w14:textId="39D47B9B" w:rsidR="00980CE7" w:rsidRDefault="00980CE7">
      <w:pPr>
        <w:pStyle w:val="TOC2"/>
        <w:rPr>
          <w:rFonts w:asciiTheme="minorHAnsi" w:eastAsiaTheme="minorEastAsia" w:hAnsiTheme="minorHAnsi" w:cstheme="minorBidi"/>
          <w:noProof/>
          <w:sz w:val="24"/>
          <w:szCs w:val="24"/>
        </w:rPr>
      </w:pPr>
      <w:hyperlink w:anchor="_Toc130411462" w:history="1">
        <w:r w:rsidRPr="00A63EA3">
          <w:rPr>
            <w:rStyle w:val="Hyperlink"/>
            <w:noProof/>
          </w:rPr>
          <w:t>BOARD MEMBERS</w:t>
        </w:r>
        <w:r>
          <w:rPr>
            <w:noProof/>
            <w:webHidden/>
          </w:rPr>
          <w:tab/>
        </w:r>
        <w:r>
          <w:rPr>
            <w:noProof/>
            <w:webHidden/>
          </w:rPr>
          <w:fldChar w:fldCharType="begin"/>
        </w:r>
        <w:r>
          <w:rPr>
            <w:noProof/>
            <w:webHidden/>
          </w:rPr>
          <w:instrText xml:space="preserve"> PAGEREF _Toc130411462 \h </w:instrText>
        </w:r>
        <w:r>
          <w:rPr>
            <w:noProof/>
            <w:webHidden/>
          </w:rPr>
        </w:r>
        <w:r>
          <w:rPr>
            <w:noProof/>
            <w:webHidden/>
          </w:rPr>
          <w:fldChar w:fldCharType="separate"/>
        </w:r>
        <w:r>
          <w:rPr>
            <w:noProof/>
            <w:webHidden/>
          </w:rPr>
          <w:t>7</w:t>
        </w:r>
        <w:r>
          <w:rPr>
            <w:noProof/>
            <w:webHidden/>
          </w:rPr>
          <w:fldChar w:fldCharType="end"/>
        </w:r>
      </w:hyperlink>
    </w:p>
    <w:p w14:paraId="7C75026B" w14:textId="5DE05971" w:rsidR="00980CE7" w:rsidRDefault="00980CE7">
      <w:pPr>
        <w:pStyle w:val="TOC2"/>
        <w:rPr>
          <w:rFonts w:asciiTheme="minorHAnsi" w:eastAsiaTheme="minorEastAsia" w:hAnsiTheme="minorHAnsi" w:cstheme="minorBidi"/>
          <w:noProof/>
          <w:sz w:val="24"/>
          <w:szCs w:val="24"/>
        </w:rPr>
      </w:pPr>
      <w:hyperlink w:anchor="_Toc130411463" w:history="1">
        <w:r w:rsidRPr="00A63EA3">
          <w:rPr>
            <w:rStyle w:val="Hyperlink"/>
            <w:noProof/>
          </w:rPr>
          <w:t>VISION, PURPOSE &amp; APPROACH</w:t>
        </w:r>
        <w:r>
          <w:rPr>
            <w:noProof/>
            <w:webHidden/>
          </w:rPr>
          <w:tab/>
        </w:r>
        <w:r>
          <w:rPr>
            <w:noProof/>
            <w:webHidden/>
          </w:rPr>
          <w:fldChar w:fldCharType="begin"/>
        </w:r>
        <w:r>
          <w:rPr>
            <w:noProof/>
            <w:webHidden/>
          </w:rPr>
          <w:instrText xml:space="preserve"> PAGEREF _Toc130411463 \h </w:instrText>
        </w:r>
        <w:r>
          <w:rPr>
            <w:noProof/>
            <w:webHidden/>
          </w:rPr>
        </w:r>
        <w:r>
          <w:rPr>
            <w:noProof/>
            <w:webHidden/>
          </w:rPr>
          <w:fldChar w:fldCharType="separate"/>
        </w:r>
        <w:r>
          <w:rPr>
            <w:noProof/>
            <w:webHidden/>
          </w:rPr>
          <w:t>9</w:t>
        </w:r>
        <w:r>
          <w:rPr>
            <w:noProof/>
            <w:webHidden/>
          </w:rPr>
          <w:fldChar w:fldCharType="end"/>
        </w:r>
      </w:hyperlink>
    </w:p>
    <w:p w14:paraId="2FEAC193" w14:textId="1F493CF7" w:rsidR="00980CE7" w:rsidRDefault="00980CE7">
      <w:pPr>
        <w:pStyle w:val="TOC2"/>
        <w:rPr>
          <w:rFonts w:asciiTheme="minorHAnsi" w:eastAsiaTheme="minorEastAsia" w:hAnsiTheme="minorHAnsi" w:cstheme="minorBidi"/>
          <w:noProof/>
          <w:sz w:val="24"/>
          <w:szCs w:val="24"/>
        </w:rPr>
      </w:pPr>
      <w:hyperlink w:anchor="_Toc130411464" w:history="1">
        <w:r w:rsidRPr="00A63EA3">
          <w:rPr>
            <w:rStyle w:val="Hyperlink"/>
            <w:noProof/>
          </w:rPr>
          <w:t>WHAT WE DO</w:t>
        </w:r>
        <w:r>
          <w:rPr>
            <w:noProof/>
            <w:webHidden/>
          </w:rPr>
          <w:tab/>
        </w:r>
        <w:r>
          <w:rPr>
            <w:noProof/>
            <w:webHidden/>
          </w:rPr>
          <w:fldChar w:fldCharType="begin"/>
        </w:r>
        <w:r>
          <w:rPr>
            <w:noProof/>
            <w:webHidden/>
          </w:rPr>
          <w:instrText xml:space="preserve"> PAGEREF _Toc130411464 \h </w:instrText>
        </w:r>
        <w:r>
          <w:rPr>
            <w:noProof/>
            <w:webHidden/>
          </w:rPr>
        </w:r>
        <w:r>
          <w:rPr>
            <w:noProof/>
            <w:webHidden/>
          </w:rPr>
          <w:fldChar w:fldCharType="separate"/>
        </w:r>
        <w:r>
          <w:rPr>
            <w:noProof/>
            <w:webHidden/>
          </w:rPr>
          <w:t>9</w:t>
        </w:r>
        <w:r>
          <w:rPr>
            <w:noProof/>
            <w:webHidden/>
          </w:rPr>
          <w:fldChar w:fldCharType="end"/>
        </w:r>
      </w:hyperlink>
    </w:p>
    <w:p w14:paraId="5C11043C" w14:textId="4844B570" w:rsidR="00980CE7" w:rsidRDefault="00980CE7">
      <w:pPr>
        <w:pStyle w:val="TOC1"/>
        <w:rPr>
          <w:rFonts w:asciiTheme="minorHAnsi" w:eastAsiaTheme="minorEastAsia" w:hAnsiTheme="minorHAnsi" w:cstheme="minorBidi"/>
          <w:b w:val="0"/>
          <w:bCs w:val="0"/>
          <w:caps w:val="0"/>
          <w:sz w:val="24"/>
          <w:szCs w:val="24"/>
          <w:lang w:val="en-AU"/>
        </w:rPr>
      </w:pPr>
      <w:hyperlink w:anchor="_Toc130411465" w:history="1">
        <w:r w:rsidRPr="00A63EA3">
          <w:rPr>
            <w:rStyle w:val="Hyperlink"/>
          </w:rPr>
          <w:t>2. YEAR IN REVIEW</w:t>
        </w:r>
        <w:r>
          <w:rPr>
            <w:webHidden/>
          </w:rPr>
          <w:tab/>
        </w:r>
        <w:r>
          <w:rPr>
            <w:webHidden/>
          </w:rPr>
          <w:fldChar w:fldCharType="begin"/>
        </w:r>
        <w:r>
          <w:rPr>
            <w:webHidden/>
          </w:rPr>
          <w:instrText xml:space="preserve"> PAGEREF _Toc130411465 \h </w:instrText>
        </w:r>
        <w:r>
          <w:rPr>
            <w:webHidden/>
          </w:rPr>
        </w:r>
        <w:r>
          <w:rPr>
            <w:webHidden/>
          </w:rPr>
          <w:fldChar w:fldCharType="separate"/>
        </w:r>
        <w:r>
          <w:rPr>
            <w:webHidden/>
          </w:rPr>
          <w:t>11</w:t>
        </w:r>
        <w:r>
          <w:rPr>
            <w:webHidden/>
          </w:rPr>
          <w:fldChar w:fldCharType="end"/>
        </w:r>
      </w:hyperlink>
    </w:p>
    <w:p w14:paraId="13DC57DA" w14:textId="5F754D57" w:rsidR="00980CE7" w:rsidRDefault="00980CE7">
      <w:pPr>
        <w:pStyle w:val="TOC2"/>
        <w:rPr>
          <w:rFonts w:asciiTheme="minorHAnsi" w:eastAsiaTheme="minorEastAsia" w:hAnsiTheme="minorHAnsi" w:cstheme="minorBidi"/>
          <w:noProof/>
          <w:sz w:val="24"/>
          <w:szCs w:val="24"/>
        </w:rPr>
      </w:pPr>
      <w:hyperlink w:anchor="_Toc130411466" w:history="1">
        <w:r w:rsidRPr="00A63EA3">
          <w:rPr>
            <w:rStyle w:val="Hyperlink"/>
            <w:noProof/>
          </w:rPr>
          <w:t>OVERVIEW OF FUNCTIONS &amp; POWERS</w:t>
        </w:r>
        <w:r>
          <w:rPr>
            <w:noProof/>
            <w:webHidden/>
          </w:rPr>
          <w:tab/>
        </w:r>
        <w:r>
          <w:rPr>
            <w:noProof/>
            <w:webHidden/>
          </w:rPr>
          <w:fldChar w:fldCharType="begin"/>
        </w:r>
        <w:r>
          <w:rPr>
            <w:noProof/>
            <w:webHidden/>
          </w:rPr>
          <w:instrText xml:space="preserve"> PAGEREF _Toc130411466 \h </w:instrText>
        </w:r>
        <w:r>
          <w:rPr>
            <w:noProof/>
            <w:webHidden/>
          </w:rPr>
        </w:r>
        <w:r>
          <w:rPr>
            <w:noProof/>
            <w:webHidden/>
          </w:rPr>
          <w:fldChar w:fldCharType="separate"/>
        </w:r>
        <w:r>
          <w:rPr>
            <w:noProof/>
            <w:webHidden/>
          </w:rPr>
          <w:t>11</w:t>
        </w:r>
        <w:r>
          <w:rPr>
            <w:noProof/>
            <w:webHidden/>
          </w:rPr>
          <w:fldChar w:fldCharType="end"/>
        </w:r>
      </w:hyperlink>
    </w:p>
    <w:p w14:paraId="072308CF" w14:textId="4D7CD851" w:rsidR="00980CE7" w:rsidRDefault="00980CE7">
      <w:pPr>
        <w:pStyle w:val="TOC2"/>
        <w:rPr>
          <w:rFonts w:asciiTheme="minorHAnsi" w:eastAsiaTheme="minorEastAsia" w:hAnsiTheme="minorHAnsi" w:cstheme="minorBidi"/>
          <w:noProof/>
          <w:sz w:val="24"/>
          <w:szCs w:val="24"/>
        </w:rPr>
      </w:pPr>
      <w:hyperlink w:anchor="_Toc130411467" w:history="1">
        <w:r w:rsidRPr="00A63EA3">
          <w:rPr>
            <w:rStyle w:val="Hyperlink"/>
            <w:noProof/>
          </w:rPr>
          <w:t>ANNUAL INTEGRITY PLANS &amp; BUDGETS</w:t>
        </w:r>
        <w:r>
          <w:rPr>
            <w:noProof/>
            <w:webHidden/>
          </w:rPr>
          <w:tab/>
        </w:r>
        <w:r>
          <w:rPr>
            <w:noProof/>
            <w:webHidden/>
          </w:rPr>
          <w:fldChar w:fldCharType="begin"/>
        </w:r>
        <w:r>
          <w:rPr>
            <w:noProof/>
            <w:webHidden/>
          </w:rPr>
          <w:instrText xml:space="preserve"> PAGEREF _Toc130411467 \h </w:instrText>
        </w:r>
        <w:r>
          <w:rPr>
            <w:noProof/>
            <w:webHidden/>
          </w:rPr>
        </w:r>
        <w:r>
          <w:rPr>
            <w:noProof/>
            <w:webHidden/>
          </w:rPr>
          <w:fldChar w:fldCharType="separate"/>
        </w:r>
        <w:r>
          <w:rPr>
            <w:noProof/>
            <w:webHidden/>
          </w:rPr>
          <w:t>13</w:t>
        </w:r>
        <w:r>
          <w:rPr>
            <w:noProof/>
            <w:webHidden/>
          </w:rPr>
          <w:fldChar w:fldCharType="end"/>
        </w:r>
      </w:hyperlink>
    </w:p>
    <w:p w14:paraId="6615B308" w14:textId="51C973CC" w:rsidR="00980CE7" w:rsidRDefault="00980CE7">
      <w:pPr>
        <w:pStyle w:val="TOC2"/>
        <w:rPr>
          <w:rFonts w:asciiTheme="minorHAnsi" w:eastAsiaTheme="minorEastAsia" w:hAnsiTheme="minorHAnsi" w:cstheme="minorBidi"/>
          <w:noProof/>
          <w:sz w:val="24"/>
          <w:szCs w:val="24"/>
        </w:rPr>
      </w:pPr>
      <w:hyperlink w:anchor="_Toc130411468" w:history="1">
        <w:r w:rsidRPr="00A63EA3">
          <w:rPr>
            <w:rStyle w:val="Hyperlink"/>
            <w:noProof/>
          </w:rPr>
          <w:t>ADVICE ABOUT INTEGRITY &amp; LICENSING POLICY</w:t>
        </w:r>
        <w:r>
          <w:rPr>
            <w:noProof/>
            <w:webHidden/>
          </w:rPr>
          <w:tab/>
        </w:r>
        <w:r>
          <w:rPr>
            <w:noProof/>
            <w:webHidden/>
          </w:rPr>
          <w:fldChar w:fldCharType="begin"/>
        </w:r>
        <w:r>
          <w:rPr>
            <w:noProof/>
            <w:webHidden/>
          </w:rPr>
          <w:instrText xml:space="preserve"> PAGEREF _Toc130411468 \h </w:instrText>
        </w:r>
        <w:r>
          <w:rPr>
            <w:noProof/>
            <w:webHidden/>
          </w:rPr>
        </w:r>
        <w:r>
          <w:rPr>
            <w:noProof/>
            <w:webHidden/>
          </w:rPr>
          <w:fldChar w:fldCharType="separate"/>
        </w:r>
        <w:r>
          <w:rPr>
            <w:noProof/>
            <w:webHidden/>
          </w:rPr>
          <w:t>14</w:t>
        </w:r>
        <w:r>
          <w:rPr>
            <w:noProof/>
            <w:webHidden/>
          </w:rPr>
          <w:fldChar w:fldCharType="end"/>
        </w:r>
      </w:hyperlink>
    </w:p>
    <w:p w14:paraId="69821ED5" w14:textId="2D8BDC2E" w:rsidR="00980CE7" w:rsidRDefault="00980CE7">
      <w:pPr>
        <w:pStyle w:val="TOC2"/>
        <w:rPr>
          <w:rFonts w:asciiTheme="minorHAnsi" w:eastAsiaTheme="minorEastAsia" w:hAnsiTheme="minorHAnsi" w:cstheme="minorBidi"/>
          <w:noProof/>
          <w:sz w:val="24"/>
          <w:szCs w:val="24"/>
        </w:rPr>
      </w:pPr>
      <w:hyperlink w:anchor="_Toc130411469" w:history="1">
        <w:r w:rsidRPr="00A63EA3">
          <w:rPr>
            <w:rStyle w:val="Hyperlink"/>
            <w:noProof/>
          </w:rPr>
          <w:t>REVIEW OF PROPOSED AMENDED &amp; NEW RULES OF RACING</w:t>
        </w:r>
        <w:r>
          <w:rPr>
            <w:noProof/>
            <w:webHidden/>
          </w:rPr>
          <w:tab/>
        </w:r>
        <w:r>
          <w:rPr>
            <w:noProof/>
            <w:webHidden/>
          </w:rPr>
          <w:fldChar w:fldCharType="begin"/>
        </w:r>
        <w:r>
          <w:rPr>
            <w:noProof/>
            <w:webHidden/>
          </w:rPr>
          <w:instrText xml:space="preserve"> PAGEREF _Toc130411469 \h </w:instrText>
        </w:r>
        <w:r>
          <w:rPr>
            <w:noProof/>
            <w:webHidden/>
          </w:rPr>
        </w:r>
        <w:r>
          <w:rPr>
            <w:noProof/>
            <w:webHidden/>
          </w:rPr>
          <w:fldChar w:fldCharType="separate"/>
        </w:r>
        <w:r>
          <w:rPr>
            <w:noProof/>
            <w:webHidden/>
          </w:rPr>
          <w:t>14</w:t>
        </w:r>
        <w:r>
          <w:rPr>
            <w:noProof/>
            <w:webHidden/>
          </w:rPr>
          <w:fldChar w:fldCharType="end"/>
        </w:r>
      </w:hyperlink>
    </w:p>
    <w:p w14:paraId="3FE5C4EB" w14:textId="03AA43D8" w:rsidR="00980CE7" w:rsidRDefault="00980CE7">
      <w:pPr>
        <w:pStyle w:val="TOC2"/>
        <w:rPr>
          <w:rFonts w:asciiTheme="minorHAnsi" w:eastAsiaTheme="minorEastAsia" w:hAnsiTheme="minorHAnsi" w:cstheme="minorBidi"/>
          <w:noProof/>
          <w:sz w:val="24"/>
          <w:szCs w:val="24"/>
        </w:rPr>
      </w:pPr>
      <w:hyperlink w:anchor="_Toc130411470" w:history="1">
        <w:r w:rsidRPr="00A63EA3">
          <w:rPr>
            <w:rStyle w:val="Hyperlink"/>
            <w:noProof/>
          </w:rPr>
          <w:t>COMPLAINTS ABOUT INTEGRITY ISSUES WITHIN CONTROLLING BODIES</w:t>
        </w:r>
        <w:r>
          <w:rPr>
            <w:noProof/>
            <w:webHidden/>
          </w:rPr>
          <w:tab/>
        </w:r>
        <w:r>
          <w:rPr>
            <w:noProof/>
            <w:webHidden/>
          </w:rPr>
          <w:fldChar w:fldCharType="begin"/>
        </w:r>
        <w:r>
          <w:rPr>
            <w:noProof/>
            <w:webHidden/>
          </w:rPr>
          <w:instrText xml:space="preserve"> PAGEREF _Toc130411470 \h </w:instrText>
        </w:r>
        <w:r>
          <w:rPr>
            <w:noProof/>
            <w:webHidden/>
          </w:rPr>
        </w:r>
        <w:r>
          <w:rPr>
            <w:noProof/>
            <w:webHidden/>
          </w:rPr>
          <w:fldChar w:fldCharType="separate"/>
        </w:r>
        <w:r>
          <w:rPr>
            <w:noProof/>
            <w:webHidden/>
          </w:rPr>
          <w:t>15</w:t>
        </w:r>
        <w:r>
          <w:rPr>
            <w:noProof/>
            <w:webHidden/>
          </w:rPr>
          <w:fldChar w:fldCharType="end"/>
        </w:r>
      </w:hyperlink>
    </w:p>
    <w:p w14:paraId="6CC048A8" w14:textId="3C21FEC0" w:rsidR="00980CE7" w:rsidRDefault="00980CE7">
      <w:pPr>
        <w:pStyle w:val="TOC2"/>
        <w:rPr>
          <w:rFonts w:asciiTheme="minorHAnsi" w:eastAsiaTheme="minorEastAsia" w:hAnsiTheme="minorHAnsi" w:cstheme="minorBidi"/>
          <w:noProof/>
          <w:sz w:val="24"/>
          <w:szCs w:val="24"/>
        </w:rPr>
      </w:pPr>
      <w:hyperlink w:anchor="_Toc130411471" w:history="1">
        <w:r w:rsidRPr="00A63EA3">
          <w:rPr>
            <w:rStyle w:val="Hyperlink"/>
            <w:noProof/>
          </w:rPr>
          <w:t>CONSIDERATION OF DISCIPLINARY ACTION PROPOSED BY A CONTROLLING BODY</w:t>
        </w:r>
        <w:r>
          <w:rPr>
            <w:noProof/>
            <w:webHidden/>
          </w:rPr>
          <w:tab/>
        </w:r>
        <w:r>
          <w:rPr>
            <w:noProof/>
            <w:webHidden/>
          </w:rPr>
          <w:fldChar w:fldCharType="begin"/>
        </w:r>
        <w:r>
          <w:rPr>
            <w:noProof/>
            <w:webHidden/>
          </w:rPr>
          <w:instrText xml:space="preserve"> PAGEREF _Toc130411471 \h </w:instrText>
        </w:r>
        <w:r>
          <w:rPr>
            <w:noProof/>
            <w:webHidden/>
          </w:rPr>
        </w:r>
        <w:r>
          <w:rPr>
            <w:noProof/>
            <w:webHidden/>
          </w:rPr>
          <w:fldChar w:fldCharType="separate"/>
        </w:r>
        <w:r>
          <w:rPr>
            <w:noProof/>
            <w:webHidden/>
          </w:rPr>
          <w:t>16</w:t>
        </w:r>
        <w:r>
          <w:rPr>
            <w:noProof/>
            <w:webHidden/>
          </w:rPr>
          <w:fldChar w:fldCharType="end"/>
        </w:r>
      </w:hyperlink>
    </w:p>
    <w:p w14:paraId="27B03458" w14:textId="77D08680" w:rsidR="00980CE7" w:rsidRDefault="00980CE7">
      <w:pPr>
        <w:pStyle w:val="TOC2"/>
        <w:rPr>
          <w:rFonts w:asciiTheme="minorHAnsi" w:eastAsiaTheme="minorEastAsia" w:hAnsiTheme="minorHAnsi" w:cstheme="minorBidi"/>
          <w:noProof/>
          <w:sz w:val="24"/>
          <w:szCs w:val="24"/>
        </w:rPr>
      </w:pPr>
      <w:hyperlink w:anchor="_Toc130411472" w:history="1">
        <w:r w:rsidRPr="00A63EA3">
          <w:rPr>
            <w:rStyle w:val="Hyperlink"/>
            <w:noProof/>
          </w:rPr>
          <w:t>RELATIONSHIPS</w:t>
        </w:r>
        <w:r>
          <w:rPr>
            <w:noProof/>
            <w:webHidden/>
          </w:rPr>
          <w:tab/>
        </w:r>
        <w:r>
          <w:rPr>
            <w:noProof/>
            <w:webHidden/>
          </w:rPr>
          <w:fldChar w:fldCharType="begin"/>
        </w:r>
        <w:r>
          <w:rPr>
            <w:noProof/>
            <w:webHidden/>
          </w:rPr>
          <w:instrText xml:space="preserve"> PAGEREF _Toc130411472 \h </w:instrText>
        </w:r>
        <w:r>
          <w:rPr>
            <w:noProof/>
            <w:webHidden/>
          </w:rPr>
        </w:r>
        <w:r>
          <w:rPr>
            <w:noProof/>
            <w:webHidden/>
          </w:rPr>
          <w:fldChar w:fldCharType="separate"/>
        </w:r>
        <w:r>
          <w:rPr>
            <w:noProof/>
            <w:webHidden/>
          </w:rPr>
          <w:t>16</w:t>
        </w:r>
        <w:r>
          <w:rPr>
            <w:noProof/>
            <w:webHidden/>
          </w:rPr>
          <w:fldChar w:fldCharType="end"/>
        </w:r>
      </w:hyperlink>
    </w:p>
    <w:p w14:paraId="2DD4C93F" w14:textId="393A5AD5" w:rsidR="00980CE7" w:rsidRDefault="00980CE7">
      <w:pPr>
        <w:pStyle w:val="TOC2"/>
        <w:rPr>
          <w:rFonts w:asciiTheme="minorHAnsi" w:eastAsiaTheme="minorEastAsia" w:hAnsiTheme="minorHAnsi" w:cstheme="minorBidi"/>
          <w:noProof/>
          <w:sz w:val="24"/>
          <w:szCs w:val="24"/>
        </w:rPr>
      </w:pPr>
      <w:hyperlink w:anchor="_Toc130411473" w:history="1">
        <w:r w:rsidRPr="00A63EA3">
          <w:rPr>
            <w:rStyle w:val="Hyperlink"/>
            <w:noProof/>
          </w:rPr>
          <w:t>INTEGRITY INITIATIVES</w:t>
        </w:r>
        <w:r>
          <w:rPr>
            <w:noProof/>
            <w:webHidden/>
          </w:rPr>
          <w:tab/>
        </w:r>
        <w:r>
          <w:rPr>
            <w:noProof/>
            <w:webHidden/>
          </w:rPr>
          <w:fldChar w:fldCharType="begin"/>
        </w:r>
        <w:r>
          <w:rPr>
            <w:noProof/>
            <w:webHidden/>
          </w:rPr>
          <w:instrText xml:space="preserve"> PAGEREF _Toc130411473 \h </w:instrText>
        </w:r>
        <w:r>
          <w:rPr>
            <w:noProof/>
            <w:webHidden/>
          </w:rPr>
        </w:r>
        <w:r>
          <w:rPr>
            <w:noProof/>
            <w:webHidden/>
          </w:rPr>
          <w:fldChar w:fldCharType="separate"/>
        </w:r>
        <w:r>
          <w:rPr>
            <w:noProof/>
            <w:webHidden/>
          </w:rPr>
          <w:t>17</w:t>
        </w:r>
        <w:r>
          <w:rPr>
            <w:noProof/>
            <w:webHidden/>
          </w:rPr>
          <w:fldChar w:fldCharType="end"/>
        </w:r>
      </w:hyperlink>
    </w:p>
    <w:p w14:paraId="57392EFB" w14:textId="47CE1D0B" w:rsidR="00980CE7" w:rsidRDefault="00980CE7">
      <w:pPr>
        <w:pStyle w:val="TOC1"/>
        <w:rPr>
          <w:rFonts w:asciiTheme="minorHAnsi" w:eastAsiaTheme="minorEastAsia" w:hAnsiTheme="minorHAnsi" w:cstheme="minorBidi"/>
          <w:b w:val="0"/>
          <w:bCs w:val="0"/>
          <w:caps w:val="0"/>
          <w:sz w:val="24"/>
          <w:szCs w:val="24"/>
          <w:lang w:val="en-AU"/>
        </w:rPr>
      </w:pPr>
      <w:hyperlink w:anchor="_Toc130411474" w:history="1">
        <w:r w:rsidRPr="00A63EA3">
          <w:rPr>
            <w:rStyle w:val="Hyperlink"/>
          </w:rPr>
          <w:t>3. GOVERNANCE</w:t>
        </w:r>
        <w:r>
          <w:rPr>
            <w:webHidden/>
          </w:rPr>
          <w:tab/>
        </w:r>
        <w:r>
          <w:rPr>
            <w:webHidden/>
          </w:rPr>
          <w:fldChar w:fldCharType="begin"/>
        </w:r>
        <w:r>
          <w:rPr>
            <w:webHidden/>
          </w:rPr>
          <w:instrText xml:space="preserve"> PAGEREF _Toc130411474 \h </w:instrText>
        </w:r>
        <w:r>
          <w:rPr>
            <w:webHidden/>
          </w:rPr>
        </w:r>
        <w:r>
          <w:rPr>
            <w:webHidden/>
          </w:rPr>
          <w:fldChar w:fldCharType="separate"/>
        </w:r>
        <w:r>
          <w:rPr>
            <w:webHidden/>
          </w:rPr>
          <w:t>19</w:t>
        </w:r>
        <w:r>
          <w:rPr>
            <w:webHidden/>
          </w:rPr>
          <w:fldChar w:fldCharType="end"/>
        </w:r>
      </w:hyperlink>
    </w:p>
    <w:p w14:paraId="47CC3CC2" w14:textId="45692CD6" w:rsidR="00980CE7" w:rsidRDefault="00980CE7">
      <w:pPr>
        <w:pStyle w:val="TOC2"/>
        <w:rPr>
          <w:rFonts w:asciiTheme="minorHAnsi" w:eastAsiaTheme="minorEastAsia" w:hAnsiTheme="minorHAnsi" w:cstheme="minorBidi"/>
          <w:noProof/>
          <w:sz w:val="24"/>
          <w:szCs w:val="24"/>
        </w:rPr>
      </w:pPr>
      <w:hyperlink w:anchor="_Toc130411475" w:history="1">
        <w:r w:rsidRPr="00A63EA3">
          <w:rPr>
            <w:rStyle w:val="Hyperlink"/>
            <w:noProof/>
          </w:rPr>
          <w:t>CORPORATE REPORTING</w:t>
        </w:r>
        <w:r>
          <w:rPr>
            <w:noProof/>
            <w:webHidden/>
          </w:rPr>
          <w:tab/>
        </w:r>
        <w:r>
          <w:rPr>
            <w:noProof/>
            <w:webHidden/>
          </w:rPr>
          <w:fldChar w:fldCharType="begin"/>
        </w:r>
        <w:r>
          <w:rPr>
            <w:noProof/>
            <w:webHidden/>
          </w:rPr>
          <w:instrText xml:space="preserve"> PAGEREF _Toc130411475 \h </w:instrText>
        </w:r>
        <w:r>
          <w:rPr>
            <w:noProof/>
            <w:webHidden/>
          </w:rPr>
        </w:r>
        <w:r>
          <w:rPr>
            <w:noProof/>
            <w:webHidden/>
          </w:rPr>
          <w:fldChar w:fldCharType="separate"/>
        </w:r>
        <w:r>
          <w:rPr>
            <w:noProof/>
            <w:webHidden/>
          </w:rPr>
          <w:t>19</w:t>
        </w:r>
        <w:r>
          <w:rPr>
            <w:noProof/>
            <w:webHidden/>
          </w:rPr>
          <w:fldChar w:fldCharType="end"/>
        </w:r>
      </w:hyperlink>
    </w:p>
    <w:p w14:paraId="60BFC9B8" w14:textId="2424515D" w:rsidR="005F65BC" w:rsidRPr="00DE25C4" w:rsidRDefault="00980CE7" w:rsidP="00980CE7">
      <w:pPr>
        <w:pStyle w:val="PlainText"/>
        <w:spacing w:after="0"/>
        <w:rPr>
          <w:rFonts w:asciiTheme="minorHAnsi" w:hAnsiTheme="minorHAnsi" w:cstheme="minorHAnsi"/>
        </w:rPr>
      </w:pPr>
      <w:r>
        <w:rPr>
          <w:rFonts w:asciiTheme="minorHAnsi" w:hAnsiTheme="minorHAnsi" w:cstheme="minorHAnsi"/>
        </w:rPr>
        <w:fldChar w:fldCharType="end"/>
      </w:r>
    </w:p>
    <w:p w14:paraId="7DD25880" w14:textId="03DDA51A" w:rsidR="005F65BC" w:rsidRPr="00DE25C4" w:rsidRDefault="005F65BC" w:rsidP="00DE25C4">
      <w:pPr>
        <w:pStyle w:val="Heading1"/>
      </w:pPr>
      <w:bookmarkStart w:id="0" w:name="_Toc130411453"/>
      <w:r w:rsidRPr="00DE25C4">
        <w:lastRenderedPageBreak/>
        <w:t>CHAIR</w:t>
      </w:r>
      <w:r w:rsidR="00081FAA" w:rsidRPr="00DE25C4">
        <w:t>’</w:t>
      </w:r>
      <w:r w:rsidRPr="00DE25C4">
        <w:t>S FOREWORD</w:t>
      </w:r>
      <w:bookmarkEnd w:id="0"/>
      <w:r w:rsidRPr="00DE25C4">
        <w:t xml:space="preserve"> </w:t>
      </w:r>
    </w:p>
    <w:p w14:paraId="7AF68BAF" w14:textId="7FADA952" w:rsidR="005F65BC" w:rsidRPr="00DE25C4" w:rsidRDefault="005F65BC" w:rsidP="00DE25C4">
      <w:pPr>
        <w:pStyle w:val="Heading2"/>
        <w:rPr>
          <w:sz w:val="26"/>
        </w:rPr>
      </w:pPr>
      <w:bookmarkStart w:id="1" w:name="_Toc130411454"/>
      <w:r w:rsidRPr="00DE25C4">
        <w:t>Mandatory oversight of racing integrity</w:t>
      </w:r>
      <w:bookmarkEnd w:id="1"/>
      <w:r w:rsidRPr="00DE25C4">
        <w:t xml:space="preserve"> </w:t>
      </w:r>
    </w:p>
    <w:p w14:paraId="448ED311" w14:textId="28CDCFAF" w:rsidR="005F65BC" w:rsidRPr="00522884" w:rsidRDefault="005F65BC" w:rsidP="00522884">
      <w:r w:rsidRPr="00522884">
        <w:t>The Victorian Racing Integrity Board (VRIB) has three key tasks to perform under the Racing Act 1958 (Vic) (the Racing Act).</w:t>
      </w:r>
    </w:p>
    <w:p w14:paraId="1E9E0B54" w14:textId="293B9919" w:rsidR="005F65BC" w:rsidRPr="00522884" w:rsidRDefault="005F65BC" w:rsidP="00522884">
      <w:r w:rsidRPr="00522884">
        <w:t xml:space="preserve">The first is to ensure that racing integrity officials of each controlling body can undertake their important roles without interference from their respective controlling bodies. There were no actionable complaints during the year. I am satisfied that this is a direct result of the presence of VRIB in the racing industry integrity space. My discussions with key officials in each of the codes convinces me that the controlling bodies and their integrity staff understand the demarcation between commercial goals and independence of integrity groups. Of course, this does not mean that the integrity unit is unaccountable to the relevant board of the controlling body. Rather it underlines the importance of day-to-day operations of the Integrity units with Board oversight but not interference. </w:t>
      </w:r>
    </w:p>
    <w:p w14:paraId="0066FBF2" w14:textId="08EBBCDF" w:rsidR="005F65BC" w:rsidRPr="00522884" w:rsidRDefault="005F65BC" w:rsidP="00522884">
      <w:r w:rsidRPr="00522884">
        <w:t>The second is the review of each controlling body</w:t>
      </w:r>
      <w:r w:rsidR="00522884">
        <w:t>’</w:t>
      </w:r>
      <w:r w:rsidRPr="00522884">
        <w:t>s annual integrity plans and budgets. Each of the controlling bodies submitted their 2022-23 integrity plans and budgets. VRIB reviewed each plan individually and then assessed the plans jointly, on a cross-code basis. An opportunity was extended to the head of each controlling body</w:t>
      </w:r>
      <w:r w:rsidR="00522884">
        <w:t>’</w:t>
      </w:r>
      <w:r w:rsidRPr="00522884">
        <w:t xml:space="preserve">s integrity department to brief VRIB about their integrity plans and respond to questions from board members. Each of the 2022-23 plans were endorsed by VRIB. </w:t>
      </w:r>
    </w:p>
    <w:p w14:paraId="2A064017" w14:textId="6CBF176A" w:rsidR="005F65BC" w:rsidRPr="00522884" w:rsidRDefault="005F65BC" w:rsidP="00522884">
      <w:r w:rsidRPr="00522884">
        <w:t xml:space="preserve">The third is the review of the rules of racing relating to integrity. The VRIB Deputy Chairpersons have dealt expeditiously and effectively with the review of proposed new and amended rules and have made recommendations about these to the controlling bodies throughout the year. These are set out later in the report. Of </w:t>
      </w:r>
      <w:proofErr w:type="gramStart"/>
      <w:r w:rsidRPr="00522884">
        <w:t>particular note</w:t>
      </w:r>
      <w:proofErr w:type="gramEnd"/>
      <w:r w:rsidRPr="00522884">
        <w:t xml:space="preserve"> is the wholesale redrafting of Greyhound Racing Victoria</w:t>
      </w:r>
      <w:r w:rsidR="00522884">
        <w:t>’</w:t>
      </w:r>
      <w:r w:rsidRPr="00522884">
        <w:t xml:space="preserve">s (GRV) Rules into a far simpler and comprehensible document, for which it is to be congratulated. </w:t>
      </w:r>
    </w:p>
    <w:p w14:paraId="211E9A59" w14:textId="0149B8DB" w:rsidR="005F65BC" w:rsidRPr="00522884" w:rsidRDefault="005F65BC" w:rsidP="00522884">
      <w:pPr>
        <w:pStyle w:val="Heading2"/>
      </w:pPr>
      <w:bookmarkStart w:id="2" w:name="_Toc130411455"/>
      <w:r w:rsidRPr="00DE25C4">
        <w:t>Discretionary oversight</w:t>
      </w:r>
      <w:bookmarkEnd w:id="2"/>
      <w:r w:rsidRPr="00DE25C4">
        <w:t xml:space="preserve"> </w:t>
      </w:r>
    </w:p>
    <w:p w14:paraId="074775F8" w14:textId="5B0E2553" w:rsidR="005F65BC" w:rsidRPr="00522884" w:rsidRDefault="005F65BC" w:rsidP="00522884">
      <w:r w:rsidRPr="00522884">
        <w:t>VRIB is also charged with oversighting the controlling bodies</w:t>
      </w:r>
      <w:r w:rsidR="00522884" w:rsidRPr="00522884">
        <w:t>’</w:t>
      </w:r>
      <w:r w:rsidRPr="00522884">
        <w:t xml:space="preserve"> integrity governance and performance through its power to make recommendations in relation to integrity issues. </w:t>
      </w:r>
    </w:p>
    <w:p w14:paraId="398CDD69" w14:textId="6F40B9AD" w:rsidR="005F65BC" w:rsidRPr="00522884" w:rsidRDefault="005F65BC" w:rsidP="00522884">
      <w:r w:rsidRPr="00522884">
        <w:t xml:space="preserve">VRIB continues to focus on its primary role of the promotion of cross-code or Victorian racing industry collaboration with the development of common best practice. Our objective, as far as is practicable, is to ensure that each controlling body maintains consistent industry practice to enhance their ongoing identification and management of integrity risks. Our major focus has been on establishing a cross code integrity education program. It has become apparent from recent integrity cases in both the courts and at the Victorian Racing Tribunal that there is a patent need for a major improvement in integrity education. Several reports over the past decade have emphasized this deficiency. The board established a steering committee with the aim of identifying an education provider and establishing a comprehensive program for integrity education. Under the Chairmanship of former VRIB member Hayden Opie and subsequently Elizabeth Clarke OAM, the committee has made great progress and I am hopeful that an integrity program at a leading educational provider will be operational by 2023. Each of the codes has been highly supportive of the initiative. </w:t>
      </w:r>
    </w:p>
    <w:p w14:paraId="454FB164" w14:textId="6852396F" w:rsidR="005F65BC" w:rsidRPr="00522884" w:rsidRDefault="005F65BC" w:rsidP="00522884">
      <w:pPr>
        <w:pStyle w:val="Heading2"/>
      </w:pPr>
      <w:bookmarkStart w:id="3" w:name="_Toc130411456"/>
      <w:r w:rsidRPr="00522884">
        <w:t xml:space="preserve">Farewell to board </w:t>
      </w:r>
      <w:proofErr w:type="gramStart"/>
      <w:r w:rsidRPr="00522884">
        <w:t>members</w:t>
      </w:r>
      <w:bookmarkEnd w:id="3"/>
      <w:proofErr w:type="gramEnd"/>
    </w:p>
    <w:p w14:paraId="1E660899" w14:textId="7324FBBD" w:rsidR="005F65BC" w:rsidRPr="00522884" w:rsidRDefault="005F65BC" w:rsidP="00522884">
      <w:r w:rsidRPr="00522884">
        <w:t>VRIB will also bid goodbye to inaugural board members, Her Hon Magistrate Jacqueline Billings and The Hon Peter Young AM QC who have indicated that they will not be seeking a renewal of their positions as members of the board. Each served as a Deputy Chairpersons, Jacqueline Billings for greyhound racing and Peter Young for thoroughbred racing. Jacqueline and Peter</w:t>
      </w:r>
      <w:r w:rsidR="00522884">
        <w:t>’</w:t>
      </w:r>
      <w:r w:rsidRPr="00522884">
        <w:t xml:space="preserve">s </w:t>
      </w:r>
      <w:r w:rsidRPr="00522884">
        <w:lastRenderedPageBreak/>
        <w:t xml:space="preserve">knowledge and experience was invaluable to the operations of VRIB, and they will be sorely missed. </w:t>
      </w:r>
    </w:p>
    <w:p w14:paraId="572B3C8B" w14:textId="77777777" w:rsidR="005F65BC" w:rsidRPr="00522884" w:rsidRDefault="005F65BC" w:rsidP="00522884">
      <w:pPr>
        <w:rPr>
          <w:b/>
          <w:bCs/>
        </w:rPr>
      </w:pPr>
      <w:r w:rsidRPr="00522884">
        <w:rPr>
          <w:b/>
          <w:bCs/>
        </w:rPr>
        <w:t xml:space="preserve">The Hon Justice Jack Forrest </w:t>
      </w:r>
    </w:p>
    <w:p w14:paraId="1662472D" w14:textId="77777777" w:rsidR="005F65BC" w:rsidRPr="00522884" w:rsidRDefault="005F65BC" w:rsidP="00522884">
      <w:r w:rsidRPr="00522884">
        <w:t xml:space="preserve">Chair </w:t>
      </w:r>
    </w:p>
    <w:p w14:paraId="6A77D081" w14:textId="2DEC6995" w:rsidR="005F65BC" w:rsidRPr="00937CDC" w:rsidRDefault="005F65BC" w:rsidP="00937CDC">
      <w:pPr>
        <w:pStyle w:val="Heading1"/>
      </w:pPr>
      <w:bookmarkStart w:id="4" w:name="_Toc130411457"/>
      <w:r w:rsidRPr="00DE25C4">
        <w:lastRenderedPageBreak/>
        <w:t xml:space="preserve">EXECUTIVE </w:t>
      </w:r>
      <w:r w:rsidRPr="00937CDC">
        <w:t>OFFICER</w:t>
      </w:r>
      <w:r w:rsidR="00937CDC" w:rsidRPr="00937CDC">
        <w:t>’</w:t>
      </w:r>
      <w:r w:rsidRPr="00937CDC">
        <w:t>S</w:t>
      </w:r>
      <w:r w:rsidRPr="00DE25C4">
        <w:t xml:space="preserve"> FOREWORD</w:t>
      </w:r>
      <w:bookmarkEnd w:id="4"/>
    </w:p>
    <w:p w14:paraId="34B63D4B" w14:textId="3366AEF9" w:rsidR="005F65BC" w:rsidRPr="00937CDC" w:rsidRDefault="005F65BC" w:rsidP="00937CDC">
      <w:r w:rsidRPr="00DE25C4">
        <w:rPr>
          <w:rFonts w:asciiTheme="minorHAnsi" w:hAnsiTheme="minorHAnsi" w:cstheme="minorHAnsi"/>
          <w:sz w:val="21"/>
          <w:szCs w:val="21"/>
        </w:rPr>
        <w:t>In another busy year for VRIB, we continued to prioritise our assessment of the controlling bodies</w:t>
      </w:r>
      <w:r w:rsidR="00937CDC">
        <w:rPr>
          <w:rFonts w:asciiTheme="minorHAnsi" w:hAnsiTheme="minorHAnsi" w:cstheme="minorHAnsi"/>
        </w:rPr>
        <w:t>’</w:t>
      </w:r>
      <w:r w:rsidRPr="00DE25C4">
        <w:rPr>
          <w:rFonts w:asciiTheme="minorHAnsi" w:hAnsiTheme="minorHAnsi" w:cstheme="minorHAnsi"/>
          <w:sz w:val="21"/>
          <w:szCs w:val="21"/>
        </w:rPr>
        <w:t xml:space="preserve"> (i.e., Greyhound </w:t>
      </w:r>
      <w:r w:rsidRPr="00937CDC">
        <w:t xml:space="preserve">Racing Victoria, Harness Racing Victoria and Racing Victoria) integrity governance and performance from a cross-code perspective, and to drive improvements that will benefit the whole Victorian racing industry (VRI). </w:t>
      </w:r>
    </w:p>
    <w:p w14:paraId="431445E8" w14:textId="0FC7F1A9" w:rsidR="005F65BC" w:rsidRPr="00937CDC" w:rsidRDefault="005F65BC" w:rsidP="00937CDC">
      <w:proofErr w:type="gramStart"/>
      <w:r w:rsidRPr="00937CDC">
        <w:t>In particular 2021-22</w:t>
      </w:r>
      <w:proofErr w:type="gramEnd"/>
      <w:r w:rsidRPr="00937CDC">
        <w:t xml:space="preserve"> saw </w:t>
      </w:r>
      <w:proofErr w:type="spellStart"/>
      <w:r w:rsidRPr="00937CDC">
        <w:t>VRIB‚Äôs</w:t>
      </w:r>
      <w:proofErr w:type="spellEnd"/>
      <w:r w:rsidRPr="00937CDC">
        <w:t xml:space="preserve"> efforts to encourage and coordinate cross-code engagement and collaboration come to the fore, with the first meeting of the cross-code Racing Analytical Services Limited (RASL) liaison sub-committee taking place; the codes and VRIB making significant progress toward the development of an integrity education package; and the commencement of a project aimed at enhancing licensing and registration practice across the codes. These initiatives, and the cross-code relationships established through them, will work to benefit the entire VRI both in the short and long terms. </w:t>
      </w:r>
    </w:p>
    <w:p w14:paraId="6BD45E28" w14:textId="165AD939" w:rsidR="005F65BC" w:rsidRPr="00937CDC" w:rsidRDefault="005F65BC" w:rsidP="00937CDC">
      <w:r w:rsidRPr="00937CDC">
        <w:t xml:space="preserve">The 2021-22 financial year also saw VRIB mature as an organisation through the development of a Strategic Plan 2022-24, a Stakeholder Engagement Plan, and an Annual Work Plan. These documents will ensure that </w:t>
      </w:r>
      <w:proofErr w:type="spellStart"/>
      <w:r w:rsidRPr="00937CDC">
        <w:t>VRIB‚Äôs</w:t>
      </w:r>
      <w:proofErr w:type="spellEnd"/>
      <w:r w:rsidRPr="00937CDC">
        <w:t xml:space="preserve"> activities are aligned to its vision and purpose, that its stakeholder engagement is effective and efficient, and that its activities are appropriately sequenced and co-ordinated. As a relatively new organisation, these are important steps in VRIB</w:t>
      </w:r>
      <w:r w:rsidR="00937CDC">
        <w:t>’</w:t>
      </w:r>
      <w:r w:rsidRPr="00937CDC">
        <w:t xml:space="preserve">s maturing process. </w:t>
      </w:r>
    </w:p>
    <w:p w14:paraId="541E5DB3" w14:textId="364C2E3C" w:rsidR="005F65BC" w:rsidRPr="00937CDC" w:rsidRDefault="005F65BC" w:rsidP="00937CDC">
      <w:r w:rsidRPr="00937CDC">
        <w:t xml:space="preserve">VRIB is proud of its achievements in 2021-22 and is keen to consolidate and build on these moving forward. </w:t>
      </w:r>
    </w:p>
    <w:p w14:paraId="698CA251" w14:textId="23967510" w:rsidR="005F65BC" w:rsidRPr="00937CDC" w:rsidRDefault="005F65BC" w:rsidP="00937CDC">
      <w:pPr>
        <w:rPr>
          <w:b/>
          <w:bCs/>
        </w:rPr>
      </w:pPr>
      <w:r w:rsidRPr="00937CDC">
        <w:rPr>
          <w:b/>
          <w:bCs/>
        </w:rPr>
        <w:t xml:space="preserve">Aaron Campbell </w:t>
      </w:r>
    </w:p>
    <w:p w14:paraId="3D81120D" w14:textId="7AA535A0" w:rsidR="005F65BC" w:rsidRPr="00980CE7" w:rsidRDefault="005F65BC" w:rsidP="00980CE7">
      <w:r w:rsidRPr="00937CDC">
        <w:t xml:space="preserve">Executive Officer </w:t>
      </w:r>
    </w:p>
    <w:p w14:paraId="2FE1BC9E" w14:textId="310BF826" w:rsidR="005F65BC" w:rsidRPr="00F831FB" w:rsidRDefault="005F65BC" w:rsidP="00F831FB">
      <w:pPr>
        <w:pStyle w:val="Heading1"/>
      </w:pPr>
      <w:bookmarkStart w:id="5" w:name="_Toc130411458"/>
      <w:r w:rsidRPr="00DE25C4">
        <w:lastRenderedPageBreak/>
        <w:t>YEAR AT A GLANCE</w:t>
      </w:r>
      <w:bookmarkEnd w:id="5"/>
      <w:r w:rsidRPr="00DE25C4">
        <w:t xml:space="preserve"> </w:t>
      </w:r>
    </w:p>
    <w:p w14:paraId="64CA1B39" w14:textId="683A1659" w:rsidR="005F65BC" w:rsidRPr="00F831FB" w:rsidRDefault="005F65BC" w:rsidP="00F831FB">
      <w:pPr>
        <w:pStyle w:val="Heading2"/>
      </w:pPr>
      <w:bookmarkStart w:id="6" w:name="_Toc130411459"/>
      <w:r w:rsidRPr="00DE25C4">
        <w:t>2021</w:t>
      </w:r>
      <w:bookmarkEnd w:id="6"/>
      <w:r w:rsidRPr="00DE25C4">
        <w:t xml:space="preserve"> </w:t>
      </w:r>
    </w:p>
    <w:p w14:paraId="1DB37B26" w14:textId="3577A961" w:rsidR="005F65BC" w:rsidRPr="00F831FB" w:rsidRDefault="005F65BC" w:rsidP="00F831FB">
      <w:pPr>
        <w:pStyle w:val="Normalbeforebullet"/>
        <w:rPr>
          <w:b/>
          <w:bCs/>
        </w:rPr>
      </w:pPr>
      <w:r w:rsidRPr="00F831FB">
        <w:rPr>
          <w:b/>
          <w:bCs/>
        </w:rPr>
        <w:t xml:space="preserve">July </w:t>
      </w:r>
    </w:p>
    <w:p w14:paraId="2B885F94" w14:textId="364869CE" w:rsidR="005F65BC" w:rsidRPr="00F831FB" w:rsidRDefault="005F65BC" w:rsidP="00F831FB">
      <w:pPr>
        <w:pStyle w:val="Bulletlast"/>
      </w:pPr>
      <w:r w:rsidRPr="00F831FB">
        <w:t xml:space="preserve">Commenced consultation on the 2021-22 annual integrity plan recommendations with controlling bodies. </w:t>
      </w:r>
    </w:p>
    <w:p w14:paraId="59B37E1C" w14:textId="77777777" w:rsidR="00F831FB" w:rsidRPr="00F831FB" w:rsidRDefault="00F831FB" w:rsidP="00F831FB">
      <w:pPr>
        <w:pStyle w:val="Normalbeforebullet"/>
        <w:rPr>
          <w:b/>
          <w:bCs/>
        </w:rPr>
      </w:pPr>
      <w:r w:rsidRPr="00F831FB">
        <w:rPr>
          <w:b/>
          <w:bCs/>
        </w:rPr>
        <w:t xml:space="preserve">August </w:t>
      </w:r>
    </w:p>
    <w:p w14:paraId="55F9D635" w14:textId="77777777" w:rsidR="00F831FB" w:rsidRPr="00F831FB" w:rsidRDefault="00F831FB" w:rsidP="00F831FB">
      <w:pPr>
        <w:pStyle w:val="Bulletlast"/>
      </w:pPr>
      <w:r w:rsidRPr="00F831FB">
        <w:t xml:space="preserve">Cross-code RASL liaison sub-committee held its inaugural meeting. The subcommittee is intended to foster and encourage cross-code collaboration between the controlling bodies and RASL. </w:t>
      </w:r>
    </w:p>
    <w:p w14:paraId="13709D98" w14:textId="77777777" w:rsidR="00F831FB" w:rsidRPr="00F831FB" w:rsidRDefault="00F831FB" w:rsidP="00F831FB">
      <w:pPr>
        <w:pStyle w:val="Normalbeforebullet"/>
        <w:rPr>
          <w:b/>
          <w:bCs/>
        </w:rPr>
      </w:pPr>
      <w:r w:rsidRPr="00F831FB">
        <w:rPr>
          <w:b/>
          <w:bCs/>
        </w:rPr>
        <w:t xml:space="preserve">September </w:t>
      </w:r>
    </w:p>
    <w:p w14:paraId="625A8EA2" w14:textId="77777777" w:rsidR="00F831FB" w:rsidRPr="00F831FB" w:rsidRDefault="00F831FB" w:rsidP="00F831FB">
      <w:pPr>
        <w:pStyle w:val="Bulletlast"/>
      </w:pPr>
      <w:r w:rsidRPr="00F831FB">
        <w:t xml:space="preserve">VRIB explores a trial </w:t>
      </w:r>
      <w:r>
        <w:t>‘</w:t>
      </w:r>
      <w:r w:rsidRPr="00F831FB">
        <w:t>shared services</w:t>
      </w:r>
      <w:r>
        <w:t xml:space="preserve">’ </w:t>
      </w:r>
      <w:r w:rsidRPr="00F831FB">
        <w:t>staffing arrangement with the Office of the Racing Integrity Commissioner (ORIC) aimed at improving the understanding of VRIB and ORIC</w:t>
      </w:r>
      <w:r>
        <w:t>’</w:t>
      </w:r>
      <w:r w:rsidRPr="00F831FB">
        <w:t xml:space="preserve">s respective roles and oversight functions. </w:t>
      </w:r>
    </w:p>
    <w:p w14:paraId="29C76D29" w14:textId="77777777" w:rsidR="005F65BC" w:rsidRPr="00F831FB" w:rsidRDefault="005F65BC" w:rsidP="00F831FB">
      <w:pPr>
        <w:pStyle w:val="Normalbeforebullet"/>
        <w:rPr>
          <w:b/>
          <w:bCs/>
        </w:rPr>
      </w:pPr>
      <w:r w:rsidRPr="00F831FB">
        <w:rPr>
          <w:b/>
          <w:bCs/>
        </w:rPr>
        <w:t xml:space="preserve">October </w:t>
      </w:r>
    </w:p>
    <w:p w14:paraId="75752F4A" w14:textId="01A282E3" w:rsidR="005F65BC" w:rsidRPr="00980CE7" w:rsidRDefault="005F65BC" w:rsidP="00E4080D">
      <w:pPr>
        <w:pStyle w:val="Bulletlast"/>
        <w:rPr>
          <w:spacing w:val="-2"/>
        </w:rPr>
      </w:pPr>
      <w:r w:rsidRPr="00980CE7">
        <w:rPr>
          <w:spacing w:val="-2"/>
        </w:rPr>
        <w:t xml:space="preserve">VRIB meets with Victoria Police Sports Intelligence &amp; Investigation Unit to discuss how the unit works with the codes and other law enforcement agencies to identify and disrupt criminal activity. </w:t>
      </w:r>
    </w:p>
    <w:p w14:paraId="6C260433" w14:textId="77777777" w:rsidR="005F65BC" w:rsidRPr="00F831FB" w:rsidRDefault="005F65BC" w:rsidP="00F831FB">
      <w:pPr>
        <w:pStyle w:val="Normalbeforebullet"/>
        <w:rPr>
          <w:b/>
          <w:bCs/>
        </w:rPr>
      </w:pPr>
      <w:r w:rsidRPr="00F831FB">
        <w:rPr>
          <w:b/>
          <w:bCs/>
        </w:rPr>
        <w:t xml:space="preserve">November </w:t>
      </w:r>
    </w:p>
    <w:p w14:paraId="6339BBFA" w14:textId="5EF2DFC3" w:rsidR="005F65BC" w:rsidRPr="00F831FB" w:rsidRDefault="005F65BC" w:rsidP="00E4080D">
      <w:pPr>
        <w:pStyle w:val="Bulletlast"/>
      </w:pPr>
      <w:r w:rsidRPr="00F831FB">
        <w:t xml:space="preserve">VRIB chair engages with controlling </w:t>
      </w:r>
      <w:r w:rsidRPr="00E4080D">
        <w:t>body</w:t>
      </w:r>
      <w:r w:rsidRPr="00F831FB">
        <w:t xml:space="preserve"> </w:t>
      </w:r>
      <w:proofErr w:type="gramStart"/>
      <w:r w:rsidRPr="00F831FB">
        <w:t>CEO</w:t>
      </w:r>
      <w:r w:rsidR="00E4080D">
        <w:t>’</w:t>
      </w:r>
      <w:r w:rsidRPr="00F831FB">
        <w:t>s</w:t>
      </w:r>
      <w:proofErr w:type="gramEnd"/>
      <w:r w:rsidRPr="00F831FB">
        <w:t xml:space="preserve"> to progress the integrity education project. </w:t>
      </w:r>
    </w:p>
    <w:p w14:paraId="38ED4E0C" w14:textId="77777777" w:rsidR="005F65BC" w:rsidRPr="00E4080D" w:rsidRDefault="005F65BC" w:rsidP="00E4080D">
      <w:pPr>
        <w:pStyle w:val="Normalbeforebullet"/>
        <w:rPr>
          <w:b/>
          <w:bCs/>
        </w:rPr>
      </w:pPr>
      <w:r w:rsidRPr="00E4080D">
        <w:rPr>
          <w:b/>
          <w:bCs/>
        </w:rPr>
        <w:t xml:space="preserve">December </w:t>
      </w:r>
    </w:p>
    <w:p w14:paraId="49C2A6CC" w14:textId="09928F5A" w:rsidR="005F65BC" w:rsidRPr="00F831FB" w:rsidRDefault="005F65BC" w:rsidP="00E4080D">
      <w:pPr>
        <w:pStyle w:val="Bulletlast"/>
      </w:pPr>
      <w:r w:rsidRPr="00F831FB">
        <w:t xml:space="preserve">Strategic planning </w:t>
      </w:r>
      <w:r w:rsidRPr="00E4080D">
        <w:t>workshop</w:t>
      </w:r>
      <w:r w:rsidRPr="00F831FB">
        <w:t xml:space="preserve"> held to develop VRIB Strategic Plan 2022-24. </w:t>
      </w:r>
    </w:p>
    <w:p w14:paraId="3A46052D" w14:textId="09114B32" w:rsidR="005F65BC" w:rsidRPr="00E4080D" w:rsidRDefault="005F65BC" w:rsidP="00E4080D">
      <w:pPr>
        <w:pStyle w:val="Heading2"/>
      </w:pPr>
      <w:bookmarkStart w:id="7" w:name="_Toc130411460"/>
      <w:r w:rsidRPr="00DE25C4">
        <w:t>2022</w:t>
      </w:r>
      <w:bookmarkEnd w:id="7"/>
    </w:p>
    <w:p w14:paraId="2B4159C1" w14:textId="77777777" w:rsidR="005F65BC" w:rsidRPr="00E4080D" w:rsidRDefault="005F65BC" w:rsidP="00E4080D">
      <w:pPr>
        <w:pStyle w:val="Normalbeforebullet"/>
        <w:rPr>
          <w:b/>
          <w:bCs/>
        </w:rPr>
      </w:pPr>
      <w:r w:rsidRPr="00E4080D">
        <w:rPr>
          <w:b/>
          <w:bCs/>
        </w:rPr>
        <w:t xml:space="preserve">January </w:t>
      </w:r>
    </w:p>
    <w:p w14:paraId="65EAAE1D" w14:textId="01664E16" w:rsidR="005F65BC" w:rsidRPr="00E4080D" w:rsidRDefault="005F65BC" w:rsidP="00E4080D">
      <w:pPr>
        <w:pStyle w:val="Bulletlast"/>
      </w:pPr>
      <w:r w:rsidRPr="00E4080D">
        <w:t xml:space="preserve">Annual Work Plan to effectively sequence VRIB activities developed. </w:t>
      </w:r>
    </w:p>
    <w:p w14:paraId="17C1DBED" w14:textId="77777777" w:rsidR="00E4080D" w:rsidRPr="00E4080D" w:rsidRDefault="00E4080D" w:rsidP="00E4080D">
      <w:pPr>
        <w:pStyle w:val="Normalbeforebullet"/>
        <w:rPr>
          <w:b/>
          <w:bCs/>
        </w:rPr>
      </w:pPr>
      <w:r w:rsidRPr="00E4080D">
        <w:rPr>
          <w:b/>
          <w:bCs/>
        </w:rPr>
        <w:t xml:space="preserve">February </w:t>
      </w:r>
    </w:p>
    <w:p w14:paraId="031EDC75" w14:textId="77777777" w:rsidR="00E4080D" w:rsidRPr="00E4080D" w:rsidRDefault="00E4080D" w:rsidP="00E4080D">
      <w:pPr>
        <w:pStyle w:val="Bulletlast"/>
      </w:pPr>
      <w:r w:rsidRPr="00E4080D">
        <w:t xml:space="preserve">Stakeholder Engagement Plan to ensure engagement is effective and efficient developed. </w:t>
      </w:r>
    </w:p>
    <w:p w14:paraId="6F7EDCF1" w14:textId="77777777" w:rsidR="00E4080D" w:rsidRPr="00E4080D" w:rsidRDefault="00E4080D" w:rsidP="00E4080D">
      <w:pPr>
        <w:pStyle w:val="Normalbeforebullet"/>
        <w:rPr>
          <w:b/>
          <w:bCs/>
        </w:rPr>
      </w:pPr>
      <w:r w:rsidRPr="00E4080D">
        <w:rPr>
          <w:b/>
          <w:bCs/>
        </w:rPr>
        <w:t xml:space="preserve">March </w:t>
      </w:r>
    </w:p>
    <w:p w14:paraId="70EF0C4C" w14:textId="77777777" w:rsidR="00E4080D" w:rsidRPr="00E4080D" w:rsidRDefault="00E4080D" w:rsidP="00E4080D">
      <w:pPr>
        <w:pStyle w:val="Bullet"/>
      </w:pPr>
      <w:r w:rsidRPr="00E4080D">
        <w:t xml:space="preserve">Integrity education steering committee meets to discuss training needs analysis survey. </w:t>
      </w:r>
    </w:p>
    <w:p w14:paraId="1DB7BE77" w14:textId="77777777" w:rsidR="00E4080D" w:rsidRPr="00E4080D" w:rsidRDefault="00E4080D" w:rsidP="00E4080D">
      <w:pPr>
        <w:pStyle w:val="Bulletlast"/>
      </w:pPr>
      <w:r w:rsidRPr="00E4080D">
        <w:t xml:space="preserve">Controlling bodies provided with a comparative table to assist their understanding of the different functions and powers of VRIB and ORIC. </w:t>
      </w:r>
    </w:p>
    <w:p w14:paraId="7726782E" w14:textId="77777777" w:rsidR="005F65BC" w:rsidRPr="00E4080D" w:rsidRDefault="005F65BC" w:rsidP="00E4080D">
      <w:pPr>
        <w:pStyle w:val="Normalbeforebullet"/>
        <w:rPr>
          <w:b/>
          <w:bCs/>
        </w:rPr>
      </w:pPr>
      <w:r w:rsidRPr="00E4080D">
        <w:rPr>
          <w:b/>
          <w:bCs/>
        </w:rPr>
        <w:t xml:space="preserve">April </w:t>
      </w:r>
    </w:p>
    <w:p w14:paraId="467DFCE0" w14:textId="51FC214F" w:rsidR="005F65BC" w:rsidRPr="00E4080D" w:rsidRDefault="005F65BC" w:rsidP="00E4080D">
      <w:pPr>
        <w:pStyle w:val="Bulletlast"/>
      </w:pPr>
      <w:r w:rsidRPr="00E4080D">
        <w:t xml:space="preserve">Integrity education steering committee meets to discuss potential education training providers. </w:t>
      </w:r>
    </w:p>
    <w:p w14:paraId="6A5B0765" w14:textId="77777777" w:rsidR="005F65BC" w:rsidRPr="00E4080D" w:rsidRDefault="005F65BC" w:rsidP="00E4080D">
      <w:pPr>
        <w:pStyle w:val="Normalbeforebullet"/>
        <w:rPr>
          <w:b/>
          <w:bCs/>
        </w:rPr>
      </w:pPr>
      <w:r w:rsidRPr="00E4080D">
        <w:rPr>
          <w:b/>
          <w:bCs/>
        </w:rPr>
        <w:t xml:space="preserve">May </w:t>
      </w:r>
    </w:p>
    <w:p w14:paraId="14A6FDFB" w14:textId="0521B1C2" w:rsidR="005F65BC" w:rsidRPr="00E4080D" w:rsidRDefault="005F65BC" w:rsidP="00E4080D">
      <w:pPr>
        <w:pStyle w:val="Bulletlast"/>
      </w:pPr>
      <w:r w:rsidRPr="00E4080D">
        <w:t xml:space="preserve">Further refinements made to Integrity Plan template for use by controlling bodies. </w:t>
      </w:r>
    </w:p>
    <w:p w14:paraId="6348E482" w14:textId="77777777" w:rsidR="005F65BC" w:rsidRPr="00E4080D" w:rsidRDefault="005F65BC" w:rsidP="00E4080D">
      <w:pPr>
        <w:pStyle w:val="Normalbeforebullet"/>
        <w:rPr>
          <w:b/>
          <w:bCs/>
        </w:rPr>
      </w:pPr>
      <w:r w:rsidRPr="00E4080D">
        <w:rPr>
          <w:b/>
          <w:bCs/>
        </w:rPr>
        <w:t xml:space="preserve">June </w:t>
      </w:r>
    </w:p>
    <w:p w14:paraId="565C7D2F" w14:textId="773B9940" w:rsidR="005F65BC" w:rsidRPr="00E4080D" w:rsidRDefault="005F65BC" w:rsidP="00E4080D">
      <w:pPr>
        <w:pStyle w:val="Bullet"/>
      </w:pPr>
      <w:r w:rsidRPr="00E4080D">
        <w:t xml:space="preserve">Integrity education steering committee meets to discuss proposal put forward by an education training provider. </w:t>
      </w:r>
    </w:p>
    <w:p w14:paraId="488F3813" w14:textId="5D275985" w:rsidR="005F65BC" w:rsidRPr="00E4080D" w:rsidRDefault="005F65BC" w:rsidP="00E4080D">
      <w:pPr>
        <w:pStyle w:val="Bulletlast"/>
      </w:pPr>
      <w:r w:rsidRPr="00E4080D">
        <w:t>Endorsed controlling bodies</w:t>
      </w:r>
      <w:r w:rsidR="00E4080D">
        <w:t>’</w:t>
      </w:r>
      <w:r w:rsidRPr="00E4080D">
        <w:t xml:space="preserve"> 2022-23 annual integrity plans. </w:t>
      </w:r>
    </w:p>
    <w:p w14:paraId="168AB2AF" w14:textId="40A76811" w:rsidR="005F65BC" w:rsidRPr="00DE25C4" w:rsidRDefault="00E4080D" w:rsidP="00E4080D">
      <w:pPr>
        <w:pStyle w:val="Heading1"/>
      </w:pPr>
      <w:bookmarkStart w:id="8" w:name="_Toc130411461"/>
      <w:r>
        <w:lastRenderedPageBreak/>
        <w:t xml:space="preserve">1. </w:t>
      </w:r>
      <w:r w:rsidR="005F65BC" w:rsidRPr="00DE25C4">
        <w:t>WHO WE</w:t>
      </w:r>
      <w:r>
        <w:t xml:space="preserve"> </w:t>
      </w:r>
      <w:r w:rsidR="005F65BC" w:rsidRPr="00DE25C4">
        <w:t>ARE</w:t>
      </w:r>
      <w:bookmarkEnd w:id="8"/>
      <w:r w:rsidR="005F65BC" w:rsidRPr="00DE25C4">
        <w:t xml:space="preserve"> </w:t>
      </w:r>
    </w:p>
    <w:p w14:paraId="3C64BBE4" w14:textId="298E3916" w:rsidR="005F65BC" w:rsidRPr="00E4080D" w:rsidRDefault="005F65BC" w:rsidP="00E4080D">
      <w:pPr>
        <w:pStyle w:val="Heading2"/>
      </w:pPr>
      <w:bookmarkStart w:id="9" w:name="_Toc130411462"/>
      <w:r w:rsidRPr="00DE25C4">
        <w:t>BOARD MEMBERS</w:t>
      </w:r>
      <w:bookmarkEnd w:id="9"/>
      <w:r w:rsidRPr="00DE25C4">
        <w:t xml:space="preserve"> </w:t>
      </w:r>
    </w:p>
    <w:p w14:paraId="4B385D2B" w14:textId="7D115181" w:rsidR="005F65BC" w:rsidRPr="00E4080D" w:rsidRDefault="005F65BC" w:rsidP="00E4080D">
      <w:r w:rsidRPr="00E4080D">
        <w:t xml:space="preserve">Established in 2019 under Part IVB of the Racing Act, VRIB is an independent statutory authority providing oversight of integrity in the VRI. </w:t>
      </w:r>
    </w:p>
    <w:p w14:paraId="5FFE4414" w14:textId="57859505" w:rsidR="005F65BC" w:rsidRPr="00E4080D" w:rsidRDefault="005F65BC" w:rsidP="00E4080D">
      <w:pPr>
        <w:pStyle w:val="Heading3"/>
      </w:pPr>
      <w:r w:rsidRPr="00E4080D">
        <w:t xml:space="preserve">THE HON JUSTICE JACK FORREST, CHAIR </w:t>
      </w:r>
    </w:p>
    <w:p w14:paraId="1D0574CD" w14:textId="27787089" w:rsidR="005F65BC" w:rsidRPr="00E4080D" w:rsidRDefault="005F65BC" w:rsidP="00E4080D">
      <w:r w:rsidRPr="00E4080D">
        <w:t>Appointed</w:t>
      </w:r>
      <w:r w:rsidR="0007379C">
        <w:t>:</w:t>
      </w:r>
      <w:r w:rsidRPr="00E4080D">
        <w:t xml:space="preserve"> 1 August 2019 </w:t>
      </w:r>
    </w:p>
    <w:p w14:paraId="4B2C27C3" w14:textId="627A4463" w:rsidR="005F65BC" w:rsidRPr="00E4080D" w:rsidRDefault="005F65BC" w:rsidP="00E4080D">
      <w:r w:rsidRPr="00E4080D">
        <w:t>Term end</w:t>
      </w:r>
      <w:r w:rsidR="0007379C">
        <w:t>:</w:t>
      </w:r>
      <w:r w:rsidRPr="00E4080D">
        <w:t xml:space="preserve"> 31 July 2023 </w:t>
      </w:r>
    </w:p>
    <w:p w14:paraId="36E18012" w14:textId="7199B782" w:rsidR="005F65BC" w:rsidRPr="00E4080D" w:rsidRDefault="005F65BC" w:rsidP="00E4080D">
      <w:r w:rsidRPr="00E4080D">
        <w:t xml:space="preserve">Jack is the former Chairperson of the Racing Victoria Integrity Council. He has a life-long interest in thoroughbreds and racing as a former licenced owner trainer, breeder and rider. Jack was appointed a Queens Counsel in 1999 and was a Judge of the Supreme Court from 2007, and the principal judge of the common-law division from 2015, until he retired in March 2018. He now sits as an acting judge of the Supreme Court. </w:t>
      </w:r>
    </w:p>
    <w:p w14:paraId="502B0184" w14:textId="6376AEA9" w:rsidR="005F65BC" w:rsidRPr="00E4080D" w:rsidRDefault="005F65BC" w:rsidP="0007379C">
      <w:pPr>
        <w:pStyle w:val="Heading3"/>
      </w:pPr>
      <w:r w:rsidRPr="0007379C">
        <w:t xml:space="preserve">THE HON PETER YOUNG AM QC, DEPUTY CHAIR </w:t>
      </w:r>
    </w:p>
    <w:p w14:paraId="3D4190DE" w14:textId="2E408433" w:rsidR="005F65BC" w:rsidRPr="00E4080D" w:rsidRDefault="005F65BC" w:rsidP="00E4080D">
      <w:r w:rsidRPr="00E4080D">
        <w:t>Appointed</w:t>
      </w:r>
      <w:r w:rsidR="0007379C">
        <w:t>:</w:t>
      </w:r>
      <w:r w:rsidRPr="00E4080D">
        <w:t xml:space="preserve"> 1 August 2019 </w:t>
      </w:r>
    </w:p>
    <w:p w14:paraId="440A387A" w14:textId="679C1181" w:rsidR="005F65BC" w:rsidRPr="00E4080D" w:rsidRDefault="005F65BC" w:rsidP="00E4080D">
      <w:r w:rsidRPr="00E4080D">
        <w:t>Term end</w:t>
      </w:r>
      <w:r w:rsidR="0007379C">
        <w:t>:</w:t>
      </w:r>
      <w:r w:rsidRPr="00E4080D">
        <w:t xml:space="preserve"> 31 July 2022 </w:t>
      </w:r>
    </w:p>
    <w:p w14:paraId="7929A249" w14:textId="7C0357AA" w:rsidR="005F65BC" w:rsidRPr="00E4080D" w:rsidRDefault="005F65BC" w:rsidP="00E4080D">
      <w:r w:rsidRPr="00E4080D">
        <w:t xml:space="preserve">Peter was previously Chairman of the Melbourne Racing Club from 2005-2010 and a Member of the Racing Victoria Integrity Council. He served as a Family Court Judge from 2002 until 2013 and was a member of the Epworth Hospital Ethics and Medical Research Committee. Peter was appointed as the Deputy Chancellor of Monash University in January 2019 and has been a Member of Monash University Council since 2014. Peter did not seek reappointment to VRIB at the conclusion of this term. </w:t>
      </w:r>
    </w:p>
    <w:p w14:paraId="1ED0D239" w14:textId="57622C02" w:rsidR="005F65BC" w:rsidRPr="00E4080D" w:rsidRDefault="005F65BC" w:rsidP="0007379C">
      <w:pPr>
        <w:pStyle w:val="Heading3"/>
      </w:pPr>
      <w:r w:rsidRPr="00E4080D">
        <w:t xml:space="preserve">HER HON MAGISTRATE JACQUELINE BILLINGS, DEPUTY CHAIR </w:t>
      </w:r>
    </w:p>
    <w:p w14:paraId="251DB7D1" w14:textId="4DA7E024" w:rsidR="005F65BC" w:rsidRPr="00E4080D" w:rsidRDefault="005F65BC" w:rsidP="00E4080D">
      <w:r w:rsidRPr="00E4080D">
        <w:t>Appointed</w:t>
      </w:r>
      <w:r w:rsidR="0007379C">
        <w:t>:</w:t>
      </w:r>
      <w:r w:rsidRPr="00E4080D">
        <w:t xml:space="preserve"> 1 August 2019 </w:t>
      </w:r>
    </w:p>
    <w:p w14:paraId="21B1F0CC" w14:textId="2E41F9E8" w:rsidR="005F65BC" w:rsidRPr="00E4080D" w:rsidRDefault="005F65BC" w:rsidP="00E4080D">
      <w:r w:rsidRPr="00E4080D">
        <w:t>Term end</w:t>
      </w:r>
      <w:r w:rsidR="0007379C">
        <w:t>:</w:t>
      </w:r>
      <w:r w:rsidRPr="00E4080D">
        <w:t xml:space="preserve"> 31 July 2022 </w:t>
      </w:r>
    </w:p>
    <w:p w14:paraId="2C723A18" w14:textId="01C4A76D" w:rsidR="005F65BC" w:rsidRPr="00E4080D" w:rsidRDefault="005F65BC" w:rsidP="00E4080D">
      <w:r w:rsidRPr="00E4080D">
        <w:t>Jacqui is a former Chair of the Moe Racing Club, a former board member of Greyhound Racing Victoria and a former member of the Greyhound Racing Victoria Integrity Council. She was appointed as a Magistrate and assigned to the Victorian Children</w:t>
      </w:r>
      <w:r w:rsidR="0007379C">
        <w:t>’</w:t>
      </w:r>
      <w:r w:rsidRPr="00E4080D">
        <w:t xml:space="preserve">s Court in September 2018. Jacqui did not seek reappointment to VRIB at the conclusion of this term. </w:t>
      </w:r>
    </w:p>
    <w:p w14:paraId="352B7666" w14:textId="77777777" w:rsidR="005F65BC" w:rsidRPr="0007379C" w:rsidRDefault="005F65BC" w:rsidP="0007379C">
      <w:pPr>
        <w:pStyle w:val="Heading3"/>
      </w:pPr>
      <w:r w:rsidRPr="0007379C">
        <w:t xml:space="preserve">MS ELIZABETH CLARKE AM, DEPUTY CHAIR </w:t>
      </w:r>
    </w:p>
    <w:p w14:paraId="7D9206D0" w14:textId="4140E92C" w:rsidR="005F65BC" w:rsidRPr="00E4080D" w:rsidRDefault="005F65BC" w:rsidP="00E4080D">
      <w:r w:rsidRPr="00E4080D">
        <w:t>Appointed 6</w:t>
      </w:r>
      <w:r w:rsidR="0007379C">
        <w:t>:</w:t>
      </w:r>
      <w:r w:rsidRPr="00E4080D">
        <w:t xml:space="preserve"> November 2019 </w:t>
      </w:r>
    </w:p>
    <w:p w14:paraId="661C5411" w14:textId="723E17CB" w:rsidR="005F65BC" w:rsidRPr="00E4080D" w:rsidRDefault="005F65BC" w:rsidP="00E4080D">
      <w:r w:rsidRPr="00E4080D">
        <w:t>Term end</w:t>
      </w:r>
      <w:r w:rsidR="0007379C">
        <w:t>:</w:t>
      </w:r>
      <w:r w:rsidRPr="00E4080D">
        <w:t xml:space="preserve"> 31 July 2025 </w:t>
      </w:r>
    </w:p>
    <w:p w14:paraId="5B6A32E5" w14:textId="277A92CF" w:rsidR="005F65BC" w:rsidRPr="00E4080D" w:rsidRDefault="005F65BC" w:rsidP="00E4080D">
      <w:r w:rsidRPr="00E4080D">
        <w:t xml:space="preserve">Elizabeth has had a long involvement with racing in Victoria. She served on the board of Harness Racing Victoria from 2012 to 2019 and as Deputy Chair from 2016 to 2019. She was also a member of the Harness Racing Victoria Integrity Council and Show Cause Committee Member between 2012 and 2019. Elizabeth was Club Manager at the Terang Harness Racing Club and the Terang and District Racing Club. She was an Adviser to the Racing Appeals Tribunal from 2000 to 2011 and a member of Harness Racing Victoria Racing Appeals and Disciplinary Board. She was Chair of the Harness Racing Victoria Industry Advisory Council from 2016 until 2019. In June 2021, Elizabeth was appointed a Member of the Order of Australia for service to harness racing and the community. </w:t>
      </w:r>
    </w:p>
    <w:p w14:paraId="76AFE7A5" w14:textId="69409161" w:rsidR="005F65BC" w:rsidRPr="00E4080D" w:rsidRDefault="005F65BC" w:rsidP="0007379C">
      <w:pPr>
        <w:pStyle w:val="Heading3"/>
      </w:pPr>
      <w:r w:rsidRPr="0007379C">
        <w:lastRenderedPageBreak/>
        <w:t xml:space="preserve">MR BRYAN GURRY, MEMBER </w:t>
      </w:r>
    </w:p>
    <w:p w14:paraId="555699E7" w14:textId="6D161313" w:rsidR="005F65BC" w:rsidRPr="00E4080D" w:rsidRDefault="005F65BC" w:rsidP="00E4080D">
      <w:r w:rsidRPr="00E4080D">
        <w:t>Appointed</w:t>
      </w:r>
      <w:r w:rsidR="0007379C">
        <w:t>:</w:t>
      </w:r>
      <w:r w:rsidRPr="00E4080D">
        <w:t xml:space="preserve"> 1 August 2019 </w:t>
      </w:r>
    </w:p>
    <w:p w14:paraId="765B2196" w14:textId="02E6B2C5" w:rsidR="005F65BC" w:rsidRPr="00E4080D" w:rsidRDefault="005F65BC" w:rsidP="00E4080D">
      <w:r w:rsidRPr="00E4080D">
        <w:t>Term end</w:t>
      </w:r>
      <w:r w:rsidR="0007379C">
        <w:t>:</w:t>
      </w:r>
      <w:r w:rsidRPr="00E4080D">
        <w:t xml:space="preserve"> 13 September 2024 </w:t>
      </w:r>
    </w:p>
    <w:p w14:paraId="4F4DA2EF" w14:textId="2EBD7EBE" w:rsidR="005F65BC" w:rsidRPr="00E4080D" w:rsidRDefault="005F65BC" w:rsidP="00E4080D">
      <w:r w:rsidRPr="00E4080D">
        <w:t xml:space="preserve">Bryan was a member of the board of directors of Racing Victoria from 2008 until 2017 and represented the Racing Victoria Board on the Racing Victoria Integrity Council. Bryan has enjoyed a successful career in the law that includes establishing his own legal practice and being appointed as Partner of several national law firms. </w:t>
      </w:r>
    </w:p>
    <w:p w14:paraId="52058AC8" w14:textId="0E9C821B" w:rsidR="005F65BC" w:rsidRPr="0007379C" w:rsidRDefault="005F65BC" w:rsidP="0007379C">
      <w:pPr>
        <w:pStyle w:val="Heading3"/>
      </w:pPr>
      <w:r w:rsidRPr="0007379C">
        <w:t xml:space="preserve">DR CATHERINE (KATE) SAVAGE, MEMBER </w:t>
      </w:r>
    </w:p>
    <w:p w14:paraId="39A9F6AB" w14:textId="25380FFD" w:rsidR="005F65BC" w:rsidRPr="0007379C" w:rsidRDefault="005F65BC" w:rsidP="0007379C">
      <w:r w:rsidRPr="0007379C">
        <w:t>Appointed</w:t>
      </w:r>
      <w:r w:rsidR="0007379C">
        <w:t>:</w:t>
      </w:r>
      <w:r w:rsidRPr="0007379C">
        <w:t xml:space="preserve"> 1 August 2019 </w:t>
      </w:r>
    </w:p>
    <w:p w14:paraId="4868DA0F" w14:textId="72CA3001" w:rsidR="005F65BC" w:rsidRPr="0007379C" w:rsidRDefault="005F65BC" w:rsidP="0007379C">
      <w:r w:rsidRPr="0007379C">
        <w:t>Term end</w:t>
      </w:r>
      <w:r w:rsidR="0007379C">
        <w:t>:</w:t>
      </w:r>
      <w:r w:rsidRPr="0007379C">
        <w:t xml:space="preserve"> 31 July 2023 </w:t>
      </w:r>
    </w:p>
    <w:p w14:paraId="3F4D4B1F" w14:textId="3CFB8A63" w:rsidR="005F65BC" w:rsidRPr="0007379C" w:rsidRDefault="005F65BC" w:rsidP="0007379C">
      <w:r w:rsidRPr="0007379C">
        <w:t xml:space="preserve">Kate is an equine veterinarian and internal medicine specialist. She has worked in Australia, the USA and at the Beijing Olympics. Kate is the past President of the World Equine Veterinary Association and was a Member of the Harness Racing Victoria Racing Appeals and Disciplinary Board. </w:t>
      </w:r>
    </w:p>
    <w:p w14:paraId="1347C90B" w14:textId="77777777" w:rsidR="005F65BC" w:rsidRPr="0007379C" w:rsidRDefault="005F65BC" w:rsidP="0007379C">
      <w:pPr>
        <w:pStyle w:val="Heading3"/>
      </w:pPr>
      <w:r w:rsidRPr="0007379C">
        <w:t xml:space="preserve">MS MEGAN HUGHES, MEMBER </w:t>
      </w:r>
    </w:p>
    <w:p w14:paraId="2C106554" w14:textId="2D5E0039" w:rsidR="005F65BC" w:rsidRPr="0007379C" w:rsidRDefault="005F65BC" w:rsidP="0007379C">
      <w:r w:rsidRPr="0007379C">
        <w:t>Appointed</w:t>
      </w:r>
      <w:r w:rsidR="0007379C">
        <w:t>:</w:t>
      </w:r>
      <w:r w:rsidRPr="0007379C">
        <w:t xml:space="preserve"> 1 August 2021 </w:t>
      </w:r>
    </w:p>
    <w:p w14:paraId="0C0BFFB7" w14:textId="0A3B5AF5" w:rsidR="005F65BC" w:rsidRPr="0007379C" w:rsidRDefault="005F65BC" w:rsidP="0007379C">
      <w:r w:rsidRPr="0007379C">
        <w:t>Term end</w:t>
      </w:r>
      <w:r w:rsidR="0007379C">
        <w:t>:</w:t>
      </w:r>
      <w:r w:rsidRPr="0007379C">
        <w:t xml:space="preserve"> 31 July 2024 </w:t>
      </w:r>
    </w:p>
    <w:p w14:paraId="32A63B5B" w14:textId="78C93020" w:rsidR="005F65BC" w:rsidRDefault="005F65BC" w:rsidP="0007379C">
      <w:r w:rsidRPr="0007379C">
        <w:t xml:space="preserve">Megan Hughes is a lawyer, writer and policy adviser with experience working in the public, private and not-for-profit sectors. She has strong expertise in racing and administrative law, governance and integrity and has advised a range of racing bodies in Australia and Europe, most recently on animal welfare and social licence issues. Megan has worked on </w:t>
      </w:r>
      <w:proofErr w:type="gramStart"/>
      <w:r w:rsidRPr="0007379C">
        <w:t>a number of</w:t>
      </w:r>
      <w:proofErr w:type="gramEnd"/>
      <w:r w:rsidRPr="0007379C">
        <w:t xml:space="preserve"> significant justice and regulatory reforms, including the governance overhaul of the Victorian thoroughbred racing industry. She is currently a Senior Adviser, Research and Advocacy at the Centre for Innovative Justice at RMIT University. Megan is also a Director of RASL. </w:t>
      </w:r>
    </w:p>
    <w:p w14:paraId="3EE9CE41" w14:textId="1CABCD1F" w:rsidR="00B37903" w:rsidRPr="0007379C" w:rsidRDefault="00B37903" w:rsidP="00B37903">
      <w:pPr>
        <w:pStyle w:val="Heading3"/>
      </w:pPr>
      <w:r w:rsidRPr="00B37903">
        <w:t xml:space="preserve">MS AMELIA LYNCH, MEMBER </w:t>
      </w:r>
    </w:p>
    <w:p w14:paraId="2A9A5913" w14:textId="05E8D2A4" w:rsidR="00B37903" w:rsidRPr="0007379C" w:rsidRDefault="00B37903" w:rsidP="00B37903">
      <w:r w:rsidRPr="0007379C">
        <w:t>Appointed</w:t>
      </w:r>
      <w:r>
        <w:t>:</w:t>
      </w:r>
      <w:r w:rsidRPr="0007379C">
        <w:t xml:space="preserve"> 1 August 2019 </w:t>
      </w:r>
    </w:p>
    <w:p w14:paraId="7E57EFFC" w14:textId="4FE58FC8" w:rsidR="00B37903" w:rsidRPr="0007379C" w:rsidRDefault="00B37903" w:rsidP="00B37903">
      <w:r w:rsidRPr="0007379C">
        <w:t>Term end</w:t>
      </w:r>
      <w:r>
        <w:t>:</w:t>
      </w:r>
      <w:r w:rsidRPr="0007379C">
        <w:t xml:space="preserve"> 31 July 2024 </w:t>
      </w:r>
    </w:p>
    <w:p w14:paraId="649F419B" w14:textId="01614DFC" w:rsidR="00B37903" w:rsidRPr="0007379C" w:rsidRDefault="00B37903" w:rsidP="00B37903">
      <w:r w:rsidRPr="0007379C">
        <w:t xml:space="preserve">Amelia is a Partner at Lander &amp; Rogers and head of the Sport and Leisure team. She has developed a specialist practice in sports law, advising a broad range of clients in the sport, leisure and major events industry including national and state sporting organisations, professional sports clubs, racing clubs, major event organisers, venue/facility managers and government sport/recreation departments. She is a Director of the Victorian Institute of Sport and former Director of the Australia and New Zealand Sports Law Association. </w:t>
      </w:r>
    </w:p>
    <w:p w14:paraId="68D02693" w14:textId="6B0288E5" w:rsidR="00B37903" w:rsidRPr="0007379C" w:rsidRDefault="00B37903" w:rsidP="00B37903">
      <w:pPr>
        <w:pStyle w:val="Heading3"/>
      </w:pPr>
      <w:r w:rsidRPr="00B37903">
        <w:t xml:space="preserve">MR JOHN BARRETT, MEMBER </w:t>
      </w:r>
    </w:p>
    <w:p w14:paraId="1464B64A" w14:textId="5B4AA3E3" w:rsidR="00B37903" w:rsidRPr="0007379C" w:rsidRDefault="00B37903" w:rsidP="00B37903">
      <w:pPr>
        <w:keepNext/>
      </w:pPr>
      <w:r w:rsidRPr="0007379C">
        <w:t>Appointed 1</w:t>
      </w:r>
      <w:r>
        <w:t>:</w:t>
      </w:r>
      <w:r w:rsidRPr="0007379C">
        <w:t xml:space="preserve"> August 2019 </w:t>
      </w:r>
    </w:p>
    <w:p w14:paraId="76B1E309" w14:textId="597E2E7B" w:rsidR="00B37903" w:rsidRPr="0007379C" w:rsidRDefault="00B37903" w:rsidP="00B37903">
      <w:pPr>
        <w:keepNext/>
      </w:pPr>
      <w:r w:rsidRPr="0007379C">
        <w:t>Term end</w:t>
      </w:r>
      <w:r>
        <w:t>:</w:t>
      </w:r>
      <w:r w:rsidRPr="0007379C">
        <w:t xml:space="preserve"> 31 July 2023 </w:t>
      </w:r>
    </w:p>
    <w:p w14:paraId="3609A85A" w14:textId="46209D16" w:rsidR="0007379C" w:rsidRPr="0007379C" w:rsidRDefault="00B37903" w:rsidP="0007379C">
      <w:r w:rsidRPr="0007379C">
        <w:t xml:space="preserve">John is a former Independent Member of the Greyhound Racing Victoria Integrity Council, Chief Executive of the Racing Industry Development Authority (SA), and General Manager of the Bookmakers Licensing Board (SA). He is an executive management consultant with extensive experience in governance, business performance and innovation across the public and not-for-profit sectors. A Member of the Australian Institute of Company Directors, he has previously held several executive </w:t>
      </w:r>
      <w:proofErr w:type="gramStart"/>
      <w:r w:rsidRPr="0007379C">
        <w:t>director</w:t>
      </w:r>
      <w:proofErr w:type="gramEnd"/>
      <w:r w:rsidRPr="0007379C">
        <w:t xml:space="preserve">, non-executive director, company secretary and statutory regulator roles. </w:t>
      </w:r>
    </w:p>
    <w:p w14:paraId="2E3FEDC6" w14:textId="77777777" w:rsidR="005F65BC" w:rsidRPr="0007379C" w:rsidRDefault="005F65BC" w:rsidP="0007379C">
      <w:pPr>
        <w:pStyle w:val="Heading3"/>
      </w:pPr>
      <w:r w:rsidRPr="0007379C">
        <w:lastRenderedPageBreak/>
        <w:t xml:space="preserve">Meeting attendance </w:t>
      </w:r>
    </w:p>
    <w:tbl>
      <w:tblPr>
        <w:tblStyle w:val="TableGrid"/>
        <w:tblW w:w="0" w:type="auto"/>
        <w:tblLook w:val="04A0" w:firstRow="1" w:lastRow="0" w:firstColumn="1" w:lastColumn="0" w:noHBand="0" w:noVBand="1"/>
      </w:tblPr>
      <w:tblGrid>
        <w:gridCol w:w="4390"/>
        <w:gridCol w:w="2418"/>
        <w:gridCol w:w="2419"/>
      </w:tblGrid>
      <w:tr w:rsidR="0007379C" w:rsidRPr="0007379C" w14:paraId="7254F398" w14:textId="77777777" w:rsidTr="0007379C">
        <w:tc>
          <w:tcPr>
            <w:tcW w:w="4390" w:type="dxa"/>
          </w:tcPr>
          <w:p w14:paraId="5D7FE03A" w14:textId="77777777" w:rsidR="0007379C" w:rsidRPr="0007379C" w:rsidRDefault="0007379C" w:rsidP="0007379C">
            <w:pPr>
              <w:pStyle w:val="TableColumnHeadings"/>
              <w:rPr>
                <w:rFonts w:eastAsiaTheme="minorHAnsi"/>
              </w:rPr>
            </w:pPr>
            <w:r w:rsidRPr="0007379C">
              <w:rPr>
                <w:rFonts w:eastAsiaTheme="minorHAnsi"/>
              </w:rPr>
              <w:t xml:space="preserve">Board member </w:t>
            </w:r>
          </w:p>
        </w:tc>
        <w:tc>
          <w:tcPr>
            <w:tcW w:w="2418" w:type="dxa"/>
          </w:tcPr>
          <w:p w14:paraId="0DCA0729" w14:textId="22C2D28D" w:rsidR="0007379C" w:rsidRPr="0007379C" w:rsidRDefault="0007379C" w:rsidP="0007379C">
            <w:pPr>
              <w:pStyle w:val="TableColumnHeadings"/>
              <w:jc w:val="center"/>
              <w:rPr>
                <w:rFonts w:eastAsiaTheme="minorHAnsi"/>
              </w:rPr>
            </w:pPr>
            <w:r w:rsidRPr="0007379C">
              <w:rPr>
                <w:rFonts w:eastAsiaTheme="minorHAnsi"/>
              </w:rPr>
              <w:t>Eligible to attend</w:t>
            </w:r>
          </w:p>
        </w:tc>
        <w:tc>
          <w:tcPr>
            <w:tcW w:w="2419" w:type="dxa"/>
          </w:tcPr>
          <w:p w14:paraId="1A816D90" w14:textId="77777777" w:rsidR="0007379C" w:rsidRPr="0007379C" w:rsidRDefault="0007379C" w:rsidP="0007379C">
            <w:pPr>
              <w:pStyle w:val="TableColumnHeadings"/>
              <w:jc w:val="center"/>
              <w:rPr>
                <w:rFonts w:eastAsiaTheme="minorHAnsi"/>
              </w:rPr>
            </w:pPr>
            <w:r w:rsidRPr="0007379C">
              <w:rPr>
                <w:rFonts w:eastAsiaTheme="minorHAnsi"/>
              </w:rPr>
              <w:t>Meetings attended</w:t>
            </w:r>
          </w:p>
        </w:tc>
      </w:tr>
      <w:tr w:rsidR="0007379C" w:rsidRPr="0007379C" w14:paraId="7A4AAD1E" w14:textId="77777777" w:rsidTr="0007379C">
        <w:tc>
          <w:tcPr>
            <w:tcW w:w="4390" w:type="dxa"/>
          </w:tcPr>
          <w:p w14:paraId="4011F698" w14:textId="77777777" w:rsidR="0007379C" w:rsidRPr="0007379C" w:rsidRDefault="0007379C" w:rsidP="0007379C">
            <w:pPr>
              <w:pStyle w:val="Tabletext"/>
              <w:rPr>
                <w:rFonts w:eastAsiaTheme="minorHAnsi"/>
              </w:rPr>
            </w:pPr>
            <w:r w:rsidRPr="0007379C">
              <w:rPr>
                <w:rFonts w:eastAsiaTheme="minorHAnsi"/>
              </w:rPr>
              <w:t xml:space="preserve">The Hon Justice John Forrest QC </w:t>
            </w:r>
          </w:p>
        </w:tc>
        <w:tc>
          <w:tcPr>
            <w:tcW w:w="2418" w:type="dxa"/>
          </w:tcPr>
          <w:p w14:paraId="0C2E001C" w14:textId="27143388"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5BC6F24F" w14:textId="77777777" w:rsidR="0007379C" w:rsidRPr="0007379C" w:rsidRDefault="0007379C" w:rsidP="0007379C">
            <w:pPr>
              <w:pStyle w:val="Tabletext"/>
              <w:jc w:val="center"/>
              <w:rPr>
                <w:rFonts w:eastAsiaTheme="minorHAnsi"/>
              </w:rPr>
            </w:pPr>
            <w:r w:rsidRPr="0007379C">
              <w:rPr>
                <w:rFonts w:eastAsiaTheme="minorHAnsi"/>
              </w:rPr>
              <w:t>5</w:t>
            </w:r>
          </w:p>
        </w:tc>
      </w:tr>
      <w:tr w:rsidR="0007379C" w:rsidRPr="0007379C" w14:paraId="4A0776A7" w14:textId="77777777" w:rsidTr="0007379C">
        <w:tc>
          <w:tcPr>
            <w:tcW w:w="4390" w:type="dxa"/>
          </w:tcPr>
          <w:p w14:paraId="1DE051BC" w14:textId="77777777" w:rsidR="0007379C" w:rsidRPr="0007379C" w:rsidRDefault="0007379C" w:rsidP="0007379C">
            <w:pPr>
              <w:pStyle w:val="Tabletext"/>
              <w:rPr>
                <w:rFonts w:eastAsiaTheme="minorHAnsi"/>
              </w:rPr>
            </w:pPr>
            <w:r w:rsidRPr="0007379C">
              <w:rPr>
                <w:rFonts w:eastAsiaTheme="minorHAnsi"/>
              </w:rPr>
              <w:t xml:space="preserve">Peter Young AM QC </w:t>
            </w:r>
          </w:p>
        </w:tc>
        <w:tc>
          <w:tcPr>
            <w:tcW w:w="2418" w:type="dxa"/>
          </w:tcPr>
          <w:p w14:paraId="41AC5A43" w14:textId="4D09A6BF"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0C0F8254" w14:textId="77777777" w:rsidR="0007379C" w:rsidRPr="0007379C" w:rsidRDefault="0007379C" w:rsidP="0007379C">
            <w:pPr>
              <w:pStyle w:val="Tabletext"/>
              <w:jc w:val="center"/>
              <w:rPr>
                <w:rFonts w:eastAsiaTheme="minorHAnsi"/>
              </w:rPr>
            </w:pPr>
            <w:r w:rsidRPr="0007379C">
              <w:rPr>
                <w:rFonts w:eastAsiaTheme="minorHAnsi"/>
              </w:rPr>
              <w:t>5</w:t>
            </w:r>
          </w:p>
        </w:tc>
      </w:tr>
      <w:tr w:rsidR="0007379C" w:rsidRPr="0007379C" w14:paraId="497C8362" w14:textId="77777777" w:rsidTr="0007379C">
        <w:tc>
          <w:tcPr>
            <w:tcW w:w="4390" w:type="dxa"/>
          </w:tcPr>
          <w:p w14:paraId="1B5FCFF8" w14:textId="77777777" w:rsidR="0007379C" w:rsidRPr="0007379C" w:rsidRDefault="0007379C" w:rsidP="0007379C">
            <w:pPr>
              <w:pStyle w:val="Tabletext"/>
              <w:rPr>
                <w:rFonts w:eastAsiaTheme="minorHAnsi"/>
              </w:rPr>
            </w:pPr>
            <w:r w:rsidRPr="0007379C">
              <w:rPr>
                <w:rFonts w:eastAsiaTheme="minorHAnsi"/>
              </w:rPr>
              <w:t xml:space="preserve">Her Hon Magistrate Jacqueline Billings </w:t>
            </w:r>
          </w:p>
        </w:tc>
        <w:tc>
          <w:tcPr>
            <w:tcW w:w="2418" w:type="dxa"/>
          </w:tcPr>
          <w:p w14:paraId="45BA14C4" w14:textId="064ECC06"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0EBB7B79" w14:textId="77777777" w:rsidR="0007379C" w:rsidRPr="0007379C" w:rsidRDefault="0007379C" w:rsidP="0007379C">
            <w:pPr>
              <w:pStyle w:val="Tabletext"/>
              <w:jc w:val="center"/>
              <w:rPr>
                <w:rFonts w:eastAsiaTheme="minorHAnsi"/>
              </w:rPr>
            </w:pPr>
            <w:r w:rsidRPr="0007379C">
              <w:rPr>
                <w:rFonts w:eastAsiaTheme="minorHAnsi"/>
              </w:rPr>
              <w:t>7</w:t>
            </w:r>
          </w:p>
        </w:tc>
      </w:tr>
      <w:tr w:rsidR="0007379C" w:rsidRPr="0007379C" w14:paraId="08D94F28" w14:textId="77777777" w:rsidTr="0007379C">
        <w:tc>
          <w:tcPr>
            <w:tcW w:w="4390" w:type="dxa"/>
          </w:tcPr>
          <w:p w14:paraId="48C929CE" w14:textId="77777777" w:rsidR="0007379C" w:rsidRPr="0007379C" w:rsidRDefault="0007379C" w:rsidP="0007379C">
            <w:pPr>
              <w:pStyle w:val="Tabletext"/>
              <w:rPr>
                <w:rFonts w:eastAsiaTheme="minorHAnsi"/>
              </w:rPr>
            </w:pPr>
            <w:r w:rsidRPr="0007379C">
              <w:rPr>
                <w:rFonts w:eastAsiaTheme="minorHAnsi"/>
              </w:rPr>
              <w:t xml:space="preserve">Elizabeth Ann Clarke AM </w:t>
            </w:r>
          </w:p>
        </w:tc>
        <w:tc>
          <w:tcPr>
            <w:tcW w:w="2418" w:type="dxa"/>
          </w:tcPr>
          <w:p w14:paraId="6855B08E" w14:textId="17F5C578"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3A6326EE" w14:textId="77777777" w:rsidR="0007379C" w:rsidRPr="0007379C" w:rsidRDefault="0007379C" w:rsidP="0007379C">
            <w:pPr>
              <w:pStyle w:val="Tabletext"/>
              <w:jc w:val="center"/>
              <w:rPr>
                <w:rFonts w:eastAsiaTheme="minorHAnsi"/>
              </w:rPr>
            </w:pPr>
            <w:r w:rsidRPr="0007379C">
              <w:rPr>
                <w:rFonts w:eastAsiaTheme="minorHAnsi"/>
              </w:rPr>
              <w:t>6</w:t>
            </w:r>
          </w:p>
        </w:tc>
      </w:tr>
      <w:tr w:rsidR="0007379C" w:rsidRPr="0007379C" w14:paraId="5B9A2510" w14:textId="77777777" w:rsidTr="0007379C">
        <w:tc>
          <w:tcPr>
            <w:tcW w:w="4390" w:type="dxa"/>
          </w:tcPr>
          <w:p w14:paraId="13BE6B14" w14:textId="77777777" w:rsidR="0007379C" w:rsidRPr="0007379C" w:rsidRDefault="0007379C" w:rsidP="0007379C">
            <w:pPr>
              <w:pStyle w:val="Tabletext"/>
              <w:rPr>
                <w:rFonts w:eastAsiaTheme="minorHAnsi"/>
              </w:rPr>
            </w:pPr>
            <w:r w:rsidRPr="0007379C">
              <w:rPr>
                <w:rFonts w:eastAsiaTheme="minorHAnsi"/>
              </w:rPr>
              <w:t xml:space="preserve">Bryan </w:t>
            </w:r>
            <w:proofErr w:type="spellStart"/>
            <w:r w:rsidRPr="0007379C">
              <w:rPr>
                <w:rFonts w:eastAsiaTheme="minorHAnsi"/>
              </w:rPr>
              <w:t>Gurry</w:t>
            </w:r>
            <w:proofErr w:type="spellEnd"/>
            <w:r w:rsidRPr="0007379C">
              <w:rPr>
                <w:rFonts w:eastAsiaTheme="minorHAnsi"/>
              </w:rPr>
              <w:t xml:space="preserve"> </w:t>
            </w:r>
          </w:p>
        </w:tc>
        <w:tc>
          <w:tcPr>
            <w:tcW w:w="2418" w:type="dxa"/>
          </w:tcPr>
          <w:p w14:paraId="0B1EA4ED" w14:textId="4AA5446A"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31A9D697" w14:textId="77777777" w:rsidR="0007379C" w:rsidRPr="0007379C" w:rsidRDefault="0007379C" w:rsidP="0007379C">
            <w:pPr>
              <w:pStyle w:val="Tabletext"/>
              <w:jc w:val="center"/>
              <w:rPr>
                <w:rFonts w:eastAsiaTheme="minorHAnsi"/>
              </w:rPr>
            </w:pPr>
            <w:r w:rsidRPr="0007379C">
              <w:rPr>
                <w:rFonts w:eastAsiaTheme="minorHAnsi"/>
              </w:rPr>
              <w:t>7</w:t>
            </w:r>
          </w:p>
        </w:tc>
      </w:tr>
      <w:tr w:rsidR="0007379C" w:rsidRPr="0007379C" w14:paraId="4CAFCB57" w14:textId="77777777" w:rsidTr="0007379C">
        <w:tc>
          <w:tcPr>
            <w:tcW w:w="4390" w:type="dxa"/>
          </w:tcPr>
          <w:p w14:paraId="438CB838" w14:textId="77777777" w:rsidR="0007379C" w:rsidRPr="0007379C" w:rsidRDefault="0007379C" w:rsidP="0007379C">
            <w:pPr>
              <w:pStyle w:val="Tabletext"/>
              <w:rPr>
                <w:rFonts w:eastAsiaTheme="minorHAnsi"/>
              </w:rPr>
            </w:pPr>
            <w:r w:rsidRPr="0007379C">
              <w:rPr>
                <w:rFonts w:eastAsiaTheme="minorHAnsi"/>
              </w:rPr>
              <w:t xml:space="preserve">Dr Catherine (Kate) Savage </w:t>
            </w:r>
          </w:p>
        </w:tc>
        <w:tc>
          <w:tcPr>
            <w:tcW w:w="2418" w:type="dxa"/>
          </w:tcPr>
          <w:p w14:paraId="08841B48" w14:textId="413E7CB6"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4F1751F4" w14:textId="77777777" w:rsidR="0007379C" w:rsidRPr="0007379C" w:rsidRDefault="0007379C" w:rsidP="0007379C">
            <w:pPr>
              <w:pStyle w:val="Tabletext"/>
              <w:jc w:val="center"/>
              <w:rPr>
                <w:rFonts w:eastAsiaTheme="minorHAnsi"/>
              </w:rPr>
            </w:pPr>
            <w:r w:rsidRPr="0007379C">
              <w:rPr>
                <w:rFonts w:eastAsiaTheme="minorHAnsi"/>
              </w:rPr>
              <w:t>7</w:t>
            </w:r>
          </w:p>
        </w:tc>
      </w:tr>
      <w:tr w:rsidR="0007379C" w:rsidRPr="0007379C" w14:paraId="7EAD6D56" w14:textId="77777777" w:rsidTr="0007379C">
        <w:tc>
          <w:tcPr>
            <w:tcW w:w="4390" w:type="dxa"/>
          </w:tcPr>
          <w:p w14:paraId="0F18B04F" w14:textId="77777777" w:rsidR="0007379C" w:rsidRPr="0007379C" w:rsidRDefault="0007379C" w:rsidP="0007379C">
            <w:pPr>
              <w:pStyle w:val="Tabletext"/>
              <w:rPr>
                <w:rFonts w:eastAsiaTheme="minorHAnsi"/>
              </w:rPr>
            </w:pPr>
            <w:r w:rsidRPr="0007379C">
              <w:rPr>
                <w:rFonts w:eastAsiaTheme="minorHAnsi"/>
              </w:rPr>
              <w:t xml:space="preserve">Megan Hughes </w:t>
            </w:r>
          </w:p>
        </w:tc>
        <w:tc>
          <w:tcPr>
            <w:tcW w:w="2418" w:type="dxa"/>
          </w:tcPr>
          <w:p w14:paraId="41308929" w14:textId="154322AB"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7E0AC827" w14:textId="77777777" w:rsidR="0007379C" w:rsidRPr="0007379C" w:rsidRDefault="0007379C" w:rsidP="0007379C">
            <w:pPr>
              <w:pStyle w:val="Tabletext"/>
              <w:jc w:val="center"/>
              <w:rPr>
                <w:rFonts w:eastAsiaTheme="minorHAnsi"/>
              </w:rPr>
            </w:pPr>
            <w:r w:rsidRPr="0007379C">
              <w:rPr>
                <w:rFonts w:eastAsiaTheme="minorHAnsi"/>
              </w:rPr>
              <w:t>7</w:t>
            </w:r>
          </w:p>
        </w:tc>
      </w:tr>
      <w:tr w:rsidR="0007379C" w:rsidRPr="0007379C" w14:paraId="5BFD5FA0" w14:textId="77777777" w:rsidTr="0007379C">
        <w:tc>
          <w:tcPr>
            <w:tcW w:w="4390" w:type="dxa"/>
          </w:tcPr>
          <w:p w14:paraId="5E486F1B" w14:textId="77777777" w:rsidR="0007379C" w:rsidRPr="0007379C" w:rsidRDefault="0007379C" w:rsidP="0007379C">
            <w:pPr>
              <w:pStyle w:val="Tabletext"/>
              <w:rPr>
                <w:rFonts w:eastAsiaTheme="minorHAnsi"/>
              </w:rPr>
            </w:pPr>
            <w:r w:rsidRPr="0007379C">
              <w:rPr>
                <w:rFonts w:eastAsiaTheme="minorHAnsi"/>
              </w:rPr>
              <w:t xml:space="preserve">Amelia Lynch </w:t>
            </w:r>
          </w:p>
        </w:tc>
        <w:tc>
          <w:tcPr>
            <w:tcW w:w="2418" w:type="dxa"/>
          </w:tcPr>
          <w:p w14:paraId="1BDB4A2F" w14:textId="4B95B7B6"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46B9ABB7" w14:textId="77777777" w:rsidR="0007379C" w:rsidRPr="0007379C" w:rsidRDefault="0007379C" w:rsidP="0007379C">
            <w:pPr>
              <w:pStyle w:val="Tabletext"/>
              <w:jc w:val="center"/>
              <w:rPr>
                <w:rFonts w:eastAsiaTheme="minorHAnsi"/>
              </w:rPr>
            </w:pPr>
            <w:r w:rsidRPr="0007379C">
              <w:rPr>
                <w:rFonts w:eastAsiaTheme="minorHAnsi"/>
              </w:rPr>
              <w:t>7</w:t>
            </w:r>
          </w:p>
        </w:tc>
      </w:tr>
      <w:tr w:rsidR="0007379C" w:rsidRPr="0007379C" w14:paraId="3978149A" w14:textId="77777777" w:rsidTr="0007379C">
        <w:tc>
          <w:tcPr>
            <w:tcW w:w="4390" w:type="dxa"/>
          </w:tcPr>
          <w:p w14:paraId="224A564B" w14:textId="77777777" w:rsidR="0007379C" w:rsidRPr="0007379C" w:rsidRDefault="0007379C" w:rsidP="0007379C">
            <w:pPr>
              <w:pStyle w:val="Tabletext"/>
              <w:rPr>
                <w:rFonts w:eastAsiaTheme="minorHAnsi"/>
              </w:rPr>
            </w:pPr>
            <w:r w:rsidRPr="0007379C">
              <w:rPr>
                <w:rFonts w:eastAsiaTheme="minorHAnsi"/>
              </w:rPr>
              <w:t xml:space="preserve">John Barrett </w:t>
            </w:r>
          </w:p>
        </w:tc>
        <w:tc>
          <w:tcPr>
            <w:tcW w:w="2418" w:type="dxa"/>
          </w:tcPr>
          <w:p w14:paraId="18DD3492" w14:textId="49B5A6CB" w:rsidR="0007379C" w:rsidRPr="0007379C" w:rsidRDefault="0007379C" w:rsidP="0007379C">
            <w:pPr>
              <w:pStyle w:val="Tabletext"/>
              <w:jc w:val="center"/>
              <w:rPr>
                <w:rFonts w:eastAsiaTheme="minorHAnsi"/>
              </w:rPr>
            </w:pPr>
            <w:r w:rsidRPr="0007379C">
              <w:rPr>
                <w:rFonts w:eastAsiaTheme="minorHAnsi"/>
              </w:rPr>
              <w:t>7</w:t>
            </w:r>
          </w:p>
        </w:tc>
        <w:tc>
          <w:tcPr>
            <w:tcW w:w="2419" w:type="dxa"/>
          </w:tcPr>
          <w:p w14:paraId="793676CA" w14:textId="77777777" w:rsidR="0007379C" w:rsidRPr="0007379C" w:rsidRDefault="0007379C" w:rsidP="0007379C">
            <w:pPr>
              <w:pStyle w:val="Tabletext"/>
              <w:jc w:val="center"/>
            </w:pPr>
            <w:r w:rsidRPr="0007379C">
              <w:rPr>
                <w:rFonts w:eastAsiaTheme="minorHAnsi"/>
              </w:rPr>
              <w:t>7</w:t>
            </w:r>
          </w:p>
        </w:tc>
      </w:tr>
    </w:tbl>
    <w:p w14:paraId="1AA7E9BB" w14:textId="714D0A72" w:rsidR="005F65BC" w:rsidRPr="0007379C" w:rsidRDefault="005F65BC" w:rsidP="0007379C"/>
    <w:p w14:paraId="739C0B9F" w14:textId="465AB3D1" w:rsidR="005F65BC" w:rsidRPr="00B37903" w:rsidRDefault="005F65BC" w:rsidP="00B37903">
      <w:pPr>
        <w:pStyle w:val="Heading2"/>
      </w:pPr>
      <w:bookmarkStart w:id="10" w:name="_Toc130411463"/>
      <w:r w:rsidRPr="00DE25C4">
        <w:t>VISION, PURPOSE &amp; APPROACH</w:t>
      </w:r>
      <w:bookmarkEnd w:id="10"/>
    </w:p>
    <w:p w14:paraId="1E937361" w14:textId="58AE1ABC" w:rsidR="005F65BC" w:rsidRPr="00B37903" w:rsidRDefault="005F65BC" w:rsidP="00B37903">
      <w:pPr>
        <w:pStyle w:val="Heading3"/>
      </w:pPr>
      <w:r w:rsidRPr="00DE25C4">
        <w:t xml:space="preserve">OUR VISION </w:t>
      </w:r>
    </w:p>
    <w:p w14:paraId="3F0628AB" w14:textId="21C7111C" w:rsidR="005F65BC" w:rsidRPr="00B37903" w:rsidRDefault="005F65BC" w:rsidP="00B37903">
      <w:r w:rsidRPr="00B37903">
        <w:t xml:space="preserve">A fair and clean racing industry that champions high standards of integrity and proactively seeks to ensure a level playing field for all participants. </w:t>
      </w:r>
    </w:p>
    <w:p w14:paraId="791C477E" w14:textId="47882A2C" w:rsidR="005F65BC" w:rsidRPr="00B37903" w:rsidRDefault="005F65BC" w:rsidP="00B37903">
      <w:pPr>
        <w:pStyle w:val="Heading3"/>
      </w:pPr>
      <w:r w:rsidRPr="00B37903">
        <w:t xml:space="preserve">OUR PURPOSE </w:t>
      </w:r>
    </w:p>
    <w:p w14:paraId="70E9C443" w14:textId="143DF439" w:rsidR="005F65BC" w:rsidRPr="00B37903" w:rsidRDefault="005F65BC" w:rsidP="00B37903">
      <w:r w:rsidRPr="00B37903">
        <w:t>Promote confidence in the Victorian racing industry through independent and transparent oversight of the controlling bodies</w:t>
      </w:r>
      <w:r w:rsidR="00B37903">
        <w:t>’</w:t>
      </w:r>
      <w:r w:rsidRPr="00B37903">
        <w:t xml:space="preserve"> integrity functions, to maintain high standards and enhance accountability. </w:t>
      </w:r>
    </w:p>
    <w:p w14:paraId="7CDA6FE8" w14:textId="4D06E205" w:rsidR="005F65BC" w:rsidRPr="00B37903" w:rsidRDefault="005F65BC" w:rsidP="00B37903">
      <w:pPr>
        <w:pStyle w:val="Heading3"/>
      </w:pPr>
      <w:r w:rsidRPr="00B37903">
        <w:t>OUR APPROACH</w:t>
      </w:r>
    </w:p>
    <w:p w14:paraId="4DBF7A6E" w14:textId="65387AEB" w:rsidR="005F65BC" w:rsidRPr="00B37903" w:rsidRDefault="005F65BC" w:rsidP="00B37903">
      <w:r w:rsidRPr="00B37903">
        <w:t xml:space="preserve">Provide independent, impartial advice and recommendations about integrity issues to the controlling bodies and government, oversee industry collaboration, and promote innovation through identification and endorsement of integrity best practice. </w:t>
      </w:r>
    </w:p>
    <w:p w14:paraId="4BC8883C" w14:textId="61C48656" w:rsidR="005F65BC" w:rsidRPr="00B37903" w:rsidRDefault="005F65BC" w:rsidP="00B37903">
      <w:pPr>
        <w:pStyle w:val="Heading2"/>
      </w:pPr>
      <w:bookmarkStart w:id="11" w:name="_Toc130411464"/>
      <w:r w:rsidRPr="00DE25C4">
        <w:t>WHAT WE DO</w:t>
      </w:r>
      <w:bookmarkEnd w:id="11"/>
      <w:r w:rsidRPr="00DE25C4">
        <w:t xml:space="preserve"> </w:t>
      </w:r>
    </w:p>
    <w:p w14:paraId="36E72A39" w14:textId="4D64CAA0" w:rsidR="005F65BC" w:rsidRPr="00B37903" w:rsidRDefault="005F65BC" w:rsidP="00B37903">
      <w:pPr>
        <w:pStyle w:val="Normalbeforebullet"/>
      </w:pPr>
      <w:r w:rsidRPr="00B37903">
        <w:t>VRIB provides independent oversight of Victorian racing integrity by</w:t>
      </w:r>
      <w:r w:rsidR="00B37903">
        <w:t>–</w:t>
      </w:r>
      <w:r w:rsidRPr="00B37903">
        <w:t xml:space="preserve"> </w:t>
      </w:r>
    </w:p>
    <w:p w14:paraId="366726E4" w14:textId="77777777" w:rsidR="005F65BC" w:rsidRPr="00B37903" w:rsidRDefault="005F65BC" w:rsidP="00B37903">
      <w:pPr>
        <w:pStyle w:val="Bullet"/>
      </w:pPr>
      <w:r w:rsidRPr="00B37903">
        <w:t xml:space="preserve">ensuring that integrity functions are not compromised by the commercial considerations of the controlling </w:t>
      </w:r>
      <w:proofErr w:type="gramStart"/>
      <w:r w:rsidRPr="00B37903">
        <w:t>bodies</w:t>
      </w:r>
      <w:proofErr w:type="gramEnd"/>
      <w:r w:rsidRPr="00B37903">
        <w:t xml:space="preserve"> </w:t>
      </w:r>
    </w:p>
    <w:p w14:paraId="2CE966CA" w14:textId="77777777" w:rsidR="005F65BC" w:rsidRPr="00B37903" w:rsidRDefault="005F65BC" w:rsidP="00B37903">
      <w:pPr>
        <w:pStyle w:val="Bullet"/>
      </w:pPr>
      <w:r w:rsidRPr="00B37903">
        <w:t xml:space="preserve">increasing the transparency and accountability of integrity functions </w:t>
      </w:r>
    </w:p>
    <w:p w14:paraId="08D84FB5" w14:textId="77777777" w:rsidR="005F65BC" w:rsidRPr="00B37903" w:rsidRDefault="005F65BC" w:rsidP="00B37903">
      <w:pPr>
        <w:pStyle w:val="Bulletlast"/>
      </w:pPr>
      <w:r w:rsidRPr="00B37903">
        <w:t xml:space="preserve">enhancing cross-code collaboration about integrity matters. </w:t>
      </w:r>
    </w:p>
    <w:p w14:paraId="2558BDE5" w14:textId="4DFCAD56" w:rsidR="005F65BC" w:rsidRPr="00B37903" w:rsidRDefault="005F65BC" w:rsidP="00B37903">
      <w:r w:rsidRPr="00B37903">
        <w:t xml:space="preserve">Primary responsibility for the control of racing, including the performance of integrity functions and compliance with the rules of racing, lies with the controlling bodies. </w:t>
      </w:r>
    </w:p>
    <w:p w14:paraId="786A8FDA" w14:textId="36B4C606" w:rsidR="005F65BC" w:rsidRPr="00B37903" w:rsidRDefault="005F65BC" w:rsidP="00B37903">
      <w:pPr>
        <w:pStyle w:val="Normalbeforebullet"/>
      </w:pPr>
      <w:r w:rsidRPr="00B37903">
        <w:t>VRIB only has power to oversight animal welfare issues that relate to racing integrity. VRIB</w:t>
      </w:r>
      <w:r w:rsidR="00B37903">
        <w:t>’</w:t>
      </w:r>
      <w:r w:rsidRPr="00B37903">
        <w:t>s functions are set out in the Racing Act and are advisory in nature. The board has oversight of the controlling bodies</w:t>
      </w:r>
      <w:r w:rsidR="00B37903">
        <w:t>’</w:t>
      </w:r>
      <w:r w:rsidRPr="00B37903">
        <w:t xml:space="preserve"> performance in the following key areas</w:t>
      </w:r>
      <w:r w:rsidR="00B37903">
        <w:t>–</w:t>
      </w:r>
    </w:p>
    <w:p w14:paraId="12C6E740" w14:textId="77777777" w:rsidR="005F65BC" w:rsidRPr="00B37903" w:rsidRDefault="005F65BC" w:rsidP="00B37903">
      <w:pPr>
        <w:pStyle w:val="Bullet"/>
      </w:pPr>
      <w:r w:rsidRPr="00B37903">
        <w:t xml:space="preserve">integrity plans, budgets and resourcing </w:t>
      </w:r>
    </w:p>
    <w:p w14:paraId="33721588" w14:textId="77777777" w:rsidR="005F65BC" w:rsidRPr="00B37903" w:rsidRDefault="005F65BC" w:rsidP="00B37903">
      <w:pPr>
        <w:pStyle w:val="Bullet"/>
      </w:pPr>
      <w:r w:rsidRPr="00B37903">
        <w:t xml:space="preserve">integrity policy and licensing policy and procedure </w:t>
      </w:r>
    </w:p>
    <w:p w14:paraId="2ECD2540" w14:textId="77777777" w:rsidR="005F65BC" w:rsidRPr="00B37903" w:rsidRDefault="005F65BC" w:rsidP="00B37903">
      <w:pPr>
        <w:pStyle w:val="Bullet"/>
      </w:pPr>
      <w:r w:rsidRPr="00B37903">
        <w:t xml:space="preserve">integrity-related rules of racing </w:t>
      </w:r>
    </w:p>
    <w:p w14:paraId="11164F6F" w14:textId="77777777" w:rsidR="005F65BC" w:rsidRPr="00B37903" w:rsidRDefault="005F65BC" w:rsidP="00B37903">
      <w:pPr>
        <w:pStyle w:val="Bullet"/>
      </w:pPr>
      <w:r w:rsidRPr="00B37903">
        <w:lastRenderedPageBreak/>
        <w:t xml:space="preserve">complaints about integrity issues within a controlling body </w:t>
      </w:r>
    </w:p>
    <w:p w14:paraId="236AF098" w14:textId="77777777" w:rsidR="005F65BC" w:rsidRPr="00B37903" w:rsidRDefault="005F65BC" w:rsidP="00B37903">
      <w:pPr>
        <w:pStyle w:val="Bullet"/>
      </w:pPr>
      <w:r w:rsidRPr="00B37903">
        <w:t xml:space="preserve">disciplinary action proposed against a senior integrity </w:t>
      </w:r>
      <w:proofErr w:type="gramStart"/>
      <w:r w:rsidRPr="00B37903">
        <w:t>official</w:t>
      </w:r>
      <w:proofErr w:type="gramEnd"/>
      <w:r w:rsidRPr="00B37903">
        <w:t xml:space="preserve"> </w:t>
      </w:r>
    </w:p>
    <w:p w14:paraId="1152520A" w14:textId="77777777" w:rsidR="005F65BC" w:rsidRPr="00B37903" w:rsidRDefault="005F65BC" w:rsidP="00B37903">
      <w:pPr>
        <w:pStyle w:val="Bulletlast"/>
      </w:pPr>
      <w:r w:rsidRPr="00B37903">
        <w:t xml:space="preserve">shared services agreements between the controlling bodies. </w:t>
      </w:r>
    </w:p>
    <w:p w14:paraId="1C05C9AB" w14:textId="15511F48" w:rsidR="005F65BC" w:rsidRPr="00B37903" w:rsidRDefault="005F65BC" w:rsidP="00981972">
      <w:pPr>
        <w:pStyle w:val="Normalbeforebullet"/>
      </w:pPr>
      <w:r w:rsidRPr="00B37903">
        <w:t>VRIB</w:t>
      </w:r>
      <w:r w:rsidR="00B37903">
        <w:t>’</w:t>
      </w:r>
      <w:r w:rsidRPr="00B37903">
        <w:t>s oversight of racing integrity is jointly shared with ORIC. In contrast to the board, ORIC</w:t>
      </w:r>
      <w:r w:rsidR="00B37903">
        <w:t>’</w:t>
      </w:r>
      <w:r w:rsidRPr="00B37903">
        <w:t xml:space="preserve">s focus is more operational, and includes the following core </w:t>
      </w:r>
      <w:r w:rsidRPr="00981972">
        <w:t>functions</w:t>
      </w:r>
      <w:r w:rsidR="00B37903">
        <w:t>–</w:t>
      </w:r>
    </w:p>
    <w:p w14:paraId="434F0AED" w14:textId="77777777" w:rsidR="005F65BC" w:rsidRPr="00B37903" w:rsidRDefault="005F65BC" w:rsidP="00981972">
      <w:pPr>
        <w:pStyle w:val="Bullet"/>
      </w:pPr>
      <w:r w:rsidRPr="00B37903">
        <w:t xml:space="preserve">the conduct of annual audits of </w:t>
      </w:r>
      <w:r w:rsidRPr="00981972">
        <w:t>integrity</w:t>
      </w:r>
      <w:r w:rsidRPr="00B37903">
        <w:t xml:space="preserve"> processes and systems </w:t>
      </w:r>
    </w:p>
    <w:p w14:paraId="5063A9FE" w14:textId="77777777" w:rsidR="005F65BC" w:rsidRPr="00B37903" w:rsidRDefault="005F65BC" w:rsidP="00981972">
      <w:pPr>
        <w:pStyle w:val="Bulletlast"/>
      </w:pPr>
      <w:r w:rsidRPr="00B37903">
        <w:t xml:space="preserve">the investigation of </w:t>
      </w:r>
      <w:r w:rsidRPr="00981972">
        <w:t>complaints</w:t>
      </w:r>
      <w:r w:rsidRPr="00B37903">
        <w:t xml:space="preserve"> about integrity processes and systems and the conduct of controlling bodies. </w:t>
      </w:r>
    </w:p>
    <w:p w14:paraId="415C9672" w14:textId="77777777" w:rsidR="00500B5F" w:rsidRDefault="00500B5F" w:rsidP="00981972">
      <w:pPr>
        <w:pStyle w:val="Heading1"/>
        <w:sectPr w:rsidR="00500B5F" w:rsidSect="00980CE7">
          <w:pgSz w:w="11906" w:h="16838"/>
          <w:pgMar w:top="1134" w:right="1134" w:bottom="1134" w:left="1134" w:header="709" w:footer="709" w:gutter="0"/>
          <w:cols w:space="708"/>
          <w:docGrid w:linePitch="360"/>
        </w:sectPr>
      </w:pPr>
    </w:p>
    <w:p w14:paraId="08AEB219" w14:textId="6A3900AB" w:rsidR="005F65BC" w:rsidRPr="00B37903" w:rsidRDefault="005F65BC" w:rsidP="00981972">
      <w:pPr>
        <w:pStyle w:val="Heading1"/>
      </w:pPr>
      <w:bookmarkStart w:id="12" w:name="_Toc130411465"/>
      <w:r w:rsidRPr="00B37903">
        <w:lastRenderedPageBreak/>
        <w:t>2</w:t>
      </w:r>
      <w:r w:rsidR="00981972">
        <w:t>.</w:t>
      </w:r>
      <w:r w:rsidRPr="00B37903">
        <w:t xml:space="preserve"> YEAR IN REVIEW</w:t>
      </w:r>
      <w:bookmarkEnd w:id="12"/>
    </w:p>
    <w:p w14:paraId="74D99A6A" w14:textId="2F421F30" w:rsidR="005F65BC" w:rsidRPr="00B37903" w:rsidRDefault="005F65BC" w:rsidP="00981972">
      <w:pPr>
        <w:pStyle w:val="Heading2"/>
      </w:pPr>
      <w:bookmarkStart w:id="13" w:name="_Toc130411466"/>
      <w:r w:rsidRPr="00B37903">
        <w:t xml:space="preserve">OVERVIEW </w:t>
      </w:r>
      <w:r w:rsidRPr="00981972">
        <w:t>OF</w:t>
      </w:r>
      <w:r w:rsidRPr="00B37903">
        <w:t xml:space="preserve"> FUNCTIONS &amp; POWERS</w:t>
      </w:r>
      <w:bookmarkEnd w:id="13"/>
      <w:r w:rsidRPr="00B37903">
        <w:t xml:space="preserve"> </w:t>
      </w:r>
    </w:p>
    <w:p w14:paraId="0B114C9B" w14:textId="16F78760" w:rsidR="005F65BC" w:rsidRPr="00147C5E" w:rsidRDefault="005F65BC" w:rsidP="00147C5E">
      <w:pPr>
        <w:pStyle w:val="Normalbeforebullet"/>
        <w:rPr>
          <w:b/>
          <w:bCs/>
        </w:rPr>
      </w:pPr>
      <w:r w:rsidRPr="00147C5E">
        <w:rPr>
          <w:b/>
          <w:bCs/>
        </w:rPr>
        <w:t>Overview of VRIB</w:t>
      </w:r>
      <w:r w:rsidR="00981972" w:rsidRPr="00147C5E">
        <w:rPr>
          <w:b/>
          <w:bCs/>
        </w:rPr>
        <w:t>’</w:t>
      </w:r>
      <w:r w:rsidRPr="00147C5E">
        <w:rPr>
          <w:b/>
          <w:bCs/>
        </w:rPr>
        <w:t xml:space="preserve">s performance of statutory functions under Part IVB of the Racing Act </w:t>
      </w:r>
    </w:p>
    <w:tbl>
      <w:tblPr>
        <w:tblStyle w:val="TableGrid"/>
        <w:tblW w:w="14596" w:type="dxa"/>
        <w:tblLook w:val="04A0" w:firstRow="1" w:lastRow="0" w:firstColumn="1" w:lastColumn="0" w:noHBand="0" w:noVBand="1"/>
      </w:tblPr>
      <w:tblGrid>
        <w:gridCol w:w="2689"/>
        <w:gridCol w:w="5103"/>
        <w:gridCol w:w="6804"/>
      </w:tblGrid>
      <w:tr w:rsidR="00147C5E" w:rsidRPr="00500B5F" w14:paraId="195B323A" w14:textId="77777777" w:rsidTr="00147C5E">
        <w:trPr>
          <w:cantSplit/>
          <w:tblHeader/>
        </w:trPr>
        <w:tc>
          <w:tcPr>
            <w:tcW w:w="2689" w:type="dxa"/>
          </w:tcPr>
          <w:p w14:paraId="6248B264" w14:textId="77777777" w:rsidR="00500B5F" w:rsidRPr="00500B5F" w:rsidRDefault="00500B5F" w:rsidP="00500B5F">
            <w:pPr>
              <w:pStyle w:val="TableColumnHeadings"/>
              <w:rPr>
                <w:rFonts w:eastAsiaTheme="minorHAnsi"/>
              </w:rPr>
            </w:pPr>
            <w:r w:rsidRPr="00500B5F">
              <w:rPr>
                <w:rFonts w:eastAsiaTheme="minorHAnsi"/>
              </w:rPr>
              <w:t xml:space="preserve">Section </w:t>
            </w:r>
          </w:p>
        </w:tc>
        <w:tc>
          <w:tcPr>
            <w:tcW w:w="5103" w:type="dxa"/>
          </w:tcPr>
          <w:p w14:paraId="19F09453" w14:textId="77777777" w:rsidR="00500B5F" w:rsidRPr="00500B5F" w:rsidRDefault="00500B5F" w:rsidP="00500B5F">
            <w:pPr>
              <w:pStyle w:val="TableColumnHeadings"/>
              <w:rPr>
                <w:rFonts w:eastAsiaTheme="minorHAnsi"/>
              </w:rPr>
            </w:pPr>
            <w:r w:rsidRPr="00500B5F">
              <w:rPr>
                <w:rFonts w:eastAsiaTheme="minorHAnsi"/>
              </w:rPr>
              <w:t xml:space="preserve">Function </w:t>
            </w:r>
          </w:p>
        </w:tc>
        <w:tc>
          <w:tcPr>
            <w:tcW w:w="6804" w:type="dxa"/>
          </w:tcPr>
          <w:p w14:paraId="3D770081" w14:textId="350326AA" w:rsidR="00500B5F" w:rsidRPr="00500B5F" w:rsidRDefault="00500B5F" w:rsidP="00500B5F">
            <w:pPr>
              <w:pStyle w:val="TableColumnHeadings"/>
              <w:rPr>
                <w:rFonts w:eastAsiaTheme="minorHAnsi"/>
              </w:rPr>
            </w:pPr>
            <w:r w:rsidRPr="00500B5F">
              <w:rPr>
                <w:rFonts w:eastAsiaTheme="minorHAnsi"/>
              </w:rPr>
              <w:t>Performance</w:t>
            </w:r>
          </w:p>
        </w:tc>
      </w:tr>
      <w:tr w:rsidR="00147C5E" w:rsidRPr="00500B5F" w14:paraId="4B9765FE" w14:textId="77777777" w:rsidTr="00147C5E">
        <w:trPr>
          <w:cantSplit/>
        </w:trPr>
        <w:tc>
          <w:tcPr>
            <w:tcW w:w="2689" w:type="dxa"/>
          </w:tcPr>
          <w:p w14:paraId="5AA29AFC" w14:textId="77777777" w:rsidR="00500B5F" w:rsidRPr="00500B5F" w:rsidRDefault="00500B5F" w:rsidP="00500B5F">
            <w:pPr>
              <w:pStyle w:val="Tabletext"/>
              <w:rPr>
                <w:rFonts w:eastAsiaTheme="minorHAnsi"/>
              </w:rPr>
            </w:pPr>
            <w:r w:rsidRPr="00500B5F">
              <w:rPr>
                <w:rFonts w:eastAsiaTheme="minorHAnsi"/>
              </w:rPr>
              <w:t>95H(1)(a) and (</w:t>
            </w:r>
            <w:proofErr w:type="spellStart"/>
            <w:r w:rsidRPr="00500B5F">
              <w:rPr>
                <w:rFonts w:eastAsiaTheme="minorHAnsi"/>
              </w:rPr>
              <w:t>i</w:t>
            </w:r>
            <w:proofErr w:type="spellEnd"/>
            <w:r w:rsidRPr="00500B5F">
              <w:rPr>
                <w:rFonts w:eastAsiaTheme="minorHAnsi"/>
              </w:rPr>
              <w:t xml:space="preserve">) </w:t>
            </w:r>
          </w:p>
        </w:tc>
        <w:tc>
          <w:tcPr>
            <w:tcW w:w="5103" w:type="dxa"/>
          </w:tcPr>
          <w:p w14:paraId="2B208D11" w14:textId="77777777" w:rsidR="00500B5F" w:rsidRPr="00500B5F" w:rsidRDefault="00500B5F" w:rsidP="00500B5F">
            <w:pPr>
              <w:pStyle w:val="Tabletext"/>
              <w:rPr>
                <w:rFonts w:eastAsiaTheme="minorHAnsi"/>
              </w:rPr>
            </w:pPr>
            <w:r w:rsidRPr="00500B5F">
              <w:rPr>
                <w:rFonts w:eastAsiaTheme="minorHAnsi"/>
              </w:rPr>
              <w:t xml:space="preserve">Oversee and maintain relationships between and with the controlling bodies, </w:t>
            </w:r>
            <w:r w:rsidRPr="00500B5F">
              <w:rPr>
                <w:rFonts w:eastAsiaTheme="minorHAnsi"/>
              </w:rPr>
              <w:t>their integrity</w:t>
            </w:r>
            <w:r w:rsidRPr="00500B5F">
              <w:rPr>
                <w:rFonts w:eastAsiaTheme="minorHAnsi"/>
              </w:rPr>
              <w:t xml:space="preserve"> staff and boards.</w:t>
            </w:r>
          </w:p>
        </w:tc>
        <w:tc>
          <w:tcPr>
            <w:tcW w:w="6804" w:type="dxa"/>
          </w:tcPr>
          <w:p w14:paraId="1AD07EA6" w14:textId="6706169D" w:rsidR="00500B5F" w:rsidRPr="00500B5F" w:rsidRDefault="00500B5F" w:rsidP="00500B5F">
            <w:pPr>
              <w:pStyle w:val="Tabletext"/>
              <w:rPr>
                <w:rFonts w:eastAsiaTheme="minorHAnsi"/>
              </w:rPr>
            </w:pPr>
            <w:r w:rsidRPr="00981972">
              <w:rPr>
                <w:rFonts w:eastAsiaTheme="minorHAnsi"/>
              </w:rPr>
              <w:t>Undertook regular liaison with the integrity heads, chief executives and boards of the controlling bodies through</w:t>
            </w:r>
            <w:r>
              <w:rPr>
                <w:rFonts w:eastAsiaTheme="minorHAnsi"/>
              </w:rPr>
              <w:t xml:space="preserve"> </w:t>
            </w:r>
            <w:r w:rsidRPr="00981972">
              <w:rPr>
                <w:rFonts w:eastAsiaTheme="minorHAnsi"/>
              </w:rPr>
              <w:t>formal and informal mechanisms.</w:t>
            </w:r>
          </w:p>
        </w:tc>
      </w:tr>
      <w:tr w:rsidR="00147C5E" w:rsidRPr="00500B5F" w14:paraId="516D3420" w14:textId="77777777" w:rsidTr="00147C5E">
        <w:trPr>
          <w:cantSplit/>
        </w:trPr>
        <w:tc>
          <w:tcPr>
            <w:tcW w:w="2689" w:type="dxa"/>
          </w:tcPr>
          <w:p w14:paraId="0A30AA40" w14:textId="77777777" w:rsidR="00500B5F" w:rsidRPr="00500B5F" w:rsidRDefault="00500B5F" w:rsidP="00500B5F">
            <w:pPr>
              <w:pStyle w:val="Tabletext"/>
              <w:rPr>
                <w:rFonts w:eastAsiaTheme="minorHAnsi"/>
              </w:rPr>
            </w:pPr>
            <w:r w:rsidRPr="00500B5F">
              <w:rPr>
                <w:rFonts w:eastAsiaTheme="minorHAnsi"/>
              </w:rPr>
              <w:t xml:space="preserve">95H(1)(b), 95R(2)(b) and (d) </w:t>
            </w:r>
          </w:p>
        </w:tc>
        <w:tc>
          <w:tcPr>
            <w:tcW w:w="5103" w:type="dxa"/>
          </w:tcPr>
          <w:p w14:paraId="08001F16" w14:textId="77777777" w:rsidR="00500B5F" w:rsidRPr="00500B5F" w:rsidRDefault="00500B5F" w:rsidP="00500B5F">
            <w:pPr>
              <w:pStyle w:val="Tabletext"/>
              <w:rPr>
                <w:rFonts w:eastAsiaTheme="minorHAnsi"/>
              </w:rPr>
            </w:pPr>
            <w:r w:rsidRPr="00500B5F">
              <w:rPr>
                <w:rFonts w:eastAsiaTheme="minorHAnsi"/>
              </w:rPr>
              <w:t>Endorse and make recommendations about each controlling body’s annual</w:t>
            </w:r>
            <w:r w:rsidRPr="00500B5F">
              <w:rPr>
                <w:rFonts w:eastAsiaTheme="minorHAnsi"/>
              </w:rPr>
              <w:t xml:space="preserve"> </w:t>
            </w:r>
            <w:r w:rsidRPr="00500B5F">
              <w:rPr>
                <w:rFonts w:eastAsiaTheme="minorHAnsi"/>
              </w:rPr>
              <w:t>integrity plan.</w:t>
            </w:r>
          </w:p>
        </w:tc>
        <w:tc>
          <w:tcPr>
            <w:tcW w:w="6804" w:type="dxa"/>
          </w:tcPr>
          <w:p w14:paraId="07B54D90" w14:textId="5B1770F3" w:rsidR="00500B5F" w:rsidRPr="00500B5F" w:rsidRDefault="00500B5F" w:rsidP="00500B5F">
            <w:pPr>
              <w:pStyle w:val="Tabletext"/>
              <w:rPr>
                <w:rFonts w:eastAsiaTheme="minorHAnsi"/>
              </w:rPr>
            </w:pPr>
            <w:r w:rsidRPr="00981972">
              <w:rPr>
                <w:rFonts w:eastAsiaTheme="minorHAnsi"/>
              </w:rPr>
              <w:t>Endorsed the 2022-23 annual integrity plans of all three controlling bodies and made 2 cross-code recommendations in relation to the 2021-22 annual integrity plans.</w:t>
            </w:r>
          </w:p>
        </w:tc>
      </w:tr>
      <w:tr w:rsidR="00147C5E" w:rsidRPr="00500B5F" w14:paraId="1DA94C41" w14:textId="77777777" w:rsidTr="00147C5E">
        <w:trPr>
          <w:cantSplit/>
        </w:trPr>
        <w:tc>
          <w:tcPr>
            <w:tcW w:w="2689" w:type="dxa"/>
          </w:tcPr>
          <w:p w14:paraId="65758CE9" w14:textId="77777777" w:rsidR="00500B5F" w:rsidRPr="00500B5F" w:rsidRDefault="00500B5F" w:rsidP="00500B5F">
            <w:pPr>
              <w:pStyle w:val="Tabletext"/>
              <w:rPr>
                <w:rFonts w:eastAsiaTheme="minorHAnsi"/>
              </w:rPr>
            </w:pPr>
            <w:r w:rsidRPr="00500B5F">
              <w:rPr>
                <w:rFonts w:eastAsiaTheme="minorHAnsi"/>
              </w:rPr>
              <w:t xml:space="preserve">95H(1)(c) </w:t>
            </w:r>
          </w:p>
        </w:tc>
        <w:tc>
          <w:tcPr>
            <w:tcW w:w="5103" w:type="dxa"/>
          </w:tcPr>
          <w:p w14:paraId="69ABA5F3" w14:textId="77777777" w:rsidR="00500B5F" w:rsidRPr="00500B5F" w:rsidRDefault="00500B5F" w:rsidP="00500B5F">
            <w:pPr>
              <w:pStyle w:val="Tabletext"/>
              <w:rPr>
                <w:rFonts w:eastAsiaTheme="minorHAnsi"/>
              </w:rPr>
            </w:pPr>
            <w:r w:rsidRPr="00500B5F">
              <w:rPr>
                <w:rFonts w:eastAsiaTheme="minorHAnsi"/>
              </w:rPr>
              <w:t>Review and provide recommendations about integrity resourcing and the</w:t>
            </w:r>
            <w:r w:rsidRPr="00500B5F">
              <w:rPr>
                <w:rFonts w:eastAsiaTheme="minorHAnsi"/>
              </w:rPr>
              <w:t xml:space="preserve"> </w:t>
            </w:r>
            <w:r w:rsidRPr="00500B5F">
              <w:rPr>
                <w:rFonts w:eastAsiaTheme="minorHAnsi"/>
              </w:rPr>
              <w:t>integrity budgets of each controlling body.</w:t>
            </w:r>
          </w:p>
        </w:tc>
        <w:tc>
          <w:tcPr>
            <w:tcW w:w="6804" w:type="dxa"/>
          </w:tcPr>
          <w:p w14:paraId="790A5D46" w14:textId="70258508" w:rsidR="00500B5F" w:rsidRPr="00500B5F" w:rsidRDefault="00500B5F" w:rsidP="00500B5F">
            <w:pPr>
              <w:pStyle w:val="Tabletext"/>
              <w:rPr>
                <w:rFonts w:eastAsiaTheme="minorHAnsi"/>
              </w:rPr>
            </w:pPr>
            <w:r w:rsidRPr="00981972">
              <w:rPr>
                <w:rFonts w:eastAsiaTheme="minorHAnsi"/>
              </w:rPr>
              <w:t>Endorsed the 2022-23 integrity budgets of all three controlling bodies and worked to address issues identified in</w:t>
            </w:r>
            <w:r>
              <w:rPr>
                <w:rFonts w:eastAsiaTheme="minorHAnsi"/>
              </w:rPr>
              <w:t xml:space="preserve"> </w:t>
            </w:r>
            <w:r w:rsidRPr="00981972">
              <w:rPr>
                <w:rFonts w:eastAsiaTheme="minorHAnsi"/>
              </w:rPr>
              <w:t>the 2021-22 budgets in relation to recruitment and remuneration.</w:t>
            </w:r>
          </w:p>
        </w:tc>
      </w:tr>
      <w:tr w:rsidR="00147C5E" w:rsidRPr="00500B5F" w14:paraId="3FE9F70A" w14:textId="77777777" w:rsidTr="00147C5E">
        <w:trPr>
          <w:cantSplit/>
        </w:trPr>
        <w:tc>
          <w:tcPr>
            <w:tcW w:w="2689" w:type="dxa"/>
          </w:tcPr>
          <w:p w14:paraId="02DF1CFA" w14:textId="77777777" w:rsidR="00500B5F" w:rsidRPr="00500B5F" w:rsidRDefault="00500B5F" w:rsidP="00500B5F">
            <w:pPr>
              <w:pStyle w:val="Tabletext"/>
              <w:rPr>
                <w:rFonts w:eastAsiaTheme="minorHAnsi"/>
              </w:rPr>
            </w:pPr>
            <w:r w:rsidRPr="00500B5F">
              <w:rPr>
                <w:rFonts w:eastAsiaTheme="minorHAnsi"/>
              </w:rPr>
              <w:t xml:space="preserve">95H(1)(d) </w:t>
            </w:r>
          </w:p>
        </w:tc>
        <w:tc>
          <w:tcPr>
            <w:tcW w:w="5103" w:type="dxa"/>
          </w:tcPr>
          <w:p w14:paraId="4467619C" w14:textId="77777777" w:rsidR="00500B5F" w:rsidRPr="00500B5F" w:rsidRDefault="00500B5F" w:rsidP="00500B5F">
            <w:pPr>
              <w:pStyle w:val="Tabletext"/>
              <w:rPr>
                <w:rFonts w:eastAsiaTheme="minorHAnsi"/>
              </w:rPr>
            </w:pPr>
            <w:r w:rsidRPr="00500B5F">
              <w:rPr>
                <w:rFonts w:eastAsiaTheme="minorHAnsi"/>
              </w:rPr>
              <w:t>Advise and make recommendations to the controlling bodies about integrity</w:t>
            </w:r>
            <w:r w:rsidRPr="00500B5F">
              <w:rPr>
                <w:rFonts w:eastAsiaTheme="minorHAnsi"/>
              </w:rPr>
              <w:t xml:space="preserve"> </w:t>
            </w:r>
            <w:r w:rsidRPr="00500B5F">
              <w:rPr>
                <w:rFonts w:eastAsiaTheme="minorHAnsi"/>
              </w:rPr>
              <w:t>policy and policies and procedures for participant licensing.</w:t>
            </w:r>
          </w:p>
        </w:tc>
        <w:tc>
          <w:tcPr>
            <w:tcW w:w="6804" w:type="dxa"/>
          </w:tcPr>
          <w:p w14:paraId="4D187FC1" w14:textId="31F3437A" w:rsidR="00500B5F" w:rsidRPr="00500B5F" w:rsidRDefault="00500B5F" w:rsidP="00500B5F">
            <w:pPr>
              <w:pStyle w:val="Tabletext"/>
              <w:rPr>
                <w:rFonts w:eastAsiaTheme="minorHAnsi"/>
              </w:rPr>
            </w:pPr>
            <w:r w:rsidRPr="00981972">
              <w:rPr>
                <w:rFonts w:eastAsiaTheme="minorHAnsi"/>
              </w:rPr>
              <w:t>Reviewed and made a recommendation in support of 1 integrity and licensing policy (</w:t>
            </w:r>
            <w:proofErr w:type="spellStart"/>
            <w:r w:rsidRPr="00981972">
              <w:rPr>
                <w:rFonts w:eastAsiaTheme="minorHAnsi"/>
              </w:rPr>
              <w:t>n.b.</w:t>
            </w:r>
            <w:proofErr w:type="spellEnd"/>
            <w:r w:rsidRPr="00981972">
              <w:rPr>
                <w:rFonts w:eastAsiaTheme="minorHAnsi"/>
              </w:rPr>
              <w:t xml:space="preserve"> support was also given to</w:t>
            </w:r>
            <w:r>
              <w:rPr>
                <w:rFonts w:eastAsiaTheme="minorHAnsi"/>
              </w:rPr>
              <w:t xml:space="preserve"> </w:t>
            </w:r>
            <w:r w:rsidRPr="00981972">
              <w:rPr>
                <w:rFonts w:eastAsiaTheme="minorHAnsi"/>
              </w:rPr>
              <w:t>2 policies that did not fall within VRIB’s legislative remit to formally review under s 95H(1)(d)).</w:t>
            </w:r>
          </w:p>
        </w:tc>
      </w:tr>
      <w:tr w:rsidR="00147C5E" w:rsidRPr="00500B5F" w14:paraId="41A3D346" w14:textId="77777777" w:rsidTr="00147C5E">
        <w:trPr>
          <w:cantSplit/>
        </w:trPr>
        <w:tc>
          <w:tcPr>
            <w:tcW w:w="2689" w:type="dxa"/>
          </w:tcPr>
          <w:p w14:paraId="0DB71201" w14:textId="77777777" w:rsidR="00500B5F" w:rsidRPr="00500B5F" w:rsidRDefault="00500B5F" w:rsidP="00500B5F">
            <w:pPr>
              <w:pStyle w:val="Tabletext"/>
              <w:rPr>
                <w:rFonts w:eastAsiaTheme="minorHAnsi"/>
              </w:rPr>
            </w:pPr>
            <w:r w:rsidRPr="00500B5F">
              <w:rPr>
                <w:rFonts w:eastAsiaTheme="minorHAnsi"/>
              </w:rPr>
              <w:t xml:space="preserve">95H(1)(e) </w:t>
            </w:r>
          </w:p>
        </w:tc>
        <w:tc>
          <w:tcPr>
            <w:tcW w:w="5103" w:type="dxa"/>
          </w:tcPr>
          <w:p w14:paraId="433A5BE6" w14:textId="77777777" w:rsidR="00500B5F" w:rsidRPr="00500B5F" w:rsidRDefault="00500B5F" w:rsidP="00500B5F">
            <w:pPr>
              <w:pStyle w:val="Tabletext"/>
              <w:rPr>
                <w:rFonts w:eastAsiaTheme="minorHAnsi"/>
              </w:rPr>
            </w:pPr>
            <w:r w:rsidRPr="00500B5F">
              <w:rPr>
                <w:rFonts w:eastAsiaTheme="minorHAnsi"/>
              </w:rPr>
              <w:t>Review proposals for new or amended, integrity related rules of racing and make</w:t>
            </w:r>
            <w:r w:rsidRPr="00500B5F">
              <w:rPr>
                <w:rFonts w:eastAsiaTheme="minorHAnsi"/>
              </w:rPr>
              <w:t xml:space="preserve"> </w:t>
            </w:r>
            <w:r w:rsidRPr="00500B5F">
              <w:rPr>
                <w:rFonts w:eastAsiaTheme="minorHAnsi"/>
              </w:rPr>
              <w:t>recommendations.</w:t>
            </w:r>
          </w:p>
        </w:tc>
        <w:tc>
          <w:tcPr>
            <w:tcW w:w="6804" w:type="dxa"/>
          </w:tcPr>
          <w:p w14:paraId="09CF35BA" w14:textId="77777777" w:rsidR="00500B5F" w:rsidRDefault="00500B5F" w:rsidP="00500B5F">
            <w:pPr>
              <w:pStyle w:val="Tabletext"/>
              <w:rPr>
                <w:rFonts w:eastAsiaTheme="minorHAnsi"/>
              </w:rPr>
            </w:pPr>
            <w:r w:rsidRPr="00981972">
              <w:rPr>
                <w:rFonts w:eastAsiaTheme="minorHAnsi"/>
              </w:rPr>
              <w:t>Reviewed 8 proposals for new [4] and amended [4] rules of racing relating to integrity, suggested some</w:t>
            </w:r>
            <w:r>
              <w:rPr>
                <w:rFonts w:eastAsiaTheme="minorHAnsi"/>
              </w:rPr>
              <w:t xml:space="preserve"> </w:t>
            </w:r>
            <w:r w:rsidRPr="00981972">
              <w:rPr>
                <w:rFonts w:eastAsiaTheme="minorHAnsi"/>
              </w:rPr>
              <w:t>enhancements and, ultimately, made recommendations in support of all. (</w:t>
            </w:r>
            <w:proofErr w:type="spellStart"/>
            <w:r w:rsidRPr="00981972">
              <w:rPr>
                <w:rFonts w:eastAsiaTheme="minorHAnsi"/>
              </w:rPr>
              <w:t>n.b.</w:t>
            </w:r>
            <w:proofErr w:type="spellEnd"/>
            <w:r w:rsidRPr="00981972">
              <w:rPr>
                <w:rFonts w:eastAsiaTheme="minorHAnsi"/>
              </w:rPr>
              <w:t xml:space="preserve"> support was also given to 12 rule</w:t>
            </w:r>
            <w:r>
              <w:rPr>
                <w:rFonts w:eastAsiaTheme="minorHAnsi"/>
              </w:rPr>
              <w:t xml:space="preserve"> </w:t>
            </w:r>
            <w:r w:rsidRPr="00981972">
              <w:rPr>
                <w:rFonts w:eastAsiaTheme="minorHAnsi"/>
              </w:rPr>
              <w:t>changes that did not fall within VRIB’s legislative remit to formally review under s 95H(1)(e)).</w:t>
            </w:r>
          </w:p>
          <w:p w14:paraId="30E44E7D" w14:textId="6BDADF89" w:rsidR="00147C5E" w:rsidRPr="00500B5F" w:rsidRDefault="00147C5E" w:rsidP="00500B5F">
            <w:pPr>
              <w:pStyle w:val="Tabletext"/>
              <w:rPr>
                <w:rFonts w:eastAsiaTheme="minorHAnsi"/>
              </w:rPr>
            </w:pPr>
            <w:r w:rsidRPr="00981972">
              <w:rPr>
                <w:rFonts w:eastAsiaTheme="minorHAnsi"/>
              </w:rPr>
              <w:t>These reviews included rule changes for greyhound racing relating to the Greyhounds Australasia Rules. This work</w:t>
            </w:r>
            <w:r>
              <w:rPr>
                <w:rFonts w:eastAsiaTheme="minorHAnsi"/>
              </w:rPr>
              <w:t xml:space="preserve"> </w:t>
            </w:r>
            <w:r w:rsidRPr="00981972">
              <w:rPr>
                <w:rFonts w:eastAsiaTheme="minorHAnsi"/>
              </w:rPr>
              <w:t>spanned several years and involved extensive industry consultation.</w:t>
            </w:r>
          </w:p>
        </w:tc>
      </w:tr>
      <w:tr w:rsidR="00147C5E" w:rsidRPr="00500B5F" w14:paraId="69C0E7DE" w14:textId="77777777" w:rsidTr="00147C5E">
        <w:trPr>
          <w:cantSplit/>
        </w:trPr>
        <w:tc>
          <w:tcPr>
            <w:tcW w:w="2689" w:type="dxa"/>
          </w:tcPr>
          <w:p w14:paraId="44ECF14E" w14:textId="77777777" w:rsidR="00500B5F" w:rsidRPr="00500B5F" w:rsidRDefault="00500B5F" w:rsidP="00500B5F">
            <w:pPr>
              <w:pStyle w:val="Tabletext"/>
              <w:rPr>
                <w:rFonts w:eastAsiaTheme="minorHAnsi"/>
              </w:rPr>
            </w:pPr>
            <w:r w:rsidRPr="00500B5F">
              <w:rPr>
                <w:rFonts w:eastAsiaTheme="minorHAnsi"/>
              </w:rPr>
              <w:lastRenderedPageBreak/>
              <w:t xml:space="preserve">95H(1)(f), (b) and 95N </w:t>
            </w:r>
          </w:p>
        </w:tc>
        <w:tc>
          <w:tcPr>
            <w:tcW w:w="5103" w:type="dxa"/>
          </w:tcPr>
          <w:p w14:paraId="50F2251C" w14:textId="77777777" w:rsidR="00500B5F" w:rsidRPr="00500B5F" w:rsidRDefault="00500B5F" w:rsidP="00500B5F">
            <w:pPr>
              <w:pStyle w:val="Tabletext"/>
              <w:rPr>
                <w:rFonts w:eastAsiaTheme="minorHAnsi"/>
              </w:rPr>
            </w:pPr>
            <w:r w:rsidRPr="00500B5F">
              <w:rPr>
                <w:rFonts w:eastAsiaTheme="minorHAnsi"/>
              </w:rPr>
              <w:t xml:space="preserve">Receive, review, and investigate or refer to ORIC, complaints made by a </w:t>
            </w:r>
            <w:r w:rsidRPr="00500B5F">
              <w:rPr>
                <w:rFonts w:eastAsiaTheme="minorHAnsi"/>
              </w:rPr>
              <w:t>member or</w:t>
            </w:r>
            <w:r w:rsidRPr="00500B5F">
              <w:rPr>
                <w:rFonts w:eastAsiaTheme="minorHAnsi"/>
              </w:rPr>
              <w:t xml:space="preserve"> a director of a board of a controlling body, an integrity manager or the Chief</w:t>
            </w:r>
            <w:r w:rsidRPr="00500B5F">
              <w:rPr>
                <w:rFonts w:eastAsiaTheme="minorHAnsi"/>
              </w:rPr>
              <w:t xml:space="preserve"> </w:t>
            </w:r>
            <w:r w:rsidRPr="00500B5F">
              <w:rPr>
                <w:rFonts w:eastAsiaTheme="minorHAnsi"/>
              </w:rPr>
              <w:t>Steward or Deputy Chief Steward about integrity issues within a controlling body.</w:t>
            </w:r>
          </w:p>
        </w:tc>
        <w:tc>
          <w:tcPr>
            <w:tcW w:w="6804" w:type="dxa"/>
          </w:tcPr>
          <w:p w14:paraId="748692F6" w14:textId="565E2E64" w:rsidR="00500B5F" w:rsidRPr="00500B5F" w:rsidRDefault="00147C5E" w:rsidP="00500B5F">
            <w:pPr>
              <w:pStyle w:val="Tabletext"/>
              <w:rPr>
                <w:rFonts w:eastAsiaTheme="minorHAnsi"/>
              </w:rPr>
            </w:pPr>
            <w:r w:rsidRPr="00981972">
              <w:rPr>
                <w:rFonts w:eastAsiaTheme="minorHAnsi"/>
              </w:rPr>
              <w:t>Received 0 complaints during 2021-22.</w:t>
            </w:r>
          </w:p>
        </w:tc>
      </w:tr>
      <w:tr w:rsidR="00147C5E" w:rsidRPr="00500B5F" w14:paraId="1D0CC893" w14:textId="77777777" w:rsidTr="00147C5E">
        <w:trPr>
          <w:cantSplit/>
        </w:trPr>
        <w:tc>
          <w:tcPr>
            <w:tcW w:w="2689" w:type="dxa"/>
          </w:tcPr>
          <w:p w14:paraId="288C1D45" w14:textId="77777777" w:rsidR="00500B5F" w:rsidRPr="00500B5F" w:rsidRDefault="00500B5F" w:rsidP="00500B5F">
            <w:pPr>
              <w:pStyle w:val="Tabletext"/>
              <w:rPr>
                <w:rFonts w:eastAsiaTheme="minorHAnsi"/>
              </w:rPr>
            </w:pPr>
            <w:r w:rsidRPr="00500B5F">
              <w:rPr>
                <w:rFonts w:eastAsiaTheme="minorHAnsi"/>
              </w:rPr>
              <w:t xml:space="preserve">95H(1)(h) </w:t>
            </w:r>
          </w:p>
        </w:tc>
        <w:tc>
          <w:tcPr>
            <w:tcW w:w="5103" w:type="dxa"/>
          </w:tcPr>
          <w:p w14:paraId="224BAFF1" w14:textId="77777777" w:rsidR="00500B5F" w:rsidRPr="00500B5F" w:rsidRDefault="00500B5F" w:rsidP="00500B5F">
            <w:pPr>
              <w:pStyle w:val="Tabletext"/>
              <w:rPr>
                <w:rFonts w:eastAsiaTheme="minorHAnsi"/>
              </w:rPr>
            </w:pPr>
            <w:r w:rsidRPr="00500B5F">
              <w:rPr>
                <w:rFonts w:eastAsiaTheme="minorHAnsi"/>
              </w:rPr>
              <w:t xml:space="preserve">Liaise with ORIC and external agencies about integrity matters. </w:t>
            </w:r>
          </w:p>
        </w:tc>
        <w:tc>
          <w:tcPr>
            <w:tcW w:w="6804" w:type="dxa"/>
          </w:tcPr>
          <w:p w14:paraId="4CA97C27" w14:textId="003A1743" w:rsidR="00500B5F" w:rsidRPr="00500B5F" w:rsidRDefault="00147C5E" w:rsidP="00500B5F">
            <w:pPr>
              <w:pStyle w:val="Tabletext"/>
              <w:rPr>
                <w:rFonts w:eastAsiaTheme="minorHAnsi"/>
              </w:rPr>
            </w:pPr>
            <w:r w:rsidRPr="00981972">
              <w:rPr>
                <w:rFonts w:eastAsiaTheme="minorHAnsi"/>
              </w:rPr>
              <w:t>Engaged in regular, informal and formal liaison with ORIC and other agencies.</w:t>
            </w:r>
          </w:p>
        </w:tc>
      </w:tr>
      <w:tr w:rsidR="00147C5E" w:rsidRPr="00500B5F" w14:paraId="1004DB5D" w14:textId="77777777" w:rsidTr="00147C5E">
        <w:trPr>
          <w:cantSplit/>
        </w:trPr>
        <w:tc>
          <w:tcPr>
            <w:tcW w:w="2689" w:type="dxa"/>
          </w:tcPr>
          <w:p w14:paraId="0E77722B" w14:textId="77777777" w:rsidR="00500B5F" w:rsidRPr="00500B5F" w:rsidRDefault="00500B5F" w:rsidP="00500B5F">
            <w:pPr>
              <w:pStyle w:val="Tabletext"/>
              <w:rPr>
                <w:rFonts w:eastAsiaTheme="minorHAnsi"/>
              </w:rPr>
            </w:pPr>
            <w:r w:rsidRPr="00500B5F">
              <w:rPr>
                <w:rFonts w:eastAsiaTheme="minorHAnsi"/>
              </w:rPr>
              <w:t xml:space="preserve">95H(1)(j) </w:t>
            </w:r>
          </w:p>
        </w:tc>
        <w:tc>
          <w:tcPr>
            <w:tcW w:w="5103" w:type="dxa"/>
          </w:tcPr>
          <w:p w14:paraId="17638908" w14:textId="77777777" w:rsidR="00500B5F" w:rsidRPr="00500B5F" w:rsidRDefault="00500B5F" w:rsidP="00500B5F">
            <w:pPr>
              <w:pStyle w:val="Tabletext"/>
              <w:rPr>
                <w:rFonts w:eastAsiaTheme="minorHAnsi"/>
              </w:rPr>
            </w:pPr>
            <w:r w:rsidRPr="00500B5F">
              <w:rPr>
                <w:rFonts w:eastAsiaTheme="minorHAnsi"/>
              </w:rPr>
              <w:t>Provide direction about disciplinary action proposed by a controlling body against</w:t>
            </w:r>
            <w:r w:rsidRPr="00500B5F">
              <w:rPr>
                <w:rFonts w:eastAsiaTheme="minorHAnsi"/>
              </w:rPr>
              <w:t xml:space="preserve"> </w:t>
            </w:r>
            <w:r w:rsidRPr="00500B5F">
              <w:rPr>
                <w:rFonts w:eastAsiaTheme="minorHAnsi"/>
              </w:rPr>
              <w:t>a senior integrity department staff member about internal integrity matters.</w:t>
            </w:r>
          </w:p>
        </w:tc>
        <w:tc>
          <w:tcPr>
            <w:tcW w:w="6804" w:type="dxa"/>
          </w:tcPr>
          <w:p w14:paraId="608CAE3A" w14:textId="1E7B608A" w:rsidR="00500B5F" w:rsidRPr="00500B5F" w:rsidRDefault="00147C5E" w:rsidP="00500B5F">
            <w:pPr>
              <w:pStyle w:val="Tabletext"/>
              <w:rPr>
                <w:rFonts w:eastAsiaTheme="minorHAnsi"/>
              </w:rPr>
            </w:pPr>
            <w:r w:rsidRPr="00981972">
              <w:rPr>
                <w:rFonts w:eastAsiaTheme="minorHAnsi"/>
              </w:rPr>
              <w:t>Was not required to provide direction in relation to matters involving disciplinary action proposed by a controlling</w:t>
            </w:r>
            <w:r>
              <w:rPr>
                <w:rFonts w:eastAsiaTheme="minorHAnsi"/>
              </w:rPr>
              <w:t xml:space="preserve"> </w:t>
            </w:r>
            <w:r w:rsidRPr="00981972">
              <w:rPr>
                <w:rFonts w:eastAsiaTheme="minorHAnsi"/>
              </w:rPr>
              <w:t>body in 2021-22.</w:t>
            </w:r>
          </w:p>
        </w:tc>
      </w:tr>
      <w:tr w:rsidR="00147C5E" w:rsidRPr="00500B5F" w14:paraId="2B3C8541" w14:textId="77777777" w:rsidTr="00147C5E">
        <w:trPr>
          <w:cantSplit/>
        </w:trPr>
        <w:tc>
          <w:tcPr>
            <w:tcW w:w="2689" w:type="dxa"/>
          </w:tcPr>
          <w:p w14:paraId="25602EAB" w14:textId="77777777" w:rsidR="00500B5F" w:rsidRPr="00500B5F" w:rsidRDefault="00500B5F" w:rsidP="00500B5F">
            <w:pPr>
              <w:pStyle w:val="Tabletext"/>
              <w:rPr>
                <w:rFonts w:eastAsiaTheme="minorHAnsi"/>
              </w:rPr>
            </w:pPr>
            <w:r w:rsidRPr="00500B5F">
              <w:rPr>
                <w:rFonts w:eastAsiaTheme="minorHAnsi"/>
              </w:rPr>
              <w:t xml:space="preserve">95H(1)(k) </w:t>
            </w:r>
          </w:p>
        </w:tc>
        <w:tc>
          <w:tcPr>
            <w:tcW w:w="5103" w:type="dxa"/>
          </w:tcPr>
          <w:p w14:paraId="75EB0C37" w14:textId="77777777" w:rsidR="00500B5F" w:rsidRPr="00500B5F" w:rsidRDefault="00500B5F" w:rsidP="00500B5F">
            <w:pPr>
              <w:pStyle w:val="Tabletext"/>
              <w:rPr>
                <w:rFonts w:eastAsiaTheme="minorHAnsi"/>
              </w:rPr>
            </w:pPr>
            <w:r w:rsidRPr="00500B5F">
              <w:rPr>
                <w:rFonts w:eastAsiaTheme="minorHAnsi"/>
              </w:rPr>
              <w:t>Oversee the development of memorandum of understanding or shared service</w:t>
            </w:r>
            <w:r w:rsidRPr="00500B5F">
              <w:rPr>
                <w:rFonts w:eastAsiaTheme="minorHAnsi"/>
              </w:rPr>
              <w:t xml:space="preserve"> </w:t>
            </w:r>
            <w:r w:rsidRPr="00500B5F">
              <w:rPr>
                <w:rFonts w:eastAsiaTheme="minorHAnsi"/>
              </w:rPr>
              <w:t>agreements between the controlling bodies.</w:t>
            </w:r>
          </w:p>
        </w:tc>
        <w:tc>
          <w:tcPr>
            <w:tcW w:w="6804" w:type="dxa"/>
          </w:tcPr>
          <w:p w14:paraId="55409FBA" w14:textId="73544806" w:rsidR="00500B5F" w:rsidRPr="00500B5F" w:rsidRDefault="00147C5E" w:rsidP="00500B5F">
            <w:pPr>
              <w:pStyle w:val="Tabletext"/>
              <w:rPr>
                <w:rFonts w:eastAsiaTheme="minorHAnsi"/>
              </w:rPr>
            </w:pPr>
            <w:r w:rsidRPr="00981972">
              <w:rPr>
                <w:rFonts w:eastAsiaTheme="minorHAnsi"/>
              </w:rPr>
              <w:t>A common service level agreement between RASL and each controlling body has been established.</w:t>
            </w:r>
          </w:p>
        </w:tc>
      </w:tr>
    </w:tbl>
    <w:p w14:paraId="7E64EC21" w14:textId="59B0D185" w:rsidR="00500B5F" w:rsidRPr="00981972" w:rsidRDefault="00500B5F" w:rsidP="00500B5F">
      <w:pPr>
        <w:rPr>
          <w:rFonts w:eastAsiaTheme="minorHAnsi"/>
        </w:rPr>
      </w:pPr>
    </w:p>
    <w:p w14:paraId="4C11ED3A" w14:textId="460760D7" w:rsidR="00981972" w:rsidRPr="00147C5E" w:rsidRDefault="00981972" w:rsidP="00147C5E">
      <w:pPr>
        <w:pStyle w:val="Normalbeforebullet"/>
        <w:rPr>
          <w:rFonts w:eastAsiaTheme="minorHAnsi"/>
          <w:b/>
          <w:bCs/>
        </w:rPr>
      </w:pPr>
      <w:r w:rsidRPr="00147C5E">
        <w:rPr>
          <w:rFonts w:eastAsiaTheme="minorHAnsi"/>
          <w:b/>
          <w:bCs/>
        </w:rPr>
        <w:t>Overview of VRIB’s performance of its statutory powers under Part IVB of the Racing Act</w:t>
      </w:r>
    </w:p>
    <w:tbl>
      <w:tblPr>
        <w:tblStyle w:val="TableGrid"/>
        <w:tblW w:w="14596" w:type="dxa"/>
        <w:tblLook w:val="04A0" w:firstRow="1" w:lastRow="0" w:firstColumn="1" w:lastColumn="0" w:noHBand="0" w:noVBand="1"/>
      </w:tblPr>
      <w:tblGrid>
        <w:gridCol w:w="1980"/>
        <w:gridCol w:w="7229"/>
        <w:gridCol w:w="5387"/>
      </w:tblGrid>
      <w:tr w:rsidR="00147C5E" w:rsidRPr="00147C5E" w14:paraId="055CE00E" w14:textId="77777777" w:rsidTr="00147C5E">
        <w:trPr>
          <w:tblHeader/>
        </w:trPr>
        <w:tc>
          <w:tcPr>
            <w:tcW w:w="1980" w:type="dxa"/>
          </w:tcPr>
          <w:p w14:paraId="6E34D5AC" w14:textId="77777777" w:rsidR="00500B5F" w:rsidRPr="00147C5E" w:rsidRDefault="00500B5F" w:rsidP="00147C5E">
            <w:pPr>
              <w:pStyle w:val="TableColumnHeadings"/>
              <w:rPr>
                <w:rFonts w:eastAsiaTheme="minorHAnsi"/>
              </w:rPr>
            </w:pPr>
            <w:r w:rsidRPr="00147C5E">
              <w:rPr>
                <w:rFonts w:eastAsiaTheme="minorHAnsi"/>
              </w:rPr>
              <w:t xml:space="preserve">Section </w:t>
            </w:r>
          </w:p>
        </w:tc>
        <w:tc>
          <w:tcPr>
            <w:tcW w:w="7229" w:type="dxa"/>
          </w:tcPr>
          <w:p w14:paraId="7BF62A4E" w14:textId="77777777" w:rsidR="00500B5F" w:rsidRPr="00147C5E" w:rsidRDefault="00500B5F" w:rsidP="00147C5E">
            <w:pPr>
              <w:pStyle w:val="TableColumnHeadings"/>
              <w:rPr>
                <w:rFonts w:eastAsiaTheme="minorHAnsi"/>
              </w:rPr>
            </w:pPr>
            <w:r w:rsidRPr="00147C5E">
              <w:rPr>
                <w:rFonts w:eastAsiaTheme="minorHAnsi"/>
              </w:rPr>
              <w:t xml:space="preserve">Function </w:t>
            </w:r>
          </w:p>
        </w:tc>
        <w:tc>
          <w:tcPr>
            <w:tcW w:w="5387" w:type="dxa"/>
          </w:tcPr>
          <w:p w14:paraId="2DC1F83C" w14:textId="5A13ED37" w:rsidR="00500B5F" w:rsidRPr="00147C5E" w:rsidRDefault="00147C5E" w:rsidP="00147C5E">
            <w:pPr>
              <w:pStyle w:val="TableColumnHeadings"/>
              <w:rPr>
                <w:rFonts w:eastAsiaTheme="minorHAnsi"/>
              </w:rPr>
            </w:pPr>
            <w:r w:rsidRPr="00981972">
              <w:rPr>
                <w:rFonts w:eastAsiaTheme="minorHAnsi"/>
              </w:rPr>
              <w:t>Performance</w:t>
            </w:r>
          </w:p>
        </w:tc>
      </w:tr>
      <w:tr w:rsidR="00147C5E" w:rsidRPr="00147C5E" w14:paraId="10CF8B06" w14:textId="77777777" w:rsidTr="00147C5E">
        <w:tc>
          <w:tcPr>
            <w:tcW w:w="1980" w:type="dxa"/>
          </w:tcPr>
          <w:p w14:paraId="570C2CC9" w14:textId="77777777" w:rsidR="00500B5F" w:rsidRPr="00147C5E" w:rsidRDefault="00500B5F" w:rsidP="00147C5E">
            <w:pPr>
              <w:pStyle w:val="Tabletext"/>
              <w:rPr>
                <w:rFonts w:eastAsiaTheme="minorHAnsi"/>
              </w:rPr>
            </w:pPr>
            <w:r w:rsidRPr="00147C5E">
              <w:rPr>
                <w:rFonts w:eastAsiaTheme="minorHAnsi"/>
              </w:rPr>
              <w:t xml:space="preserve">95H(1)(l) </w:t>
            </w:r>
          </w:p>
        </w:tc>
        <w:tc>
          <w:tcPr>
            <w:tcW w:w="7229" w:type="dxa"/>
          </w:tcPr>
          <w:p w14:paraId="091F019A" w14:textId="77777777" w:rsidR="00500B5F" w:rsidRPr="00147C5E" w:rsidRDefault="00500B5F" w:rsidP="00147C5E">
            <w:pPr>
              <w:pStyle w:val="Tabletext"/>
              <w:rPr>
                <w:rFonts w:eastAsiaTheme="minorHAnsi"/>
              </w:rPr>
            </w:pPr>
            <w:r w:rsidRPr="00147C5E">
              <w:rPr>
                <w:rFonts w:eastAsiaTheme="minorHAnsi"/>
              </w:rPr>
              <w:t xml:space="preserve">Issue directions to a controlling body regarding integrity matters. </w:t>
            </w:r>
          </w:p>
        </w:tc>
        <w:tc>
          <w:tcPr>
            <w:tcW w:w="5387" w:type="dxa"/>
          </w:tcPr>
          <w:p w14:paraId="058D179D" w14:textId="52FAC731"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r w:rsidR="00147C5E" w:rsidRPr="00147C5E" w14:paraId="78DF4BFC" w14:textId="77777777" w:rsidTr="00147C5E">
        <w:tc>
          <w:tcPr>
            <w:tcW w:w="1980" w:type="dxa"/>
          </w:tcPr>
          <w:p w14:paraId="0515265F" w14:textId="77777777" w:rsidR="00500B5F" w:rsidRPr="00147C5E" w:rsidRDefault="00500B5F" w:rsidP="00147C5E">
            <w:pPr>
              <w:pStyle w:val="Tabletext"/>
              <w:rPr>
                <w:rFonts w:eastAsiaTheme="minorHAnsi"/>
              </w:rPr>
            </w:pPr>
            <w:r w:rsidRPr="00147C5E">
              <w:rPr>
                <w:rFonts w:eastAsiaTheme="minorHAnsi"/>
              </w:rPr>
              <w:t xml:space="preserve">95O </w:t>
            </w:r>
          </w:p>
        </w:tc>
        <w:tc>
          <w:tcPr>
            <w:tcW w:w="7229" w:type="dxa"/>
          </w:tcPr>
          <w:p w14:paraId="176DBF0A" w14:textId="77777777" w:rsidR="00500B5F" w:rsidRPr="00147C5E" w:rsidRDefault="00500B5F" w:rsidP="00147C5E">
            <w:pPr>
              <w:pStyle w:val="Tabletext"/>
              <w:rPr>
                <w:rFonts w:eastAsiaTheme="minorHAnsi"/>
              </w:rPr>
            </w:pPr>
            <w:r w:rsidRPr="00147C5E">
              <w:rPr>
                <w:rFonts w:eastAsiaTheme="minorHAnsi"/>
              </w:rPr>
              <w:t xml:space="preserve">Direct a controlling body to provide information relevant to a complaint. </w:t>
            </w:r>
          </w:p>
        </w:tc>
        <w:tc>
          <w:tcPr>
            <w:tcW w:w="5387" w:type="dxa"/>
          </w:tcPr>
          <w:p w14:paraId="6846A2C5" w14:textId="05EA068F"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r w:rsidR="00147C5E" w:rsidRPr="00147C5E" w14:paraId="08087BE6" w14:textId="77777777" w:rsidTr="00147C5E">
        <w:tc>
          <w:tcPr>
            <w:tcW w:w="1980" w:type="dxa"/>
          </w:tcPr>
          <w:p w14:paraId="2972FC62" w14:textId="77777777" w:rsidR="00500B5F" w:rsidRPr="00147C5E" w:rsidRDefault="00500B5F" w:rsidP="00147C5E">
            <w:pPr>
              <w:pStyle w:val="Tabletext"/>
              <w:rPr>
                <w:rFonts w:eastAsiaTheme="minorHAnsi"/>
              </w:rPr>
            </w:pPr>
            <w:r w:rsidRPr="00147C5E">
              <w:rPr>
                <w:rFonts w:eastAsiaTheme="minorHAnsi"/>
              </w:rPr>
              <w:t xml:space="preserve">95P </w:t>
            </w:r>
          </w:p>
        </w:tc>
        <w:tc>
          <w:tcPr>
            <w:tcW w:w="7229" w:type="dxa"/>
          </w:tcPr>
          <w:p w14:paraId="3B48FC91" w14:textId="77777777" w:rsidR="00500B5F" w:rsidRPr="00147C5E" w:rsidRDefault="00500B5F" w:rsidP="00147C5E">
            <w:pPr>
              <w:pStyle w:val="Tabletext"/>
              <w:rPr>
                <w:rFonts w:eastAsiaTheme="minorHAnsi"/>
              </w:rPr>
            </w:pPr>
            <w:r w:rsidRPr="00147C5E">
              <w:rPr>
                <w:rFonts w:eastAsiaTheme="minorHAnsi"/>
              </w:rPr>
              <w:t>Give directions to a controlling body about a failure to comply with a</w:t>
            </w:r>
            <w:r w:rsidRPr="00147C5E">
              <w:rPr>
                <w:rFonts w:eastAsiaTheme="minorHAnsi"/>
              </w:rPr>
              <w:t xml:space="preserve"> </w:t>
            </w:r>
            <w:r w:rsidRPr="00147C5E">
              <w:rPr>
                <w:rFonts w:eastAsiaTheme="minorHAnsi"/>
              </w:rPr>
              <w:t>recommendation.</w:t>
            </w:r>
          </w:p>
        </w:tc>
        <w:tc>
          <w:tcPr>
            <w:tcW w:w="5387" w:type="dxa"/>
          </w:tcPr>
          <w:p w14:paraId="7A0E0CA8" w14:textId="18C449D5"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r w:rsidR="00147C5E" w:rsidRPr="00147C5E" w14:paraId="6B7A0D34" w14:textId="77777777" w:rsidTr="00147C5E">
        <w:tc>
          <w:tcPr>
            <w:tcW w:w="1980" w:type="dxa"/>
          </w:tcPr>
          <w:p w14:paraId="4885EB90" w14:textId="77777777" w:rsidR="00500B5F" w:rsidRPr="00147C5E" w:rsidRDefault="00500B5F" w:rsidP="00147C5E">
            <w:pPr>
              <w:pStyle w:val="Tabletext"/>
              <w:rPr>
                <w:rFonts w:eastAsiaTheme="minorHAnsi"/>
              </w:rPr>
            </w:pPr>
            <w:r w:rsidRPr="00147C5E">
              <w:rPr>
                <w:rFonts w:eastAsiaTheme="minorHAnsi"/>
              </w:rPr>
              <w:t xml:space="preserve">95R(2)(a) </w:t>
            </w:r>
          </w:p>
        </w:tc>
        <w:tc>
          <w:tcPr>
            <w:tcW w:w="7229" w:type="dxa"/>
          </w:tcPr>
          <w:p w14:paraId="54AAD851" w14:textId="77777777" w:rsidR="00500B5F" w:rsidRPr="00147C5E" w:rsidRDefault="00500B5F" w:rsidP="00147C5E">
            <w:pPr>
              <w:pStyle w:val="Tabletext"/>
              <w:rPr>
                <w:rFonts w:eastAsiaTheme="minorHAnsi"/>
              </w:rPr>
            </w:pPr>
            <w:r w:rsidRPr="00147C5E">
              <w:rPr>
                <w:rFonts w:eastAsiaTheme="minorHAnsi"/>
              </w:rPr>
              <w:t>Require a controlling body to provide further information about an annual</w:t>
            </w:r>
            <w:r w:rsidRPr="00147C5E">
              <w:rPr>
                <w:rFonts w:eastAsiaTheme="minorHAnsi"/>
              </w:rPr>
              <w:t xml:space="preserve"> </w:t>
            </w:r>
            <w:r w:rsidRPr="00147C5E">
              <w:rPr>
                <w:rFonts w:eastAsiaTheme="minorHAnsi"/>
              </w:rPr>
              <w:t>integrity plan.</w:t>
            </w:r>
          </w:p>
        </w:tc>
        <w:tc>
          <w:tcPr>
            <w:tcW w:w="5387" w:type="dxa"/>
          </w:tcPr>
          <w:p w14:paraId="39396F92" w14:textId="607B7A4D"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r w:rsidR="00147C5E" w:rsidRPr="00147C5E" w14:paraId="71CE01F5" w14:textId="77777777" w:rsidTr="00147C5E">
        <w:tc>
          <w:tcPr>
            <w:tcW w:w="1980" w:type="dxa"/>
          </w:tcPr>
          <w:p w14:paraId="44596393" w14:textId="77777777" w:rsidR="00500B5F" w:rsidRPr="00147C5E" w:rsidRDefault="00500B5F" w:rsidP="00147C5E">
            <w:pPr>
              <w:pStyle w:val="Tabletext"/>
              <w:rPr>
                <w:rFonts w:eastAsiaTheme="minorHAnsi"/>
              </w:rPr>
            </w:pPr>
            <w:r w:rsidRPr="00147C5E">
              <w:rPr>
                <w:rFonts w:eastAsiaTheme="minorHAnsi"/>
              </w:rPr>
              <w:t xml:space="preserve">95R(2)(c) </w:t>
            </w:r>
          </w:p>
        </w:tc>
        <w:tc>
          <w:tcPr>
            <w:tcW w:w="7229" w:type="dxa"/>
          </w:tcPr>
          <w:p w14:paraId="344DD698" w14:textId="77777777" w:rsidR="00500B5F" w:rsidRPr="00147C5E" w:rsidRDefault="00500B5F" w:rsidP="00147C5E">
            <w:pPr>
              <w:pStyle w:val="Tabletext"/>
              <w:rPr>
                <w:rFonts w:eastAsiaTheme="minorHAnsi"/>
              </w:rPr>
            </w:pPr>
            <w:r w:rsidRPr="00147C5E">
              <w:rPr>
                <w:rFonts w:eastAsiaTheme="minorHAnsi"/>
              </w:rPr>
              <w:t xml:space="preserve">Require a controlling body to make changes to the annual integrity plan. </w:t>
            </w:r>
          </w:p>
        </w:tc>
        <w:tc>
          <w:tcPr>
            <w:tcW w:w="5387" w:type="dxa"/>
          </w:tcPr>
          <w:p w14:paraId="292E570B" w14:textId="6EF6F9B7"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r w:rsidR="00147C5E" w:rsidRPr="00147C5E" w14:paraId="1019D6B0" w14:textId="77777777" w:rsidTr="00147C5E">
        <w:tc>
          <w:tcPr>
            <w:tcW w:w="1980" w:type="dxa"/>
          </w:tcPr>
          <w:p w14:paraId="072E005B" w14:textId="77777777" w:rsidR="00500B5F" w:rsidRPr="00147C5E" w:rsidRDefault="00500B5F" w:rsidP="00147C5E">
            <w:pPr>
              <w:pStyle w:val="Tabletext"/>
              <w:rPr>
                <w:rFonts w:eastAsiaTheme="minorHAnsi"/>
              </w:rPr>
            </w:pPr>
            <w:r w:rsidRPr="00147C5E">
              <w:rPr>
                <w:rFonts w:eastAsiaTheme="minorHAnsi"/>
              </w:rPr>
              <w:t xml:space="preserve">95S </w:t>
            </w:r>
          </w:p>
        </w:tc>
        <w:tc>
          <w:tcPr>
            <w:tcW w:w="7229" w:type="dxa"/>
          </w:tcPr>
          <w:p w14:paraId="0AD0495A" w14:textId="77777777" w:rsidR="00500B5F" w:rsidRPr="00147C5E" w:rsidRDefault="00500B5F" w:rsidP="00147C5E">
            <w:pPr>
              <w:pStyle w:val="Tabletext"/>
              <w:rPr>
                <w:rFonts w:eastAsiaTheme="minorHAnsi"/>
              </w:rPr>
            </w:pPr>
            <w:r w:rsidRPr="00147C5E">
              <w:rPr>
                <w:rFonts w:eastAsiaTheme="minorHAnsi"/>
              </w:rPr>
              <w:t>Advise the Minister of any failure by a controlling body to prepare and submit an</w:t>
            </w:r>
            <w:r w:rsidRPr="00147C5E">
              <w:rPr>
                <w:rFonts w:eastAsiaTheme="minorHAnsi"/>
              </w:rPr>
              <w:t xml:space="preserve"> </w:t>
            </w:r>
            <w:r w:rsidRPr="00147C5E">
              <w:rPr>
                <w:rFonts w:eastAsiaTheme="minorHAnsi"/>
              </w:rPr>
              <w:t>annual integrity plan; consider, respond to or implement a recommendation; or</w:t>
            </w:r>
            <w:r w:rsidRPr="00147C5E">
              <w:rPr>
                <w:rFonts w:eastAsiaTheme="minorHAnsi"/>
              </w:rPr>
              <w:t xml:space="preserve"> </w:t>
            </w:r>
            <w:r w:rsidRPr="00147C5E">
              <w:rPr>
                <w:rFonts w:eastAsiaTheme="minorHAnsi"/>
              </w:rPr>
              <w:t>comply with a direction.</w:t>
            </w:r>
          </w:p>
        </w:tc>
        <w:tc>
          <w:tcPr>
            <w:tcW w:w="5387" w:type="dxa"/>
          </w:tcPr>
          <w:p w14:paraId="739AAE33" w14:textId="3B54C8CD" w:rsidR="00500B5F" w:rsidRPr="00147C5E" w:rsidRDefault="00147C5E" w:rsidP="00147C5E">
            <w:pPr>
              <w:pStyle w:val="Tabletext"/>
              <w:rPr>
                <w:rFonts w:eastAsiaTheme="minorHAnsi"/>
              </w:rPr>
            </w:pPr>
            <w:r w:rsidRPr="00981972">
              <w:rPr>
                <w:rFonts w:eastAsiaTheme="minorHAnsi"/>
              </w:rPr>
              <w:t>Power was not exercised during the reporting period.</w:t>
            </w:r>
          </w:p>
        </w:tc>
      </w:tr>
    </w:tbl>
    <w:p w14:paraId="1D9D2F0E" w14:textId="29CD3942" w:rsidR="005F65BC" w:rsidRPr="00B37903" w:rsidRDefault="005F65BC" w:rsidP="00B37903"/>
    <w:p w14:paraId="180473D9" w14:textId="77777777" w:rsidR="00500B5F" w:rsidRDefault="00500B5F" w:rsidP="00B37903">
      <w:pPr>
        <w:sectPr w:rsidR="00500B5F" w:rsidSect="00147C5E">
          <w:pgSz w:w="16838" w:h="11906" w:orient="landscape"/>
          <w:pgMar w:top="1134" w:right="1134" w:bottom="1134" w:left="1134" w:header="709" w:footer="709" w:gutter="0"/>
          <w:cols w:space="708"/>
          <w:docGrid w:linePitch="360"/>
        </w:sectPr>
      </w:pPr>
    </w:p>
    <w:p w14:paraId="2B02085A" w14:textId="76F5D016" w:rsidR="005F65BC" w:rsidRPr="00B37903" w:rsidRDefault="005F65BC" w:rsidP="00F220CA">
      <w:pPr>
        <w:pStyle w:val="Heading2"/>
      </w:pPr>
      <w:bookmarkStart w:id="14" w:name="_Toc130411467"/>
      <w:r w:rsidRPr="00B37903">
        <w:lastRenderedPageBreak/>
        <w:t xml:space="preserve">ANNUAL INTEGRITY PLANS &amp; </w:t>
      </w:r>
      <w:r w:rsidRPr="00F220CA">
        <w:t>BUDGETS</w:t>
      </w:r>
      <w:bookmarkEnd w:id="14"/>
      <w:r w:rsidRPr="00B37903">
        <w:t xml:space="preserve"> </w:t>
      </w:r>
    </w:p>
    <w:p w14:paraId="6FA54B77" w14:textId="23A7CA1E" w:rsidR="005F65BC" w:rsidRPr="00B37903" w:rsidRDefault="005F65BC" w:rsidP="00B37903">
      <w:r w:rsidRPr="00B37903">
        <w:t>The annual integrity plans and budgets identify each controlling body</w:t>
      </w:r>
      <w:r w:rsidR="00F220CA">
        <w:t>’</w:t>
      </w:r>
      <w:r w:rsidRPr="00B37903">
        <w:t xml:space="preserve">s strategic priorities, the operational activities they will undertake in the year ahead, and the resources required to do this. </w:t>
      </w:r>
    </w:p>
    <w:p w14:paraId="7A26B66A" w14:textId="7CB65E5E" w:rsidR="005F65BC" w:rsidRPr="00B37903" w:rsidRDefault="005F65BC" w:rsidP="00B37903">
      <w:r w:rsidRPr="00B37903">
        <w:t>VRIB</w:t>
      </w:r>
      <w:r w:rsidR="00F220CA">
        <w:t>’</w:t>
      </w:r>
      <w:r w:rsidRPr="00B37903">
        <w:t xml:space="preserve">s oversight function in relation to the integrity plans and budgets is to review, provide independent feedback, and ultimately endorse them. </w:t>
      </w:r>
    </w:p>
    <w:p w14:paraId="7E6F6C99" w14:textId="18F85722" w:rsidR="005F65BC" w:rsidRPr="00B37903" w:rsidRDefault="005F65BC" w:rsidP="00B37903">
      <w:r w:rsidRPr="00B37903">
        <w:t xml:space="preserve">The controlling bodies provide their annual integrity plans and budgets to VRIB at the end of May each year, after their internal business planning and budget processes have concluded. </w:t>
      </w:r>
    </w:p>
    <w:p w14:paraId="7FDDA501" w14:textId="2CFB7985" w:rsidR="005F65BC" w:rsidRPr="00B37903" w:rsidRDefault="005F65BC" w:rsidP="00B37903">
      <w:r w:rsidRPr="00B37903">
        <w:t xml:space="preserve">The interdependent nature of the </w:t>
      </w:r>
      <w:proofErr w:type="spellStart"/>
      <w:r w:rsidRPr="00B37903">
        <w:t>board‚Äôs</w:t>
      </w:r>
      <w:proofErr w:type="spellEnd"/>
      <w:r w:rsidRPr="00B37903">
        <w:t xml:space="preserve"> functions in relation to both means that VRIB assesses the plans and budgets concurrently. This occurs in June each year. </w:t>
      </w:r>
    </w:p>
    <w:p w14:paraId="0D3BF7CC" w14:textId="6FA5AC6E" w:rsidR="005F65BC" w:rsidRPr="00B37903" w:rsidRDefault="005F65BC" w:rsidP="00B37903">
      <w:r w:rsidRPr="00B37903">
        <w:t xml:space="preserve">VRIB subsequently considers what, if any, recommendations it should make to the controlling bodies to facilitate continuous improvement in integrity outcomes through the annual integrity plan process. The board consults with the controlling bodies if it considers recommendations are necessary and, after considering any feedback provided, makes final recommendations about the integrity plans in December of each year. </w:t>
      </w:r>
    </w:p>
    <w:p w14:paraId="5BD66624" w14:textId="2ABEB6B7" w:rsidR="005F65BC" w:rsidRPr="00B37903" w:rsidRDefault="005F65BC" w:rsidP="00F220CA">
      <w:pPr>
        <w:pStyle w:val="Heading3"/>
      </w:pPr>
      <w:r w:rsidRPr="00F220CA">
        <w:t>Integrity</w:t>
      </w:r>
      <w:r w:rsidRPr="00B37903">
        <w:t xml:space="preserve"> plan oversight framework </w:t>
      </w:r>
    </w:p>
    <w:p w14:paraId="1B7DA44F" w14:textId="53A2709F" w:rsidR="005F65BC" w:rsidRPr="00B37903" w:rsidRDefault="005F65BC" w:rsidP="00B37903">
      <w:r w:rsidRPr="00B37903">
        <w:t>The board has a decision-making framework in place to guide its analysis of each plan and ensure that it is consistent, objective and focused on strategic outcomes, rather than operational detail.</w:t>
      </w:r>
    </w:p>
    <w:p w14:paraId="53138E4E" w14:textId="62545425" w:rsidR="005F65BC" w:rsidRPr="00B37903" w:rsidRDefault="005F65BC" w:rsidP="00F220CA">
      <w:pPr>
        <w:pStyle w:val="Normalbeforebullet"/>
      </w:pPr>
      <w:r w:rsidRPr="00B37903">
        <w:t>VRIB assesses the effectiveness of the annual integrity plans by reference to a controlling body</w:t>
      </w:r>
      <w:r w:rsidR="00F220CA">
        <w:t>’</w:t>
      </w:r>
      <w:r w:rsidRPr="00B37903">
        <w:t xml:space="preserve">s strategies to address each of the following key governance and performance areas: </w:t>
      </w:r>
    </w:p>
    <w:p w14:paraId="3E0400B7" w14:textId="77777777" w:rsidR="005F65BC" w:rsidRPr="00F220CA" w:rsidRDefault="005F65BC" w:rsidP="00F220CA">
      <w:pPr>
        <w:pStyle w:val="Bullet"/>
      </w:pPr>
      <w:r w:rsidRPr="00B37903">
        <w:t xml:space="preserve">integrity </w:t>
      </w:r>
      <w:r w:rsidRPr="00F220CA">
        <w:t xml:space="preserve">oversight </w:t>
      </w:r>
    </w:p>
    <w:p w14:paraId="15150E10" w14:textId="77777777" w:rsidR="005F65BC" w:rsidRPr="00F220CA" w:rsidRDefault="005F65BC" w:rsidP="00F220CA">
      <w:pPr>
        <w:pStyle w:val="Bullet"/>
      </w:pPr>
      <w:r w:rsidRPr="00F220CA">
        <w:t xml:space="preserve">identification and management of integrity risk </w:t>
      </w:r>
    </w:p>
    <w:p w14:paraId="3A6401D2" w14:textId="77777777" w:rsidR="005F65BC" w:rsidRPr="00F220CA" w:rsidRDefault="005F65BC" w:rsidP="00F220CA">
      <w:pPr>
        <w:pStyle w:val="Bullet"/>
      </w:pPr>
      <w:r w:rsidRPr="00F220CA">
        <w:t xml:space="preserve">board monitoring of integrity functions </w:t>
      </w:r>
    </w:p>
    <w:p w14:paraId="785D5065" w14:textId="77777777" w:rsidR="005F65BC" w:rsidRPr="00F220CA" w:rsidRDefault="005F65BC" w:rsidP="00F220CA">
      <w:pPr>
        <w:pStyle w:val="Bullet"/>
      </w:pPr>
      <w:r w:rsidRPr="00F220CA">
        <w:t xml:space="preserve">transparency and accountability mechanisms for </w:t>
      </w:r>
    </w:p>
    <w:p w14:paraId="2EE21A8B" w14:textId="77777777" w:rsidR="005F65BC" w:rsidRPr="00F220CA" w:rsidRDefault="005F65BC" w:rsidP="00F220CA">
      <w:pPr>
        <w:pStyle w:val="Bullet"/>
      </w:pPr>
      <w:r w:rsidRPr="00F220CA">
        <w:t xml:space="preserve">integrity functions </w:t>
      </w:r>
    </w:p>
    <w:p w14:paraId="177DE4F4" w14:textId="77777777" w:rsidR="005F65BC" w:rsidRPr="00B37903" w:rsidRDefault="005F65BC" w:rsidP="00F220CA">
      <w:pPr>
        <w:pStyle w:val="Bullet"/>
      </w:pPr>
      <w:r w:rsidRPr="00F220CA">
        <w:t>integrity functi</w:t>
      </w:r>
      <w:r w:rsidRPr="00B37903">
        <w:t xml:space="preserve">on performance </w:t>
      </w:r>
    </w:p>
    <w:p w14:paraId="4D013423" w14:textId="77777777" w:rsidR="005F65BC" w:rsidRPr="00B37903" w:rsidRDefault="005F65BC" w:rsidP="00F220CA">
      <w:pPr>
        <w:pStyle w:val="Bulletlast"/>
      </w:pPr>
      <w:r w:rsidRPr="00B37903">
        <w:t xml:space="preserve">integrity education. </w:t>
      </w:r>
    </w:p>
    <w:p w14:paraId="5A0A9BFF" w14:textId="23483B27" w:rsidR="005F65BC" w:rsidRPr="00B37903" w:rsidRDefault="005F65BC" w:rsidP="00F220CA">
      <w:pPr>
        <w:pStyle w:val="Heading3"/>
      </w:pPr>
      <w:r w:rsidRPr="00B37903">
        <w:t xml:space="preserve">Recommendations relating to the 2021-22 integrity </w:t>
      </w:r>
      <w:proofErr w:type="gramStart"/>
      <w:r w:rsidRPr="00B37903">
        <w:t>plans</w:t>
      </w:r>
      <w:proofErr w:type="gramEnd"/>
      <w:r w:rsidRPr="00B37903">
        <w:t xml:space="preserve"> </w:t>
      </w:r>
    </w:p>
    <w:p w14:paraId="41117321" w14:textId="5152ACF9" w:rsidR="005F65BC" w:rsidRPr="00B37903" w:rsidRDefault="005F65BC" w:rsidP="00B37903">
      <w:r w:rsidRPr="00B37903">
        <w:t>VRIB endorsed the controlling Bodies</w:t>
      </w:r>
      <w:r w:rsidR="00F220CA">
        <w:t>’</w:t>
      </w:r>
      <w:r w:rsidRPr="00B37903">
        <w:t xml:space="preserve"> 2021-22 annual integrity plans in June last year. It then sought to identify opportunities to promote cross-code collaboration and best practice in integrity governance and performance through the ensuing recommendation process. </w:t>
      </w:r>
    </w:p>
    <w:p w14:paraId="7B0EE980" w14:textId="6A469C6B" w:rsidR="005F65BC" w:rsidRPr="00B37903" w:rsidRDefault="005F65BC" w:rsidP="00B37903">
      <w:r w:rsidRPr="00B37903">
        <w:t>In developing its recommendations, VRIB considered the findings of ORIC</w:t>
      </w:r>
      <w:r w:rsidR="00F220CA">
        <w:t>’</w:t>
      </w:r>
      <w:r w:rsidRPr="00B37903">
        <w:t>s annual audit, which included an appraisal of each controlling body</w:t>
      </w:r>
      <w:r w:rsidR="00F220CA">
        <w:t>’</w:t>
      </w:r>
      <w:r w:rsidRPr="00B37903">
        <w:t>s implementation of VRIB</w:t>
      </w:r>
      <w:r w:rsidR="00F220CA">
        <w:t>’</w:t>
      </w:r>
      <w:r w:rsidRPr="00B37903">
        <w:t xml:space="preserve">s 2020-21 integrity plan recommendations. </w:t>
      </w:r>
    </w:p>
    <w:p w14:paraId="575D8586" w14:textId="554F071B" w:rsidR="005F65BC" w:rsidRPr="00B37903" w:rsidRDefault="005F65BC" w:rsidP="00B37903">
      <w:r w:rsidRPr="00B37903">
        <w:t>This proved to be a useful exercise. Firstly, to consider each code</w:t>
      </w:r>
      <w:r w:rsidR="00F220CA">
        <w:t>’</w:t>
      </w:r>
      <w:r w:rsidRPr="00B37903">
        <w:t xml:space="preserve">s progress on the implementation of the 2020-21 recommendations and secondly, in considering what, if any, recommendations were necessary in relation to the 2021-22 integrity plans. </w:t>
      </w:r>
    </w:p>
    <w:p w14:paraId="409B20C0" w14:textId="0DACEF3B" w:rsidR="005F65BC" w:rsidRPr="00B37903" w:rsidRDefault="005F65BC" w:rsidP="00F220CA">
      <w:pPr>
        <w:pStyle w:val="Normalbeforebullet"/>
      </w:pPr>
      <w:r w:rsidRPr="00B37903">
        <w:t>In relation to the latter, VRIB determined to make the following cross-code recommendations to each controlling body in relation to the 2021-22 annual integrity plans, pursuant to VRIB</w:t>
      </w:r>
      <w:r w:rsidR="00F220CA">
        <w:t>’</w:t>
      </w:r>
      <w:r w:rsidRPr="00B37903">
        <w:t xml:space="preserve">s power under s 95R(2)(b): </w:t>
      </w:r>
    </w:p>
    <w:p w14:paraId="01A8127D" w14:textId="18B5E53A" w:rsidR="005F65BC" w:rsidRPr="00B37903" w:rsidRDefault="005F65BC" w:rsidP="00F220CA">
      <w:pPr>
        <w:pStyle w:val="ListParagraph"/>
        <w:numPr>
          <w:ilvl w:val="0"/>
          <w:numId w:val="15"/>
        </w:numPr>
        <w:ind w:left="357" w:hanging="357"/>
      </w:pPr>
      <w:r w:rsidRPr="00B37903">
        <w:t xml:space="preserve">each controlling body share its 2021-22 annual integrity plan with the other controlling bodies, to facilitate industry benchmarking and </w:t>
      </w:r>
      <w:proofErr w:type="gramStart"/>
      <w:r w:rsidRPr="00B37903">
        <w:t>collaboration</w:t>
      </w:r>
      <w:proofErr w:type="gramEnd"/>
      <w:r w:rsidRPr="00B37903">
        <w:t xml:space="preserve"> </w:t>
      </w:r>
    </w:p>
    <w:p w14:paraId="1D637EE6" w14:textId="74D0AB33" w:rsidR="005F65BC" w:rsidRPr="00B37903" w:rsidRDefault="005F65BC" w:rsidP="00B37903">
      <w:pPr>
        <w:pStyle w:val="ListParagraph"/>
        <w:numPr>
          <w:ilvl w:val="0"/>
          <w:numId w:val="15"/>
        </w:numPr>
        <w:ind w:left="357" w:hanging="357"/>
      </w:pPr>
      <w:r w:rsidRPr="00B37903">
        <w:lastRenderedPageBreak/>
        <w:t xml:space="preserve">each controlling body share its 2021-22 annual integrity plan with ORIC, to facilitate appropriate information sharing and ensure effective integrity oversight by his office. </w:t>
      </w:r>
    </w:p>
    <w:p w14:paraId="119436CB" w14:textId="4E6A0BBE" w:rsidR="005F65BC" w:rsidRPr="00B37903" w:rsidRDefault="005F65BC" w:rsidP="003E153D">
      <w:pPr>
        <w:pStyle w:val="Heading3"/>
      </w:pPr>
      <w:r w:rsidRPr="00B37903">
        <w:t xml:space="preserve">Endorsement of 2022-23 integrity plans and budgets </w:t>
      </w:r>
    </w:p>
    <w:p w14:paraId="2297D3B9" w14:textId="60391153" w:rsidR="005F65BC" w:rsidRPr="00B37903" w:rsidRDefault="005F65BC" w:rsidP="00B37903">
      <w:r w:rsidRPr="00B37903">
        <w:t>The Racing Act requires VRIB to be satisfied that its endorsement of each controlling body</w:t>
      </w:r>
      <w:r w:rsidR="003E153D">
        <w:t>’</w:t>
      </w:r>
      <w:r w:rsidRPr="00B37903">
        <w:t xml:space="preserve">s annual integrity plan and budget is in the best interests of the racing industry. </w:t>
      </w:r>
    </w:p>
    <w:p w14:paraId="1A0899EC" w14:textId="3156782F" w:rsidR="005F65BC" w:rsidRPr="00B37903" w:rsidRDefault="005F65BC" w:rsidP="00B37903">
      <w:r w:rsidRPr="00B37903">
        <w:t>When it undertook this task for the first time in 2020, the board determined that it would not be prescriptive about the form and content of the controlling bodies</w:t>
      </w:r>
      <w:r w:rsidR="003E153D">
        <w:t>’</w:t>
      </w:r>
      <w:r w:rsidRPr="00B37903">
        <w:t xml:space="preserve"> integrity plans. This minimised the risk of assumptions being made about what racing integrity </w:t>
      </w:r>
      <w:r w:rsidR="003E153D">
        <w:t>‘</w:t>
      </w:r>
      <w:r w:rsidRPr="00B37903">
        <w:t>should</w:t>
      </w:r>
      <w:r w:rsidR="003E153D">
        <w:t>’</w:t>
      </w:r>
      <w:r w:rsidRPr="00B37903">
        <w:t xml:space="preserve"> look like. </w:t>
      </w:r>
    </w:p>
    <w:p w14:paraId="2E5E4CEB" w14:textId="70BE7D54" w:rsidR="005F65BC" w:rsidRPr="00B37903" w:rsidRDefault="005F65BC" w:rsidP="00B37903">
      <w:r w:rsidRPr="00B37903">
        <w:t xml:space="preserve">VRIB gained valuable insight from this initial approach to inform the development of an integrity plan template for the controlling bodies to use in developing </w:t>
      </w:r>
      <w:r w:rsidR="003E153D" w:rsidRPr="00B37903">
        <w:t>their plans</w:t>
      </w:r>
      <w:r w:rsidRPr="00B37903">
        <w:t xml:space="preserve">. The template has facilitated consistency in the provision of information provided by the controlling bodies and ready cross-code comparison and analysis of that information. </w:t>
      </w:r>
    </w:p>
    <w:p w14:paraId="50F5DBB3" w14:textId="3628CE3B" w:rsidR="005F65BC" w:rsidRPr="00B37903" w:rsidRDefault="005F65BC" w:rsidP="00B37903">
      <w:r w:rsidRPr="00B37903">
        <w:t>In 2022, VRIB again provided an opportunity for each controlling body</w:t>
      </w:r>
      <w:r w:rsidR="003E153D">
        <w:t>’</w:t>
      </w:r>
      <w:r w:rsidRPr="00B37903">
        <w:t>s integrity head to present their annual plan to the board and respond to members</w:t>
      </w:r>
      <w:r w:rsidR="003E153D">
        <w:t>’</w:t>
      </w:r>
      <w:r w:rsidRPr="00B37903">
        <w:t xml:space="preserve"> queries. </w:t>
      </w:r>
    </w:p>
    <w:p w14:paraId="796B2F26" w14:textId="711E4F6B" w:rsidR="005F65BC" w:rsidRPr="00B37903" w:rsidRDefault="005F65BC" w:rsidP="00B37903">
      <w:r w:rsidRPr="00B37903">
        <w:t>After reviewing each plan in turn, VRIB determined that the controlling bodies</w:t>
      </w:r>
      <w:r w:rsidR="003E153D">
        <w:t>’</w:t>
      </w:r>
      <w:r w:rsidRPr="00B37903">
        <w:t xml:space="preserve"> 2022-23 annual integrity plans and budgets were in the best interests of the industry and should be endorsed. The board</w:t>
      </w:r>
      <w:r w:rsidR="003E153D">
        <w:t>’</w:t>
      </w:r>
      <w:r w:rsidRPr="00B37903">
        <w:t xml:space="preserve">s consideration of whether it needs to make any recommendations about the 2022-23 integrity plans is under way and it will seek feedback from the controlling bodies. </w:t>
      </w:r>
    </w:p>
    <w:p w14:paraId="3A0B428E" w14:textId="41DE09C0" w:rsidR="005F65BC" w:rsidRPr="00B37903" w:rsidRDefault="005F65BC" w:rsidP="00B37903">
      <w:r w:rsidRPr="00B37903">
        <w:t xml:space="preserve">The controlling bodies are again to be congratulated for the quality of their annual integrity plans which demonstrate their ongoing commitment to continual improvement in racing integrity. </w:t>
      </w:r>
    </w:p>
    <w:p w14:paraId="61581C90" w14:textId="3CFF99B2" w:rsidR="005F65BC" w:rsidRPr="00B37903" w:rsidRDefault="005F65BC" w:rsidP="003E153D">
      <w:pPr>
        <w:pStyle w:val="Heading2"/>
      </w:pPr>
      <w:bookmarkStart w:id="15" w:name="_Toc130411468"/>
      <w:r w:rsidRPr="00B37903">
        <w:t>ADVICE ABOUT INTEGRITY &amp; LICENSING POLICY</w:t>
      </w:r>
      <w:bookmarkEnd w:id="15"/>
      <w:r w:rsidRPr="00B37903">
        <w:t xml:space="preserve"> </w:t>
      </w:r>
    </w:p>
    <w:p w14:paraId="4A2F4738" w14:textId="77777777" w:rsidR="003E153D" w:rsidRDefault="005F65BC" w:rsidP="00B37903">
      <w:r w:rsidRPr="00B37903">
        <w:t>VRIB</w:t>
      </w:r>
      <w:r w:rsidR="003E153D">
        <w:t>’</w:t>
      </w:r>
      <w:r w:rsidRPr="00B37903">
        <w:t xml:space="preserve">s function under section 95H(1)(d) of the Racing Act is to advise and make recommendations to the controlling bodies about integrity policy, and licensing policies and procedures. </w:t>
      </w:r>
    </w:p>
    <w:p w14:paraId="77C822FC" w14:textId="15326A93" w:rsidR="005F65BC" w:rsidRPr="00B37903" w:rsidRDefault="005F65BC" w:rsidP="00B37903">
      <w:r w:rsidRPr="00B37903">
        <w:t xml:space="preserve">The performance of this function is ordinarily delegated to the deputy chairs unless the specific policy or procedure raises matters of cross-code application. In providing advice about these matters to the controlling bodies, the deputies draw on their significant knowledge of the applicable greyhound, harness or thoroughbred racing code. </w:t>
      </w:r>
    </w:p>
    <w:p w14:paraId="5060936A" w14:textId="12CC0391" w:rsidR="005F65BC" w:rsidRPr="00B37903" w:rsidRDefault="005F65BC" w:rsidP="00B37903">
      <w:r w:rsidRPr="00B37903">
        <w:t xml:space="preserve">VRIB was asked to consider 1 new thoroughbred racing integrity-related policy in 2021-22. </w:t>
      </w:r>
    </w:p>
    <w:p w14:paraId="43E09B63" w14:textId="44DA9E65" w:rsidR="005F65BC" w:rsidRPr="00B37903" w:rsidRDefault="005F65BC" w:rsidP="00B37903">
      <w:r w:rsidRPr="00B37903">
        <w:t xml:space="preserve">The policy related to the collection of samples by Racing Victoria (RV) from intractable horses. VRIB made a recommendation in support of the policy following a request that RV consult with the veterinary and analyst advisory group on the matter. </w:t>
      </w:r>
    </w:p>
    <w:p w14:paraId="5C159954" w14:textId="25A7B66E" w:rsidR="005F65BC" w:rsidRPr="003E153D" w:rsidRDefault="005F65BC" w:rsidP="003E153D">
      <w:pPr>
        <w:pStyle w:val="Heading2"/>
      </w:pPr>
      <w:bookmarkStart w:id="16" w:name="_Toc130411469"/>
      <w:r w:rsidRPr="00B37903">
        <w:t>REVIEW OF PROPOSED AMENDED &amp; NEW RULES OF RACING</w:t>
      </w:r>
      <w:bookmarkEnd w:id="16"/>
      <w:r w:rsidRPr="00B37903">
        <w:t xml:space="preserve"> </w:t>
      </w:r>
    </w:p>
    <w:p w14:paraId="21DC2EF9" w14:textId="2E0E68A3" w:rsidR="005F65BC" w:rsidRPr="003E153D" w:rsidRDefault="005F65BC" w:rsidP="003E153D">
      <w:r w:rsidRPr="003E153D">
        <w:t xml:space="preserve">The review of proposals for new or amended rules of racing relating to integrity is a core VRIB function. </w:t>
      </w:r>
    </w:p>
    <w:p w14:paraId="126D9258" w14:textId="1BF9AED0" w:rsidR="005F65BC" w:rsidRPr="003E153D" w:rsidRDefault="005F65BC" w:rsidP="003E153D">
      <w:r w:rsidRPr="003E153D">
        <w:t>To increase expediency and efficiency, VRIB</w:t>
      </w:r>
      <w:r w:rsidR="003E153D">
        <w:t>’</w:t>
      </w:r>
      <w:r w:rsidRPr="003E153D">
        <w:t xml:space="preserve">s deputy chairs perform this task under delegation from the board. Each deputy has extensive knowledge of the relevant racing code, including a practical understanding of the application of the rules and interplay between the local and national rule-making bodies for greyhound, harness and thoroughbred racing. </w:t>
      </w:r>
    </w:p>
    <w:p w14:paraId="736BDF5E" w14:textId="7F367D1C" w:rsidR="005F65BC" w:rsidRPr="003E153D" w:rsidRDefault="005F65BC" w:rsidP="003E153D">
      <w:r w:rsidRPr="003E153D">
        <w:t>The controlling bodies</w:t>
      </w:r>
      <w:r w:rsidR="003E153D">
        <w:t>’</w:t>
      </w:r>
      <w:r w:rsidRPr="003E153D">
        <w:t xml:space="preserve"> internal processes permit a detailed examination of the potential impact of new and proposed racing rules, including consultation with each code</w:t>
      </w:r>
      <w:r w:rsidR="003E153D">
        <w:t>’</w:t>
      </w:r>
      <w:r w:rsidRPr="003E153D">
        <w:t xml:space="preserve">s industry stakeholders. </w:t>
      </w:r>
    </w:p>
    <w:p w14:paraId="7E095137" w14:textId="557A9E36" w:rsidR="005F65BC" w:rsidRPr="003E153D" w:rsidRDefault="005F65BC" w:rsidP="003E153D">
      <w:r w:rsidRPr="003E153D">
        <w:lastRenderedPageBreak/>
        <w:t xml:space="preserve">At the conclusion of this process, the proposal for a new or amended rule is referred to VRIB for its review. The relevant deputy chair also considers whether the proposal raises cross-code or other issues that warrant review by the full board. </w:t>
      </w:r>
    </w:p>
    <w:p w14:paraId="1505C28B" w14:textId="1329D827" w:rsidR="005F65BC" w:rsidRPr="003E153D" w:rsidRDefault="005F65BC" w:rsidP="003E153D">
      <w:pPr>
        <w:pStyle w:val="Normalbeforebullet"/>
      </w:pPr>
      <w:r w:rsidRPr="003E153D">
        <w:t xml:space="preserve">During 2021-22, VRIB reviewed 8 proposals from the controlling bodies to amend or introduce new rules of racing for their code. Of these: </w:t>
      </w:r>
    </w:p>
    <w:p w14:paraId="2F08AED5" w14:textId="67416BF6" w:rsidR="005F65BC" w:rsidRPr="003E153D" w:rsidRDefault="005F65BC" w:rsidP="003E153D">
      <w:pPr>
        <w:pStyle w:val="Bullet"/>
      </w:pPr>
      <w:r w:rsidRPr="003E153D">
        <w:t xml:space="preserve">7 related to thoroughbred racing and 1 to greyhound racing </w:t>
      </w:r>
    </w:p>
    <w:p w14:paraId="74AD8B92" w14:textId="53D7AA70" w:rsidR="005F65BC" w:rsidRPr="003E153D" w:rsidRDefault="005F65BC" w:rsidP="003E153D">
      <w:pPr>
        <w:pStyle w:val="Bulletlast"/>
      </w:pPr>
      <w:r w:rsidRPr="003E153D">
        <w:t xml:space="preserve">4 related to new rules and 4 to proposed amendments to existing rules. </w:t>
      </w:r>
    </w:p>
    <w:p w14:paraId="2BAEED3D" w14:textId="7014E994" w:rsidR="005F65BC" w:rsidRPr="003E153D" w:rsidRDefault="005F65BC" w:rsidP="003E153D">
      <w:r w:rsidRPr="003E153D">
        <w:t xml:space="preserve">After reviewing each proposed rule, VRIB ultimately made recommendations in support of their introduction or amendment. </w:t>
      </w:r>
    </w:p>
    <w:p w14:paraId="35E20848" w14:textId="42316449" w:rsidR="005F65BC" w:rsidRPr="003E153D" w:rsidRDefault="005F65BC" w:rsidP="003E153D">
      <w:r w:rsidRPr="003E153D">
        <w:t xml:space="preserve">The internal scrutiny applied by the controlling bodies to proposed rules means that it is unusual (but not unprecedented) for VRIB to recommend a course other than introduction of the new or amended rule. </w:t>
      </w:r>
    </w:p>
    <w:p w14:paraId="2A1B7080" w14:textId="7B67AE2C" w:rsidR="005F65BC" w:rsidRPr="003E153D" w:rsidRDefault="005F65BC" w:rsidP="003E153D">
      <w:r w:rsidRPr="003E153D">
        <w:t xml:space="preserve">Significantly, mention should be made of the amendment to the Greyhounds Australasia Rules (GARs). This rule change was omnibus: it involved a complete redrafting of the GARs. The process was led by GRV which is to be congratulated on this achievement which represented the culmination of a project that spanned years and involved extensive industry consultation to achieve consistency and simplification </w:t>
      </w:r>
      <w:r w:rsidR="000E1F93">
        <w:t xml:space="preserve">– </w:t>
      </w:r>
      <w:r w:rsidRPr="003E153D">
        <w:t xml:space="preserve">to the benefit of all participants. </w:t>
      </w:r>
    </w:p>
    <w:p w14:paraId="78A516DE" w14:textId="19B6EC31" w:rsidR="005F65BC" w:rsidRPr="003E153D" w:rsidRDefault="005F65BC" w:rsidP="000E1F93">
      <w:pPr>
        <w:pStyle w:val="Heading2"/>
      </w:pPr>
      <w:bookmarkStart w:id="17" w:name="_Toc130411470"/>
      <w:r w:rsidRPr="003E153D">
        <w:t xml:space="preserve">COMPLAINTS ABOUT INTEGRITY ISSUES WITHIN CONTROLLING </w:t>
      </w:r>
      <w:r w:rsidRPr="000E1F93">
        <w:t>BODIES</w:t>
      </w:r>
      <w:bookmarkEnd w:id="17"/>
      <w:r w:rsidRPr="003E153D">
        <w:t xml:space="preserve"> </w:t>
      </w:r>
    </w:p>
    <w:p w14:paraId="03C619EF" w14:textId="422AB825" w:rsidR="005F65BC" w:rsidRPr="003E153D" w:rsidRDefault="005F65BC" w:rsidP="003E153D">
      <w:r w:rsidRPr="003E153D">
        <w:t xml:space="preserve">VRIB has a very limited complaint function under section 95H(1)(f) of the Racing Act. It is protective in nature and intended to ensure the integrity department of each controlling body is free from undue internal influence. </w:t>
      </w:r>
    </w:p>
    <w:p w14:paraId="6F354E54" w14:textId="2349516A" w:rsidR="005F65BC" w:rsidRPr="003E153D" w:rsidRDefault="005F65BC" w:rsidP="003E153D">
      <w:r w:rsidRPr="003E153D">
        <w:t xml:space="preserve">The board received no complaints during the reporting year. VRIB considers that this reflects the deterrent impact of its statutory independence and its ability to proactively respond to any attempt by a controlling body to influence its integrity department. </w:t>
      </w:r>
    </w:p>
    <w:p w14:paraId="7132EE58" w14:textId="785E30C5" w:rsidR="005F65BC" w:rsidRPr="003E153D" w:rsidRDefault="005F65BC" w:rsidP="000E1F93">
      <w:pPr>
        <w:pStyle w:val="Heading3"/>
      </w:pPr>
      <w:r w:rsidRPr="003E153D">
        <w:t xml:space="preserve">Who can make a complaint to VRIB? </w:t>
      </w:r>
    </w:p>
    <w:p w14:paraId="580CF09B" w14:textId="712BEF59" w:rsidR="005F65BC" w:rsidRPr="003E153D" w:rsidRDefault="005F65BC" w:rsidP="003E153D">
      <w:r w:rsidRPr="003E153D">
        <w:t xml:space="preserve">Only designated persons who hold the following specific roles at a controlling body can make a complaint to VRIB: </w:t>
      </w:r>
    </w:p>
    <w:p w14:paraId="6A8215A1" w14:textId="77777777" w:rsidR="005F65BC" w:rsidRPr="003E153D" w:rsidRDefault="005F65BC" w:rsidP="000E1F93">
      <w:pPr>
        <w:pStyle w:val="Bullet"/>
      </w:pPr>
      <w:r w:rsidRPr="003E153D">
        <w:t xml:space="preserve">a board member or director </w:t>
      </w:r>
    </w:p>
    <w:p w14:paraId="4C69B31B" w14:textId="77777777" w:rsidR="005F65BC" w:rsidRPr="003E153D" w:rsidRDefault="005F65BC" w:rsidP="000E1F93">
      <w:pPr>
        <w:pStyle w:val="Bullet"/>
      </w:pPr>
      <w:r w:rsidRPr="003E153D">
        <w:t xml:space="preserve">an integrity manager </w:t>
      </w:r>
    </w:p>
    <w:p w14:paraId="07854CD1" w14:textId="77777777" w:rsidR="005F65BC" w:rsidRPr="003E153D" w:rsidRDefault="005F65BC" w:rsidP="000E1F93">
      <w:pPr>
        <w:pStyle w:val="Bulletlast"/>
      </w:pPr>
      <w:r w:rsidRPr="003E153D">
        <w:t xml:space="preserve">a chief or deputy chief steward. </w:t>
      </w:r>
    </w:p>
    <w:p w14:paraId="07BC5CAC" w14:textId="158DFF3B" w:rsidR="005F65BC" w:rsidRPr="003E153D" w:rsidRDefault="005F65BC" w:rsidP="000E1F93">
      <w:pPr>
        <w:pStyle w:val="Heading3"/>
      </w:pPr>
      <w:r w:rsidRPr="003E153D">
        <w:t xml:space="preserve">What type of complaints can VRIB receive? </w:t>
      </w:r>
    </w:p>
    <w:p w14:paraId="58F1C5D8" w14:textId="288106D5" w:rsidR="005F65BC" w:rsidRPr="003E153D" w:rsidRDefault="005F65BC" w:rsidP="003E153D">
      <w:r w:rsidRPr="003E153D">
        <w:t xml:space="preserve">VRIB can only act on complaints about integrity issues within a controlling body made by a designated person. </w:t>
      </w:r>
    </w:p>
    <w:p w14:paraId="04537CC0" w14:textId="78EFF191" w:rsidR="005F65BC" w:rsidRPr="003E153D" w:rsidRDefault="005F65BC" w:rsidP="000E1F93">
      <w:pPr>
        <w:pStyle w:val="Normalbeforebullet"/>
      </w:pPr>
      <w:r w:rsidRPr="003E153D">
        <w:t xml:space="preserve">Under the Racing Act, VRIB cannot accept or respond to complaints that are: </w:t>
      </w:r>
    </w:p>
    <w:p w14:paraId="5F239BF6" w14:textId="295EC1FC" w:rsidR="005F65BC" w:rsidRPr="000E1F93" w:rsidRDefault="005F65BC" w:rsidP="000E1F93">
      <w:pPr>
        <w:pStyle w:val="Bullet"/>
      </w:pPr>
      <w:r w:rsidRPr="003E153D">
        <w:t xml:space="preserve">made </w:t>
      </w:r>
      <w:r w:rsidRPr="000E1F93">
        <w:t xml:space="preserve">by any other person (including industry participants) </w:t>
      </w:r>
    </w:p>
    <w:p w14:paraId="01D10CFA" w14:textId="77777777" w:rsidR="005F65BC" w:rsidRPr="003E153D" w:rsidRDefault="005F65BC" w:rsidP="000E1F93">
      <w:pPr>
        <w:pStyle w:val="Bullet"/>
      </w:pPr>
      <w:r w:rsidRPr="000E1F93">
        <w:t xml:space="preserve">made </w:t>
      </w:r>
      <w:proofErr w:type="gramStart"/>
      <w:r w:rsidRPr="000E1F93">
        <w:t>an</w:t>
      </w:r>
      <w:r w:rsidRPr="003E153D">
        <w:t>onymously</w:t>
      </w:r>
      <w:proofErr w:type="gramEnd"/>
      <w:r w:rsidRPr="003E153D">
        <w:t xml:space="preserve"> </w:t>
      </w:r>
    </w:p>
    <w:p w14:paraId="1435AA8E" w14:textId="3344A4F5" w:rsidR="005F65BC" w:rsidRPr="003E153D" w:rsidRDefault="005F65BC" w:rsidP="000E1F93">
      <w:pPr>
        <w:pStyle w:val="Bulletlast"/>
      </w:pPr>
      <w:r w:rsidRPr="003E153D">
        <w:t xml:space="preserve">about any other matter that is not an integrity issue within a controlling body. </w:t>
      </w:r>
    </w:p>
    <w:p w14:paraId="54CC5ACB" w14:textId="54AB14C4" w:rsidR="005F65BC" w:rsidRPr="003E153D" w:rsidRDefault="005F65BC" w:rsidP="000E1F93">
      <w:pPr>
        <w:pStyle w:val="Heading3"/>
      </w:pPr>
      <w:r w:rsidRPr="003E153D">
        <w:lastRenderedPageBreak/>
        <w:t xml:space="preserve">Other complaints </w:t>
      </w:r>
    </w:p>
    <w:p w14:paraId="27CE9499" w14:textId="507314C5" w:rsidR="005F65BC" w:rsidRPr="003E153D" w:rsidRDefault="005F65BC" w:rsidP="003E153D">
      <w:r w:rsidRPr="003E153D">
        <w:t xml:space="preserve">If VRIB receives a complaint that falls outside its statutory power, it will refer the matter to the appropriate entity. Ordinarily, this will be the relevant controlling body or ORIC for Victorian matters, or the responsible interstate authority. </w:t>
      </w:r>
    </w:p>
    <w:p w14:paraId="744DE03C" w14:textId="3945BA0A" w:rsidR="005F65BC" w:rsidRPr="003E153D" w:rsidRDefault="005F65BC" w:rsidP="000E1F93">
      <w:pPr>
        <w:pStyle w:val="Heading3"/>
      </w:pPr>
      <w:r w:rsidRPr="003E153D">
        <w:t xml:space="preserve">Complaint handling policy </w:t>
      </w:r>
    </w:p>
    <w:p w14:paraId="641C0F61" w14:textId="32BD4891" w:rsidR="005F65BC" w:rsidRPr="003E153D" w:rsidRDefault="005F65BC" w:rsidP="003E153D">
      <w:r w:rsidRPr="003E153D">
        <w:t>VRIB has a complaint handling policy that has been provided to all designated persons. The policy includes information about the board</w:t>
      </w:r>
      <w:r w:rsidR="000E1F93">
        <w:t>’</w:t>
      </w:r>
      <w:r w:rsidRPr="003E153D">
        <w:t xml:space="preserve">s role, how to make a complaint and how VRIB will respond to it. </w:t>
      </w:r>
    </w:p>
    <w:p w14:paraId="283DBF86" w14:textId="7CCF296C" w:rsidR="005F65BC" w:rsidRPr="003E153D" w:rsidRDefault="005F65BC" w:rsidP="000E1F93">
      <w:pPr>
        <w:pStyle w:val="Heading2"/>
      </w:pPr>
      <w:bookmarkStart w:id="18" w:name="_Toc130411471"/>
      <w:r w:rsidRPr="003E153D">
        <w:t>CONSIDERATION OF DISCIPLINARY ACTION PROPOSED BY A CONTROLLING BODY</w:t>
      </w:r>
      <w:bookmarkEnd w:id="18"/>
      <w:r w:rsidRPr="003E153D">
        <w:t xml:space="preserve"> </w:t>
      </w:r>
    </w:p>
    <w:p w14:paraId="063A3CC0" w14:textId="3E4121C4" w:rsidR="005F65BC" w:rsidRPr="003E153D" w:rsidRDefault="005F65BC" w:rsidP="003E153D">
      <w:r w:rsidRPr="003E153D">
        <w:t xml:space="preserve">Section 95H(1)(j) of the Racing Act vests VRIB with an oversight role to consider and provide direction to a controlling body about disciplinary action it proposes to take against a senior member of an integrity department about internal integrity matters. </w:t>
      </w:r>
    </w:p>
    <w:p w14:paraId="146C11BF" w14:textId="200BD9FB" w:rsidR="005F65BC" w:rsidRPr="003E153D" w:rsidRDefault="005F65BC" w:rsidP="003E153D">
      <w:r w:rsidRPr="003E153D">
        <w:t xml:space="preserve">The function is protective in nature and is intended to ensure that adverse action is not taken against a senior integrity official </w:t>
      </w:r>
      <w:r w:rsidR="000E1F93">
        <w:t>‘</w:t>
      </w:r>
      <w:r w:rsidRPr="003E153D">
        <w:t>whistle-blower</w:t>
      </w:r>
      <w:r w:rsidR="000E1F93">
        <w:t>’</w:t>
      </w:r>
      <w:r w:rsidRPr="003E153D">
        <w:t xml:space="preserve"> for raising concerns about integrity issues within a controlling body. </w:t>
      </w:r>
    </w:p>
    <w:p w14:paraId="0435A66A" w14:textId="71E7338A" w:rsidR="000E1F93" w:rsidRPr="003E153D" w:rsidRDefault="005F65BC" w:rsidP="000E1F93">
      <w:r w:rsidRPr="003E153D">
        <w:t xml:space="preserve">Controlling bodies bear sole responsibility for their employment relationships with staff, including the consequences of any disciplinary findings made and action taken. VRIB therefore considers that, ordinarily, it will not be appropriate for it to express an opinion </w:t>
      </w:r>
      <w:r w:rsidR="000E1F93" w:rsidRPr="003E153D">
        <w:t xml:space="preserve">about how a controlling body weighs competing considerations in favour of, or mitigating against, the different disciplinary options available to it. </w:t>
      </w:r>
      <w:r w:rsidR="00614A13" w:rsidRPr="003E153D">
        <w:t xml:space="preserve">However, VRIB may provide guidance to assist the controlling body to determine what, if any, disciplinary sanction is open to it. </w:t>
      </w:r>
    </w:p>
    <w:p w14:paraId="51FEBD8B" w14:textId="2596B47C" w:rsidR="005F65BC" w:rsidRPr="003E153D" w:rsidRDefault="000E1F93" w:rsidP="003E153D">
      <w:r w:rsidRPr="003E153D">
        <w:t xml:space="preserve">Was not required to provide direction in relation to matters involving disciplinary action proposed by a controlling body in 2021-22. </w:t>
      </w:r>
    </w:p>
    <w:p w14:paraId="6DBAB8A2" w14:textId="34CDFB40" w:rsidR="005F65BC" w:rsidRPr="003E153D" w:rsidRDefault="005F65BC" w:rsidP="000E1F93">
      <w:pPr>
        <w:pStyle w:val="Heading2"/>
      </w:pPr>
      <w:bookmarkStart w:id="19" w:name="_Toc130411472"/>
      <w:r w:rsidRPr="003E153D">
        <w:t>RELATIONSHIPS</w:t>
      </w:r>
      <w:bookmarkEnd w:id="19"/>
      <w:r w:rsidRPr="003E153D">
        <w:t xml:space="preserve"> </w:t>
      </w:r>
    </w:p>
    <w:p w14:paraId="479684DA" w14:textId="4DB11AC6" w:rsidR="005F65BC" w:rsidRPr="003E153D" w:rsidRDefault="005F65BC" w:rsidP="00614A13">
      <w:pPr>
        <w:pStyle w:val="Heading3"/>
      </w:pPr>
      <w:r w:rsidRPr="003E153D">
        <w:t xml:space="preserve">Controlling bodies </w:t>
      </w:r>
    </w:p>
    <w:p w14:paraId="7564A69C" w14:textId="450B2B63" w:rsidR="005F65BC" w:rsidRPr="003E153D" w:rsidRDefault="005F65BC" w:rsidP="00614A13">
      <w:pPr>
        <w:pStyle w:val="Normalbeforebullet"/>
      </w:pPr>
      <w:r w:rsidRPr="003E153D">
        <w:t>VRIB</w:t>
      </w:r>
      <w:r w:rsidR="00614A13">
        <w:t>’</w:t>
      </w:r>
      <w:r w:rsidRPr="003E153D">
        <w:t xml:space="preserve">s endeavours to foster direct relationships with the controlling bodies and their integrity staff, these endeavours have been hampered recently by the necessary restrictions put in place due to the COVID-19 pandemic, which has made in person </w:t>
      </w:r>
      <w:r w:rsidRPr="00614A13">
        <w:t>engagement</w:t>
      </w:r>
      <w:r w:rsidRPr="003E153D">
        <w:t xml:space="preserve"> and travel difficult. Nevertheless, work has </w:t>
      </w:r>
      <w:proofErr w:type="gramStart"/>
      <w:r w:rsidRPr="003E153D">
        <w:t>continued on</w:t>
      </w:r>
      <w:proofErr w:type="gramEnd"/>
      <w:r w:rsidRPr="003E153D">
        <w:t xml:space="preserve"> a number of fronts to ensure that relationships with the controlling bodies remain active and beneficial, this has included: </w:t>
      </w:r>
    </w:p>
    <w:p w14:paraId="1CEE1B8A" w14:textId="18EDD026" w:rsidR="005F65BC" w:rsidRPr="003E153D" w:rsidRDefault="005F65BC" w:rsidP="00614A13">
      <w:pPr>
        <w:pStyle w:val="Bullet"/>
      </w:pPr>
      <w:r w:rsidRPr="003E153D">
        <w:t>VRIB providing regular written updates to the controlling body chairs, chief executives and integrity department heads throughout the reporting period and seeking their feedback and input about the board</w:t>
      </w:r>
      <w:r w:rsidR="00614A13">
        <w:t>’</w:t>
      </w:r>
      <w:r w:rsidRPr="003E153D">
        <w:t xml:space="preserve">s activities and plans. </w:t>
      </w:r>
    </w:p>
    <w:p w14:paraId="113D1E3C" w14:textId="41C66FB1" w:rsidR="005F65BC" w:rsidRPr="003E153D" w:rsidRDefault="005F65BC" w:rsidP="00614A13">
      <w:pPr>
        <w:pStyle w:val="Bullet"/>
      </w:pPr>
      <w:r w:rsidRPr="003E153D">
        <w:t xml:space="preserve">VRIB deputy chairs liaising with the controlling bodies, providing counsel and guidance directly to integrity department heads and their senior staff when, and as, needed. </w:t>
      </w:r>
    </w:p>
    <w:p w14:paraId="327EAF27" w14:textId="606A18CD" w:rsidR="005F65BC" w:rsidRPr="003E153D" w:rsidRDefault="005F65BC" w:rsidP="00614A13">
      <w:pPr>
        <w:pStyle w:val="Bullet"/>
      </w:pPr>
      <w:r w:rsidRPr="003E153D">
        <w:t xml:space="preserve">VRIB sub-committees facilitating informal, cross-code touchpoints between VRIB and integrity staff throughout </w:t>
      </w:r>
      <w:r w:rsidRPr="00614A13">
        <w:t>the</w:t>
      </w:r>
      <w:r w:rsidRPr="003E153D">
        <w:t xml:space="preserve"> year. </w:t>
      </w:r>
    </w:p>
    <w:p w14:paraId="765308ED" w14:textId="312D3C1B" w:rsidR="005F65BC" w:rsidRPr="003E153D" w:rsidRDefault="005F65BC" w:rsidP="00614A13">
      <w:pPr>
        <w:pStyle w:val="Bullet"/>
      </w:pPr>
      <w:r w:rsidRPr="003E153D">
        <w:t xml:space="preserve">scheduling </w:t>
      </w:r>
      <w:r w:rsidR="00614A13">
        <w:t>‘</w:t>
      </w:r>
      <w:r w:rsidRPr="003E153D">
        <w:t>cross-code integrity meeting</w:t>
      </w:r>
      <w:r w:rsidR="00614A13">
        <w:t>’</w:t>
      </w:r>
      <w:r w:rsidRPr="003E153D">
        <w:t xml:space="preserve"> with controlling body CEOs, ORIC and Departmental officials to discuss industry wide issues. </w:t>
      </w:r>
    </w:p>
    <w:p w14:paraId="1EB43E18" w14:textId="39805104" w:rsidR="005F65BC" w:rsidRPr="003E153D" w:rsidRDefault="005F65BC" w:rsidP="003E153D">
      <w:pPr>
        <w:pStyle w:val="Bulletlast"/>
      </w:pPr>
      <w:r w:rsidRPr="003E153D">
        <w:t xml:space="preserve">The VRIB chair and executive officer maintaining regular contact with the VRI heads and CEOs. </w:t>
      </w:r>
    </w:p>
    <w:p w14:paraId="32984952" w14:textId="4FE0892C" w:rsidR="005F65BC" w:rsidRPr="003E153D" w:rsidRDefault="005F65BC" w:rsidP="003E153D">
      <w:r w:rsidRPr="003E153D">
        <w:lastRenderedPageBreak/>
        <w:t xml:space="preserve">In maintaining its relationships with stakeholders, VRIB is conscious of the need to balance the performance of the </w:t>
      </w:r>
      <w:r w:rsidR="00614A13" w:rsidRPr="003E153D">
        <w:t>board’s</w:t>
      </w:r>
      <w:r w:rsidRPr="003E153D">
        <w:t xml:space="preserve"> statutory functions to oversee and maintain relationships with the controlling bodies, with the </w:t>
      </w:r>
      <w:r w:rsidR="00614A13" w:rsidRPr="003E153D">
        <w:t>codes’</w:t>
      </w:r>
      <w:r w:rsidRPr="003E153D">
        <w:t xml:space="preserve"> need to be not overborne by too many meetings. </w:t>
      </w:r>
    </w:p>
    <w:p w14:paraId="745CAD6F" w14:textId="1F0D4098" w:rsidR="005F65BC" w:rsidRPr="003E153D" w:rsidRDefault="005F65BC" w:rsidP="00614A13">
      <w:pPr>
        <w:pStyle w:val="Heading2"/>
      </w:pPr>
      <w:bookmarkStart w:id="20" w:name="_Toc130411473"/>
      <w:r w:rsidRPr="003E153D">
        <w:t>INTEGRITY INITIATIVES</w:t>
      </w:r>
      <w:bookmarkEnd w:id="20"/>
      <w:r w:rsidRPr="003E153D">
        <w:t xml:space="preserve"> </w:t>
      </w:r>
    </w:p>
    <w:p w14:paraId="666911C5" w14:textId="0763C349" w:rsidR="005F65BC" w:rsidRPr="003E153D" w:rsidRDefault="005F65BC" w:rsidP="00614A13">
      <w:pPr>
        <w:pStyle w:val="Heading3"/>
      </w:pPr>
      <w:r w:rsidRPr="003E153D">
        <w:t>Cross-code Racing Analytical Services Limited (RASL) liaison sub-</w:t>
      </w:r>
      <w:proofErr w:type="gramStart"/>
      <w:r w:rsidRPr="003E153D">
        <w:t>committee</w:t>
      </w:r>
      <w:proofErr w:type="gramEnd"/>
      <w:r w:rsidRPr="003E153D">
        <w:t xml:space="preserve"> </w:t>
      </w:r>
    </w:p>
    <w:p w14:paraId="7D1FC3FA" w14:textId="1360262D" w:rsidR="005F65BC" w:rsidRPr="003E153D" w:rsidRDefault="005F65BC" w:rsidP="003E153D">
      <w:r w:rsidRPr="003E153D">
        <w:t xml:space="preserve">In 2020-21, as part of its statutory remit to oversee the development of shared service agreements, VRIB coordinated the signing of a common agreement between the controlling bodies and RASL. Following this, VRIB lead an initiative aimed at providing the opportunity for cross-code liaison through a subcommittee for this purpose. </w:t>
      </w:r>
    </w:p>
    <w:p w14:paraId="388DCB78" w14:textId="1E0B9D9D" w:rsidR="005F65BC" w:rsidRPr="003E153D" w:rsidRDefault="005F65BC" w:rsidP="003E153D">
      <w:r w:rsidRPr="003E153D">
        <w:t xml:space="preserve">This sub-committee has now been established and met for the first time in August 2021. The committee is intended to foster and encourage cross-code collaboration between the controlling bodies and RASL. The committee includes senior veterinarian and integrity team members from each code and is chaired by VRIB member Dr Kate Savage. </w:t>
      </w:r>
    </w:p>
    <w:p w14:paraId="3CD197D3" w14:textId="26B5D5B3" w:rsidR="005F65BC" w:rsidRPr="00614A13" w:rsidRDefault="005F65BC" w:rsidP="00614A13">
      <w:pPr>
        <w:pStyle w:val="Normalbeforebullet"/>
      </w:pPr>
      <w:r w:rsidRPr="003E153D">
        <w:t xml:space="preserve">The committee has approved terms of reference detailing its purpose to: </w:t>
      </w:r>
    </w:p>
    <w:p w14:paraId="6515F8C8" w14:textId="021A9DDD" w:rsidR="005F65BC" w:rsidRPr="003E153D" w:rsidRDefault="005F65BC" w:rsidP="00614A13">
      <w:pPr>
        <w:pStyle w:val="Bullet"/>
      </w:pPr>
      <w:r w:rsidRPr="003E153D">
        <w:t xml:space="preserve">discuss and monitor topical issues faced by the controlling bodies and RASL in relation to prohibited substances in the VRI; and </w:t>
      </w:r>
    </w:p>
    <w:p w14:paraId="7EDD5C81" w14:textId="237B2AEA" w:rsidR="005F65BC" w:rsidRPr="003E153D" w:rsidRDefault="005F65BC" w:rsidP="00614A13">
      <w:pPr>
        <w:pStyle w:val="Bulletlast"/>
      </w:pPr>
      <w:r w:rsidRPr="003E153D">
        <w:t xml:space="preserve">share information about emerging trends and risks in the detection and use of prohibited substances in the VRI. </w:t>
      </w:r>
    </w:p>
    <w:p w14:paraId="455DAF1B" w14:textId="62AE8A99" w:rsidR="005F65BC" w:rsidRPr="003E153D" w:rsidRDefault="005F65BC" w:rsidP="003E153D">
      <w:r w:rsidRPr="003E153D">
        <w:t xml:space="preserve">The committee has determined to meet on a quarterly basis moving forward. </w:t>
      </w:r>
    </w:p>
    <w:p w14:paraId="2316D4D8" w14:textId="58F658DC" w:rsidR="005F65BC" w:rsidRPr="003E153D" w:rsidRDefault="005F65BC" w:rsidP="00614A13">
      <w:pPr>
        <w:pStyle w:val="Heading3"/>
      </w:pPr>
      <w:r w:rsidRPr="003E153D">
        <w:t xml:space="preserve">Integrity education </w:t>
      </w:r>
    </w:p>
    <w:p w14:paraId="75DC248E" w14:textId="01643C34" w:rsidR="005F65BC" w:rsidRPr="003E153D" w:rsidRDefault="005F65BC" w:rsidP="003E153D">
      <w:r w:rsidRPr="003E153D">
        <w:t xml:space="preserve">During the reporting period VRIB made significant progress in relation to the development and delivery of a new racing integrity specific education program. VRIB believes that this work is essential to the maintenance of integrity standards and processes in the VRI. </w:t>
      </w:r>
    </w:p>
    <w:p w14:paraId="1F8BB223" w14:textId="74745184" w:rsidR="005F65BC" w:rsidRPr="003E153D" w:rsidRDefault="005F65BC" w:rsidP="003E153D">
      <w:r w:rsidRPr="003E153D">
        <w:t xml:space="preserve">A steering committee chaired by Board member Elizabeth Clark OAM and comprising representatives of each of the codes has met regularly. The committee has been responsible for developing the program outline, and, importantly, identifying an appropriate education provider for the program. </w:t>
      </w:r>
    </w:p>
    <w:p w14:paraId="5DB315A6" w14:textId="19DB45D4" w:rsidR="005F65BC" w:rsidRPr="003E153D" w:rsidRDefault="005F65BC" w:rsidP="003E153D">
      <w:r w:rsidRPr="003E153D">
        <w:t xml:space="preserve">The program will be the first industry qualification of its nature in Victoria or anywhere else in Australia. </w:t>
      </w:r>
      <w:r w:rsidR="00614A13" w:rsidRPr="003E153D">
        <w:t>It’s</w:t>
      </w:r>
      <w:r w:rsidRPr="003E153D">
        <w:t xml:space="preserve"> an ambitious initiative that VRIB believes will bring a new level of professionalism and expertise to the policing and enforcement of integrity issues in the VRI and potentially across Australia, should other racing jurisdictions also see the merit in the course. </w:t>
      </w:r>
    </w:p>
    <w:p w14:paraId="788177D8" w14:textId="4FFDA0CE" w:rsidR="005F65BC" w:rsidRPr="003E153D" w:rsidRDefault="005F65BC" w:rsidP="003E153D">
      <w:r w:rsidRPr="003E153D">
        <w:t xml:space="preserve">It is envisaged that the program will consist of a Vocational Education Package as well as a Graduate Certificate with entry to the vocational package open to anyone wishing to study in the field, while entry to the certificate would require the completion of an Australian </w:t>
      </w:r>
      <w:proofErr w:type="gramStart"/>
      <w:r w:rsidRPr="003E153D">
        <w:t>bachelor</w:t>
      </w:r>
      <w:proofErr w:type="gramEnd"/>
      <w:r w:rsidRPr="003E153D">
        <w:t xml:space="preserve"> degree (or equivalent) in a similar discipline or a minimum five years approved work experience. </w:t>
      </w:r>
    </w:p>
    <w:p w14:paraId="0E232935" w14:textId="64152813" w:rsidR="005F65BC" w:rsidRPr="003E153D" w:rsidRDefault="005F65BC" w:rsidP="003E153D">
      <w:r w:rsidRPr="003E153D">
        <w:t xml:space="preserve">VRIB believes that a broader, more holistic approach to education delivery across the VRI is desirable and that development of both a Vocational Education package and a Graduate Certificate will promote greater opportunities and education pathways for racing officials and participants. </w:t>
      </w:r>
    </w:p>
    <w:p w14:paraId="713C51FF" w14:textId="74452B0A" w:rsidR="005F65BC" w:rsidRPr="003E153D" w:rsidRDefault="005F65BC" w:rsidP="003E153D">
      <w:r w:rsidRPr="003E153D">
        <w:t xml:space="preserve">VRIB is working with controlling bodies and an education provider to further this initiative and to secure appropriate funding. </w:t>
      </w:r>
    </w:p>
    <w:p w14:paraId="28DA54E5" w14:textId="720CB06A" w:rsidR="005F65BC" w:rsidRPr="003E153D" w:rsidRDefault="005F65BC" w:rsidP="00614A13">
      <w:pPr>
        <w:pStyle w:val="Heading3"/>
      </w:pPr>
      <w:r w:rsidRPr="003E153D">
        <w:lastRenderedPageBreak/>
        <w:t xml:space="preserve">Licensing and Registration Project </w:t>
      </w:r>
    </w:p>
    <w:p w14:paraId="37734E94" w14:textId="7F1B16C7" w:rsidR="005F65BC" w:rsidRPr="003E153D" w:rsidRDefault="005F65BC" w:rsidP="003E153D">
      <w:r w:rsidRPr="003E153D">
        <w:t xml:space="preserve">VRIB also initiated a Licensing and Registration project during the reporting period. The project will be supported by a Steering </w:t>
      </w:r>
      <w:proofErr w:type="gramStart"/>
      <w:r w:rsidRPr="003E153D">
        <w:t>Committee, and</w:t>
      </w:r>
      <w:proofErr w:type="gramEnd"/>
      <w:r w:rsidRPr="003E153D">
        <w:t xml:space="preserve"> is chaired by VRIB member Mr Bryan </w:t>
      </w:r>
      <w:proofErr w:type="spellStart"/>
      <w:r w:rsidRPr="003E153D">
        <w:t>Gurry</w:t>
      </w:r>
      <w:proofErr w:type="spellEnd"/>
      <w:r w:rsidRPr="003E153D">
        <w:t xml:space="preserve">. </w:t>
      </w:r>
    </w:p>
    <w:p w14:paraId="3C68F4BF" w14:textId="08D29BAE" w:rsidR="005F65BC" w:rsidRPr="003E153D" w:rsidRDefault="005F65BC" w:rsidP="003E153D">
      <w:r w:rsidRPr="003E153D">
        <w:t xml:space="preserve">The Committee will be made up of representatives from VRIB and the controlling bodies. </w:t>
      </w:r>
    </w:p>
    <w:p w14:paraId="355161CA" w14:textId="7F1BFE3B" w:rsidR="005F65BC" w:rsidRPr="003E153D" w:rsidRDefault="005F65BC" w:rsidP="00603EBF">
      <w:pPr>
        <w:pStyle w:val="Normalbeforebullet"/>
      </w:pPr>
      <w:r w:rsidRPr="003E153D">
        <w:t xml:space="preserve">The objective of the project is to support the controlling bodies by strengthening integrity processes for registration and licensing. In addition, the project will aim to: </w:t>
      </w:r>
    </w:p>
    <w:p w14:paraId="5FF409DB" w14:textId="7B0EA34F" w:rsidR="005F65BC" w:rsidRPr="003E153D" w:rsidRDefault="005F65BC" w:rsidP="00603EBF">
      <w:pPr>
        <w:pStyle w:val="Bullet"/>
      </w:pPr>
      <w:r w:rsidRPr="003E153D">
        <w:t xml:space="preserve">promote collaboration and consistency amongst the VRI codes with their licensing and registration policies, processes, and procedures. </w:t>
      </w:r>
    </w:p>
    <w:p w14:paraId="0A00C999" w14:textId="01D4615D" w:rsidR="005F65BC" w:rsidRPr="003E153D" w:rsidRDefault="005F65BC" w:rsidP="00603EBF">
      <w:pPr>
        <w:pStyle w:val="Bullet"/>
      </w:pPr>
      <w:r w:rsidRPr="003E153D">
        <w:t xml:space="preserve">ensure that all code licensing and registration frameworks are underpinned by a governance process which supports the principles of independence, transparency, integrity, and accountability and conform with the principles of natural justice and procedural fairness. </w:t>
      </w:r>
    </w:p>
    <w:p w14:paraId="7474A97F" w14:textId="2113540E" w:rsidR="005F65BC" w:rsidRPr="003E153D" w:rsidRDefault="005F65BC" w:rsidP="003E153D">
      <w:pPr>
        <w:pStyle w:val="Bulletlast"/>
      </w:pPr>
      <w:r w:rsidRPr="003E153D">
        <w:t xml:space="preserve">ensure that each </w:t>
      </w:r>
      <w:r w:rsidR="00603EBF" w:rsidRPr="003E153D">
        <w:t>code’s</w:t>
      </w:r>
      <w:r w:rsidRPr="003E153D">
        <w:t xml:space="preserve"> framework </w:t>
      </w:r>
      <w:r w:rsidRPr="00603EBF">
        <w:t>operates</w:t>
      </w:r>
      <w:r w:rsidRPr="003E153D">
        <w:t xml:space="preserve"> so that only </w:t>
      </w:r>
      <w:r w:rsidR="00603EBF">
        <w:t>‘</w:t>
      </w:r>
      <w:r w:rsidRPr="003E153D">
        <w:t>fit and proper persons</w:t>
      </w:r>
      <w:r w:rsidR="00603EBF">
        <w:t>’</w:t>
      </w:r>
      <w:r w:rsidRPr="003E153D">
        <w:t xml:space="preserve"> are granted a license or registration. </w:t>
      </w:r>
    </w:p>
    <w:p w14:paraId="60704027" w14:textId="60045146" w:rsidR="005F65BC" w:rsidRPr="003E153D" w:rsidRDefault="005F65BC" w:rsidP="003E153D">
      <w:r w:rsidRPr="003E153D">
        <w:t xml:space="preserve">VRIB intends to have the project finalised by the end of October 2022. </w:t>
      </w:r>
    </w:p>
    <w:p w14:paraId="0F7D9EB4" w14:textId="180B6AEF" w:rsidR="005F65BC" w:rsidRPr="003E153D" w:rsidRDefault="005F65BC" w:rsidP="00603EBF">
      <w:pPr>
        <w:pStyle w:val="Heading3"/>
      </w:pPr>
      <w:r w:rsidRPr="003E153D">
        <w:t xml:space="preserve">Cross-code Integrity meetings </w:t>
      </w:r>
    </w:p>
    <w:p w14:paraId="01A1464F" w14:textId="7B8A9482" w:rsidR="005F65BC" w:rsidRPr="003E153D" w:rsidRDefault="005F65BC" w:rsidP="003E153D">
      <w:r w:rsidRPr="003E153D">
        <w:t xml:space="preserve">In April 2022 VRIB convened a cross-code integrity meeting with aim of bringing together controlling body Chairs and CEOs to discuss integrity issues in general, as well as the challenges and opportunities in relation to improving integrity oversight. ORIC and other senior Department of Jobs, Precincts and Regions officials also attended the meeting. </w:t>
      </w:r>
    </w:p>
    <w:p w14:paraId="46C21F6C" w14:textId="5B13C222" w:rsidR="005F65BC" w:rsidRPr="003E153D" w:rsidRDefault="005F65BC" w:rsidP="003E153D">
      <w:r w:rsidRPr="003E153D">
        <w:t xml:space="preserve">The meeting provided a forum for frank and comprehensive discussion of the key issues at an industry level. An undertaking emanating from the meeting was that the grouping should be brought together regularly on a half yearly basis. </w:t>
      </w:r>
    </w:p>
    <w:p w14:paraId="6147E777" w14:textId="717DF8C2" w:rsidR="005F65BC" w:rsidRPr="003E153D" w:rsidRDefault="005F65BC" w:rsidP="003E153D">
      <w:r w:rsidRPr="003E153D">
        <w:t xml:space="preserve">VRIB believes that these bi-annual meetings will work to strike the appropriate balance in relation to the board performing its statutory functions to oversee and maintain relationships with the controlling bodies while not overburdening the codes with an excessive meeting schedule. </w:t>
      </w:r>
    </w:p>
    <w:p w14:paraId="497F6A92" w14:textId="5F7CCD98" w:rsidR="005F65BC" w:rsidRPr="003E153D" w:rsidRDefault="005F65BC" w:rsidP="00603EBF">
      <w:pPr>
        <w:pStyle w:val="Heading1"/>
      </w:pPr>
      <w:bookmarkStart w:id="21" w:name="_Toc130411474"/>
      <w:r w:rsidRPr="003E153D">
        <w:lastRenderedPageBreak/>
        <w:t>3</w:t>
      </w:r>
      <w:r w:rsidR="00603EBF">
        <w:t xml:space="preserve">. </w:t>
      </w:r>
      <w:r w:rsidRPr="003E153D">
        <w:t>GOVERNANCE</w:t>
      </w:r>
      <w:bookmarkEnd w:id="21"/>
      <w:r w:rsidRPr="003E153D">
        <w:t xml:space="preserve"> </w:t>
      </w:r>
    </w:p>
    <w:p w14:paraId="18F8F80F" w14:textId="5A949D5F" w:rsidR="005F65BC" w:rsidRPr="003E153D" w:rsidRDefault="005F65BC" w:rsidP="00603EBF">
      <w:pPr>
        <w:pStyle w:val="Heading2"/>
      </w:pPr>
      <w:bookmarkStart w:id="22" w:name="_Toc130411475"/>
      <w:r w:rsidRPr="003E153D">
        <w:t>CORPORATE REPORTING</w:t>
      </w:r>
      <w:bookmarkEnd w:id="22"/>
      <w:r w:rsidRPr="003E153D">
        <w:t xml:space="preserve"> </w:t>
      </w:r>
    </w:p>
    <w:p w14:paraId="2C57E7E0" w14:textId="1F77420A" w:rsidR="005F65BC" w:rsidRPr="003E153D" w:rsidRDefault="005F65BC" w:rsidP="003E153D">
      <w:r w:rsidRPr="003E153D">
        <w:t xml:space="preserve">VRIB has a corporate governance and legislative compliance program to ensure it meets its legal and governance obligations, including the development and regular review of VRIB policies and processes for conflict of interest, fraud, confidentiality, document and records management, risk management, financial management and workplace </w:t>
      </w:r>
      <w:proofErr w:type="gramStart"/>
      <w:r w:rsidRPr="003E153D">
        <w:t>standards</w:t>
      </w:r>
      <w:proofErr w:type="gramEnd"/>
      <w:r w:rsidRPr="003E153D">
        <w:t xml:space="preserve"> </w:t>
      </w:r>
    </w:p>
    <w:p w14:paraId="2AF4C58D" w14:textId="1377735D" w:rsidR="005F65BC" w:rsidRPr="003E153D" w:rsidRDefault="005F65BC" w:rsidP="00603EBF">
      <w:pPr>
        <w:pStyle w:val="Heading3"/>
      </w:pPr>
      <w:r w:rsidRPr="003E153D">
        <w:t xml:space="preserve">Financial reporting </w:t>
      </w:r>
    </w:p>
    <w:p w14:paraId="4F4F0F06" w14:textId="7BC91D13" w:rsidR="005F65BC" w:rsidRPr="003E153D" w:rsidRDefault="005F65BC" w:rsidP="003E153D">
      <w:r w:rsidRPr="003E153D">
        <w:t xml:space="preserve">VRIB is funded by the VRI on a </w:t>
      </w:r>
      <w:proofErr w:type="gramStart"/>
      <w:r w:rsidRPr="003E153D">
        <w:t>costs</w:t>
      </w:r>
      <w:proofErr w:type="gramEnd"/>
      <w:r w:rsidRPr="003E153D">
        <w:t xml:space="preserve"> recovery basis through the Department of Jobs, Precincts and Regions (the Department). Detailed reporting about its financial performance, workforce data and other disclosures under the Financial Management Act 1994 (Vic) are included in the </w:t>
      </w:r>
      <w:r w:rsidR="00603EBF" w:rsidRPr="003E153D">
        <w:t>Department’s</w:t>
      </w:r>
      <w:r w:rsidRPr="003E153D">
        <w:t xml:space="preserve"> annual report. </w:t>
      </w:r>
    </w:p>
    <w:p w14:paraId="50E273C2" w14:textId="53CA43C0" w:rsidR="005F65BC" w:rsidRPr="003E153D" w:rsidRDefault="005F65BC" w:rsidP="00603EBF">
      <w:pPr>
        <w:pStyle w:val="Heading3"/>
      </w:pPr>
      <w:r w:rsidRPr="003E153D">
        <w:t xml:space="preserve">Shared services </w:t>
      </w:r>
    </w:p>
    <w:p w14:paraId="61DB1610" w14:textId="2740E7DA" w:rsidR="005F65BC" w:rsidRPr="003E153D" w:rsidRDefault="005F65BC" w:rsidP="003E153D">
      <w:r w:rsidRPr="003E153D">
        <w:t xml:space="preserve">VRIB receives support from the Department for a range of corporate services, including information technology, human resources and finance. </w:t>
      </w:r>
    </w:p>
    <w:p w14:paraId="31500D23" w14:textId="7EF509FA" w:rsidR="005F65BC" w:rsidRPr="003E153D" w:rsidRDefault="005F65BC" w:rsidP="00603EBF">
      <w:pPr>
        <w:pStyle w:val="Heading3"/>
      </w:pPr>
      <w:r w:rsidRPr="003E153D">
        <w:t xml:space="preserve">Public sector conduct </w:t>
      </w:r>
    </w:p>
    <w:p w14:paraId="0ADDF584" w14:textId="546BFDD3" w:rsidR="005F65BC" w:rsidRPr="003E153D" w:rsidRDefault="005F65BC" w:rsidP="003E153D">
      <w:r w:rsidRPr="003E153D">
        <w:t xml:space="preserve">VRIB and its staff abide by the Victorian public sector codes of conduct. </w:t>
      </w:r>
    </w:p>
    <w:p w14:paraId="78A5E164" w14:textId="177322F7" w:rsidR="005F65BC" w:rsidRPr="003E153D" w:rsidRDefault="005F65BC" w:rsidP="00603EBF">
      <w:pPr>
        <w:pStyle w:val="Heading3"/>
      </w:pPr>
      <w:r w:rsidRPr="003E153D">
        <w:t xml:space="preserve">Conflicts of interest </w:t>
      </w:r>
    </w:p>
    <w:p w14:paraId="17A973FF" w14:textId="04D5FF44" w:rsidR="005F65BC" w:rsidRPr="003E153D" w:rsidRDefault="005F65BC" w:rsidP="003E153D">
      <w:r w:rsidRPr="003E153D">
        <w:t xml:space="preserve">VRIB abides by the Victorian public sector model conflict of interest policy and maintains registers of private interests and gifts, benefits and hospitality. Board members and the executive officer complete an annual declaration of private interests. </w:t>
      </w:r>
    </w:p>
    <w:p w14:paraId="0A1E2A98" w14:textId="70D28503" w:rsidR="005F65BC" w:rsidRPr="003E153D" w:rsidRDefault="005F65BC" w:rsidP="00603EBF">
      <w:pPr>
        <w:pStyle w:val="Heading3"/>
      </w:pPr>
      <w:r w:rsidRPr="003E153D">
        <w:t xml:space="preserve">Risk management </w:t>
      </w:r>
    </w:p>
    <w:p w14:paraId="7C95B241" w14:textId="49E801CA" w:rsidR="005F65BC" w:rsidRPr="003E153D" w:rsidRDefault="005F65BC" w:rsidP="003E153D">
      <w:r w:rsidRPr="003E153D">
        <w:t xml:space="preserve">Risk management processes to meet the requirements of the Victorian Government Risk Management Framework 2016 and Risk Management Standard ISO 31000:2018 are in place, which includes compliance with the Victorian Protective Data Security Framework. </w:t>
      </w:r>
    </w:p>
    <w:p w14:paraId="72DA97DA" w14:textId="51C8780C" w:rsidR="005F65BC" w:rsidRPr="003E153D" w:rsidRDefault="005F65BC" w:rsidP="00603EBF">
      <w:pPr>
        <w:pStyle w:val="Heading3"/>
      </w:pPr>
      <w:r w:rsidRPr="003E153D">
        <w:t xml:space="preserve">Consultancies </w:t>
      </w:r>
    </w:p>
    <w:p w14:paraId="06D2EA89" w14:textId="528B1BB7" w:rsidR="005F65BC" w:rsidRPr="003E153D" w:rsidRDefault="005F65BC" w:rsidP="003E153D">
      <w:r w:rsidRPr="003E153D">
        <w:t>VRIB made one consultant engagement during 2021</w:t>
      </w:r>
      <w:r w:rsidR="00603EBF">
        <w:t>-</w:t>
      </w:r>
      <w:r w:rsidRPr="003E153D">
        <w:t>22. The engagement was for a facilitator to assist with VRIB</w:t>
      </w:r>
      <w:r w:rsidR="00603EBF">
        <w:t>’</w:t>
      </w:r>
      <w:r w:rsidRPr="003E153D">
        <w:t xml:space="preserve">s strategic planning day. </w:t>
      </w:r>
    </w:p>
    <w:p w14:paraId="3AD27F41" w14:textId="62F7F648" w:rsidR="005F65BC" w:rsidRPr="003E153D" w:rsidRDefault="005F65BC" w:rsidP="00603EBF">
      <w:pPr>
        <w:pStyle w:val="Heading3"/>
      </w:pPr>
      <w:r w:rsidRPr="003E153D">
        <w:t xml:space="preserve">Freedom of information </w:t>
      </w:r>
    </w:p>
    <w:p w14:paraId="3219EB47" w14:textId="2986DA64" w:rsidR="005F65BC" w:rsidRPr="003E153D" w:rsidRDefault="005F65BC" w:rsidP="003E153D">
      <w:r w:rsidRPr="003E153D">
        <w:t xml:space="preserve">The Freedom of Information Act 1982 (Vic) (the FOI Act) provides the public with a right to request access to information held by VRIB. No freedom of information (FOI) requests to access information under the FOI Act were received during the reporting period. </w:t>
      </w:r>
    </w:p>
    <w:p w14:paraId="40768C82" w14:textId="3C34EF77" w:rsidR="005F65BC" w:rsidRPr="003E153D" w:rsidRDefault="005F65BC" w:rsidP="003E153D">
      <w:r w:rsidRPr="003E153D">
        <w:t xml:space="preserve">An FOI request must be made in writing, clearly describe the information or document sought, and be accompanied by the prescribed application fee made payable to the Department. </w:t>
      </w:r>
    </w:p>
    <w:p w14:paraId="55F68C36" w14:textId="37651E70" w:rsidR="005F65BC" w:rsidRPr="003E153D" w:rsidRDefault="005F65BC" w:rsidP="00603EBF">
      <w:pPr>
        <w:pStyle w:val="Heading3"/>
      </w:pPr>
      <w:r w:rsidRPr="003E153D">
        <w:t xml:space="preserve">Public </w:t>
      </w:r>
      <w:r w:rsidRPr="00603EBF">
        <w:t>interest</w:t>
      </w:r>
      <w:r w:rsidRPr="003E153D">
        <w:t xml:space="preserve"> disclosures </w:t>
      </w:r>
    </w:p>
    <w:p w14:paraId="6CD1CD0B" w14:textId="0A129B48" w:rsidR="005F65BC" w:rsidRPr="003E153D" w:rsidRDefault="005F65BC" w:rsidP="003E153D">
      <w:r w:rsidRPr="003E153D">
        <w:t xml:space="preserve">The Public Interest Disclosure Act 2012 (Vic) encourages and facilitates the disclosure of improper conduct and corruption in the Victorian public sector by providing protection to people who make disclosures in accordance with its provisions. </w:t>
      </w:r>
    </w:p>
    <w:p w14:paraId="5665E4D5" w14:textId="777800EA" w:rsidR="005F65BC" w:rsidRPr="003E153D" w:rsidRDefault="005F65BC" w:rsidP="002B3913">
      <w:pPr>
        <w:pStyle w:val="Normalbeforebullet"/>
      </w:pPr>
      <w:r w:rsidRPr="003E153D">
        <w:lastRenderedPageBreak/>
        <w:t xml:space="preserve">Enquiries about access to VRIB documents can be made to </w:t>
      </w:r>
      <w:r w:rsidR="002B3913">
        <w:t>–</w:t>
      </w:r>
    </w:p>
    <w:p w14:paraId="3BB2525B" w14:textId="59FA920C" w:rsidR="005F65BC" w:rsidRPr="003E153D" w:rsidRDefault="005F65BC" w:rsidP="002B3913">
      <w:pPr>
        <w:pStyle w:val="Heading3"/>
      </w:pPr>
      <w:r w:rsidRPr="003E153D">
        <w:t xml:space="preserve">Freedom of Information Request Victorian Racing Integrity Board </w:t>
      </w:r>
    </w:p>
    <w:p w14:paraId="430E3417" w14:textId="77777777" w:rsidR="005F65BC" w:rsidRPr="003E153D" w:rsidRDefault="005F65BC" w:rsidP="002B3913">
      <w:pPr>
        <w:spacing w:after="0"/>
      </w:pPr>
      <w:r w:rsidRPr="003E153D">
        <w:t xml:space="preserve">Level 16, 121 Exhibition Street </w:t>
      </w:r>
    </w:p>
    <w:p w14:paraId="12F137B1" w14:textId="77777777" w:rsidR="005F65BC" w:rsidRPr="003E153D" w:rsidRDefault="005F65BC" w:rsidP="002B3913">
      <w:pPr>
        <w:spacing w:after="0"/>
      </w:pPr>
      <w:r w:rsidRPr="003E153D">
        <w:t xml:space="preserve">Melbourne Victoria 3000 </w:t>
      </w:r>
    </w:p>
    <w:p w14:paraId="4897AB33" w14:textId="7CC1AC73" w:rsidR="005F65BC" w:rsidRPr="003E153D" w:rsidRDefault="005F65BC" w:rsidP="002B3913">
      <w:pPr>
        <w:spacing w:after="0"/>
      </w:pPr>
      <w:r w:rsidRPr="003E153D">
        <w:t xml:space="preserve">GPO Box 4509 Melbourne Victoria 3001 </w:t>
      </w:r>
    </w:p>
    <w:p w14:paraId="07B4E66C" w14:textId="5498AE2E" w:rsidR="005F65BC" w:rsidRPr="003E153D" w:rsidRDefault="002B3913" w:rsidP="003E153D">
      <w:hyperlink r:id="rId8" w:history="1">
        <w:r w:rsidRPr="007755BB">
          <w:rPr>
            <w:rStyle w:val="Hyperlink"/>
            <w:rFonts w:cs="Arial"/>
          </w:rPr>
          <w:t>enquiries@vrib.vic.gov.au</w:t>
        </w:r>
      </w:hyperlink>
      <w:r>
        <w:t xml:space="preserve"> </w:t>
      </w:r>
      <w:r w:rsidR="005F65BC" w:rsidRPr="003E153D">
        <w:t xml:space="preserve"> </w:t>
      </w:r>
    </w:p>
    <w:p w14:paraId="72A14C71" w14:textId="412D1E05" w:rsidR="005F65BC" w:rsidRPr="002B3913" w:rsidRDefault="005F65BC" w:rsidP="002B3913">
      <w:pPr>
        <w:pStyle w:val="Normalbeforebullet"/>
      </w:pPr>
      <w:r w:rsidRPr="003E153D">
        <w:t xml:space="preserve">Any disclosure of this type about VRIB or its staff may be made to either </w:t>
      </w:r>
      <w:r w:rsidR="002B3913">
        <w:t>–</w:t>
      </w:r>
    </w:p>
    <w:p w14:paraId="439934A9" w14:textId="52272D1F" w:rsidR="005F65BC" w:rsidRPr="003E153D" w:rsidRDefault="005F65BC" w:rsidP="002B3913">
      <w:pPr>
        <w:pStyle w:val="Heading3"/>
      </w:pPr>
      <w:r w:rsidRPr="002B3913">
        <w:t>Independent</w:t>
      </w:r>
      <w:r w:rsidRPr="003E153D">
        <w:t xml:space="preserve"> Broad-based Anti-Corruption Commission </w:t>
      </w:r>
    </w:p>
    <w:p w14:paraId="67861C9F" w14:textId="77777777" w:rsidR="005F65BC" w:rsidRPr="003E153D" w:rsidRDefault="005F65BC" w:rsidP="002B3913">
      <w:pPr>
        <w:spacing w:after="0"/>
      </w:pPr>
      <w:r w:rsidRPr="003E153D">
        <w:t xml:space="preserve">Level 1, 459 Collins Street (North Tower) </w:t>
      </w:r>
    </w:p>
    <w:p w14:paraId="1A64405E" w14:textId="7571C6B7" w:rsidR="005F65BC" w:rsidRPr="003E153D" w:rsidRDefault="005F65BC" w:rsidP="003E153D">
      <w:r w:rsidRPr="003E153D">
        <w:t xml:space="preserve">Melbourne Victoria 3000 </w:t>
      </w:r>
    </w:p>
    <w:p w14:paraId="6AB764C4" w14:textId="28E15DAF" w:rsidR="005F65BC" w:rsidRPr="003E153D" w:rsidRDefault="005F65BC" w:rsidP="003E153D">
      <w:r w:rsidRPr="003E153D">
        <w:t xml:space="preserve">1300 735 135 </w:t>
      </w:r>
    </w:p>
    <w:p w14:paraId="0E698E96" w14:textId="67B0F7DF" w:rsidR="005F65BC" w:rsidRPr="003E153D" w:rsidRDefault="002B3913" w:rsidP="003E153D">
      <w:hyperlink r:id="rId9" w:history="1">
        <w:r w:rsidRPr="007755BB">
          <w:rPr>
            <w:rStyle w:val="Hyperlink"/>
            <w:rFonts w:cs="Arial"/>
          </w:rPr>
          <w:t>www.ibac.vic.gov.au</w:t>
        </w:r>
      </w:hyperlink>
      <w:r>
        <w:t xml:space="preserve"> </w:t>
      </w:r>
      <w:r w:rsidR="005F65BC" w:rsidRPr="003E153D">
        <w:t xml:space="preserve"> </w:t>
      </w:r>
    </w:p>
    <w:p w14:paraId="60EAAC6D" w14:textId="26B3AC12" w:rsidR="005F65BC" w:rsidRPr="003E153D" w:rsidRDefault="005F65BC" w:rsidP="002B3913">
      <w:pPr>
        <w:pStyle w:val="Heading3"/>
      </w:pPr>
      <w:r w:rsidRPr="003E153D">
        <w:t xml:space="preserve">Victorian </w:t>
      </w:r>
      <w:r w:rsidRPr="002B3913">
        <w:t>Ombudsman</w:t>
      </w:r>
      <w:r w:rsidRPr="003E153D">
        <w:t xml:space="preserve"> </w:t>
      </w:r>
    </w:p>
    <w:p w14:paraId="25E5C73D" w14:textId="77777777" w:rsidR="005F65BC" w:rsidRPr="003E153D" w:rsidRDefault="005F65BC" w:rsidP="002B3913">
      <w:pPr>
        <w:spacing w:after="0"/>
      </w:pPr>
      <w:r w:rsidRPr="003E153D">
        <w:t xml:space="preserve">Level 2, 570 Collins Street </w:t>
      </w:r>
    </w:p>
    <w:p w14:paraId="12C7C58C" w14:textId="007B3CEC" w:rsidR="005F65BC" w:rsidRPr="003E153D" w:rsidRDefault="005F65BC" w:rsidP="003E153D">
      <w:r w:rsidRPr="003E153D">
        <w:t xml:space="preserve">Melbourne Victoria 3000 </w:t>
      </w:r>
    </w:p>
    <w:p w14:paraId="2E6E8127" w14:textId="12DCDF89" w:rsidR="005F65BC" w:rsidRPr="003E153D" w:rsidRDefault="005F65BC" w:rsidP="003E153D">
      <w:r w:rsidRPr="003E153D">
        <w:t xml:space="preserve">03 9613 6222 </w:t>
      </w:r>
    </w:p>
    <w:p w14:paraId="605D9227" w14:textId="11760D0E" w:rsidR="005F65BC" w:rsidRPr="003E153D" w:rsidRDefault="002B3913" w:rsidP="003E153D">
      <w:hyperlink r:id="rId10" w:history="1">
        <w:r w:rsidRPr="007755BB">
          <w:rPr>
            <w:rStyle w:val="Hyperlink"/>
            <w:rFonts w:cs="Arial"/>
          </w:rPr>
          <w:t>www.ombudsman.vic.gov.au</w:t>
        </w:r>
      </w:hyperlink>
    </w:p>
    <w:p w14:paraId="18E33E4C" w14:textId="0C57AA2D" w:rsidR="005F65BC" w:rsidRPr="003E153D" w:rsidRDefault="002B3913" w:rsidP="003E153D">
      <w:hyperlink r:id="rId11" w:history="1">
        <w:r w:rsidR="005F65BC" w:rsidRPr="002B3913">
          <w:rPr>
            <w:rStyle w:val="Hyperlink"/>
            <w:rFonts w:cs="Arial"/>
          </w:rPr>
          <w:t>djpr.vic.gov.au/</w:t>
        </w:r>
        <w:proofErr w:type="spellStart"/>
        <w:r w:rsidR="005F65BC" w:rsidRPr="002B3913">
          <w:rPr>
            <w:rStyle w:val="Hyperlink"/>
            <w:rFonts w:cs="Arial"/>
          </w:rPr>
          <w:t>victorian</w:t>
        </w:r>
        <w:proofErr w:type="spellEnd"/>
        <w:r w:rsidR="005F65BC" w:rsidRPr="002B3913">
          <w:rPr>
            <w:rStyle w:val="Hyperlink"/>
            <w:rFonts w:cs="Arial"/>
          </w:rPr>
          <w:t>-racing-integrity-board</w:t>
        </w:r>
      </w:hyperlink>
      <w:r w:rsidR="005F65BC" w:rsidRPr="003E153D">
        <w:t xml:space="preserve"> </w:t>
      </w:r>
    </w:p>
    <w:sectPr w:rsidR="005F65BC" w:rsidRPr="003E153D" w:rsidSect="00147C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IC Light">
    <w:panose1 w:val="020B0604020202020204"/>
    <w:charset w:val="4D"/>
    <w:family w:val="auto"/>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VIC Light Italic">
    <w:panose1 w:val="020B0604020202020204"/>
    <w:charset w:val="4D"/>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A01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A0BE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1CA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B2A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CA4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C1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466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96F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D4D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ECC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87936"/>
    <w:multiLevelType w:val="multilevel"/>
    <w:tmpl w:val="484E3A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E56B59"/>
    <w:multiLevelType w:val="hybridMultilevel"/>
    <w:tmpl w:val="CEA8B2EE"/>
    <w:lvl w:ilvl="0" w:tplc="B2725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067067"/>
    <w:multiLevelType w:val="multilevel"/>
    <w:tmpl w:val="484E3A68"/>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172F28"/>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D261C"/>
    <w:multiLevelType w:val="multilevel"/>
    <w:tmpl w:val="484E3A6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697812"/>
    <w:multiLevelType w:val="hybridMultilevel"/>
    <w:tmpl w:val="4E8A5B32"/>
    <w:lvl w:ilvl="0" w:tplc="0DA6E73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CC0AE8"/>
    <w:multiLevelType w:val="hybridMultilevel"/>
    <w:tmpl w:val="C56E99F2"/>
    <w:lvl w:ilvl="0" w:tplc="5532B146">
      <w:start w:val="1"/>
      <w:numFmt w:val="bullet"/>
      <w:pStyle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4301F0"/>
    <w:multiLevelType w:val="multilevel"/>
    <w:tmpl w:val="5D864E58"/>
    <w:styleLink w:val="CurrentList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27987422">
    <w:abstractNumId w:val="16"/>
  </w:num>
  <w:num w:numId="2" w16cid:durableId="1153595813">
    <w:abstractNumId w:val="16"/>
  </w:num>
  <w:num w:numId="3" w16cid:durableId="151071772">
    <w:abstractNumId w:val="10"/>
  </w:num>
  <w:num w:numId="4" w16cid:durableId="1879732604">
    <w:abstractNumId w:val="10"/>
  </w:num>
  <w:num w:numId="5" w16cid:durableId="1846558149">
    <w:abstractNumId w:val="10"/>
  </w:num>
  <w:num w:numId="6" w16cid:durableId="2085569378">
    <w:abstractNumId w:val="10"/>
  </w:num>
  <w:num w:numId="7" w16cid:durableId="1522625544">
    <w:abstractNumId w:val="10"/>
  </w:num>
  <w:num w:numId="8" w16cid:durableId="1276910855">
    <w:abstractNumId w:val="10"/>
  </w:num>
  <w:num w:numId="9" w16cid:durableId="1009410059">
    <w:abstractNumId w:val="10"/>
  </w:num>
  <w:num w:numId="10" w16cid:durableId="1218587547">
    <w:abstractNumId w:val="10"/>
  </w:num>
  <w:num w:numId="11" w16cid:durableId="116801255">
    <w:abstractNumId w:val="10"/>
  </w:num>
  <w:num w:numId="12" w16cid:durableId="691103210">
    <w:abstractNumId w:val="14"/>
  </w:num>
  <w:num w:numId="13" w16cid:durableId="1820808170">
    <w:abstractNumId w:val="12"/>
  </w:num>
  <w:num w:numId="14" w16cid:durableId="294916667">
    <w:abstractNumId w:val="13"/>
  </w:num>
  <w:num w:numId="15" w16cid:durableId="1581671185">
    <w:abstractNumId w:val="15"/>
  </w:num>
  <w:num w:numId="16" w16cid:durableId="585653149">
    <w:abstractNumId w:val="11"/>
  </w:num>
  <w:num w:numId="17" w16cid:durableId="347799585">
    <w:abstractNumId w:val="17"/>
  </w:num>
  <w:num w:numId="18" w16cid:durableId="2030518951">
    <w:abstractNumId w:val="0"/>
  </w:num>
  <w:num w:numId="19" w16cid:durableId="1595624805">
    <w:abstractNumId w:val="1"/>
  </w:num>
  <w:num w:numId="20" w16cid:durableId="1079055848">
    <w:abstractNumId w:val="2"/>
  </w:num>
  <w:num w:numId="21" w16cid:durableId="1227183753">
    <w:abstractNumId w:val="3"/>
  </w:num>
  <w:num w:numId="22" w16cid:durableId="1018123782">
    <w:abstractNumId w:val="8"/>
  </w:num>
  <w:num w:numId="23" w16cid:durableId="5596626">
    <w:abstractNumId w:val="4"/>
  </w:num>
  <w:num w:numId="24" w16cid:durableId="922026142">
    <w:abstractNumId w:val="5"/>
  </w:num>
  <w:num w:numId="25" w16cid:durableId="165246740">
    <w:abstractNumId w:val="6"/>
  </w:num>
  <w:num w:numId="26" w16cid:durableId="1272473642">
    <w:abstractNumId w:val="7"/>
  </w:num>
  <w:num w:numId="27" w16cid:durableId="2124301629">
    <w:abstractNumId w:val="9"/>
  </w:num>
  <w:num w:numId="28" w16cid:durableId="1236474427">
    <w:abstractNumId w:val="0"/>
  </w:num>
  <w:num w:numId="29" w16cid:durableId="306014663">
    <w:abstractNumId w:val="1"/>
  </w:num>
  <w:num w:numId="30" w16cid:durableId="1351908310">
    <w:abstractNumId w:val="2"/>
  </w:num>
  <w:num w:numId="31" w16cid:durableId="1818691775">
    <w:abstractNumId w:val="3"/>
  </w:num>
  <w:num w:numId="32" w16cid:durableId="867763547">
    <w:abstractNumId w:val="8"/>
  </w:num>
  <w:num w:numId="33" w16cid:durableId="633995382">
    <w:abstractNumId w:val="4"/>
  </w:num>
  <w:num w:numId="34" w16cid:durableId="1341199206">
    <w:abstractNumId w:val="5"/>
  </w:num>
  <w:num w:numId="35" w16cid:durableId="493842897">
    <w:abstractNumId w:val="6"/>
  </w:num>
  <w:num w:numId="36" w16cid:durableId="1168130302">
    <w:abstractNumId w:val="7"/>
  </w:num>
  <w:num w:numId="37" w16cid:durableId="439569438">
    <w:abstractNumId w:val="9"/>
  </w:num>
  <w:num w:numId="38" w16cid:durableId="574123018">
    <w:abstractNumId w:val="0"/>
  </w:num>
  <w:num w:numId="39" w16cid:durableId="386732934">
    <w:abstractNumId w:val="1"/>
  </w:num>
  <w:num w:numId="40" w16cid:durableId="1447962718">
    <w:abstractNumId w:val="2"/>
  </w:num>
  <w:num w:numId="41" w16cid:durableId="949162470">
    <w:abstractNumId w:val="3"/>
  </w:num>
  <w:num w:numId="42" w16cid:durableId="1019814317">
    <w:abstractNumId w:val="8"/>
  </w:num>
  <w:num w:numId="43" w16cid:durableId="1099526051">
    <w:abstractNumId w:val="4"/>
  </w:num>
  <w:num w:numId="44" w16cid:durableId="306738666">
    <w:abstractNumId w:val="5"/>
  </w:num>
  <w:num w:numId="45" w16cid:durableId="1187525217">
    <w:abstractNumId w:val="6"/>
  </w:num>
  <w:num w:numId="46" w16cid:durableId="360012785">
    <w:abstractNumId w:val="7"/>
  </w:num>
  <w:num w:numId="47" w16cid:durableId="823592252">
    <w:abstractNumId w:val="9"/>
  </w:num>
  <w:num w:numId="48" w16cid:durableId="1252473368">
    <w:abstractNumId w:val="0"/>
  </w:num>
  <w:num w:numId="49" w16cid:durableId="1408577556">
    <w:abstractNumId w:val="1"/>
  </w:num>
  <w:num w:numId="50" w16cid:durableId="573005356">
    <w:abstractNumId w:val="2"/>
  </w:num>
  <w:num w:numId="51" w16cid:durableId="404300071">
    <w:abstractNumId w:val="3"/>
  </w:num>
  <w:num w:numId="52" w16cid:durableId="2026783332">
    <w:abstractNumId w:val="8"/>
  </w:num>
  <w:num w:numId="53" w16cid:durableId="372198158">
    <w:abstractNumId w:val="4"/>
  </w:num>
  <w:num w:numId="54" w16cid:durableId="2089300815">
    <w:abstractNumId w:val="5"/>
  </w:num>
  <w:num w:numId="55" w16cid:durableId="1523011126">
    <w:abstractNumId w:val="6"/>
  </w:num>
  <w:num w:numId="56" w16cid:durableId="1621911471">
    <w:abstractNumId w:val="7"/>
  </w:num>
  <w:num w:numId="57" w16cid:durableId="1770855021">
    <w:abstractNumId w:val="9"/>
  </w:num>
  <w:num w:numId="58" w16cid:durableId="90319712">
    <w:abstractNumId w:val="0"/>
  </w:num>
  <w:num w:numId="59" w16cid:durableId="1772357668">
    <w:abstractNumId w:val="1"/>
  </w:num>
  <w:num w:numId="60" w16cid:durableId="444929668">
    <w:abstractNumId w:val="2"/>
  </w:num>
  <w:num w:numId="61" w16cid:durableId="1768231266">
    <w:abstractNumId w:val="3"/>
  </w:num>
  <w:num w:numId="62" w16cid:durableId="625357352">
    <w:abstractNumId w:val="8"/>
  </w:num>
  <w:num w:numId="63" w16cid:durableId="1776247827">
    <w:abstractNumId w:val="4"/>
  </w:num>
  <w:num w:numId="64" w16cid:durableId="1837577454">
    <w:abstractNumId w:val="5"/>
  </w:num>
  <w:num w:numId="65" w16cid:durableId="1934433019">
    <w:abstractNumId w:val="6"/>
  </w:num>
  <w:num w:numId="66" w16cid:durableId="1791894675">
    <w:abstractNumId w:val="7"/>
  </w:num>
  <w:num w:numId="67" w16cid:durableId="397899374">
    <w:abstractNumId w:val="9"/>
  </w:num>
  <w:num w:numId="68" w16cid:durableId="1049108325">
    <w:abstractNumId w:val="0"/>
  </w:num>
  <w:num w:numId="69" w16cid:durableId="1425417559">
    <w:abstractNumId w:val="1"/>
  </w:num>
  <w:num w:numId="70" w16cid:durableId="2362714">
    <w:abstractNumId w:val="2"/>
  </w:num>
  <w:num w:numId="71" w16cid:durableId="548997324">
    <w:abstractNumId w:val="3"/>
  </w:num>
  <w:num w:numId="72" w16cid:durableId="331494696">
    <w:abstractNumId w:val="8"/>
  </w:num>
  <w:num w:numId="73" w16cid:durableId="958531946">
    <w:abstractNumId w:val="4"/>
  </w:num>
  <w:num w:numId="74" w16cid:durableId="122816894">
    <w:abstractNumId w:val="5"/>
  </w:num>
  <w:num w:numId="75" w16cid:durableId="759763137">
    <w:abstractNumId w:val="6"/>
  </w:num>
  <w:num w:numId="76" w16cid:durableId="1542666852">
    <w:abstractNumId w:val="7"/>
  </w:num>
  <w:num w:numId="77" w16cid:durableId="1375931108">
    <w:abstractNumId w:val="9"/>
  </w:num>
  <w:num w:numId="78" w16cid:durableId="161773886">
    <w:abstractNumId w:val="0"/>
  </w:num>
  <w:num w:numId="79" w16cid:durableId="1785929099">
    <w:abstractNumId w:val="1"/>
  </w:num>
  <w:num w:numId="80" w16cid:durableId="1346395250">
    <w:abstractNumId w:val="2"/>
  </w:num>
  <w:num w:numId="81" w16cid:durableId="1219167829">
    <w:abstractNumId w:val="3"/>
  </w:num>
  <w:num w:numId="82" w16cid:durableId="783422849">
    <w:abstractNumId w:val="8"/>
  </w:num>
  <w:num w:numId="83" w16cid:durableId="1155343928">
    <w:abstractNumId w:val="4"/>
  </w:num>
  <w:num w:numId="84" w16cid:durableId="2118790162">
    <w:abstractNumId w:val="5"/>
  </w:num>
  <w:num w:numId="85" w16cid:durableId="837573318">
    <w:abstractNumId w:val="6"/>
  </w:num>
  <w:num w:numId="86" w16cid:durableId="1284582275">
    <w:abstractNumId w:val="7"/>
  </w:num>
  <w:num w:numId="87" w16cid:durableId="125783328">
    <w:abstractNumId w:val="9"/>
  </w:num>
  <w:num w:numId="88" w16cid:durableId="1272010710">
    <w:abstractNumId w:val="0"/>
  </w:num>
  <w:num w:numId="89" w16cid:durableId="1369993519">
    <w:abstractNumId w:val="1"/>
  </w:num>
  <w:num w:numId="90" w16cid:durableId="1699694643">
    <w:abstractNumId w:val="2"/>
  </w:num>
  <w:num w:numId="91" w16cid:durableId="909388909">
    <w:abstractNumId w:val="3"/>
  </w:num>
  <w:num w:numId="92" w16cid:durableId="1591351350">
    <w:abstractNumId w:val="8"/>
  </w:num>
  <w:num w:numId="93" w16cid:durableId="2032411011">
    <w:abstractNumId w:val="4"/>
  </w:num>
  <w:num w:numId="94" w16cid:durableId="440341108">
    <w:abstractNumId w:val="5"/>
  </w:num>
  <w:num w:numId="95" w16cid:durableId="630210660">
    <w:abstractNumId w:val="6"/>
  </w:num>
  <w:num w:numId="96" w16cid:durableId="512720183">
    <w:abstractNumId w:val="7"/>
  </w:num>
  <w:num w:numId="97" w16cid:durableId="960460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BB"/>
    <w:rsid w:val="0007379C"/>
    <w:rsid w:val="00081FAA"/>
    <w:rsid w:val="000E1F93"/>
    <w:rsid w:val="00147C5E"/>
    <w:rsid w:val="001A42BB"/>
    <w:rsid w:val="002B3913"/>
    <w:rsid w:val="003B576B"/>
    <w:rsid w:val="003E153D"/>
    <w:rsid w:val="00500B5F"/>
    <w:rsid w:val="00522884"/>
    <w:rsid w:val="00585ADD"/>
    <w:rsid w:val="005F65BC"/>
    <w:rsid w:val="00603EBF"/>
    <w:rsid w:val="00614A13"/>
    <w:rsid w:val="00937CDC"/>
    <w:rsid w:val="00980CE7"/>
    <w:rsid w:val="00981972"/>
    <w:rsid w:val="00B37903"/>
    <w:rsid w:val="00D36C05"/>
    <w:rsid w:val="00DE25C4"/>
    <w:rsid w:val="00E4080D"/>
    <w:rsid w:val="00F220CA"/>
    <w:rsid w:val="00F83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6F34"/>
  <w15:chartTrackingRefBased/>
  <w15:docId w15:val="{9BB1E5BE-4AF6-9548-AA2F-8B175007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4080D"/>
    <w:pPr>
      <w:suppressAutoHyphens/>
      <w:autoSpaceDE w:val="0"/>
      <w:autoSpaceDN w:val="0"/>
      <w:adjustRightInd w:val="0"/>
      <w:spacing w:after="200" w:line="260" w:lineRule="atLeast"/>
      <w:textAlignment w:val="center"/>
    </w:pPr>
    <w:rPr>
      <w:rFonts w:ascii="Arial" w:eastAsia="Times New Roman" w:hAnsi="Arial" w:cs="Arial"/>
      <w:sz w:val="22"/>
      <w:szCs w:val="18"/>
      <w:lang w:eastAsia="en-GB"/>
    </w:rPr>
  </w:style>
  <w:style w:type="paragraph" w:styleId="Heading1">
    <w:name w:val="heading 1"/>
    <w:basedOn w:val="Normal"/>
    <w:next w:val="Normal"/>
    <w:link w:val="Heading1Char"/>
    <w:uiPriority w:val="99"/>
    <w:qFormat/>
    <w:rsid w:val="00DE25C4"/>
    <w:pPr>
      <w:keepNext/>
      <w:keepLines/>
      <w:pageBreakBefore/>
      <w:spacing w:before="520" w:after="397"/>
      <w:outlineLvl w:val="0"/>
    </w:pPr>
    <w:rPr>
      <w:rFonts w:cs="VIC Light"/>
      <w:b/>
      <w:bCs/>
      <w:caps/>
      <w:color w:val="000000"/>
      <w:sz w:val="36"/>
      <w:szCs w:val="40"/>
    </w:rPr>
  </w:style>
  <w:style w:type="paragraph" w:styleId="Heading2">
    <w:name w:val="heading 2"/>
    <w:basedOn w:val="Normal"/>
    <w:next w:val="Normal"/>
    <w:link w:val="Heading2Char"/>
    <w:uiPriority w:val="99"/>
    <w:qFormat/>
    <w:rsid w:val="00522884"/>
    <w:pPr>
      <w:keepNext/>
      <w:keepLines/>
      <w:spacing w:before="340" w:after="113"/>
      <w:outlineLvl w:val="1"/>
    </w:pPr>
    <w:rPr>
      <w:rFonts w:cs="VIC Light"/>
      <w:b/>
      <w:bCs/>
      <w:sz w:val="28"/>
      <w:szCs w:val="26"/>
      <w:lang w:val="en-GB"/>
    </w:rPr>
  </w:style>
  <w:style w:type="paragraph" w:styleId="Heading3">
    <w:name w:val="heading 3"/>
    <w:basedOn w:val="Normal"/>
    <w:next w:val="Normal"/>
    <w:link w:val="Heading3Char"/>
    <w:uiPriority w:val="9"/>
    <w:unhideWhenUsed/>
    <w:qFormat/>
    <w:rsid w:val="00B37903"/>
    <w:pPr>
      <w:keepNext/>
      <w:keepLines/>
      <w:spacing w:before="240" w:after="120"/>
      <w:outlineLvl w:val="2"/>
    </w:pPr>
    <w:rPr>
      <w:rFonts w:cs="Times New Roman"/>
      <w:b/>
      <w:sz w:val="24"/>
      <w:szCs w:val="24"/>
    </w:rPr>
  </w:style>
  <w:style w:type="paragraph" w:styleId="Heading4">
    <w:name w:val="heading 4"/>
    <w:basedOn w:val="Normal"/>
    <w:next w:val="Normal"/>
    <w:link w:val="Heading4Char"/>
    <w:uiPriority w:val="9"/>
    <w:unhideWhenUsed/>
    <w:qFormat/>
    <w:rsid w:val="00D36C05"/>
    <w:pPr>
      <w:keepNext/>
      <w:keepLines/>
      <w:numPr>
        <w:ilvl w:val="3"/>
        <w:numId w:val="11"/>
      </w:numPr>
      <w:spacing w:before="40" w:after="0"/>
      <w:outlineLvl w:val="3"/>
    </w:pPr>
    <w:rPr>
      <w:rFonts w:cs="Times New Roman"/>
      <w:i/>
      <w:iCs/>
      <w:color w:val="2F5496"/>
    </w:rPr>
  </w:style>
  <w:style w:type="paragraph" w:styleId="Heading5">
    <w:name w:val="heading 5"/>
    <w:basedOn w:val="Normal"/>
    <w:next w:val="Normal"/>
    <w:link w:val="Heading5Char"/>
    <w:uiPriority w:val="9"/>
    <w:unhideWhenUsed/>
    <w:qFormat/>
    <w:rsid w:val="00D36C05"/>
    <w:pPr>
      <w:keepNext/>
      <w:keepLines/>
      <w:numPr>
        <w:ilvl w:val="4"/>
        <w:numId w:val="11"/>
      </w:numPr>
      <w:spacing w:before="40" w:after="0"/>
      <w:outlineLvl w:val="4"/>
    </w:pPr>
    <w:rPr>
      <w:rFonts w:cs="Times New Roman"/>
      <w:color w:val="2F5496"/>
    </w:rPr>
  </w:style>
  <w:style w:type="paragraph" w:styleId="Heading6">
    <w:name w:val="heading 6"/>
    <w:basedOn w:val="Normal"/>
    <w:next w:val="Normal"/>
    <w:link w:val="Heading6Char"/>
    <w:uiPriority w:val="9"/>
    <w:unhideWhenUsed/>
    <w:qFormat/>
    <w:rsid w:val="00D36C05"/>
    <w:pPr>
      <w:keepNext/>
      <w:keepLines/>
      <w:numPr>
        <w:ilvl w:val="5"/>
        <w:numId w:val="11"/>
      </w:numPr>
      <w:spacing w:before="40" w:after="0"/>
      <w:outlineLvl w:val="5"/>
    </w:pPr>
    <w:rPr>
      <w:rFonts w:cs="Times New Roman"/>
      <w:color w:val="1F3763"/>
    </w:rPr>
  </w:style>
  <w:style w:type="paragraph" w:styleId="Heading7">
    <w:name w:val="heading 7"/>
    <w:basedOn w:val="Normal"/>
    <w:next w:val="Normal"/>
    <w:link w:val="Heading7Char"/>
    <w:uiPriority w:val="9"/>
    <w:unhideWhenUsed/>
    <w:qFormat/>
    <w:rsid w:val="00D36C05"/>
    <w:pPr>
      <w:keepNext/>
      <w:keepLines/>
      <w:numPr>
        <w:ilvl w:val="6"/>
        <w:numId w:val="11"/>
      </w:numPr>
      <w:spacing w:before="40" w:after="0"/>
      <w:outlineLvl w:val="6"/>
    </w:pPr>
    <w:rPr>
      <w:rFonts w:cs="Times New Roman"/>
      <w:i/>
      <w:iCs/>
      <w:color w:val="1F3763"/>
    </w:rPr>
  </w:style>
  <w:style w:type="paragraph" w:styleId="Heading8">
    <w:name w:val="heading 8"/>
    <w:basedOn w:val="Normal"/>
    <w:next w:val="Normal"/>
    <w:link w:val="Heading8Char"/>
    <w:uiPriority w:val="9"/>
    <w:semiHidden/>
    <w:unhideWhenUsed/>
    <w:qFormat/>
    <w:rsid w:val="00D36C05"/>
    <w:pPr>
      <w:keepNext/>
      <w:keepLines/>
      <w:numPr>
        <w:ilvl w:val="7"/>
        <w:numId w:val="11"/>
      </w:numPr>
      <w:spacing w:before="40" w:after="0"/>
      <w:outlineLvl w:val="7"/>
    </w:pPr>
    <w:rPr>
      <w:rFonts w:cs="Times New Roman"/>
      <w:color w:val="272727"/>
      <w:sz w:val="21"/>
      <w:szCs w:val="21"/>
    </w:rPr>
  </w:style>
  <w:style w:type="paragraph" w:styleId="Heading9">
    <w:name w:val="heading 9"/>
    <w:basedOn w:val="Normal"/>
    <w:next w:val="Normal"/>
    <w:link w:val="Heading9Char"/>
    <w:uiPriority w:val="9"/>
    <w:semiHidden/>
    <w:unhideWhenUsed/>
    <w:qFormat/>
    <w:rsid w:val="00D36C05"/>
    <w:pPr>
      <w:keepNext/>
      <w:keepLines/>
      <w:numPr>
        <w:ilvl w:val="8"/>
        <w:numId w:val="11"/>
      </w:numPr>
      <w:spacing w:before="40" w:after="0"/>
      <w:outlineLvl w:val="8"/>
    </w:pPr>
    <w:rPr>
      <w:rFonts w:cs="Times New Roman"/>
      <w:i/>
      <w:iCs/>
      <w:color w:val="272727"/>
      <w:sz w:val="21"/>
      <w:szCs w:val="21"/>
    </w:rPr>
  </w:style>
  <w:style w:type="character" w:default="1" w:styleId="DefaultParagraphFont">
    <w:name w:val="Default Paragraph Font"/>
    <w:uiPriority w:val="1"/>
    <w:semiHidden/>
    <w:unhideWhenUsed/>
    <w:rsid w:val="00D36C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6C05"/>
  </w:style>
  <w:style w:type="paragraph" w:styleId="PlainText">
    <w:name w:val="Plain Text"/>
    <w:basedOn w:val="Normal"/>
    <w:link w:val="PlainTextChar"/>
    <w:uiPriority w:val="99"/>
    <w:unhideWhenUsed/>
    <w:rsid w:val="00A81ACF"/>
    <w:rPr>
      <w:rFonts w:ascii="Consolas" w:hAnsi="Consolas" w:cs="Consolas"/>
      <w:sz w:val="21"/>
      <w:szCs w:val="21"/>
    </w:rPr>
  </w:style>
  <w:style w:type="character" w:customStyle="1" w:styleId="PlainTextChar">
    <w:name w:val="Plain Text Char"/>
    <w:basedOn w:val="DefaultParagraphFont"/>
    <w:link w:val="PlainText"/>
    <w:uiPriority w:val="99"/>
    <w:rsid w:val="00A81ACF"/>
    <w:rPr>
      <w:rFonts w:ascii="Consolas" w:hAnsi="Consolas" w:cs="Consolas"/>
      <w:sz w:val="21"/>
      <w:szCs w:val="21"/>
    </w:rPr>
  </w:style>
  <w:style w:type="paragraph" w:customStyle="1" w:styleId="BODY">
    <w:name w:val="BODY"/>
    <w:basedOn w:val="Normal"/>
    <w:uiPriority w:val="99"/>
    <w:rsid w:val="00D36C05"/>
    <w:pPr>
      <w:widowControl w:val="0"/>
      <w:spacing w:after="113" w:line="220" w:lineRule="atLeast"/>
    </w:pPr>
    <w:rPr>
      <w:rFonts w:ascii="VIC Light" w:hAnsi="VIC Light" w:cs="VIC Light"/>
      <w:color w:val="53565A"/>
      <w:sz w:val="18"/>
      <w:lang w:val="en-GB"/>
    </w:rPr>
  </w:style>
  <w:style w:type="paragraph" w:customStyle="1" w:styleId="BODYbeforebullet">
    <w:name w:val="BODY before bullet"/>
    <w:basedOn w:val="Normal"/>
    <w:uiPriority w:val="99"/>
    <w:rsid w:val="00D36C05"/>
    <w:pPr>
      <w:widowControl w:val="0"/>
      <w:spacing w:after="85" w:line="220" w:lineRule="atLeast"/>
    </w:pPr>
    <w:rPr>
      <w:rFonts w:ascii="VIC Light" w:hAnsi="VIC Light" w:cs="VIC Light"/>
      <w:color w:val="333740"/>
      <w:sz w:val="18"/>
      <w:lang w:val="en-GB"/>
    </w:rPr>
  </w:style>
  <w:style w:type="character" w:customStyle="1" w:styleId="BOLD">
    <w:name w:val="BOLD"/>
    <w:uiPriority w:val="99"/>
    <w:rsid w:val="00D36C05"/>
    <w:rPr>
      <w:rFonts w:ascii="VIC Light" w:hAnsi="VIC Light" w:cs="VIC Light"/>
    </w:rPr>
  </w:style>
  <w:style w:type="paragraph" w:styleId="ListParagraph">
    <w:name w:val="List Paragraph"/>
    <w:basedOn w:val="Normal"/>
    <w:uiPriority w:val="34"/>
    <w:qFormat/>
    <w:rsid w:val="00D36C05"/>
    <w:pPr>
      <w:ind w:left="720"/>
      <w:contextualSpacing/>
    </w:pPr>
  </w:style>
  <w:style w:type="paragraph" w:customStyle="1" w:styleId="Bullet">
    <w:name w:val="Bullet"/>
    <w:basedOn w:val="ListParagraph"/>
    <w:uiPriority w:val="99"/>
    <w:qFormat/>
    <w:rsid w:val="00D36C05"/>
    <w:pPr>
      <w:numPr>
        <w:numId w:val="2"/>
      </w:numPr>
      <w:spacing w:after="120"/>
      <w:contextualSpacing w:val="0"/>
    </w:pPr>
  </w:style>
  <w:style w:type="paragraph" w:customStyle="1" w:styleId="BULLETL1">
    <w:name w:val="BULLET L1"/>
    <w:basedOn w:val="BODY"/>
    <w:uiPriority w:val="99"/>
    <w:rsid w:val="00D36C05"/>
    <w:pPr>
      <w:spacing w:after="85"/>
      <w:ind w:left="227" w:hanging="227"/>
    </w:pPr>
  </w:style>
  <w:style w:type="paragraph" w:customStyle="1" w:styleId="BULLETL1LAST">
    <w:name w:val="BULLET L1 (LAST)"/>
    <w:basedOn w:val="BULLETL1"/>
    <w:uiPriority w:val="99"/>
    <w:rsid w:val="00D36C05"/>
    <w:pPr>
      <w:spacing w:after="113"/>
    </w:pPr>
  </w:style>
  <w:style w:type="paragraph" w:customStyle="1" w:styleId="Bulletlast">
    <w:name w:val="Bullet last"/>
    <w:basedOn w:val="Bullet"/>
    <w:uiPriority w:val="99"/>
    <w:qFormat/>
    <w:rsid w:val="00D36C05"/>
    <w:pPr>
      <w:spacing w:after="200"/>
    </w:pPr>
  </w:style>
  <w:style w:type="character" w:styleId="Emphasis">
    <w:name w:val="Emphasis"/>
    <w:uiPriority w:val="99"/>
    <w:qFormat/>
    <w:rsid w:val="00D36C05"/>
    <w:rPr>
      <w:b/>
      <w:bCs/>
      <w:color w:val="000000"/>
      <w:w w:val="100"/>
    </w:rPr>
  </w:style>
  <w:style w:type="paragraph" w:styleId="Footer">
    <w:name w:val="footer"/>
    <w:basedOn w:val="Normal"/>
    <w:link w:val="FooterChar"/>
    <w:uiPriority w:val="99"/>
    <w:unhideWhenUsed/>
    <w:rsid w:val="00D36C05"/>
    <w:pPr>
      <w:tabs>
        <w:tab w:val="center" w:pos="4513"/>
        <w:tab w:val="right" w:pos="9026"/>
      </w:tabs>
      <w:spacing w:after="0" w:line="240" w:lineRule="auto"/>
    </w:pPr>
  </w:style>
  <w:style w:type="character" w:customStyle="1" w:styleId="FooterChar">
    <w:name w:val="Footer Char"/>
    <w:link w:val="Footer"/>
    <w:uiPriority w:val="99"/>
    <w:rsid w:val="00D36C05"/>
    <w:rPr>
      <w:rFonts w:ascii="Arial" w:eastAsia="Times New Roman" w:hAnsi="Arial" w:cs="Arial"/>
      <w:sz w:val="22"/>
      <w:szCs w:val="18"/>
      <w:lang w:eastAsia="en-GB"/>
    </w:rPr>
  </w:style>
  <w:style w:type="paragraph" w:customStyle="1" w:styleId="H1non-numbered">
    <w:name w:val="H1 (non-numbered)"/>
    <w:basedOn w:val="Normal"/>
    <w:uiPriority w:val="99"/>
    <w:rsid w:val="00D36C05"/>
    <w:pPr>
      <w:spacing w:after="454" w:line="420" w:lineRule="atLeast"/>
    </w:pPr>
    <w:rPr>
      <w:rFonts w:ascii="VIC Light" w:hAnsi="VIC Light" w:cs="VIC Light"/>
      <w:caps/>
      <w:color w:val="F20038"/>
      <w:sz w:val="36"/>
      <w:szCs w:val="36"/>
      <w:lang w:val="en-GB"/>
    </w:rPr>
  </w:style>
  <w:style w:type="paragraph" w:customStyle="1" w:styleId="H3">
    <w:name w:val="H3"/>
    <w:basedOn w:val="Normal"/>
    <w:uiPriority w:val="99"/>
    <w:rsid w:val="00D36C05"/>
    <w:pPr>
      <w:keepLines/>
      <w:widowControl w:val="0"/>
      <w:spacing w:before="57" w:after="57" w:line="270" w:lineRule="atLeast"/>
    </w:pPr>
    <w:rPr>
      <w:rFonts w:ascii="VIC Light" w:hAnsi="VIC Light" w:cs="VIC Light"/>
      <w:b/>
      <w:bCs/>
      <w:color w:val="333740"/>
      <w:szCs w:val="22"/>
      <w:lang w:val="en-GB"/>
    </w:rPr>
  </w:style>
  <w:style w:type="paragraph" w:styleId="Header">
    <w:name w:val="header"/>
    <w:basedOn w:val="Normal"/>
    <w:link w:val="HeaderChar"/>
    <w:uiPriority w:val="99"/>
    <w:unhideWhenUsed/>
    <w:rsid w:val="00D36C05"/>
    <w:pPr>
      <w:tabs>
        <w:tab w:val="center" w:pos="4513"/>
        <w:tab w:val="right" w:pos="9026"/>
      </w:tabs>
      <w:spacing w:after="0" w:line="240" w:lineRule="auto"/>
    </w:pPr>
  </w:style>
  <w:style w:type="character" w:customStyle="1" w:styleId="HeaderChar">
    <w:name w:val="Header Char"/>
    <w:link w:val="Header"/>
    <w:uiPriority w:val="99"/>
    <w:rsid w:val="00D36C05"/>
    <w:rPr>
      <w:rFonts w:ascii="Arial" w:eastAsia="Times New Roman" w:hAnsi="Arial" w:cs="Arial"/>
      <w:sz w:val="22"/>
      <w:szCs w:val="18"/>
      <w:lang w:eastAsia="en-GB"/>
    </w:rPr>
  </w:style>
  <w:style w:type="character" w:customStyle="1" w:styleId="Heading1Char">
    <w:name w:val="Heading 1 Char"/>
    <w:link w:val="Heading1"/>
    <w:uiPriority w:val="99"/>
    <w:rsid w:val="00D36C05"/>
    <w:rPr>
      <w:rFonts w:ascii="Arial" w:eastAsia="Times New Roman" w:hAnsi="Arial" w:cs="VIC Light"/>
      <w:b/>
      <w:bCs/>
      <w:caps/>
      <w:color w:val="000000"/>
      <w:sz w:val="36"/>
      <w:szCs w:val="40"/>
      <w:lang w:eastAsia="en-GB"/>
    </w:rPr>
  </w:style>
  <w:style w:type="character" w:customStyle="1" w:styleId="Heading2Char">
    <w:name w:val="Heading 2 Char"/>
    <w:link w:val="Heading2"/>
    <w:uiPriority w:val="99"/>
    <w:rsid w:val="00522884"/>
    <w:rPr>
      <w:rFonts w:ascii="Arial" w:eastAsia="Times New Roman" w:hAnsi="Arial" w:cs="VIC Light"/>
      <w:b/>
      <w:bCs/>
      <w:sz w:val="28"/>
      <w:szCs w:val="26"/>
      <w:lang w:val="en-GB" w:eastAsia="en-GB"/>
    </w:rPr>
  </w:style>
  <w:style w:type="character" w:customStyle="1" w:styleId="Heading3Char">
    <w:name w:val="Heading 3 Char"/>
    <w:link w:val="Heading3"/>
    <w:uiPriority w:val="9"/>
    <w:rsid w:val="00B37903"/>
    <w:rPr>
      <w:rFonts w:ascii="Arial" w:eastAsia="Times New Roman" w:hAnsi="Arial" w:cs="Times New Roman"/>
      <w:b/>
      <w:lang w:eastAsia="en-GB"/>
    </w:rPr>
  </w:style>
  <w:style w:type="character" w:customStyle="1" w:styleId="Heading4Char">
    <w:name w:val="Heading 4 Char"/>
    <w:link w:val="Heading4"/>
    <w:uiPriority w:val="9"/>
    <w:rsid w:val="00D36C05"/>
    <w:rPr>
      <w:rFonts w:ascii="Arial" w:eastAsia="Times New Roman" w:hAnsi="Arial" w:cs="Times New Roman"/>
      <w:i/>
      <w:iCs/>
      <w:color w:val="2F5496"/>
      <w:sz w:val="22"/>
      <w:szCs w:val="18"/>
      <w:lang w:eastAsia="en-GB"/>
    </w:rPr>
  </w:style>
  <w:style w:type="character" w:customStyle="1" w:styleId="Heading5Char">
    <w:name w:val="Heading 5 Char"/>
    <w:link w:val="Heading5"/>
    <w:uiPriority w:val="9"/>
    <w:rsid w:val="00D36C05"/>
    <w:rPr>
      <w:rFonts w:ascii="Arial" w:eastAsia="Times New Roman" w:hAnsi="Arial" w:cs="Times New Roman"/>
      <w:color w:val="2F5496"/>
      <w:sz w:val="22"/>
      <w:szCs w:val="18"/>
      <w:lang w:eastAsia="en-GB"/>
    </w:rPr>
  </w:style>
  <w:style w:type="character" w:customStyle="1" w:styleId="Heading6Char">
    <w:name w:val="Heading 6 Char"/>
    <w:link w:val="Heading6"/>
    <w:uiPriority w:val="9"/>
    <w:rsid w:val="00D36C05"/>
    <w:rPr>
      <w:rFonts w:ascii="Arial" w:eastAsia="Times New Roman" w:hAnsi="Arial" w:cs="Times New Roman"/>
      <w:color w:val="1F3763"/>
      <w:sz w:val="22"/>
      <w:szCs w:val="18"/>
      <w:lang w:eastAsia="en-GB"/>
    </w:rPr>
  </w:style>
  <w:style w:type="character" w:customStyle="1" w:styleId="Heading7Char">
    <w:name w:val="Heading 7 Char"/>
    <w:link w:val="Heading7"/>
    <w:uiPriority w:val="9"/>
    <w:rsid w:val="00D36C05"/>
    <w:rPr>
      <w:rFonts w:ascii="Arial" w:eastAsia="Times New Roman" w:hAnsi="Arial" w:cs="Times New Roman"/>
      <w:i/>
      <w:iCs/>
      <w:color w:val="1F3763"/>
      <w:sz w:val="22"/>
      <w:szCs w:val="18"/>
      <w:lang w:eastAsia="en-GB"/>
    </w:rPr>
  </w:style>
  <w:style w:type="character" w:customStyle="1" w:styleId="Heading8Char">
    <w:name w:val="Heading 8 Char"/>
    <w:link w:val="Heading8"/>
    <w:uiPriority w:val="9"/>
    <w:semiHidden/>
    <w:rsid w:val="00D36C05"/>
    <w:rPr>
      <w:rFonts w:ascii="Arial" w:eastAsia="Times New Roman" w:hAnsi="Arial" w:cs="Times New Roman"/>
      <w:color w:val="272727"/>
      <w:sz w:val="21"/>
      <w:szCs w:val="21"/>
      <w:lang w:eastAsia="en-GB"/>
    </w:rPr>
  </w:style>
  <w:style w:type="character" w:customStyle="1" w:styleId="Heading9Char">
    <w:name w:val="Heading 9 Char"/>
    <w:link w:val="Heading9"/>
    <w:uiPriority w:val="9"/>
    <w:semiHidden/>
    <w:rsid w:val="00D36C05"/>
    <w:rPr>
      <w:rFonts w:ascii="Arial" w:eastAsia="Times New Roman" w:hAnsi="Arial" w:cs="Times New Roman"/>
      <w:i/>
      <w:iCs/>
      <w:color w:val="272727"/>
      <w:sz w:val="21"/>
      <w:szCs w:val="21"/>
      <w:lang w:eastAsia="en-GB"/>
    </w:rPr>
  </w:style>
  <w:style w:type="numbering" w:customStyle="1" w:styleId="CurrentList4">
    <w:name w:val="Current List4"/>
    <w:uiPriority w:val="99"/>
    <w:rsid w:val="00F220CA"/>
    <w:pPr>
      <w:numPr>
        <w:numId w:val="17"/>
      </w:numPr>
    </w:pPr>
  </w:style>
  <w:style w:type="character" w:styleId="Hyperlink">
    <w:name w:val="Hyperlink"/>
    <w:uiPriority w:val="99"/>
    <w:rsid w:val="00D36C05"/>
    <w:rPr>
      <w:rFonts w:ascii="Arial" w:hAnsi="Arial" w:cs="VIC Light"/>
      <w:color w:val="0070C0"/>
      <w:w w:val="100"/>
      <w:sz w:val="22"/>
      <w:u w:val="single" w:color="5236B7"/>
    </w:rPr>
  </w:style>
  <w:style w:type="character" w:customStyle="1" w:styleId="ITALIC">
    <w:name w:val="ITALIC"/>
    <w:uiPriority w:val="99"/>
    <w:rsid w:val="00D36C05"/>
    <w:rPr>
      <w:rFonts w:ascii="VIC Light Italic" w:hAnsi="VIC Light Italic" w:cs="VIC Light Italic"/>
      <w:i/>
      <w:iCs/>
    </w:rPr>
  </w:style>
  <w:style w:type="character" w:customStyle="1" w:styleId="Medium">
    <w:name w:val="Medium"/>
    <w:uiPriority w:val="99"/>
    <w:rsid w:val="00D36C05"/>
  </w:style>
  <w:style w:type="paragraph" w:customStyle="1" w:styleId="Normalbeforebullet">
    <w:name w:val="Normal before bullet"/>
    <w:basedOn w:val="Normal"/>
    <w:uiPriority w:val="99"/>
    <w:qFormat/>
    <w:rsid w:val="00D36C05"/>
    <w:pPr>
      <w:keepNext/>
      <w:spacing w:after="120"/>
    </w:pPr>
  </w:style>
  <w:style w:type="paragraph" w:styleId="Subtitle">
    <w:name w:val="Subtitle"/>
    <w:basedOn w:val="Normal"/>
    <w:next w:val="Normal"/>
    <w:link w:val="SubtitleChar"/>
    <w:uiPriority w:val="11"/>
    <w:qFormat/>
    <w:rsid w:val="00D36C05"/>
    <w:pPr>
      <w:spacing w:line="240" w:lineRule="auto"/>
    </w:pPr>
    <w:rPr>
      <w:sz w:val="36"/>
      <w:szCs w:val="36"/>
    </w:rPr>
  </w:style>
  <w:style w:type="character" w:customStyle="1" w:styleId="SubtitleChar">
    <w:name w:val="Subtitle Char"/>
    <w:link w:val="Subtitle"/>
    <w:uiPriority w:val="11"/>
    <w:rsid w:val="00D36C05"/>
    <w:rPr>
      <w:rFonts w:ascii="Arial" w:eastAsia="Times New Roman" w:hAnsi="Arial" w:cs="Arial"/>
      <w:sz w:val="36"/>
      <w:szCs w:val="36"/>
      <w:lang w:eastAsia="en-GB"/>
    </w:rPr>
  </w:style>
  <w:style w:type="paragraph" w:customStyle="1" w:styleId="TableColumnHeadings">
    <w:name w:val="Table Column Headings"/>
    <w:basedOn w:val="Normal"/>
    <w:uiPriority w:val="99"/>
    <w:rsid w:val="00D36C05"/>
    <w:pPr>
      <w:keepLines/>
      <w:widowControl w:val="0"/>
      <w:tabs>
        <w:tab w:val="left" w:pos="7700"/>
      </w:tabs>
      <w:spacing w:before="60" w:after="60"/>
    </w:pPr>
    <w:rPr>
      <w:rFonts w:cs="VIC Light"/>
      <w:b/>
      <w:bCs/>
      <w:szCs w:val="22"/>
      <w:lang w:val="en-GB"/>
    </w:rPr>
  </w:style>
  <w:style w:type="table" w:styleId="TableGrid">
    <w:name w:val="Table Grid"/>
    <w:basedOn w:val="TableNormal"/>
    <w:uiPriority w:val="39"/>
    <w:rsid w:val="00D36C05"/>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qFormat/>
    <w:rsid w:val="00D36C05"/>
    <w:pPr>
      <w:spacing w:before="60" w:after="60"/>
    </w:pPr>
  </w:style>
  <w:style w:type="paragraph" w:styleId="Title">
    <w:name w:val="Title"/>
    <w:basedOn w:val="Normal"/>
    <w:next w:val="Normal"/>
    <w:link w:val="TitleChar"/>
    <w:uiPriority w:val="10"/>
    <w:qFormat/>
    <w:rsid w:val="00D36C05"/>
    <w:pPr>
      <w:spacing w:line="240" w:lineRule="auto"/>
    </w:pPr>
    <w:rPr>
      <w:b/>
      <w:bCs/>
      <w:sz w:val="44"/>
      <w:szCs w:val="44"/>
    </w:rPr>
  </w:style>
  <w:style w:type="character" w:customStyle="1" w:styleId="TitleChar">
    <w:name w:val="Title Char"/>
    <w:link w:val="Title"/>
    <w:uiPriority w:val="10"/>
    <w:rsid w:val="00D36C05"/>
    <w:rPr>
      <w:rFonts w:ascii="Arial" w:eastAsia="Times New Roman" w:hAnsi="Arial" w:cs="Arial"/>
      <w:b/>
      <w:bCs/>
      <w:sz w:val="44"/>
      <w:szCs w:val="44"/>
      <w:lang w:eastAsia="en-GB"/>
    </w:rPr>
  </w:style>
  <w:style w:type="paragraph" w:styleId="TOC1">
    <w:name w:val="toc 1"/>
    <w:basedOn w:val="Normal"/>
    <w:next w:val="Normal"/>
    <w:autoRedefine/>
    <w:uiPriority w:val="39"/>
    <w:unhideWhenUsed/>
    <w:rsid w:val="00D36C05"/>
    <w:pPr>
      <w:tabs>
        <w:tab w:val="left" w:pos="480"/>
        <w:tab w:val="right" w:leader="dot" w:pos="9628"/>
      </w:tabs>
      <w:spacing w:before="120" w:after="100"/>
    </w:pPr>
    <w:rPr>
      <w:b/>
      <w:bCs/>
      <w:caps/>
      <w:noProof/>
      <w:lang w:val="en-GB"/>
    </w:rPr>
  </w:style>
  <w:style w:type="paragraph" w:styleId="TOC2">
    <w:name w:val="toc 2"/>
    <w:basedOn w:val="Normal"/>
    <w:next w:val="Normal"/>
    <w:autoRedefine/>
    <w:uiPriority w:val="39"/>
    <w:unhideWhenUsed/>
    <w:rsid w:val="00D36C05"/>
    <w:pPr>
      <w:tabs>
        <w:tab w:val="left" w:pos="960"/>
        <w:tab w:val="right" w:leader="dot" w:pos="9628"/>
      </w:tabs>
      <w:spacing w:after="100"/>
      <w:ind w:left="482"/>
    </w:pPr>
  </w:style>
  <w:style w:type="character" w:styleId="UnresolvedMention">
    <w:name w:val="Unresolved Mention"/>
    <w:basedOn w:val="DefaultParagraphFont"/>
    <w:uiPriority w:val="99"/>
    <w:semiHidden/>
    <w:unhideWhenUsed/>
    <w:rsid w:val="00DE25C4"/>
    <w:rPr>
      <w:color w:val="605E5C"/>
      <w:shd w:val="clear" w:color="auto" w:fill="E1DFDD"/>
    </w:rPr>
  </w:style>
  <w:style w:type="numbering" w:customStyle="1" w:styleId="CurrentList3">
    <w:name w:val="Current List3"/>
    <w:uiPriority w:val="99"/>
    <w:rsid w:val="00E4080D"/>
    <w:pPr>
      <w:numPr>
        <w:numId w:val="14"/>
      </w:numPr>
    </w:pPr>
  </w:style>
  <w:style w:type="numbering" w:customStyle="1" w:styleId="CurrentList1">
    <w:name w:val="Current List1"/>
    <w:uiPriority w:val="99"/>
    <w:rsid w:val="00DE25C4"/>
    <w:pPr>
      <w:numPr>
        <w:numId w:val="12"/>
      </w:numPr>
    </w:pPr>
  </w:style>
  <w:style w:type="numbering" w:customStyle="1" w:styleId="CurrentList2">
    <w:name w:val="Current List2"/>
    <w:uiPriority w:val="99"/>
    <w:rsid w:val="00DE25C4"/>
    <w:pPr>
      <w:numPr>
        <w:numId w:val="13"/>
      </w:numPr>
    </w:pPr>
  </w:style>
  <w:style w:type="paragraph" w:styleId="List">
    <w:name w:val="List"/>
    <w:basedOn w:val="Normal"/>
    <w:uiPriority w:val="99"/>
    <w:unhideWhenUsed/>
    <w:rsid w:val="002B3913"/>
    <w:pPr>
      <w:ind w:left="283" w:hanging="283"/>
      <w:contextualSpacing/>
    </w:pPr>
  </w:style>
  <w:style w:type="paragraph" w:styleId="Date">
    <w:name w:val="Date"/>
    <w:basedOn w:val="Normal"/>
    <w:next w:val="Normal"/>
    <w:link w:val="DateChar"/>
    <w:uiPriority w:val="99"/>
    <w:unhideWhenUsed/>
    <w:rsid w:val="002B3913"/>
  </w:style>
  <w:style w:type="character" w:customStyle="1" w:styleId="DateChar">
    <w:name w:val="Date Char"/>
    <w:basedOn w:val="DefaultParagraphFont"/>
    <w:link w:val="Date"/>
    <w:uiPriority w:val="99"/>
    <w:rsid w:val="002B3913"/>
    <w:rPr>
      <w:rFonts w:ascii="Arial" w:eastAsia="Times New Roman" w:hAnsi="Arial" w:cs="Arial"/>
      <w:sz w:val="22"/>
      <w:szCs w:val="18"/>
      <w:lang w:eastAsia="en-GB"/>
    </w:rPr>
  </w:style>
  <w:style w:type="paragraph" w:styleId="BodyText">
    <w:name w:val="Body Text"/>
    <w:basedOn w:val="Normal"/>
    <w:link w:val="BodyTextChar"/>
    <w:uiPriority w:val="99"/>
    <w:unhideWhenUsed/>
    <w:rsid w:val="002B3913"/>
    <w:pPr>
      <w:spacing w:after="120"/>
    </w:pPr>
  </w:style>
  <w:style w:type="character" w:customStyle="1" w:styleId="BodyTextChar">
    <w:name w:val="Body Text Char"/>
    <w:basedOn w:val="DefaultParagraphFont"/>
    <w:link w:val="BodyText"/>
    <w:uiPriority w:val="99"/>
    <w:rsid w:val="002B3913"/>
    <w:rPr>
      <w:rFonts w:ascii="Arial" w:eastAsia="Times New Roman" w:hAnsi="Arial" w:cs="Arial"/>
      <w:sz w:val="22"/>
      <w:szCs w:val="18"/>
      <w:lang w:eastAsia="en-GB"/>
    </w:rPr>
  </w:style>
  <w:style w:type="paragraph" w:styleId="TOCHeading">
    <w:name w:val="TOC Heading"/>
    <w:basedOn w:val="Heading1"/>
    <w:next w:val="Normal"/>
    <w:uiPriority w:val="39"/>
    <w:unhideWhenUsed/>
    <w:qFormat/>
    <w:rsid w:val="00980CE7"/>
    <w:pPr>
      <w:pageBreakBefore w:val="0"/>
      <w:spacing w:before="240" w:after="0"/>
      <w:outlineLvl w:val="9"/>
    </w:pPr>
    <w:rPr>
      <w:rFonts w:asciiTheme="majorHAnsi" w:eastAsiaTheme="majorEastAsia" w:hAnsiTheme="majorHAnsi" w:cstheme="majorBidi"/>
      <w:cap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vrib.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jpr.vic.gov.au/victorian-racing-integrity-boar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quiries@vrib.vic.gov.au" TargetMode="External"/><Relationship Id="rId11" Type="http://schemas.openxmlformats.org/officeDocument/2006/relationships/hyperlink" Target="http://www.djpr.vic.gov.au/victorian-racing-integrity-board"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ombudsman.vic.gov.au" TargetMode="External"/><Relationship Id="rId4" Type="http://schemas.openxmlformats.org/officeDocument/2006/relationships/settings" Target="settings.xml"/><Relationship Id="rId9" Type="http://schemas.openxmlformats.org/officeDocument/2006/relationships/hyperlink" Target="http://www.ibac.vic.gov.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8672E-3BAF-4549-B166-7CB0BAF8E645}">
  <ds:schemaRefs>
    <ds:schemaRef ds:uri="http://schemas.openxmlformats.org/officeDocument/2006/bibliography"/>
  </ds:schemaRefs>
</ds:datastoreItem>
</file>

<file path=customXml/itemProps2.xml><?xml version="1.0" encoding="utf-8"?>
<ds:datastoreItem xmlns:ds="http://schemas.openxmlformats.org/officeDocument/2006/customXml" ds:itemID="{83D7C0C2-EA50-4C59-9E8F-6722C014C884}"/>
</file>

<file path=customXml/itemProps3.xml><?xml version="1.0" encoding="utf-8"?>
<ds:datastoreItem xmlns:ds="http://schemas.openxmlformats.org/officeDocument/2006/customXml" ds:itemID="{39A3B05B-307A-4F36-9415-AC2218084132}"/>
</file>

<file path=docProps/app.xml><?xml version="1.0" encoding="utf-8"?>
<Properties xmlns="http://schemas.openxmlformats.org/officeDocument/2006/extended-properties" xmlns:vt="http://schemas.openxmlformats.org/officeDocument/2006/docPropsVTypes">
  <Template>Normal.dotm</Template>
  <TotalTime>524</TotalTime>
  <Pages>20</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Samaa Kirby</cp:lastModifiedBy>
  <cp:revision>4</cp:revision>
  <dcterms:created xsi:type="dcterms:W3CDTF">2023-03-22T01:22:00Z</dcterms:created>
  <dcterms:modified xsi:type="dcterms:W3CDTF">2023-03-22T11:05:00Z</dcterms:modified>
</cp:coreProperties>
</file>