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3C35AA45" w14:textId="3618CC15" w:rsidR="004435FB" w:rsidRDefault="004435FB" w:rsidP="001B214C">
      <w:pPr>
        <w:pStyle w:val="Reference"/>
      </w:pPr>
    </w:p>
    <w:p w14:paraId="705A0FED" w14:textId="5DC39FF8" w:rsidR="001B214C" w:rsidRDefault="001B214C" w:rsidP="001B214C">
      <w:pPr>
        <w:pStyle w:val="Reference"/>
        <w:rPr>
          <w:rFonts w:ascii="Calibri" w:hAnsi="Calibri" w:cs="Calibri"/>
          <w:sz w:val="24"/>
          <w:szCs w:val="24"/>
        </w:rPr>
      </w:pPr>
    </w:p>
    <w:p w14:paraId="34DCCE20" w14:textId="15DC8415" w:rsidR="001B214C" w:rsidRDefault="001B214C" w:rsidP="001B214C">
      <w:pPr>
        <w:pStyle w:val="Reference"/>
        <w:rPr>
          <w:rFonts w:ascii="Calibri" w:hAnsi="Calibri" w:cs="Calibri"/>
          <w:sz w:val="24"/>
          <w:szCs w:val="24"/>
        </w:rPr>
      </w:pPr>
    </w:p>
    <w:p w14:paraId="47C3E708" w14:textId="685A19F0" w:rsidR="001B214C" w:rsidRPr="00047024" w:rsidRDefault="00FE6F2B" w:rsidP="001B214C">
      <w:pPr>
        <w:pStyle w:val="Heading2"/>
        <w:jc w:val="center"/>
        <w:rPr>
          <w:b/>
          <w:bCs w:val="0"/>
        </w:rPr>
      </w:pPr>
      <w:r>
        <w:rPr>
          <w:b/>
          <w:bCs w:val="0"/>
        </w:rPr>
        <w:t>Remote Hearings</w:t>
      </w:r>
    </w:p>
    <w:p w14:paraId="466BE45F" w14:textId="3424EE19" w:rsidR="001B214C" w:rsidRPr="001B214C" w:rsidRDefault="001B214C" w:rsidP="001B214C">
      <w:pPr>
        <w:pStyle w:val="Reference"/>
        <w:rPr>
          <w:rFonts w:ascii="Calibri" w:hAnsi="Calibri" w:cs="Calibri"/>
          <w:smallCaps/>
          <w:sz w:val="24"/>
          <w:szCs w:val="24"/>
        </w:rPr>
      </w:pPr>
    </w:p>
    <w:p w14:paraId="2DE1D70C" w14:textId="1E2F884B" w:rsidR="00A20314" w:rsidRDefault="001B214C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Victorian Racing Tribunal (</w:t>
      </w:r>
      <w:r w:rsidR="004E69DB">
        <w:rPr>
          <w:rFonts w:ascii="Calibri" w:hAnsi="Calibri" w:cs="Calibri"/>
          <w:sz w:val="24"/>
          <w:szCs w:val="24"/>
        </w:rPr>
        <w:t>Tribunal</w:t>
      </w:r>
      <w:r>
        <w:rPr>
          <w:rFonts w:ascii="Calibri" w:hAnsi="Calibri" w:cs="Calibri"/>
          <w:sz w:val="24"/>
          <w:szCs w:val="24"/>
        </w:rPr>
        <w:t xml:space="preserve">) will </w:t>
      </w:r>
      <w:r w:rsidR="00696C80">
        <w:rPr>
          <w:rFonts w:ascii="Calibri" w:hAnsi="Calibri" w:cs="Calibri"/>
          <w:sz w:val="24"/>
          <w:szCs w:val="24"/>
        </w:rPr>
        <w:t>conduct</w:t>
      </w:r>
      <w:r w:rsidR="00FE6F2B">
        <w:rPr>
          <w:rFonts w:ascii="Calibri" w:hAnsi="Calibri" w:cs="Calibri"/>
          <w:sz w:val="24"/>
          <w:szCs w:val="24"/>
        </w:rPr>
        <w:t xml:space="preserve"> hearings </w:t>
      </w:r>
      <w:r w:rsidR="00A20314">
        <w:rPr>
          <w:rFonts w:ascii="Calibri" w:hAnsi="Calibri" w:cs="Calibri"/>
          <w:sz w:val="24"/>
          <w:szCs w:val="24"/>
        </w:rPr>
        <w:t>remotely</w:t>
      </w:r>
      <w:r>
        <w:rPr>
          <w:rFonts w:ascii="Calibri" w:hAnsi="Calibri" w:cs="Calibri"/>
          <w:sz w:val="24"/>
          <w:szCs w:val="24"/>
        </w:rPr>
        <w:t xml:space="preserve"> until further notice.</w:t>
      </w:r>
    </w:p>
    <w:p w14:paraId="4AA8331F" w14:textId="31BDFA0A" w:rsidR="001B214C" w:rsidRDefault="001B214C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602E19F0" w14:textId="5FA28461" w:rsidR="001B214C" w:rsidRDefault="001B214C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document outlines</w:t>
      </w:r>
      <w:r w:rsidR="00FE6F2B">
        <w:rPr>
          <w:rFonts w:ascii="Calibri" w:hAnsi="Calibri" w:cs="Calibri"/>
          <w:sz w:val="24"/>
          <w:szCs w:val="24"/>
        </w:rPr>
        <w:t xml:space="preserve"> the remote hearing process and</w:t>
      </w:r>
      <w:r>
        <w:rPr>
          <w:rFonts w:ascii="Calibri" w:hAnsi="Calibri" w:cs="Calibri"/>
          <w:sz w:val="24"/>
          <w:szCs w:val="24"/>
        </w:rPr>
        <w:t xml:space="preserve"> how the changes will affect you.</w:t>
      </w:r>
    </w:p>
    <w:p w14:paraId="78BD70A0" w14:textId="16969FD7" w:rsidR="00A20314" w:rsidRDefault="00A20314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58F1FCD1" w14:textId="5F473781" w:rsidR="00A20314" w:rsidRPr="00A20314" w:rsidRDefault="00A20314" w:rsidP="00A20314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Registrar</w:t>
      </w:r>
      <w:r w:rsidRPr="00A20314">
        <w:rPr>
          <w:rFonts w:ascii="Calibri" w:hAnsi="Calibri" w:cs="Calibri"/>
          <w:sz w:val="24"/>
          <w:szCs w:val="24"/>
        </w:rPr>
        <w:t xml:space="preserve"> will </w:t>
      </w:r>
      <w:r>
        <w:rPr>
          <w:rFonts w:ascii="Calibri" w:hAnsi="Calibri" w:cs="Calibri"/>
          <w:sz w:val="24"/>
          <w:szCs w:val="24"/>
        </w:rPr>
        <w:t xml:space="preserve">notify parties </w:t>
      </w:r>
      <w:r w:rsidR="00D07250">
        <w:rPr>
          <w:rFonts w:ascii="Calibri" w:hAnsi="Calibri" w:cs="Calibri"/>
          <w:sz w:val="24"/>
          <w:szCs w:val="24"/>
        </w:rPr>
        <w:t xml:space="preserve">regarding </w:t>
      </w:r>
      <w:r w:rsidRPr="00A20314">
        <w:rPr>
          <w:rFonts w:ascii="Calibri" w:hAnsi="Calibri" w:cs="Calibri"/>
          <w:sz w:val="24"/>
          <w:szCs w:val="24"/>
        </w:rPr>
        <w:t>how you will attend and explain what you need to do</w:t>
      </w:r>
      <w:r w:rsidR="00D07250">
        <w:rPr>
          <w:rFonts w:ascii="Calibri" w:hAnsi="Calibri" w:cs="Calibri"/>
          <w:sz w:val="24"/>
          <w:szCs w:val="24"/>
        </w:rPr>
        <w:t xml:space="preserve"> to</w:t>
      </w:r>
      <w:r w:rsidRPr="00A20314">
        <w:rPr>
          <w:rFonts w:ascii="Calibri" w:hAnsi="Calibri" w:cs="Calibri"/>
          <w:sz w:val="24"/>
          <w:szCs w:val="24"/>
        </w:rPr>
        <w:t xml:space="preserve"> prepare.</w:t>
      </w:r>
    </w:p>
    <w:p w14:paraId="567CC613" w14:textId="77777777" w:rsidR="00A20314" w:rsidRPr="00A20314" w:rsidRDefault="00A20314" w:rsidP="00A20314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2B7EBC5F" w14:textId="51E564AE" w:rsidR="00A20314" w:rsidRDefault="00A20314" w:rsidP="00A20314">
      <w:pPr>
        <w:pStyle w:val="Reference"/>
        <w:jc w:val="both"/>
        <w:rPr>
          <w:rFonts w:ascii="Calibri" w:hAnsi="Calibri" w:cs="Calibri"/>
          <w:sz w:val="24"/>
          <w:szCs w:val="24"/>
        </w:rPr>
      </w:pPr>
      <w:r w:rsidRPr="00A20314">
        <w:rPr>
          <w:rFonts w:ascii="Calibri" w:hAnsi="Calibri" w:cs="Calibri"/>
          <w:sz w:val="24"/>
          <w:szCs w:val="24"/>
        </w:rPr>
        <w:t xml:space="preserve">The technology used will depend on the requirements of a case, such as its length, </w:t>
      </w:r>
      <w:r w:rsidR="00D07250" w:rsidRPr="00A20314">
        <w:rPr>
          <w:rFonts w:ascii="Calibri" w:hAnsi="Calibri" w:cs="Calibri"/>
          <w:sz w:val="24"/>
          <w:szCs w:val="24"/>
        </w:rPr>
        <w:t>complexity,</w:t>
      </w:r>
      <w:r w:rsidRPr="00A20314">
        <w:rPr>
          <w:rFonts w:ascii="Calibri" w:hAnsi="Calibri" w:cs="Calibri"/>
          <w:sz w:val="24"/>
          <w:szCs w:val="24"/>
        </w:rPr>
        <w:t xml:space="preserve"> and the number of parties.</w:t>
      </w:r>
    </w:p>
    <w:p w14:paraId="488D6212" w14:textId="72F8337D" w:rsidR="00047024" w:rsidRDefault="00047024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36DC3247" w14:textId="371602D0" w:rsidR="00047024" w:rsidRPr="008A7D84" w:rsidRDefault="00047024" w:rsidP="00AB3590">
      <w:pPr>
        <w:pStyle w:val="Reference"/>
        <w:jc w:val="both"/>
        <w:rPr>
          <w:rFonts w:ascii="Calibri" w:hAnsi="Calibri" w:cs="Calibri"/>
          <w:b/>
          <w:bCs/>
          <w:sz w:val="28"/>
          <w:szCs w:val="28"/>
        </w:rPr>
      </w:pPr>
      <w:r w:rsidRPr="008A7D84">
        <w:rPr>
          <w:rFonts w:ascii="Calibri" w:hAnsi="Calibri" w:cs="Calibri"/>
          <w:b/>
          <w:bCs/>
          <w:sz w:val="28"/>
          <w:szCs w:val="28"/>
        </w:rPr>
        <w:t>Self-represented parties</w:t>
      </w:r>
    </w:p>
    <w:p w14:paraId="6276AA58" w14:textId="47160D9B" w:rsidR="00047024" w:rsidRDefault="00047024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section applies if you do not have somebody representing you at the hearing of your case or appeal.</w:t>
      </w:r>
      <w:r w:rsidR="006F7318">
        <w:rPr>
          <w:rFonts w:ascii="Calibri" w:hAnsi="Calibri" w:cs="Calibri"/>
          <w:sz w:val="24"/>
          <w:szCs w:val="24"/>
        </w:rPr>
        <w:t xml:space="preserve"> If, at any stage, you intend to be represented, you must notify the Registrar of the name and contact details of your representative.</w:t>
      </w:r>
    </w:p>
    <w:p w14:paraId="5B143E04" w14:textId="77777777" w:rsidR="00047024" w:rsidRDefault="00047024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3F91CFFB" w14:textId="61446F78" w:rsidR="00047024" w:rsidRDefault="00047024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Registrar will </w:t>
      </w:r>
      <w:r w:rsidR="00FE6F2B">
        <w:rPr>
          <w:rFonts w:ascii="Calibri" w:hAnsi="Calibri" w:cs="Calibri"/>
          <w:sz w:val="24"/>
          <w:szCs w:val="24"/>
        </w:rPr>
        <w:t>send a hearing notice via email advising the date</w:t>
      </w:r>
      <w:r>
        <w:rPr>
          <w:rFonts w:ascii="Calibri" w:hAnsi="Calibri" w:cs="Calibri"/>
          <w:sz w:val="24"/>
          <w:szCs w:val="24"/>
        </w:rPr>
        <w:t xml:space="preserve"> </w:t>
      </w:r>
      <w:r w:rsidR="00FE6F2B">
        <w:rPr>
          <w:rFonts w:ascii="Calibri" w:hAnsi="Calibri" w:cs="Calibri"/>
          <w:sz w:val="24"/>
          <w:szCs w:val="24"/>
        </w:rPr>
        <w:t xml:space="preserve">and time of your telephone hearing. As stipulated in the hearing notice, you will be required to advise the </w:t>
      </w:r>
      <w:r w:rsidR="00FE6F2B" w:rsidRPr="00FE6F2B">
        <w:rPr>
          <w:rFonts w:ascii="Calibri" w:hAnsi="Calibri" w:cs="Calibri"/>
          <w:sz w:val="24"/>
          <w:szCs w:val="24"/>
        </w:rPr>
        <w:t xml:space="preserve">Registrar with </w:t>
      </w:r>
      <w:r w:rsidR="00FE6F2B">
        <w:rPr>
          <w:rFonts w:ascii="Calibri" w:hAnsi="Calibri" w:cs="Calibri"/>
          <w:sz w:val="24"/>
          <w:szCs w:val="24"/>
        </w:rPr>
        <w:t xml:space="preserve">your </w:t>
      </w:r>
      <w:r w:rsidR="00FE6F2B" w:rsidRPr="00FE6F2B">
        <w:rPr>
          <w:rFonts w:ascii="Calibri" w:hAnsi="Calibri" w:cs="Calibri"/>
          <w:sz w:val="24"/>
          <w:szCs w:val="24"/>
        </w:rPr>
        <w:t xml:space="preserve">preferred telephone number for contact on the day of your hearing. </w:t>
      </w:r>
    </w:p>
    <w:p w14:paraId="19754894" w14:textId="436E2484" w:rsidR="00FE6F2B" w:rsidRDefault="00FE6F2B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737BB21E" w14:textId="6CA0C440" w:rsidR="00FE6F2B" w:rsidRDefault="00FE6F2B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is important that you are setup in a quiet area where there is adequate phone reception and there are no distractions for the duration of your hearing.</w:t>
      </w:r>
    </w:p>
    <w:p w14:paraId="6E95C89A" w14:textId="033DB7CE" w:rsidR="00EC69B7" w:rsidRDefault="00EC69B7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31ECAD1F" w14:textId="6B37CB2A" w:rsidR="00971607" w:rsidRDefault="00EC69B7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  <w:r w:rsidRPr="00EC69B7">
        <w:rPr>
          <w:rFonts w:ascii="Calibri" w:hAnsi="Calibri" w:cs="Calibri"/>
          <w:sz w:val="24"/>
          <w:szCs w:val="24"/>
        </w:rPr>
        <w:t xml:space="preserve">Like physical hearings, </w:t>
      </w:r>
      <w:r>
        <w:rPr>
          <w:rFonts w:ascii="Calibri" w:hAnsi="Calibri" w:cs="Calibri"/>
          <w:sz w:val="24"/>
          <w:szCs w:val="24"/>
        </w:rPr>
        <w:t>telephone hearings</w:t>
      </w:r>
      <w:r w:rsidRPr="00EC69B7">
        <w:rPr>
          <w:rFonts w:ascii="Calibri" w:hAnsi="Calibri" w:cs="Calibri"/>
          <w:sz w:val="24"/>
          <w:szCs w:val="24"/>
        </w:rPr>
        <w:t xml:space="preserve"> have rules and hearing etiquette to follow</w:t>
      </w:r>
      <w:r w:rsidR="00971607">
        <w:rPr>
          <w:rFonts w:ascii="Calibri" w:hAnsi="Calibri" w:cs="Calibri"/>
          <w:sz w:val="24"/>
          <w:szCs w:val="24"/>
        </w:rPr>
        <w:t>:</w:t>
      </w:r>
    </w:p>
    <w:p w14:paraId="595BB09B" w14:textId="2D930233" w:rsidR="00971607" w:rsidRDefault="00971607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212722C0" w14:textId="77777777" w:rsidR="00971607" w:rsidRPr="00971607" w:rsidRDefault="00971607" w:rsidP="00971607">
      <w:pPr>
        <w:pStyle w:val="Reference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71607">
        <w:rPr>
          <w:rFonts w:ascii="Calibri" w:hAnsi="Calibri" w:cs="Calibri"/>
          <w:sz w:val="24"/>
          <w:szCs w:val="24"/>
        </w:rPr>
        <w:t>Turn off or eliminate background noise and distractions. Use headphones if possible.</w:t>
      </w:r>
    </w:p>
    <w:p w14:paraId="6F3D1835" w14:textId="5FD00943" w:rsidR="00971607" w:rsidRPr="00971607" w:rsidRDefault="00971607" w:rsidP="00971607">
      <w:pPr>
        <w:pStyle w:val="Reference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71607">
        <w:rPr>
          <w:rFonts w:ascii="Calibri" w:hAnsi="Calibri" w:cs="Calibri"/>
          <w:sz w:val="24"/>
          <w:szCs w:val="24"/>
        </w:rPr>
        <w:t xml:space="preserve">All </w:t>
      </w:r>
      <w:r>
        <w:rPr>
          <w:rFonts w:ascii="Calibri" w:hAnsi="Calibri" w:cs="Calibri"/>
          <w:sz w:val="24"/>
          <w:szCs w:val="24"/>
        </w:rPr>
        <w:t>VRT</w:t>
      </w:r>
      <w:r w:rsidRPr="00971607">
        <w:rPr>
          <w:rFonts w:ascii="Calibri" w:hAnsi="Calibri" w:cs="Calibri"/>
          <w:sz w:val="24"/>
          <w:szCs w:val="24"/>
        </w:rPr>
        <w:t xml:space="preserve"> hearings, including </w:t>
      </w:r>
      <w:r>
        <w:rPr>
          <w:rFonts w:ascii="Calibri" w:hAnsi="Calibri" w:cs="Calibri"/>
          <w:sz w:val="24"/>
          <w:szCs w:val="24"/>
        </w:rPr>
        <w:t>telephone</w:t>
      </w:r>
      <w:r w:rsidRPr="00971607">
        <w:rPr>
          <w:rFonts w:ascii="Calibri" w:hAnsi="Calibri" w:cs="Calibri"/>
          <w:sz w:val="24"/>
          <w:szCs w:val="24"/>
        </w:rPr>
        <w:t xml:space="preserve"> hearings, are recorded</w:t>
      </w:r>
      <w:r w:rsidR="00217705">
        <w:rPr>
          <w:rFonts w:ascii="Calibri" w:hAnsi="Calibri" w:cs="Calibri"/>
          <w:sz w:val="24"/>
          <w:szCs w:val="24"/>
        </w:rPr>
        <w:t xml:space="preserve"> by the Registrar. </w:t>
      </w:r>
    </w:p>
    <w:p w14:paraId="15D6A39D" w14:textId="146B60B7" w:rsidR="00971607" w:rsidRPr="00971607" w:rsidRDefault="00971607" w:rsidP="00971607">
      <w:pPr>
        <w:pStyle w:val="Reference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71607">
        <w:rPr>
          <w:rFonts w:ascii="Calibri" w:hAnsi="Calibri" w:cs="Calibri"/>
          <w:sz w:val="24"/>
          <w:szCs w:val="24"/>
        </w:rPr>
        <w:t>It</w:t>
      </w:r>
      <w:r>
        <w:rPr>
          <w:rFonts w:ascii="Calibri" w:hAnsi="Calibri" w:cs="Calibri"/>
          <w:sz w:val="24"/>
          <w:szCs w:val="24"/>
        </w:rPr>
        <w:t xml:space="preserve"> is</w:t>
      </w:r>
      <w:r w:rsidRPr="00971607">
        <w:rPr>
          <w:rFonts w:ascii="Calibri" w:hAnsi="Calibri" w:cs="Calibri"/>
          <w:sz w:val="24"/>
          <w:szCs w:val="24"/>
        </w:rPr>
        <w:t xml:space="preserve"> important you email any documents or evidence you want to rely on in your hearing to </w:t>
      </w:r>
      <w:r>
        <w:rPr>
          <w:rFonts w:ascii="Calibri" w:hAnsi="Calibri" w:cs="Calibri"/>
          <w:sz w:val="24"/>
          <w:szCs w:val="24"/>
        </w:rPr>
        <w:t>the Registrar</w:t>
      </w:r>
      <w:r w:rsidRPr="00971607">
        <w:rPr>
          <w:rFonts w:ascii="Calibri" w:hAnsi="Calibri" w:cs="Calibri"/>
          <w:sz w:val="24"/>
          <w:szCs w:val="24"/>
        </w:rPr>
        <w:t xml:space="preserve"> and all other parties well before your hearing.</w:t>
      </w:r>
    </w:p>
    <w:p w14:paraId="664F8956" w14:textId="77777777" w:rsidR="00971607" w:rsidRPr="00971607" w:rsidRDefault="00971607" w:rsidP="00971607">
      <w:pPr>
        <w:pStyle w:val="Reference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71607">
        <w:rPr>
          <w:rFonts w:ascii="Calibri" w:hAnsi="Calibri" w:cs="Calibri"/>
          <w:sz w:val="24"/>
          <w:szCs w:val="24"/>
        </w:rPr>
        <w:t>Mute your phone or microphone if not speaking to avoid feedback or noise.</w:t>
      </w:r>
    </w:p>
    <w:p w14:paraId="7BC83AD6" w14:textId="39E71CCB" w:rsidR="00971607" w:rsidRDefault="00971607" w:rsidP="00971607">
      <w:pPr>
        <w:pStyle w:val="Reference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71607">
        <w:rPr>
          <w:rFonts w:ascii="Calibri" w:hAnsi="Calibri" w:cs="Calibri"/>
          <w:sz w:val="24"/>
          <w:szCs w:val="24"/>
        </w:rPr>
        <w:t>To avoid disruption, parties and</w:t>
      </w:r>
      <w:r>
        <w:rPr>
          <w:rFonts w:ascii="Calibri" w:hAnsi="Calibri" w:cs="Calibri"/>
          <w:sz w:val="24"/>
          <w:szCs w:val="24"/>
        </w:rPr>
        <w:t>/or</w:t>
      </w:r>
      <w:r w:rsidRPr="00971607">
        <w:rPr>
          <w:rFonts w:ascii="Calibri" w:hAnsi="Calibri" w:cs="Calibri"/>
          <w:sz w:val="24"/>
          <w:szCs w:val="24"/>
        </w:rPr>
        <w:t xml:space="preserve"> their legal representatives should not be in the same room if they intend to use separate devices to join their </w:t>
      </w:r>
      <w:r>
        <w:rPr>
          <w:rFonts w:ascii="Calibri" w:hAnsi="Calibri" w:cs="Calibri"/>
          <w:sz w:val="24"/>
          <w:szCs w:val="24"/>
        </w:rPr>
        <w:t xml:space="preserve">telephone hearing </w:t>
      </w:r>
      <w:r w:rsidRPr="00971607">
        <w:rPr>
          <w:rFonts w:ascii="Calibri" w:hAnsi="Calibri" w:cs="Calibri"/>
          <w:sz w:val="24"/>
          <w:szCs w:val="24"/>
        </w:rPr>
        <w:t>as this can create feedback and/or sound distortion.</w:t>
      </w:r>
    </w:p>
    <w:p w14:paraId="07F88FF8" w14:textId="77777777" w:rsidR="00971607" w:rsidRDefault="00971607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71C1170D" w14:textId="5FBA4511" w:rsidR="00EC69B7" w:rsidRDefault="00EC69B7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note, there may be times when a VRT</w:t>
      </w:r>
      <w:r w:rsidRPr="00EC69B7">
        <w:rPr>
          <w:rFonts w:ascii="Calibri" w:hAnsi="Calibri" w:cs="Calibri"/>
          <w:sz w:val="24"/>
          <w:szCs w:val="24"/>
        </w:rPr>
        <w:t xml:space="preserve"> member may arrange for you to speak with the other parties before (and sometimes during) your </w:t>
      </w:r>
      <w:r>
        <w:rPr>
          <w:rFonts w:ascii="Calibri" w:hAnsi="Calibri" w:cs="Calibri"/>
          <w:sz w:val="24"/>
          <w:szCs w:val="24"/>
        </w:rPr>
        <w:t>telephone hearing</w:t>
      </w:r>
      <w:r w:rsidRPr="00EC69B7">
        <w:rPr>
          <w:rFonts w:ascii="Calibri" w:hAnsi="Calibri" w:cs="Calibri"/>
          <w:sz w:val="24"/>
          <w:szCs w:val="24"/>
        </w:rPr>
        <w:t>.</w:t>
      </w:r>
    </w:p>
    <w:p w14:paraId="6CCCC2B5" w14:textId="06569610" w:rsidR="00F11DF5" w:rsidRDefault="00F11DF5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42C7A47A" w14:textId="54268F70" w:rsidR="00F11DF5" w:rsidRDefault="00F11DF5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you fail to attend your hearing remotely</w:t>
      </w:r>
      <w:r w:rsidRPr="00F11DF5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the Tribunal</w:t>
      </w:r>
      <w:r w:rsidRPr="00F11DF5">
        <w:rPr>
          <w:rFonts w:ascii="Calibri" w:hAnsi="Calibri" w:cs="Calibri"/>
          <w:sz w:val="24"/>
          <w:szCs w:val="24"/>
        </w:rPr>
        <w:t xml:space="preserve"> may </w:t>
      </w:r>
      <w:proofErr w:type="gramStart"/>
      <w:r w:rsidRPr="00F11DF5">
        <w:rPr>
          <w:rFonts w:ascii="Calibri" w:hAnsi="Calibri" w:cs="Calibri"/>
          <w:sz w:val="24"/>
          <w:szCs w:val="24"/>
        </w:rPr>
        <w:t>make a decision</w:t>
      </w:r>
      <w:proofErr w:type="gramEnd"/>
      <w:r>
        <w:rPr>
          <w:rFonts w:ascii="Calibri" w:hAnsi="Calibri" w:cs="Calibri"/>
          <w:sz w:val="24"/>
          <w:szCs w:val="24"/>
        </w:rPr>
        <w:t xml:space="preserve"> in your absence. </w:t>
      </w:r>
    </w:p>
    <w:p w14:paraId="5239F0FF" w14:textId="13DF578F" w:rsidR="00FE6F2B" w:rsidRDefault="00FE6F2B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1FF1BB3E" w14:textId="77777777" w:rsidR="006F7318" w:rsidRDefault="006F7318" w:rsidP="00FE6F2B">
      <w:pPr>
        <w:pStyle w:val="Reference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C75A4FC" w14:textId="3414E068" w:rsidR="00FE6F2B" w:rsidRPr="008A7D84" w:rsidRDefault="00FE6F2B" w:rsidP="00FE6F2B">
      <w:pPr>
        <w:pStyle w:val="Reference"/>
        <w:jc w:val="both"/>
        <w:rPr>
          <w:rFonts w:ascii="Calibri" w:hAnsi="Calibri" w:cs="Calibri"/>
          <w:b/>
          <w:bCs/>
          <w:sz w:val="28"/>
          <w:szCs w:val="28"/>
        </w:rPr>
      </w:pPr>
      <w:r w:rsidRPr="008A7D84">
        <w:rPr>
          <w:rFonts w:ascii="Calibri" w:hAnsi="Calibri" w:cs="Calibri"/>
          <w:b/>
          <w:bCs/>
          <w:sz w:val="28"/>
          <w:szCs w:val="28"/>
        </w:rPr>
        <w:t>Represented parties</w:t>
      </w:r>
    </w:p>
    <w:p w14:paraId="78474C82" w14:textId="77777777" w:rsidR="00FE6F2B" w:rsidRDefault="00FE6F2B" w:rsidP="00FE6F2B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section applies if you are a lawyer, steward or advocate representing a party at the hearing of a case or an appeal.</w:t>
      </w:r>
    </w:p>
    <w:p w14:paraId="624F05E5" w14:textId="77777777" w:rsidR="00FE6F2B" w:rsidRDefault="00FE6F2B" w:rsidP="00FE6F2B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0CA206F9" w14:textId="386C756B" w:rsidR="00FE6F2B" w:rsidRDefault="00FE6F2B" w:rsidP="00FE6F2B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Represented parties will have the option of a telephone hearing or a hearing by way of written submissions.</w:t>
      </w:r>
    </w:p>
    <w:p w14:paraId="33E15C12" w14:textId="6795DBFA" w:rsidR="00E65507" w:rsidRDefault="00E65507" w:rsidP="00FE6F2B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7B2503EC" w14:textId="6DF6F729" w:rsidR="00E65507" w:rsidRDefault="00E65507" w:rsidP="00FE6F2B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telephone hearing process for represented parties is as stated above in the ‘Self-represented parties’ section.</w:t>
      </w:r>
    </w:p>
    <w:p w14:paraId="3EF23DB2" w14:textId="77777777" w:rsidR="00FE6F2B" w:rsidRDefault="00FE6F2B" w:rsidP="00FE6F2B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6E35BB30" w14:textId="77777777" w:rsidR="00FE6F2B" w:rsidRDefault="00FE6F2B" w:rsidP="00FE6F2B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Requests for hearings by written submission will be considered where there is agreement to that process by all parties. The process is as follows:</w:t>
      </w:r>
    </w:p>
    <w:p w14:paraId="1E5B255D" w14:textId="5BF76F48" w:rsidR="00FE6F2B" w:rsidRDefault="00FE6F2B" w:rsidP="00FE6F2B">
      <w:pPr>
        <w:pStyle w:val="Reference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F45E24">
        <w:rPr>
          <w:rFonts w:ascii="Calibri" w:hAnsi="Calibri" w:cs="Calibri"/>
          <w:b/>
          <w:bCs/>
          <w:sz w:val="24"/>
          <w:szCs w:val="24"/>
        </w:rPr>
        <w:t>where a hearing date has been set</w:t>
      </w:r>
      <w:r>
        <w:rPr>
          <w:rFonts w:ascii="Calibri" w:hAnsi="Calibri" w:cs="Calibri"/>
          <w:sz w:val="24"/>
          <w:szCs w:val="24"/>
        </w:rPr>
        <w:t xml:space="preserve">, the stewards for the relevant racing code must contact the Registrar no less than one week prior to the hearing date with the request. </w:t>
      </w:r>
    </w:p>
    <w:p w14:paraId="29B51D41" w14:textId="40BDA12D" w:rsidR="00FE6F2B" w:rsidRDefault="00FE6F2B" w:rsidP="00FE6F2B">
      <w:pPr>
        <w:pStyle w:val="Reference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F45E24">
        <w:rPr>
          <w:rFonts w:ascii="Calibri" w:hAnsi="Calibri" w:cs="Calibri"/>
          <w:b/>
          <w:bCs/>
          <w:sz w:val="24"/>
          <w:szCs w:val="24"/>
        </w:rPr>
        <w:t>where no hearing date has been set</w:t>
      </w:r>
      <w:r>
        <w:rPr>
          <w:rFonts w:ascii="Calibri" w:hAnsi="Calibri" w:cs="Calibri"/>
          <w:sz w:val="24"/>
          <w:szCs w:val="24"/>
        </w:rPr>
        <w:t>, the stewards for the relevant racing code should contact the Registrar to advise of the request for the hearing to be held by written submission.</w:t>
      </w:r>
    </w:p>
    <w:p w14:paraId="2430107F" w14:textId="77777777" w:rsidR="00FE6F2B" w:rsidRDefault="00FE6F2B" w:rsidP="00FE6F2B">
      <w:pPr>
        <w:pStyle w:val="Reference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both cases the Registrar will email all parties seeking confirmation of agreement to the request.</w:t>
      </w:r>
    </w:p>
    <w:p w14:paraId="62F58F5B" w14:textId="77777777" w:rsidR="00FE6F2B" w:rsidRDefault="00FE6F2B" w:rsidP="00FE6F2B">
      <w:pPr>
        <w:pStyle w:val="Reference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Chairperson will consider the request for a hearing by written submissions.</w:t>
      </w:r>
    </w:p>
    <w:p w14:paraId="0189913F" w14:textId="77777777" w:rsidR="00FE6F2B" w:rsidRDefault="00FE6F2B" w:rsidP="00FE6F2B">
      <w:pPr>
        <w:pStyle w:val="Reference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Registrar will notify the parties of the Chairperson’s decision and the dates by which submissions must be filed.</w:t>
      </w:r>
    </w:p>
    <w:p w14:paraId="1595C2AE" w14:textId="77777777" w:rsidR="00FE6F2B" w:rsidRDefault="00FE6F2B" w:rsidP="00FE6F2B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5B27CD9B" w14:textId="1CF94743" w:rsidR="008A7D84" w:rsidRPr="008A7D84" w:rsidRDefault="00357435" w:rsidP="00AB35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A7D84">
        <w:rPr>
          <w:b/>
          <w:bCs/>
          <w:sz w:val="28"/>
          <w:szCs w:val="28"/>
        </w:rPr>
        <w:t>Written submissions to assist the conduct of remotely held hearings</w:t>
      </w:r>
    </w:p>
    <w:p w14:paraId="7BDED935" w14:textId="2E237FCE" w:rsidR="00357435" w:rsidRPr="008A7D84" w:rsidRDefault="00357435" w:rsidP="00AB35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4"/>
          <w:szCs w:val="24"/>
        </w:rPr>
      </w:pPr>
      <w:r w:rsidRPr="008A7D84">
        <w:rPr>
          <w:color w:val="222222"/>
          <w:sz w:val="24"/>
          <w:szCs w:val="24"/>
        </w:rPr>
        <w:t xml:space="preserve">This section </w:t>
      </w:r>
      <w:r w:rsidR="008A7D84" w:rsidRPr="008A7D84">
        <w:rPr>
          <w:color w:val="222222"/>
          <w:sz w:val="24"/>
          <w:szCs w:val="24"/>
        </w:rPr>
        <w:t xml:space="preserve">should be read by </w:t>
      </w:r>
      <w:r w:rsidRPr="008A7D84">
        <w:rPr>
          <w:color w:val="222222"/>
          <w:sz w:val="24"/>
          <w:szCs w:val="24"/>
        </w:rPr>
        <w:t>all parties to a hearing</w:t>
      </w:r>
      <w:r w:rsidR="00AB3590">
        <w:rPr>
          <w:color w:val="222222"/>
          <w:sz w:val="24"/>
          <w:szCs w:val="24"/>
        </w:rPr>
        <w:t>.</w:t>
      </w:r>
    </w:p>
    <w:p w14:paraId="608F5383" w14:textId="77777777" w:rsidR="00357435" w:rsidRPr="008A7D84" w:rsidRDefault="00357435" w:rsidP="00AB35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4"/>
          <w:szCs w:val="24"/>
        </w:rPr>
      </w:pPr>
    </w:p>
    <w:p w14:paraId="7EA82ACE" w14:textId="10F8A6CB" w:rsidR="008A7D84" w:rsidRDefault="008A7D84" w:rsidP="00AB35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4"/>
          <w:szCs w:val="24"/>
        </w:rPr>
      </w:pPr>
      <w:r w:rsidRPr="00357435">
        <w:rPr>
          <w:color w:val="222222"/>
          <w:sz w:val="24"/>
          <w:szCs w:val="24"/>
        </w:rPr>
        <w:t>W</w:t>
      </w:r>
      <w:r>
        <w:rPr>
          <w:color w:val="222222"/>
          <w:sz w:val="24"/>
          <w:szCs w:val="24"/>
        </w:rPr>
        <w:t>hile w</w:t>
      </w:r>
      <w:r w:rsidRPr="00357435">
        <w:rPr>
          <w:color w:val="222222"/>
          <w:sz w:val="24"/>
          <w:szCs w:val="24"/>
        </w:rPr>
        <w:t xml:space="preserve">ritten submissions are </w:t>
      </w:r>
      <w:r w:rsidRPr="00AB3590">
        <w:rPr>
          <w:b/>
          <w:bCs/>
          <w:color w:val="222222"/>
          <w:sz w:val="24"/>
          <w:szCs w:val="24"/>
        </w:rPr>
        <w:t>not compulsory</w:t>
      </w:r>
      <w:r w:rsidR="00AB3590">
        <w:rPr>
          <w:color w:val="222222"/>
          <w:sz w:val="24"/>
          <w:szCs w:val="24"/>
        </w:rPr>
        <w:t>, this Tribunal may require such submissions to be made before the hearing.</w:t>
      </w:r>
    </w:p>
    <w:p w14:paraId="147F2FF4" w14:textId="77777777" w:rsidR="008A7D84" w:rsidRPr="00357435" w:rsidRDefault="008A7D84" w:rsidP="00AB35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4"/>
          <w:szCs w:val="24"/>
        </w:rPr>
      </w:pPr>
    </w:p>
    <w:p w14:paraId="2D01CDBF" w14:textId="31CB3F80" w:rsidR="00357435" w:rsidRDefault="00357435" w:rsidP="00AB35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4"/>
          <w:szCs w:val="24"/>
        </w:rPr>
      </w:pPr>
      <w:r w:rsidRPr="00357435">
        <w:rPr>
          <w:color w:val="222222"/>
          <w:sz w:val="24"/>
          <w:szCs w:val="24"/>
        </w:rPr>
        <w:t xml:space="preserve">Submissions can range from brief verbal statements to detailed written submissions supported by expert evidence. Each person must </w:t>
      </w:r>
      <w:proofErr w:type="gramStart"/>
      <w:r w:rsidRPr="00357435">
        <w:rPr>
          <w:color w:val="222222"/>
          <w:sz w:val="24"/>
          <w:szCs w:val="24"/>
        </w:rPr>
        <w:t>make a decision</w:t>
      </w:r>
      <w:proofErr w:type="gramEnd"/>
      <w:r w:rsidRPr="00357435">
        <w:rPr>
          <w:color w:val="222222"/>
          <w:sz w:val="24"/>
          <w:szCs w:val="24"/>
        </w:rPr>
        <w:t xml:space="preserve"> on the nature and extent of their own submissions.</w:t>
      </w:r>
    </w:p>
    <w:p w14:paraId="0FBF93D3" w14:textId="77777777" w:rsidR="00357435" w:rsidRPr="00357435" w:rsidRDefault="00357435" w:rsidP="00AB35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4"/>
          <w:szCs w:val="24"/>
        </w:rPr>
      </w:pPr>
    </w:p>
    <w:p w14:paraId="3ED3ED43" w14:textId="1DDAB900" w:rsidR="00357435" w:rsidRDefault="00357435" w:rsidP="00AB35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4"/>
          <w:szCs w:val="24"/>
        </w:rPr>
      </w:pPr>
      <w:r w:rsidRPr="00357435">
        <w:rPr>
          <w:color w:val="222222"/>
          <w:sz w:val="24"/>
          <w:szCs w:val="24"/>
        </w:rPr>
        <w:t>A written</w:t>
      </w:r>
      <w:r w:rsidR="008A7D84">
        <w:rPr>
          <w:color w:val="222222"/>
          <w:sz w:val="24"/>
          <w:szCs w:val="24"/>
        </w:rPr>
        <w:t xml:space="preserve"> </w:t>
      </w:r>
      <w:r w:rsidRPr="00357435">
        <w:rPr>
          <w:rStyle w:val="tooltip"/>
          <w:color w:val="000000"/>
          <w:sz w:val="24"/>
          <w:szCs w:val="24"/>
        </w:rPr>
        <w:t>submission</w:t>
      </w:r>
      <w:r w:rsidR="008A7D84">
        <w:rPr>
          <w:color w:val="000000"/>
          <w:sz w:val="24"/>
          <w:szCs w:val="24"/>
        </w:rPr>
        <w:t xml:space="preserve"> </w:t>
      </w:r>
      <w:r w:rsidR="003D6E57">
        <w:rPr>
          <w:color w:val="222222"/>
          <w:sz w:val="24"/>
          <w:szCs w:val="24"/>
        </w:rPr>
        <w:t xml:space="preserve">assists </w:t>
      </w:r>
      <w:r w:rsidRPr="00357435">
        <w:rPr>
          <w:color w:val="222222"/>
          <w:sz w:val="24"/>
          <w:szCs w:val="24"/>
        </w:rPr>
        <w:t>you to organise the case which you wish to present to the Tribunal. Reading from your written submission is simple, stress free, and effective.</w:t>
      </w:r>
      <w:r w:rsidR="008A7D84">
        <w:rPr>
          <w:color w:val="222222"/>
          <w:sz w:val="24"/>
          <w:szCs w:val="24"/>
        </w:rPr>
        <w:t xml:space="preserve"> </w:t>
      </w:r>
      <w:r w:rsidRPr="00357435">
        <w:rPr>
          <w:color w:val="222222"/>
          <w:sz w:val="24"/>
          <w:szCs w:val="24"/>
        </w:rPr>
        <w:t>A person</w:t>
      </w:r>
      <w:r w:rsidR="008A7D84">
        <w:rPr>
          <w:color w:val="222222"/>
          <w:sz w:val="24"/>
          <w:szCs w:val="24"/>
        </w:rPr>
        <w:t xml:space="preserve"> </w:t>
      </w:r>
      <w:r w:rsidRPr="00357435">
        <w:rPr>
          <w:color w:val="222222"/>
          <w:sz w:val="24"/>
          <w:szCs w:val="24"/>
        </w:rPr>
        <w:t>making a submission will not ordinarily be cross examined by other parties, although we</w:t>
      </w:r>
      <w:r w:rsidR="008A7D84">
        <w:rPr>
          <w:color w:val="222222"/>
          <w:sz w:val="24"/>
          <w:szCs w:val="24"/>
        </w:rPr>
        <w:t xml:space="preserve"> </w:t>
      </w:r>
      <w:r w:rsidRPr="00357435">
        <w:rPr>
          <w:color w:val="222222"/>
          <w:sz w:val="24"/>
          <w:szCs w:val="24"/>
        </w:rPr>
        <w:t>may ask questions of you.</w:t>
      </w:r>
    </w:p>
    <w:p w14:paraId="4510D514" w14:textId="77777777" w:rsidR="00357435" w:rsidRPr="00357435" w:rsidRDefault="00357435" w:rsidP="00AB35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4"/>
          <w:szCs w:val="24"/>
        </w:rPr>
      </w:pPr>
    </w:p>
    <w:p w14:paraId="5A1DAA18" w14:textId="0C47138D" w:rsidR="00357435" w:rsidRDefault="00357435" w:rsidP="00AB3590">
      <w:pPr>
        <w:pStyle w:val="Reference"/>
        <w:jc w:val="both"/>
        <w:rPr>
          <w:rFonts w:ascii="Calibri" w:hAnsi="Calibri" w:cs="Calibri"/>
          <w:color w:val="222222"/>
          <w:sz w:val="24"/>
          <w:szCs w:val="24"/>
        </w:rPr>
      </w:pPr>
      <w:r w:rsidRPr="00357435">
        <w:rPr>
          <w:rFonts w:ascii="Calibri" w:hAnsi="Calibri" w:cs="Calibri"/>
          <w:color w:val="222222"/>
          <w:sz w:val="24"/>
          <w:szCs w:val="24"/>
        </w:rPr>
        <w:t>Written submissions are also helpful to the Tribunal, particularly when we</w:t>
      </w:r>
      <w:r w:rsidR="008A7D84">
        <w:rPr>
          <w:rFonts w:ascii="Calibri" w:hAnsi="Calibri" w:cs="Calibri"/>
          <w:color w:val="222222"/>
          <w:sz w:val="24"/>
          <w:szCs w:val="24"/>
        </w:rPr>
        <w:t xml:space="preserve"> </w:t>
      </w:r>
      <w:r w:rsidRPr="00357435">
        <w:rPr>
          <w:rFonts w:ascii="Calibri" w:hAnsi="Calibri" w:cs="Calibri"/>
          <w:color w:val="222222"/>
          <w:sz w:val="24"/>
          <w:szCs w:val="24"/>
        </w:rPr>
        <w:t>may be making and writing a decision after the</w:t>
      </w:r>
      <w:r w:rsidR="008A7D84">
        <w:rPr>
          <w:rFonts w:ascii="Calibri" w:hAnsi="Calibri" w:cs="Calibri"/>
          <w:color w:val="222222"/>
          <w:sz w:val="24"/>
          <w:szCs w:val="24"/>
        </w:rPr>
        <w:t xml:space="preserve"> </w:t>
      </w:r>
      <w:r w:rsidRPr="00357435">
        <w:rPr>
          <w:rStyle w:val="tooltip"/>
          <w:rFonts w:ascii="Calibri" w:hAnsi="Calibri" w:cs="Calibri"/>
          <w:color w:val="000000"/>
          <w:sz w:val="24"/>
          <w:szCs w:val="24"/>
        </w:rPr>
        <w:t>hearing</w:t>
      </w:r>
      <w:r w:rsidRPr="00357435">
        <w:rPr>
          <w:rFonts w:ascii="Calibri" w:hAnsi="Calibri" w:cs="Calibri"/>
          <w:color w:val="222222"/>
          <w:sz w:val="24"/>
          <w:szCs w:val="24"/>
        </w:rPr>
        <w:t>.</w:t>
      </w:r>
    </w:p>
    <w:p w14:paraId="1DC5C5AB" w14:textId="473CE280" w:rsidR="00D032A7" w:rsidRDefault="00D032A7" w:rsidP="00AB3590">
      <w:pPr>
        <w:pStyle w:val="Reference"/>
        <w:jc w:val="both"/>
        <w:rPr>
          <w:rFonts w:ascii="Calibri" w:hAnsi="Calibri" w:cs="Calibri"/>
          <w:color w:val="222222"/>
          <w:sz w:val="24"/>
          <w:szCs w:val="24"/>
        </w:rPr>
      </w:pPr>
    </w:p>
    <w:p w14:paraId="05CA16E1" w14:textId="7656C099" w:rsidR="00D032A7" w:rsidRDefault="00D032A7" w:rsidP="00AB3590">
      <w:pPr>
        <w:pStyle w:val="Reference"/>
        <w:jc w:val="both"/>
        <w:rPr>
          <w:rFonts w:ascii="Calibri" w:hAnsi="Calibri" w:cs="Calibri"/>
          <w:color w:val="222222"/>
          <w:sz w:val="24"/>
          <w:szCs w:val="24"/>
        </w:rPr>
      </w:pPr>
      <w:r>
        <w:rPr>
          <w:rFonts w:ascii="Calibri" w:hAnsi="Calibri" w:cs="Calibri"/>
          <w:color w:val="222222"/>
          <w:sz w:val="24"/>
          <w:szCs w:val="24"/>
        </w:rPr>
        <w:lastRenderedPageBreak/>
        <w:t xml:space="preserve">Written submissions should be emailed to </w:t>
      </w:r>
      <w:hyperlink r:id="rId17" w:history="1">
        <w:r w:rsidR="003D6E57" w:rsidRPr="00182E98">
          <w:rPr>
            <w:rStyle w:val="Hyperlink"/>
            <w:rFonts w:ascii="Calibri" w:hAnsi="Calibri" w:cs="Calibri"/>
            <w:sz w:val="24"/>
            <w:szCs w:val="24"/>
          </w:rPr>
          <w:t>VRT@ecodev.vic.gov.au</w:t>
        </w:r>
      </w:hyperlink>
      <w:r>
        <w:rPr>
          <w:rFonts w:ascii="Calibri" w:hAnsi="Calibri" w:cs="Calibri"/>
          <w:color w:val="222222"/>
          <w:sz w:val="24"/>
          <w:szCs w:val="24"/>
        </w:rPr>
        <w:t xml:space="preserve"> within the timeframe outlined in your notice of hearing.</w:t>
      </w:r>
    </w:p>
    <w:p w14:paraId="79279189" w14:textId="7E071A98" w:rsidR="00A20314" w:rsidRDefault="00A20314" w:rsidP="00AB3590">
      <w:pPr>
        <w:pStyle w:val="Reference"/>
        <w:jc w:val="both"/>
        <w:rPr>
          <w:rFonts w:ascii="Calibri" w:hAnsi="Calibri" w:cs="Calibri"/>
          <w:color w:val="222222"/>
          <w:sz w:val="24"/>
          <w:szCs w:val="24"/>
        </w:rPr>
      </w:pPr>
    </w:p>
    <w:p w14:paraId="78665CFF" w14:textId="77777777" w:rsidR="00A20314" w:rsidRPr="00A20314" w:rsidRDefault="00A20314" w:rsidP="00A20314">
      <w:pPr>
        <w:pStyle w:val="Reference"/>
        <w:jc w:val="both"/>
        <w:rPr>
          <w:rFonts w:ascii="Calibri" w:hAnsi="Calibri" w:cs="Calibri"/>
          <w:b/>
          <w:bCs/>
          <w:color w:val="222222"/>
          <w:sz w:val="28"/>
          <w:szCs w:val="28"/>
        </w:rPr>
      </w:pPr>
      <w:r w:rsidRPr="00A20314">
        <w:rPr>
          <w:rFonts w:ascii="Calibri" w:hAnsi="Calibri" w:cs="Calibri"/>
          <w:b/>
          <w:bCs/>
          <w:color w:val="222222"/>
          <w:sz w:val="28"/>
          <w:szCs w:val="28"/>
        </w:rPr>
        <w:t>Limited in-person hearings</w:t>
      </w:r>
    </w:p>
    <w:p w14:paraId="49526E71" w14:textId="3A538F4A" w:rsidR="00EC69B7" w:rsidRDefault="00A20314" w:rsidP="00A20314">
      <w:pPr>
        <w:pStyle w:val="Reference"/>
        <w:jc w:val="both"/>
        <w:rPr>
          <w:rFonts w:ascii="Calibri" w:hAnsi="Calibri" w:cs="Calibri"/>
          <w:color w:val="222222"/>
          <w:sz w:val="24"/>
          <w:szCs w:val="24"/>
        </w:rPr>
      </w:pPr>
      <w:bookmarkStart w:id="0" w:name="_Hlk70341508"/>
      <w:r w:rsidRPr="00A20314">
        <w:rPr>
          <w:rFonts w:ascii="Calibri" w:hAnsi="Calibri" w:cs="Calibri"/>
          <w:color w:val="222222"/>
          <w:sz w:val="24"/>
          <w:szCs w:val="24"/>
        </w:rPr>
        <w:t>In some circumstances</w:t>
      </w:r>
      <w:r w:rsidR="00EC69B7">
        <w:rPr>
          <w:rFonts w:ascii="Calibri" w:hAnsi="Calibri" w:cs="Calibri"/>
          <w:color w:val="222222"/>
          <w:sz w:val="24"/>
          <w:szCs w:val="24"/>
        </w:rPr>
        <w:t>,</w:t>
      </w:r>
      <w:r w:rsidRPr="00A20314">
        <w:rPr>
          <w:rFonts w:ascii="Calibri" w:hAnsi="Calibri" w:cs="Calibri"/>
          <w:color w:val="222222"/>
          <w:sz w:val="24"/>
          <w:szCs w:val="24"/>
        </w:rPr>
        <w:t xml:space="preserve"> we may allow in person hearings.</w:t>
      </w:r>
      <w:bookmarkEnd w:id="0"/>
      <w:r w:rsidRPr="00A20314">
        <w:rPr>
          <w:rFonts w:ascii="Calibri" w:hAnsi="Calibri" w:cs="Calibri"/>
          <w:color w:val="222222"/>
          <w:sz w:val="24"/>
          <w:szCs w:val="24"/>
        </w:rPr>
        <w:t xml:space="preserve"> </w:t>
      </w:r>
    </w:p>
    <w:p w14:paraId="41C647B6" w14:textId="6EB9F2BF" w:rsidR="00EC69B7" w:rsidRDefault="00EC69B7" w:rsidP="00A20314">
      <w:pPr>
        <w:pStyle w:val="Reference"/>
        <w:jc w:val="both"/>
        <w:rPr>
          <w:rFonts w:ascii="Calibri" w:hAnsi="Calibri" w:cs="Calibri"/>
          <w:color w:val="222222"/>
          <w:sz w:val="24"/>
          <w:szCs w:val="24"/>
        </w:rPr>
      </w:pPr>
    </w:p>
    <w:p w14:paraId="6AAAED03" w14:textId="5FE1C16A" w:rsidR="00EC69B7" w:rsidRDefault="00EC69B7" w:rsidP="00EC69B7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your preference is for your hearing to be conducted in person, please advise the Registrar as soon as possible. A directions hearing may be required via telephone to confirm that it is necessary for your hearing to be conducted in person. </w:t>
      </w:r>
    </w:p>
    <w:p w14:paraId="5DF2B5C5" w14:textId="77777777" w:rsidR="00EC69B7" w:rsidRDefault="00EC69B7" w:rsidP="00A20314">
      <w:pPr>
        <w:pStyle w:val="Reference"/>
        <w:jc w:val="both"/>
        <w:rPr>
          <w:rFonts w:ascii="Calibri" w:hAnsi="Calibri" w:cs="Calibri"/>
          <w:color w:val="222222"/>
          <w:sz w:val="24"/>
          <w:szCs w:val="24"/>
        </w:rPr>
      </w:pPr>
    </w:p>
    <w:p w14:paraId="719433B9" w14:textId="12B3F02A" w:rsidR="00A20314" w:rsidRDefault="00EC69B7" w:rsidP="00A20314">
      <w:pPr>
        <w:pStyle w:val="Reference"/>
        <w:jc w:val="both"/>
        <w:rPr>
          <w:rFonts w:ascii="Calibri" w:hAnsi="Calibri" w:cs="Calibri"/>
          <w:color w:val="222222"/>
          <w:sz w:val="24"/>
          <w:szCs w:val="24"/>
        </w:rPr>
      </w:pPr>
      <w:r>
        <w:rPr>
          <w:rFonts w:ascii="Calibri" w:hAnsi="Calibri" w:cs="Calibri"/>
          <w:color w:val="222222"/>
          <w:sz w:val="24"/>
          <w:szCs w:val="24"/>
        </w:rPr>
        <w:t>If your hearing is to be conducted in person, the Registrar</w:t>
      </w:r>
      <w:r w:rsidR="00A20314" w:rsidRPr="00A20314">
        <w:rPr>
          <w:rFonts w:ascii="Calibri" w:hAnsi="Calibri" w:cs="Calibri"/>
          <w:color w:val="222222"/>
          <w:sz w:val="24"/>
          <w:szCs w:val="24"/>
        </w:rPr>
        <w:t xml:space="preserve"> will advise you and the other parties</w:t>
      </w:r>
      <w:r>
        <w:rPr>
          <w:rFonts w:ascii="Calibri" w:hAnsi="Calibri" w:cs="Calibri"/>
          <w:color w:val="222222"/>
          <w:sz w:val="24"/>
          <w:szCs w:val="24"/>
        </w:rPr>
        <w:t xml:space="preserve"> of the date, </w:t>
      </w:r>
      <w:proofErr w:type="gramStart"/>
      <w:r>
        <w:rPr>
          <w:rFonts w:ascii="Calibri" w:hAnsi="Calibri" w:cs="Calibri"/>
          <w:color w:val="222222"/>
          <w:sz w:val="24"/>
          <w:szCs w:val="24"/>
        </w:rPr>
        <w:t>time</w:t>
      </w:r>
      <w:proofErr w:type="gramEnd"/>
      <w:r>
        <w:rPr>
          <w:rFonts w:ascii="Calibri" w:hAnsi="Calibri" w:cs="Calibri"/>
          <w:color w:val="222222"/>
          <w:sz w:val="24"/>
          <w:szCs w:val="24"/>
        </w:rPr>
        <w:t xml:space="preserve"> and </w:t>
      </w:r>
      <w:r w:rsidR="00A20314" w:rsidRPr="00A20314">
        <w:rPr>
          <w:rFonts w:ascii="Calibri" w:hAnsi="Calibri" w:cs="Calibri"/>
          <w:color w:val="222222"/>
          <w:sz w:val="24"/>
          <w:szCs w:val="24"/>
        </w:rPr>
        <w:t>location.</w:t>
      </w:r>
    </w:p>
    <w:p w14:paraId="666796DD" w14:textId="32C4181C" w:rsidR="00F45E24" w:rsidRDefault="00F45E24" w:rsidP="00AB3590">
      <w:pPr>
        <w:pStyle w:val="Reference"/>
        <w:jc w:val="both"/>
        <w:rPr>
          <w:rFonts w:ascii="Calibri" w:hAnsi="Calibri" w:cs="Calibri"/>
          <w:sz w:val="24"/>
          <w:szCs w:val="24"/>
        </w:rPr>
      </w:pPr>
    </w:p>
    <w:p w14:paraId="7D58994A" w14:textId="520B827E" w:rsidR="008E759E" w:rsidRPr="001B214C" w:rsidRDefault="008E759E" w:rsidP="00F26F69">
      <w:pPr>
        <w:pStyle w:val="Referenc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contact the </w:t>
      </w:r>
      <w:r w:rsidR="003D6E57">
        <w:rPr>
          <w:rFonts w:ascii="Calibri" w:hAnsi="Calibri" w:cs="Calibri"/>
          <w:sz w:val="24"/>
          <w:szCs w:val="24"/>
        </w:rPr>
        <w:t>Registrar</w:t>
      </w:r>
      <w:r>
        <w:rPr>
          <w:rFonts w:ascii="Calibri" w:hAnsi="Calibri" w:cs="Calibri"/>
          <w:sz w:val="24"/>
          <w:szCs w:val="24"/>
        </w:rPr>
        <w:t>, Mark Howard, on 0436 524 583</w:t>
      </w:r>
      <w:r w:rsidR="003D6E57">
        <w:rPr>
          <w:rFonts w:ascii="Calibri" w:hAnsi="Calibri" w:cs="Calibri"/>
          <w:sz w:val="24"/>
          <w:szCs w:val="24"/>
        </w:rPr>
        <w:t xml:space="preserve"> or the Assistant Registrar, Kathleen Scully on 0427 371 858,</w:t>
      </w:r>
      <w:r>
        <w:rPr>
          <w:rFonts w:ascii="Calibri" w:hAnsi="Calibri" w:cs="Calibri"/>
          <w:sz w:val="24"/>
          <w:szCs w:val="24"/>
        </w:rPr>
        <w:t xml:space="preserve"> if you have any questions.</w:t>
      </w:r>
    </w:p>
    <w:sectPr w:rsidR="008E759E" w:rsidRPr="001B214C" w:rsidSect="00E53C26">
      <w:footerReference w:type="default" r:id="rId18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5A0C" w14:textId="77777777" w:rsidR="0035395F" w:rsidRDefault="0035395F" w:rsidP="00CF0999">
      <w:r>
        <w:separator/>
      </w:r>
    </w:p>
  </w:endnote>
  <w:endnote w:type="continuationSeparator" w:id="0">
    <w:p w14:paraId="6ED8F509" w14:textId="77777777" w:rsidR="0035395F" w:rsidRDefault="0035395F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573F" w14:textId="77777777" w:rsidR="009B46CA" w:rsidRDefault="009B4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7777777" w:rsidR="00D10E3C" w:rsidRDefault="00D10E3C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D3DA445" w:rsidR="00B104AE" w:rsidRDefault="00B104AE" w:rsidP="00B104AE">
    <w:pPr>
      <w:tabs>
        <w:tab w:val="right" w:pos="9000"/>
      </w:tabs>
    </w:pPr>
    <w:r>
      <w:tab/>
    </w:r>
    <w:r w:rsidR="00867C1C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77777777" w:rsidR="00D10E3C" w:rsidRDefault="00D10E3C" w:rsidP="00CF0999">
    <w:r>
      <w:tab/>
    </w:r>
  </w:p>
  <w:p w14:paraId="1DAAAAAE" w14:textId="77777777" w:rsidR="00D10E3C" w:rsidRDefault="00D10E3C" w:rsidP="00CF0999">
    <w:r w:rsidRPr="009B46CA">
      <w:rPr>
        <w:rFonts w:ascii="Calibri" w:hAnsi="Calibri" w:cs="Calibri"/>
      </w:rPr>
      <w:tab/>
    </w:r>
    <w:r w:rsidRPr="009B46CA">
      <w:rPr>
        <w:rStyle w:val="FooterChar"/>
        <w:rFonts w:ascii="Calibri" w:hAnsi="Calibri" w:cs="Calibri"/>
        <w:szCs w:val="22"/>
      </w:rPr>
      <w:t xml:space="preserve">Page </w:t>
    </w:r>
    <w:r w:rsidR="00774401" w:rsidRPr="009B46CA">
      <w:rPr>
        <w:rStyle w:val="FooterChar"/>
        <w:rFonts w:ascii="Calibri" w:hAnsi="Calibri" w:cs="Calibri"/>
        <w:szCs w:val="22"/>
      </w:rPr>
      <w:fldChar w:fldCharType="begin"/>
    </w:r>
    <w:r w:rsidRPr="009B46CA">
      <w:rPr>
        <w:rStyle w:val="FooterChar"/>
        <w:rFonts w:ascii="Calibri" w:hAnsi="Calibri" w:cs="Calibri"/>
        <w:szCs w:val="22"/>
      </w:rPr>
      <w:instrText xml:space="preserve"> PAGE   \* MERGEFORMAT </w:instrText>
    </w:r>
    <w:r w:rsidR="00774401" w:rsidRPr="009B46CA">
      <w:rPr>
        <w:rStyle w:val="FooterChar"/>
        <w:rFonts w:ascii="Calibri" w:hAnsi="Calibri" w:cs="Calibri"/>
        <w:szCs w:val="22"/>
      </w:rPr>
      <w:fldChar w:fldCharType="separate"/>
    </w:r>
    <w:r w:rsidR="005169FE" w:rsidRPr="009B46CA">
      <w:rPr>
        <w:rStyle w:val="FooterChar"/>
        <w:rFonts w:ascii="Calibri" w:hAnsi="Calibri" w:cs="Calibri"/>
        <w:noProof/>
        <w:szCs w:val="22"/>
      </w:rPr>
      <w:t>2</w:t>
    </w:r>
    <w:r w:rsidR="00774401" w:rsidRPr="009B46CA">
      <w:rPr>
        <w:rStyle w:val="FooterChar"/>
        <w:rFonts w:ascii="Calibri" w:hAnsi="Calibri" w:cs="Calibri"/>
        <w:szCs w:val="22"/>
      </w:rPr>
      <w:fldChar w:fldCharType="end"/>
    </w:r>
    <w:r w:rsidRPr="009B46CA">
      <w:rPr>
        <w:rStyle w:val="FooterChar"/>
        <w:rFonts w:ascii="Calibri" w:hAnsi="Calibri" w:cs="Calibri"/>
        <w:szCs w:val="22"/>
      </w:rPr>
      <w:t xml:space="preserve"> of </w:t>
    </w:r>
    <w:r w:rsidR="00EF292A" w:rsidRPr="009B46CA">
      <w:rPr>
        <w:rStyle w:val="FooterChar"/>
        <w:rFonts w:ascii="Calibri" w:hAnsi="Calibri" w:cs="Calibri"/>
        <w:noProof/>
        <w:szCs w:val="22"/>
      </w:rPr>
      <w:fldChar w:fldCharType="begin"/>
    </w:r>
    <w:r w:rsidR="00EF292A" w:rsidRPr="009B46CA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="00EF292A" w:rsidRPr="009B46CA">
      <w:rPr>
        <w:rStyle w:val="FooterChar"/>
        <w:rFonts w:ascii="Calibri" w:hAnsi="Calibri" w:cs="Calibri"/>
        <w:noProof/>
        <w:szCs w:val="22"/>
      </w:rPr>
      <w:fldChar w:fldCharType="separate"/>
    </w:r>
    <w:r w:rsidR="008B5832" w:rsidRPr="009B46CA">
      <w:rPr>
        <w:rStyle w:val="FooterChar"/>
        <w:rFonts w:ascii="Calibri" w:hAnsi="Calibri" w:cs="Calibri"/>
        <w:noProof/>
        <w:szCs w:val="22"/>
      </w:rPr>
      <w:t>1</w:t>
    </w:r>
    <w:r w:rsidR="00EF292A" w:rsidRPr="009B46CA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634E" w14:textId="77777777" w:rsidR="0035395F" w:rsidRDefault="0035395F" w:rsidP="00CF0999">
      <w:r>
        <w:separator/>
      </w:r>
    </w:p>
  </w:footnote>
  <w:footnote w:type="continuationSeparator" w:id="0">
    <w:p w14:paraId="4C04E111" w14:textId="77777777" w:rsidR="0035395F" w:rsidRDefault="0035395F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A1A1" w14:textId="77777777" w:rsidR="009B46CA" w:rsidRDefault="009B4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8A5A" w14:textId="77777777" w:rsidR="009B46CA" w:rsidRDefault="009B4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1CB4E131" w:rsidR="00A72796" w:rsidRDefault="00E2658C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17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573D70" w:rsidRDefault="00573D7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914572" w:rsidRPr="00573D70" w:rsidRDefault="0091457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914572" w:rsidRPr="00573D70" w:rsidRDefault="008766F3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</w:r>
                          <w:r w:rsidR="00914572" w:rsidRPr="00573D70">
                            <w:rPr>
                              <w:color w:val="auto"/>
                            </w:rPr>
                            <w:t>Victoria 3001 Australia</w:t>
                          </w:r>
                        </w:p>
                        <w:p w14:paraId="41F062F5" w14:textId="3AE96110" w:rsidR="00914572" w:rsidRPr="00573D70" w:rsidRDefault="0091457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 w:rsidR="00573D70"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914572" w:rsidRPr="00573D70" w:rsidRDefault="0091457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914572" w:rsidRPr="00E07246" w:rsidRDefault="0091457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573D70" w:rsidRDefault="00573D7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914572" w:rsidRPr="00573D70" w:rsidRDefault="0091457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914572" w:rsidRPr="00573D70" w:rsidRDefault="008766F3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</w:r>
                    <w:r w:rsidR="00914572" w:rsidRPr="00573D70">
                      <w:rPr>
                        <w:color w:val="auto"/>
                      </w:rPr>
                      <w:t>Victoria 3001 Australia</w:t>
                    </w:r>
                  </w:p>
                  <w:p w14:paraId="41F062F5" w14:textId="3AE96110" w:rsidR="00914572" w:rsidRPr="00573D70" w:rsidRDefault="0091457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 w:rsidR="00573D70"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914572" w:rsidRPr="00573D70" w:rsidRDefault="0091457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914572" w:rsidRPr="00E07246" w:rsidRDefault="0091457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A72796" w:rsidRDefault="00A72796" w:rsidP="00CF0999"/>
  <w:p w14:paraId="6E2C6967" w14:textId="6D942FA3" w:rsidR="00C004CB" w:rsidRPr="00DA09EA" w:rsidRDefault="00C004CB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322D"/>
    <w:multiLevelType w:val="hybridMultilevel"/>
    <w:tmpl w:val="270E8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B2466"/>
    <w:multiLevelType w:val="hybridMultilevel"/>
    <w:tmpl w:val="08527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215EA"/>
    <w:rsid w:val="00043452"/>
    <w:rsid w:val="00047024"/>
    <w:rsid w:val="000717EB"/>
    <w:rsid w:val="00073C6A"/>
    <w:rsid w:val="00081CA6"/>
    <w:rsid w:val="00087EA5"/>
    <w:rsid w:val="000934F0"/>
    <w:rsid w:val="00105417"/>
    <w:rsid w:val="0012029D"/>
    <w:rsid w:val="00142AF8"/>
    <w:rsid w:val="001459C3"/>
    <w:rsid w:val="001530AD"/>
    <w:rsid w:val="00155CA4"/>
    <w:rsid w:val="00165E82"/>
    <w:rsid w:val="00180EA0"/>
    <w:rsid w:val="0018346D"/>
    <w:rsid w:val="00194944"/>
    <w:rsid w:val="001B214C"/>
    <w:rsid w:val="001D5EA1"/>
    <w:rsid w:val="001F4FF6"/>
    <w:rsid w:val="00210EC7"/>
    <w:rsid w:val="0021172F"/>
    <w:rsid w:val="00214575"/>
    <w:rsid w:val="00217705"/>
    <w:rsid w:val="00237626"/>
    <w:rsid w:val="00245238"/>
    <w:rsid w:val="00252460"/>
    <w:rsid w:val="00272B4D"/>
    <w:rsid w:val="00277913"/>
    <w:rsid w:val="002813FF"/>
    <w:rsid w:val="00283868"/>
    <w:rsid w:val="00284C5D"/>
    <w:rsid w:val="00284DD3"/>
    <w:rsid w:val="002C6398"/>
    <w:rsid w:val="002C65C0"/>
    <w:rsid w:val="002E22BA"/>
    <w:rsid w:val="002F7434"/>
    <w:rsid w:val="00304945"/>
    <w:rsid w:val="0032538F"/>
    <w:rsid w:val="00335102"/>
    <w:rsid w:val="00344B4E"/>
    <w:rsid w:val="00345DD8"/>
    <w:rsid w:val="0035395F"/>
    <w:rsid w:val="00357435"/>
    <w:rsid w:val="00370738"/>
    <w:rsid w:val="003875DE"/>
    <w:rsid w:val="003904DC"/>
    <w:rsid w:val="003B61CD"/>
    <w:rsid w:val="003C53DC"/>
    <w:rsid w:val="003D043D"/>
    <w:rsid w:val="003D0AFE"/>
    <w:rsid w:val="003D6E57"/>
    <w:rsid w:val="0040472C"/>
    <w:rsid w:val="00405629"/>
    <w:rsid w:val="0040758A"/>
    <w:rsid w:val="004208B8"/>
    <w:rsid w:val="004235E9"/>
    <w:rsid w:val="00425AD7"/>
    <w:rsid w:val="00434C95"/>
    <w:rsid w:val="004435FB"/>
    <w:rsid w:val="00483E86"/>
    <w:rsid w:val="004A3FBE"/>
    <w:rsid w:val="004A729B"/>
    <w:rsid w:val="004D6D59"/>
    <w:rsid w:val="004E69DB"/>
    <w:rsid w:val="005044B5"/>
    <w:rsid w:val="00512165"/>
    <w:rsid w:val="005169FE"/>
    <w:rsid w:val="005250ED"/>
    <w:rsid w:val="00525438"/>
    <w:rsid w:val="00532A17"/>
    <w:rsid w:val="00541155"/>
    <w:rsid w:val="005531C4"/>
    <w:rsid w:val="00557158"/>
    <w:rsid w:val="00571F56"/>
    <w:rsid w:val="00572FEA"/>
    <w:rsid w:val="00573D70"/>
    <w:rsid w:val="00584BAA"/>
    <w:rsid w:val="0059725A"/>
    <w:rsid w:val="005B194C"/>
    <w:rsid w:val="005C55D7"/>
    <w:rsid w:val="005C6099"/>
    <w:rsid w:val="005D47E5"/>
    <w:rsid w:val="005E040F"/>
    <w:rsid w:val="005E2302"/>
    <w:rsid w:val="005E6C7E"/>
    <w:rsid w:val="005F2D75"/>
    <w:rsid w:val="005F332B"/>
    <w:rsid w:val="0060363F"/>
    <w:rsid w:val="00603F36"/>
    <w:rsid w:val="00620923"/>
    <w:rsid w:val="006649F5"/>
    <w:rsid w:val="00670338"/>
    <w:rsid w:val="00674577"/>
    <w:rsid w:val="00695E3E"/>
    <w:rsid w:val="00696C80"/>
    <w:rsid w:val="006C4514"/>
    <w:rsid w:val="006D533E"/>
    <w:rsid w:val="006D7D92"/>
    <w:rsid w:val="006E7B2E"/>
    <w:rsid w:val="006F0207"/>
    <w:rsid w:val="006F7318"/>
    <w:rsid w:val="00700DD7"/>
    <w:rsid w:val="007510B7"/>
    <w:rsid w:val="00757D1A"/>
    <w:rsid w:val="00774401"/>
    <w:rsid w:val="00775903"/>
    <w:rsid w:val="007A3D33"/>
    <w:rsid w:val="007C4987"/>
    <w:rsid w:val="007C60EA"/>
    <w:rsid w:val="007C69C8"/>
    <w:rsid w:val="007D34EC"/>
    <w:rsid w:val="008142E6"/>
    <w:rsid w:val="0084173C"/>
    <w:rsid w:val="00842094"/>
    <w:rsid w:val="008555BA"/>
    <w:rsid w:val="0086707E"/>
    <w:rsid w:val="00867C1C"/>
    <w:rsid w:val="00871B7E"/>
    <w:rsid w:val="008766F3"/>
    <w:rsid w:val="00880431"/>
    <w:rsid w:val="0088616A"/>
    <w:rsid w:val="008A5B93"/>
    <w:rsid w:val="008A7D84"/>
    <w:rsid w:val="008B55E6"/>
    <w:rsid w:val="008B5832"/>
    <w:rsid w:val="008C3D3D"/>
    <w:rsid w:val="008D0FD8"/>
    <w:rsid w:val="008D6C88"/>
    <w:rsid w:val="008E759E"/>
    <w:rsid w:val="008F172C"/>
    <w:rsid w:val="00910FBD"/>
    <w:rsid w:val="00914572"/>
    <w:rsid w:val="00917941"/>
    <w:rsid w:val="00927A54"/>
    <w:rsid w:val="00945E83"/>
    <w:rsid w:val="00947FCE"/>
    <w:rsid w:val="00955D40"/>
    <w:rsid w:val="00967409"/>
    <w:rsid w:val="00971607"/>
    <w:rsid w:val="009B2D82"/>
    <w:rsid w:val="009B46CA"/>
    <w:rsid w:val="009D512A"/>
    <w:rsid w:val="009E064F"/>
    <w:rsid w:val="009E6E9A"/>
    <w:rsid w:val="009F7369"/>
    <w:rsid w:val="00A01EFC"/>
    <w:rsid w:val="00A20314"/>
    <w:rsid w:val="00A533ED"/>
    <w:rsid w:val="00A53899"/>
    <w:rsid w:val="00A64410"/>
    <w:rsid w:val="00A72796"/>
    <w:rsid w:val="00A855AC"/>
    <w:rsid w:val="00A86237"/>
    <w:rsid w:val="00AB3590"/>
    <w:rsid w:val="00AB5FFD"/>
    <w:rsid w:val="00AC2BA7"/>
    <w:rsid w:val="00AD62DF"/>
    <w:rsid w:val="00B104AE"/>
    <w:rsid w:val="00B2760E"/>
    <w:rsid w:val="00B327BB"/>
    <w:rsid w:val="00B43134"/>
    <w:rsid w:val="00B45872"/>
    <w:rsid w:val="00B45D53"/>
    <w:rsid w:val="00B922DE"/>
    <w:rsid w:val="00B926E1"/>
    <w:rsid w:val="00B9303A"/>
    <w:rsid w:val="00BA02D7"/>
    <w:rsid w:val="00BA04C8"/>
    <w:rsid w:val="00BA26D8"/>
    <w:rsid w:val="00BB29C3"/>
    <w:rsid w:val="00BB5D46"/>
    <w:rsid w:val="00BC3E05"/>
    <w:rsid w:val="00BC566B"/>
    <w:rsid w:val="00BE3B8B"/>
    <w:rsid w:val="00C004CB"/>
    <w:rsid w:val="00C060DA"/>
    <w:rsid w:val="00C073DF"/>
    <w:rsid w:val="00C22CA3"/>
    <w:rsid w:val="00C410C0"/>
    <w:rsid w:val="00C42EAA"/>
    <w:rsid w:val="00C46BD0"/>
    <w:rsid w:val="00C54382"/>
    <w:rsid w:val="00C90F7D"/>
    <w:rsid w:val="00CB352B"/>
    <w:rsid w:val="00CD3CF9"/>
    <w:rsid w:val="00CE2139"/>
    <w:rsid w:val="00CE4E87"/>
    <w:rsid w:val="00CF0999"/>
    <w:rsid w:val="00D032A7"/>
    <w:rsid w:val="00D052F4"/>
    <w:rsid w:val="00D07250"/>
    <w:rsid w:val="00D10903"/>
    <w:rsid w:val="00D10E3C"/>
    <w:rsid w:val="00D11CDD"/>
    <w:rsid w:val="00D2379C"/>
    <w:rsid w:val="00D63101"/>
    <w:rsid w:val="00D6499E"/>
    <w:rsid w:val="00D87E9A"/>
    <w:rsid w:val="00D95864"/>
    <w:rsid w:val="00DA77A1"/>
    <w:rsid w:val="00DE6F9C"/>
    <w:rsid w:val="00E07246"/>
    <w:rsid w:val="00E12CF0"/>
    <w:rsid w:val="00E14B1E"/>
    <w:rsid w:val="00E2658C"/>
    <w:rsid w:val="00E3731D"/>
    <w:rsid w:val="00E46697"/>
    <w:rsid w:val="00E538BB"/>
    <w:rsid w:val="00E53C26"/>
    <w:rsid w:val="00E65507"/>
    <w:rsid w:val="00E71838"/>
    <w:rsid w:val="00E75B7D"/>
    <w:rsid w:val="00E84F61"/>
    <w:rsid w:val="00EB0ECC"/>
    <w:rsid w:val="00EB31A3"/>
    <w:rsid w:val="00EB462D"/>
    <w:rsid w:val="00EC69B7"/>
    <w:rsid w:val="00EE4B93"/>
    <w:rsid w:val="00EE7B03"/>
    <w:rsid w:val="00EF292A"/>
    <w:rsid w:val="00F11DF5"/>
    <w:rsid w:val="00F25D21"/>
    <w:rsid w:val="00F26F69"/>
    <w:rsid w:val="00F2745C"/>
    <w:rsid w:val="00F36DB0"/>
    <w:rsid w:val="00F45E24"/>
    <w:rsid w:val="00F5419F"/>
    <w:rsid w:val="00F548DD"/>
    <w:rsid w:val="00F6406D"/>
    <w:rsid w:val="00F66FE4"/>
    <w:rsid w:val="00F7160A"/>
    <w:rsid w:val="00F85109"/>
    <w:rsid w:val="00F92E17"/>
    <w:rsid w:val="00FC21B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661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C55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435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tooltip">
    <w:name w:val="tooltip"/>
    <w:basedOn w:val="DefaultParagraphFont"/>
    <w:rsid w:val="00357435"/>
  </w:style>
  <w:style w:type="character" w:styleId="Hyperlink">
    <w:name w:val="Hyperlink"/>
    <w:basedOn w:val="DefaultParagraphFont"/>
    <w:uiPriority w:val="99"/>
    <w:unhideWhenUsed/>
    <w:rsid w:val="008E759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D0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VRT@ecodev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ae0cd296-55d0-417d-93e3-30a04cec7f29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ED61B-DE09-4A7F-AAB6-0480DF984F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morin</dc:creator>
  <cp:lastModifiedBy>Angela M Hogan (DJPR)</cp:lastModifiedBy>
  <cp:revision>2</cp:revision>
  <cp:lastPrinted>2021-04-27T06:38:00Z</cp:lastPrinted>
  <dcterms:created xsi:type="dcterms:W3CDTF">2021-05-04T00:30:00Z</dcterms:created>
  <dcterms:modified xsi:type="dcterms:W3CDTF">2021-05-04T00:30:00Z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