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5202585" w:displacedByCustomXml="next"/>
    <w:sdt>
      <w:sdtPr>
        <w:rPr>
          <w:b w:val="0"/>
          <w:color w:val="auto"/>
          <w:sz w:val="20"/>
        </w:rPr>
        <w:id w:val="-730926708"/>
        <w:docPartObj>
          <w:docPartGallery w:val="Cover Pages"/>
          <w:docPartUnique/>
        </w:docPartObj>
      </w:sdtPr>
      <w:sdtContent>
        <w:sdt>
          <w:sdtPr>
            <w:alias w:val="Document title"/>
            <w:tag w:val="Document title"/>
            <w:id w:val="-649592522"/>
            <w:placeholder>
              <w:docPart w:val="EF4A8FC999A84BBA8BB5746588EC4BFE"/>
            </w:placeholder>
            <w:dataBinding w:xpath="/*[local-name()='root']/*[local-name()='DocumentTitle']" w:storeItemID="{8F33FB8F-8118-4915-86A8-F93B7C2B254E}"/>
            <w:text w:multiLine="1"/>
          </w:sdtPr>
          <w:sdtContent>
            <w:p w14:paraId="2ABF5378" w14:textId="704265B4" w:rsidR="00372B54" w:rsidRDefault="00E2694E" w:rsidP="003D4A8B">
              <w:pPr>
                <w:pStyle w:val="CoverHeading"/>
              </w:pPr>
              <w:r>
                <w:t>Audit of timber harvesting operations in Victoria’s State forests: R</w:t>
              </w:r>
              <w:r w:rsidR="00492A74">
                <w:t>eport</w:t>
              </w:r>
              <w:r>
                <w:t xml:space="preserve"> of the 2022 Forest Audit Program</w:t>
              </w:r>
            </w:p>
          </w:sdtContent>
        </w:sdt>
        <w:p w14:paraId="08F1E73B" w14:textId="426FEA5A" w:rsidR="00372B54" w:rsidRDefault="00372B54" w:rsidP="003D4A8B">
          <w:pPr>
            <w:pStyle w:val="CoverInformation"/>
          </w:pPr>
          <w:bookmarkStart w:id="1" w:name="_Hlk50495291"/>
          <w:bookmarkEnd w:id="0"/>
          <w:r>
            <w:t xml:space="preserve">Document no: </w:t>
          </w:r>
          <w:sdt>
            <w:sdtPr>
              <w:alias w:val="Document number"/>
              <w:id w:val="-1351954336"/>
              <w:placeholder>
                <w:docPart w:val="17B432AC0C234E4683B25B853A942241"/>
              </w:placeholder>
              <w:dataBinding w:xpath="/*[local-name()='root']/*[local-name()='DocumentNumber']" w:storeItemID="{8F33FB8F-8118-4915-86A8-F93B7C2B254E}"/>
              <w:text/>
            </w:sdtPr>
            <w:sdtContent>
              <w:r w:rsidR="00492A74">
                <w:t>IS427600-03</w:t>
              </w:r>
            </w:sdtContent>
          </w:sdt>
          <w:bookmarkEnd w:id="1"/>
          <w:r>
            <w:br/>
            <w:t xml:space="preserve">Revision no: </w:t>
          </w:r>
          <w:sdt>
            <w:sdtPr>
              <w:alias w:val="Revision number"/>
              <w:tag w:val="Revision number"/>
              <w:id w:val="1252776559"/>
              <w:placeholder>
                <w:docPart w:val="23B335CD94884090BFB5B71AE90B770A"/>
              </w:placeholder>
              <w:dataBinding w:xpath="/*[local-name()='root']/*[local-name()='RevisionNumber']" w:storeItemID="{8F33FB8F-8118-4915-86A8-F93B7C2B254E}"/>
              <w:text/>
            </w:sdtPr>
            <w:sdtContent>
              <w:r w:rsidR="00A377C3">
                <w:t>B.1</w:t>
              </w:r>
            </w:sdtContent>
          </w:sdt>
        </w:p>
        <w:sdt>
          <w:sdtPr>
            <w:alias w:val="Client name"/>
            <w:tag w:val="Client name"/>
            <w:id w:val="1125356160"/>
            <w:placeholder>
              <w:docPart w:val="9FA9B2D5B45E4451B2245AB9F24DB866"/>
            </w:placeholder>
            <w:dataBinding w:xpath="/*[local-name()='root']/*[local-name()='ClientName']" w:storeItemID="{8F33FB8F-8118-4915-86A8-F93B7C2B254E}"/>
            <w:text/>
          </w:sdtPr>
          <w:sdtContent>
            <w:p w14:paraId="43408498" w14:textId="568459C8" w:rsidR="005516D1" w:rsidRDefault="004B2792" w:rsidP="003D4A8B">
              <w:pPr>
                <w:pStyle w:val="CoverInformationBold"/>
              </w:pPr>
              <w:r>
                <w:t>Department of Energy, Environment and Climate Action</w:t>
              </w:r>
            </w:p>
          </w:sdtContent>
        </w:sdt>
        <w:sdt>
          <w:sdtPr>
            <w:alias w:val="Client reference"/>
            <w:tag w:val="Client reference"/>
            <w:id w:val="-1898587030"/>
            <w:placeholder>
              <w:docPart w:val="28733E217D4C4E25BCA86C5ADA8003DC"/>
            </w:placeholder>
            <w:dataBinding w:xpath="/*[local-name()='root']/*[local-name()='ClientReference']" w:storeItemID="{8F33FB8F-8118-4915-86A8-F93B7C2B254E}"/>
            <w:text/>
          </w:sdtPr>
          <w:sdtContent>
            <w:p w14:paraId="1D2BA3F9" w14:textId="77777777" w:rsidR="00372B54" w:rsidRDefault="00492A74" w:rsidP="003D4A8B">
              <w:pPr>
                <w:pStyle w:val="CoverInformation"/>
                <w:tabs>
                  <w:tab w:val="left" w:pos="5783"/>
                </w:tabs>
              </w:pPr>
              <w:r>
                <w:t>CMS104990</w:t>
              </w:r>
            </w:p>
          </w:sdtContent>
        </w:sdt>
        <w:sdt>
          <w:sdtPr>
            <w:alias w:val="Project name"/>
            <w:tag w:val="Project name"/>
            <w:id w:val="-1280945525"/>
            <w:placeholder>
              <w:docPart w:val="876BDE493F6E43A680FD86C36CE348FC"/>
            </w:placeholder>
            <w:dataBinding w:xpath="/*[local-name()='root']/*[local-name()='ProjectName']" w:storeItemID="{8F33FB8F-8118-4915-86A8-F93B7C2B254E}"/>
            <w:text/>
          </w:sdtPr>
          <w:sdtContent>
            <w:p w14:paraId="2E3E3863" w14:textId="77777777" w:rsidR="00372B54" w:rsidRDefault="00492A74" w:rsidP="003D4A8B">
              <w:pPr>
                <w:pStyle w:val="CoverInformationBold"/>
              </w:pPr>
              <w:r>
                <w:t>Forest Audit Program 2022</w:t>
              </w:r>
            </w:p>
          </w:sdtContent>
        </w:sdt>
        <w:p w14:paraId="2405F8E5" w14:textId="71A4A110" w:rsidR="00372B54" w:rsidRPr="002667C9" w:rsidRDefault="00372B54" w:rsidP="003D4A8B">
          <w:pPr>
            <w:pStyle w:val="CoverInformation"/>
            <w:contextualSpacing w:val="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7D55" w:themeFill="accent1"/>
            <w:tblLook w:val="04A0" w:firstRow="1" w:lastRow="0" w:firstColumn="1" w:lastColumn="0" w:noHBand="0" w:noVBand="1"/>
          </w:tblPr>
          <w:tblGrid>
            <w:gridCol w:w="241"/>
            <w:gridCol w:w="468"/>
            <w:gridCol w:w="7371"/>
            <w:gridCol w:w="579"/>
            <w:gridCol w:w="367"/>
          </w:tblGrid>
          <w:tr w:rsidR="006A07A2" w14:paraId="1FA5CCA1" w14:textId="77777777" w:rsidTr="00C31A7B">
            <w:trPr>
              <w:trHeight w:hRule="exact" w:val="5584"/>
            </w:trPr>
            <w:tc>
              <w:tcPr>
                <w:tcW w:w="241" w:type="dxa"/>
                <w:shd w:val="clear" w:color="auto" w:fill="007D55" w:themeFill="accent1"/>
              </w:tcPr>
              <w:p w14:paraId="142A353F" w14:textId="14D915F2" w:rsidR="004F3A07" w:rsidRDefault="006A07A2" w:rsidP="003D4A8B">
                <w:pPr>
                  <w:pStyle w:val="CoverInformation"/>
                </w:pPr>
                <w:bookmarkStart w:id="2" w:name="CoverPage"/>
                <w:bookmarkEnd w:id="2"/>
                <w:r>
                  <w:rPr>
                    <w:noProof/>
                  </w:rPr>
                  <w:drawing>
                    <wp:anchor distT="0" distB="0" distL="114300" distR="114300" simplePos="0" relativeHeight="251660800" behindDoc="0" locked="0" layoutInCell="1" allowOverlap="1" wp14:anchorId="0921B599" wp14:editId="35388E2E">
                      <wp:simplePos x="0" y="0"/>
                      <wp:positionH relativeFrom="column">
                        <wp:posOffset>-10795</wp:posOffset>
                      </wp:positionH>
                      <wp:positionV relativeFrom="paragraph">
                        <wp:posOffset>109220</wp:posOffset>
                      </wp:positionV>
                      <wp:extent cx="5616575" cy="3343275"/>
                      <wp:effectExtent l="0" t="0" r="3175"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6575" cy="3343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8" w:type="dxa"/>
                <w:shd w:val="clear" w:color="auto" w:fill="007D55" w:themeFill="accent1"/>
              </w:tcPr>
              <w:p w14:paraId="32497360" w14:textId="41118465" w:rsidR="004F3A07" w:rsidRDefault="004F3A07" w:rsidP="003D4A8B">
                <w:pPr>
                  <w:pStyle w:val="CoverInformation"/>
                  <w:rPr>
                    <w:noProof/>
                  </w:rPr>
                </w:pPr>
              </w:p>
            </w:tc>
            <w:tc>
              <w:tcPr>
                <w:tcW w:w="7371" w:type="dxa"/>
                <w:shd w:val="clear" w:color="auto" w:fill="007D55" w:themeFill="accent1"/>
              </w:tcPr>
              <w:p w14:paraId="46DBFA46" w14:textId="21D14681" w:rsidR="004F3A07" w:rsidRDefault="004F3A07" w:rsidP="003D4A8B">
                <w:pPr>
                  <w:pStyle w:val="CoverInformation"/>
                  <w:rPr>
                    <w:noProof/>
                  </w:rPr>
                </w:pPr>
              </w:p>
            </w:tc>
            <w:tc>
              <w:tcPr>
                <w:tcW w:w="579" w:type="dxa"/>
                <w:shd w:val="clear" w:color="auto" w:fill="007D55" w:themeFill="accent1"/>
              </w:tcPr>
              <w:p w14:paraId="001D2574" w14:textId="77777777" w:rsidR="004F3A07" w:rsidRDefault="004F3A07" w:rsidP="003D4A8B">
                <w:pPr>
                  <w:pStyle w:val="CoverInformation"/>
                </w:pPr>
              </w:p>
            </w:tc>
            <w:tc>
              <w:tcPr>
                <w:tcW w:w="367" w:type="dxa"/>
                <w:shd w:val="clear" w:color="auto" w:fill="007D55" w:themeFill="accent1"/>
              </w:tcPr>
              <w:p w14:paraId="79327455" w14:textId="77777777" w:rsidR="004F3A07" w:rsidRDefault="004F3A07" w:rsidP="003D4A8B">
                <w:pPr>
                  <w:pStyle w:val="CoverInformation"/>
                </w:pPr>
              </w:p>
            </w:tc>
          </w:tr>
        </w:tbl>
        <w:p w14:paraId="36A805FE" w14:textId="77777777" w:rsidR="00372B54" w:rsidRDefault="00000000" w:rsidP="00C21589">
          <w:pPr>
            <w:tabs>
              <w:tab w:val="left" w:pos="2171"/>
            </w:tabs>
            <w:sectPr w:rsidR="00372B54" w:rsidSect="00ED5407">
              <w:headerReference w:type="even" r:id="rId22"/>
              <w:headerReference w:type="default" r:id="rId23"/>
              <w:footerReference w:type="even" r:id="rId24"/>
              <w:footerReference w:type="default" r:id="rId25"/>
              <w:headerReference w:type="first" r:id="rId26"/>
              <w:footerReference w:type="first" r:id="rId27"/>
              <w:pgSz w:w="11906" w:h="16838" w:code="9"/>
              <w:pgMar w:top="2302" w:right="1440" w:bottom="567" w:left="1440" w:header="936" w:footer="0" w:gutter="0"/>
              <w:pgNumType w:start="1"/>
              <w:cols w:space="720"/>
              <w:titlePg/>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3" w:type="dxa"/>
          <w:right w:w="0" w:type="dxa"/>
        </w:tblCellMar>
        <w:tblLook w:val="04A0" w:firstRow="1" w:lastRow="0" w:firstColumn="1" w:lastColumn="0" w:noHBand="0" w:noVBand="1"/>
        <w:tblCaption w:val="Flysheet table"/>
      </w:tblPr>
      <w:tblGrid>
        <w:gridCol w:w="1498"/>
        <w:gridCol w:w="3024"/>
        <w:gridCol w:w="1497"/>
        <w:gridCol w:w="3007"/>
      </w:tblGrid>
      <w:tr w:rsidR="005E43B2" w14:paraId="3CFFECAA" w14:textId="77777777" w:rsidTr="003D4A8B">
        <w:trPr>
          <w:trHeight w:val="735"/>
        </w:trPr>
        <w:sdt>
          <w:sdtPr>
            <w:alias w:val="Document title"/>
            <w:tag w:val="Document title"/>
            <w:id w:val="-483083624"/>
            <w:placeholder>
              <w:docPart w:val="F99C3D2337C24EC4A5B913FCCEFA286C"/>
            </w:placeholder>
            <w:dataBinding w:xpath="/*[local-name()='root']/*[local-name()='DocumentTitle']" w:storeItemID="{8F33FB8F-8118-4915-86A8-F93B7C2B254E}"/>
            <w:text/>
          </w:sdtPr>
          <w:sdtContent>
            <w:tc>
              <w:tcPr>
                <w:tcW w:w="9026" w:type="dxa"/>
                <w:gridSpan w:val="4"/>
                <w:tcMar>
                  <w:top w:w="0" w:type="dxa"/>
                  <w:left w:w="0" w:type="dxa"/>
                  <w:bottom w:w="0" w:type="dxa"/>
                  <w:right w:w="0" w:type="dxa"/>
                </w:tcMar>
                <w:hideMark/>
              </w:tcPr>
              <w:p w14:paraId="66FAC261" w14:textId="6A5FE5D4" w:rsidR="005E43B2" w:rsidRDefault="00E2694E" w:rsidP="003D4A8B">
                <w:pPr>
                  <w:pStyle w:val="DocumentSubject"/>
                </w:pPr>
                <w:r>
                  <w:t>Audit of timber harvesting operations in Victoria’s State forests: Report of the 2022 Forest Audit Program</w:t>
                </w:r>
              </w:p>
            </w:tc>
          </w:sdtContent>
        </w:sdt>
      </w:tr>
      <w:tr w:rsidR="005E43B2" w14:paraId="4161572B" w14:textId="77777777" w:rsidTr="003D4A8B">
        <w:tc>
          <w:tcPr>
            <w:tcW w:w="1498" w:type="dxa"/>
            <w:tcMar>
              <w:top w:w="29" w:type="dxa"/>
              <w:left w:w="0" w:type="dxa"/>
              <w:bottom w:w="29" w:type="dxa"/>
              <w:right w:w="0" w:type="dxa"/>
            </w:tcMar>
          </w:tcPr>
          <w:p w14:paraId="4126FF0A" w14:textId="77777777" w:rsidR="005E43B2" w:rsidRDefault="005E43B2" w:rsidP="003D4A8B">
            <w:pPr>
              <w:pStyle w:val="TableTextBold"/>
            </w:pPr>
            <w:r>
              <w:t>Client name:</w:t>
            </w:r>
          </w:p>
        </w:tc>
        <w:tc>
          <w:tcPr>
            <w:tcW w:w="7528" w:type="dxa"/>
            <w:gridSpan w:val="3"/>
            <w:tcMar>
              <w:top w:w="29" w:type="dxa"/>
              <w:left w:w="0" w:type="dxa"/>
              <w:bottom w:w="29" w:type="dxa"/>
              <w:right w:w="0" w:type="dxa"/>
            </w:tcMar>
          </w:tcPr>
          <w:sdt>
            <w:sdtPr>
              <w:alias w:val="Client name"/>
              <w:tag w:val="Client name"/>
              <w:id w:val="-365833201"/>
              <w:placeholder>
                <w:docPart w:val="DD39FE8D532243399D2D365E1DDFA408"/>
              </w:placeholder>
              <w:dataBinding w:xpath="/*[local-name()='root']/*[local-name()='ClientName']" w:storeItemID="{8F33FB8F-8118-4915-86A8-F93B7C2B254E}"/>
              <w:text/>
            </w:sdtPr>
            <w:sdtContent>
              <w:p w14:paraId="1012EED7" w14:textId="2448BA3A" w:rsidR="005E43B2" w:rsidRDefault="004B2792" w:rsidP="003D4A8B">
                <w:pPr>
                  <w:pStyle w:val="TableText"/>
                  <w:ind w:right="-6"/>
                </w:pPr>
                <w:r>
                  <w:t>Department of Energy, Environment and Climate Action</w:t>
                </w:r>
              </w:p>
            </w:sdtContent>
          </w:sdt>
        </w:tc>
      </w:tr>
      <w:tr w:rsidR="005E43B2" w14:paraId="50AFFF53" w14:textId="77777777" w:rsidTr="003D4A8B">
        <w:tc>
          <w:tcPr>
            <w:tcW w:w="1498" w:type="dxa"/>
            <w:tcMar>
              <w:top w:w="29" w:type="dxa"/>
              <w:left w:w="0" w:type="dxa"/>
              <w:bottom w:w="29" w:type="dxa"/>
              <w:right w:w="0" w:type="dxa"/>
            </w:tcMar>
          </w:tcPr>
          <w:p w14:paraId="4E59D4C7" w14:textId="77777777" w:rsidR="005E43B2" w:rsidRDefault="005E43B2" w:rsidP="003D4A8B">
            <w:pPr>
              <w:pStyle w:val="TableTextBold"/>
            </w:pPr>
            <w:r>
              <w:t>Project name:</w:t>
            </w:r>
          </w:p>
        </w:tc>
        <w:sdt>
          <w:sdtPr>
            <w:alias w:val="Project name"/>
            <w:tag w:val="Project name"/>
            <w:id w:val="734510314"/>
            <w:placeholder>
              <w:docPart w:val="BC295E406A064E009BA16646C3181291"/>
            </w:placeholder>
            <w:dataBinding w:xpath="/*[local-name()='root']/*[local-name()='ProjectName']" w:storeItemID="{8F33FB8F-8118-4915-86A8-F93B7C2B254E}"/>
            <w:text/>
          </w:sdtPr>
          <w:sdtContent>
            <w:tc>
              <w:tcPr>
                <w:tcW w:w="7528" w:type="dxa"/>
                <w:gridSpan w:val="3"/>
                <w:tcMar>
                  <w:top w:w="29" w:type="dxa"/>
                  <w:left w:w="0" w:type="dxa"/>
                  <w:bottom w:w="29" w:type="dxa"/>
                  <w:right w:w="0" w:type="dxa"/>
                </w:tcMar>
              </w:tcPr>
              <w:p w14:paraId="6744AD0F" w14:textId="77777777" w:rsidR="005E43B2" w:rsidRDefault="00492A74" w:rsidP="003D4A8B">
                <w:pPr>
                  <w:pStyle w:val="TableText"/>
                  <w:ind w:right="-6"/>
                </w:pPr>
                <w:r>
                  <w:t>Forest Audit Program 2022</w:t>
                </w:r>
              </w:p>
            </w:tc>
          </w:sdtContent>
        </w:sdt>
      </w:tr>
      <w:tr w:rsidR="005E43B2" w14:paraId="73FB153B" w14:textId="77777777" w:rsidTr="003D4A8B">
        <w:tc>
          <w:tcPr>
            <w:tcW w:w="1498" w:type="dxa"/>
            <w:tcMar>
              <w:top w:w="29" w:type="dxa"/>
              <w:left w:w="0" w:type="dxa"/>
              <w:bottom w:w="29" w:type="dxa"/>
              <w:right w:w="0" w:type="dxa"/>
            </w:tcMar>
          </w:tcPr>
          <w:p w14:paraId="0AE2FC0E" w14:textId="77777777" w:rsidR="005E43B2" w:rsidRDefault="005E43B2" w:rsidP="003D4A8B">
            <w:pPr>
              <w:pStyle w:val="TableTextBold"/>
            </w:pPr>
            <w:r>
              <w:t>Client reference:</w:t>
            </w:r>
          </w:p>
        </w:tc>
        <w:tc>
          <w:tcPr>
            <w:tcW w:w="3024" w:type="dxa"/>
            <w:tcMar>
              <w:top w:w="29" w:type="dxa"/>
              <w:left w:w="0" w:type="dxa"/>
              <w:bottom w:w="29" w:type="dxa"/>
              <w:right w:w="0" w:type="dxa"/>
            </w:tcMar>
          </w:tcPr>
          <w:sdt>
            <w:sdtPr>
              <w:alias w:val="Client reference"/>
              <w:tag w:val="Client reference"/>
              <w:id w:val="1751770906"/>
              <w:placeholder>
                <w:docPart w:val="82C4EF17BE57486EA1F71D71A47CC3C3"/>
              </w:placeholder>
              <w:dataBinding w:xpath="/*[local-name()='root']/*[local-name()='ClientReference']" w:storeItemID="{8F33FB8F-8118-4915-86A8-F93B7C2B254E}"/>
              <w:text/>
            </w:sdtPr>
            <w:sdtContent>
              <w:p w14:paraId="40EC63F3" w14:textId="77777777" w:rsidR="005E43B2" w:rsidRDefault="00492A74" w:rsidP="003D4A8B">
                <w:pPr>
                  <w:pStyle w:val="TableText"/>
                </w:pPr>
                <w:r>
                  <w:t>CMS104990</w:t>
                </w:r>
              </w:p>
            </w:sdtContent>
          </w:sdt>
        </w:tc>
        <w:tc>
          <w:tcPr>
            <w:tcW w:w="1497" w:type="dxa"/>
            <w:tcMar>
              <w:top w:w="29" w:type="dxa"/>
              <w:left w:w="0" w:type="dxa"/>
              <w:bottom w:w="29" w:type="dxa"/>
              <w:right w:w="0" w:type="dxa"/>
            </w:tcMar>
            <w:hideMark/>
          </w:tcPr>
          <w:p w14:paraId="47C34A54" w14:textId="77777777" w:rsidR="005E43B2" w:rsidRDefault="005E43B2" w:rsidP="003D4A8B">
            <w:pPr>
              <w:pStyle w:val="TableTextBold"/>
            </w:pPr>
            <w:r>
              <w:t>Project no:</w:t>
            </w:r>
          </w:p>
        </w:tc>
        <w:tc>
          <w:tcPr>
            <w:tcW w:w="3007" w:type="dxa"/>
            <w:tcMar>
              <w:top w:w="29" w:type="dxa"/>
              <w:left w:w="0" w:type="dxa"/>
              <w:bottom w:w="29" w:type="dxa"/>
              <w:right w:w="0" w:type="dxa"/>
            </w:tcMar>
          </w:tcPr>
          <w:sdt>
            <w:sdtPr>
              <w:alias w:val="Project number"/>
              <w:tag w:val="Project number"/>
              <w:id w:val="1709449970"/>
              <w:placeholder>
                <w:docPart w:val="E6C13A9527B540639834F934589FA99C"/>
              </w:placeholder>
              <w:dataBinding w:xpath="/*[local-name()='root']/*[local-name()='ProjectNumber']" w:storeItemID="{8F33FB8F-8118-4915-86A8-F93B7C2B254E}"/>
              <w:text/>
            </w:sdtPr>
            <w:sdtContent>
              <w:p w14:paraId="2A074552" w14:textId="77777777" w:rsidR="005E43B2" w:rsidRDefault="00492A74" w:rsidP="003D4A8B">
                <w:pPr>
                  <w:pStyle w:val="TableText"/>
                  <w:ind w:right="-6"/>
                </w:pPr>
                <w:r>
                  <w:t>IS427600</w:t>
                </w:r>
              </w:p>
            </w:sdtContent>
          </w:sdt>
        </w:tc>
      </w:tr>
      <w:tr w:rsidR="005E43B2" w14:paraId="655F30C1" w14:textId="77777777" w:rsidTr="003D4A8B">
        <w:tc>
          <w:tcPr>
            <w:tcW w:w="1498" w:type="dxa"/>
            <w:tcMar>
              <w:top w:w="29" w:type="dxa"/>
              <w:left w:w="0" w:type="dxa"/>
              <w:bottom w:w="29" w:type="dxa"/>
              <w:right w:w="0" w:type="dxa"/>
            </w:tcMar>
            <w:hideMark/>
          </w:tcPr>
          <w:p w14:paraId="026A6C5A" w14:textId="77777777" w:rsidR="005E43B2" w:rsidRDefault="005E43B2" w:rsidP="003D4A8B">
            <w:pPr>
              <w:pStyle w:val="TableTextBold"/>
            </w:pPr>
            <w:r>
              <w:t>Document no:</w:t>
            </w:r>
          </w:p>
        </w:tc>
        <w:tc>
          <w:tcPr>
            <w:tcW w:w="3024" w:type="dxa"/>
            <w:tcMar>
              <w:top w:w="29" w:type="dxa"/>
              <w:left w:w="0" w:type="dxa"/>
              <w:bottom w:w="29" w:type="dxa"/>
              <w:right w:w="0" w:type="dxa"/>
            </w:tcMar>
            <w:hideMark/>
          </w:tcPr>
          <w:sdt>
            <w:sdtPr>
              <w:alias w:val="Document number"/>
              <w:tag w:val="Document number"/>
              <w:id w:val="-1966114682"/>
              <w:placeholder>
                <w:docPart w:val="11424591A18143649E9D36957C5940E5"/>
              </w:placeholder>
              <w:dataBinding w:xpath="/*[local-name()='root']/*[local-name()='DocumentNumber']" w:storeItemID="{8F33FB8F-8118-4915-86A8-F93B7C2B254E}"/>
              <w:text/>
            </w:sdtPr>
            <w:sdtContent>
              <w:p w14:paraId="47CB6C2C" w14:textId="77777777" w:rsidR="005E43B2" w:rsidRDefault="00492A74" w:rsidP="003D4A8B">
                <w:pPr>
                  <w:pStyle w:val="TableText"/>
                </w:pPr>
                <w:r>
                  <w:t>IS427600-03</w:t>
                </w:r>
              </w:p>
            </w:sdtContent>
          </w:sdt>
        </w:tc>
        <w:tc>
          <w:tcPr>
            <w:tcW w:w="1497" w:type="dxa"/>
            <w:tcMar>
              <w:top w:w="29" w:type="dxa"/>
              <w:left w:w="0" w:type="dxa"/>
              <w:bottom w:w="29" w:type="dxa"/>
              <w:right w:w="0" w:type="dxa"/>
            </w:tcMar>
            <w:hideMark/>
          </w:tcPr>
          <w:p w14:paraId="6201A5A8" w14:textId="77777777" w:rsidR="005E43B2" w:rsidRDefault="005E43B2" w:rsidP="003D4A8B">
            <w:pPr>
              <w:pStyle w:val="TableTextBold"/>
            </w:pPr>
            <w:r>
              <w:t>Project manager:</w:t>
            </w:r>
          </w:p>
        </w:tc>
        <w:tc>
          <w:tcPr>
            <w:tcW w:w="3007" w:type="dxa"/>
            <w:tcMar>
              <w:top w:w="29" w:type="dxa"/>
              <w:left w:w="0" w:type="dxa"/>
              <w:bottom w:w="29" w:type="dxa"/>
              <w:right w:w="0" w:type="dxa"/>
            </w:tcMar>
            <w:hideMark/>
          </w:tcPr>
          <w:sdt>
            <w:sdtPr>
              <w:alias w:val="Project manager"/>
              <w:tag w:val="Project manager"/>
              <w:id w:val="283768701"/>
              <w:placeholder>
                <w:docPart w:val="A625B2D49F4347AAB88AE11AAB852A04"/>
              </w:placeholder>
              <w:showingPlcHdr/>
              <w:dataBinding w:xpath="/*[local-name()='root']/*[local-name()='ProjectManager']/*[local-name()='FullName']" w:storeItemID="{8F33FB8F-8118-4915-86A8-F93B7C2B254E}"/>
              <w:text/>
            </w:sdtPr>
            <w:sdtContent>
              <w:p w14:paraId="743D0E6C" w14:textId="18311037" w:rsidR="005E43B2" w:rsidRDefault="00652047" w:rsidP="003D4A8B">
                <w:pPr>
                  <w:pStyle w:val="TableText"/>
                </w:pPr>
                <w:r>
                  <w:rPr>
                    <w:rStyle w:val="PlaceholderText"/>
                  </w:rPr>
                  <w:t>[Project manager]</w:t>
                </w:r>
              </w:p>
            </w:sdtContent>
          </w:sdt>
        </w:tc>
      </w:tr>
      <w:tr w:rsidR="005E43B2" w14:paraId="480E32E2" w14:textId="77777777" w:rsidTr="003D4A8B">
        <w:tc>
          <w:tcPr>
            <w:tcW w:w="1498" w:type="dxa"/>
            <w:tcMar>
              <w:top w:w="29" w:type="dxa"/>
              <w:left w:w="0" w:type="dxa"/>
              <w:bottom w:w="29" w:type="dxa"/>
              <w:right w:w="0" w:type="dxa"/>
            </w:tcMar>
            <w:hideMark/>
          </w:tcPr>
          <w:p w14:paraId="0FDE4F22" w14:textId="77777777" w:rsidR="005E43B2" w:rsidRDefault="005E43B2" w:rsidP="003D4A8B">
            <w:pPr>
              <w:pStyle w:val="TableTextBold"/>
            </w:pPr>
            <w:r>
              <w:t>Revision no:</w:t>
            </w:r>
          </w:p>
        </w:tc>
        <w:tc>
          <w:tcPr>
            <w:tcW w:w="3024" w:type="dxa"/>
            <w:tcMar>
              <w:top w:w="29" w:type="dxa"/>
              <w:left w:w="0" w:type="dxa"/>
              <w:bottom w:w="29" w:type="dxa"/>
              <w:right w:w="0" w:type="dxa"/>
            </w:tcMar>
            <w:hideMark/>
          </w:tcPr>
          <w:sdt>
            <w:sdtPr>
              <w:alias w:val="Revision number"/>
              <w:tag w:val="Revision"/>
              <w:id w:val="664976577"/>
              <w:placeholder>
                <w:docPart w:val="2F408117E8F846128C6E933CDD2EC6F9"/>
              </w:placeholder>
              <w:dataBinding w:xpath="/*[local-name()='root']/*[local-name()='RevisionNumber']" w:storeItemID="{8F33FB8F-8118-4915-86A8-F93B7C2B254E}"/>
              <w:text/>
            </w:sdtPr>
            <w:sdtContent>
              <w:p w14:paraId="5E8E77DC" w14:textId="3C25B0CC" w:rsidR="005E43B2" w:rsidRDefault="00A377C3" w:rsidP="003D4A8B">
                <w:pPr>
                  <w:pStyle w:val="TableText"/>
                </w:pPr>
                <w:r>
                  <w:t>B.1</w:t>
                </w:r>
              </w:p>
            </w:sdtContent>
          </w:sdt>
        </w:tc>
        <w:tc>
          <w:tcPr>
            <w:tcW w:w="1497" w:type="dxa"/>
            <w:tcMar>
              <w:top w:w="29" w:type="dxa"/>
              <w:left w:w="0" w:type="dxa"/>
              <w:bottom w:w="29" w:type="dxa"/>
              <w:right w:w="0" w:type="dxa"/>
            </w:tcMar>
            <w:hideMark/>
          </w:tcPr>
          <w:p w14:paraId="1A9908B8" w14:textId="77777777" w:rsidR="005E43B2" w:rsidRDefault="005E43B2" w:rsidP="003D4A8B">
            <w:pPr>
              <w:pStyle w:val="TableTextBold"/>
            </w:pPr>
            <w:r>
              <w:t>Prepared by:</w:t>
            </w:r>
          </w:p>
        </w:tc>
        <w:tc>
          <w:tcPr>
            <w:tcW w:w="3007" w:type="dxa"/>
            <w:tcMar>
              <w:top w:w="29" w:type="dxa"/>
              <w:left w:w="0" w:type="dxa"/>
              <w:bottom w:w="29" w:type="dxa"/>
              <w:right w:w="0" w:type="dxa"/>
            </w:tcMar>
            <w:hideMark/>
          </w:tcPr>
          <w:sdt>
            <w:sdtPr>
              <w:alias w:val="Prepared by"/>
              <w:tag w:val="Prepared by"/>
              <w:id w:val="-962106934"/>
              <w:placeholder>
                <w:docPart w:val="C4E685C9557545E5BB9E73D8B81952CD"/>
              </w:placeholder>
              <w:showingPlcHdr/>
              <w:dataBinding w:xpath="/*[local-name()='root']/*[local-name()='Sender']/*[local-name()='FullName']" w:storeItemID="{8F33FB8F-8118-4915-86A8-F93B7C2B254E}"/>
              <w:text/>
            </w:sdtPr>
            <w:sdtContent>
              <w:p w14:paraId="7BF02D7E" w14:textId="06D1EBB6" w:rsidR="005E43B2" w:rsidRDefault="00652047" w:rsidP="003D4A8B">
                <w:pPr>
                  <w:pStyle w:val="TableText"/>
                </w:pPr>
                <w:r>
                  <w:rPr>
                    <w:rStyle w:val="PlaceholderText"/>
                  </w:rPr>
                  <w:t>[Prepared by]</w:t>
                </w:r>
              </w:p>
            </w:sdtContent>
          </w:sdt>
        </w:tc>
      </w:tr>
      <w:tr w:rsidR="005E43B2" w14:paraId="1140C3ED" w14:textId="77777777" w:rsidTr="003D4A8B">
        <w:tc>
          <w:tcPr>
            <w:tcW w:w="1498" w:type="dxa"/>
            <w:tcMar>
              <w:top w:w="29" w:type="dxa"/>
              <w:left w:w="0" w:type="dxa"/>
              <w:bottom w:w="29" w:type="dxa"/>
              <w:right w:w="0" w:type="dxa"/>
            </w:tcMar>
            <w:hideMark/>
          </w:tcPr>
          <w:p w14:paraId="63C2E888" w14:textId="77777777" w:rsidR="005E43B2" w:rsidRDefault="005E43B2" w:rsidP="003D4A8B">
            <w:pPr>
              <w:pStyle w:val="TableTextBold"/>
            </w:pPr>
            <w:r>
              <w:t>Date</w:t>
            </w:r>
            <w:r>
              <w:rPr>
                <w:bCs/>
              </w:rPr>
              <w:t>:</w:t>
            </w:r>
          </w:p>
        </w:tc>
        <w:tc>
          <w:tcPr>
            <w:tcW w:w="3024" w:type="dxa"/>
            <w:tcMar>
              <w:top w:w="29" w:type="dxa"/>
              <w:left w:w="0" w:type="dxa"/>
              <w:bottom w:w="29" w:type="dxa"/>
              <w:right w:w="0" w:type="dxa"/>
            </w:tcMar>
            <w:hideMark/>
          </w:tcPr>
          <w:p w14:paraId="475FA0D8" w14:textId="273E999B" w:rsidR="005E43B2" w:rsidRDefault="00C93C06" w:rsidP="003D4A8B">
            <w:pPr>
              <w:pStyle w:val="TableText"/>
            </w:pPr>
            <w:r>
              <w:t>31/3/2023</w:t>
            </w:r>
          </w:p>
        </w:tc>
        <w:tc>
          <w:tcPr>
            <w:tcW w:w="1497" w:type="dxa"/>
            <w:tcMar>
              <w:top w:w="29" w:type="dxa"/>
              <w:left w:w="0" w:type="dxa"/>
              <w:bottom w:w="29" w:type="dxa"/>
              <w:right w:w="0" w:type="dxa"/>
            </w:tcMar>
            <w:hideMark/>
          </w:tcPr>
          <w:p w14:paraId="3AAA467A" w14:textId="77777777" w:rsidR="005E43B2" w:rsidRDefault="005E43B2" w:rsidP="003D4A8B">
            <w:pPr>
              <w:pStyle w:val="TableTextBold"/>
            </w:pPr>
            <w:r>
              <w:t>File name:</w:t>
            </w:r>
          </w:p>
        </w:tc>
        <w:tc>
          <w:tcPr>
            <w:tcW w:w="3007" w:type="dxa"/>
            <w:tcMar>
              <w:top w:w="29" w:type="dxa"/>
              <w:left w:w="0" w:type="dxa"/>
              <w:bottom w:w="29" w:type="dxa"/>
              <w:right w:w="0" w:type="dxa"/>
            </w:tcMar>
            <w:hideMark/>
          </w:tcPr>
          <w:p w14:paraId="315E7F27" w14:textId="3EB99313" w:rsidR="005E43B2" w:rsidRDefault="00000000" w:rsidP="003D4A8B">
            <w:pPr>
              <w:pStyle w:val="TableText"/>
            </w:pPr>
            <w:fldSimple w:instr="FILENAME   \* MERGEFORMAT">
              <w:r w:rsidR="00130DCF">
                <w:rPr>
                  <w:noProof/>
                </w:rPr>
                <w:t>is427600-03 forest audit program 2022-revB.1_clean</w:t>
              </w:r>
            </w:fldSimple>
          </w:p>
        </w:tc>
      </w:tr>
    </w:tbl>
    <w:p w14:paraId="35F91325" w14:textId="77777777" w:rsidR="005E43B2" w:rsidRDefault="005E43B2" w:rsidP="005E43B2">
      <w:pPr>
        <w:pStyle w:val="DocumentSubject"/>
      </w:pPr>
      <w:r>
        <w:t>Document history and status</w:t>
      </w:r>
    </w:p>
    <w:tbl>
      <w:tblPr>
        <w:tblStyle w:val="TableGrid"/>
        <w:tblW w:w="5000" w:type="pct"/>
        <w:tblLook w:val="04A0" w:firstRow="1" w:lastRow="0" w:firstColumn="1" w:lastColumn="0" w:noHBand="0" w:noVBand="1"/>
      </w:tblPr>
      <w:tblGrid>
        <w:gridCol w:w="1007"/>
        <w:gridCol w:w="1026"/>
        <w:gridCol w:w="1936"/>
        <w:gridCol w:w="1205"/>
        <w:gridCol w:w="1255"/>
        <w:gridCol w:w="1297"/>
        <w:gridCol w:w="1290"/>
      </w:tblGrid>
      <w:tr w:rsidR="005E43B2" w:rsidRPr="00392D1A" w14:paraId="38D3C578" w14:textId="77777777" w:rsidTr="00223553">
        <w:tc>
          <w:tcPr>
            <w:tcW w:w="1007" w:type="dxa"/>
            <w:tcBorders>
              <w:top w:val="single" w:sz="4" w:space="0" w:color="007D55" w:themeColor="accent1"/>
              <w:left w:val="single" w:sz="4" w:space="0" w:color="007D55" w:themeColor="accent1"/>
              <w:bottom w:val="single" w:sz="2" w:space="0" w:color="E6E6E6"/>
              <w:right w:val="single" w:sz="4" w:space="0" w:color="E6E6E6"/>
            </w:tcBorders>
            <w:shd w:val="clear" w:color="auto" w:fill="007D55" w:themeFill="accent1"/>
          </w:tcPr>
          <w:p w14:paraId="2F6052F3" w14:textId="77777777" w:rsidR="005E43B2" w:rsidRPr="00392D1A" w:rsidRDefault="005E43B2" w:rsidP="003D4A8B">
            <w:pPr>
              <w:pStyle w:val="TableHeadingWhite"/>
            </w:pPr>
            <w:r w:rsidRPr="00392D1A">
              <w:t>Revision</w:t>
            </w:r>
          </w:p>
        </w:tc>
        <w:tc>
          <w:tcPr>
            <w:tcW w:w="1026"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1D5B0C52" w14:textId="77777777" w:rsidR="005E43B2" w:rsidRPr="00392D1A" w:rsidRDefault="005E43B2" w:rsidP="003D4A8B">
            <w:pPr>
              <w:pStyle w:val="TableHeadingWhite"/>
            </w:pPr>
            <w:r w:rsidRPr="00392D1A">
              <w:t>Date</w:t>
            </w:r>
          </w:p>
        </w:tc>
        <w:tc>
          <w:tcPr>
            <w:tcW w:w="1936"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48F469AD" w14:textId="77777777" w:rsidR="005E43B2" w:rsidRPr="00392D1A" w:rsidRDefault="005E43B2" w:rsidP="003D4A8B">
            <w:pPr>
              <w:pStyle w:val="TableHeadingWhite"/>
            </w:pPr>
            <w:r w:rsidRPr="00392D1A">
              <w:t>Description</w:t>
            </w:r>
          </w:p>
        </w:tc>
        <w:tc>
          <w:tcPr>
            <w:tcW w:w="1205"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6386DB0D" w14:textId="77777777" w:rsidR="005E43B2" w:rsidRPr="00392D1A" w:rsidRDefault="005E43B2" w:rsidP="003D4A8B">
            <w:pPr>
              <w:pStyle w:val="TableHeadingWhite"/>
            </w:pPr>
            <w:r w:rsidRPr="00392D1A">
              <w:t>Author</w:t>
            </w:r>
          </w:p>
        </w:tc>
        <w:tc>
          <w:tcPr>
            <w:tcW w:w="1255"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478E6D52" w14:textId="77777777" w:rsidR="005E43B2" w:rsidRPr="00392D1A" w:rsidRDefault="005E43B2" w:rsidP="003D4A8B">
            <w:pPr>
              <w:pStyle w:val="TableHeadingWhite"/>
            </w:pPr>
            <w:r w:rsidRPr="00392D1A">
              <w:t>Checked</w:t>
            </w:r>
          </w:p>
        </w:tc>
        <w:tc>
          <w:tcPr>
            <w:tcW w:w="1297"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3E04B656" w14:textId="77777777" w:rsidR="005E43B2" w:rsidRPr="00392D1A" w:rsidRDefault="005E43B2" w:rsidP="003D4A8B">
            <w:pPr>
              <w:pStyle w:val="TableHeadingWhite"/>
            </w:pPr>
            <w:r w:rsidRPr="00392D1A">
              <w:t xml:space="preserve">Reviewed </w:t>
            </w:r>
          </w:p>
        </w:tc>
        <w:tc>
          <w:tcPr>
            <w:tcW w:w="1290" w:type="dxa"/>
            <w:tcBorders>
              <w:top w:val="single" w:sz="4" w:space="0" w:color="007D55" w:themeColor="accent1"/>
              <w:left w:val="single" w:sz="4" w:space="0" w:color="E6E6E6"/>
              <w:bottom w:val="single" w:sz="2" w:space="0" w:color="E6E6E6"/>
              <w:right w:val="single" w:sz="4" w:space="0" w:color="007D55" w:themeColor="accent1"/>
            </w:tcBorders>
            <w:shd w:val="clear" w:color="auto" w:fill="007D55" w:themeFill="accent1"/>
          </w:tcPr>
          <w:p w14:paraId="55D3C906" w14:textId="77777777" w:rsidR="005E43B2" w:rsidRPr="00392D1A" w:rsidRDefault="005E43B2" w:rsidP="003D4A8B">
            <w:pPr>
              <w:pStyle w:val="TableHeadingWhite"/>
            </w:pPr>
            <w:r w:rsidRPr="00392D1A">
              <w:t>Approved</w:t>
            </w:r>
          </w:p>
        </w:tc>
      </w:tr>
      <w:tr w:rsidR="005E43B2" w:rsidRPr="00687DFD" w14:paraId="6F2EC9DF" w14:textId="77777777" w:rsidTr="00223553">
        <w:tc>
          <w:tcPr>
            <w:tcW w:w="1007" w:type="dxa"/>
            <w:tcBorders>
              <w:top w:val="single" w:sz="2" w:space="0" w:color="E6E6E6"/>
              <w:left w:val="single" w:sz="2" w:space="0" w:color="E6E6E6"/>
              <w:bottom w:val="single" w:sz="2" w:space="0" w:color="E6E6E6"/>
              <w:right w:val="single" w:sz="2" w:space="0" w:color="E6E6E6"/>
            </w:tcBorders>
          </w:tcPr>
          <w:p w14:paraId="2F4B61B7" w14:textId="1205090E" w:rsidR="005E43B2" w:rsidRPr="00687DFD" w:rsidRDefault="00663893" w:rsidP="003D4A8B">
            <w:pPr>
              <w:pStyle w:val="TableText"/>
            </w:pPr>
            <w:r>
              <w:t>A</w:t>
            </w:r>
          </w:p>
        </w:tc>
        <w:tc>
          <w:tcPr>
            <w:tcW w:w="1026" w:type="dxa"/>
            <w:tcBorders>
              <w:top w:val="single" w:sz="2" w:space="0" w:color="E6E6E6"/>
              <w:left w:val="single" w:sz="2" w:space="0" w:color="E6E6E6"/>
              <w:bottom w:val="single" w:sz="2" w:space="0" w:color="E6E6E6"/>
              <w:right w:val="single" w:sz="2" w:space="0" w:color="E6E6E6"/>
            </w:tcBorders>
          </w:tcPr>
          <w:p w14:paraId="79F06A24" w14:textId="08751183" w:rsidR="005E43B2" w:rsidRPr="00687DFD" w:rsidRDefault="00663893" w:rsidP="003D4A8B">
            <w:pPr>
              <w:pStyle w:val="TableText"/>
            </w:pPr>
            <w:r>
              <w:t>06/12/22</w:t>
            </w:r>
          </w:p>
        </w:tc>
        <w:tc>
          <w:tcPr>
            <w:tcW w:w="1936" w:type="dxa"/>
            <w:tcBorders>
              <w:top w:val="single" w:sz="2" w:space="0" w:color="E6E6E6"/>
              <w:left w:val="single" w:sz="2" w:space="0" w:color="E6E6E6"/>
              <w:bottom w:val="single" w:sz="2" w:space="0" w:color="E6E6E6"/>
              <w:right w:val="single" w:sz="2" w:space="0" w:color="E6E6E6"/>
            </w:tcBorders>
          </w:tcPr>
          <w:p w14:paraId="1724DDEB" w14:textId="39E89E7E" w:rsidR="005E43B2" w:rsidRPr="00687DFD" w:rsidRDefault="00663893" w:rsidP="003D4A8B">
            <w:pPr>
              <w:pStyle w:val="TableText"/>
            </w:pPr>
            <w:r>
              <w:t>Draft for review &amp; comment</w:t>
            </w:r>
          </w:p>
        </w:tc>
        <w:tc>
          <w:tcPr>
            <w:tcW w:w="1205" w:type="dxa"/>
            <w:tcBorders>
              <w:top w:val="single" w:sz="2" w:space="0" w:color="E6E6E6"/>
              <w:left w:val="single" w:sz="2" w:space="0" w:color="E6E6E6"/>
              <w:bottom w:val="single" w:sz="2" w:space="0" w:color="E6E6E6"/>
              <w:right w:val="single" w:sz="2" w:space="0" w:color="E6E6E6"/>
            </w:tcBorders>
          </w:tcPr>
          <w:p w14:paraId="7C623724" w14:textId="09774F49" w:rsidR="005E43B2" w:rsidRPr="00687DFD" w:rsidRDefault="005E43B2" w:rsidP="003D4A8B">
            <w:pPr>
              <w:pStyle w:val="TableText"/>
            </w:pPr>
          </w:p>
        </w:tc>
        <w:tc>
          <w:tcPr>
            <w:tcW w:w="1255" w:type="dxa"/>
            <w:tcBorders>
              <w:top w:val="single" w:sz="2" w:space="0" w:color="E6E6E6"/>
              <w:left w:val="single" w:sz="2" w:space="0" w:color="E6E6E6"/>
              <w:bottom w:val="single" w:sz="2" w:space="0" w:color="E6E6E6"/>
              <w:right w:val="single" w:sz="2" w:space="0" w:color="E6E6E6"/>
            </w:tcBorders>
          </w:tcPr>
          <w:p w14:paraId="5EEA57D0" w14:textId="4AEA4502" w:rsidR="005E43B2" w:rsidRPr="00687DFD" w:rsidRDefault="005E43B2" w:rsidP="003D4A8B">
            <w:pPr>
              <w:pStyle w:val="TableText"/>
            </w:pPr>
          </w:p>
        </w:tc>
        <w:tc>
          <w:tcPr>
            <w:tcW w:w="1297" w:type="dxa"/>
            <w:tcBorders>
              <w:top w:val="single" w:sz="2" w:space="0" w:color="E6E6E6"/>
              <w:left w:val="single" w:sz="2" w:space="0" w:color="E6E6E6"/>
              <w:bottom w:val="single" w:sz="2" w:space="0" w:color="E6E6E6"/>
              <w:right w:val="single" w:sz="2" w:space="0" w:color="E6E6E6"/>
            </w:tcBorders>
          </w:tcPr>
          <w:p w14:paraId="5F37AA97" w14:textId="7FA29590" w:rsidR="005E43B2" w:rsidRPr="00687DFD" w:rsidRDefault="005E43B2" w:rsidP="003D4A8B">
            <w:pPr>
              <w:pStyle w:val="TableText"/>
            </w:pPr>
          </w:p>
        </w:tc>
        <w:tc>
          <w:tcPr>
            <w:tcW w:w="1290" w:type="dxa"/>
            <w:tcBorders>
              <w:top w:val="single" w:sz="2" w:space="0" w:color="E6E6E6"/>
              <w:left w:val="single" w:sz="2" w:space="0" w:color="E6E6E6"/>
              <w:bottom w:val="single" w:sz="2" w:space="0" w:color="E6E6E6"/>
              <w:right w:val="single" w:sz="2" w:space="0" w:color="E6E6E6"/>
            </w:tcBorders>
          </w:tcPr>
          <w:p w14:paraId="75984F80" w14:textId="2FEB747E" w:rsidR="005E43B2" w:rsidRPr="00687DFD" w:rsidRDefault="005E43B2" w:rsidP="003D4A8B">
            <w:pPr>
              <w:pStyle w:val="TableText"/>
            </w:pPr>
          </w:p>
        </w:tc>
      </w:tr>
      <w:tr w:rsidR="00223553" w:rsidRPr="00687DFD" w14:paraId="77AFD2E6" w14:textId="77777777" w:rsidTr="00223553">
        <w:tc>
          <w:tcPr>
            <w:tcW w:w="1007" w:type="dxa"/>
            <w:tcBorders>
              <w:top w:val="single" w:sz="2" w:space="0" w:color="E6E6E6"/>
              <w:left w:val="single" w:sz="2" w:space="0" w:color="E6E6E6"/>
              <w:bottom w:val="single" w:sz="2" w:space="0" w:color="E6E6E6"/>
              <w:right w:val="single" w:sz="2" w:space="0" w:color="E6E6E6"/>
            </w:tcBorders>
          </w:tcPr>
          <w:p w14:paraId="71037143" w14:textId="5428DDCC" w:rsidR="00223553" w:rsidRPr="00687DFD" w:rsidRDefault="00223553" w:rsidP="00223553">
            <w:pPr>
              <w:pStyle w:val="TableText"/>
            </w:pPr>
            <w:r>
              <w:t>B</w:t>
            </w:r>
          </w:p>
        </w:tc>
        <w:tc>
          <w:tcPr>
            <w:tcW w:w="1026" w:type="dxa"/>
            <w:tcBorders>
              <w:top w:val="single" w:sz="2" w:space="0" w:color="E6E6E6"/>
              <w:left w:val="single" w:sz="2" w:space="0" w:color="E6E6E6"/>
              <w:bottom w:val="single" w:sz="2" w:space="0" w:color="E6E6E6"/>
              <w:right w:val="single" w:sz="2" w:space="0" w:color="E6E6E6"/>
            </w:tcBorders>
          </w:tcPr>
          <w:p w14:paraId="2C1CFDEB" w14:textId="1F60B319" w:rsidR="00223553" w:rsidRPr="00687DFD" w:rsidRDefault="00C93C06" w:rsidP="00223553">
            <w:pPr>
              <w:pStyle w:val="TableText"/>
            </w:pPr>
            <w:r>
              <w:t>31</w:t>
            </w:r>
            <w:r w:rsidR="00223553">
              <w:t>/3/23</w:t>
            </w:r>
          </w:p>
        </w:tc>
        <w:tc>
          <w:tcPr>
            <w:tcW w:w="1936" w:type="dxa"/>
            <w:tcBorders>
              <w:top w:val="single" w:sz="2" w:space="0" w:color="E6E6E6"/>
              <w:left w:val="single" w:sz="2" w:space="0" w:color="E6E6E6"/>
              <w:bottom w:val="single" w:sz="2" w:space="0" w:color="E6E6E6"/>
              <w:right w:val="single" w:sz="2" w:space="0" w:color="E6E6E6"/>
            </w:tcBorders>
          </w:tcPr>
          <w:p w14:paraId="6F45ED78" w14:textId="5BC37D3A" w:rsidR="00223553" w:rsidRPr="00687DFD" w:rsidRDefault="00223553" w:rsidP="00223553">
            <w:pPr>
              <w:pStyle w:val="TableText"/>
            </w:pPr>
            <w:r>
              <w:t>Final following review</w:t>
            </w:r>
            <w:r w:rsidR="0066080E">
              <w:t xml:space="preserve"> by CR and VF</w:t>
            </w:r>
          </w:p>
        </w:tc>
        <w:tc>
          <w:tcPr>
            <w:tcW w:w="1205" w:type="dxa"/>
            <w:tcBorders>
              <w:top w:val="single" w:sz="2" w:space="0" w:color="E6E6E6"/>
              <w:left w:val="single" w:sz="2" w:space="0" w:color="E6E6E6"/>
              <w:bottom w:val="single" w:sz="2" w:space="0" w:color="E6E6E6"/>
              <w:right w:val="single" w:sz="2" w:space="0" w:color="E6E6E6"/>
            </w:tcBorders>
          </w:tcPr>
          <w:p w14:paraId="68B41146" w14:textId="69ECE6F4" w:rsidR="00223553" w:rsidRPr="00687DFD" w:rsidRDefault="00223553" w:rsidP="00223553">
            <w:pPr>
              <w:pStyle w:val="TableText"/>
            </w:pPr>
          </w:p>
        </w:tc>
        <w:tc>
          <w:tcPr>
            <w:tcW w:w="1255" w:type="dxa"/>
            <w:tcBorders>
              <w:top w:val="single" w:sz="2" w:space="0" w:color="E6E6E6"/>
              <w:left w:val="single" w:sz="2" w:space="0" w:color="E6E6E6"/>
              <w:bottom w:val="single" w:sz="2" w:space="0" w:color="E6E6E6"/>
              <w:right w:val="single" w:sz="2" w:space="0" w:color="E6E6E6"/>
            </w:tcBorders>
          </w:tcPr>
          <w:p w14:paraId="5F078DDC" w14:textId="18664355" w:rsidR="00223553" w:rsidRPr="00687DFD" w:rsidRDefault="00223553" w:rsidP="00223553">
            <w:pPr>
              <w:pStyle w:val="TableText"/>
            </w:pPr>
          </w:p>
        </w:tc>
        <w:tc>
          <w:tcPr>
            <w:tcW w:w="1297" w:type="dxa"/>
            <w:tcBorders>
              <w:top w:val="single" w:sz="2" w:space="0" w:color="E6E6E6"/>
              <w:left w:val="single" w:sz="2" w:space="0" w:color="E6E6E6"/>
              <w:bottom w:val="single" w:sz="2" w:space="0" w:color="E6E6E6"/>
              <w:right w:val="single" w:sz="2" w:space="0" w:color="E6E6E6"/>
            </w:tcBorders>
          </w:tcPr>
          <w:p w14:paraId="3FDA0C2F" w14:textId="02D774B3" w:rsidR="00223553" w:rsidRPr="00687DFD" w:rsidRDefault="00223553" w:rsidP="00223553">
            <w:pPr>
              <w:pStyle w:val="TableText"/>
            </w:pPr>
          </w:p>
        </w:tc>
        <w:tc>
          <w:tcPr>
            <w:tcW w:w="1290" w:type="dxa"/>
            <w:tcBorders>
              <w:top w:val="single" w:sz="2" w:space="0" w:color="E6E6E6"/>
              <w:left w:val="single" w:sz="2" w:space="0" w:color="E6E6E6"/>
              <w:bottom w:val="single" w:sz="2" w:space="0" w:color="E6E6E6"/>
              <w:right w:val="single" w:sz="2" w:space="0" w:color="E6E6E6"/>
            </w:tcBorders>
          </w:tcPr>
          <w:p w14:paraId="2B124A0E" w14:textId="2B935FD9" w:rsidR="00223553" w:rsidRPr="00687DFD" w:rsidRDefault="00223553" w:rsidP="00223553">
            <w:pPr>
              <w:pStyle w:val="TableText"/>
            </w:pPr>
          </w:p>
        </w:tc>
      </w:tr>
      <w:tr w:rsidR="00223553" w:rsidRPr="00687DFD" w14:paraId="3F36D7D4" w14:textId="77777777" w:rsidTr="00223553">
        <w:tc>
          <w:tcPr>
            <w:tcW w:w="1007" w:type="dxa"/>
            <w:tcBorders>
              <w:top w:val="single" w:sz="2" w:space="0" w:color="E6E6E6"/>
              <w:left w:val="single" w:sz="2" w:space="0" w:color="E6E6E6"/>
              <w:bottom w:val="single" w:sz="2" w:space="0" w:color="E6E6E6"/>
              <w:right w:val="single" w:sz="2" w:space="0" w:color="E6E6E6"/>
            </w:tcBorders>
          </w:tcPr>
          <w:p w14:paraId="2F3ABD43" w14:textId="77777777" w:rsidR="00223553" w:rsidRPr="00687DFD" w:rsidRDefault="00223553" w:rsidP="00223553">
            <w:pPr>
              <w:pStyle w:val="TableText"/>
            </w:pPr>
          </w:p>
        </w:tc>
        <w:tc>
          <w:tcPr>
            <w:tcW w:w="1026" w:type="dxa"/>
            <w:tcBorders>
              <w:top w:val="single" w:sz="2" w:space="0" w:color="E6E6E6"/>
              <w:left w:val="single" w:sz="2" w:space="0" w:color="E6E6E6"/>
              <w:bottom w:val="single" w:sz="2" w:space="0" w:color="E6E6E6"/>
              <w:right w:val="single" w:sz="2" w:space="0" w:color="E6E6E6"/>
            </w:tcBorders>
          </w:tcPr>
          <w:p w14:paraId="7B7B88FB" w14:textId="77777777" w:rsidR="00223553" w:rsidRPr="00687DFD" w:rsidRDefault="00223553" w:rsidP="00223553">
            <w:pPr>
              <w:pStyle w:val="TableText"/>
            </w:pPr>
          </w:p>
        </w:tc>
        <w:tc>
          <w:tcPr>
            <w:tcW w:w="1936" w:type="dxa"/>
            <w:tcBorders>
              <w:top w:val="single" w:sz="2" w:space="0" w:color="E6E6E6"/>
              <w:left w:val="single" w:sz="2" w:space="0" w:color="E6E6E6"/>
              <w:bottom w:val="single" w:sz="2" w:space="0" w:color="E6E6E6"/>
              <w:right w:val="single" w:sz="2" w:space="0" w:color="E6E6E6"/>
            </w:tcBorders>
          </w:tcPr>
          <w:p w14:paraId="4D42F6A0" w14:textId="77777777" w:rsidR="00223553" w:rsidRPr="00687DFD" w:rsidRDefault="00223553" w:rsidP="00223553">
            <w:pPr>
              <w:pStyle w:val="TableText"/>
            </w:pPr>
          </w:p>
        </w:tc>
        <w:tc>
          <w:tcPr>
            <w:tcW w:w="1205" w:type="dxa"/>
            <w:tcBorders>
              <w:top w:val="single" w:sz="2" w:space="0" w:color="E6E6E6"/>
              <w:left w:val="single" w:sz="2" w:space="0" w:color="E6E6E6"/>
              <w:bottom w:val="single" w:sz="2" w:space="0" w:color="E6E6E6"/>
              <w:right w:val="single" w:sz="2" w:space="0" w:color="E6E6E6"/>
            </w:tcBorders>
          </w:tcPr>
          <w:p w14:paraId="1CFC3244" w14:textId="77777777" w:rsidR="00223553" w:rsidRPr="00687DFD" w:rsidRDefault="00223553" w:rsidP="00223553">
            <w:pPr>
              <w:pStyle w:val="TableText"/>
            </w:pPr>
          </w:p>
        </w:tc>
        <w:tc>
          <w:tcPr>
            <w:tcW w:w="1255" w:type="dxa"/>
            <w:tcBorders>
              <w:top w:val="single" w:sz="2" w:space="0" w:color="E6E6E6"/>
              <w:left w:val="single" w:sz="2" w:space="0" w:color="E6E6E6"/>
              <w:bottom w:val="single" w:sz="2" w:space="0" w:color="E6E6E6"/>
              <w:right w:val="single" w:sz="2" w:space="0" w:color="E6E6E6"/>
            </w:tcBorders>
          </w:tcPr>
          <w:p w14:paraId="122121E3" w14:textId="77777777" w:rsidR="00223553" w:rsidRPr="00687DFD" w:rsidRDefault="00223553" w:rsidP="00223553">
            <w:pPr>
              <w:pStyle w:val="TableText"/>
            </w:pPr>
          </w:p>
        </w:tc>
        <w:tc>
          <w:tcPr>
            <w:tcW w:w="1297" w:type="dxa"/>
            <w:tcBorders>
              <w:top w:val="single" w:sz="2" w:space="0" w:color="E6E6E6"/>
              <w:left w:val="single" w:sz="2" w:space="0" w:color="E6E6E6"/>
              <w:bottom w:val="single" w:sz="2" w:space="0" w:color="E6E6E6"/>
              <w:right w:val="single" w:sz="2" w:space="0" w:color="E6E6E6"/>
            </w:tcBorders>
          </w:tcPr>
          <w:p w14:paraId="1C1DCA5F" w14:textId="77777777" w:rsidR="00223553" w:rsidRPr="00687DFD" w:rsidRDefault="00223553" w:rsidP="00223553">
            <w:pPr>
              <w:pStyle w:val="TableText"/>
            </w:pPr>
          </w:p>
        </w:tc>
        <w:tc>
          <w:tcPr>
            <w:tcW w:w="1290" w:type="dxa"/>
            <w:tcBorders>
              <w:top w:val="single" w:sz="2" w:space="0" w:color="E6E6E6"/>
              <w:left w:val="single" w:sz="2" w:space="0" w:color="E6E6E6"/>
              <w:bottom w:val="single" w:sz="2" w:space="0" w:color="E6E6E6"/>
              <w:right w:val="single" w:sz="2" w:space="0" w:color="E6E6E6"/>
            </w:tcBorders>
          </w:tcPr>
          <w:p w14:paraId="3DE96E3C" w14:textId="77777777" w:rsidR="00223553" w:rsidRPr="00687DFD" w:rsidRDefault="00223553" w:rsidP="00223553">
            <w:pPr>
              <w:pStyle w:val="TableText"/>
            </w:pPr>
          </w:p>
        </w:tc>
      </w:tr>
    </w:tbl>
    <w:p w14:paraId="3602A64D" w14:textId="77777777" w:rsidR="005E43B2" w:rsidRDefault="005E43B2" w:rsidP="005E43B2">
      <w:pPr>
        <w:pStyle w:val="DocumentSubject"/>
      </w:pPr>
      <w:r>
        <w:t>Distribution of copies</w:t>
      </w:r>
    </w:p>
    <w:tbl>
      <w:tblPr>
        <w:tblStyle w:val="TableGrid"/>
        <w:tblW w:w="5000" w:type="pct"/>
        <w:tblLook w:val="04A0" w:firstRow="1" w:lastRow="0" w:firstColumn="1" w:lastColumn="0" w:noHBand="0" w:noVBand="1"/>
      </w:tblPr>
      <w:tblGrid>
        <w:gridCol w:w="1007"/>
        <w:gridCol w:w="1823"/>
        <w:gridCol w:w="1418"/>
        <w:gridCol w:w="1559"/>
        <w:gridCol w:w="3209"/>
      </w:tblGrid>
      <w:tr w:rsidR="005E43B2" w14:paraId="3FB83652" w14:textId="77777777" w:rsidTr="0044319D">
        <w:tc>
          <w:tcPr>
            <w:tcW w:w="1007" w:type="dxa"/>
            <w:tcBorders>
              <w:top w:val="single" w:sz="4" w:space="0" w:color="007D55" w:themeColor="accent1"/>
              <w:left w:val="single" w:sz="4" w:space="0" w:color="007D55" w:themeColor="accent1"/>
              <w:bottom w:val="single" w:sz="2" w:space="0" w:color="E6E6E6"/>
              <w:right w:val="single" w:sz="4" w:space="0" w:color="E6E6E6"/>
            </w:tcBorders>
            <w:shd w:val="clear" w:color="auto" w:fill="007D55" w:themeFill="accent1"/>
          </w:tcPr>
          <w:p w14:paraId="1EB299FD" w14:textId="77777777" w:rsidR="005E43B2" w:rsidRDefault="005E43B2" w:rsidP="003D4A8B">
            <w:pPr>
              <w:pStyle w:val="TableHeadingWhite"/>
            </w:pPr>
            <w:r>
              <w:t>Revision</w:t>
            </w:r>
          </w:p>
        </w:tc>
        <w:tc>
          <w:tcPr>
            <w:tcW w:w="1823"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44CA335C" w14:textId="77777777" w:rsidR="005E43B2" w:rsidRDefault="005E43B2" w:rsidP="003D4A8B">
            <w:pPr>
              <w:pStyle w:val="TableHeadingWhite"/>
            </w:pPr>
            <w:r>
              <w:t>Issue approved</w:t>
            </w:r>
          </w:p>
        </w:tc>
        <w:tc>
          <w:tcPr>
            <w:tcW w:w="1418"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1C212FF5" w14:textId="77777777" w:rsidR="005E43B2" w:rsidRDefault="005E43B2" w:rsidP="003D4A8B">
            <w:pPr>
              <w:pStyle w:val="TableHeadingWhite"/>
            </w:pPr>
            <w:r>
              <w:t>Date issued</w:t>
            </w:r>
          </w:p>
        </w:tc>
        <w:tc>
          <w:tcPr>
            <w:tcW w:w="1559" w:type="dxa"/>
            <w:tcBorders>
              <w:top w:val="single" w:sz="4" w:space="0" w:color="007D55" w:themeColor="accent1"/>
              <w:left w:val="single" w:sz="4" w:space="0" w:color="E6E6E6"/>
              <w:bottom w:val="single" w:sz="2" w:space="0" w:color="E6E6E6"/>
              <w:right w:val="single" w:sz="4" w:space="0" w:color="E6E6E6"/>
            </w:tcBorders>
            <w:shd w:val="clear" w:color="auto" w:fill="007D55" w:themeFill="accent1"/>
          </w:tcPr>
          <w:p w14:paraId="4039942F" w14:textId="77777777" w:rsidR="005E43B2" w:rsidRDefault="005E43B2" w:rsidP="003D4A8B">
            <w:pPr>
              <w:pStyle w:val="TableHeadingWhite"/>
            </w:pPr>
            <w:r>
              <w:t>Issued to</w:t>
            </w:r>
          </w:p>
        </w:tc>
        <w:tc>
          <w:tcPr>
            <w:tcW w:w="3209" w:type="dxa"/>
            <w:tcBorders>
              <w:top w:val="single" w:sz="4" w:space="0" w:color="007D55" w:themeColor="accent1"/>
              <w:left w:val="single" w:sz="4" w:space="0" w:color="E6E6E6"/>
              <w:bottom w:val="single" w:sz="2" w:space="0" w:color="E6E6E6"/>
              <w:right w:val="single" w:sz="4" w:space="0" w:color="007D55" w:themeColor="accent1"/>
            </w:tcBorders>
            <w:shd w:val="clear" w:color="auto" w:fill="007D55" w:themeFill="accent1"/>
          </w:tcPr>
          <w:p w14:paraId="7BF6A22B" w14:textId="77777777" w:rsidR="005E43B2" w:rsidRDefault="005E43B2" w:rsidP="003D4A8B">
            <w:pPr>
              <w:pStyle w:val="TableHeadingWhite"/>
            </w:pPr>
            <w:r>
              <w:t>Comments</w:t>
            </w:r>
          </w:p>
        </w:tc>
      </w:tr>
      <w:tr w:rsidR="005E43B2" w14:paraId="1D0FDD6A" w14:textId="77777777" w:rsidTr="0044319D">
        <w:tc>
          <w:tcPr>
            <w:tcW w:w="1007" w:type="dxa"/>
            <w:tcBorders>
              <w:top w:val="single" w:sz="2" w:space="0" w:color="E6E6E6"/>
              <w:left w:val="single" w:sz="2" w:space="0" w:color="E6E6E6"/>
              <w:bottom w:val="single" w:sz="2" w:space="0" w:color="E6E6E6"/>
              <w:right w:val="single" w:sz="2" w:space="0" w:color="E6E6E6"/>
            </w:tcBorders>
          </w:tcPr>
          <w:p w14:paraId="1908B472" w14:textId="6D4ACA71" w:rsidR="005E43B2" w:rsidRDefault="0044319D" w:rsidP="003D4A8B">
            <w:pPr>
              <w:pStyle w:val="TableText"/>
            </w:pPr>
            <w:r>
              <w:t>A</w:t>
            </w:r>
          </w:p>
        </w:tc>
        <w:tc>
          <w:tcPr>
            <w:tcW w:w="1823" w:type="dxa"/>
            <w:tcBorders>
              <w:top w:val="single" w:sz="2" w:space="0" w:color="E6E6E6"/>
              <w:left w:val="single" w:sz="2" w:space="0" w:color="E6E6E6"/>
              <w:bottom w:val="single" w:sz="2" w:space="0" w:color="E6E6E6"/>
              <w:right w:val="single" w:sz="2" w:space="0" w:color="E6E6E6"/>
            </w:tcBorders>
          </w:tcPr>
          <w:p w14:paraId="7DFF25EB" w14:textId="77777777" w:rsidR="005E43B2" w:rsidRDefault="005E43B2" w:rsidP="003D4A8B">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405EA487" w14:textId="6A445D1C" w:rsidR="005E43B2" w:rsidRDefault="005E43B2" w:rsidP="003D4A8B">
            <w:pPr>
              <w:pStyle w:val="TableText"/>
            </w:pPr>
          </w:p>
        </w:tc>
        <w:tc>
          <w:tcPr>
            <w:tcW w:w="1559" w:type="dxa"/>
            <w:tcBorders>
              <w:top w:val="single" w:sz="2" w:space="0" w:color="E6E6E6"/>
              <w:left w:val="single" w:sz="2" w:space="0" w:color="E6E6E6"/>
              <w:bottom w:val="single" w:sz="2" w:space="0" w:color="E6E6E6"/>
              <w:right w:val="single" w:sz="2" w:space="0" w:color="E6E6E6"/>
            </w:tcBorders>
          </w:tcPr>
          <w:p w14:paraId="09DAA823" w14:textId="1170C350" w:rsidR="005E43B2" w:rsidRDefault="0044319D" w:rsidP="003D4A8B">
            <w:pPr>
              <w:pStyle w:val="TableText"/>
            </w:pPr>
            <w:r>
              <w:t>DEECA - CR, VicForests</w:t>
            </w:r>
          </w:p>
        </w:tc>
        <w:tc>
          <w:tcPr>
            <w:tcW w:w="3209" w:type="dxa"/>
            <w:tcBorders>
              <w:top w:val="single" w:sz="2" w:space="0" w:color="E6E6E6"/>
              <w:left w:val="single" w:sz="2" w:space="0" w:color="E6E6E6"/>
              <w:bottom w:val="single" w:sz="2" w:space="0" w:color="E6E6E6"/>
              <w:right w:val="single" w:sz="2" w:space="0" w:color="E6E6E6"/>
            </w:tcBorders>
          </w:tcPr>
          <w:p w14:paraId="2470F912" w14:textId="77777777" w:rsidR="005E43B2" w:rsidRDefault="005E43B2" w:rsidP="003D4A8B">
            <w:pPr>
              <w:pStyle w:val="TableText"/>
            </w:pPr>
          </w:p>
        </w:tc>
      </w:tr>
      <w:tr w:rsidR="005E43B2" w14:paraId="3FFEB094" w14:textId="77777777" w:rsidTr="0044319D">
        <w:tc>
          <w:tcPr>
            <w:tcW w:w="1007" w:type="dxa"/>
            <w:tcBorders>
              <w:top w:val="single" w:sz="2" w:space="0" w:color="E6E6E6"/>
              <w:left w:val="single" w:sz="2" w:space="0" w:color="E6E6E6"/>
              <w:bottom w:val="single" w:sz="2" w:space="0" w:color="E6E6E6"/>
              <w:right w:val="single" w:sz="2" w:space="0" w:color="E6E6E6"/>
            </w:tcBorders>
          </w:tcPr>
          <w:p w14:paraId="04ADF5FE" w14:textId="5BB4F381" w:rsidR="005E43B2" w:rsidRDefault="0044319D" w:rsidP="003D4A8B">
            <w:pPr>
              <w:pStyle w:val="TableText"/>
            </w:pPr>
            <w:r>
              <w:t>B</w:t>
            </w:r>
          </w:p>
        </w:tc>
        <w:tc>
          <w:tcPr>
            <w:tcW w:w="1823" w:type="dxa"/>
            <w:tcBorders>
              <w:top w:val="single" w:sz="2" w:space="0" w:color="E6E6E6"/>
              <w:left w:val="single" w:sz="2" w:space="0" w:color="E6E6E6"/>
              <w:bottom w:val="single" w:sz="2" w:space="0" w:color="E6E6E6"/>
              <w:right w:val="single" w:sz="2" w:space="0" w:color="E6E6E6"/>
            </w:tcBorders>
          </w:tcPr>
          <w:p w14:paraId="20C2B385" w14:textId="77777777" w:rsidR="005E43B2" w:rsidRDefault="005E43B2" w:rsidP="003D4A8B">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686DA92A" w14:textId="77777777" w:rsidR="005E43B2" w:rsidRDefault="005E43B2" w:rsidP="003D4A8B">
            <w:pPr>
              <w:pStyle w:val="TableText"/>
            </w:pPr>
          </w:p>
        </w:tc>
        <w:tc>
          <w:tcPr>
            <w:tcW w:w="1559" w:type="dxa"/>
            <w:tcBorders>
              <w:top w:val="single" w:sz="2" w:space="0" w:color="E6E6E6"/>
              <w:left w:val="single" w:sz="2" w:space="0" w:color="E6E6E6"/>
              <w:bottom w:val="single" w:sz="2" w:space="0" w:color="E6E6E6"/>
              <w:right w:val="single" w:sz="2" w:space="0" w:color="E6E6E6"/>
            </w:tcBorders>
          </w:tcPr>
          <w:p w14:paraId="51FFA4C5" w14:textId="6E5ADD94" w:rsidR="005E43B2" w:rsidRDefault="0044319D" w:rsidP="003D4A8B">
            <w:pPr>
              <w:pStyle w:val="TableText"/>
            </w:pPr>
            <w:r>
              <w:t>DEECA - CR</w:t>
            </w:r>
          </w:p>
        </w:tc>
        <w:tc>
          <w:tcPr>
            <w:tcW w:w="3209" w:type="dxa"/>
            <w:tcBorders>
              <w:top w:val="single" w:sz="2" w:space="0" w:color="E6E6E6"/>
              <w:left w:val="single" w:sz="2" w:space="0" w:color="E6E6E6"/>
              <w:bottom w:val="single" w:sz="2" w:space="0" w:color="E6E6E6"/>
              <w:right w:val="single" w:sz="2" w:space="0" w:color="E6E6E6"/>
            </w:tcBorders>
          </w:tcPr>
          <w:p w14:paraId="576104B6" w14:textId="77777777" w:rsidR="005E43B2" w:rsidRDefault="005E43B2" w:rsidP="003D4A8B">
            <w:pPr>
              <w:pStyle w:val="TableText"/>
            </w:pPr>
          </w:p>
        </w:tc>
      </w:tr>
      <w:tr w:rsidR="005E43B2" w14:paraId="0726462E" w14:textId="77777777" w:rsidTr="0044319D">
        <w:tc>
          <w:tcPr>
            <w:tcW w:w="1007" w:type="dxa"/>
            <w:tcBorders>
              <w:top w:val="single" w:sz="2" w:space="0" w:color="E6E6E6"/>
              <w:left w:val="single" w:sz="2" w:space="0" w:color="E6E6E6"/>
              <w:bottom w:val="single" w:sz="2" w:space="0" w:color="E6E6E6"/>
              <w:right w:val="single" w:sz="2" w:space="0" w:color="E6E6E6"/>
            </w:tcBorders>
          </w:tcPr>
          <w:p w14:paraId="28C8FE46" w14:textId="77777777" w:rsidR="005E43B2" w:rsidRDefault="005E43B2" w:rsidP="003D4A8B">
            <w:pPr>
              <w:pStyle w:val="TableText"/>
            </w:pPr>
          </w:p>
        </w:tc>
        <w:tc>
          <w:tcPr>
            <w:tcW w:w="1823" w:type="dxa"/>
            <w:tcBorders>
              <w:top w:val="single" w:sz="2" w:space="0" w:color="E6E6E6"/>
              <w:left w:val="single" w:sz="2" w:space="0" w:color="E6E6E6"/>
              <w:bottom w:val="single" w:sz="2" w:space="0" w:color="E6E6E6"/>
              <w:right w:val="single" w:sz="2" w:space="0" w:color="E6E6E6"/>
            </w:tcBorders>
          </w:tcPr>
          <w:p w14:paraId="41CF9B78" w14:textId="77777777" w:rsidR="005E43B2" w:rsidRDefault="005E43B2" w:rsidP="003D4A8B">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548C34D7" w14:textId="77777777" w:rsidR="005E43B2" w:rsidRDefault="005E43B2" w:rsidP="003D4A8B">
            <w:pPr>
              <w:pStyle w:val="TableText"/>
            </w:pPr>
          </w:p>
        </w:tc>
        <w:tc>
          <w:tcPr>
            <w:tcW w:w="1559" w:type="dxa"/>
            <w:tcBorders>
              <w:top w:val="single" w:sz="2" w:space="0" w:color="E6E6E6"/>
              <w:left w:val="single" w:sz="2" w:space="0" w:color="E6E6E6"/>
              <w:bottom w:val="single" w:sz="2" w:space="0" w:color="E6E6E6"/>
              <w:right w:val="single" w:sz="2" w:space="0" w:color="E6E6E6"/>
            </w:tcBorders>
          </w:tcPr>
          <w:p w14:paraId="21D40BAD" w14:textId="77777777" w:rsidR="005E43B2" w:rsidRDefault="005E43B2" w:rsidP="003D4A8B">
            <w:pPr>
              <w:pStyle w:val="TableText"/>
            </w:pPr>
          </w:p>
        </w:tc>
        <w:tc>
          <w:tcPr>
            <w:tcW w:w="3209" w:type="dxa"/>
            <w:tcBorders>
              <w:top w:val="single" w:sz="2" w:space="0" w:color="E6E6E6"/>
              <w:left w:val="single" w:sz="2" w:space="0" w:color="E6E6E6"/>
              <w:bottom w:val="single" w:sz="2" w:space="0" w:color="E6E6E6"/>
              <w:right w:val="single" w:sz="2" w:space="0" w:color="E6E6E6"/>
            </w:tcBorders>
          </w:tcPr>
          <w:p w14:paraId="5ED0B114" w14:textId="77777777" w:rsidR="005E43B2" w:rsidRDefault="005E43B2" w:rsidP="003D4A8B">
            <w:pPr>
              <w:pStyle w:val="TableText"/>
            </w:pPr>
          </w:p>
        </w:tc>
      </w:tr>
    </w:tbl>
    <w:p w14:paraId="625EF421" w14:textId="77777777" w:rsidR="005E43B2" w:rsidRDefault="005E43B2" w:rsidP="005E43B2">
      <w:pPr>
        <w:tabs>
          <w:tab w:val="left" w:pos="6000"/>
        </w:tabs>
      </w:pPr>
    </w:p>
    <w:tbl>
      <w:tblPr>
        <w:tblStyle w:val="TableGrid"/>
        <w:tblpPr w:leftFromText="181" w:rightFromText="181" w:horzAnchor="margin" w:tblpYSpec="bottom"/>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0" w:type="dxa"/>
        </w:tblCellMar>
        <w:tblLook w:val="04A0" w:firstRow="1" w:lastRow="0" w:firstColumn="1" w:lastColumn="0" w:noHBand="0" w:noVBand="1"/>
        <w:tblCaption w:val="Legal Entity"/>
      </w:tblPr>
      <w:tblGrid>
        <w:gridCol w:w="5464"/>
        <w:gridCol w:w="3562"/>
      </w:tblGrid>
      <w:tr w:rsidR="005E43B2" w:rsidRPr="0081318D" w14:paraId="3D9659AC" w14:textId="77777777" w:rsidTr="003D4A8B">
        <w:trPr>
          <w:trHeight w:val="284"/>
        </w:trPr>
        <w:tc>
          <w:tcPr>
            <w:tcW w:w="3027" w:type="pct"/>
            <w:tcBorders>
              <w:top w:val="single" w:sz="4" w:space="0" w:color="007D55" w:themeColor="accent1"/>
            </w:tcBorders>
            <w:tcMar>
              <w:top w:w="113" w:type="dxa"/>
              <w:left w:w="0" w:type="dxa"/>
              <w:right w:w="113" w:type="dxa"/>
            </w:tcMar>
          </w:tcPr>
          <w:bookmarkStart w:id="3" w:name="LegalEntity" w:displacedByCustomXml="next"/>
          <w:sdt>
            <w:sdtPr>
              <w:alias w:val="[Legal entity]"/>
              <w:tag w:val="[Legal entity]"/>
              <w:id w:val="129451759"/>
              <w:placeholder>
                <w:docPart w:val="BC5B3FF9FBFB4FB48BA9BB1BCF2F3882"/>
              </w:placeholder>
              <w:dataBinding w:xpath="/*[local-name()='Entity']/*[local-name()='Name']" w:storeItemID="{17494CFE-B16B-45E0-B337-B2EC1F71C4FD}"/>
              <w:text/>
            </w:sdtPr>
            <w:sdtContent>
              <w:p w14:paraId="6FC87046" w14:textId="77777777" w:rsidR="005E43B2" w:rsidRPr="00076630" w:rsidRDefault="00492A74" w:rsidP="003D4A8B">
                <w:pPr>
                  <w:pStyle w:val="TableTextBold"/>
                  <w:rPr>
                    <w:rFonts w:asciiTheme="majorHAnsi" w:hAnsiTheme="majorHAnsi"/>
                    <w:b w:val="0"/>
                    <w:sz w:val="20"/>
                  </w:rPr>
                </w:pPr>
                <w:r>
                  <w:t>Jacobs Group (Australia) Pty Limited</w:t>
                </w:r>
              </w:p>
            </w:sdtContent>
          </w:sdt>
        </w:tc>
        <w:tc>
          <w:tcPr>
            <w:tcW w:w="1973" w:type="pct"/>
            <w:tcBorders>
              <w:top w:val="single" w:sz="4" w:space="0" w:color="007D55" w:themeColor="accent1"/>
            </w:tcBorders>
            <w:tcMar>
              <w:top w:w="113" w:type="dxa"/>
              <w:left w:w="0" w:type="dxa"/>
              <w:right w:w="113" w:type="dxa"/>
            </w:tcMar>
          </w:tcPr>
          <w:p w14:paraId="778828E9" w14:textId="77777777" w:rsidR="005E43B2" w:rsidRPr="001D34C7" w:rsidRDefault="005E43B2" w:rsidP="003D4A8B">
            <w:pPr>
              <w:pStyle w:val="TableText"/>
            </w:pPr>
          </w:p>
        </w:tc>
      </w:tr>
      <w:tr w:rsidR="005E43B2" w:rsidRPr="0081318D" w14:paraId="06E58A95" w14:textId="77777777" w:rsidTr="003D4A8B">
        <w:tc>
          <w:tcPr>
            <w:tcW w:w="3027" w:type="pct"/>
            <w:tcMar>
              <w:left w:w="0" w:type="dxa"/>
              <w:bottom w:w="113" w:type="dxa"/>
              <w:right w:w="113" w:type="dxa"/>
            </w:tcMar>
          </w:tcPr>
          <w:p w14:paraId="4BFAEC08" w14:textId="77777777" w:rsidR="005E43B2" w:rsidRPr="00002472" w:rsidRDefault="00000000" w:rsidP="003D4A8B">
            <w:pPr>
              <w:pStyle w:val="TableText"/>
            </w:pPr>
            <w:sdt>
              <w:sdtPr>
                <w:alias w:val="Address"/>
                <w:tag w:val="Address"/>
                <w:id w:val="1938176431"/>
                <w:placeholder>
                  <w:docPart w:val="02DA063D7B374C3C8A26894223FA6BDA"/>
                </w:placeholder>
                <w:dataBinding w:xpath="/*[local-name()='Office']/*[local-name()='MultilineAddress']" w:storeItemID="{97EA3BE3-DB90-4674-B6D8-90E288ED513C}"/>
                <w:text w:multiLine="1"/>
              </w:sdtPr>
              <w:sdtContent>
                <w:r w:rsidR="00492A74">
                  <w:t>Floor 13, 452 Flinders Street</w:t>
                </w:r>
                <w:r w:rsidR="00492A74">
                  <w:br/>
                  <w:t>Melbourne, VIC 3000</w:t>
                </w:r>
                <w:r w:rsidR="00492A74">
                  <w:br/>
                  <w:t>PO Box 312, Flinders Lane</w:t>
                </w:r>
                <w:r w:rsidR="00492A74">
                  <w:br/>
                  <w:t>Melbourne, VIC 8009</w:t>
                </w:r>
                <w:r w:rsidR="00492A74">
                  <w:br/>
                  <w:t>Australia</w:t>
                </w:r>
              </w:sdtContent>
            </w:sdt>
          </w:p>
        </w:tc>
        <w:tc>
          <w:tcPr>
            <w:tcW w:w="1973" w:type="pct"/>
            <w:tcMar>
              <w:left w:w="0" w:type="dxa"/>
              <w:right w:w="113" w:type="dxa"/>
            </w:tcMar>
          </w:tcPr>
          <w:p w14:paraId="743DD2DC" w14:textId="77777777" w:rsidR="00AD5B49" w:rsidRDefault="00AD5B49" w:rsidP="00AD5B49">
            <w:pPr>
              <w:pStyle w:val="TableText"/>
            </w:pPr>
            <w:r>
              <w:t xml:space="preserve">T </w:t>
            </w:r>
            <w:sdt>
              <w:sdtPr>
                <w:alias w:val="Phone number"/>
                <w:tag w:val="&lt;?xml version=&quot;1.0&quot; encoding=&quot;utf-16&quot;?&gt;&#10;&lt;PrecedentInstruction&gt;&#10;  &lt;Command&gt;DeleteLineIf&lt;/Command&gt;&#10;  &lt;DataNamespace&gt;http://schemas.macroview.com.au/office&lt;/DataNamespace&gt;&#10;  &lt;Expression&gt;string.IsNullOrEmpty(obj.PhoneNumber)&lt;/Expression&gt;&#10;  &lt;UpdateAfterVariables /&gt;&#10;&lt;/PrecedentInstruction&gt;"/>
                <w:id w:val="1492364429"/>
                <w:placeholder>
                  <w:docPart w:val="E78F25158DD24B44AAAB13BDE0EC0549"/>
                </w:placeholder>
                <w:dataBinding w:xpath="/*[local-name()='Office']/*[local-name()='PhoneNumber']" w:storeItemID="{97EA3BE3-DB90-4674-B6D8-90E288ED513C}"/>
                <w:text/>
              </w:sdtPr>
              <w:sdtContent>
                <w:r w:rsidR="00492A74">
                  <w:t>+61 3 8668 3000</w:t>
                </w:r>
              </w:sdtContent>
            </w:sdt>
          </w:p>
          <w:p w14:paraId="02CF279B" w14:textId="77777777" w:rsidR="00AD5B49" w:rsidRDefault="00AD5B49" w:rsidP="00AD5B49">
            <w:pPr>
              <w:pStyle w:val="TableText"/>
            </w:pPr>
            <w:r>
              <w:t xml:space="preserve">F </w:t>
            </w:r>
            <w:sdt>
              <w:sdtPr>
                <w:alias w:val="Fax number"/>
                <w:tag w:val="&lt;?xml version=&quot;1.0&quot; encoding=&quot;utf-16&quot;?&gt;&#10;&lt;PrecedentInstruction&gt;&#10;  &lt;Command&gt;DeleteLineIf&lt;/Command&gt;&#10;  &lt;DataNamespace&gt;http://schemas.macroview.com.au/office&lt;/DataNamespace&gt;&#10;  &lt;Expression&gt;string.IsNullOrEmpty(obj.FacsimileNumber)&lt;/Expression&gt;&#10;  &lt;UpdateAfterVariables /&gt;&#10;&lt;/PrecedentInstruction&gt;"/>
                <w:id w:val="163830214"/>
                <w:placeholder>
                  <w:docPart w:val="3E3C9FBED8CE44C7A54826EEE9DFFECB"/>
                </w:placeholder>
                <w:dataBinding w:xpath="/*[local-name()='Office']/*[local-name()='FacsimileNumber']" w:storeItemID="{97EA3BE3-DB90-4674-B6D8-90E288ED513C}"/>
                <w:text/>
              </w:sdtPr>
              <w:sdtContent>
                <w:r w:rsidR="00492A74">
                  <w:t>+61 3 8668 3001</w:t>
                </w:r>
              </w:sdtContent>
            </w:sdt>
          </w:p>
          <w:sdt>
            <w:sdtPr>
              <w:alias w:val="[Website]"/>
              <w:id w:val="-1435738659"/>
              <w:placeholder>
                <w:docPart w:val="6A71919A28AC4F12B55FC3F75710D707"/>
              </w:placeholder>
              <w:dataBinding w:xpath="/*[local-name()='Entity']/*[local-name()='Web']" w:storeItemID="{17494CFE-B16B-45E0-B337-B2EC1F71C4FD}"/>
              <w:text/>
            </w:sdtPr>
            <w:sdtContent>
              <w:p w14:paraId="602F0527" w14:textId="77777777" w:rsidR="005E43B2" w:rsidRPr="001D34C7" w:rsidRDefault="00492A74" w:rsidP="003D4A8B">
                <w:pPr>
                  <w:pStyle w:val="TableText"/>
                </w:pPr>
                <w:r>
                  <w:t>www.jacobs.com</w:t>
                </w:r>
              </w:p>
            </w:sdtContent>
          </w:sdt>
        </w:tc>
      </w:tr>
      <w:tr w:rsidR="005E43B2" w:rsidRPr="0081318D" w14:paraId="3CA337D9" w14:textId="77777777" w:rsidTr="003D4A8B">
        <w:trPr>
          <w:trHeight w:val="245"/>
        </w:trPr>
        <w:tc>
          <w:tcPr>
            <w:tcW w:w="5000" w:type="pct"/>
            <w:gridSpan w:val="2"/>
            <w:tcBorders>
              <w:top w:val="single" w:sz="4" w:space="0" w:color="007D55" w:themeColor="accent1"/>
            </w:tcBorders>
            <w:tcMar>
              <w:left w:w="0" w:type="dxa"/>
              <w:right w:w="113" w:type="dxa"/>
            </w:tcMar>
          </w:tcPr>
          <w:p w14:paraId="2F021F57" w14:textId="04016CC5" w:rsidR="005E43B2" w:rsidRPr="00470CFD" w:rsidRDefault="005E43B2" w:rsidP="003D4A8B">
            <w:pPr>
              <w:pStyle w:val="Disclaimer"/>
            </w:pPr>
            <w:r w:rsidRPr="00470CFD">
              <w:t xml:space="preserve">Copyright </w:t>
            </w:r>
            <w:sdt>
              <w:sdtPr>
                <w:rPr>
                  <w:bCs/>
                </w:rPr>
                <w:alias w:val="[Legal entity]"/>
                <w:tag w:val="[Legal entity]"/>
                <w:id w:val="-1408378300"/>
                <w:placeholder>
                  <w:docPart w:val="0E8847960B2842A190BE66BE2DB74117"/>
                </w:placeholder>
                <w:dataBinding w:xpath="/*[local-name()='Entity']/*[local-name()='Name']" w:storeItemID="{17494CFE-B16B-45E0-B337-B2EC1F71C4FD}"/>
                <w:text/>
              </w:sdtPr>
              <w:sdtContent>
                <w:r w:rsidR="00492A74">
                  <w:rPr>
                    <w:bCs/>
                  </w:rPr>
                  <w:t>Jacobs Group (Australia) Pty Limited</w:t>
                </w:r>
              </w:sdtContent>
            </w:sdt>
            <w:r w:rsidRPr="00470CFD">
              <w:t xml:space="preserve"> </w:t>
            </w:r>
            <w:r w:rsidR="00692540">
              <w:rPr>
                <w:rFonts w:cstheme="minorHAnsi"/>
              </w:rPr>
              <w:t>©</w:t>
            </w:r>
            <w:r w:rsidRPr="00470CFD">
              <w:t xml:space="preserve"> </w:t>
            </w:r>
            <w:r w:rsidRPr="00470CFD">
              <w:fldChar w:fldCharType="begin"/>
            </w:r>
            <w:r w:rsidRPr="00470CFD">
              <w:instrText xml:space="preserve"> DATE  \@ "YYYY" </w:instrText>
            </w:r>
            <w:r w:rsidRPr="00470CFD">
              <w:fldChar w:fldCharType="separate"/>
            </w:r>
            <w:r w:rsidR="00B2295B">
              <w:rPr>
                <w:noProof/>
              </w:rPr>
              <w:t>2023</w:t>
            </w:r>
            <w:r w:rsidRPr="00470CFD">
              <w:fldChar w:fldCharType="end"/>
            </w:r>
            <w:r w:rsidRPr="00470CFD">
              <w:t>.</w:t>
            </w:r>
          </w:p>
          <w:p w14:paraId="7F7922B2" w14:textId="77777777" w:rsidR="000E3960" w:rsidRPr="000E3960" w:rsidRDefault="000E3960" w:rsidP="000E3960">
            <w:pPr>
              <w:pStyle w:val="Disclaimer"/>
            </w:pPr>
            <w:r w:rsidRPr="000E3960">
              <w:t>All rights reserved. The concepts and information contained in this document are the property of the Jacobs group of companies. Use or copying of this document in whole or in part without the written permission of Jacobs constitutes an infringement of copyright. Jacobs, the Jacobs logo, and all other Jacobs trademarks are the property of Jacobs.</w:t>
            </w:r>
          </w:p>
          <w:p w14:paraId="6534FB8D" w14:textId="77777777" w:rsidR="005E43B2" w:rsidRPr="001D34C7" w:rsidRDefault="005E43B2" w:rsidP="003D4A8B">
            <w:pPr>
              <w:pStyle w:val="Disclaimer"/>
            </w:pPr>
            <w:r w:rsidRPr="00470CFD">
              <w:t>NOTICE: This document has been prepared exclusively for the use and benefit of Jacobs’ client.  Jacobs accepts no liability or responsibility for any use or reliance upon this document by any third party.</w:t>
            </w:r>
          </w:p>
        </w:tc>
      </w:tr>
      <w:bookmarkEnd w:id="3"/>
    </w:tbl>
    <w:p w14:paraId="5CA261B0" w14:textId="77777777" w:rsidR="00D25838" w:rsidRPr="00D10539" w:rsidRDefault="00D25838" w:rsidP="00D10539">
      <w:pPr>
        <w:tabs>
          <w:tab w:val="left" w:pos="6000"/>
        </w:tabs>
        <w:sectPr w:rsidR="00D25838" w:rsidRPr="00D10539" w:rsidSect="00ED5407">
          <w:headerReference w:type="even" r:id="rId28"/>
          <w:headerReference w:type="default" r:id="rId29"/>
          <w:footerReference w:type="even" r:id="rId30"/>
          <w:footerReference w:type="default" r:id="rId31"/>
          <w:headerReference w:type="first" r:id="rId32"/>
          <w:footerReference w:type="first" r:id="rId33"/>
          <w:pgSz w:w="11906" w:h="16838" w:code="9"/>
          <w:pgMar w:top="2302" w:right="1440" w:bottom="1134" w:left="1440" w:header="936" w:footer="0" w:gutter="0"/>
          <w:pgNumType w:fmt="lowerRoman"/>
          <w:cols w:space="720"/>
          <w:docGrid w:linePitch="360"/>
        </w:sectPr>
      </w:pPr>
    </w:p>
    <w:p w14:paraId="5C8A7F51" w14:textId="77777777" w:rsidR="0044500E" w:rsidRDefault="0044500E" w:rsidP="00E13B7E">
      <w:pPr>
        <w:pStyle w:val="Headingunnumbered1"/>
      </w:pPr>
      <w:bookmarkStart w:id="4" w:name="_Toc70933333"/>
      <w:bookmarkStart w:id="5" w:name="_Toc89265638"/>
      <w:bookmarkStart w:id="6" w:name="_Toc89265661"/>
      <w:bookmarkStart w:id="7" w:name="_Toc89455706"/>
      <w:bookmarkStart w:id="8" w:name="_Toc90318222"/>
      <w:bookmarkStart w:id="9" w:name="_Toc131178657"/>
      <w:bookmarkStart w:id="10" w:name="_Toc41573217"/>
      <w:r w:rsidRPr="00687DFD">
        <w:lastRenderedPageBreak/>
        <w:t>Executive</w:t>
      </w:r>
      <w:r>
        <w:t xml:space="preserve"> </w:t>
      </w:r>
      <w:r w:rsidR="00A41E1B">
        <w:t>s</w:t>
      </w:r>
      <w:r>
        <w:t>ummary</w:t>
      </w:r>
      <w:bookmarkEnd w:id="4"/>
      <w:bookmarkEnd w:id="5"/>
      <w:bookmarkEnd w:id="6"/>
      <w:bookmarkEnd w:id="7"/>
      <w:bookmarkEnd w:id="8"/>
      <w:bookmarkEnd w:id="9"/>
    </w:p>
    <w:p w14:paraId="5CA7745C" w14:textId="77777777" w:rsidR="00663893" w:rsidRDefault="00663893" w:rsidP="00663893">
      <w:pPr>
        <w:pStyle w:val="Headingunnumbered2"/>
      </w:pPr>
      <w:bookmarkStart w:id="11" w:name="_Toc121242295"/>
      <w:bookmarkStart w:id="12" w:name="_Toc131178658"/>
      <w:r>
        <w:t>Audit scope and objectives</w:t>
      </w:r>
      <w:bookmarkEnd w:id="11"/>
      <w:bookmarkEnd w:id="12"/>
    </w:p>
    <w:p w14:paraId="1F27C6D0" w14:textId="77F7A0C0" w:rsidR="00663893" w:rsidRDefault="00663893" w:rsidP="00663893">
      <w:pPr>
        <w:pStyle w:val="BodyText"/>
      </w:pPr>
      <w:r>
        <w:t xml:space="preserve">This report documents the methods, results, findings and recommendations of an environmental audit of timber harvesting operations in Victoria’s State forests. Jacobs Group (Australia) Pty Ltd (Jacobs) was commissioned by the Department of </w:t>
      </w:r>
      <w:r w:rsidR="00132982">
        <w:t xml:space="preserve">Energy, </w:t>
      </w:r>
      <w:r>
        <w:t>Environment</w:t>
      </w:r>
      <w:r w:rsidR="00132982">
        <w:t xml:space="preserve"> and Climate Action</w:t>
      </w:r>
      <w:r>
        <w:t xml:space="preserve"> (</w:t>
      </w:r>
      <w:r w:rsidR="00132982">
        <w:t>DEECA</w:t>
      </w:r>
      <w:r>
        <w:t xml:space="preserve">) to deliver the audit, as part of its Forest Audit Program (FAP). The audit addresses mandatory compliance elements from the Code of Practice for Timber Production (the Code) and the Management Standards and Procedures for Timber Harvesting Operations in Victoria’s State forests (the MSPs). </w:t>
      </w:r>
    </w:p>
    <w:p w14:paraId="5402E7C9" w14:textId="0687ED02" w:rsidR="00663893" w:rsidRDefault="00663893" w:rsidP="00663893">
      <w:pPr>
        <w:pStyle w:val="BodyText"/>
      </w:pPr>
      <w:r>
        <w:t xml:space="preserve">The FAP has been in operation since 2002 and has been managed by </w:t>
      </w:r>
      <w:r w:rsidR="0021306E">
        <w:t xml:space="preserve">DEECA </w:t>
      </w:r>
      <w:r>
        <w:t xml:space="preserve">since 2010. The audit is commissioned by the Timber Harvesting Compliance Unit (THCU), within </w:t>
      </w:r>
      <w:r w:rsidR="0021306E">
        <w:t>DEECA</w:t>
      </w:r>
      <w:r w:rsidR="00293377">
        <w:t>’s</w:t>
      </w:r>
      <w:r w:rsidR="0021306E">
        <w:t xml:space="preserve"> </w:t>
      </w:r>
      <w:r>
        <w:t xml:space="preserve">Conservation Regulator. FAP audits are designed to assess conformance with the regulatory framework for timber harvesting operations in State forests and identify and assess any risk of harm non-conformances pose to the environment. The FAP plays an important role in </w:t>
      </w:r>
      <w:r w:rsidR="00B07707">
        <w:t xml:space="preserve">the </w:t>
      </w:r>
      <w:r>
        <w:t>continuous improvement in sustainable forest management within Victoria’s State forests.</w:t>
      </w:r>
    </w:p>
    <w:p w14:paraId="0E82FC23" w14:textId="6E6F7BE9" w:rsidR="00663893" w:rsidRDefault="00663893" w:rsidP="00663893">
      <w:pPr>
        <w:pStyle w:val="BodyText"/>
      </w:pPr>
      <w:r>
        <w:t xml:space="preserve">The specific regulatory compliance criteria that were considered in this years’ audit were selected by </w:t>
      </w:r>
      <w:r w:rsidR="00F02824">
        <w:t>Conservation Regulator staff</w:t>
      </w:r>
      <w:r w:rsidR="00E7566A">
        <w:t xml:space="preserve"> </w:t>
      </w:r>
      <w:r>
        <w:t xml:space="preserve">from Code mandatory actions relating to: </w:t>
      </w:r>
    </w:p>
    <w:p w14:paraId="520F96B1" w14:textId="78C25B84" w:rsidR="00663893" w:rsidRDefault="00663893" w:rsidP="00663893">
      <w:pPr>
        <w:pStyle w:val="BulletLevel1"/>
      </w:pPr>
      <w:r>
        <w:t xml:space="preserve">Protection of soil, water and river health values </w:t>
      </w:r>
    </w:p>
    <w:p w14:paraId="3B14E52F" w14:textId="0593B55F" w:rsidR="00663893" w:rsidRDefault="00663893" w:rsidP="00663893">
      <w:pPr>
        <w:pStyle w:val="BulletLevel1"/>
      </w:pPr>
      <w:r>
        <w:t>Conservation of biodiversity</w:t>
      </w:r>
    </w:p>
    <w:p w14:paraId="2BA91098" w14:textId="6977A974" w:rsidR="00663893" w:rsidRDefault="00663893" w:rsidP="00663893">
      <w:pPr>
        <w:pStyle w:val="BulletLevel1"/>
      </w:pPr>
      <w:r>
        <w:t>Operational planning and record-keeping</w:t>
      </w:r>
    </w:p>
    <w:p w14:paraId="0FEE6CDD" w14:textId="3445F9B4" w:rsidR="00663893" w:rsidRDefault="00663893" w:rsidP="00663893">
      <w:pPr>
        <w:pStyle w:val="BulletLevel1"/>
      </w:pPr>
      <w:r>
        <w:t>Coupe infrastructure for timber harvesting operations.</w:t>
      </w:r>
    </w:p>
    <w:p w14:paraId="48D3255D" w14:textId="5E38D30B" w:rsidR="00663893" w:rsidRDefault="007F3D05" w:rsidP="00663893">
      <w:pPr>
        <w:pStyle w:val="BodyText"/>
      </w:pPr>
      <w:r>
        <w:rPr>
          <w:noProof/>
        </w:rPr>
        <mc:AlternateContent>
          <mc:Choice Requires="wps">
            <w:drawing>
              <wp:anchor distT="0" distB="0" distL="114300" distR="114300" simplePos="0" relativeHeight="251659776" behindDoc="1" locked="0" layoutInCell="1" allowOverlap="1" wp14:anchorId="450536CB" wp14:editId="2906D390">
                <wp:simplePos x="0" y="0"/>
                <wp:positionH relativeFrom="column">
                  <wp:posOffset>1815465</wp:posOffset>
                </wp:positionH>
                <wp:positionV relativeFrom="paragraph">
                  <wp:posOffset>504825</wp:posOffset>
                </wp:positionV>
                <wp:extent cx="4543425" cy="3264535"/>
                <wp:effectExtent l="0" t="0" r="9525" b="0"/>
                <wp:wrapTight wrapText="bothSides">
                  <wp:wrapPolygon edited="0">
                    <wp:start x="0" y="0"/>
                    <wp:lineTo x="0" y="21428"/>
                    <wp:lineTo x="21555" y="21428"/>
                    <wp:lineTo x="21555" y="0"/>
                    <wp:lineTo x="0" y="0"/>
                  </wp:wrapPolygon>
                </wp:wrapTight>
                <wp:docPr id="65" name="Text Box 65"/>
                <wp:cNvGraphicFramePr/>
                <a:graphic xmlns:a="http://schemas.openxmlformats.org/drawingml/2006/main">
                  <a:graphicData uri="http://schemas.microsoft.com/office/word/2010/wordprocessingShape">
                    <wps:wsp>
                      <wps:cNvSpPr txBox="1"/>
                      <wps:spPr>
                        <a:xfrm>
                          <a:off x="0" y="0"/>
                          <a:ext cx="4543425" cy="3264535"/>
                        </a:xfrm>
                        <a:prstGeom prst="rect">
                          <a:avLst/>
                        </a:prstGeom>
                        <a:solidFill>
                          <a:schemeClr val="lt1"/>
                        </a:solidFill>
                        <a:ln w="6350">
                          <a:noFill/>
                        </a:ln>
                      </wps:spPr>
                      <wps:txbx>
                        <w:txbxContent>
                          <w:p w14:paraId="65C20EBF" w14:textId="677AE678" w:rsidR="007F3D05" w:rsidRDefault="007E5FD2">
                            <w:r w:rsidRPr="007E5FD2">
                              <w:rPr>
                                <w:noProof/>
                              </w:rPr>
                              <w:drawing>
                                <wp:inline distT="0" distB="0" distL="0" distR="0" wp14:anchorId="0F758789" wp14:editId="027E321A">
                                  <wp:extent cx="4235411" cy="297881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1031" t="2550" r="1690" b="722"/>
                                          <a:stretch/>
                                        </pic:blipFill>
                                        <pic:spPr bwMode="auto">
                                          <a:xfrm>
                                            <a:off x="0" y="0"/>
                                            <a:ext cx="4235696" cy="2979013"/>
                                          </a:xfrm>
                                          <a:prstGeom prst="rect">
                                            <a:avLst/>
                                          </a:prstGeom>
                                          <a:noFill/>
                                          <a:ln>
                                            <a:noFill/>
                                          </a:ln>
                                          <a:extLst>
                                            <a:ext uri="{53640926-AAD7-44D8-BBD7-CCE9431645EC}">
                                              <a14:shadowObscured xmlns:a14="http://schemas.microsoft.com/office/drawing/2010/main"/>
                                            </a:ext>
                                          </a:extLst>
                                        </pic:spPr>
                                      </pic:pic>
                                    </a:graphicData>
                                  </a:graphic>
                                </wp:inline>
                              </w:drawing>
                            </w:r>
                          </w:p>
                          <w:p w14:paraId="1176B0D9" w14:textId="41255F6D" w:rsidR="005606A0" w:rsidRPr="005606A0" w:rsidRDefault="005606A0">
                            <w:pPr>
                              <w:rPr>
                                <w:b/>
                                <w:bCs/>
                              </w:rPr>
                            </w:pPr>
                            <w:r>
                              <w:rPr>
                                <w:b/>
                                <w:bCs/>
                              </w:rPr>
                              <w:t>Figure ES-1. Location of target coupes for 2022 FAP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0536CB" id="_x0000_t202" coordsize="21600,21600" o:spt="202" path="m,l,21600r21600,l21600,xe">
                <v:stroke joinstyle="miter"/>
                <v:path gradientshapeok="t" o:connecttype="rect"/>
              </v:shapetype>
              <v:shape id="Text Box 65" o:spid="_x0000_s1026" type="#_x0000_t202" style="position:absolute;margin-left:142.95pt;margin-top:39.75pt;width:357.75pt;height:257.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" fillcolor="white [3201]" stroked="f" strokeweight=".5pt">
                <v:textbox>
                  <w:txbxContent>
                    <w:p w14:paraId="65C20EBF" w14:textId="677AE678" w:rsidR="007F3D05" w:rsidRDefault="007E5FD2">
                      <w:r w:rsidRPr="007E5FD2">
                        <w:rPr>
                          <w:noProof/>
                        </w:rPr>
                        <w:drawing>
                          <wp:inline distT="0" distB="0" distL="0" distR="0" wp14:anchorId="0F758789" wp14:editId="027E321A">
                            <wp:extent cx="4235411" cy="297881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1031" t="2550" r="1690" b="722"/>
                                    <a:stretch/>
                                  </pic:blipFill>
                                  <pic:spPr bwMode="auto">
                                    <a:xfrm>
                                      <a:off x="0" y="0"/>
                                      <a:ext cx="4235696" cy="2979013"/>
                                    </a:xfrm>
                                    <a:prstGeom prst="rect">
                                      <a:avLst/>
                                    </a:prstGeom>
                                    <a:noFill/>
                                    <a:ln>
                                      <a:noFill/>
                                    </a:ln>
                                    <a:extLst>
                                      <a:ext uri="{53640926-AAD7-44D8-BBD7-CCE9431645EC}">
                                        <a14:shadowObscured xmlns:a14="http://schemas.microsoft.com/office/drawing/2010/main"/>
                                      </a:ext>
                                    </a:extLst>
                                  </pic:spPr>
                                </pic:pic>
                              </a:graphicData>
                            </a:graphic>
                          </wp:inline>
                        </w:drawing>
                      </w:r>
                    </w:p>
                    <w:p w14:paraId="1176B0D9" w14:textId="41255F6D" w:rsidR="005606A0" w:rsidRPr="005606A0" w:rsidRDefault="005606A0">
                      <w:pPr>
                        <w:rPr>
                          <w:b/>
                          <w:bCs/>
                        </w:rPr>
                      </w:pPr>
                      <w:r>
                        <w:rPr>
                          <w:b/>
                          <w:bCs/>
                        </w:rPr>
                        <w:t>Figure ES-1. Location of target coupes for 2022 FAP</w:t>
                      </w:r>
                    </w:p>
                  </w:txbxContent>
                </v:textbox>
                <w10:wrap type="tight"/>
              </v:shape>
            </w:pict>
          </mc:Fallback>
        </mc:AlternateContent>
      </w:r>
      <w:r w:rsidR="00663893">
        <w:t>Conformance with the regulatory framework was assessed for 32 coupes listed in VicForests’ Timber Release Plan (TRP) in the Central Highlands, East Gippsland, Gippsland and North East Regional Forest Agreement (RFA) regions (Figure ES</w:t>
      </w:r>
      <w:r>
        <w:t>-</w:t>
      </w:r>
      <w:r w:rsidR="00663893">
        <w:t xml:space="preserve">1) and with harvesting activity reported in 2020-21. Four of the coupes in the Central Highlands RFA region were located in Melbourne Water catchment areas. </w:t>
      </w:r>
    </w:p>
    <w:p w14:paraId="674D3AC6" w14:textId="77777777" w:rsidR="00663893" w:rsidRDefault="00663893" w:rsidP="00663893">
      <w:pPr>
        <w:pStyle w:val="Headingunnumbered2"/>
      </w:pPr>
      <w:bookmarkStart w:id="13" w:name="_Toc121242296"/>
      <w:bookmarkStart w:id="14" w:name="_Toc131178659"/>
      <w:r>
        <w:t>Audit approach</w:t>
      </w:r>
      <w:bookmarkEnd w:id="13"/>
      <w:bookmarkEnd w:id="14"/>
    </w:p>
    <w:p w14:paraId="18D49D8A" w14:textId="45F19247" w:rsidR="00663893" w:rsidRDefault="00663893" w:rsidP="00663893">
      <w:pPr>
        <w:pStyle w:val="BodyText"/>
      </w:pPr>
      <w:r>
        <w:t>Prospective coupes for the audit were selected using a risk-based procedure that emphasised coupes with: waterway crossings; long lengths of in-coupe road; steep slopes</w:t>
      </w:r>
      <w:r w:rsidR="00F907CE">
        <w:t>;</w:t>
      </w:r>
      <w:r>
        <w:t xml:space="preserve"> more erosive soils; rainforest vegetation in close proximity; presence of threatened flora and/or fauna; Special Protection or Special Management Zones (SPZ and SMZ respectively) in close proximity. </w:t>
      </w:r>
    </w:p>
    <w:p w14:paraId="2FAC8848" w14:textId="5F8598B7" w:rsidR="00663893" w:rsidRDefault="00663893" w:rsidP="00663893">
      <w:pPr>
        <w:pStyle w:val="BodyText"/>
      </w:pPr>
      <w:r>
        <w:t>As coupe selection was risk-based rather than fully randomised, the findings of this audit cannot be taken as being statistically representative of VicForests’ operations overall.</w:t>
      </w:r>
    </w:p>
    <w:p w14:paraId="08F50122" w14:textId="13D0CB55" w:rsidR="00663893" w:rsidRDefault="00663893" w:rsidP="00663893">
      <w:pPr>
        <w:pStyle w:val="BodyText"/>
      </w:pPr>
      <w:r>
        <w:t xml:space="preserve">Compliance criteria considered in the audit drew on mandatory requirements of the Code and related clauses of the MSPs. Audits of individual coupes considered up to 171 compliance criteria. An audit workbook was completed for each coupe, based on observations by the audit team and their review of VicForests’ Forest </w:t>
      </w:r>
      <w:r>
        <w:lastRenderedPageBreak/>
        <w:t>Coupe Plan (FCP) and related coupe planning information. Where instances of non-conformance with the regulatory framework were detected, their potential environmental impact was assessed using the FAP’s environmental impact assessment (EIA) tool. Field assessments for the audit were undertaken in June</w:t>
      </w:r>
      <w:r w:rsidR="00DE3209">
        <w:t>, July and October</w:t>
      </w:r>
      <w:r>
        <w:t xml:space="preserve"> 202</w:t>
      </w:r>
      <w:r w:rsidR="00DE3209">
        <w:t>2</w:t>
      </w:r>
      <w:r>
        <w:t>.</w:t>
      </w:r>
    </w:p>
    <w:p w14:paraId="3A393A10" w14:textId="2340860A" w:rsidR="00663893" w:rsidRDefault="00663893" w:rsidP="00663893">
      <w:pPr>
        <w:pStyle w:val="BodyText"/>
      </w:pPr>
      <w:r>
        <w:t>VicForests personnel accompanied the audit team on all coupe assessments. This enabled useful discussions about planning and management practices, applicable elements of the regulatory framework and any non-conformances that were observed.</w:t>
      </w:r>
    </w:p>
    <w:p w14:paraId="407540F1" w14:textId="77777777" w:rsidR="00663893" w:rsidRDefault="00663893" w:rsidP="00DE3209">
      <w:pPr>
        <w:pStyle w:val="Headingunnumbered2"/>
      </w:pPr>
      <w:bookmarkStart w:id="15" w:name="_Toc121242297"/>
      <w:bookmarkStart w:id="16" w:name="_Toc131178660"/>
      <w:r>
        <w:t>Audit findings</w:t>
      </w:r>
      <w:bookmarkEnd w:id="15"/>
      <w:bookmarkEnd w:id="16"/>
    </w:p>
    <w:p w14:paraId="6E5AE456" w14:textId="23846B37" w:rsidR="00DE3209" w:rsidRDefault="00DE3209" w:rsidP="00DE3209">
      <w:pPr>
        <w:pStyle w:val="BodyText"/>
      </w:pPr>
      <w:r>
        <w:t xml:space="preserve">The overall level of full conformance with applicable audit criteria across the 32 coupes ranged between </w:t>
      </w:r>
      <w:r w:rsidR="008E112C">
        <w:t>87</w:t>
      </w:r>
      <w:r>
        <w:t xml:space="preserve">% and 100%, with the average being 96%. Non-conformance incidents in 20 of the 32 coupes included in the audit were assessed to have </w:t>
      </w:r>
      <w:r w:rsidR="000832AA">
        <w:t xml:space="preserve">the </w:t>
      </w:r>
      <w:r>
        <w:t>potential for environmental impact. There was an average of 1.</w:t>
      </w:r>
      <w:r w:rsidR="004C35FD">
        <w:t>4</w:t>
      </w:r>
      <w:r w:rsidR="00443195">
        <w:t xml:space="preserve"> </w:t>
      </w:r>
      <w:r>
        <w:t xml:space="preserve">such incidents per coupe, with as many as </w:t>
      </w:r>
      <w:r w:rsidR="00F92DA4">
        <w:t xml:space="preserve">six </w:t>
      </w:r>
      <w:r>
        <w:t xml:space="preserve">incidents recorded (in </w:t>
      </w:r>
      <w:r w:rsidR="00233EC7">
        <w:t xml:space="preserve">one </w:t>
      </w:r>
      <w:r>
        <w:t xml:space="preserve">coupe). The assessed level of potential environmental impact associated with these incidents ranged </w:t>
      </w:r>
      <w:r w:rsidR="003042EB">
        <w:t xml:space="preserve">between </w:t>
      </w:r>
      <w:r w:rsidR="003E61AD">
        <w:t>negligible</w:t>
      </w:r>
      <w:r w:rsidR="003042EB">
        <w:t xml:space="preserve"> and </w:t>
      </w:r>
      <w:r>
        <w:t>major</w:t>
      </w:r>
      <w:r w:rsidR="003042EB">
        <w:t>, with moderate being the most common rating</w:t>
      </w:r>
      <w:r>
        <w:t xml:space="preserve">. </w:t>
      </w:r>
    </w:p>
    <w:p w14:paraId="2E7CB661" w14:textId="2A11DB2D" w:rsidR="00663893" w:rsidRDefault="00663893" w:rsidP="00663893">
      <w:pPr>
        <w:pStyle w:val="BodyText"/>
      </w:pPr>
      <w:r>
        <w:t>Audit criteria were grouped into four themes and several sub-themes. A summary of audit results against each theme and sub-theme is given below:</w:t>
      </w:r>
    </w:p>
    <w:p w14:paraId="016D6ECD" w14:textId="2205FA58" w:rsidR="00663893" w:rsidRDefault="00663893" w:rsidP="00DE3209">
      <w:pPr>
        <w:pStyle w:val="BulletLevel1"/>
      </w:pPr>
      <w:r w:rsidRPr="00DE3209">
        <w:rPr>
          <w:i/>
          <w:iCs/>
        </w:rPr>
        <w:t>Environment:</w:t>
      </w:r>
      <w:r>
        <w:t xml:space="preserve"> compliance criteria focus on the protection of soil and water values. The average level of full conformance with applicable audit criteria was:</w:t>
      </w:r>
    </w:p>
    <w:p w14:paraId="5E404D7E" w14:textId="7F129FAF" w:rsidR="00663893" w:rsidRDefault="00663893" w:rsidP="00DE3209">
      <w:pPr>
        <w:pStyle w:val="BulletLevel2"/>
      </w:pPr>
      <w:r>
        <w:t>Forest soils: 9</w:t>
      </w:r>
      <w:r w:rsidR="00DE3209">
        <w:t>5</w:t>
      </w:r>
      <w:r>
        <w:t>% of applicable criteria</w:t>
      </w:r>
    </w:p>
    <w:p w14:paraId="63E9BC41" w14:textId="70A714B8" w:rsidR="00663893" w:rsidRDefault="00663893" w:rsidP="00DE3209">
      <w:pPr>
        <w:pStyle w:val="BulletLevel2"/>
      </w:pPr>
      <w:r>
        <w:t>Water flows, water quality and river health: 9</w:t>
      </w:r>
      <w:r w:rsidR="00DE3209">
        <w:t>4</w:t>
      </w:r>
      <w:r>
        <w:t xml:space="preserve">% of applicable criteria. </w:t>
      </w:r>
    </w:p>
    <w:p w14:paraId="18E7FAFC" w14:textId="6EDAAF94" w:rsidR="00663893" w:rsidRDefault="00663893" w:rsidP="00DE3209">
      <w:pPr>
        <w:pStyle w:val="BulletLevel1"/>
        <w:numPr>
          <w:ilvl w:val="0"/>
          <w:numId w:val="0"/>
        </w:numPr>
        <w:ind w:left="357"/>
      </w:pPr>
      <w:r>
        <w:t xml:space="preserve">The potential environmental impact associated with non-conformance incidents ranged up to </w:t>
      </w:r>
      <w:r w:rsidR="00DE3209">
        <w:t>major</w:t>
      </w:r>
      <w:r>
        <w:t xml:space="preserve"> for both sub-themes.</w:t>
      </w:r>
      <w:r w:rsidR="00DE3209">
        <w:t xml:space="preserve"> Incidents with major potential environmental impact were all linked to defective waterway crossings</w:t>
      </w:r>
      <w:r w:rsidR="00322B34">
        <w:t>.</w:t>
      </w:r>
    </w:p>
    <w:p w14:paraId="16944235" w14:textId="75E27F50" w:rsidR="00663893" w:rsidRDefault="00663893" w:rsidP="00DE3209">
      <w:pPr>
        <w:pStyle w:val="BulletLevel1"/>
      </w:pPr>
      <w:r w:rsidRPr="00322B34">
        <w:rPr>
          <w:i/>
          <w:iCs/>
        </w:rPr>
        <w:t>Conservation of biodiversity:</w:t>
      </w:r>
      <w:r>
        <w:t xml:space="preserve"> the average level of conformance for applicable criteria addressing biodiversity conservation was </w:t>
      </w:r>
      <w:r w:rsidR="00B94A56">
        <w:t>96</w:t>
      </w:r>
      <w:r>
        <w:t>%. Incidents resulting from non-conformance were assessed to have potential environmental impacts ranging up to major.</w:t>
      </w:r>
      <w:r w:rsidR="00DE3209">
        <w:t xml:space="preserve"> These posed risks to either terrestrial </w:t>
      </w:r>
      <w:r w:rsidR="00625650">
        <w:t xml:space="preserve">or </w:t>
      </w:r>
      <w:r w:rsidR="00322B34">
        <w:t xml:space="preserve">aquatic biodiversity values and related to a </w:t>
      </w:r>
      <w:r w:rsidR="00CD5630">
        <w:t xml:space="preserve">small </w:t>
      </w:r>
      <w:r w:rsidR="00322B34">
        <w:t>incursion into a</w:t>
      </w:r>
      <w:r w:rsidR="00CD5630">
        <w:t xml:space="preserve"> Leadbeaters Possum</w:t>
      </w:r>
      <w:r w:rsidR="00322B34">
        <w:t xml:space="preserve"> </w:t>
      </w:r>
      <w:r w:rsidR="00CF0B09">
        <w:t>special protection zone (</w:t>
      </w:r>
      <w:r w:rsidR="00322B34">
        <w:t>SPZ</w:t>
      </w:r>
      <w:r w:rsidR="00CF0B09">
        <w:t>)</w:t>
      </w:r>
      <w:r w:rsidR="00322B34">
        <w:t xml:space="preserve"> and defective waterway crossings, respectively.</w:t>
      </w:r>
    </w:p>
    <w:p w14:paraId="50BCA89F" w14:textId="2D7D430B" w:rsidR="00663893" w:rsidRDefault="00663893" w:rsidP="00322B34">
      <w:pPr>
        <w:pStyle w:val="BulletLevel1"/>
      </w:pPr>
      <w:r w:rsidRPr="00322B34">
        <w:rPr>
          <w:i/>
          <w:iCs/>
        </w:rPr>
        <w:t>Operational planning and record-keeping:</w:t>
      </w:r>
      <w:r>
        <w:t xml:space="preserve"> the average level of conformance for applicable criteria addressing operational planning and record-keeping was </w:t>
      </w:r>
      <w:r w:rsidR="00625650">
        <w:t>9</w:t>
      </w:r>
      <w:r w:rsidR="004B1E2F">
        <w:t>7</w:t>
      </w:r>
      <w:r>
        <w:t xml:space="preserve">%. Non-conformance incidents for this theme that were assessed to have potential environmental impact typically resulted from failure to properly implement </w:t>
      </w:r>
      <w:r w:rsidR="00322B34">
        <w:t xml:space="preserve">coupe </w:t>
      </w:r>
      <w:r>
        <w:t>plan</w:t>
      </w:r>
      <w:r w:rsidR="00322B34">
        <w:t>ning</w:t>
      </w:r>
      <w:r>
        <w:t>. Potential environmental impacts of non-conformances ranged up to major.</w:t>
      </w:r>
    </w:p>
    <w:p w14:paraId="709DAC88" w14:textId="70106966" w:rsidR="00663893" w:rsidRDefault="00663893" w:rsidP="00322B34">
      <w:pPr>
        <w:pStyle w:val="BulletLevel1"/>
      </w:pPr>
      <w:r w:rsidRPr="00322B34">
        <w:rPr>
          <w:i/>
          <w:iCs/>
        </w:rPr>
        <w:t>Coupe infrastructure:</w:t>
      </w:r>
      <w:r>
        <w:t xml:space="preserve"> criteria focus on measures to protect soil and water (particularly) from effects associated with roading, snig tracks, landings and other coupe infrastructure. Four sub-themes were identified:</w:t>
      </w:r>
    </w:p>
    <w:p w14:paraId="6BF0D643" w14:textId="05428E4B" w:rsidR="00663893" w:rsidRDefault="00663893" w:rsidP="00322B34">
      <w:pPr>
        <w:pStyle w:val="BulletLevel2"/>
      </w:pPr>
      <w:r>
        <w:t xml:space="preserve">In-coupe road design: the average level of full conformance was </w:t>
      </w:r>
      <w:r w:rsidR="00322B34">
        <w:t>96</w:t>
      </w:r>
      <w:r>
        <w:t xml:space="preserve">% of applicable criteria. </w:t>
      </w:r>
    </w:p>
    <w:p w14:paraId="1158C819" w14:textId="3981B9B0" w:rsidR="00663893" w:rsidRDefault="00663893" w:rsidP="00322B34">
      <w:pPr>
        <w:pStyle w:val="BulletLevel2"/>
      </w:pPr>
      <w:r>
        <w:t xml:space="preserve">In-coupe road construction: the average level of full conformance was </w:t>
      </w:r>
      <w:r w:rsidR="00322B34">
        <w:t>9</w:t>
      </w:r>
      <w:r w:rsidR="00DF236C">
        <w:t>3</w:t>
      </w:r>
      <w:r>
        <w:t>% of applicable criteria</w:t>
      </w:r>
    </w:p>
    <w:p w14:paraId="16010F06" w14:textId="0C3A299C" w:rsidR="00663893" w:rsidRDefault="00663893" w:rsidP="00322B34">
      <w:pPr>
        <w:pStyle w:val="BulletLevel2"/>
      </w:pPr>
      <w:r>
        <w:t xml:space="preserve">Maintenance and closure of in-coupe roads and waterway crossings: the average level of full conformance was </w:t>
      </w:r>
      <w:r w:rsidR="00322B34">
        <w:t>99</w:t>
      </w:r>
      <w:r>
        <w:t>% of applicable criteria</w:t>
      </w:r>
    </w:p>
    <w:p w14:paraId="41AA058A" w14:textId="74FDA27D" w:rsidR="00663893" w:rsidRDefault="00663893" w:rsidP="00322B34">
      <w:pPr>
        <w:pStyle w:val="BulletLevel2"/>
      </w:pPr>
      <w:r>
        <w:t>Other infrastructure (i.e., snig tracks, landings, boundary tracks): the average level of full conformance was 9</w:t>
      </w:r>
      <w:r w:rsidR="00322B34">
        <w:t>6</w:t>
      </w:r>
      <w:r>
        <w:t>% of applicable criteria.</w:t>
      </w:r>
    </w:p>
    <w:p w14:paraId="32A346FD" w14:textId="3F0D516E" w:rsidR="00663893" w:rsidRDefault="00663893" w:rsidP="00322B34">
      <w:pPr>
        <w:pStyle w:val="BulletLevel1"/>
        <w:numPr>
          <w:ilvl w:val="0"/>
          <w:numId w:val="0"/>
        </w:numPr>
        <w:ind w:left="357"/>
      </w:pPr>
      <w:r>
        <w:t xml:space="preserve">Potential environmental impacts for non-conformance incidents ranged up to </w:t>
      </w:r>
      <w:r w:rsidR="00322B34">
        <w:t>major</w:t>
      </w:r>
      <w:r>
        <w:t xml:space="preserve"> for all sub-themes</w:t>
      </w:r>
      <w:r w:rsidR="00322B34">
        <w:t xml:space="preserve"> apart from maintenance and closure</w:t>
      </w:r>
      <w:r>
        <w:t>.</w:t>
      </w:r>
      <w:r w:rsidR="00322B34">
        <w:t xml:space="preserve"> Incidents with major potential environmental impact related to defective in-coupe road or snig track waterway crossings.</w:t>
      </w:r>
    </w:p>
    <w:p w14:paraId="0D88F79F" w14:textId="1ECC4937" w:rsidR="00663893" w:rsidRDefault="00663893" w:rsidP="00663893">
      <w:pPr>
        <w:pStyle w:val="BodyText"/>
      </w:pPr>
      <w:r>
        <w:t xml:space="preserve">Other incident types with lesser potential environmental impact were observed in this audit. </w:t>
      </w:r>
      <w:r w:rsidR="00322B34">
        <w:t>Many</w:t>
      </w:r>
      <w:r>
        <w:t xml:space="preserve"> of these have been observed in multiple coupes in recent audits, including:</w:t>
      </w:r>
    </w:p>
    <w:p w14:paraId="5A904FCC" w14:textId="6DF0C288" w:rsidR="00663893" w:rsidRDefault="00663893" w:rsidP="00322B34">
      <w:pPr>
        <w:pStyle w:val="BulletLevel1"/>
      </w:pPr>
      <w:r>
        <w:t>Incursion of regeneration burns into buffers</w:t>
      </w:r>
      <w:r w:rsidR="00322B34">
        <w:t>, habitat islands</w:t>
      </w:r>
      <w:r>
        <w:t xml:space="preserve"> or other areas that were planned to be protected from timber harvesting and regeneration activities</w:t>
      </w:r>
    </w:p>
    <w:p w14:paraId="064B75FB" w14:textId="150109CA" w:rsidR="00663893" w:rsidRDefault="00663893" w:rsidP="00322B34">
      <w:pPr>
        <w:pStyle w:val="BulletLevel1"/>
      </w:pPr>
      <w:r>
        <w:t>Excessive spacing (relative to slope and soil erosion hazard) between effective cross-drainage structures on in-coupe roads, and snig and boundary tracks</w:t>
      </w:r>
    </w:p>
    <w:p w14:paraId="63E14653" w14:textId="5BD921EA" w:rsidR="00322B34" w:rsidRDefault="00322B34" w:rsidP="00322B34">
      <w:pPr>
        <w:pStyle w:val="BulletLevel1"/>
      </w:pPr>
      <w:r>
        <w:t>Formation of bark and debris piles whose ground area and volume exceed those specified in the MSPs.</w:t>
      </w:r>
    </w:p>
    <w:p w14:paraId="17F9E3A5" w14:textId="77777777" w:rsidR="00663893" w:rsidRDefault="00663893" w:rsidP="00322B34">
      <w:pPr>
        <w:pStyle w:val="Headingunnumbered2"/>
      </w:pPr>
      <w:bookmarkStart w:id="17" w:name="_Toc121242298"/>
      <w:bookmarkStart w:id="18" w:name="_Toc131178661"/>
      <w:r>
        <w:lastRenderedPageBreak/>
        <w:t>Recommendations</w:t>
      </w:r>
      <w:bookmarkEnd w:id="17"/>
      <w:bookmarkEnd w:id="18"/>
    </w:p>
    <w:p w14:paraId="689EF307" w14:textId="7CF9BEE6" w:rsidR="00663893" w:rsidRDefault="00663893" w:rsidP="00663893">
      <w:pPr>
        <w:pStyle w:val="BodyText"/>
      </w:pPr>
      <w:r>
        <w:t xml:space="preserve">Findings of this audit and reflections on previous audits have led to several recommendations from the audit team to VicForests and </w:t>
      </w:r>
      <w:r w:rsidR="00273F94">
        <w:t xml:space="preserve">DEECA </w:t>
      </w:r>
      <w:r>
        <w:t xml:space="preserve">(Table ES.1). These cover: </w:t>
      </w:r>
    </w:p>
    <w:p w14:paraId="34DE3553" w14:textId="23CCEEA0" w:rsidR="00663893" w:rsidRDefault="00663893" w:rsidP="00322B34">
      <w:pPr>
        <w:pStyle w:val="BulletLevel1"/>
      </w:pPr>
      <w:r>
        <w:t xml:space="preserve">Potential improvements in the management of timber harvesting operations </w:t>
      </w:r>
    </w:p>
    <w:p w14:paraId="4BB08C91" w14:textId="64820871" w:rsidR="00663893" w:rsidRDefault="00663893" w:rsidP="00322B34">
      <w:pPr>
        <w:pStyle w:val="BulletLevel1"/>
      </w:pPr>
      <w:r>
        <w:t>Operation of the FAP</w:t>
      </w:r>
    </w:p>
    <w:p w14:paraId="4F0D613B" w14:textId="44041D3D" w:rsidR="00663893" w:rsidRDefault="00663893" w:rsidP="00322B34">
      <w:pPr>
        <w:pStyle w:val="BulletLevel1"/>
      </w:pPr>
      <w:r>
        <w:t xml:space="preserve">Victoria’s timber harvesting regulatory framework. </w:t>
      </w:r>
    </w:p>
    <w:p w14:paraId="48433339" w14:textId="033D5DC1" w:rsidR="00735E07" w:rsidRDefault="00663893" w:rsidP="00183AB9">
      <w:pPr>
        <w:pStyle w:val="Caption"/>
      </w:pPr>
      <w:r>
        <w:t>Table ES</w:t>
      </w:r>
      <w:r w:rsidR="00322B34">
        <w:t>-</w:t>
      </w:r>
      <w:r>
        <w:t>1 Recommendations of the 2020-21 Forest Audit Program</w:t>
      </w:r>
    </w:p>
    <w:tbl>
      <w:tblPr>
        <w:tblStyle w:val="JacobsTable1accentprimarythemes"/>
        <w:tblW w:w="0" w:type="auto"/>
        <w:tblLook w:val="04A0" w:firstRow="1" w:lastRow="0" w:firstColumn="1" w:lastColumn="0" w:noHBand="0" w:noVBand="1"/>
      </w:tblPr>
      <w:tblGrid>
        <w:gridCol w:w="9638"/>
      </w:tblGrid>
      <w:tr w:rsidR="00322B34" w14:paraId="62FD3C92" w14:textId="77777777" w:rsidTr="00322B34">
        <w:trPr>
          <w:cnfStyle w:val="100000000000" w:firstRow="1" w:lastRow="0" w:firstColumn="0" w:lastColumn="0" w:oddVBand="0" w:evenVBand="0" w:oddHBand="0" w:evenHBand="0" w:firstRowFirstColumn="0" w:firstRowLastColumn="0" w:lastRowFirstColumn="0" w:lastRowLastColumn="0"/>
        </w:trPr>
        <w:tc>
          <w:tcPr>
            <w:tcW w:w="9638" w:type="dxa"/>
          </w:tcPr>
          <w:p w14:paraId="4B10EA67" w14:textId="39356071" w:rsidR="00322B34" w:rsidRDefault="00322B34" w:rsidP="00322B34">
            <w:pPr>
              <w:pStyle w:val="TableText"/>
            </w:pPr>
            <w:r>
              <w:t>Recommendations for VicForests</w:t>
            </w:r>
          </w:p>
        </w:tc>
      </w:tr>
      <w:tr w:rsidR="00322B34" w14:paraId="11994B21" w14:textId="77777777" w:rsidTr="00322B34">
        <w:tc>
          <w:tcPr>
            <w:tcW w:w="9638" w:type="dxa"/>
          </w:tcPr>
          <w:p w14:paraId="28098E00" w14:textId="04B949B3" w:rsidR="00322B34" w:rsidRDefault="00181280" w:rsidP="00181280">
            <w:pPr>
              <w:pStyle w:val="TableText"/>
            </w:pPr>
            <w:r>
              <w:t>V-01 High priority: That VicForests retain records of the full search effort, using surveys and habitat modelling, to identify threatened species that may be present within a coupe or may be affected by nearby harvesting activities.</w:t>
            </w:r>
          </w:p>
        </w:tc>
      </w:tr>
      <w:tr w:rsidR="00322B34" w14:paraId="00816943" w14:textId="77777777" w:rsidTr="00322B34">
        <w:tc>
          <w:tcPr>
            <w:tcW w:w="9638" w:type="dxa"/>
          </w:tcPr>
          <w:p w14:paraId="40E3DC26" w14:textId="141D8ADF" w:rsidR="00322B34" w:rsidRDefault="00181280" w:rsidP="00181280">
            <w:pPr>
              <w:pStyle w:val="TableText"/>
            </w:pPr>
            <w:r>
              <w:t xml:space="preserve">V-02 High priority: That VicForests develop </w:t>
            </w:r>
            <w:r w:rsidR="0079094C">
              <w:t>and implement an</w:t>
            </w:r>
            <w:r>
              <w:t xml:space="preserve"> initiative to improve the quality and consistency of waterway crossing design, construction, maintenance and rehabilitation, addressing both in-coupe road and snig track crossings</w:t>
            </w:r>
          </w:p>
        </w:tc>
      </w:tr>
      <w:tr w:rsidR="00322B34" w14:paraId="191BE36C" w14:textId="77777777" w:rsidTr="00322B34">
        <w:tc>
          <w:tcPr>
            <w:tcW w:w="9638" w:type="dxa"/>
          </w:tcPr>
          <w:p w14:paraId="7FAFDF71" w14:textId="4C6556AA" w:rsidR="00322B34" w:rsidRDefault="00181280" w:rsidP="00181280">
            <w:pPr>
              <w:pStyle w:val="TableText"/>
            </w:pPr>
            <w:r>
              <w:t xml:space="preserve">V-03 Medium priority: That the data VicForests’ provide to </w:t>
            </w:r>
            <w:r w:rsidR="00680220">
              <w:t xml:space="preserve">DEECA </w:t>
            </w:r>
            <w:r>
              <w:t>to assist in audit target selection is based on actual rather than planned coupe conditions. Maximum coupe slope and the presence of modelled rainforest within the coupe rather than within 500 m of it are reported</w:t>
            </w:r>
          </w:p>
        </w:tc>
      </w:tr>
      <w:tr w:rsidR="007C32DF" w:rsidRPr="007C32DF" w14:paraId="648C67C4" w14:textId="77777777" w:rsidTr="00181280">
        <w:tc>
          <w:tcPr>
            <w:tcW w:w="9638" w:type="dxa"/>
            <w:shd w:val="clear" w:color="auto" w:fill="007D55" w:themeFill="accent1"/>
          </w:tcPr>
          <w:p w14:paraId="794198B6" w14:textId="66BAA6CD" w:rsidR="00181280" w:rsidRPr="00C31A7B" w:rsidRDefault="00181280" w:rsidP="00181280">
            <w:pPr>
              <w:pStyle w:val="TableText"/>
              <w:rPr>
                <w:color w:val="FFFFFF" w:themeColor="background1"/>
              </w:rPr>
            </w:pPr>
            <w:r w:rsidRPr="00C31A7B">
              <w:rPr>
                <w:color w:val="FFFFFF" w:themeColor="background1"/>
              </w:rPr>
              <w:t xml:space="preserve">Recommendations for </w:t>
            </w:r>
            <w:r w:rsidR="007C32DF" w:rsidRPr="00C31A7B">
              <w:rPr>
                <w:color w:val="FFFFFF" w:themeColor="background1"/>
              </w:rPr>
              <w:t>DEECA</w:t>
            </w:r>
          </w:p>
        </w:tc>
      </w:tr>
      <w:tr w:rsidR="00181280" w14:paraId="7DCB5992" w14:textId="77777777" w:rsidTr="00322B34">
        <w:tc>
          <w:tcPr>
            <w:tcW w:w="9638" w:type="dxa"/>
          </w:tcPr>
          <w:p w14:paraId="513F206A" w14:textId="219DE7A8" w:rsidR="00181280" w:rsidRDefault="00181280" w:rsidP="00181280">
            <w:pPr>
              <w:pStyle w:val="TableText"/>
            </w:pPr>
            <w:r>
              <w:t>D-01 Moderate priority:</w:t>
            </w:r>
            <w:r w:rsidR="00E463D1">
              <w:t xml:space="preserve"> </w:t>
            </w:r>
            <w:r>
              <w:t xml:space="preserve">That </w:t>
            </w:r>
            <w:r w:rsidR="007C32DF">
              <w:t xml:space="preserve">DEECA </w:t>
            </w:r>
            <w:r>
              <w:t>review MSP fire salvage prescriptions and explicitly define how soil erosion hazard is to be treated in fire salvage coupes.</w:t>
            </w:r>
          </w:p>
        </w:tc>
      </w:tr>
      <w:tr w:rsidR="00181280" w14:paraId="71B324F6" w14:textId="77777777" w:rsidTr="00322B34">
        <w:tc>
          <w:tcPr>
            <w:tcW w:w="9638" w:type="dxa"/>
          </w:tcPr>
          <w:p w14:paraId="32729B0E" w14:textId="41CCE210" w:rsidR="00181280" w:rsidRDefault="00181280" w:rsidP="00181280">
            <w:pPr>
              <w:pStyle w:val="TableText"/>
            </w:pPr>
            <w:r>
              <w:t xml:space="preserve">D-02 Medium priority: That </w:t>
            </w:r>
            <w:r w:rsidR="007C32DF">
              <w:t xml:space="preserve">DEECA </w:t>
            </w:r>
            <w:r>
              <w:t>review and reconsider ground area and volumetric limits on bark and slash piles (currently 4 m</w:t>
            </w:r>
            <w:r w:rsidRPr="00181280">
              <w:rPr>
                <w:vertAlign w:val="superscript"/>
              </w:rPr>
              <w:t>2</w:t>
            </w:r>
            <w:r>
              <w:t xml:space="preserve"> and 10 m</w:t>
            </w:r>
            <w:r w:rsidRPr="00181280">
              <w:rPr>
                <w:vertAlign w:val="superscript"/>
              </w:rPr>
              <w:t>3</w:t>
            </w:r>
            <w:r>
              <w:t>, respectively; MSP 7.2.4.2).</w:t>
            </w:r>
          </w:p>
        </w:tc>
      </w:tr>
      <w:tr w:rsidR="00181280" w14:paraId="2C3167C1" w14:textId="77777777" w:rsidTr="00322B34">
        <w:tc>
          <w:tcPr>
            <w:tcW w:w="9638" w:type="dxa"/>
          </w:tcPr>
          <w:p w14:paraId="63AE2E41" w14:textId="6C0944F8" w:rsidR="00181280" w:rsidRDefault="00181280" w:rsidP="00181280">
            <w:pPr>
              <w:pStyle w:val="TableText"/>
            </w:pPr>
            <w:r>
              <w:t xml:space="preserve">D-03 High priority: That </w:t>
            </w:r>
            <w:r w:rsidR="007C32DF">
              <w:t xml:space="preserve">DEECA </w:t>
            </w:r>
            <w:r>
              <w:t>review snig track crossing “design”, operational and rehabilitation requirements and develop new and more tailored management prescriptions.</w:t>
            </w:r>
          </w:p>
        </w:tc>
      </w:tr>
    </w:tbl>
    <w:p w14:paraId="644269C9" w14:textId="77777777" w:rsidR="00322B34" w:rsidRPr="00322B34" w:rsidRDefault="00322B34" w:rsidP="00322B34">
      <w:pPr>
        <w:pStyle w:val="BodyText"/>
      </w:pPr>
    </w:p>
    <w:p w14:paraId="5510E1A8" w14:textId="77777777" w:rsidR="00735E07" w:rsidRDefault="00735E07" w:rsidP="006659BF">
      <w:pPr>
        <w:pStyle w:val="BodyText"/>
      </w:pPr>
    </w:p>
    <w:p w14:paraId="03ADBC9B" w14:textId="77777777" w:rsidR="00735E07" w:rsidRPr="0044500E" w:rsidRDefault="00735E07" w:rsidP="006659BF">
      <w:pPr>
        <w:pStyle w:val="BodyText"/>
        <w:sectPr w:rsidR="00735E07" w:rsidRPr="0044500E" w:rsidSect="00773A7E">
          <w:headerReference w:type="even" r:id="rId35"/>
          <w:headerReference w:type="default" r:id="rId36"/>
          <w:footerReference w:type="even" r:id="rId37"/>
          <w:footerReference w:type="default" r:id="rId38"/>
          <w:pgSz w:w="11906" w:h="16838" w:code="9"/>
          <w:pgMar w:top="1134" w:right="1134" w:bottom="567" w:left="1134" w:header="567" w:footer="0" w:gutter="0"/>
          <w:pgNumType w:fmt="lowerRoman" w:start="1"/>
          <w:cols w:space="720"/>
          <w:docGrid w:linePitch="360"/>
        </w:sectPr>
      </w:pPr>
    </w:p>
    <w:sdt>
      <w:sdtPr>
        <w:rPr>
          <w:b w:val="0"/>
          <w:color w:val="auto"/>
          <w:sz w:val="20"/>
        </w:rPr>
        <w:alias w:val="Table of contents"/>
        <w:tag w:val="Table of contents"/>
        <w:id w:val="-1093387899"/>
        <w:placeholder>
          <w:docPart w:val="5413933B5DC840EB8B1D48950BDF583A"/>
        </w:placeholder>
        <w:docPartList>
          <w:docPartGallery w:val="Custom 5"/>
          <w:docPartCategory w:val="Contents"/>
        </w:docPartList>
      </w:sdtPr>
      <w:sdtContent>
        <w:p w14:paraId="447B9013" w14:textId="77777777" w:rsidR="00F8591B" w:rsidRPr="00F82533" w:rsidRDefault="00F8591B" w:rsidP="003D4A8B">
          <w:pPr>
            <w:pStyle w:val="TOCHeading"/>
            <w:tabs>
              <w:tab w:val="right" w:pos="9972"/>
            </w:tabs>
          </w:pPr>
          <w:r>
            <w:t>Contents</w:t>
          </w:r>
        </w:p>
        <w:p w14:paraId="22C77BF4" w14:textId="23F1F62B" w:rsidR="00552795" w:rsidRDefault="00F8591B">
          <w:pPr>
            <w:pStyle w:val="TOC1"/>
            <w:tabs>
              <w:tab w:val="right" w:leader="dot" w:pos="9628"/>
            </w:tabs>
            <w:rPr>
              <w:rFonts w:asciiTheme="minorHAnsi" w:hAnsiTheme="minorHAnsi"/>
              <w:b w:val="0"/>
              <w:noProof/>
              <w:sz w:val="22"/>
              <w:szCs w:val="22"/>
            </w:rPr>
          </w:pPr>
          <w:r w:rsidRPr="005C4363">
            <w:fldChar w:fldCharType="begin"/>
          </w:r>
          <w:r w:rsidRPr="005C4363">
            <w:instrText xml:space="preserve"> TOC \h \t "Heading 1,1</w:instrText>
          </w:r>
          <w:r>
            <w:instrText>,</w:instrText>
          </w:r>
          <w:r w:rsidRPr="005C4363">
            <w:instrText xml:space="preserve">Heading </w:instrText>
          </w:r>
          <w:r>
            <w:instrText>2</w:instrText>
          </w:r>
          <w:r w:rsidRPr="005C4363">
            <w:instrText>,2,Heading 3,3</w:instrText>
          </w:r>
          <w:r>
            <w:instrText>,</w:instrText>
          </w:r>
          <w:r w:rsidRPr="005C4363">
            <w:instrText xml:space="preserve">Heading </w:instrText>
          </w:r>
          <w:r>
            <w:instrText xml:space="preserve">(unnumbered) </w:instrText>
          </w:r>
          <w:r w:rsidRPr="005C4363">
            <w:instrText>1,1</w:instrText>
          </w:r>
          <w:r>
            <w:instrText>,Heading (unnumbered) 2,2,Heading (unnumbered) 3,3</w:instrText>
          </w:r>
          <w:r w:rsidRPr="005C4363">
            <w:instrText xml:space="preserve">" </w:instrText>
          </w:r>
          <w:r w:rsidRPr="005C4363">
            <w:fldChar w:fldCharType="separate"/>
          </w:r>
          <w:hyperlink w:anchor="_Toc131178657" w:history="1">
            <w:r w:rsidR="00552795" w:rsidRPr="002D1D55">
              <w:rPr>
                <w:rStyle w:val="Hyperlink"/>
                <w:noProof/>
              </w:rPr>
              <w:t>Executive summary</w:t>
            </w:r>
            <w:r w:rsidR="00552795">
              <w:rPr>
                <w:noProof/>
              </w:rPr>
              <w:tab/>
            </w:r>
            <w:r w:rsidR="00552795">
              <w:rPr>
                <w:noProof/>
              </w:rPr>
              <w:fldChar w:fldCharType="begin"/>
            </w:r>
            <w:r w:rsidR="00552795">
              <w:rPr>
                <w:noProof/>
              </w:rPr>
              <w:instrText xml:space="preserve"> PAGEREF _Toc131178657 \h </w:instrText>
            </w:r>
            <w:r w:rsidR="00552795">
              <w:rPr>
                <w:noProof/>
              </w:rPr>
            </w:r>
            <w:r w:rsidR="00552795">
              <w:rPr>
                <w:noProof/>
              </w:rPr>
              <w:fldChar w:fldCharType="separate"/>
            </w:r>
            <w:r w:rsidR="00130DCF">
              <w:rPr>
                <w:noProof/>
              </w:rPr>
              <w:t>i</w:t>
            </w:r>
            <w:r w:rsidR="00552795">
              <w:rPr>
                <w:noProof/>
              </w:rPr>
              <w:fldChar w:fldCharType="end"/>
            </w:r>
          </w:hyperlink>
        </w:p>
        <w:p w14:paraId="59EAF37D" w14:textId="24D7048C" w:rsidR="00552795" w:rsidRDefault="00000000">
          <w:pPr>
            <w:pStyle w:val="TOC2"/>
            <w:tabs>
              <w:tab w:val="right" w:leader="dot" w:pos="9628"/>
            </w:tabs>
            <w:rPr>
              <w:rFonts w:asciiTheme="minorHAnsi" w:hAnsiTheme="minorHAnsi"/>
              <w:noProof/>
              <w:sz w:val="22"/>
              <w:szCs w:val="22"/>
            </w:rPr>
          </w:pPr>
          <w:hyperlink w:anchor="_Toc131178658" w:history="1">
            <w:r w:rsidR="00552795" w:rsidRPr="002D1D55">
              <w:rPr>
                <w:rStyle w:val="Hyperlink"/>
                <w:noProof/>
              </w:rPr>
              <w:t>Audit scope and objectives</w:t>
            </w:r>
            <w:r w:rsidR="00552795">
              <w:rPr>
                <w:noProof/>
              </w:rPr>
              <w:tab/>
            </w:r>
            <w:r w:rsidR="00552795">
              <w:rPr>
                <w:noProof/>
              </w:rPr>
              <w:fldChar w:fldCharType="begin"/>
            </w:r>
            <w:r w:rsidR="00552795">
              <w:rPr>
                <w:noProof/>
              </w:rPr>
              <w:instrText xml:space="preserve"> PAGEREF _Toc131178658 \h </w:instrText>
            </w:r>
            <w:r w:rsidR="00552795">
              <w:rPr>
                <w:noProof/>
              </w:rPr>
            </w:r>
            <w:r w:rsidR="00552795">
              <w:rPr>
                <w:noProof/>
              </w:rPr>
              <w:fldChar w:fldCharType="separate"/>
            </w:r>
            <w:r w:rsidR="00130DCF">
              <w:rPr>
                <w:noProof/>
              </w:rPr>
              <w:t>i</w:t>
            </w:r>
            <w:r w:rsidR="00552795">
              <w:rPr>
                <w:noProof/>
              </w:rPr>
              <w:fldChar w:fldCharType="end"/>
            </w:r>
          </w:hyperlink>
        </w:p>
        <w:p w14:paraId="258BF6ED" w14:textId="359769F9" w:rsidR="00552795" w:rsidRDefault="00000000">
          <w:pPr>
            <w:pStyle w:val="TOC2"/>
            <w:tabs>
              <w:tab w:val="right" w:leader="dot" w:pos="9628"/>
            </w:tabs>
            <w:rPr>
              <w:rFonts w:asciiTheme="minorHAnsi" w:hAnsiTheme="minorHAnsi"/>
              <w:noProof/>
              <w:sz w:val="22"/>
              <w:szCs w:val="22"/>
            </w:rPr>
          </w:pPr>
          <w:hyperlink w:anchor="_Toc131178659" w:history="1">
            <w:r w:rsidR="00552795" w:rsidRPr="002D1D55">
              <w:rPr>
                <w:rStyle w:val="Hyperlink"/>
                <w:noProof/>
              </w:rPr>
              <w:t>Audit approach</w:t>
            </w:r>
            <w:r w:rsidR="00552795">
              <w:rPr>
                <w:noProof/>
              </w:rPr>
              <w:tab/>
            </w:r>
            <w:r w:rsidR="00552795">
              <w:rPr>
                <w:noProof/>
              </w:rPr>
              <w:fldChar w:fldCharType="begin"/>
            </w:r>
            <w:r w:rsidR="00552795">
              <w:rPr>
                <w:noProof/>
              </w:rPr>
              <w:instrText xml:space="preserve"> PAGEREF _Toc131178659 \h </w:instrText>
            </w:r>
            <w:r w:rsidR="00552795">
              <w:rPr>
                <w:noProof/>
              </w:rPr>
            </w:r>
            <w:r w:rsidR="00552795">
              <w:rPr>
                <w:noProof/>
              </w:rPr>
              <w:fldChar w:fldCharType="separate"/>
            </w:r>
            <w:r w:rsidR="00130DCF">
              <w:rPr>
                <w:noProof/>
              </w:rPr>
              <w:t>i</w:t>
            </w:r>
            <w:r w:rsidR="00552795">
              <w:rPr>
                <w:noProof/>
              </w:rPr>
              <w:fldChar w:fldCharType="end"/>
            </w:r>
          </w:hyperlink>
        </w:p>
        <w:p w14:paraId="058CA6E3" w14:textId="380107A5" w:rsidR="00552795" w:rsidRDefault="00000000">
          <w:pPr>
            <w:pStyle w:val="TOC2"/>
            <w:tabs>
              <w:tab w:val="right" w:leader="dot" w:pos="9628"/>
            </w:tabs>
            <w:rPr>
              <w:rFonts w:asciiTheme="minorHAnsi" w:hAnsiTheme="minorHAnsi"/>
              <w:noProof/>
              <w:sz w:val="22"/>
              <w:szCs w:val="22"/>
            </w:rPr>
          </w:pPr>
          <w:hyperlink w:anchor="_Toc131178660" w:history="1">
            <w:r w:rsidR="00552795" w:rsidRPr="002D1D55">
              <w:rPr>
                <w:rStyle w:val="Hyperlink"/>
                <w:noProof/>
              </w:rPr>
              <w:t>Audit findings</w:t>
            </w:r>
            <w:r w:rsidR="00552795">
              <w:rPr>
                <w:noProof/>
              </w:rPr>
              <w:tab/>
            </w:r>
            <w:r w:rsidR="00552795">
              <w:rPr>
                <w:noProof/>
              </w:rPr>
              <w:fldChar w:fldCharType="begin"/>
            </w:r>
            <w:r w:rsidR="00552795">
              <w:rPr>
                <w:noProof/>
              </w:rPr>
              <w:instrText xml:space="preserve"> PAGEREF _Toc131178660 \h </w:instrText>
            </w:r>
            <w:r w:rsidR="00552795">
              <w:rPr>
                <w:noProof/>
              </w:rPr>
            </w:r>
            <w:r w:rsidR="00552795">
              <w:rPr>
                <w:noProof/>
              </w:rPr>
              <w:fldChar w:fldCharType="separate"/>
            </w:r>
            <w:r w:rsidR="00130DCF">
              <w:rPr>
                <w:noProof/>
              </w:rPr>
              <w:t>ii</w:t>
            </w:r>
            <w:r w:rsidR="00552795">
              <w:rPr>
                <w:noProof/>
              </w:rPr>
              <w:fldChar w:fldCharType="end"/>
            </w:r>
          </w:hyperlink>
        </w:p>
        <w:p w14:paraId="7FEAFC32" w14:textId="6E200F04" w:rsidR="00552795" w:rsidRDefault="00000000">
          <w:pPr>
            <w:pStyle w:val="TOC2"/>
            <w:tabs>
              <w:tab w:val="right" w:leader="dot" w:pos="9628"/>
            </w:tabs>
            <w:rPr>
              <w:rFonts w:asciiTheme="minorHAnsi" w:hAnsiTheme="minorHAnsi"/>
              <w:noProof/>
              <w:sz w:val="22"/>
              <w:szCs w:val="22"/>
            </w:rPr>
          </w:pPr>
          <w:hyperlink w:anchor="_Toc131178661" w:history="1">
            <w:r w:rsidR="00552795" w:rsidRPr="002D1D55">
              <w:rPr>
                <w:rStyle w:val="Hyperlink"/>
                <w:noProof/>
              </w:rPr>
              <w:t>Recommendations</w:t>
            </w:r>
            <w:r w:rsidR="00552795">
              <w:rPr>
                <w:noProof/>
              </w:rPr>
              <w:tab/>
            </w:r>
            <w:r w:rsidR="00552795">
              <w:rPr>
                <w:noProof/>
              </w:rPr>
              <w:fldChar w:fldCharType="begin"/>
            </w:r>
            <w:r w:rsidR="00552795">
              <w:rPr>
                <w:noProof/>
              </w:rPr>
              <w:instrText xml:space="preserve"> PAGEREF _Toc131178661 \h </w:instrText>
            </w:r>
            <w:r w:rsidR="00552795">
              <w:rPr>
                <w:noProof/>
              </w:rPr>
            </w:r>
            <w:r w:rsidR="00552795">
              <w:rPr>
                <w:noProof/>
              </w:rPr>
              <w:fldChar w:fldCharType="separate"/>
            </w:r>
            <w:r w:rsidR="00130DCF">
              <w:rPr>
                <w:noProof/>
              </w:rPr>
              <w:t>iii</w:t>
            </w:r>
            <w:r w:rsidR="00552795">
              <w:rPr>
                <w:noProof/>
              </w:rPr>
              <w:fldChar w:fldCharType="end"/>
            </w:r>
          </w:hyperlink>
        </w:p>
        <w:p w14:paraId="74DA1108" w14:textId="1B7F31F2" w:rsidR="00552795" w:rsidRDefault="00000000">
          <w:pPr>
            <w:pStyle w:val="TOC1"/>
            <w:tabs>
              <w:tab w:val="right" w:leader="dot" w:pos="9628"/>
            </w:tabs>
            <w:rPr>
              <w:rFonts w:asciiTheme="minorHAnsi" w:hAnsiTheme="minorHAnsi"/>
              <w:b w:val="0"/>
              <w:noProof/>
              <w:sz w:val="22"/>
              <w:szCs w:val="22"/>
            </w:rPr>
          </w:pPr>
          <w:hyperlink w:anchor="_Toc131178662" w:history="1">
            <w:r w:rsidR="00552795" w:rsidRPr="002D1D55">
              <w:rPr>
                <w:rStyle w:val="Hyperlink"/>
                <w:noProof/>
              </w:rPr>
              <w:t>Glossary</w:t>
            </w:r>
            <w:r w:rsidR="00552795">
              <w:rPr>
                <w:noProof/>
              </w:rPr>
              <w:tab/>
            </w:r>
            <w:r w:rsidR="00552795">
              <w:rPr>
                <w:noProof/>
              </w:rPr>
              <w:fldChar w:fldCharType="begin"/>
            </w:r>
            <w:r w:rsidR="00552795">
              <w:rPr>
                <w:noProof/>
              </w:rPr>
              <w:instrText xml:space="preserve"> PAGEREF _Toc131178662 \h </w:instrText>
            </w:r>
            <w:r w:rsidR="00552795">
              <w:rPr>
                <w:noProof/>
              </w:rPr>
            </w:r>
            <w:r w:rsidR="00552795">
              <w:rPr>
                <w:noProof/>
              </w:rPr>
              <w:fldChar w:fldCharType="separate"/>
            </w:r>
            <w:r w:rsidR="00130DCF">
              <w:rPr>
                <w:noProof/>
              </w:rPr>
              <w:t>viii</w:t>
            </w:r>
            <w:r w:rsidR="00552795">
              <w:rPr>
                <w:noProof/>
              </w:rPr>
              <w:fldChar w:fldCharType="end"/>
            </w:r>
          </w:hyperlink>
        </w:p>
        <w:p w14:paraId="6CCC5E4F" w14:textId="75C4D983" w:rsidR="00552795" w:rsidRDefault="00000000">
          <w:pPr>
            <w:pStyle w:val="TOC1"/>
            <w:tabs>
              <w:tab w:val="right" w:leader="dot" w:pos="9628"/>
            </w:tabs>
            <w:rPr>
              <w:rFonts w:asciiTheme="minorHAnsi" w:hAnsiTheme="minorHAnsi"/>
              <w:b w:val="0"/>
              <w:noProof/>
              <w:sz w:val="22"/>
              <w:szCs w:val="22"/>
            </w:rPr>
          </w:pPr>
          <w:hyperlink w:anchor="_Toc131178663" w:history="1">
            <w:r w:rsidR="00552795" w:rsidRPr="002D1D55">
              <w:rPr>
                <w:rStyle w:val="Hyperlink"/>
                <w:noProof/>
              </w:rPr>
              <w:t>1.</w:t>
            </w:r>
            <w:r w:rsidR="00552795">
              <w:rPr>
                <w:rFonts w:asciiTheme="minorHAnsi" w:hAnsiTheme="minorHAnsi"/>
                <w:b w:val="0"/>
                <w:noProof/>
                <w:sz w:val="22"/>
                <w:szCs w:val="22"/>
              </w:rPr>
              <w:tab/>
            </w:r>
            <w:r w:rsidR="00552795" w:rsidRPr="002D1D55">
              <w:rPr>
                <w:rStyle w:val="Hyperlink"/>
                <w:noProof/>
              </w:rPr>
              <w:t>Introduction</w:t>
            </w:r>
            <w:r w:rsidR="00552795">
              <w:rPr>
                <w:noProof/>
              </w:rPr>
              <w:tab/>
            </w:r>
            <w:r w:rsidR="00552795">
              <w:rPr>
                <w:noProof/>
              </w:rPr>
              <w:fldChar w:fldCharType="begin"/>
            </w:r>
            <w:r w:rsidR="00552795">
              <w:rPr>
                <w:noProof/>
              </w:rPr>
              <w:instrText xml:space="preserve"> PAGEREF _Toc131178663 \h </w:instrText>
            </w:r>
            <w:r w:rsidR="00552795">
              <w:rPr>
                <w:noProof/>
              </w:rPr>
            </w:r>
            <w:r w:rsidR="00552795">
              <w:rPr>
                <w:noProof/>
              </w:rPr>
              <w:fldChar w:fldCharType="separate"/>
            </w:r>
            <w:r w:rsidR="00130DCF">
              <w:rPr>
                <w:noProof/>
              </w:rPr>
              <w:t>1</w:t>
            </w:r>
            <w:r w:rsidR="00552795">
              <w:rPr>
                <w:noProof/>
              </w:rPr>
              <w:fldChar w:fldCharType="end"/>
            </w:r>
          </w:hyperlink>
        </w:p>
        <w:p w14:paraId="774AE705" w14:textId="53EB7A68" w:rsidR="00552795" w:rsidRDefault="00000000">
          <w:pPr>
            <w:pStyle w:val="TOC2"/>
            <w:tabs>
              <w:tab w:val="left" w:pos="1134"/>
              <w:tab w:val="right" w:leader="dot" w:pos="9628"/>
            </w:tabs>
            <w:rPr>
              <w:rFonts w:asciiTheme="minorHAnsi" w:hAnsiTheme="minorHAnsi"/>
              <w:noProof/>
              <w:sz w:val="22"/>
              <w:szCs w:val="22"/>
            </w:rPr>
          </w:pPr>
          <w:hyperlink w:anchor="_Toc131178664" w:history="1">
            <w:r w:rsidR="00552795" w:rsidRPr="002D1D55">
              <w:rPr>
                <w:rStyle w:val="Hyperlink"/>
                <w:noProof/>
              </w:rPr>
              <w:t>1.1</w:t>
            </w:r>
            <w:r w:rsidR="00552795">
              <w:rPr>
                <w:rFonts w:asciiTheme="minorHAnsi" w:hAnsiTheme="minorHAnsi"/>
                <w:noProof/>
                <w:sz w:val="22"/>
                <w:szCs w:val="22"/>
              </w:rPr>
              <w:tab/>
            </w:r>
            <w:r w:rsidR="00552795" w:rsidRPr="002D1D55">
              <w:rPr>
                <w:rStyle w:val="Hyperlink"/>
                <w:noProof/>
              </w:rPr>
              <w:t>Sustainable Forest Management in Victoria</w:t>
            </w:r>
            <w:r w:rsidR="00552795">
              <w:rPr>
                <w:noProof/>
              </w:rPr>
              <w:tab/>
            </w:r>
            <w:r w:rsidR="00552795">
              <w:rPr>
                <w:noProof/>
              </w:rPr>
              <w:fldChar w:fldCharType="begin"/>
            </w:r>
            <w:r w:rsidR="00552795">
              <w:rPr>
                <w:noProof/>
              </w:rPr>
              <w:instrText xml:space="preserve"> PAGEREF _Toc131178664 \h </w:instrText>
            </w:r>
            <w:r w:rsidR="00552795">
              <w:rPr>
                <w:noProof/>
              </w:rPr>
            </w:r>
            <w:r w:rsidR="00552795">
              <w:rPr>
                <w:noProof/>
              </w:rPr>
              <w:fldChar w:fldCharType="separate"/>
            </w:r>
            <w:r w:rsidR="00130DCF">
              <w:rPr>
                <w:noProof/>
              </w:rPr>
              <w:t>1</w:t>
            </w:r>
            <w:r w:rsidR="00552795">
              <w:rPr>
                <w:noProof/>
              </w:rPr>
              <w:fldChar w:fldCharType="end"/>
            </w:r>
          </w:hyperlink>
        </w:p>
        <w:p w14:paraId="0F8DA16E" w14:textId="7A71AD50" w:rsidR="00552795" w:rsidRDefault="00000000">
          <w:pPr>
            <w:pStyle w:val="TOC2"/>
            <w:tabs>
              <w:tab w:val="left" w:pos="1134"/>
              <w:tab w:val="right" w:leader="dot" w:pos="9628"/>
            </w:tabs>
            <w:rPr>
              <w:rFonts w:asciiTheme="minorHAnsi" w:hAnsiTheme="minorHAnsi"/>
              <w:noProof/>
              <w:sz w:val="22"/>
              <w:szCs w:val="22"/>
            </w:rPr>
          </w:pPr>
          <w:hyperlink w:anchor="_Toc131178665" w:history="1">
            <w:r w:rsidR="00552795" w:rsidRPr="002D1D55">
              <w:rPr>
                <w:rStyle w:val="Hyperlink"/>
                <w:noProof/>
              </w:rPr>
              <w:t>1.2</w:t>
            </w:r>
            <w:r w:rsidR="00552795">
              <w:rPr>
                <w:rFonts w:asciiTheme="minorHAnsi" w:hAnsiTheme="minorHAnsi"/>
                <w:noProof/>
                <w:sz w:val="22"/>
                <w:szCs w:val="22"/>
              </w:rPr>
              <w:tab/>
            </w:r>
            <w:r w:rsidR="00552795" w:rsidRPr="002D1D55">
              <w:rPr>
                <w:rStyle w:val="Hyperlink"/>
                <w:noProof/>
              </w:rPr>
              <w:t>Forest Audit Program</w:t>
            </w:r>
            <w:r w:rsidR="00552795">
              <w:rPr>
                <w:noProof/>
              </w:rPr>
              <w:tab/>
            </w:r>
            <w:r w:rsidR="00552795">
              <w:rPr>
                <w:noProof/>
              </w:rPr>
              <w:fldChar w:fldCharType="begin"/>
            </w:r>
            <w:r w:rsidR="00552795">
              <w:rPr>
                <w:noProof/>
              </w:rPr>
              <w:instrText xml:space="preserve"> PAGEREF _Toc131178665 \h </w:instrText>
            </w:r>
            <w:r w:rsidR="00552795">
              <w:rPr>
                <w:noProof/>
              </w:rPr>
            </w:r>
            <w:r w:rsidR="00552795">
              <w:rPr>
                <w:noProof/>
              </w:rPr>
              <w:fldChar w:fldCharType="separate"/>
            </w:r>
            <w:r w:rsidR="00130DCF">
              <w:rPr>
                <w:noProof/>
              </w:rPr>
              <w:t>2</w:t>
            </w:r>
            <w:r w:rsidR="00552795">
              <w:rPr>
                <w:noProof/>
              </w:rPr>
              <w:fldChar w:fldCharType="end"/>
            </w:r>
          </w:hyperlink>
        </w:p>
        <w:p w14:paraId="4776C11E" w14:textId="47F5A0C8" w:rsidR="00552795" w:rsidRDefault="00000000">
          <w:pPr>
            <w:pStyle w:val="TOC2"/>
            <w:tabs>
              <w:tab w:val="left" w:pos="1134"/>
              <w:tab w:val="right" w:leader="dot" w:pos="9628"/>
            </w:tabs>
            <w:rPr>
              <w:rFonts w:asciiTheme="minorHAnsi" w:hAnsiTheme="minorHAnsi"/>
              <w:noProof/>
              <w:sz w:val="22"/>
              <w:szCs w:val="22"/>
            </w:rPr>
          </w:pPr>
          <w:hyperlink w:anchor="_Toc131178666" w:history="1">
            <w:r w:rsidR="00552795" w:rsidRPr="002D1D55">
              <w:rPr>
                <w:rStyle w:val="Hyperlink"/>
                <w:noProof/>
              </w:rPr>
              <w:t>1.3</w:t>
            </w:r>
            <w:r w:rsidR="00552795">
              <w:rPr>
                <w:rFonts w:asciiTheme="minorHAnsi" w:hAnsiTheme="minorHAnsi"/>
                <w:noProof/>
                <w:sz w:val="22"/>
                <w:szCs w:val="22"/>
              </w:rPr>
              <w:tab/>
            </w:r>
            <w:r w:rsidR="00552795" w:rsidRPr="002D1D55">
              <w:rPr>
                <w:rStyle w:val="Hyperlink"/>
                <w:noProof/>
              </w:rPr>
              <w:t>About this report</w:t>
            </w:r>
            <w:r w:rsidR="00552795">
              <w:rPr>
                <w:noProof/>
              </w:rPr>
              <w:tab/>
            </w:r>
            <w:r w:rsidR="00552795">
              <w:rPr>
                <w:noProof/>
              </w:rPr>
              <w:fldChar w:fldCharType="begin"/>
            </w:r>
            <w:r w:rsidR="00552795">
              <w:rPr>
                <w:noProof/>
              </w:rPr>
              <w:instrText xml:space="preserve"> PAGEREF _Toc131178666 \h </w:instrText>
            </w:r>
            <w:r w:rsidR="00552795">
              <w:rPr>
                <w:noProof/>
              </w:rPr>
            </w:r>
            <w:r w:rsidR="00552795">
              <w:rPr>
                <w:noProof/>
              </w:rPr>
              <w:fldChar w:fldCharType="separate"/>
            </w:r>
            <w:r w:rsidR="00130DCF">
              <w:rPr>
                <w:noProof/>
              </w:rPr>
              <w:t>2</w:t>
            </w:r>
            <w:r w:rsidR="00552795">
              <w:rPr>
                <w:noProof/>
              </w:rPr>
              <w:fldChar w:fldCharType="end"/>
            </w:r>
          </w:hyperlink>
        </w:p>
        <w:p w14:paraId="31DB72AB" w14:textId="1368D3BC" w:rsidR="00552795" w:rsidRDefault="00000000">
          <w:pPr>
            <w:pStyle w:val="TOC1"/>
            <w:tabs>
              <w:tab w:val="right" w:leader="dot" w:pos="9628"/>
            </w:tabs>
            <w:rPr>
              <w:rFonts w:asciiTheme="minorHAnsi" w:hAnsiTheme="minorHAnsi"/>
              <w:b w:val="0"/>
              <w:noProof/>
              <w:sz w:val="22"/>
              <w:szCs w:val="22"/>
            </w:rPr>
          </w:pPr>
          <w:hyperlink w:anchor="_Toc131178667" w:history="1">
            <w:r w:rsidR="00552795" w:rsidRPr="002D1D55">
              <w:rPr>
                <w:rStyle w:val="Hyperlink"/>
                <w:noProof/>
              </w:rPr>
              <w:t>2.</w:t>
            </w:r>
            <w:r w:rsidR="00552795">
              <w:rPr>
                <w:rFonts w:asciiTheme="minorHAnsi" w:hAnsiTheme="minorHAnsi"/>
                <w:b w:val="0"/>
                <w:noProof/>
                <w:sz w:val="22"/>
                <w:szCs w:val="22"/>
              </w:rPr>
              <w:tab/>
            </w:r>
            <w:r w:rsidR="00552795" w:rsidRPr="002D1D55">
              <w:rPr>
                <w:rStyle w:val="Hyperlink"/>
                <w:noProof/>
              </w:rPr>
              <w:t>Audit scope</w:t>
            </w:r>
            <w:r w:rsidR="00552795">
              <w:rPr>
                <w:noProof/>
              </w:rPr>
              <w:tab/>
            </w:r>
            <w:r w:rsidR="00552795">
              <w:rPr>
                <w:noProof/>
              </w:rPr>
              <w:fldChar w:fldCharType="begin"/>
            </w:r>
            <w:r w:rsidR="00552795">
              <w:rPr>
                <w:noProof/>
              </w:rPr>
              <w:instrText xml:space="preserve"> PAGEREF _Toc131178667 \h </w:instrText>
            </w:r>
            <w:r w:rsidR="00552795">
              <w:rPr>
                <w:noProof/>
              </w:rPr>
            </w:r>
            <w:r w:rsidR="00552795">
              <w:rPr>
                <w:noProof/>
              </w:rPr>
              <w:fldChar w:fldCharType="separate"/>
            </w:r>
            <w:r w:rsidR="00130DCF">
              <w:rPr>
                <w:noProof/>
              </w:rPr>
              <w:t>4</w:t>
            </w:r>
            <w:r w:rsidR="00552795">
              <w:rPr>
                <w:noProof/>
              </w:rPr>
              <w:fldChar w:fldCharType="end"/>
            </w:r>
          </w:hyperlink>
        </w:p>
        <w:p w14:paraId="4ACACAA2" w14:textId="497C6B70" w:rsidR="00552795" w:rsidRDefault="00000000">
          <w:pPr>
            <w:pStyle w:val="TOC2"/>
            <w:tabs>
              <w:tab w:val="left" w:pos="1134"/>
              <w:tab w:val="right" w:leader="dot" w:pos="9628"/>
            </w:tabs>
            <w:rPr>
              <w:rFonts w:asciiTheme="minorHAnsi" w:hAnsiTheme="minorHAnsi"/>
              <w:noProof/>
              <w:sz w:val="22"/>
              <w:szCs w:val="22"/>
            </w:rPr>
          </w:pPr>
          <w:hyperlink w:anchor="_Toc131178668" w:history="1">
            <w:r w:rsidR="00552795" w:rsidRPr="002D1D55">
              <w:rPr>
                <w:rStyle w:val="Hyperlink"/>
                <w:noProof/>
              </w:rPr>
              <w:t>2.1</w:t>
            </w:r>
            <w:r w:rsidR="00552795">
              <w:rPr>
                <w:rFonts w:asciiTheme="minorHAnsi" w:hAnsiTheme="minorHAnsi"/>
                <w:noProof/>
                <w:sz w:val="22"/>
                <w:szCs w:val="22"/>
              </w:rPr>
              <w:tab/>
            </w:r>
            <w:r w:rsidR="00552795" w:rsidRPr="002D1D55">
              <w:rPr>
                <w:rStyle w:val="Hyperlink"/>
                <w:noProof/>
              </w:rPr>
              <w:t>Audit objectives</w:t>
            </w:r>
            <w:r w:rsidR="00552795">
              <w:rPr>
                <w:noProof/>
              </w:rPr>
              <w:tab/>
            </w:r>
            <w:r w:rsidR="00552795">
              <w:rPr>
                <w:noProof/>
              </w:rPr>
              <w:fldChar w:fldCharType="begin"/>
            </w:r>
            <w:r w:rsidR="00552795">
              <w:rPr>
                <w:noProof/>
              </w:rPr>
              <w:instrText xml:space="preserve"> PAGEREF _Toc131178668 \h </w:instrText>
            </w:r>
            <w:r w:rsidR="00552795">
              <w:rPr>
                <w:noProof/>
              </w:rPr>
            </w:r>
            <w:r w:rsidR="00552795">
              <w:rPr>
                <w:noProof/>
              </w:rPr>
              <w:fldChar w:fldCharType="separate"/>
            </w:r>
            <w:r w:rsidR="00130DCF">
              <w:rPr>
                <w:noProof/>
              </w:rPr>
              <w:t>4</w:t>
            </w:r>
            <w:r w:rsidR="00552795">
              <w:rPr>
                <w:noProof/>
              </w:rPr>
              <w:fldChar w:fldCharType="end"/>
            </w:r>
          </w:hyperlink>
        </w:p>
        <w:p w14:paraId="60CC91C0" w14:textId="5DB0946A" w:rsidR="00552795" w:rsidRDefault="00000000">
          <w:pPr>
            <w:pStyle w:val="TOC2"/>
            <w:tabs>
              <w:tab w:val="left" w:pos="1134"/>
              <w:tab w:val="right" w:leader="dot" w:pos="9628"/>
            </w:tabs>
            <w:rPr>
              <w:rFonts w:asciiTheme="minorHAnsi" w:hAnsiTheme="minorHAnsi"/>
              <w:noProof/>
              <w:sz w:val="22"/>
              <w:szCs w:val="22"/>
            </w:rPr>
          </w:pPr>
          <w:hyperlink w:anchor="_Toc131178669" w:history="1">
            <w:r w:rsidR="00552795" w:rsidRPr="002D1D55">
              <w:rPr>
                <w:rStyle w:val="Hyperlink"/>
                <w:noProof/>
              </w:rPr>
              <w:t>2.2</w:t>
            </w:r>
            <w:r w:rsidR="00552795">
              <w:rPr>
                <w:rFonts w:asciiTheme="minorHAnsi" w:hAnsiTheme="minorHAnsi"/>
                <w:noProof/>
                <w:sz w:val="22"/>
                <w:szCs w:val="22"/>
              </w:rPr>
              <w:tab/>
            </w:r>
            <w:r w:rsidR="00552795" w:rsidRPr="002D1D55">
              <w:rPr>
                <w:rStyle w:val="Hyperlink"/>
                <w:noProof/>
              </w:rPr>
              <w:t>Audit scope</w:t>
            </w:r>
            <w:r w:rsidR="00552795">
              <w:rPr>
                <w:noProof/>
              </w:rPr>
              <w:tab/>
            </w:r>
            <w:r w:rsidR="00552795">
              <w:rPr>
                <w:noProof/>
              </w:rPr>
              <w:fldChar w:fldCharType="begin"/>
            </w:r>
            <w:r w:rsidR="00552795">
              <w:rPr>
                <w:noProof/>
              </w:rPr>
              <w:instrText xml:space="preserve"> PAGEREF _Toc131178669 \h </w:instrText>
            </w:r>
            <w:r w:rsidR="00552795">
              <w:rPr>
                <w:noProof/>
              </w:rPr>
            </w:r>
            <w:r w:rsidR="00552795">
              <w:rPr>
                <w:noProof/>
              </w:rPr>
              <w:fldChar w:fldCharType="separate"/>
            </w:r>
            <w:r w:rsidR="00130DCF">
              <w:rPr>
                <w:noProof/>
              </w:rPr>
              <w:t>4</w:t>
            </w:r>
            <w:r w:rsidR="00552795">
              <w:rPr>
                <w:noProof/>
              </w:rPr>
              <w:fldChar w:fldCharType="end"/>
            </w:r>
          </w:hyperlink>
        </w:p>
        <w:p w14:paraId="230057FB" w14:textId="2ED1F2CC" w:rsidR="00552795" w:rsidRDefault="00000000">
          <w:pPr>
            <w:pStyle w:val="TOC2"/>
            <w:tabs>
              <w:tab w:val="left" w:pos="1134"/>
              <w:tab w:val="right" w:leader="dot" w:pos="9628"/>
            </w:tabs>
            <w:rPr>
              <w:rFonts w:asciiTheme="minorHAnsi" w:hAnsiTheme="minorHAnsi"/>
              <w:noProof/>
              <w:sz w:val="22"/>
              <w:szCs w:val="22"/>
            </w:rPr>
          </w:pPr>
          <w:hyperlink w:anchor="_Toc131178670" w:history="1">
            <w:r w:rsidR="00552795" w:rsidRPr="002D1D55">
              <w:rPr>
                <w:rStyle w:val="Hyperlink"/>
                <w:noProof/>
              </w:rPr>
              <w:t>2.3</w:t>
            </w:r>
            <w:r w:rsidR="00552795">
              <w:rPr>
                <w:rFonts w:asciiTheme="minorHAnsi" w:hAnsiTheme="minorHAnsi"/>
                <w:noProof/>
                <w:sz w:val="22"/>
                <w:szCs w:val="22"/>
              </w:rPr>
              <w:tab/>
            </w:r>
            <w:r w:rsidR="00552795" w:rsidRPr="002D1D55">
              <w:rPr>
                <w:rStyle w:val="Hyperlink"/>
                <w:noProof/>
              </w:rPr>
              <w:t>Audit timing</w:t>
            </w:r>
            <w:r w:rsidR="00552795">
              <w:rPr>
                <w:noProof/>
              </w:rPr>
              <w:tab/>
            </w:r>
            <w:r w:rsidR="00552795">
              <w:rPr>
                <w:noProof/>
              </w:rPr>
              <w:fldChar w:fldCharType="begin"/>
            </w:r>
            <w:r w:rsidR="00552795">
              <w:rPr>
                <w:noProof/>
              </w:rPr>
              <w:instrText xml:space="preserve"> PAGEREF _Toc131178670 \h </w:instrText>
            </w:r>
            <w:r w:rsidR="00552795">
              <w:rPr>
                <w:noProof/>
              </w:rPr>
            </w:r>
            <w:r w:rsidR="00552795">
              <w:rPr>
                <w:noProof/>
              </w:rPr>
              <w:fldChar w:fldCharType="separate"/>
            </w:r>
            <w:r w:rsidR="00130DCF">
              <w:rPr>
                <w:noProof/>
              </w:rPr>
              <w:t>5</w:t>
            </w:r>
            <w:r w:rsidR="00552795">
              <w:rPr>
                <w:noProof/>
              </w:rPr>
              <w:fldChar w:fldCharType="end"/>
            </w:r>
          </w:hyperlink>
        </w:p>
        <w:p w14:paraId="5F3BFADE" w14:textId="43D4D4BD" w:rsidR="00552795" w:rsidRDefault="00000000">
          <w:pPr>
            <w:pStyle w:val="TOC2"/>
            <w:tabs>
              <w:tab w:val="left" w:pos="1134"/>
              <w:tab w:val="right" w:leader="dot" w:pos="9628"/>
            </w:tabs>
            <w:rPr>
              <w:rFonts w:asciiTheme="minorHAnsi" w:hAnsiTheme="minorHAnsi"/>
              <w:noProof/>
              <w:sz w:val="22"/>
              <w:szCs w:val="22"/>
            </w:rPr>
          </w:pPr>
          <w:hyperlink w:anchor="_Toc131178671" w:history="1">
            <w:r w:rsidR="00552795" w:rsidRPr="002D1D55">
              <w:rPr>
                <w:rStyle w:val="Hyperlink"/>
                <w:noProof/>
              </w:rPr>
              <w:t>2.4</w:t>
            </w:r>
            <w:r w:rsidR="00552795">
              <w:rPr>
                <w:rFonts w:asciiTheme="minorHAnsi" w:hAnsiTheme="minorHAnsi"/>
                <w:noProof/>
                <w:sz w:val="22"/>
                <w:szCs w:val="22"/>
              </w:rPr>
              <w:tab/>
            </w:r>
            <w:r w:rsidR="00552795" w:rsidRPr="002D1D55">
              <w:rPr>
                <w:rStyle w:val="Hyperlink"/>
                <w:noProof/>
              </w:rPr>
              <w:t>Audit team</w:t>
            </w:r>
            <w:r w:rsidR="00552795">
              <w:rPr>
                <w:noProof/>
              </w:rPr>
              <w:tab/>
            </w:r>
            <w:r w:rsidR="00552795">
              <w:rPr>
                <w:noProof/>
              </w:rPr>
              <w:fldChar w:fldCharType="begin"/>
            </w:r>
            <w:r w:rsidR="00552795">
              <w:rPr>
                <w:noProof/>
              </w:rPr>
              <w:instrText xml:space="preserve"> PAGEREF _Toc131178671 \h </w:instrText>
            </w:r>
            <w:r w:rsidR="00552795">
              <w:rPr>
                <w:noProof/>
              </w:rPr>
            </w:r>
            <w:r w:rsidR="00552795">
              <w:rPr>
                <w:noProof/>
              </w:rPr>
              <w:fldChar w:fldCharType="separate"/>
            </w:r>
            <w:r w:rsidR="00130DCF">
              <w:rPr>
                <w:noProof/>
              </w:rPr>
              <w:t>6</w:t>
            </w:r>
            <w:r w:rsidR="00552795">
              <w:rPr>
                <w:noProof/>
              </w:rPr>
              <w:fldChar w:fldCharType="end"/>
            </w:r>
          </w:hyperlink>
        </w:p>
        <w:p w14:paraId="1B1409D1" w14:textId="16109C42" w:rsidR="00552795" w:rsidRDefault="00000000">
          <w:pPr>
            <w:pStyle w:val="TOC1"/>
            <w:tabs>
              <w:tab w:val="right" w:leader="dot" w:pos="9628"/>
            </w:tabs>
            <w:rPr>
              <w:rFonts w:asciiTheme="minorHAnsi" w:hAnsiTheme="minorHAnsi"/>
              <w:b w:val="0"/>
              <w:noProof/>
              <w:sz w:val="22"/>
              <w:szCs w:val="22"/>
            </w:rPr>
          </w:pPr>
          <w:hyperlink w:anchor="_Toc131178672" w:history="1">
            <w:r w:rsidR="00552795" w:rsidRPr="002D1D55">
              <w:rPr>
                <w:rStyle w:val="Hyperlink"/>
                <w:noProof/>
              </w:rPr>
              <w:t>3.</w:t>
            </w:r>
            <w:r w:rsidR="00552795">
              <w:rPr>
                <w:rFonts w:asciiTheme="minorHAnsi" w:hAnsiTheme="minorHAnsi"/>
                <w:b w:val="0"/>
                <w:noProof/>
                <w:sz w:val="22"/>
                <w:szCs w:val="22"/>
              </w:rPr>
              <w:tab/>
            </w:r>
            <w:r w:rsidR="00552795" w:rsidRPr="002D1D55">
              <w:rPr>
                <w:rStyle w:val="Hyperlink"/>
                <w:noProof/>
              </w:rPr>
              <w:t>Audit approach</w:t>
            </w:r>
            <w:r w:rsidR="00552795">
              <w:rPr>
                <w:noProof/>
              </w:rPr>
              <w:tab/>
            </w:r>
            <w:r w:rsidR="00552795">
              <w:rPr>
                <w:noProof/>
              </w:rPr>
              <w:fldChar w:fldCharType="begin"/>
            </w:r>
            <w:r w:rsidR="00552795">
              <w:rPr>
                <w:noProof/>
              </w:rPr>
              <w:instrText xml:space="preserve"> PAGEREF _Toc131178672 \h </w:instrText>
            </w:r>
            <w:r w:rsidR="00552795">
              <w:rPr>
                <w:noProof/>
              </w:rPr>
            </w:r>
            <w:r w:rsidR="00552795">
              <w:rPr>
                <w:noProof/>
              </w:rPr>
              <w:fldChar w:fldCharType="separate"/>
            </w:r>
            <w:r w:rsidR="00130DCF">
              <w:rPr>
                <w:noProof/>
              </w:rPr>
              <w:t>7</w:t>
            </w:r>
            <w:r w:rsidR="00552795">
              <w:rPr>
                <w:noProof/>
              </w:rPr>
              <w:fldChar w:fldCharType="end"/>
            </w:r>
          </w:hyperlink>
        </w:p>
        <w:p w14:paraId="6AC9515E" w14:textId="2B6236AD" w:rsidR="00552795" w:rsidRDefault="00000000">
          <w:pPr>
            <w:pStyle w:val="TOC2"/>
            <w:tabs>
              <w:tab w:val="left" w:pos="1134"/>
              <w:tab w:val="right" w:leader="dot" w:pos="9628"/>
            </w:tabs>
            <w:rPr>
              <w:rFonts w:asciiTheme="minorHAnsi" w:hAnsiTheme="minorHAnsi"/>
              <w:noProof/>
              <w:sz w:val="22"/>
              <w:szCs w:val="22"/>
            </w:rPr>
          </w:pPr>
          <w:hyperlink w:anchor="_Toc131178673" w:history="1">
            <w:r w:rsidR="00552795" w:rsidRPr="002D1D55">
              <w:rPr>
                <w:rStyle w:val="Hyperlink"/>
                <w:noProof/>
              </w:rPr>
              <w:t>3.1</w:t>
            </w:r>
            <w:r w:rsidR="00552795">
              <w:rPr>
                <w:rFonts w:asciiTheme="minorHAnsi" w:hAnsiTheme="minorHAnsi"/>
                <w:noProof/>
                <w:sz w:val="22"/>
                <w:szCs w:val="22"/>
              </w:rPr>
              <w:tab/>
            </w:r>
            <w:r w:rsidR="00552795" w:rsidRPr="002D1D55">
              <w:rPr>
                <w:rStyle w:val="Hyperlink"/>
                <w:noProof/>
              </w:rPr>
              <w:t>Coupe selection</w:t>
            </w:r>
            <w:r w:rsidR="00552795">
              <w:rPr>
                <w:noProof/>
              </w:rPr>
              <w:tab/>
            </w:r>
            <w:r w:rsidR="00552795">
              <w:rPr>
                <w:noProof/>
              </w:rPr>
              <w:fldChar w:fldCharType="begin"/>
            </w:r>
            <w:r w:rsidR="00552795">
              <w:rPr>
                <w:noProof/>
              </w:rPr>
              <w:instrText xml:space="preserve"> PAGEREF _Toc131178673 \h </w:instrText>
            </w:r>
            <w:r w:rsidR="00552795">
              <w:rPr>
                <w:noProof/>
              </w:rPr>
            </w:r>
            <w:r w:rsidR="00552795">
              <w:rPr>
                <w:noProof/>
              </w:rPr>
              <w:fldChar w:fldCharType="separate"/>
            </w:r>
            <w:r w:rsidR="00130DCF">
              <w:rPr>
                <w:noProof/>
              </w:rPr>
              <w:t>7</w:t>
            </w:r>
            <w:r w:rsidR="00552795">
              <w:rPr>
                <w:noProof/>
              </w:rPr>
              <w:fldChar w:fldCharType="end"/>
            </w:r>
          </w:hyperlink>
        </w:p>
        <w:p w14:paraId="48437710" w14:textId="33E921AC" w:rsidR="00552795" w:rsidRDefault="00000000">
          <w:pPr>
            <w:pStyle w:val="TOC2"/>
            <w:tabs>
              <w:tab w:val="left" w:pos="1134"/>
              <w:tab w:val="right" w:leader="dot" w:pos="9628"/>
            </w:tabs>
            <w:rPr>
              <w:rFonts w:asciiTheme="minorHAnsi" w:hAnsiTheme="minorHAnsi"/>
              <w:noProof/>
              <w:sz w:val="22"/>
              <w:szCs w:val="22"/>
            </w:rPr>
          </w:pPr>
          <w:hyperlink w:anchor="_Toc131178674" w:history="1">
            <w:r w:rsidR="00552795" w:rsidRPr="002D1D55">
              <w:rPr>
                <w:rStyle w:val="Hyperlink"/>
                <w:noProof/>
              </w:rPr>
              <w:t>3.2</w:t>
            </w:r>
            <w:r w:rsidR="00552795">
              <w:rPr>
                <w:rFonts w:asciiTheme="minorHAnsi" w:hAnsiTheme="minorHAnsi"/>
                <w:noProof/>
                <w:sz w:val="22"/>
                <w:szCs w:val="22"/>
              </w:rPr>
              <w:tab/>
            </w:r>
            <w:r w:rsidR="00552795" w:rsidRPr="002D1D55">
              <w:rPr>
                <w:rStyle w:val="Hyperlink"/>
                <w:noProof/>
              </w:rPr>
              <w:t>Audit criteria and workbook</w:t>
            </w:r>
            <w:r w:rsidR="00552795">
              <w:rPr>
                <w:noProof/>
              </w:rPr>
              <w:tab/>
            </w:r>
            <w:r w:rsidR="00552795">
              <w:rPr>
                <w:noProof/>
              </w:rPr>
              <w:fldChar w:fldCharType="begin"/>
            </w:r>
            <w:r w:rsidR="00552795">
              <w:rPr>
                <w:noProof/>
              </w:rPr>
              <w:instrText xml:space="preserve"> PAGEREF _Toc131178674 \h </w:instrText>
            </w:r>
            <w:r w:rsidR="00552795">
              <w:rPr>
                <w:noProof/>
              </w:rPr>
            </w:r>
            <w:r w:rsidR="00552795">
              <w:rPr>
                <w:noProof/>
              </w:rPr>
              <w:fldChar w:fldCharType="separate"/>
            </w:r>
            <w:r w:rsidR="00130DCF">
              <w:rPr>
                <w:noProof/>
              </w:rPr>
              <w:t>10</w:t>
            </w:r>
            <w:r w:rsidR="00552795">
              <w:rPr>
                <w:noProof/>
              </w:rPr>
              <w:fldChar w:fldCharType="end"/>
            </w:r>
          </w:hyperlink>
        </w:p>
        <w:p w14:paraId="5F3B7AA6" w14:textId="4811146A" w:rsidR="00552795" w:rsidRDefault="00000000">
          <w:pPr>
            <w:pStyle w:val="TOC2"/>
            <w:tabs>
              <w:tab w:val="left" w:pos="1134"/>
              <w:tab w:val="right" w:leader="dot" w:pos="9628"/>
            </w:tabs>
            <w:rPr>
              <w:rFonts w:asciiTheme="minorHAnsi" w:hAnsiTheme="minorHAnsi"/>
              <w:noProof/>
              <w:sz w:val="22"/>
              <w:szCs w:val="22"/>
            </w:rPr>
          </w:pPr>
          <w:hyperlink w:anchor="_Toc131178675" w:history="1">
            <w:r w:rsidR="00552795" w:rsidRPr="002D1D55">
              <w:rPr>
                <w:rStyle w:val="Hyperlink"/>
                <w:noProof/>
              </w:rPr>
              <w:t>3.3</w:t>
            </w:r>
            <w:r w:rsidR="00552795">
              <w:rPr>
                <w:rFonts w:asciiTheme="minorHAnsi" w:hAnsiTheme="minorHAnsi"/>
                <w:noProof/>
                <w:sz w:val="22"/>
                <w:szCs w:val="22"/>
              </w:rPr>
              <w:tab/>
            </w:r>
            <w:r w:rsidR="00552795" w:rsidRPr="002D1D55">
              <w:rPr>
                <w:rStyle w:val="Hyperlink"/>
                <w:noProof/>
              </w:rPr>
              <w:t>Field assessments</w:t>
            </w:r>
            <w:r w:rsidR="00552795">
              <w:rPr>
                <w:noProof/>
              </w:rPr>
              <w:tab/>
            </w:r>
            <w:r w:rsidR="00552795">
              <w:rPr>
                <w:noProof/>
              </w:rPr>
              <w:fldChar w:fldCharType="begin"/>
            </w:r>
            <w:r w:rsidR="00552795">
              <w:rPr>
                <w:noProof/>
              </w:rPr>
              <w:instrText xml:space="preserve"> PAGEREF _Toc131178675 \h </w:instrText>
            </w:r>
            <w:r w:rsidR="00552795">
              <w:rPr>
                <w:noProof/>
              </w:rPr>
            </w:r>
            <w:r w:rsidR="00552795">
              <w:rPr>
                <w:noProof/>
              </w:rPr>
              <w:fldChar w:fldCharType="separate"/>
            </w:r>
            <w:r w:rsidR="00130DCF">
              <w:rPr>
                <w:noProof/>
              </w:rPr>
              <w:t>10</w:t>
            </w:r>
            <w:r w:rsidR="00552795">
              <w:rPr>
                <w:noProof/>
              </w:rPr>
              <w:fldChar w:fldCharType="end"/>
            </w:r>
          </w:hyperlink>
        </w:p>
        <w:p w14:paraId="07DD2A58" w14:textId="4CD3FAD5" w:rsidR="00552795" w:rsidRDefault="00000000">
          <w:pPr>
            <w:pStyle w:val="TOC2"/>
            <w:tabs>
              <w:tab w:val="left" w:pos="1134"/>
              <w:tab w:val="right" w:leader="dot" w:pos="9628"/>
            </w:tabs>
            <w:rPr>
              <w:rFonts w:asciiTheme="minorHAnsi" w:hAnsiTheme="minorHAnsi"/>
              <w:noProof/>
              <w:sz w:val="22"/>
              <w:szCs w:val="22"/>
            </w:rPr>
          </w:pPr>
          <w:hyperlink w:anchor="_Toc131178676" w:history="1">
            <w:r w:rsidR="00552795" w:rsidRPr="002D1D55">
              <w:rPr>
                <w:rStyle w:val="Hyperlink"/>
                <w:noProof/>
              </w:rPr>
              <w:t>3.4</w:t>
            </w:r>
            <w:r w:rsidR="00552795">
              <w:rPr>
                <w:rFonts w:asciiTheme="minorHAnsi" w:hAnsiTheme="minorHAnsi"/>
                <w:noProof/>
                <w:sz w:val="22"/>
                <w:szCs w:val="22"/>
              </w:rPr>
              <w:tab/>
            </w:r>
            <w:r w:rsidR="00552795" w:rsidRPr="002D1D55">
              <w:rPr>
                <w:rStyle w:val="Hyperlink"/>
                <w:noProof/>
              </w:rPr>
              <w:t>Environmental impact assessment</w:t>
            </w:r>
            <w:r w:rsidR="00552795">
              <w:rPr>
                <w:noProof/>
              </w:rPr>
              <w:tab/>
            </w:r>
            <w:r w:rsidR="00552795">
              <w:rPr>
                <w:noProof/>
              </w:rPr>
              <w:fldChar w:fldCharType="begin"/>
            </w:r>
            <w:r w:rsidR="00552795">
              <w:rPr>
                <w:noProof/>
              </w:rPr>
              <w:instrText xml:space="preserve"> PAGEREF _Toc131178676 \h </w:instrText>
            </w:r>
            <w:r w:rsidR="00552795">
              <w:rPr>
                <w:noProof/>
              </w:rPr>
            </w:r>
            <w:r w:rsidR="00552795">
              <w:rPr>
                <w:noProof/>
              </w:rPr>
              <w:fldChar w:fldCharType="separate"/>
            </w:r>
            <w:r w:rsidR="00130DCF">
              <w:rPr>
                <w:noProof/>
              </w:rPr>
              <w:t>12</w:t>
            </w:r>
            <w:r w:rsidR="00552795">
              <w:rPr>
                <w:noProof/>
              </w:rPr>
              <w:fldChar w:fldCharType="end"/>
            </w:r>
          </w:hyperlink>
        </w:p>
        <w:p w14:paraId="4AAE24FF" w14:textId="29A4A5C7" w:rsidR="00552795" w:rsidRDefault="00000000">
          <w:pPr>
            <w:pStyle w:val="TOC1"/>
            <w:tabs>
              <w:tab w:val="right" w:leader="dot" w:pos="9628"/>
            </w:tabs>
            <w:rPr>
              <w:rFonts w:asciiTheme="minorHAnsi" w:hAnsiTheme="minorHAnsi"/>
              <w:b w:val="0"/>
              <w:noProof/>
              <w:sz w:val="22"/>
              <w:szCs w:val="22"/>
            </w:rPr>
          </w:pPr>
          <w:hyperlink w:anchor="_Toc131178677" w:history="1">
            <w:r w:rsidR="00552795" w:rsidRPr="002D1D55">
              <w:rPr>
                <w:rStyle w:val="Hyperlink"/>
                <w:noProof/>
              </w:rPr>
              <w:t>4.</w:t>
            </w:r>
            <w:r w:rsidR="00552795">
              <w:rPr>
                <w:rFonts w:asciiTheme="minorHAnsi" w:hAnsiTheme="minorHAnsi"/>
                <w:b w:val="0"/>
                <w:noProof/>
                <w:sz w:val="22"/>
                <w:szCs w:val="22"/>
              </w:rPr>
              <w:tab/>
            </w:r>
            <w:r w:rsidR="00552795" w:rsidRPr="002D1D55">
              <w:rPr>
                <w:rStyle w:val="Hyperlink"/>
                <w:noProof/>
              </w:rPr>
              <w:t>Audit results</w:t>
            </w:r>
            <w:r w:rsidR="00552795">
              <w:rPr>
                <w:noProof/>
              </w:rPr>
              <w:tab/>
            </w:r>
            <w:r w:rsidR="00552795">
              <w:rPr>
                <w:noProof/>
              </w:rPr>
              <w:fldChar w:fldCharType="begin"/>
            </w:r>
            <w:r w:rsidR="00552795">
              <w:rPr>
                <w:noProof/>
              </w:rPr>
              <w:instrText xml:space="preserve"> PAGEREF _Toc131178677 \h </w:instrText>
            </w:r>
            <w:r w:rsidR="00552795">
              <w:rPr>
                <w:noProof/>
              </w:rPr>
            </w:r>
            <w:r w:rsidR="00552795">
              <w:rPr>
                <w:noProof/>
              </w:rPr>
              <w:fldChar w:fldCharType="separate"/>
            </w:r>
            <w:r w:rsidR="00130DCF">
              <w:rPr>
                <w:noProof/>
              </w:rPr>
              <w:t>14</w:t>
            </w:r>
            <w:r w:rsidR="00552795">
              <w:rPr>
                <w:noProof/>
              </w:rPr>
              <w:fldChar w:fldCharType="end"/>
            </w:r>
          </w:hyperlink>
        </w:p>
        <w:p w14:paraId="15CE18DD" w14:textId="17821E14" w:rsidR="00552795" w:rsidRDefault="00000000">
          <w:pPr>
            <w:pStyle w:val="TOC2"/>
            <w:tabs>
              <w:tab w:val="left" w:pos="1134"/>
              <w:tab w:val="right" w:leader="dot" w:pos="9628"/>
            </w:tabs>
            <w:rPr>
              <w:rFonts w:asciiTheme="minorHAnsi" w:hAnsiTheme="minorHAnsi"/>
              <w:noProof/>
              <w:sz w:val="22"/>
              <w:szCs w:val="22"/>
            </w:rPr>
          </w:pPr>
          <w:hyperlink w:anchor="_Toc131178678" w:history="1">
            <w:r w:rsidR="00552795" w:rsidRPr="002D1D55">
              <w:rPr>
                <w:rStyle w:val="Hyperlink"/>
                <w:noProof/>
              </w:rPr>
              <w:t>4.1</w:t>
            </w:r>
            <w:r w:rsidR="00552795">
              <w:rPr>
                <w:rFonts w:asciiTheme="minorHAnsi" w:hAnsiTheme="minorHAnsi"/>
                <w:noProof/>
                <w:sz w:val="22"/>
                <w:szCs w:val="22"/>
              </w:rPr>
              <w:tab/>
            </w:r>
            <w:r w:rsidR="00552795" w:rsidRPr="002D1D55">
              <w:rPr>
                <w:rStyle w:val="Hyperlink"/>
                <w:noProof/>
              </w:rPr>
              <w:t>Overall compliance findings</w:t>
            </w:r>
            <w:r w:rsidR="00552795">
              <w:rPr>
                <w:noProof/>
              </w:rPr>
              <w:tab/>
            </w:r>
            <w:r w:rsidR="00552795">
              <w:rPr>
                <w:noProof/>
              </w:rPr>
              <w:fldChar w:fldCharType="begin"/>
            </w:r>
            <w:r w:rsidR="00552795">
              <w:rPr>
                <w:noProof/>
              </w:rPr>
              <w:instrText xml:space="preserve"> PAGEREF _Toc131178678 \h </w:instrText>
            </w:r>
            <w:r w:rsidR="00552795">
              <w:rPr>
                <w:noProof/>
              </w:rPr>
            </w:r>
            <w:r w:rsidR="00552795">
              <w:rPr>
                <w:noProof/>
              </w:rPr>
              <w:fldChar w:fldCharType="separate"/>
            </w:r>
            <w:r w:rsidR="00130DCF">
              <w:rPr>
                <w:noProof/>
              </w:rPr>
              <w:t>14</w:t>
            </w:r>
            <w:r w:rsidR="00552795">
              <w:rPr>
                <w:noProof/>
              </w:rPr>
              <w:fldChar w:fldCharType="end"/>
            </w:r>
          </w:hyperlink>
        </w:p>
        <w:p w14:paraId="1E9CA20A" w14:textId="679702A0" w:rsidR="00552795" w:rsidRDefault="00000000">
          <w:pPr>
            <w:pStyle w:val="TOC2"/>
            <w:tabs>
              <w:tab w:val="left" w:pos="1134"/>
              <w:tab w:val="right" w:leader="dot" w:pos="9628"/>
            </w:tabs>
            <w:rPr>
              <w:rFonts w:asciiTheme="minorHAnsi" w:hAnsiTheme="minorHAnsi"/>
              <w:noProof/>
              <w:sz w:val="22"/>
              <w:szCs w:val="22"/>
            </w:rPr>
          </w:pPr>
          <w:hyperlink w:anchor="_Toc131178679" w:history="1">
            <w:r w:rsidR="00552795" w:rsidRPr="002D1D55">
              <w:rPr>
                <w:rStyle w:val="Hyperlink"/>
                <w:noProof/>
              </w:rPr>
              <w:t>4.2</w:t>
            </w:r>
            <w:r w:rsidR="00552795">
              <w:rPr>
                <w:rFonts w:asciiTheme="minorHAnsi" w:hAnsiTheme="minorHAnsi"/>
                <w:noProof/>
                <w:sz w:val="22"/>
                <w:szCs w:val="22"/>
              </w:rPr>
              <w:tab/>
            </w:r>
            <w:r w:rsidR="00552795" w:rsidRPr="002D1D55">
              <w:rPr>
                <w:rStyle w:val="Hyperlink"/>
                <w:noProof/>
              </w:rPr>
              <w:t>Environmental compliance theme</w:t>
            </w:r>
            <w:r w:rsidR="00552795">
              <w:rPr>
                <w:noProof/>
              </w:rPr>
              <w:tab/>
            </w:r>
            <w:r w:rsidR="00552795">
              <w:rPr>
                <w:noProof/>
              </w:rPr>
              <w:fldChar w:fldCharType="begin"/>
            </w:r>
            <w:r w:rsidR="00552795">
              <w:rPr>
                <w:noProof/>
              </w:rPr>
              <w:instrText xml:space="preserve"> PAGEREF _Toc131178679 \h </w:instrText>
            </w:r>
            <w:r w:rsidR="00552795">
              <w:rPr>
                <w:noProof/>
              </w:rPr>
            </w:r>
            <w:r w:rsidR="00552795">
              <w:rPr>
                <w:noProof/>
              </w:rPr>
              <w:fldChar w:fldCharType="separate"/>
            </w:r>
            <w:r w:rsidR="00130DCF">
              <w:rPr>
                <w:noProof/>
              </w:rPr>
              <w:t>15</w:t>
            </w:r>
            <w:r w:rsidR="00552795">
              <w:rPr>
                <w:noProof/>
              </w:rPr>
              <w:fldChar w:fldCharType="end"/>
            </w:r>
          </w:hyperlink>
        </w:p>
        <w:p w14:paraId="7A01259B" w14:textId="28A7BA59" w:rsidR="00552795" w:rsidRDefault="00000000">
          <w:pPr>
            <w:pStyle w:val="TOC3"/>
            <w:tabs>
              <w:tab w:val="left" w:pos="1760"/>
              <w:tab w:val="right" w:leader="dot" w:pos="9628"/>
            </w:tabs>
            <w:rPr>
              <w:rFonts w:asciiTheme="minorHAnsi" w:hAnsiTheme="minorHAnsi"/>
              <w:noProof/>
              <w:sz w:val="22"/>
              <w:szCs w:val="22"/>
            </w:rPr>
          </w:pPr>
          <w:hyperlink w:anchor="_Toc131178680" w:history="1">
            <w:r w:rsidR="00552795" w:rsidRPr="002D1D55">
              <w:rPr>
                <w:rStyle w:val="Hyperlink"/>
                <w:noProof/>
              </w:rPr>
              <w:t>4.2.1</w:t>
            </w:r>
            <w:r w:rsidR="00552795">
              <w:rPr>
                <w:rFonts w:asciiTheme="minorHAnsi" w:hAnsiTheme="minorHAnsi"/>
                <w:noProof/>
                <w:sz w:val="22"/>
                <w:szCs w:val="22"/>
              </w:rPr>
              <w:tab/>
            </w:r>
            <w:r w:rsidR="00552795" w:rsidRPr="002D1D55">
              <w:rPr>
                <w:rStyle w:val="Hyperlink"/>
                <w:noProof/>
              </w:rPr>
              <w:t>Compliance elements related to the protection of forest soils</w:t>
            </w:r>
            <w:r w:rsidR="00552795">
              <w:rPr>
                <w:noProof/>
              </w:rPr>
              <w:tab/>
            </w:r>
            <w:r w:rsidR="00552795">
              <w:rPr>
                <w:noProof/>
              </w:rPr>
              <w:fldChar w:fldCharType="begin"/>
            </w:r>
            <w:r w:rsidR="00552795">
              <w:rPr>
                <w:noProof/>
              </w:rPr>
              <w:instrText xml:space="preserve"> PAGEREF _Toc131178680 \h </w:instrText>
            </w:r>
            <w:r w:rsidR="00552795">
              <w:rPr>
                <w:noProof/>
              </w:rPr>
            </w:r>
            <w:r w:rsidR="00552795">
              <w:rPr>
                <w:noProof/>
              </w:rPr>
              <w:fldChar w:fldCharType="separate"/>
            </w:r>
            <w:r w:rsidR="00130DCF">
              <w:rPr>
                <w:noProof/>
              </w:rPr>
              <w:t>15</w:t>
            </w:r>
            <w:r w:rsidR="00552795">
              <w:rPr>
                <w:noProof/>
              </w:rPr>
              <w:fldChar w:fldCharType="end"/>
            </w:r>
          </w:hyperlink>
        </w:p>
        <w:p w14:paraId="190CB28F" w14:textId="64CBECE9" w:rsidR="00552795" w:rsidRDefault="00000000">
          <w:pPr>
            <w:pStyle w:val="TOC3"/>
            <w:tabs>
              <w:tab w:val="left" w:pos="1760"/>
              <w:tab w:val="right" w:leader="dot" w:pos="9628"/>
            </w:tabs>
            <w:rPr>
              <w:rFonts w:asciiTheme="minorHAnsi" w:hAnsiTheme="minorHAnsi"/>
              <w:noProof/>
              <w:sz w:val="22"/>
              <w:szCs w:val="22"/>
            </w:rPr>
          </w:pPr>
          <w:hyperlink w:anchor="_Toc131178682" w:history="1">
            <w:r w:rsidR="00552795" w:rsidRPr="002D1D55">
              <w:rPr>
                <w:rStyle w:val="Hyperlink"/>
                <w:noProof/>
              </w:rPr>
              <w:t>4.2.2</w:t>
            </w:r>
            <w:r w:rsidR="00552795">
              <w:rPr>
                <w:rFonts w:asciiTheme="minorHAnsi" w:hAnsiTheme="minorHAnsi"/>
                <w:noProof/>
                <w:sz w:val="22"/>
                <w:szCs w:val="22"/>
              </w:rPr>
              <w:tab/>
            </w:r>
            <w:r w:rsidR="00552795" w:rsidRPr="002D1D55">
              <w:rPr>
                <w:rStyle w:val="Hyperlink"/>
                <w:noProof/>
              </w:rPr>
              <w:t>Compliance elements related to the protection of water flows, water quality and river health</w:t>
            </w:r>
            <w:r w:rsidR="00552795">
              <w:rPr>
                <w:noProof/>
              </w:rPr>
              <w:tab/>
            </w:r>
            <w:r w:rsidR="00552795">
              <w:rPr>
                <w:noProof/>
              </w:rPr>
              <w:fldChar w:fldCharType="begin"/>
            </w:r>
            <w:r w:rsidR="00552795">
              <w:rPr>
                <w:noProof/>
              </w:rPr>
              <w:instrText xml:space="preserve"> PAGEREF _Toc131178682 \h </w:instrText>
            </w:r>
            <w:r w:rsidR="00552795">
              <w:rPr>
                <w:noProof/>
              </w:rPr>
            </w:r>
            <w:r w:rsidR="00552795">
              <w:rPr>
                <w:noProof/>
              </w:rPr>
              <w:fldChar w:fldCharType="separate"/>
            </w:r>
            <w:r w:rsidR="00130DCF">
              <w:rPr>
                <w:noProof/>
              </w:rPr>
              <w:t>17</w:t>
            </w:r>
            <w:r w:rsidR="00552795">
              <w:rPr>
                <w:noProof/>
              </w:rPr>
              <w:fldChar w:fldCharType="end"/>
            </w:r>
          </w:hyperlink>
        </w:p>
        <w:p w14:paraId="172AC62F" w14:textId="18A892B5" w:rsidR="00552795" w:rsidRDefault="00000000">
          <w:pPr>
            <w:pStyle w:val="TOC2"/>
            <w:tabs>
              <w:tab w:val="left" w:pos="1134"/>
              <w:tab w:val="right" w:leader="dot" w:pos="9628"/>
            </w:tabs>
            <w:rPr>
              <w:rFonts w:asciiTheme="minorHAnsi" w:hAnsiTheme="minorHAnsi"/>
              <w:noProof/>
              <w:sz w:val="22"/>
              <w:szCs w:val="22"/>
            </w:rPr>
          </w:pPr>
          <w:hyperlink w:anchor="_Toc131178683" w:history="1">
            <w:r w:rsidR="00552795" w:rsidRPr="002D1D55">
              <w:rPr>
                <w:rStyle w:val="Hyperlink"/>
                <w:noProof/>
              </w:rPr>
              <w:t>4.3</w:t>
            </w:r>
            <w:r w:rsidR="00552795">
              <w:rPr>
                <w:rFonts w:asciiTheme="minorHAnsi" w:hAnsiTheme="minorHAnsi"/>
                <w:noProof/>
                <w:sz w:val="22"/>
                <w:szCs w:val="22"/>
              </w:rPr>
              <w:tab/>
            </w:r>
            <w:r w:rsidR="00552795" w:rsidRPr="002D1D55">
              <w:rPr>
                <w:rStyle w:val="Hyperlink"/>
                <w:noProof/>
              </w:rPr>
              <w:t>Conservation of biodiversity</w:t>
            </w:r>
            <w:r w:rsidR="00552795">
              <w:rPr>
                <w:noProof/>
              </w:rPr>
              <w:tab/>
            </w:r>
            <w:r w:rsidR="00552795">
              <w:rPr>
                <w:noProof/>
              </w:rPr>
              <w:fldChar w:fldCharType="begin"/>
            </w:r>
            <w:r w:rsidR="00552795">
              <w:rPr>
                <w:noProof/>
              </w:rPr>
              <w:instrText xml:space="preserve"> PAGEREF _Toc131178683 \h </w:instrText>
            </w:r>
            <w:r w:rsidR="00552795">
              <w:rPr>
                <w:noProof/>
              </w:rPr>
            </w:r>
            <w:r w:rsidR="00552795">
              <w:rPr>
                <w:noProof/>
              </w:rPr>
              <w:fldChar w:fldCharType="separate"/>
            </w:r>
            <w:r w:rsidR="00130DCF">
              <w:rPr>
                <w:noProof/>
              </w:rPr>
              <w:t>19</w:t>
            </w:r>
            <w:r w:rsidR="00552795">
              <w:rPr>
                <w:noProof/>
              </w:rPr>
              <w:fldChar w:fldCharType="end"/>
            </w:r>
          </w:hyperlink>
        </w:p>
        <w:p w14:paraId="5F01AF52" w14:textId="541BE1BC" w:rsidR="00552795" w:rsidRDefault="00000000">
          <w:pPr>
            <w:pStyle w:val="TOC2"/>
            <w:tabs>
              <w:tab w:val="left" w:pos="1134"/>
              <w:tab w:val="right" w:leader="dot" w:pos="9628"/>
            </w:tabs>
            <w:rPr>
              <w:rFonts w:asciiTheme="minorHAnsi" w:hAnsiTheme="minorHAnsi"/>
              <w:noProof/>
              <w:sz w:val="22"/>
              <w:szCs w:val="22"/>
            </w:rPr>
          </w:pPr>
          <w:hyperlink w:anchor="_Toc131178684" w:history="1">
            <w:r w:rsidR="00552795" w:rsidRPr="002D1D55">
              <w:rPr>
                <w:rStyle w:val="Hyperlink"/>
                <w:noProof/>
              </w:rPr>
              <w:t>4.4</w:t>
            </w:r>
            <w:r w:rsidR="00552795">
              <w:rPr>
                <w:rFonts w:asciiTheme="minorHAnsi" w:hAnsiTheme="minorHAnsi"/>
                <w:noProof/>
                <w:sz w:val="22"/>
                <w:szCs w:val="22"/>
              </w:rPr>
              <w:tab/>
            </w:r>
            <w:r w:rsidR="00552795" w:rsidRPr="002D1D55">
              <w:rPr>
                <w:rStyle w:val="Hyperlink"/>
                <w:noProof/>
              </w:rPr>
              <w:t>Operational planning and record-keeping</w:t>
            </w:r>
            <w:r w:rsidR="00552795">
              <w:rPr>
                <w:noProof/>
              </w:rPr>
              <w:tab/>
            </w:r>
            <w:r w:rsidR="00552795">
              <w:rPr>
                <w:noProof/>
              </w:rPr>
              <w:fldChar w:fldCharType="begin"/>
            </w:r>
            <w:r w:rsidR="00552795">
              <w:rPr>
                <w:noProof/>
              </w:rPr>
              <w:instrText xml:space="preserve"> PAGEREF _Toc131178684 \h </w:instrText>
            </w:r>
            <w:r w:rsidR="00552795">
              <w:rPr>
                <w:noProof/>
              </w:rPr>
            </w:r>
            <w:r w:rsidR="00552795">
              <w:rPr>
                <w:noProof/>
              </w:rPr>
              <w:fldChar w:fldCharType="separate"/>
            </w:r>
            <w:r w:rsidR="00130DCF">
              <w:rPr>
                <w:noProof/>
              </w:rPr>
              <w:t>21</w:t>
            </w:r>
            <w:r w:rsidR="00552795">
              <w:rPr>
                <w:noProof/>
              </w:rPr>
              <w:fldChar w:fldCharType="end"/>
            </w:r>
          </w:hyperlink>
        </w:p>
        <w:p w14:paraId="5EAFCA1C" w14:textId="648ABFA2" w:rsidR="00552795" w:rsidRDefault="00000000">
          <w:pPr>
            <w:pStyle w:val="TOC2"/>
            <w:tabs>
              <w:tab w:val="left" w:pos="1134"/>
              <w:tab w:val="right" w:leader="dot" w:pos="9628"/>
            </w:tabs>
            <w:rPr>
              <w:rFonts w:asciiTheme="minorHAnsi" w:hAnsiTheme="minorHAnsi"/>
              <w:noProof/>
              <w:sz w:val="22"/>
              <w:szCs w:val="22"/>
            </w:rPr>
          </w:pPr>
          <w:hyperlink w:anchor="_Toc131178685" w:history="1">
            <w:r w:rsidR="00552795" w:rsidRPr="002D1D55">
              <w:rPr>
                <w:rStyle w:val="Hyperlink"/>
                <w:noProof/>
              </w:rPr>
              <w:t>4.5</w:t>
            </w:r>
            <w:r w:rsidR="00552795">
              <w:rPr>
                <w:rFonts w:asciiTheme="minorHAnsi" w:hAnsiTheme="minorHAnsi"/>
                <w:noProof/>
                <w:sz w:val="22"/>
                <w:szCs w:val="22"/>
              </w:rPr>
              <w:tab/>
            </w:r>
            <w:r w:rsidR="00552795" w:rsidRPr="002D1D55">
              <w:rPr>
                <w:rStyle w:val="Hyperlink"/>
                <w:noProof/>
              </w:rPr>
              <w:t>Coupe infrastructure for harvesting operations</w:t>
            </w:r>
            <w:r w:rsidR="00552795">
              <w:rPr>
                <w:noProof/>
              </w:rPr>
              <w:tab/>
            </w:r>
            <w:r w:rsidR="00552795">
              <w:rPr>
                <w:noProof/>
              </w:rPr>
              <w:fldChar w:fldCharType="begin"/>
            </w:r>
            <w:r w:rsidR="00552795">
              <w:rPr>
                <w:noProof/>
              </w:rPr>
              <w:instrText xml:space="preserve"> PAGEREF _Toc131178685 \h </w:instrText>
            </w:r>
            <w:r w:rsidR="00552795">
              <w:rPr>
                <w:noProof/>
              </w:rPr>
            </w:r>
            <w:r w:rsidR="00552795">
              <w:rPr>
                <w:noProof/>
              </w:rPr>
              <w:fldChar w:fldCharType="separate"/>
            </w:r>
            <w:r w:rsidR="00130DCF">
              <w:rPr>
                <w:noProof/>
              </w:rPr>
              <w:t>22</w:t>
            </w:r>
            <w:r w:rsidR="00552795">
              <w:rPr>
                <w:noProof/>
              </w:rPr>
              <w:fldChar w:fldCharType="end"/>
            </w:r>
          </w:hyperlink>
        </w:p>
        <w:p w14:paraId="18E96E8A" w14:textId="46F8D3A9" w:rsidR="00552795" w:rsidRDefault="00000000">
          <w:pPr>
            <w:pStyle w:val="TOC3"/>
            <w:tabs>
              <w:tab w:val="left" w:pos="1760"/>
              <w:tab w:val="right" w:leader="dot" w:pos="9628"/>
            </w:tabs>
            <w:rPr>
              <w:rFonts w:asciiTheme="minorHAnsi" w:hAnsiTheme="minorHAnsi"/>
              <w:noProof/>
              <w:sz w:val="22"/>
              <w:szCs w:val="22"/>
            </w:rPr>
          </w:pPr>
          <w:hyperlink w:anchor="_Toc131178686" w:history="1">
            <w:r w:rsidR="00552795" w:rsidRPr="002D1D55">
              <w:rPr>
                <w:rStyle w:val="Hyperlink"/>
                <w:noProof/>
              </w:rPr>
              <w:t>4.5.1</w:t>
            </w:r>
            <w:r w:rsidR="00552795">
              <w:rPr>
                <w:rFonts w:asciiTheme="minorHAnsi" w:hAnsiTheme="minorHAnsi"/>
                <w:noProof/>
                <w:sz w:val="22"/>
                <w:szCs w:val="22"/>
              </w:rPr>
              <w:tab/>
            </w:r>
            <w:r w:rsidR="00552795" w:rsidRPr="002D1D55">
              <w:rPr>
                <w:rStyle w:val="Hyperlink"/>
                <w:noProof/>
              </w:rPr>
              <w:t>Compliance elements related to in-coupe road and waterway crossing design</w:t>
            </w:r>
            <w:r w:rsidR="00552795">
              <w:rPr>
                <w:noProof/>
              </w:rPr>
              <w:tab/>
            </w:r>
            <w:r w:rsidR="00552795">
              <w:rPr>
                <w:noProof/>
              </w:rPr>
              <w:fldChar w:fldCharType="begin"/>
            </w:r>
            <w:r w:rsidR="00552795">
              <w:rPr>
                <w:noProof/>
              </w:rPr>
              <w:instrText xml:space="preserve"> PAGEREF _Toc131178686 \h </w:instrText>
            </w:r>
            <w:r w:rsidR="00552795">
              <w:rPr>
                <w:noProof/>
              </w:rPr>
            </w:r>
            <w:r w:rsidR="00552795">
              <w:rPr>
                <w:noProof/>
              </w:rPr>
              <w:fldChar w:fldCharType="separate"/>
            </w:r>
            <w:r w:rsidR="00130DCF">
              <w:rPr>
                <w:noProof/>
              </w:rPr>
              <w:t>23</w:t>
            </w:r>
            <w:r w:rsidR="00552795">
              <w:rPr>
                <w:noProof/>
              </w:rPr>
              <w:fldChar w:fldCharType="end"/>
            </w:r>
          </w:hyperlink>
        </w:p>
        <w:p w14:paraId="4E4259DB" w14:textId="3CED38C6" w:rsidR="00552795" w:rsidRDefault="00000000">
          <w:pPr>
            <w:pStyle w:val="TOC3"/>
            <w:tabs>
              <w:tab w:val="left" w:pos="1760"/>
              <w:tab w:val="right" w:leader="dot" w:pos="9628"/>
            </w:tabs>
            <w:rPr>
              <w:rFonts w:asciiTheme="minorHAnsi" w:hAnsiTheme="minorHAnsi"/>
              <w:noProof/>
              <w:sz w:val="22"/>
              <w:szCs w:val="22"/>
            </w:rPr>
          </w:pPr>
          <w:hyperlink w:anchor="_Toc131178687" w:history="1">
            <w:r w:rsidR="00552795" w:rsidRPr="002D1D55">
              <w:rPr>
                <w:rStyle w:val="Hyperlink"/>
                <w:noProof/>
              </w:rPr>
              <w:t>4.5.2</w:t>
            </w:r>
            <w:r w:rsidR="00552795">
              <w:rPr>
                <w:rFonts w:asciiTheme="minorHAnsi" w:hAnsiTheme="minorHAnsi"/>
                <w:noProof/>
                <w:sz w:val="22"/>
                <w:szCs w:val="22"/>
              </w:rPr>
              <w:tab/>
            </w:r>
            <w:r w:rsidR="00552795" w:rsidRPr="002D1D55">
              <w:rPr>
                <w:rStyle w:val="Hyperlink"/>
                <w:noProof/>
              </w:rPr>
              <w:t>Compliance elements related to in-coupe road and waterway crossing construction</w:t>
            </w:r>
            <w:r w:rsidR="00552795">
              <w:rPr>
                <w:noProof/>
              </w:rPr>
              <w:tab/>
            </w:r>
            <w:r w:rsidR="00552795">
              <w:rPr>
                <w:noProof/>
              </w:rPr>
              <w:fldChar w:fldCharType="begin"/>
            </w:r>
            <w:r w:rsidR="00552795">
              <w:rPr>
                <w:noProof/>
              </w:rPr>
              <w:instrText xml:space="preserve"> PAGEREF _Toc131178687 \h </w:instrText>
            </w:r>
            <w:r w:rsidR="00552795">
              <w:rPr>
                <w:noProof/>
              </w:rPr>
            </w:r>
            <w:r w:rsidR="00552795">
              <w:rPr>
                <w:noProof/>
              </w:rPr>
              <w:fldChar w:fldCharType="separate"/>
            </w:r>
            <w:r w:rsidR="00130DCF">
              <w:rPr>
                <w:noProof/>
              </w:rPr>
              <w:t>23</w:t>
            </w:r>
            <w:r w:rsidR="00552795">
              <w:rPr>
                <w:noProof/>
              </w:rPr>
              <w:fldChar w:fldCharType="end"/>
            </w:r>
          </w:hyperlink>
        </w:p>
        <w:p w14:paraId="627E0976" w14:textId="2569867F" w:rsidR="00552795" w:rsidRDefault="00000000">
          <w:pPr>
            <w:pStyle w:val="TOC3"/>
            <w:tabs>
              <w:tab w:val="left" w:pos="1760"/>
              <w:tab w:val="right" w:leader="dot" w:pos="9628"/>
            </w:tabs>
            <w:rPr>
              <w:rFonts w:asciiTheme="minorHAnsi" w:hAnsiTheme="minorHAnsi"/>
              <w:noProof/>
              <w:sz w:val="22"/>
              <w:szCs w:val="22"/>
            </w:rPr>
          </w:pPr>
          <w:hyperlink w:anchor="_Toc131178688" w:history="1">
            <w:r w:rsidR="00552795" w:rsidRPr="002D1D55">
              <w:rPr>
                <w:rStyle w:val="Hyperlink"/>
                <w:noProof/>
              </w:rPr>
              <w:t>4.5.3</w:t>
            </w:r>
            <w:r w:rsidR="00552795">
              <w:rPr>
                <w:rFonts w:asciiTheme="minorHAnsi" w:hAnsiTheme="minorHAnsi"/>
                <w:noProof/>
                <w:sz w:val="22"/>
                <w:szCs w:val="22"/>
              </w:rPr>
              <w:tab/>
            </w:r>
            <w:r w:rsidR="00552795" w:rsidRPr="002D1D55">
              <w:rPr>
                <w:rStyle w:val="Hyperlink"/>
                <w:noProof/>
              </w:rPr>
              <w:t>Compliance elements related to in-coupe road and waterway crossing maintenance and closure</w:t>
            </w:r>
            <w:r w:rsidR="00552795">
              <w:rPr>
                <w:noProof/>
              </w:rPr>
              <w:tab/>
            </w:r>
            <w:r w:rsidR="00552795">
              <w:rPr>
                <w:noProof/>
              </w:rPr>
              <w:fldChar w:fldCharType="begin"/>
            </w:r>
            <w:r w:rsidR="00552795">
              <w:rPr>
                <w:noProof/>
              </w:rPr>
              <w:instrText xml:space="preserve"> PAGEREF _Toc131178688 \h </w:instrText>
            </w:r>
            <w:r w:rsidR="00552795">
              <w:rPr>
                <w:noProof/>
              </w:rPr>
            </w:r>
            <w:r w:rsidR="00552795">
              <w:rPr>
                <w:noProof/>
              </w:rPr>
              <w:fldChar w:fldCharType="separate"/>
            </w:r>
            <w:r w:rsidR="00130DCF">
              <w:rPr>
                <w:noProof/>
              </w:rPr>
              <w:t>24</w:t>
            </w:r>
            <w:r w:rsidR="00552795">
              <w:rPr>
                <w:noProof/>
              </w:rPr>
              <w:fldChar w:fldCharType="end"/>
            </w:r>
          </w:hyperlink>
        </w:p>
        <w:p w14:paraId="183DEB15" w14:textId="76EF5498" w:rsidR="00552795" w:rsidRDefault="00000000">
          <w:pPr>
            <w:pStyle w:val="TOC3"/>
            <w:tabs>
              <w:tab w:val="left" w:pos="1760"/>
              <w:tab w:val="right" w:leader="dot" w:pos="9628"/>
            </w:tabs>
            <w:rPr>
              <w:rFonts w:asciiTheme="minorHAnsi" w:hAnsiTheme="minorHAnsi"/>
              <w:noProof/>
              <w:sz w:val="22"/>
              <w:szCs w:val="22"/>
            </w:rPr>
          </w:pPr>
          <w:hyperlink w:anchor="_Toc131178689" w:history="1">
            <w:r w:rsidR="00552795" w:rsidRPr="002D1D55">
              <w:rPr>
                <w:rStyle w:val="Hyperlink"/>
                <w:noProof/>
              </w:rPr>
              <w:t>4.5.4</w:t>
            </w:r>
            <w:r w:rsidR="00552795">
              <w:rPr>
                <w:rFonts w:asciiTheme="minorHAnsi" w:hAnsiTheme="minorHAnsi"/>
                <w:noProof/>
                <w:sz w:val="22"/>
                <w:szCs w:val="22"/>
              </w:rPr>
              <w:tab/>
            </w:r>
            <w:r w:rsidR="00552795" w:rsidRPr="002D1D55">
              <w:rPr>
                <w:rStyle w:val="Hyperlink"/>
                <w:noProof/>
              </w:rPr>
              <w:t>Compliance elements related to non-road infrastructure compliance theme</w:t>
            </w:r>
            <w:r w:rsidR="00552795">
              <w:rPr>
                <w:noProof/>
              </w:rPr>
              <w:tab/>
            </w:r>
            <w:r w:rsidR="00552795">
              <w:rPr>
                <w:noProof/>
              </w:rPr>
              <w:fldChar w:fldCharType="begin"/>
            </w:r>
            <w:r w:rsidR="00552795">
              <w:rPr>
                <w:noProof/>
              </w:rPr>
              <w:instrText xml:space="preserve"> PAGEREF _Toc131178689 \h </w:instrText>
            </w:r>
            <w:r w:rsidR="00552795">
              <w:rPr>
                <w:noProof/>
              </w:rPr>
            </w:r>
            <w:r w:rsidR="00552795">
              <w:rPr>
                <w:noProof/>
              </w:rPr>
              <w:fldChar w:fldCharType="separate"/>
            </w:r>
            <w:r w:rsidR="00130DCF">
              <w:rPr>
                <w:noProof/>
              </w:rPr>
              <w:t>25</w:t>
            </w:r>
            <w:r w:rsidR="00552795">
              <w:rPr>
                <w:noProof/>
              </w:rPr>
              <w:fldChar w:fldCharType="end"/>
            </w:r>
          </w:hyperlink>
        </w:p>
        <w:p w14:paraId="1A7037BC" w14:textId="35D223A5" w:rsidR="00552795" w:rsidRDefault="00000000">
          <w:pPr>
            <w:pStyle w:val="TOC1"/>
            <w:tabs>
              <w:tab w:val="right" w:leader="dot" w:pos="9628"/>
            </w:tabs>
            <w:rPr>
              <w:rFonts w:asciiTheme="minorHAnsi" w:hAnsiTheme="minorHAnsi"/>
              <w:b w:val="0"/>
              <w:noProof/>
              <w:sz w:val="22"/>
              <w:szCs w:val="22"/>
            </w:rPr>
          </w:pPr>
          <w:hyperlink w:anchor="_Toc131178690" w:history="1">
            <w:r w:rsidR="00552795" w:rsidRPr="002D1D55">
              <w:rPr>
                <w:rStyle w:val="Hyperlink"/>
                <w:noProof/>
              </w:rPr>
              <w:t>5.</w:t>
            </w:r>
            <w:r w:rsidR="00552795">
              <w:rPr>
                <w:rFonts w:asciiTheme="minorHAnsi" w:hAnsiTheme="minorHAnsi"/>
                <w:b w:val="0"/>
                <w:noProof/>
                <w:sz w:val="22"/>
                <w:szCs w:val="22"/>
              </w:rPr>
              <w:tab/>
            </w:r>
            <w:r w:rsidR="00552795" w:rsidRPr="002D1D55">
              <w:rPr>
                <w:rStyle w:val="Hyperlink"/>
                <w:noProof/>
              </w:rPr>
              <w:t>Discussion</w:t>
            </w:r>
            <w:r w:rsidR="00552795">
              <w:rPr>
                <w:noProof/>
              </w:rPr>
              <w:tab/>
            </w:r>
            <w:r w:rsidR="00552795">
              <w:rPr>
                <w:noProof/>
              </w:rPr>
              <w:fldChar w:fldCharType="begin"/>
            </w:r>
            <w:r w:rsidR="00552795">
              <w:rPr>
                <w:noProof/>
              </w:rPr>
              <w:instrText xml:space="preserve"> PAGEREF _Toc131178690 \h </w:instrText>
            </w:r>
            <w:r w:rsidR="00552795">
              <w:rPr>
                <w:noProof/>
              </w:rPr>
            </w:r>
            <w:r w:rsidR="00552795">
              <w:rPr>
                <w:noProof/>
              </w:rPr>
              <w:fldChar w:fldCharType="separate"/>
            </w:r>
            <w:r w:rsidR="00130DCF">
              <w:rPr>
                <w:noProof/>
              </w:rPr>
              <w:t>27</w:t>
            </w:r>
            <w:r w:rsidR="00552795">
              <w:rPr>
                <w:noProof/>
              </w:rPr>
              <w:fldChar w:fldCharType="end"/>
            </w:r>
          </w:hyperlink>
        </w:p>
        <w:p w14:paraId="5E16D620" w14:textId="26555859" w:rsidR="00552795" w:rsidRDefault="00000000">
          <w:pPr>
            <w:pStyle w:val="TOC2"/>
            <w:tabs>
              <w:tab w:val="left" w:pos="1134"/>
              <w:tab w:val="right" w:leader="dot" w:pos="9628"/>
            </w:tabs>
            <w:rPr>
              <w:rFonts w:asciiTheme="minorHAnsi" w:hAnsiTheme="minorHAnsi"/>
              <w:noProof/>
              <w:sz w:val="22"/>
              <w:szCs w:val="22"/>
            </w:rPr>
          </w:pPr>
          <w:hyperlink w:anchor="_Toc131178691" w:history="1">
            <w:r w:rsidR="00552795" w:rsidRPr="002D1D55">
              <w:rPr>
                <w:rStyle w:val="Hyperlink"/>
                <w:noProof/>
              </w:rPr>
              <w:t>5.1</w:t>
            </w:r>
            <w:r w:rsidR="00552795">
              <w:rPr>
                <w:rFonts w:asciiTheme="minorHAnsi" w:hAnsiTheme="minorHAnsi"/>
                <w:noProof/>
                <w:sz w:val="22"/>
                <w:szCs w:val="22"/>
              </w:rPr>
              <w:tab/>
            </w:r>
            <w:r w:rsidR="00552795" w:rsidRPr="002D1D55">
              <w:rPr>
                <w:rStyle w:val="Hyperlink"/>
                <w:noProof/>
              </w:rPr>
              <w:t>Overall audit findings</w:t>
            </w:r>
            <w:r w:rsidR="00552795">
              <w:rPr>
                <w:noProof/>
              </w:rPr>
              <w:tab/>
            </w:r>
            <w:r w:rsidR="00552795">
              <w:rPr>
                <w:noProof/>
              </w:rPr>
              <w:fldChar w:fldCharType="begin"/>
            </w:r>
            <w:r w:rsidR="00552795">
              <w:rPr>
                <w:noProof/>
              </w:rPr>
              <w:instrText xml:space="preserve"> PAGEREF _Toc131178691 \h </w:instrText>
            </w:r>
            <w:r w:rsidR="00552795">
              <w:rPr>
                <w:noProof/>
              </w:rPr>
            </w:r>
            <w:r w:rsidR="00552795">
              <w:rPr>
                <w:noProof/>
              </w:rPr>
              <w:fldChar w:fldCharType="separate"/>
            </w:r>
            <w:r w:rsidR="00130DCF">
              <w:rPr>
                <w:noProof/>
              </w:rPr>
              <w:t>27</w:t>
            </w:r>
            <w:r w:rsidR="00552795">
              <w:rPr>
                <w:noProof/>
              </w:rPr>
              <w:fldChar w:fldCharType="end"/>
            </w:r>
          </w:hyperlink>
        </w:p>
        <w:p w14:paraId="2D21779F" w14:textId="64E1E86C" w:rsidR="00552795" w:rsidRDefault="00000000">
          <w:pPr>
            <w:pStyle w:val="TOC3"/>
            <w:tabs>
              <w:tab w:val="left" w:pos="1760"/>
              <w:tab w:val="right" w:leader="dot" w:pos="9628"/>
            </w:tabs>
            <w:rPr>
              <w:rFonts w:asciiTheme="minorHAnsi" w:hAnsiTheme="minorHAnsi"/>
              <w:noProof/>
              <w:sz w:val="22"/>
              <w:szCs w:val="22"/>
            </w:rPr>
          </w:pPr>
          <w:hyperlink w:anchor="_Toc131178692" w:history="1">
            <w:r w:rsidR="00552795" w:rsidRPr="002D1D55">
              <w:rPr>
                <w:rStyle w:val="Hyperlink"/>
                <w:noProof/>
              </w:rPr>
              <w:t>5.1.1</w:t>
            </w:r>
            <w:r w:rsidR="00552795">
              <w:rPr>
                <w:rFonts w:asciiTheme="minorHAnsi" w:hAnsiTheme="minorHAnsi"/>
                <w:noProof/>
                <w:sz w:val="22"/>
                <w:szCs w:val="22"/>
              </w:rPr>
              <w:tab/>
            </w:r>
            <w:r w:rsidR="00552795" w:rsidRPr="002D1D55">
              <w:rPr>
                <w:rStyle w:val="Hyperlink"/>
                <w:noProof/>
              </w:rPr>
              <w:t>Conformance with audit criteria and potential environmental impact</w:t>
            </w:r>
            <w:r w:rsidR="00552795">
              <w:rPr>
                <w:noProof/>
              </w:rPr>
              <w:tab/>
            </w:r>
            <w:r w:rsidR="00552795">
              <w:rPr>
                <w:noProof/>
              </w:rPr>
              <w:fldChar w:fldCharType="begin"/>
            </w:r>
            <w:r w:rsidR="00552795">
              <w:rPr>
                <w:noProof/>
              </w:rPr>
              <w:instrText xml:space="preserve"> PAGEREF _Toc131178692 \h </w:instrText>
            </w:r>
            <w:r w:rsidR="00552795">
              <w:rPr>
                <w:noProof/>
              </w:rPr>
            </w:r>
            <w:r w:rsidR="00552795">
              <w:rPr>
                <w:noProof/>
              </w:rPr>
              <w:fldChar w:fldCharType="separate"/>
            </w:r>
            <w:r w:rsidR="00130DCF">
              <w:rPr>
                <w:noProof/>
              </w:rPr>
              <w:t>27</w:t>
            </w:r>
            <w:r w:rsidR="00552795">
              <w:rPr>
                <w:noProof/>
              </w:rPr>
              <w:fldChar w:fldCharType="end"/>
            </w:r>
          </w:hyperlink>
        </w:p>
        <w:p w14:paraId="77F6DB1C" w14:textId="0BE9BEDB" w:rsidR="00552795" w:rsidRDefault="00000000">
          <w:pPr>
            <w:pStyle w:val="TOC3"/>
            <w:tabs>
              <w:tab w:val="left" w:pos="1760"/>
              <w:tab w:val="right" w:leader="dot" w:pos="9628"/>
            </w:tabs>
            <w:rPr>
              <w:rFonts w:asciiTheme="minorHAnsi" w:hAnsiTheme="minorHAnsi"/>
              <w:noProof/>
              <w:sz w:val="22"/>
              <w:szCs w:val="22"/>
            </w:rPr>
          </w:pPr>
          <w:hyperlink w:anchor="_Toc131178693" w:history="1">
            <w:r w:rsidR="00552795" w:rsidRPr="002D1D55">
              <w:rPr>
                <w:rStyle w:val="Hyperlink"/>
                <w:noProof/>
              </w:rPr>
              <w:t>5.1.2</w:t>
            </w:r>
            <w:r w:rsidR="00552795">
              <w:rPr>
                <w:rFonts w:asciiTheme="minorHAnsi" w:hAnsiTheme="minorHAnsi"/>
                <w:noProof/>
                <w:sz w:val="22"/>
                <w:szCs w:val="22"/>
              </w:rPr>
              <w:tab/>
            </w:r>
            <w:r w:rsidR="00552795" w:rsidRPr="002D1D55">
              <w:rPr>
                <w:rStyle w:val="Hyperlink"/>
                <w:noProof/>
              </w:rPr>
              <w:t>Incidents resulting in non-conformances with audit criteria</w:t>
            </w:r>
            <w:r w:rsidR="00552795">
              <w:rPr>
                <w:noProof/>
              </w:rPr>
              <w:tab/>
            </w:r>
            <w:r w:rsidR="00552795">
              <w:rPr>
                <w:noProof/>
              </w:rPr>
              <w:fldChar w:fldCharType="begin"/>
            </w:r>
            <w:r w:rsidR="00552795">
              <w:rPr>
                <w:noProof/>
              </w:rPr>
              <w:instrText xml:space="preserve"> PAGEREF _Toc131178693 \h </w:instrText>
            </w:r>
            <w:r w:rsidR="00552795">
              <w:rPr>
                <w:noProof/>
              </w:rPr>
            </w:r>
            <w:r w:rsidR="00552795">
              <w:rPr>
                <w:noProof/>
              </w:rPr>
              <w:fldChar w:fldCharType="separate"/>
            </w:r>
            <w:r w:rsidR="00130DCF">
              <w:rPr>
                <w:noProof/>
              </w:rPr>
              <w:t>28</w:t>
            </w:r>
            <w:r w:rsidR="00552795">
              <w:rPr>
                <w:noProof/>
              </w:rPr>
              <w:fldChar w:fldCharType="end"/>
            </w:r>
          </w:hyperlink>
        </w:p>
        <w:p w14:paraId="5440C4E5" w14:textId="543847BC" w:rsidR="00552795" w:rsidRDefault="00000000">
          <w:pPr>
            <w:pStyle w:val="TOC2"/>
            <w:tabs>
              <w:tab w:val="left" w:pos="1134"/>
              <w:tab w:val="right" w:leader="dot" w:pos="9628"/>
            </w:tabs>
            <w:rPr>
              <w:rFonts w:asciiTheme="minorHAnsi" w:hAnsiTheme="minorHAnsi"/>
              <w:noProof/>
              <w:sz w:val="22"/>
              <w:szCs w:val="22"/>
            </w:rPr>
          </w:pPr>
          <w:hyperlink w:anchor="_Toc131178694" w:history="1">
            <w:r w:rsidR="00552795" w:rsidRPr="002D1D55">
              <w:rPr>
                <w:rStyle w:val="Hyperlink"/>
                <w:noProof/>
              </w:rPr>
              <w:t>5.2</w:t>
            </w:r>
            <w:r w:rsidR="00552795">
              <w:rPr>
                <w:rFonts w:asciiTheme="minorHAnsi" w:hAnsiTheme="minorHAnsi"/>
                <w:noProof/>
                <w:sz w:val="22"/>
                <w:szCs w:val="22"/>
              </w:rPr>
              <w:tab/>
            </w:r>
            <w:r w:rsidR="00552795" w:rsidRPr="002D1D55">
              <w:rPr>
                <w:rStyle w:val="Hyperlink"/>
                <w:noProof/>
              </w:rPr>
              <w:t>Comparison with previous audits</w:t>
            </w:r>
            <w:r w:rsidR="00552795">
              <w:rPr>
                <w:noProof/>
              </w:rPr>
              <w:tab/>
            </w:r>
            <w:r w:rsidR="00552795">
              <w:rPr>
                <w:noProof/>
              </w:rPr>
              <w:fldChar w:fldCharType="begin"/>
            </w:r>
            <w:r w:rsidR="00552795">
              <w:rPr>
                <w:noProof/>
              </w:rPr>
              <w:instrText xml:space="preserve"> PAGEREF _Toc131178694 \h </w:instrText>
            </w:r>
            <w:r w:rsidR="00552795">
              <w:rPr>
                <w:noProof/>
              </w:rPr>
            </w:r>
            <w:r w:rsidR="00552795">
              <w:rPr>
                <w:noProof/>
              </w:rPr>
              <w:fldChar w:fldCharType="separate"/>
            </w:r>
            <w:r w:rsidR="00130DCF">
              <w:rPr>
                <w:noProof/>
              </w:rPr>
              <w:t>31</w:t>
            </w:r>
            <w:r w:rsidR="00552795">
              <w:rPr>
                <w:noProof/>
              </w:rPr>
              <w:fldChar w:fldCharType="end"/>
            </w:r>
          </w:hyperlink>
        </w:p>
        <w:p w14:paraId="53CE6B9E" w14:textId="749F3A4B" w:rsidR="00552795" w:rsidRDefault="00000000">
          <w:pPr>
            <w:pStyle w:val="TOC2"/>
            <w:tabs>
              <w:tab w:val="left" w:pos="1134"/>
              <w:tab w:val="right" w:leader="dot" w:pos="9628"/>
            </w:tabs>
            <w:rPr>
              <w:rFonts w:asciiTheme="minorHAnsi" w:hAnsiTheme="minorHAnsi"/>
              <w:noProof/>
              <w:sz w:val="22"/>
              <w:szCs w:val="22"/>
            </w:rPr>
          </w:pPr>
          <w:hyperlink w:anchor="_Toc131178697" w:history="1">
            <w:r w:rsidR="00552795" w:rsidRPr="002D1D55">
              <w:rPr>
                <w:rStyle w:val="Hyperlink"/>
                <w:noProof/>
              </w:rPr>
              <w:t>5.3</w:t>
            </w:r>
            <w:r w:rsidR="00552795">
              <w:rPr>
                <w:rFonts w:asciiTheme="minorHAnsi" w:hAnsiTheme="minorHAnsi"/>
                <w:noProof/>
                <w:sz w:val="22"/>
                <w:szCs w:val="22"/>
              </w:rPr>
              <w:tab/>
            </w:r>
            <w:r w:rsidR="00552795" w:rsidRPr="002D1D55">
              <w:rPr>
                <w:rStyle w:val="Hyperlink"/>
                <w:noProof/>
              </w:rPr>
              <w:t>Fire salvage harvesting</w:t>
            </w:r>
            <w:r w:rsidR="00552795">
              <w:rPr>
                <w:noProof/>
              </w:rPr>
              <w:tab/>
            </w:r>
            <w:r w:rsidR="00552795">
              <w:rPr>
                <w:noProof/>
              </w:rPr>
              <w:fldChar w:fldCharType="begin"/>
            </w:r>
            <w:r w:rsidR="00552795">
              <w:rPr>
                <w:noProof/>
              </w:rPr>
              <w:instrText xml:space="preserve"> PAGEREF _Toc131178697 \h </w:instrText>
            </w:r>
            <w:r w:rsidR="00552795">
              <w:rPr>
                <w:noProof/>
              </w:rPr>
            </w:r>
            <w:r w:rsidR="00552795">
              <w:rPr>
                <w:noProof/>
              </w:rPr>
              <w:fldChar w:fldCharType="separate"/>
            </w:r>
            <w:r w:rsidR="00130DCF">
              <w:rPr>
                <w:noProof/>
              </w:rPr>
              <w:t>35</w:t>
            </w:r>
            <w:r w:rsidR="00552795">
              <w:rPr>
                <w:noProof/>
              </w:rPr>
              <w:fldChar w:fldCharType="end"/>
            </w:r>
          </w:hyperlink>
        </w:p>
        <w:p w14:paraId="310371DA" w14:textId="74E03CFC" w:rsidR="00552795" w:rsidRDefault="00000000">
          <w:pPr>
            <w:pStyle w:val="TOC2"/>
            <w:tabs>
              <w:tab w:val="left" w:pos="1134"/>
              <w:tab w:val="right" w:leader="dot" w:pos="9628"/>
            </w:tabs>
            <w:rPr>
              <w:rFonts w:asciiTheme="minorHAnsi" w:hAnsiTheme="minorHAnsi"/>
              <w:noProof/>
              <w:sz w:val="22"/>
              <w:szCs w:val="22"/>
            </w:rPr>
          </w:pPr>
          <w:hyperlink w:anchor="_Toc131178698" w:history="1">
            <w:r w:rsidR="00552795" w:rsidRPr="002D1D55">
              <w:rPr>
                <w:rStyle w:val="Hyperlink"/>
                <w:noProof/>
              </w:rPr>
              <w:t>5.4</w:t>
            </w:r>
            <w:r w:rsidR="00552795">
              <w:rPr>
                <w:rFonts w:asciiTheme="minorHAnsi" w:hAnsiTheme="minorHAnsi"/>
                <w:noProof/>
                <w:sz w:val="22"/>
                <w:szCs w:val="22"/>
              </w:rPr>
              <w:tab/>
            </w:r>
            <w:r w:rsidR="00552795" w:rsidRPr="002D1D55">
              <w:rPr>
                <w:rStyle w:val="Hyperlink"/>
                <w:noProof/>
              </w:rPr>
              <w:t>Precautionary principle</w:t>
            </w:r>
            <w:r w:rsidR="00552795">
              <w:rPr>
                <w:noProof/>
              </w:rPr>
              <w:tab/>
            </w:r>
            <w:r w:rsidR="00552795">
              <w:rPr>
                <w:noProof/>
              </w:rPr>
              <w:fldChar w:fldCharType="begin"/>
            </w:r>
            <w:r w:rsidR="00552795">
              <w:rPr>
                <w:noProof/>
              </w:rPr>
              <w:instrText xml:space="preserve"> PAGEREF _Toc131178698 \h </w:instrText>
            </w:r>
            <w:r w:rsidR="00552795">
              <w:rPr>
                <w:noProof/>
              </w:rPr>
            </w:r>
            <w:r w:rsidR="00552795">
              <w:rPr>
                <w:noProof/>
              </w:rPr>
              <w:fldChar w:fldCharType="separate"/>
            </w:r>
            <w:r w:rsidR="00130DCF">
              <w:rPr>
                <w:noProof/>
              </w:rPr>
              <w:t>36</w:t>
            </w:r>
            <w:r w:rsidR="00552795">
              <w:rPr>
                <w:noProof/>
              </w:rPr>
              <w:fldChar w:fldCharType="end"/>
            </w:r>
          </w:hyperlink>
        </w:p>
        <w:p w14:paraId="6C338FC9" w14:textId="489B8DDB" w:rsidR="00552795" w:rsidRDefault="00000000">
          <w:pPr>
            <w:pStyle w:val="TOC3"/>
            <w:tabs>
              <w:tab w:val="left" w:pos="1760"/>
              <w:tab w:val="right" w:leader="dot" w:pos="9628"/>
            </w:tabs>
            <w:rPr>
              <w:rFonts w:asciiTheme="minorHAnsi" w:hAnsiTheme="minorHAnsi"/>
              <w:noProof/>
              <w:sz w:val="22"/>
              <w:szCs w:val="22"/>
            </w:rPr>
          </w:pPr>
          <w:hyperlink w:anchor="_Toc131178699" w:history="1">
            <w:r w:rsidR="00552795" w:rsidRPr="002D1D55">
              <w:rPr>
                <w:rStyle w:val="Hyperlink"/>
                <w:noProof/>
              </w:rPr>
              <w:t>5.4.1</w:t>
            </w:r>
            <w:r w:rsidR="00552795">
              <w:rPr>
                <w:rFonts w:asciiTheme="minorHAnsi" w:hAnsiTheme="minorHAnsi"/>
                <w:noProof/>
                <w:sz w:val="22"/>
                <w:szCs w:val="22"/>
              </w:rPr>
              <w:tab/>
            </w:r>
            <w:r w:rsidR="00552795" w:rsidRPr="002D1D55">
              <w:rPr>
                <w:rStyle w:val="Hyperlink"/>
                <w:noProof/>
              </w:rPr>
              <w:t>Preharvest flora and fauna surveys</w:t>
            </w:r>
            <w:r w:rsidR="00552795">
              <w:rPr>
                <w:noProof/>
              </w:rPr>
              <w:tab/>
            </w:r>
            <w:r w:rsidR="00552795">
              <w:rPr>
                <w:noProof/>
              </w:rPr>
              <w:fldChar w:fldCharType="begin"/>
            </w:r>
            <w:r w:rsidR="00552795">
              <w:rPr>
                <w:noProof/>
              </w:rPr>
              <w:instrText xml:space="preserve"> PAGEREF _Toc131178699 \h </w:instrText>
            </w:r>
            <w:r w:rsidR="00552795">
              <w:rPr>
                <w:noProof/>
              </w:rPr>
            </w:r>
            <w:r w:rsidR="00552795">
              <w:rPr>
                <w:noProof/>
              </w:rPr>
              <w:fldChar w:fldCharType="separate"/>
            </w:r>
            <w:r w:rsidR="00130DCF">
              <w:rPr>
                <w:noProof/>
              </w:rPr>
              <w:t>36</w:t>
            </w:r>
            <w:r w:rsidR="00552795">
              <w:rPr>
                <w:noProof/>
              </w:rPr>
              <w:fldChar w:fldCharType="end"/>
            </w:r>
          </w:hyperlink>
        </w:p>
        <w:p w14:paraId="111FF8D3" w14:textId="72E897D7" w:rsidR="00552795" w:rsidRDefault="00000000">
          <w:pPr>
            <w:pStyle w:val="TOC3"/>
            <w:tabs>
              <w:tab w:val="left" w:pos="1760"/>
              <w:tab w:val="right" w:leader="dot" w:pos="9628"/>
            </w:tabs>
            <w:rPr>
              <w:rFonts w:asciiTheme="minorHAnsi" w:hAnsiTheme="minorHAnsi"/>
              <w:noProof/>
              <w:sz w:val="22"/>
              <w:szCs w:val="22"/>
            </w:rPr>
          </w:pPr>
          <w:hyperlink w:anchor="_Toc131178700" w:history="1">
            <w:r w:rsidR="00552795" w:rsidRPr="002D1D55">
              <w:rPr>
                <w:rStyle w:val="Hyperlink"/>
                <w:noProof/>
              </w:rPr>
              <w:t>5.4.2</w:t>
            </w:r>
            <w:r w:rsidR="00552795">
              <w:rPr>
                <w:rFonts w:asciiTheme="minorHAnsi" w:hAnsiTheme="minorHAnsi"/>
                <w:noProof/>
                <w:sz w:val="22"/>
                <w:szCs w:val="22"/>
              </w:rPr>
              <w:tab/>
            </w:r>
            <w:r w:rsidR="00552795" w:rsidRPr="002D1D55">
              <w:rPr>
                <w:rStyle w:val="Hyperlink"/>
                <w:noProof/>
              </w:rPr>
              <w:t>Application of habitat distribution models</w:t>
            </w:r>
            <w:r w:rsidR="00552795">
              <w:rPr>
                <w:noProof/>
              </w:rPr>
              <w:tab/>
            </w:r>
            <w:r w:rsidR="00552795">
              <w:rPr>
                <w:noProof/>
              </w:rPr>
              <w:fldChar w:fldCharType="begin"/>
            </w:r>
            <w:r w:rsidR="00552795">
              <w:rPr>
                <w:noProof/>
              </w:rPr>
              <w:instrText xml:space="preserve"> PAGEREF _Toc131178700 \h </w:instrText>
            </w:r>
            <w:r w:rsidR="00552795">
              <w:rPr>
                <w:noProof/>
              </w:rPr>
            </w:r>
            <w:r w:rsidR="00552795">
              <w:rPr>
                <w:noProof/>
              </w:rPr>
              <w:fldChar w:fldCharType="separate"/>
            </w:r>
            <w:r w:rsidR="00130DCF">
              <w:rPr>
                <w:noProof/>
              </w:rPr>
              <w:t>37</w:t>
            </w:r>
            <w:r w:rsidR="00552795">
              <w:rPr>
                <w:noProof/>
              </w:rPr>
              <w:fldChar w:fldCharType="end"/>
            </w:r>
          </w:hyperlink>
        </w:p>
        <w:p w14:paraId="12997239" w14:textId="66989A89" w:rsidR="00552795" w:rsidRDefault="00000000">
          <w:pPr>
            <w:pStyle w:val="TOC3"/>
            <w:tabs>
              <w:tab w:val="left" w:pos="1760"/>
              <w:tab w:val="right" w:leader="dot" w:pos="9628"/>
            </w:tabs>
            <w:rPr>
              <w:rFonts w:asciiTheme="minorHAnsi" w:hAnsiTheme="minorHAnsi"/>
              <w:noProof/>
              <w:sz w:val="22"/>
              <w:szCs w:val="22"/>
            </w:rPr>
          </w:pPr>
          <w:hyperlink w:anchor="_Toc131178701" w:history="1">
            <w:r w:rsidR="00552795" w:rsidRPr="002D1D55">
              <w:rPr>
                <w:rStyle w:val="Hyperlink"/>
                <w:noProof/>
              </w:rPr>
              <w:t>5.4.3</w:t>
            </w:r>
            <w:r w:rsidR="00552795">
              <w:rPr>
                <w:rFonts w:asciiTheme="minorHAnsi" w:hAnsiTheme="minorHAnsi"/>
                <w:noProof/>
                <w:sz w:val="22"/>
                <w:szCs w:val="22"/>
              </w:rPr>
              <w:tab/>
            </w:r>
            <w:r w:rsidR="00552795" w:rsidRPr="002D1D55">
              <w:rPr>
                <w:rStyle w:val="Hyperlink"/>
                <w:noProof/>
              </w:rPr>
              <w:t>Management responses</w:t>
            </w:r>
            <w:r w:rsidR="00552795">
              <w:rPr>
                <w:noProof/>
              </w:rPr>
              <w:tab/>
            </w:r>
            <w:r w:rsidR="00552795">
              <w:rPr>
                <w:noProof/>
              </w:rPr>
              <w:fldChar w:fldCharType="begin"/>
            </w:r>
            <w:r w:rsidR="00552795">
              <w:rPr>
                <w:noProof/>
              </w:rPr>
              <w:instrText xml:space="preserve"> PAGEREF _Toc131178701 \h </w:instrText>
            </w:r>
            <w:r w:rsidR="00552795">
              <w:rPr>
                <w:noProof/>
              </w:rPr>
            </w:r>
            <w:r w:rsidR="00552795">
              <w:rPr>
                <w:noProof/>
              </w:rPr>
              <w:fldChar w:fldCharType="separate"/>
            </w:r>
            <w:r w:rsidR="00130DCF">
              <w:rPr>
                <w:noProof/>
              </w:rPr>
              <w:t>37</w:t>
            </w:r>
            <w:r w:rsidR="00552795">
              <w:rPr>
                <w:noProof/>
              </w:rPr>
              <w:fldChar w:fldCharType="end"/>
            </w:r>
          </w:hyperlink>
        </w:p>
        <w:p w14:paraId="23BFB7B2" w14:textId="6AFAF0CC" w:rsidR="00552795" w:rsidRDefault="00000000">
          <w:pPr>
            <w:pStyle w:val="TOC3"/>
            <w:tabs>
              <w:tab w:val="left" w:pos="1760"/>
              <w:tab w:val="right" w:leader="dot" w:pos="9628"/>
            </w:tabs>
            <w:rPr>
              <w:rFonts w:asciiTheme="minorHAnsi" w:hAnsiTheme="minorHAnsi"/>
              <w:noProof/>
              <w:sz w:val="22"/>
              <w:szCs w:val="22"/>
            </w:rPr>
          </w:pPr>
          <w:hyperlink w:anchor="_Toc131178702" w:history="1">
            <w:r w:rsidR="00552795" w:rsidRPr="002D1D55">
              <w:rPr>
                <w:rStyle w:val="Hyperlink"/>
                <w:noProof/>
              </w:rPr>
              <w:t>5.4.4</w:t>
            </w:r>
            <w:r w:rsidR="00552795">
              <w:rPr>
                <w:rFonts w:asciiTheme="minorHAnsi" w:hAnsiTheme="minorHAnsi"/>
                <w:noProof/>
                <w:sz w:val="22"/>
                <w:szCs w:val="22"/>
              </w:rPr>
              <w:tab/>
            </w:r>
            <w:r w:rsidR="00552795" w:rsidRPr="002D1D55">
              <w:rPr>
                <w:rStyle w:val="Hyperlink"/>
                <w:noProof/>
              </w:rPr>
              <w:t>Application of precautionary principle</w:t>
            </w:r>
            <w:r w:rsidR="00552795">
              <w:rPr>
                <w:noProof/>
              </w:rPr>
              <w:tab/>
            </w:r>
            <w:r w:rsidR="00552795">
              <w:rPr>
                <w:noProof/>
              </w:rPr>
              <w:fldChar w:fldCharType="begin"/>
            </w:r>
            <w:r w:rsidR="00552795">
              <w:rPr>
                <w:noProof/>
              </w:rPr>
              <w:instrText xml:space="preserve"> PAGEREF _Toc131178702 \h </w:instrText>
            </w:r>
            <w:r w:rsidR="00552795">
              <w:rPr>
                <w:noProof/>
              </w:rPr>
            </w:r>
            <w:r w:rsidR="00552795">
              <w:rPr>
                <w:noProof/>
              </w:rPr>
              <w:fldChar w:fldCharType="separate"/>
            </w:r>
            <w:r w:rsidR="00130DCF">
              <w:rPr>
                <w:noProof/>
              </w:rPr>
              <w:t>37</w:t>
            </w:r>
            <w:r w:rsidR="00552795">
              <w:rPr>
                <w:noProof/>
              </w:rPr>
              <w:fldChar w:fldCharType="end"/>
            </w:r>
          </w:hyperlink>
        </w:p>
        <w:p w14:paraId="0CF6E9FB" w14:textId="4F3936B1" w:rsidR="00552795" w:rsidRDefault="00000000">
          <w:pPr>
            <w:pStyle w:val="TOC2"/>
            <w:tabs>
              <w:tab w:val="left" w:pos="1134"/>
              <w:tab w:val="right" w:leader="dot" w:pos="9628"/>
            </w:tabs>
            <w:rPr>
              <w:rFonts w:asciiTheme="minorHAnsi" w:hAnsiTheme="minorHAnsi"/>
              <w:noProof/>
              <w:sz w:val="22"/>
              <w:szCs w:val="22"/>
            </w:rPr>
          </w:pPr>
          <w:hyperlink w:anchor="_Toc131178703" w:history="1">
            <w:r w:rsidR="00552795" w:rsidRPr="002D1D55">
              <w:rPr>
                <w:rStyle w:val="Hyperlink"/>
                <w:noProof/>
              </w:rPr>
              <w:t>5.5</w:t>
            </w:r>
            <w:r w:rsidR="00552795">
              <w:rPr>
                <w:rFonts w:asciiTheme="minorHAnsi" w:hAnsiTheme="minorHAnsi"/>
                <w:noProof/>
                <w:sz w:val="22"/>
                <w:szCs w:val="22"/>
              </w:rPr>
              <w:tab/>
            </w:r>
            <w:r w:rsidR="00552795" w:rsidRPr="002D1D55">
              <w:rPr>
                <w:rStyle w:val="Hyperlink"/>
                <w:noProof/>
              </w:rPr>
              <w:t>Potential improvements in coupe planning, harvesting and rehabilitation practices</w:t>
            </w:r>
            <w:r w:rsidR="00552795">
              <w:rPr>
                <w:noProof/>
              </w:rPr>
              <w:tab/>
            </w:r>
            <w:r w:rsidR="00552795">
              <w:rPr>
                <w:noProof/>
              </w:rPr>
              <w:fldChar w:fldCharType="begin"/>
            </w:r>
            <w:r w:rsidR="00552795">
              <w:rPr>
                <w:noProof/>
              </w:rPr>
              <w:instrText xml:space="preserve"> PAGEREF _Toc131178703 \h </w:instrText>
            </w:r>
            <w:r w:rsidR="00552795">
              <w:rPr>
                <w:noProof/>
              </w:rPr>
            </w:r>
            <w:r w:rsidR="00552795">
              <w:rPr>
                <w:noProof/>
              </w:rPr>
              <w:fldChar w:fldCharType="separate"/>
            </w:r>
            <w:r w:rsidR="00130DCF">
              <w:rPr>
                <w:noProof/>
              </w:rPr>
              <w:t>40</w:t>
            </w:r>
            <w:r w:rsidR="00552795">
              <w:rPr>
                <w:noProof/>
              </w:rPr>
              <w:fldChar w:fldCharType="end"/>
            </w:r>
          </w:hyperlink>
        </w:p>
        <w:p w14:paraId="777AEC24" w14:textId="0C8ABA8E" w:rsidR="00552795" w:rsidRDefault="00000000">
          <w:pPr>
            <w:pStyle w:val="TOC3"/>
            <w:tabs>
              <w:tab w:val="left" w:pos="1760"/>
              <w:tab w:val="right" w:leader="dot" w:pos="9628"/>
            </w:tabs>
            <w:rPr>
              <w:rFonts w:asciiTheme="minorHAnsi" w:hAnsiTheme="minorHAnsi"/>
              <w:noProof/>
              <w:sz w:val="22"/>
              <w:szCs w:val="22"/>
            </w:rPr>
          </w:pPr>
          <w:hyperlink w:anchor="_Toc131178704" w:history="1">
            <w:r w:rsidR="00552795" w:rsidRPr="002D1D55">
              <w:rPr>
                <w:rStyle w:val="Hyperlink"/>
                <w:noProof/>
              </w:rPr>
              <w:t>5.5.1</w:t>
            </w:r>
            <w:r w:rsidR="00552795">
              <w:rPr>
                <w:rFonts w:asciiTheme="minorHAnsi" w:hAnsiTheme="minorHAnsi"/>
                <w:noProof/>
                <w:sz w:val="22"/>
                <w:szCs w:val="22"/>
              </w:rPr>
              <w:tab/>
            </w:r>
            <w:r w:rsidR="00552795" w:rsidRPr="002D1D55">
              <w:rPr>
                <w:rStyle w:val="Hyperlink"/>
                <w:noProof/>
              </w:rPr>
              <w:t>Coupe planning</w:t>
            </w:r>
            <w:r w:rsidR="00552795">
              <w:rPr>
                <w:noProof/>
              </w:rPr>
              <w:tab/>
            </w:r>
            <w:r w:rsidR="00552795">
              <w:rPr>
                <w:noProof/>
              </w:rPr>
              <w:fldChar w:fldCharType="begin"/>
            </w:r>
            <w:r w:rsidR="00552795">
              <w:rPr>
                <w:noProof/>
              </w:rPr>
              <w:instrText xml:space="preserve"> PAGEREF _Toc131178704 \h </w:instrText>
            </w:r>
            <w:r w:rsidR="00552795">
              <w:rPr>
                <w:noProof/>
              </w:rPr>
            </w:r>
            <w:r w:rsidR="00552795">
              <w:rPr>
                <w:noProof/>
              </w:rPr>
              <w:fldChar w:fldCharType="separate"/>
            </w:r>
            <w:r w:rsidR="00130DCF">
              <w:rPr>
                <w:noProof/>
              </w:rPr>
              <w:t>40</w:t>
            </w:r>
            <w:r w:rsidR="00552795">
              <w:rPr>
                <w:noProof/>
              </w:rPr>
              <w:fldChar w:fldCharType="end"/>
            </w:r>
          </w:hyperlink>
        </w:p>
        <w:p w14:paraId="41C2167E" w14:textId="0EEC7680" w:rsidR="00552795" w:rsidRDefault="00000000">
          <w:pPr>
            <w:pStyle w:val="TOC3"/>
            <w:tabs>
              <w:tab w:val="left" w:pos="1760"/>
              <w:tab w:val="right" w:leader="dot" w:pos="9628"/>
            </w:tabs>
            <w:rPr>
              <w:rFonts w:asciiTheme="minorHAnsi" w:hAnsiTheme="minorHAnsi"/>
              <w:noProof/>
              <w:sz w:val="22"/>
              <w:szCs w:val="22"/>
            </w:rPr>
          </w:pPr>
          <w:hyperlink w:anchor="_Toc131178705" w:history="1">
            <w:r w:rsidR="00552795" w:rsidRPr="002D1D55">
              <w:rPr>
                <w:rStyle w:val="Hyperlink"/>
                <w:noProof/>
              </w:rPr>
              <w:t>5.5.2</w:t>
            </w:r>
            <w:r w:rsidR="00552795">
              <w:rPr>
                <w:rFonts w:asciiTheme="minorHAnsi" w:hAnsiTheme="minorHAnsi"/>
                <w:noProof/>
                <w:sz w:val="22"/>
                <w:szCs w:val="22"/>
              </w:rPr>
              <w:tab/>
            </w:r>
            <w:r w:rsidR="00552795" w:rsidRPr="002D1D55">
              <w:rPr>
                <w:rStyle w:val="Hyperlink"/>
                <w:noProof/>
              </w:rPr>
              <w:t>Design, construction and maintenance of waterway crossings</w:t>
            </w:r>
            <w:r w:rsidR="00552795">
              <w:rPr>
                <w:noProof/>
              </w:rPr>
              <w:tab/>
            </w:r>
            <w:r w:rsidR="00552795">
              <w:rPr>
                <w:noProof/>
              </w:rPr>
              <w:fldChar w:fldCharType="begin"/>
            </w:r>
            <w:r w:rsidR="00552795">
              <w:rPr>
                <w:noProof/>
              </w:rPr>
              <w:instrText xml:space="preserve"> PAGEREF _Toc131178705 \h </w:instrText>
            </w:r>
            <w:r w:rsidR="00552795">
              <w:rPr>
                <w:noProof/>
              </w:rPr>
            </w:r>
            <w:r w:rsidR="00552795">
              <w:rPr>
                <w:noProof/>
              </w:rPr>
              <w:fldChar w:fldCharType="separate"/>
            </w:r>
            <w:r w:rsidR="00130DCF">
              <w:rPr>
                <w:noProof/>
              </w:rPr>
              <w:t>40</w:t>
            </w:r>
            <w:r w:rsidR="00552795">
              <w:rPr>
                <w:noProof/>
              </w:rPr>
              <w:fldChar w:fldCharType="end"/>
            </w:r>
          </w:hyperlink>
        </w:p>
        <w:p w14:paraId="4DE5AB87" w14:textId="07C685E2" w:rsidR="00552795" w:rsidRDefault="00000000">
          <w:pPr>
            <w:pStyle w:val="TOC3"/>
            <w:tabs>
              <w:tab w:val="left" w:pos="1760"/>
              <w:tab w:val="right" w:leader="dot" w:pos="9628"/>
            </w:tabs>
            <w:rPr>
              <w:rFonts w:asciiTheme="minorHAnsi" w:hAnsiTheme="minorHAnsi"/>
              <w:noProof/>
              <w:sz w:val="22"/>
              <w:szCs w:val="22"/>
            </w:rPr>
          </w:pPr>
          <w:hyperlink w:anchor="_Toc131178706" w:history="1">
            <w:r w:rsidR="00552795" w:rsidRPr="002D1D55">
              <w:rPr>
                <w:rStyle w:val="Hyperlink"/>
                <w:noProof/>
              </w:rPr>
              <w:t>5.5.3</w:t>
            </w:r>
            <w:r w:rsidR="00552795">
              <w:rPr>
                <w:rFonts w:asciiTheme="minorHAnsi" w:hAnsiTheme="minorHAnsi"/>
                <w:noProof/>
                <w:sz w:val="22"/>
                <w:szCs w:val="22"/>
              </w:rPr>
              <w:tab/>
            </w:r>
            <w:r w:rsidR="00552795" w:rsidRPr="002D1D55">
              <w:rPr>
                <w:rStyle w:val="Hyperlink"/>
                <w:noProof/>
              </w:rPr>
              <w:t>In-coupe road and snig track drainage</w:t>
            </w:r>
            <w:r w:rsidR="00552795">
              <w:rPr>
                <w:noProof/>
              </w:rPr>
              <w:tab/>
            </w:r>
            <w:r w:rsidR="00552795">
              <w:rPr>
                <w:noProof/>
              </w:rPr>
              <w:fldChar w:fldCharType="begin"/>
            </w:r>
            <w:r w:rsidR="00552795">
              <w:rPr>
                <w:noProof/>
              </w:rPr>
              <w:instrText xml:space="preserve"> PAGEREF _Toc131178706 \h </w:instrText>
            </w:r>
            <w:r w:rsidR="00552795">
              <w:rPr>
                <w:noProof/>
              </w:rPr>
            </w:r>
            <w:r w:rsidR="00552795">
              <w:rPr>
                <w:noProof/>
              </w:rPr>
              <w:fldChar w:fldCharType="separate"/>
            </w:r>
            <w:r w:rsidR="00130DCF">
              <w:rPr>
                <w:noProof/>
              </w:rPr>
              <w:t>42</w:t>
            </w:r>
            <w:r w:rsidR="00552795">
              <w:rPr>
                <w:noProof/>
              </w:rPr>
              <w:fldChar w:fldCharType="end"/>
            </w:r>
          </w:hyperlink>
        </w:p>
        <w:p w14:paraId="7EF22604" w14:textId="4F329CC4" w:rsidR="00552795" w:rsidRDefault="00000000">
          <w:pPr>
            <w:pStyle w:val="TOC3"/>
            <w:tabs>
              <w:tab w:val="left" w:pos="1760"/>
              <w:tab w:val="right" w:leader="dot" w:pos="9628"/>
            </w:tabs>
            <w:rPr>
              <w:rFonts w:asciiTheme="minorHAnsi" w:hAnsiTheme="minorHAnsi"/>
              <w:noProof/>
              <w:sz w:val="22"/>
              <w:szCs w:val="22"/>
            </w:rPr>
          </w:pPr>
          <w:hyperlink w:anchor="_Toc131178707" w:history="1">
            <w:r w:rsidR="00552795" w:rsidRPr="002D1D55">
              <w:rPr>
                <w:rStyle w:val="Hyperlink"/>
                <w:noProof/>
              </w:rPr>
              <w:t>5.5.4</w:t>
            </w:r>
            <w:r w:rsidR="00552795">
              <w:rPr>
                <w:rFonts w:asciiTheme="minorHAnsi" w:hAnsiTheme="minorHAnsi"/>
                <w:noProof/>
                <w:sz w:val="22"/>
                <w:szCs w:val="22"/>
              </w:rPr>
              <w:tab/>
            </w:r>
            <w:r w:rsidR="00552795" w:rsidRPr="002D1D55">
              <w:rPr>
                <w:rStyle w:val="Hyperlink"/>
                <w:noProof/>
              </w:rPr>
              <w:t>Snig tracks through wet areas</w:t>
            </w:r>
            <w:r w:rsidR="00552795">
              <w:rPr>
                <w:noProof/>
              </w:rPr>
              <w:tab/>
            </w:r>
            <w:r w:rsidR="00552795">
              <w:rPr>
                <w:noProof/>
              </w:rPr>
              <w:fldChar w:fldCharType="begin"/>
            </w:r>
            <w:r w:rsidR="00552795">
              <w:rPr>
                <w:noProof/>
              </w:rPr>
              <w:instrText xml:space="preserve"> PAGEREF _Toc131178707 \h </w:instrText>
            </w:r>
            <w:r w:rsidR="00552795">
              <w:rPr>
                <w:noProof/>
              </w:rPr>
            </w:r>
            <w:r w:rsidR="00552795">
              <w:rPr>
                <w:noProof/>
              </w:rPr>
              <w:fldChar w:fldCharType="separate"/>
            </w:r>
            <w:r w:rsidR="00130DCF">
              <w:rPr>
                <w:noProof/>
              </w:rPr>
              <w:t>42</w:t>
            </w:r>
            <w:r w:rsidR="00552795">
              <w:rPr>
                <w:noProof/>
              </w:rPr>
              <w:fldChar w:fldCharType="end"/>
            </w:r>
          </w:hyperlink>
        </w:p>
        <w:p w14:paraId="2AA96EB3" w14:textId="4CF54521" w:rsidR="00552795" w:rsidRDefault="00000000">
          <w:pPr>
            <w:pStyle w:val="TOC3"/>
            <w:tabs>
              <w:tab w:val="left" w:pos="1760"/>
              <w:tab w:val="right" w:leader="dot" w:pos="9628"/>
            </w:tabs>
            <w:rPr>
              <w:rFonts w:asciiTheme="minorHAnsi" w:hAnsiTheme="minorHAnsi"/>
              <w:noProof/>
              <w:sz w:val="22"/>
              <w:szCs w:val="22"/>
            </w:rPr>
          </w:pPr>
          <w:hyperlink w:anchor="_Toc131178709" w:history="1">
            <w:r w:rsidR="00552795" w:rsidRPr="002D1D55">
              <w:rPr>
                <w:rStyle w:val="Hyperlink"/>
                <w:noProof/>
              </w:rPr>
              <w:t>5.5.5</w:t>
            </w:r>
            <w:r w:rsidR="00552795">
              <w:rPr>
                <w:rFonts w:asciiTheme="minorHAnsi" w:hAnsiTheme="minorHAnsi"/>
                <w:noProof/>
                <w:sz w:val="22"/>
                <w:szCs w:val="22"/>
              </w:rPr>
              <w:tab/>
            </w:r>
            <w:r w:rsidR="00552795" w:rsidRPr="002D1D55">
              <w:rPr>
                <w:rStyle w:val="Hyperlink"/>
                <w:noProof/>
              </w:rPr>
              <w:t>Landing rehabilitation</w:t>
            </w:r>
            <w:r w:rsidR="00552795">
              <w:rPr>
                <w:noProof/>
              </w:rPr>
              <w:tab/>
            </w:r>
            <w:r w:rsidR="00552795">
              <w:rPr>
                <w:noProof/>
              </w:rPr>
              <w:fldChar w:fldCharType="begin"/>
            </w:r>
            <w:r w:rsidR="00552795">
              <w:rPr>
                <w:noProof/>
              </w:rPr>
              <w:instrText xml:space="preserve"> PAGEREF _Toc131178709 \h </w:instrText>
            </w:r>
            <w:r w:rsidR="00552795">
              <w:rPr>
                <w:noProof/>
              </w:rPr>
            </w:r>
            <w:r w:rsidR="00552795">
              <w:rPr>
                <w:noProof/>
              </w:rPr>
              <w:fldChar w:fldCharType="separate"/>
            </w:r>
            <w:r w:rsidR="00130DCF">
              <w:rPr>
                <w:noProof/>
              </w:rPr>
              <w:t>43</w:t>
            </w:r>
            <w:r w:rsidR="00552795">
              <w:rPr>
                <w:noProof/>
              </w:rPr>
              <w:fldChar w:fldCharType="end"/>
            </w:r>
          </w:hyperlink>
        </w:p>
        <w:p w14:paraId="41089D9F" w14:textId="3893C9F9" w:rsidR="00552795" w:rsidRDefault="00000000">
          <w:pPr>
            <w:pStyle w:val="TOC2"/>
            <w:tabs>
              <w:tab w:val="left" w:pos="1134"/>
              <w:tab w:val="right" w:leader="dot" w:pos="9628"/>
            </w:tabs>
            <w:rPr>
              <w:rFonts w:asciiTheme="minorHAnsi" w:hAnsiTheme="minorHAnsi"/>
              <w:noProof/>
              <w:sz w:val="22"/>
              <w:szCs w:val="22"/>
            </w:rPr>
          </w:pPr>
          <w:hyperlink w:anchor="_Toc131178710" w:history="1">
            <w:r w:rsidR="00552795" w:rsidRPr="002D1D55">
              <w:rPr>
                <w:rStyle w:val="Hyperlink"/>
                <w:noProof/>
              </w:rPr>
              <w:t>5.6</w:t>
            </w:r>
            <w:r w:rsidR="00552795">
              <w:rPr>
                <w:rFonts w:asciiTheme="minorHAnsi" w:hAnsiTheme="minorHAnsi"/>
                <w:noProof/>
                <w:sz w:val="22"/>
                <w:szCs w:val="22"/>
              </w:rPr>
              <w:tab/>
            </w:r>
            <w:r w:rsidR="00552795" w:rsidRPr="002D1D55">
              <w:rPr>
                <w:rStyle w:val="Hyperlink"/>
                <w:noProof/>
              </w:rPr>
              <w:t>Potential improvements to the regulatory framework for timber harvesting</w:t>
            </w:r>
            <w:r w:rsidR="00552795">
              <w:rPr>
                <w:noProof/>
              </w:rPr>
              <w:tab/>
            </w:r>
            <w:r w:rsidR="00552795">
              <w:rPr>
                <w:noProof/>
              </w:rPr>
              <w:fldChar w:fldCharType="begin"/>
            </w:r>
            <w:r w:rsidR="00552795">
              <w:rPr>
                <w:noProof/>
              </w:rPr>
              <w:instrText xml:space="preserve"> PAGEREF _Toc131178710 \h </w:instrText>
            </w:r>
            <w:r w:rsidR="00552795">
              <w:rPr>
                <w:noProof/>
              </w:rPr>
            </w:r>
            <w:r w:rsidR="00552795">
              <w:rPr>
                <w:noProof/>
              </w:rPr>
              <w:fldChar w:fldCharType="separate"/>
            </w:r>
            <w:r w:rsidR="00130DCF">
              <w:rPr>
                <w:noProof/>
              </w:rPr>
              <w:t>44</w:t>
            </w:r>
            <w:r w:rsidR="00552795">
              <w:rPr>
                <w:noProof/>
              </w:rPr>
              <w:fldChar w:fldCharType="end"/>
            </w:r>
          </w:hyperlink>
        </w:p>
        <w:p w14:paraId="0293B961" w14:textId="106FD5CD" w:rsidR="00552795" w:rsidRDefault="00000000">
          <w:pPr>
            <w:pStyle w:val="TOC2"/>
            <w:tabs>
              <w:tab w:val="left" w:pos="1134"/>
              <w:tab w:val="right" w:leader="dot" w:pos="9628"/>
            </w:tabs>
            <w:rPr>
              <w:rFonts w:asciiTheme="minorHAnsi" w:hAnsiTheme="minorHAnsi"/>
              <w:noProof/>
              <w:sz w:val="22"/>
              <w:szCs w:val="22"/>
            </w:rPr>
          </w:pPr>
          <w:hyperlink w:anchor="_Toc131178711" w:history="1">
            <w:r w:rsidR="00552795" w:rsidRPr="002D1D55">
              <w:rPr>
                <w:rStyle w:val="Hyperlink"/>
                <w:noProof/>
              </w:rPr>
              <w:t>5.7</w:t>
            </w:r>
            <w:r w:rsidR="00552795">
              <w:rPr>
                <w:rFonts w:asciiTheme="minorHAnsi" w:hAnsiTheme="minorHAnsi"/>
                <w:noProof/>
                <w:sz w:val="22"/>
                <w:szCs w:val="22"/>
              </w:rPr>
              <w:tab/>
            </w:r>
            <w:r w:rsidR="00552795" w:rsidRPr="002D1D55">
              <w:rPr>
                <w:rStyle w:val="Hyperlink"/>
                <w:noProof/>
              </w:rPr>
              <w:t>Improvements in the Forest Audit Program</w:t>
            </w:r>
            <w:r w:rsidR="00552795">
              <w:rPr>
                <w:noProof/>
              </w:rPr>
              <w:tab/>
            </w:r>
            <w:r w:rsidR="00552795">
              <w:rPr>
                <w:noProof/>
              </w:rPr>
              <w:fldChar w:fldCharType="begin"/>
            </w:r>
            <w:r w:rsidR="00552795">
              <w:rPr>
                <w:noProof/>
              </w:rPr>
              <w:instrText xml:space="preserve"> PAGEREF _Toc131178711 \h </w:instrText>
            </w:r>
            <w:r w:rsidR="00552795">
              <w:rPr>
                <w:noProof/>
              </w:rPr>
            </w:r>
            <w:r w:rsidR="00552795">
              <w:rPr>
                <w:noProof/>
              </w:rPr>
              <w:fldChar w:fldCharType="separate"/>
            </w:r>
            <w:r w:rsidR="00130DCF">
              <w:rPr>
                <w:noProof/>
              </w:rPr>
              <w:t>45</w:t>
            </w:r>
            <w:r w:rsidR="00552795">
              <w:rPr>
                <w:noProof/>
              </w:rPr>
              <w:fldChar w:fldCharType="end"/>
            </w:r>
          </w:hyperlink>
        </w:p>
        <w:p w14:paraId="783B5ED4" w14:textId="5274FDB6" w:rsidR="00552795" w:rsidRDefault="00000000">
          <w:pPr>
            <w:pStyle w:val="TOC1"/>
            <w:tabs>
              <w:tab w:val="right" w:leader="dot" w:pos="9628"/>
            </w:tabs>
            <w:rPr>
              <w:rFonts w:asciiTheme="minorHAnsi" w:hAnsiTheme="minorHAnsi"/>
              <w:b w:val="0"/>
              <w:noProof/>
              <w:sz w:val="22"/>
              <w:szCs w:val="22"/>
            </w:rPr>
          </w:pPr>
          <w:hyperlink w:anchor="_Toc131178712" w:history="1">
            <w:r w:rsidR="00552795" w:rsidRPr="002D1D55">
              <w:rPr>
                <w:rStyle w:val="Hyperlink"/>
                <w:noProof/>
              </w:rPr>
              <w:t>6.</w:t>
            </w:r>
            <w:r w:rsidR="00552795">
              <w:rPr>
                <w:rFonts w:asciiTheme="minorHAnsi" w:hAnsiTheme="minorHAnsi"/>
                <w:b w:val="0"/>
                <w:noProof/>
                <w:sz w:val="22"/>
                <w:szCs w:val="22"/>
              </w:rPr>
              <w:tab/>
            </w:r>
            <w:r w:rsidR="00552795" w:rsidRPr="002D1D55">
              <w:rPr>
                <w:rStyle w:val="Hyperlink"/>
                <w:noProof/>
              </w:rPr>
              <w:t>Conclusions and recommendations</w:t>
            </w:r>
            <w:r w:rsidR="00552795">
              <w:rPr>
                <w:noProof/>
              </w:rPr>
              <w:tab/>
            </w:r>
            <w:r w:rsidR="00552795">
              <w:rPr>
                <w:noProof/>
              </w:rPr>
              <w:fldChar w:fldCharType="begin"/>
            </w:r>
            <w:r w:rsidR="00552795">
              <w:rPr>
                <w:noProof/>
              </w:rPr>
              <w:instrText xml:space="preserve"> PAGEREF _Toc131178712 \h </w:instrText>
            </w:r>
            <w:r w:rsidR="00552795">
              <w:rPr>
                <w:noProof/>
              </w:rPr>
            </w:r>
            <w:r w:rsidR="00552795">
              <w:rPr>
                <w:noProof/>
              </w:rPr>
              <w:fldChar w:fldCharType="separate"/>
            </w:r>
            <w:r w:rsidR="00130DCF">
              <w:rPr>
                <w:noProof/>
              </w:rPr>
              <w:t>46</w:t>
            </w:r>
            <w:r w:rsidR="00552795">
              <w:rPr>
                <w:noProof/>
              </w:rPr>
              <w:fldChar w:fldCharType="end"/>
            </w:r>
          </w:hyperlink>
        </w:p>
        <w:p w14:paraId="18B1EBBF" w14:textId="6EE08664" w:rsidR="00552795" w:rsidRDefault="00000000">
          <w:pPr>
            <w:pStyle w:val="TOC2"/>
            <w:tabs>
              <w:tab w:val="left" w:pos="1134"/>
              <w:tab w:val="right" w:leader="dot" w:pos="9628"/>
            </w:tabs>
            <w:rPr>
              <w:rFonts w:asciiTheme="minorHAnsi" w:hAnsiTheme="minorHAnsi"/>
              <w:noProof/>
              <w:sz w:val="22"/>
              <w:szCs w:val="22"/>
            </w:rPr>
          </w:pPr>
          <w:hyperlink w:anchor="_Toc131178713" w:history="1">
            <w:r w:rsidR="00552795" w:rsidRPr="002D1D55">
              <w:rPr>
                <w:rStyle w:val="Hyperlink"/>
                <w:noProof/>
              </w:rPr>
              <w:t>6.1</w:t>
            </w:r>
            <w:r w:rsidR="00552795">
              <w:rPr>
                <w:rFonts w:asciiTheme="minorHAnsi" w:hAnsiTheme="minorHAnsi"/>
                <w:noProof/>
                <w:sz w:val="22"/>
                <w:szCs w:val="22"/>
              </w:rPr>
              <w:tab/>
            </w:r>
            <w:r w:rsidR="00552795" w:rsidRPr="002D1D55">
              <w:rPr>
                <w:rStyle w:val="Hyperlink"/>
                <w:noProof/>
              </w:rPr>
              <w:t>Conclusions</w:t>
            </w:r>
            <w:r w:rsidR="00552795">
              <w:rPr>
                <w:noProof/>
              </w:rPr>
              <w:tab/>
            </w:r>
            <w:r w:rsidR="00552795">
              <w:rPr>
                <w:noProof/>
              </w:rPr>
              <w:fldChar w:fldCharType="begin"/>
            </w:r>
            <w:r w:rsidR="00552795">
              <w:rPr>
                <w:noProof/>
              </w:rPr>
              <w:instrText xml:space="preserve"> PAGEREF _Toc131178713 \h </w:instrText>
            </w:r>
            <w:r w:rsidR="00552795">
              <w:rPr>
                <w:noProof/>
              </w:rPr>
            </w:r>
            <w:r w:rsidR="00552795">
              <w:rPr>
                <w:noProof/>
              </w:rPr>
              <w:fldChar w:fldCharType="separate"/>
            </w:r>
            <w:r w:rsidR="00130DCF">
              <w:rPr>
                <w:noProof/>
              </w:rPr>
              <w:t>46</w:t>
            </w:r>
            <w:r w:rsidR="00552795">
              <w:rPr>
                <w:noProof/>
              </w:rPr>
              <w:fldChar w:fldCharType="end"/>
            </w:r>
          </w:hyperlink>
        </w:p>
        <w:p w14:paraId="7CADCB2F" w14:textId="1FC507E6" w:rsidR="00552795" w:rsidRDefault="00000000">
          <w:pPr>
            <w:pStyle w:val="TOC3"/>
            <w:tabs>
              <w:tab w:val="right" w:leader="dot" w:pos="9628"/>
            </w:tabs>
            <w:rPr>
              <w:rFonts w:asciiTheme="minorHAnsi" w:hAnsiTheme="minorHAnsi"/>
              <w:noProof/>
              <w:sz w:val="22"/>
              <w:szCs w:val="22"/>
            </w:rPr>
          </w:pPr>
          <w:hyperlink w:anchor="_Toc131178714" w:history="1">
            <w:r w:rsidR="00552795" w:rsidRPr="002D1D55">
              <w:rPr>
                <w:rStyle w:val="Hyperlink"/>
                <w:noProof/>
              </w:rPr>
              <w:t>Overall conformance findings</w:t>
            </w:r>
            <w:r w:rsidR="00552795">
              <w:rPr>
                <w:noProof/>
              </w:rPr>
              <w:tab/>
            </w:r>
            <w:r w:rsidR="00552795">
              <w:rPr>
                <w:noProof/>
              </w:rPr>
              <w:fldChar w:fldCharType="begin"/>
            </w:r>
            <w:r w:rsidR="00552795">
              <w:rPr>
                <w:noProof/>
              </w:rPr>
              <w:instrText xml:space="preserve"> PAGEREF _Toc131178714 \h </w:instrText>
            </w:r>
            <w:r w:rsidR="00552795">
              <w:rPr>
                <w:noProof/>
              </w:rPr>
            </w:r>
            <w:r w:rsidR="00552795">
              <w:rPr>
                <w:noProof/>
              </w:rPr>
              <w:fldChar w:fldCharType="separate"/>
            </w:r>
            <w:r w:rsidR="00130DCF">
              <w:rPr>
                <w:noProof/>
              </w:rPr>
              <w:t>46</w:t>
            </w:r>
            <w:r w:rsidR="00552795">
              <w:rPr>
                <w:noProof/>
              </w:rPr>
              <w:fldChar w:fldCharType="end"/>
            </w:r>
          </w:hyperlink>
        </w:p>
        <w:p w14:paraId="3258D13F" w14:textId="1C0017A4" w:rsidR="00552795" w:rsidRDefault="00000000">
          <w:pPr>
            <w:pStyle w:val="TOC3"/>
            <w:tabs>
              <w:tab w:val="right" w:leader="dot" w:pos="9628"/>
            </w:tabs>
            <w:rPr>
              <w:rFonts w:asciiTheme="minorHAnsi" w:hAnsiTheme="minorHAnsi"/>
              <w:noProof/>
              <w:sz w:val="22"/>
              <w:szCs w:val="22"/>
            </w:rPr>
          </w:pPr>
          <w:hyperlink w:anchor="_Toc131178715" w:history="1">
            <w:r w:rsidR="00552795" w:rsidRPr="002D1D55">
              <w:rPr>
                <w:rStyle w:val="Hyperlink"/>
                <w:noProof/>
              </w:rPr>
              <w:t>Protection of soil, water and river health values</w:t>
            </w:r>
            <w:r w:rsidR="00552795">
              <w:rPr>
                <w:noProof/>
              </w:rPr>
              <w:tab/>
            </w:r>
            <w:r w:rsidR="00552795">
              <w:rPr>
                <w:noProof/>
              </w:rPr>
              <w:fldChar w:fldCharType="begin"/>
            </w:r>
            <w:r w:rsidR="00552795">
              <w:rPr>
                <w:noProof/>
              </w:rPr>
              <w:instrText xml:space="preserve"> PAGEREF _Toc131178715 \h </w:instrText>
            </w:r>
            <w:r w:rsidR="00552795">
              <w:rPr>
                <w:noProof/>
              </w:rPr>
            </w:r>
            <w:r w:rsidR="00552795">
              <w:rPr>
                <w:noProof/>
              </w:rPr>
              <w:fldChar w:fldCharType="separate"/>
            </w:r>
            <w:r w:rsidR="00130DCF">
              <w:rPr>
                <w:noProof/>
              </w:rPr>
              <w:t>46</w:t>
            </w:r>
            <w:r w:rsidR="00552795">
              <w:rPr>
                <w:noProof/>
              </w:rPr>
              <w:fldChar w:fldCharType="end"/>
            </w:r>
          </w:hyperlink>
        </w:p>
        <w:p w14:paraId="14602B71" w14:textId="58415375" w:rsidR="00552795" w:rsidRDefault="00000000">
          <w:pPr>
            <w:pStyle w:val="TOC3"/>
            <w:tabs>
              <w:tab w:val="right" w:leader="dot" w:pos="9628"/>
            </w:tabs>
            <w:rPr>
              <w:rFonts w:asciiTheme="minorHAnsi" w:hAnsiTheme="minorHAnsi"/>
              <w:noProof/>
              <w:sz w:val="22"/>
              <w:szCs w:val="22"/>
            </w:rPr>
          </w:pPr>
          <w:hyperlink w:anchor="_Toc131178716" w:history="1">
            <w:r w:rsidR="00552795" w:rsidRPr="002D1D55">
              <w:rPr>
                <w:rStyle w:val="Hyperlink"/>
                <w:noProof/>
              </w:rPr>
              <w:t>Conservation of biodiversity</w:t>
            </w:r>
            <w:r w:rsidR="00552795">
              <w:rPr>
                <w:noProof/>
              </w:rPr>
              <w:tab/>
            </w:r>
            <w:r w:rsidR="00552795">
              <w:rPr>
                <w:noProof/>
              </w:rPr>
              <w:fldChar w:fldCharType="begin"/>
            </w:r>
            <w:r w:rsidR="00552795">
              <w:rPr>
                <w:noProof/>
              </w:rPr>
              <w:instrText xml:space="preserve"> PAGEREF _Toc131178716 \h </w:instrText>
            </w:r>
            <w:r w:rsidR="00552795">
              <w:rPr>
                <w:noProof/>
              </w:rPr>
            </w:r>
            <w:r w:rsidR="00552795">
              <w:rPr>
                <w:noProof/>
              </w:rPr>
              <w:fldChar w:fldCharType="separate"/>
            </w:r>
            <w:r w:rsidR="00130DCF">
              <w:rPr>
                <w:noProof/>
              </w:rPr>
              <w:t>46</w:t>
            </w:r>
            <w:r w:rsidR="00552795">
              <w:rPr>
                <w:noProof/>
              </w:rPr>
              <w:fldChar w:fldCharType="end"/>
            </w:r>
          </w:hyperlink>
        </w:p>
        <w:p w14:paraId="486F4174" w14:textId="2D7D0C67" w:rsidR="00552795" w:rsidRDefault="00000000">
          <w:pPr>
            <w:pStyle w:val="TOC3"/>
            <w:tabs>
              <w:tab w:val="right" w:leader="dot" w:pos="9628"/>
            </w:tabs>
            <w:rPr>
              <w:rFonts w:asciiTheme="minorHAnsi" w:hAnsiTheme="minorHAnsi"/>
              <w:noProof/>
              <w:sz w:val="22"/>
              <w:szCs w:val="22"/>
            </w:rPr>
          </w:pPr>
          <w:hyperlink w:anchor="_Toc131178717" w:history="1">
            <w:r w:rsidR="00552795" w:rsidRPr="002D1D55">
              <w:rPr>
                <w:rStyle w:val="Hyperlink"/>
                <w:noProof/>
              </w:rPr>
              <w:t>Operational planning and record keeping</w:t>
            </w:r>
            <w:r w:rsidR="00552795">
              <w:rPr>
                <w:noProof/>
              </w:rPr>
              <w:tab/>
            </w:r>
            <w:r w:rsidR="00552795">
              <w:rPr>
                <w:noProof/>
              </w:rPr>
              <w:fldChar w:fldCharType="begin"/>
            </w:r>
            <w:r w:rsidR="00552795">
              <w:rPr>
                <w:noProof/>
              </w:rPr>
              <w:instrText xml:space="preserve"> PAGEREF _Toc131178717 \h </w:instrText>
            </w:r>
            <w:r w:rsidR="00552795">
              <w:rPr>
                <w:noProof/>
              </w:rPr>
            </w:r>
            <w:r w:rsidR="00552795">
              <w:rPr>
                <w:noProof/>
              </w:rPr>
              <w:fldChar w:fldCharType="separate"/>
            </w:r>
            <w:r w:rsidR="00130DCF">
              <w:rPr>
                <w:noProof/>
              </w:rPr>
              <w:t>46</w:t>
            </w:r>
            <w:r w:rsidR="00552795">
              <w:rPr>
                <w:noProof/>
              </w:rPr>
              <w:fldChar w:fldCharType="end"/>
            </w:r>
          </w:hyperlink>
        </w:p>
        <w:p w14:paraId="6F2EC9D7" w14:textId="1E0471A2" w:rsidR="00552795" w:rsidRDefault="00000000">
          <w:pPr>
            <w:pStyle w:val="TOC3"/>
            <w:tabs>
              <w:tab w:val="right" w:leader="dot" w:pos="9628"/>
            </w:tabs>
            <w:rPr>
              <w:rFonts w:asciiTheme="minorHAnsi" w:hAnsiTheme="minorHAnsi"/>
              <w:noProof/>
              <w:sz w:val="22"/>
              <w:szCs w:val="22"/>
            </w:rPr>
          </w:pPr>
          <w:hyperlink w:anchor="_Toc131178718" w:history="1">
            <w:r w:rsidR="00552795" w:rsidRPr="002D1D55">
              <w:rPr>
                <w:rStyle w:val="Hyperlink"/>
                <w:noProof/>
              </w:rPr>
              <w:t>Coupe infrastructure for harvesting operations</w:t>
            </w:r>
            <w:r w:rsidR="00552795">
              <w:rPr>
                <w:noProof/>
              </w:rPr>
              <w:tab/>
            </w:r>
            <w:r w:rsidR="00552795">
              <w:rPr>
                <w:noProof/>
              </w:rPr>
              <w:fldChar w:fldCharType="begin"/>
            </w:r>
            <w:r w:rsidR="00552795">
              <w:rPr>
                <w:noProof/>
              </w:rPr>
              <w:instrText xml:space="preserve"> PAGEREF _Toc131178718 \h </w:instrText>
            </w:r>
            <w:r w:rsidR="00552795">
              <w:rPr>
                <w:noProof/>
              </w:rPr>
            </w:r>
            <w:r w:rsidR="00552795">
              <w:rPr>
                <w:noProof/>
              </w:rPr>
              <w:fldChar w:fldCharType="separate"/>
            </w:r>
            <w:r w:rsidR="00130DCF">
              <w:rPr>
                <w:noProof/>
              </w:rPr>
              <w:t>47</w:t>
            </w:r>
            <w:r w:rsidR="00552795">
              <w:rPr>
                <w:noProof/>
              </w:rPr>
              <w:fldChar w:fldCharType="end"/>
            </w:r>
          </w:hyperlink>
        </w:p>
        <w:p w14:paraId="710240FA" w14:textId="2258EA70" w:rsidR="00552795" w:rsidRDefault="00000000">
          <w:pPr>
            <w:pStyle w:val="TOC3"/>
            <w:tabs>
              <w:tab w:val="right" w:leader="dot" w:pos="9628"/>
            </w:tabs>
            <w:rPr>
              <w:rFonts w:asciiTheme="minorHAnsi" w:hAnsiTheme="minorHAnsi"/>
              <w:noProof/>
              <w:sz w:val="22"/>
              <w:szCs w:val="22"/>
            </w:rPr>
          </w:pPr>
          <w:hyperlink w:anchor="_Toc131178719" w:history="1">
            <w:r w:rsidR="00552795" w:rsidRPr="002D1D55">
              <w:rPr>
                <w:rStyle w:val="Hyperlink"/>
                <w:noProof/>
              </w:rPr>
              <w:t>Comparison with previous audits</w:t>
            </w:r>
            <w:r w:rsidR="00552795">
              <w:rPr>
                <w:noProof/>
              </w:rPr>
              <w:tab/>
            </w:r>
            <w:r w:rsidR="00552795">
              <w:rPr>
                <w:noProof/>
              </w:rPr>
              <w:fldChar w:fldCharType="begin"/>
            </w:r>
            <w:r w:rsidR="00552795">
              <w:rPr>
                <w:noProof/>
              </w:rPr>
              <w:instrText xml:space="preserve"> PAGEREF _Toc131178719 \h </w:instrText>
            </w:r>
            <w:r w:rsidR="00552795">
              <w:rPr>
                <w:noProof/>
              </w:rPr>
            </w:r>
            <w:r w:rsidR="00552795">
              <w:rPr>
                <w:noProof/>
              </w:rPr>
              <w:fldChar w:fldCharType="separate"/>
            </w:r>
            <w:r w:rsidR="00130DCF">
              <w:rPr>
                <w:noProof/>
              </w:rPr>
              <w:t>47</w:t>
            </w:r>
            <w:r w:rsidR="00552795">
              <w:rPr>
                <w:noProof/>
              </w:rPr>
              <w:fldChar w:fldCharType="end"/>
            </w:r>
          </w:hyperlink>
        </w:p>
        <w:p w14:paraId="7E83AB08" w14:textId="2AEE903B" w:rsidR="00552795" w:rsidRDefault="00000000">
          <w:pPr>
            <w:pStyle w:val="TOC3"/>
            <w:tabs>
              <w:tab w:val="right" w:leader="dot" w:pos="9628"/>
            </w:tabs>
            <w:rPr>
              <w:rFonts w:asciiTheme="minorHAnsi" w:hAnsiTheme="minorHAnsi"/>
              <w:noProof/>
              <w:sz w:val="22"/>
              <w:szCs w:val="22"/>
            </w:rPr>
          </w:pPr>
          <w:hyperlink w:anchor="_Toc131178720" w:history="1">
            <w:r w:rsidR="00552795" w:rsidRPr="002D1D55">
              <w:rPr>
                <w:rStyle w:val="Hyperlink"/>
                <w:noProof/>
              </w:rPr>
              <w:t>Fire salvage harvesting</w:t>
            </w:r>
            <w:r w:rsidR="00552795">
              <w:rPr>
                <w:noProof/>
              </w:rPr>
              <w:tab/>
            </w:r>
            <w:r w:rsidR="00552795">
              <w:rPr>
                <w:noProof/>
              </w:rPr>
              <w:fldChar w:fldCharType="begin"/>
            </w:r>
            <w:r w:rsidR="00552795">
              <w:rPr>
                <w:noProof/>
              </w:rPr>
              <w:instrText xml:space="preserve"> PAGEREF _Toc131178720 \h </w:instrText>
            </w:r>
            <w:r w:rsidR="00552795">
              <w:rPr>
                <w:noProof/>
              </w:rPr>
            </w:r>
            <w:r w:rsidR="00552795">
              <w:rPr>
                <w:noProof/>
              </w:rPr>
              <w:fldChar w:fldCharType="separate"/>
            </w:r>
            <w:r w:rsidR="00130DCF">
              <w:rPr>
                <w:noProof/>
              </w:rPr>
              <w:t>47</w:t>
            </w:r>
            <w:r w:rsidR="00552795">
              <w:rPr>
                <w:noProof/>
              </w:rPr>
              <w:fldChar w:fldCharType="end"/>
            </w:r>
          </w:hyperlink>
        </w:p>
        <w:p w14:paraId="1C45479F" w14:textId="0F07C88D" w:rsidR="00552795" w:rsidRDefault="00000000">
          <w:pPr>
            <w:pStyle w:val="TOC3"/>
            <w:tabs>
              <w:tab w:val="right" w:leader="dot" w:pos="9628"/>
            </w:tabs>
            <w:rPr>
              <w:rFonts w:asciiTheme="minorHAnsi" w:hAnsiTheme="minorHAnsi"/>
              <w:noProof/>
              <w:sz w:val="22"/>
              <w:szCs w:val="22"/>
            </w:rPr>
          </w:pPr>
          <w:hyperlink w:anchor="_Toc131178721" w:history="1">
            <w:r w:rsidR="00552795" w:rsidRPr="002D1D55">
              <w:rPr>
                <w:rStyle w:val="Hyperlink"/>
                <w:noProof/>
              </w:rPr>
              <w:t>Application of the precautionary principle</w:t>
            </w:r>
            <w:r w:rsidR="00552795">
              <w:rPr>
                <w:noProof/>
              </w:rPr>
              <w:tab/>
            </w:r>
            <w:r w:rsidR="00552795">
              <w:rPr>
                <w:noProof/>
              </w:rPr>
              <w:fldChar w:fldCharType="begin"/>
            </w:r>
            <w:r w:rsidR="00552795">
              <w:rPr>
                <w:noProof/>
              </w:rPr>
              <w:instrText xml:space="preserve"> PAGEREF _Toc131178721 \h </w:instrText>
            </w:r>
            <w:r w:rsidR="00552795">
              <w:rPr>
                <w:noProof/>
              </w:rPr>
            </w:r>
            <w:r w:rsidR="00552795">
              <w:rPr>
                <w:noProof/>
              </w:rPr>
              <w:fldChar w:fldCharType="separate"/>
            </w:r>
            <w:r w:rsidR="00130DCF">
              <w:rPr>
                <w:noProof/>
              </w:rPr>
              <w:t>47</w:t>
            </w:r>
            <w:r w:rsidR="00552795">
              <w:rPr>
                <w:noProof/>
              </w:rPr>
              <w:fldChar w:fldCharType="end"/>
            </w:r>
          </w:hyperlink>
        </w:p>
        <w:p w14:paraId="28D96007" w14:textId="28F3FF10" w:rsidR="00552795" w:rsidRDefault="00000000">
          <w:pPr>
            <w:pStyle w:val="TOC2"/>
            <w:tabs>
              <w:tab w:val="left" w:pos="1134"/>
              <w:tab w:val="right" w:leader="dot" w:pos="9628"/>
            </w:tabs>
            <w:rPr>
              <w:rFonts w:asciiTheme="minorHAnsi" w:hAnsiTheme="minorHAnsi"/>
              <w:noProof/>
              <w:sz w:val="22"/>
              <w:szCs w:val="22"/>
            </w:rPr>
          </w:pPr>
          <w:hyperlink w:anchor="_Toc131178722" w:history="1">
            <w:r w:rsidR="00552795" w:rsidRPr="002D1D55">
              <w:rPr>
                <w:rStyle w:val="Hyperlink"/>
                <w:noProof/>
              </w:rPr>
              <w:t>6.2</w:t>
            </w:r>
            <w:r w:rsidR="00552795">
              <w:rPr>
                <w:rFonts w:asciiTheme="minorHAnsi" w:hAnsiTheme="minorHAnsi"/>
                <w:noProof/>
                <w:sz w:val="22"/>
                <w:szCs w:val="22"/>
              </w:rPr>
              <w:tab/>
            </w:r>
            <w:r w:rsidR="00552795" w:rsidRPr="002D1D55">
              <w:rPr>
                <w:rStyle w:val="Hyperlink"/>
                <w:noProof/>
              </w:rPr>
              <w:t>Recommendations</w:t>
            </w:r>
            <w:r w:rsidR="00552795">
              <w:rPr>
                <w:noProof/>
              </w:rPr>
              <w:tab/>
            </w:r>
            <w:r w:rsidR="00552795">
              <w:rPr>
                <w:noProof/>
              </w:rPr>
              <w:fldChar w:fldCharType="begin"/>
            </w:r>
            <w:r w:rsidR="00552795">
              <w:rPr>
                <w:noProof/>
              </w:rPr>
              <w:instrText xml:space="preserve"> PAGEREF _Toc131178722 \h </w:instrText>
            </w:r>
            <w:r w:rsidR="00552795">
              <w:rPr>
                <w:noProof/>
              </w:rPr>
            </w:r>
            <w:r w:rsidR="00552795">
              <w:rPr>
                <w:noProof/>
              </w:rPr>
              <w:fldChar w:fldCharType="separate"/>
            </w:r>
            <w:r w:rsidR="00130DCF">
              <w:rPr>
                <w:noProof/>
              </w:rPr>
              <w:t>48</w:t>
            </w:r>
            <w:r w:rsidR="00552795">
              <w:rPr>
                <w:noProof/>
              </w:rPr>
              <w:fldChar w:fldCharType="end"/>
            </w:r>
          </w:hyperlink>
        </w:p>
        <w:p w14:paraId="3645A809" w14:textId="6567CFC1" w:rsidR="00552795" w:rsidRDefault="00000000">
          <w:pPr>
            <w:pStyle w:val="TOC3"/>
            <w:tabs>
              <w:tab w:val="right" w:leader="dot" w:pos="9628"/>
            </w:tabs>
            <w:rPr>
              <w:rFonts w:asciiTheme="minorHAnsi" w:hAnsiTheme="minorHAnsi"/>
              <w:noProof/>
              <w:sz w:val="22"/>
              <w:szCs w:val="22"/>
            </w:rPr>
          </w:pPr>
          <w:hyperlink w:anchor="_Toc131178723" w:history="1">
            <w:r w:rsidR="00552795" w:rsidRPr="002D1D55">
              <w:rPr>
                <w:rStyle w:val="Hyperlink"/>
                <w:noProof/>
              </w:rPr>
              <w:t>Recommendations for VicForests</w:t>
            </w:r>
            <w:r w:rsidR="00552795">
              <w:rPr>
                <w:noProof/>
              </w:rPr>
              <w:tab/>
            </w:r>
            <w:r w:rsidR="00552795">
              <w:rPr>
                <w:noProof/>
              </w:rPr>
              <w:fldChar w:fldCharType="begin"/>
            </w:r>
            <w:r w:rsidR="00552795">
              <w:rPr>
                <w:noProof/>
              </w:rPr>
              <w:instrText xml:space="preserve"> PAGEREF _Toc131178723 \h </w:instrText>
            </w:r>
            <w:r w:rsidR="00552795">
              <w:rPr>
                <w:noProof/>
              </w:rPr>
            </w:r>
            <w:r w:rsidR="00552795">
              <w:rPr>
                <w:noProof/>
              </w:rPr>
              <w:fldChar w:fldCharType="separate"/>
            </w:r>
            <w:r w:rsidR="00130DCF">
              <w:rPr>
                <w:noProof/>
              </w:rPr>
              <w:t>48</w:t>
            </w:r>
            <w:r w:rsidR="00552795">
              <w:rPr>
                <w:noProof/>
              </w:rPr>
              <w:fldChar w:fldCharType="end"/>
            </w:r>
          </w:hyperlink>
        </w:p>
        <w:p w14:paraId="294C43A7" w14:textId="58721CDD" w:rsidR="00552795" w:rsidRDefault="00000000">
          <w:pPr>
            <w:pStyle w:val="TOC3"/>
            <w:tabs>
              <w:tab w:val="right" w:leader="dot" w:pos="9628"/>
            </w:tabs>
            <w:rPr>
              <w:rFonts w:asciiTheme="minorHAnsi" w:hAnsiTheme="minorHAnsi"/>
              <w:noProof/>
              <w:sz w:val="22"/>
              <w:szCs w:val="22"/>
            </w:rPr>
          </w:pPr>
          <w:hyperlink w:anchor="_Toc131178724" w:history="1">
            <w:r w:rsidR="00552795" w:rsidRPr="002D1D55">
              <w:rPr>
                <w:rStyle w:val="Hyperlink"/>
                <w:noProof/>
              </w:rPr>
              <w:t>Recommendations for DEECA</w:t>
            </w:r>
            <w:r w:rsidR="00552795">
              <w:rPr>
                <w:noProof/>
              </w:rPr>
              <w:tab/>
            </w:r>
            <w:r w:rsidR="00552795">
              <w:rPr>
                <w:noProof/>
              </w:rPr>
              <w:fldChar w:fldCharType="begin"/>
            </w:r>
            <w:r w:rsidR="00552795">
              <w:rPr>
                <w:noProof/>
              </w:rPr>
              <w:instrText xml:space="preserve"> PAGEREF _Toc131178724 \h </w:instrText>
            </w:r>
            <w:r w:rsidR="00552795">
              <w:rPr>
                <w:noProof/>
              </w:rPr>
            </w:r>
            <w:r w:rsidR="00552795">
              <w:rPr>
                <w:noProof/>
              </w:rPr>
              <w:fldChar w:fldCharType="separate"/>
            </w:r>
            <w:r w:rsidR="00130DCF">
              <w:rPr>
                <w:noProof/>
              </w:rPr>
              <w:t>49</w:t>
            </w:r>
            <w:r w:rsidR="00552795">
              <w:rPr>
                <w:noProof/>
              </w:rPr>
              <w:fldChar w:fldCharType="end"/>
            </w:r>
          </w:hyperlink>
        </w:p>
        <w:p w14:paraId="6DCC2419" w14:textId="216A7B95" w:rsidR="00552795" w:rsidRDefault="00000000">
          <w:pPr>
            <w:pStyle w:val="TOC1"/>
            <w:tabs>
              <w:tab w:val="right" w:leader="dot" w:pos="9628"/>
            </w:tabs>
            <w:rPr>
              <w:rFonts w:asciiTheme="minorHAnsi" w:hAnsiTheme="minorHAnsi"/>
              <w:b w:val="0"/>
              <w:noProof/>
              <w:sz w:val="22"/>
              <w:szCs w:val="22"/>
            </w:rPr>
          </w:pPr>
          <w:hyperlink w:anchor="_Toc131178725" w:history="1">
            <w:r w:rsidR="00552795" w:rsidRPr="002D1D55">
              <w:rPr>
                <w:rStyle w:val="Hyperlink"/>
                <w:noProof/>
              </w:rPr>
              <w:t>7.</w:t>
            </w:r>
            <w:r w:rsidR="00552795">
              <w:rPr>
                <w:rFonts w:asciiTheme="minorHAnsi" w:hAnsiTheme="minorHAnsi"/>
                <w:b w:val="0"/>
                <w:noProof/>
                <w:sz w:val="22"/>
                <w:szCs w:val="22"/>
              </w:rPr>
              <w:tab/>
            </w:r>
            <w:r w:rsidR="00552795" w:rsidRPr="002D1D55">
              <w:rPr>
                <w:rStyle w:val="Hyperlink"/>
                <w:noProof/>
              </w:rPr>
              <w:t>References</w:t>
            </w:r>
            <w:r w:rsidR="00552795">
              <w:rPr>
                <w:noProof/>
              </w:rPr>
              <w:tab/>
            </w:r>
            <w:r w:rsidR="00552795">
              <w:rPr>
                <w:noProof/>
              </w:rPr>
              <w:fldChar w:fldCharType="begin"/>
            </w:r>
            <w:r w:rsidR="00552795">
              <w:rPr>
                <w:noProof/>
              </w:rPr>
              <w:instrText xml:space="preserve"> PAGEREF _Toc131178725 \h </w:instrText>
            </w:r>
            <w:r w:rsidR="00552795">
              <w:rPr>
                <w:noProof/>
              </w:rPr>
            </w:r>
            <w:r w:rsidR="00552795">
              <w:rPr>
                <w:noProof/>
              </w:rPr>
              <w:fldChar w:fldCharType="separate"/>
            </w:r>
            <w:r w:rsidR="00130DCF">
              <w:rPr>
                <w:noProof/>
              </w:rPr>
              <w:t>50</w:t>
            </w:r>
            <w:r w:rsidR="00552795">
              <w:rPr>
                <w:noProof/>
              </w:rPr>
              <w:fldChar w:fldCharType="end"/>
            </w:r>
          </w:hyperlink>
        </w:p>
        <w:p w14:paraId="4B91C965" w14:textId="0318D7BB" w:rsidR="00552795" w:rsidRDefault="00000000">
          <w:pPr>
            <w:pStyle w:val="TOC3"/>
            <w:tabs>
              <w:tab w:val="right" w:leader="dot" w:pos="9628"/>
            </w:tabs>
            <w:rPr>
              <w:rFonts w:asciiTheme="minorHAnsi" w:hAnsiTheme="minorHAnsi"/>
              <w:noProof/>
              <w:sz w:val="22"/>
              <w:szCs w:val="22"/>
            </w:rPr>
          </w:pPr>
          <w:hyperlink w:anchor="_Toc131178726" w:history="1">
            <w:r w:rsidR="00552795" w:rsidRPr="002D1D55">
              <w:rPr>
                <w:rStyle w:val="Hyperlink"/>
                <w:noProof/>
              </w:rPr>
              <w:t>Spatial data sources:</w:t>
            </w:r>
            <w:r w:rsidR="00552795">
              <w:rPr>
                <w:noProof/>
              </w:rPr>
              <w:tab/>
            </w:r>
            <w:r w:rsidR="00552795">
              <w:rPr>
                <w:noProof/>
              </w:rPr>
              <w:fldChar w:fldCharType="begin"/>
            </w:r>
            <w:r w:rsidR="00552795">
              <w:rPr>
                <w:noProof/>
              </w:rPr>
              <w:instrText xml:space="preserve"> PAGEREF _Toc131178726 \h </w:instrText>
            </w:r>
            <w:r w:rsidR="00552795">
              <w:rPr>
                <w:noProof/>
              </w:rPr>
            </w:r>
            <w:r w:rsidR="00552795">
              <w:rPr>
                <w:noProof/>
              </w:rPr>
              <w:fldChar w:fldCharType="separate"/>
            </w:r>
            <w:r w:rsidR="00130DCF">
              <w:rPr>
                <w:noProof/>
              </w:rPr>
              <w:t>50</w:t>
            </w:r>
            <w:r w:rsidR="00552795">
              <w:rPr>
                <w:noProof/>
              </w:rPr>
              <w:fldChar w:fldCharType="end"/>
            </w:r>
          </w:hyperlink>
        </w:p>
        <w:p w14:paraId="32E7FA57" w14:textId="094B8DEA" w:rsidR="00552795" w:rsidRDefault="00000000">
          <w:pPr>
            <w:pStyle w:val="TOC1"/>
            <w:tabs>
              <w:tab w:val="right" w:leader="dot" w:pos="9628"/>
            </w:tabs>
            <w:rPr>
              <w:rFonts w:asciiTheme="minorHAnsi" w:hAnsiTheme="minorHAnsi"/>
              <w:b w:val="0"/>
              <w:noProof/>
              <w:sz w:val="22"/>
              <w:szCs w:val="22"/>
            </w:rPr>
          </w:pPr>
          <w:hyperlink w:anchor="_Toc131178727" w:history="1">
            <w:r w:rsidR="00552795" w:rsidRPr="002D1D55">
              <w:rPr>
                <w:rStyle w:val="Hyperlink"/>
                <w:noProof/>
              </w:rPr>
              <w:t>Limitation statement</w:t>
            </w:r>
            <w:r w:rsidR="00552795">
              <w:rPr>
                <w:noProof/>
              </w:rPr>
              <w:tab/>
            </w:r>
            <w:r w:rsidR="00552795">
              <w:rPr>
                <w:noProof/>
              </w:rPr>
              <w:fldChar w:fldCharType="begin"/>
            </w:r>
            <w:r w:rsidR="00552795">
              <w:rPr>
                <w:noProof/>
              </w:rPr>
              <w:instrText xml:space="preserve"> PAGEREF _Toc131178727 \h </w:instrText>
            </w:r>
            <w:r w:rsidR="00552795">
              <w:rPr>
                <w:noProof/>
              </w:rPr>
            </w:r>
            <w:r w:rsidR="00552795">
              <w:rPr>
                <w:noProof/>
              </w:rPr>
              <w:fldChar w:fldCharType="separate"/>
            </w:r>
            <w:r w:rsidR="00130DCF">
              <w:rPr>
                <w:noProof/>
              </w:rPr>
              <w:t>51</w:t>
            </w:r>
            <w:r w:rsidR="00552795">
              <w:rPr>
                <w:noProof/>
              </w:rPr>
              <w:fldChar w:fldCharType="end"/>
            </w:r>
          </w:hyperlink>
        </w:p>
        <w:p w14:paraId="7BB5F1F9" w14:textId="0835B49E" w:rsidR="00F8591B" w:rsidRPr="005C4363" w:rsidRDefault="00F8591B" w:rsidP="003D4A8B">
          <w:r w:rsidRPr="005C4363">
            <w:fldChar w:fldCharType="end"/>
          </w:r>
        </w:p>
        <w:p w14:paraId="0E10C83C" w14:textId="77777777" w:rsidR="0020292F" w:rsidRDefault="00000000" w:rsidP="0020292F"/>
      </w:sdtContent>
    </w:sdt>
    <w:sdt>
      <w:sdtPr>
        <w:rPr>
          <w:b w:val="0"/>
          <w:color w:val="auto"/>
          <w:sz w:val="20"/>
        </w:rPr>
        <w:alias w:val="Table of appendices"/>
        <w:tag w:val="Table of appendices"/>
        <w:id w:val="-1735307702"/>
        <w:placeholder>
          <w:docPart w:val="5413933B5DC840EB8B1D48950BDF583A"/>
        </w:placeholder>
        <w:docPartList>
          <w:docPartGallery w:val="Custom 5"/>
          <w:docPartCategory w:val="Appendices"/>
        </w:docPartList>
      </w:sdtPr>
      <w:sdtContent>
        <w:p w14:paraId="34DE5321" w14:textId="77777777" w:rsidR="0020292F" w:rsidRDefault="0020292F" w:rsidP="0020292F">
          <w:pPr>
            <w:pStyle w:val="TOCHeading"/>
          </w:pPr>
          <w:r>
            <w:t>Appendices</w:t>
          </w:r>
        </w:p>
        <w:p w14:paraId="5B13E6E1" w14:textId="0E0A1F1C" w:rsidR="00552795" w:rsidRDefault="0020292F">
          <w:pPr>
            <w:pStyle w:val="TOC1"/>
            <w:tabs>
              <w:tab w:val="right" w:leader="dot" w:pos="9628"/>
            </w:tabs>
            <w:rPr>
              <w:rFonts w:asciiTheme="minorHAnsi" w:hAnsiTheme="minorHAnsi"/>
              <w:b w:val="0"/>
              <w:noProof/>
              <w:sz w:val="22"/>
              <w:szCs w:val="22"/>
            </w:rPr>
          </w:pPr>
          <w:r>
            <w:fldChar w:fldCharType="begin"/>
          </w:r>
          <w:r>
            <w:instrText xml:space="preserve"> TOC \h \t "Appendix</w:instrText>
          </w:r>
          <w:r w:rsidR="00DD49E3">
            <w:instrText xml:space="preserve"> Heading 1</w:instrText>
          </w:r>
          <w:r>
            <w:instrText xml:space="preserve">,1,Appendix Heading 2,2,Appendix Heading 3,3" </w:instrText>
          </w:r>
          <w:r>
            <w:fldChar w:fldCharType="separate"/>
          </w:r>
          <w:hyperlink w:anchor="_Toc131178728" w:history="1">
            <w:r w:rsidR="00552795" w:rsidRPr="00291A49">
              <w:rPr>
                <w:rStyle w:val="Hyperlink"/>
                <w:noProof/>
              </w:rPr>
              <w:t>Appendix A. Audit compliance elements</w:t>
            </w:r>
            <w:r w:rsidR="00552795">
              <w:rPr>
                <w:noProof/>
              </w:rPr>
              <w:tab/>
            </w:r>
            <w:r w:rsidR="00552795">
              <w:rPr>
                <w:noProof/>
              </w:rPr>
              <w:fldChar w:fldCharType="begin"/>
            </w:r>
            <w:r w:rsidR="00552795">
              <w:rPr>
                <w:noProof/>
              </w:rPr>
              <w:instrText xml:space="preserve"> PAGEREF _Toc131178728 \h </w:instrText>
            </w:r>
            <w:r w:rsidR="00552795">
              <w:rPr>
                <w:noProof/>
              </w:rPr>
            </w:r>
            <w:r w:rsidR="00552795">
              <w:rPr>
                <w:noProof/>
              </w:rPr>
              <w:fldChar w:fldCharType="separate"/>
            </w:r>
            <w:r w:rsidR="00130DCF">
              <w:rPr>
                <w:noProof/>
              </w:rPr>
              <w:t>52</w:t>
            </w:r>
            <w:r w:rsidR="00552795">
              <w:rPr>
                <w:noProof/>
              </w:rPr>
              <w:fldChar w:fldCharType="end"/>
            </w:r>
          </w:hyperlink>
        </w:p>
        <w:p w14:paraId="258D2EF1" w14:textId="094E7E2F" w:rsidR="00552795" w:rsidRDefault="00000000">
          <w:pPr>
            <w:pStyle w:val="TOC1"/>
            <w:tabs>
              <w:tab w:val="right" w:leader="dot" w:pos="9628"/>
            </w:tabs>
            <w:rPr>
              <w:rFonts w:asciiTheme="minorHAnsi" w:hAnsiTheme="minorHAnsi"/>
              <w:b w:val="0"/>
              <w:noProof/>
              <w:sz w:val="22"/>
              <w:szCs w:val="22"/>
            </w:rPr>
          </w:pPr>
          <w:hyperlink w:anchor="_Toc131178729" w:history="1">
            <w:r w:rsidR="00552795" w:rsidRPr="00291A49">
              <w:rPr>
                <w:rStyle w:val="Hyperlink"/>
                <w:noProof/>
              </w:rPr>
              <w:t>Appendix B. Environment impact assessment tool</w:t>
            </w:r>
            <w:r w:rsidR="00552795">
              <w:rPr>
                <w:noProof/>
              </w:rPr>
              <w:tab/>
            </w:r>
            <w:r w:rsidR="00552795">
              <w:rPr>
                <w:noProof/>
              </w:rPr>
              <w:fldChar w:fldCharType="begin"/>
            </w:r>
            <w:r w:rsidR="00552795">
              <w:rPr>
                <w:noProof/>
              </w:rPr>
              <w:instrText xml:space="preserve"> PAGEREF _Toc131178729 \h </w:instrText>
            </w:r>
            <w:r w:rsidR="00552795">
              <w:rPr>
                <w:noProof/>
              </w:rPr>
            </w:r>
            <w:r w:rsidR="00552795">
              <w:rPr>
                <w:noProof/>
              </w:rPr>
              <w:fldChar w:fldCharType="separate"/>
            </w:r>
            <w:r w:rsidR="00130DCF">
              <w:rPr>
                <w:noProof/>
              </w:rPr>
              <w:t>70</w:t>
            </w:r>
            <w:r w:rsidR="00552795">
              <w:rPr>
                <w:noProof/>
              </w:rPr>
              <w:fldChar w:fldCharType="end"/>
            </w:r>
          </w:hyperlink>
        </w:p>
        <w:p w14:paraId="344E87ED" w14:textId="40306883" w:rsidR="00552795" w:rsidRDefault="00000000">
          <w:pPr>
            <w:pStyle w:val="TOC2"/>
            <w:tabs>
              <w:tab w:val="left" w:pos="1134"/>
              <w:tab w:val="right" w:leader="dot" w:pos="9628"/>
            </w:tabs>
            <w:rPr>
              <w:rFonts w:asciiTheme="minorHAnsi" w:hAnsiTheme="minorHAnsi"/>
              <w:noProof/>
              <w:sz w:val="22"/>
              <w:szCs w:val="22"/>
            </w:rPr>
          </w:pPr>
          <w:hyperlink w:anchor="_Toc131178730" w:history="1">
            <w:r w:rsidR="00552795" w:rsidRPr="00291A49">
              <w:rPr>
                <w:rStyle w:val="Hyperlink"/>
                <w:noProof/>
              </w:rPr>
              <w:t>B.1</w:t>
            </w:r>
            <w:r w:rsidR="00552795">
              <w:rPr>
                <w:rFonts w:asciiTheme="minorHAnsi" w:hAnsiTheme="minorHAnsi"/>
                <w:noProof/>
                <w:sz w:val="22"/>
                <w:szCs w:val="22"/>
              </w:rPr>
              <w:tab/>
            </w:r>
            <w:r w:rsidR="00552795" w:rsidRPr="00291A49">
              <w:rPr>
                <w:rStyle w:val="Hyperlink"/>
                <w:noProof/>
              </w:rPr>
              <w:t>Extent and location of impact</w:t>
            </w:r>
            <w:r w:rsidR="00552795">
              <w:rPr>
                <w:noProof/>
              </w:rPr>
              <w:tab/>
            </w:r>
            <w:r w:rsidR="00552795">
              <w:rPr>
                <w:noProof/>
              </w:rPr>
              <w:fldChar w:fldCharType="begin"/>
            </w:r>
            <w:r w:rsidR="00552795">
              <w:rPr>
                <w:noProof/>
              </w:rPr>
              <w:instrText xml:space="preserve"> PAGEREF _Toc131178730 \h </w:instrText>
            </w:r>
            <w:r w:rsidR="00552795">
              <w:rPr>
                <w:noProof/>
              </w:rPr>
            </w:r>
            <w:r w:rsidR="00552795">
              <w:rPr>
                <w:noProof/>
              </w:rPr>
              <w:fldChar w:fldCharType="separate"/>
            </w:r>
            <w:r w:rsidR="00130DCF">
              <w:rPr>
                <w:noProof/>
              </w:rPr>
              <w:t>70</w:t>
            </w:r>
            <w:r w:rsidR="00552795">
              <w:rPr>
                <w:noProof/>
              </w:rPr>
              <w:fldChar w:fldCharType="end"/>
            </w:r>
          </w:hyperlink>
        </w:p>
        <w:p w14:paraId="43C167AA" w14:textId="1B261EBE" w:rsidR="00552795" w:rsidRDefault="00000000">
          <w:pPr>
            <w:pStyle w:val="TOC2"/>
            <w:tabs>
              <w:tab w:val="left" w:pos="1134"/>
              <w:tab w:val="right" w:leader="dot" w:pos="9628"/>
            </w:tabs>
            <w:rPr>
              <w:rFonts w:asciiTheme="minorHAnsi" w:hAnsiTheme="minorHAnsi"/>
              <w:noProof/>
              <w:sz w:val="22"/>
              <w:szCs w:val="22"/>
            </w:rPr>
          </w:pPr>
          <w:hyperlink w:anchor="_Toc131178731" w:history="1">
            <w:r w:rsidR="00552795" w:rsidRPr="00291A49">
              <w:rPr>
                <w:rStyle w:val="Hyperlink"/>
                <w:noProof/>
              </w:rPr>
              <w:t>B.2</w:t>
            </w:r>
            <w:r w:rsidR="00552795">
              <w:rPr>
                <w:rFonts w:asciiTheme="minorHAnsi" w:hAnsiTheme="minorHAnsi"/>
                <w:noProof/>
                <w:sz w:val="22"/>
                <w:szCs w:val="22"/>
              </w:rPr>
              <w:tab/>
            </w:r>
            <w:r w:rsidR="00552795" w:rsidRPr="00291A49">
              <w:rPr>
                <w:rStyle w:val="Hyperlink"/>
                <w:noProof/>
              </w:rPr>
              <w:t>Extent and duration of recovery</w:t>
            </w:r>
            <w:r w:rsidR="00552795">
              <w:rPr>
                <w:noProof/>
              </w:rPr>
              <w:tab/>
            </w:r>
            <w:r w:rsidR="00552795">
              <w:rPr>
                <w:noProof/>
              </w:rPr>
              <w:fldChar w:fldCharType="begin"/>
            </w:r>
            <w:r w:rsidR="00552795">
              <w:rPr>
                <w:noProof/>
              </w:rPr>
              <w:instrText xml:space="preserve"> PAGEREF _Toc131178731 \h </w:instrText>
            </w:r>
            <w:r w:rsidR="00552795">
              <w:rPr>
                <w:noProof/>
              </w:rPr>
            </w:r>
            <w:r w:rsidR="00552795">
              <w:rPr>
                <w:noProof/>
              </w:rPr>
              <w:fldChar w:fldCharType="separate"/>
            </w:r>
            <w:r w:rsidR="00130DCF">
              <w:rPr>
                <w:noProof/>
              </w:rPr>
              <w:t>71</w:t>
            </w:r>
            <w:r w:rsidR="00552795">
              <w:rPr>
                <w:noProof/>
              </w:rPr>
              <w:fldChar w:fldCharType="end"/>
            </w:r>
          </w:hyperlink>
        </w:p>
        <w:p w14:paraId="6DB2B30E" w14:textId="606E9DFB" w:rsidR="00552795" w:rsidRDefault="00000000">
          <w:pPr>
            <w:pStyle w:val="TOC2"/>
            <w:tabs>
              <w:tab w:val="left" w:pos="1134"/>
              <w:tab w:val="right" w:leader="dot" w:pos="9628"/>
            </w:tabs>
            <w:rPr>
              <w:rFonts w:asciiTheme="minorHAnsi" w:hAnsiTheme="minorHAnsi"/>
              <w:noProof/>
              <w:sz w:val="22"/>
              <w:szCs w:val="22"/>
            </w:rPr>
          </w:pPr>
          <w:hyperlink w:anchor="_Toc131178732" w:history="1">
            <w:r w:rsidR="00552795" w:rsidRPr="00291A49">
              <w:rPr>
                <w:rStyle w:val="Hyperlink"/>
                <w:noProof/>
              </w:rPr>
              <w:t>B.3</w:t>
            </w:r>
            <w:r w:rsidR="00552795">
              <w:rPr>
                <w:rFonts w:asciiTheme="minorHAnsi" w:hAnsiTheme="minorHAnsi"/>
                <w:noProof/>
                <w:sz w:val="22"/>
                <w:szCs w:val="22"/>
              </w:rPr>
              <w:tab/>
            </w:r>
            <w:r w:rsidR="00552795" w:rsidRPr="00291A49">
              <w:rPr>
                <w:rStyle w:val="Hyperlink"/>
                <w:noProof/>
              </w:rPr>
              <w:t>Asset</w:t>
            </w:r>
            <w:r w:rsidR="00552795">
              <w:rPr>
                <w:noProof/>
              </w:rPr>
              <w:tab/>
            </w:r>
            <w:r w:rsidR="00552795">
              <w:rPr>
                <w:noProof/>
              </w:rPr>
              <w:fldChar w:fldCharType="begin"/>
            </w:r>
            <w:r w:rsidR="00552795">
              <w:rPr>
                <w:noProof/>
              </w:rPr>
              <w:instrText xml:space="preserve"> PAGEREF _Toc131178732 \h </w:instrText>
            </w:r>
            <w:r w:rsidR="00552795">
              <w:rPr>
                <w:noProof/>
              </w:rPr>
            </w:r>
            <w:r w:rsidR="00552795">
              <w:rPr>
                <w:noProof/>
              </w:rPr>
              <w:fldChar w:fldCharType="separate"/>
            </w:r>
            <w:r w:rsidR="00130DCF">
              <w:rPr>
                <w:noProof/>
              </w:rPr>
              <w:t>71</w:t>
            </w:r>
            <w:r w:rsidR="00552795">
              <w:rPr>
                <w:noProof/>
              </w:rPr>
              <w:fldChar w:fldCharType="end"/>
            </w:r>
          </w:hyperlink>
        </w:p>
        <w:p w14:paraId="7B8C192B" w14:textId="771D3178" w:rsidR="00552795" w:rsidRDefault="00000000">
          <w:pPr>
            <w:pStyle w:val="TOC2"/>
            <w:tabs>
              <w:tab w:val="left" w:pos="1134"/>
              <w:tab w:val="right" w:leader="dot" w:pos="9628"/>
            </w:tabs>
            <w:rPr>
              <w:rFonts w:asciiTheme="minorHAnsi" w:hAnsiTheme="minorHAnsi"/>
              <w:noProof/>
              <w:sz w:val="22"/>
              <w:szCs w:val="22"/>
            </w:rPr>
          </w:pPr>
          <w:hyperlink w:anchor="_Toc131178733" w:history="1">
            <w:r w:rsidR="00552795" w:rsidRPr="00291A49">
              <w:rPr>
                <w:rStyle w:val="Hyperlink"/>
                <w:noProof/>
              </w:rPr>
              <w:t>B.4</w:t>
            </w:r>
            <w:r w:rsidR="00552795">
              <w:rPr>
                <w:rFonts w:asciiTheme="minorHAnsi" w:hAnsiTheme="minorHAnsi"/>
                <w:noProof/>
                <w:sz w:val="22"/>
                <w:szCs w:val="22"/>
              </w:rPr>
              <w:tab/>
            </w:r>
            <w:r w:rsidR="00552795" w:rsidRPr="00291A49">
              <w:rPr>
                <w:rStyle w:val="Hyperlink"/>
                <w:noProof/>
              </w:rPr>
              <w:t>Overall environmental risk</w:t>
            </w:r>
            <w:r w:rsidR="00552795">
              <w:rPr>
                <w:noProof/>
              </w:rPr>
              <w:tab/>
            </w:r>
            <w:r w:rsidR="00552795">
              <w:rPr>
                <w:noProof/>
              </w:rPr>
              <w:fldChar w:fldCharType="begin"/>
            </w:r>
            <w:r w:rsidR="00552795">
              <w:rPr>
                <w:noProof/>
              </w:rPr>
              <w:instrText xml:space="preserve"> PAGEREF _Toc131178733 \h </w:instrText>
            </w:r>
            <w:r w:rsidR="00552795">
              <w:rPr>
                <w:noProof/>
              </w:rPr>
            </w:r>
            <w:r w:rsidR="00552795">
              <w:rPr>
                <w:noProof/>
              </w:rPr>
              <w:fldChar w:fldCharType="separate"/>
            </w:r>
            <w:r w:rsidR="00130DCF">
              <w:rPr>
                <w:noProof/>
              </w:rPr>
              <w:t>72</w:t>
            </w:r>
            <w:r w:rsidR="00552795">
              <w:rPr>
                <w:noProof/>
              </w:rPr>
              <w:fldChar w:fldCharType="end"/>
            </w:r>
          </w:hyperlink>
        </w:p>
        <w:p w14:paraId="48AE74D7" w14:textId="5DF8E77A" w:rsidR="00552795" w:rsidRDefault="00000000">
          <w:pPr>
            <w:pStyle w:val="TOC1"/>
            <w:tabs>
              <w:tab w:val="right" w:leader="dot" w:pos="9628"/>
            </w:tabs>
            <w:rPr>
              <w:rFonts w:asciiTheme="minorHAnsi" w:hAnsiTheme="minorHAnsi"/>
              <w:b w:val="0"/>
              <w:noProof/>
              <w:sz w:val="22"/>
              <w:szCs w:val="22"/>
            </w:rPr>
          </w:pPr>
          <w:hyperlink w:anchor="_Toc131178734" w:history="1">
            <w:r w:rsidR="00552795" w:rsidRPr="00291A49">
              <w:rPr>
                <w:rStyle w:val="Hyperlink"/>
                <w:noProof/>
              </w:rPr>
              <w:t>Appendix C. Incidents leading to assessments of non-conformance with audit criteria and the regulatory framework for timber harvesting</w:t>
            </w:r>
            <w:r w:rsidR="00552795">
              <w:rPr>
                <w:noProof/>
              </w:rPr>
              <w:tab/>
            </w:r>
            <w:r w:rsidR="00552795">
              <w:rPr>
                <w:noProof/>
              </w:rPr>
              <w:fldChar w:fldCharType="begin"/>
            </w:r>
            <w:r w:rsidR="00552795">
              <w:rPr>
                <w:noProof/>
              </w:rPr>
              <w:instrText xml:space="preserve"> PAGEREF _Toc131178734 \h </w:instrText>
            </w:r>
            <w:r w:rsidR="00552795">
              <w:rPr>
                <w:noProof/>
              </w:rPr>
            </w:r>
            <w:r w:rsidR="00552795">
              <w:rPr>
                <w:noProof/>
              </w:rPr>
              <w:fldChar w:fldCharType="separate"/>
            </w:r>
            <w:r w:rsidR="00130DCF">
              <w:rPr>
                <w:noProof/>
              </w:rPr>
              <w:t>73</w:t>
            </w:r>
            <w:r w:rsidR="00552795">
              <w:rPr>
                <w:noProof/>
              </w:rPr>
              <w:fldChar w:fldCharType="end"/>
            </w:r>
          </w:hyperlink>
        </w:p>
        <w:p w14:paraId="67C53D6F" w14:textId="59358B35" w:rsidR="00552795" w:rsidRDefault="00000000">
          <w:pPr>
            <w:pStyle w:val="TOC1"/>
            <w:tabs>
              <w:tab w:val="right" w:leader="dot" w:pos="9628"/>
            </w:tabs>
            <w:rPr>
              <w:rFonts w:asciiTheme="minorHAnsi" w:hAnsiTheme="minorHAnsi"/>
              <w:b w:val="0"/>
              <w:noProof/>
              <w:sz w:val="22"/>
              <w:szCs w:val="22"/>
            </w:rPr>
          </w:pPr>
          <w:hyperlink w:anchor="_Toc131178735" w:history="1">
            <w:r w:rsidR="00552795" w:rsidRPr="00291A49">
              <w:rPr>
                <w:rStyle w:val="Hyperlink"/>
                <w:noProof/>
              </w:rPr>
              <w:t>Appendix D. VicForests’ substantive comments on the draft audit report</w:t>
            </w:r>
            <w:r w:rsidR="00552795">
              <w:rPr>
                <w:noProof/>
              </w:rPr>
              <w:tab/>
            </w:r>
            <w:r w:rsidR="00552795">
              <w:rPr>
                <w:noProof/>
              </w:rPr>
              <w:fldChar w:fldCharType="begin"/>
            </w:r>
            <w:r w:rsidR="00552795">
              <w:rPr>
                <w:noProof/>
              </w:rPr>
              <w:instrText xml:space="preserve"> PAGEREF _Toc131178735 \h </w:instrText>
            </w:r>
            <w:r w:rsidR="00552795">
              <w:rPr>
                <w:noProof/>
              </w:rPr>
            </w:r>
            <w:r w:rsidR="00552795">
              <w:rPr>
                <w:noProof/>
              </w:rPr>
              <w:fldChar w:fldCharType="separate"/>
            </w:r>
            <w:r w:rsidR="00130DCF">
              <w:rPr>
                <w:noProof/>
              </w:rPr>
              <w:t>76</w:t>
            </w:r>
            <w:r w:rsidR="00552795">
              <w:rPr>
                <w:noProof/>
              </w:rPr>
              <w:fldChar w:fldCharType="end"/>
            </w:r>
          </w:hyperlink>
        </w:p>
        <w:p w14:paraId="26FD67CD" w14:textId="66390E46" w:rsidR="0020292F" w:rsidRPr="005C4363" w:rsidRDefault="0020292F" w:rsidP="0020292F">
          <w:r>
            <w:rPr>
              <w:b/>
              <w:bCs/>
              <w:noProof/>
            </w:rPr>
            <w:fldChar w:fldCharType="end"/>
          </w:r>
        </w:p>
        <w:p w14:paraId="6283F957" w14:textId="77777777" w:rsidR="0020292F" w:rsidRDefault="00000000" w:rsidP="0020292F"/>
      </w:sdtContent>
    </w:sdt>
    <w:sdt>
      <w:sdtPr>
        <w:rPr>
          <w:b w:val="0"/>
          <w:color w:val="auto"/>
          <w:sz w:val="20"/>
        </w:rPr>
        <w:alias w:val="Table of tables"/>
        <w:tag w:val="Table of tables"/>
        <w:id w:val="711232997"/>
        <w:placeholder>
          <w:docPart w:val="5413933B5DC840EB8B1D48950BDF583A"/>
        </w:placeholder>
        <w:docPartList>
          <w:docPartGallery w:val="Custom 5"/>
          <w:docPartCategory w:val="Tables"/>
        </w:docPartList>
      </w:sdtPr>
      <w:sdtContent>
        <w:p w14:paraId="7C015E96" w14:textId="77777777" w:rsidR="000C019E" w:rsidRPr="004E7F78" w:rsidRDefault="000C019E" w:rsidP="003D4A8B">
          <w:pPr>
            <w:pStyle w:val="TOCHeading"/>
          </w:pPr>
          <w:r>
            <w:t>Tables</w:t>
          </w:r>
        </w:p>
        <w:p w14:paraId="1638666C" w14:textId="591F044C" w:rsidR="00552795" w:rsidRDefault="00872BAA">
          <w:pPr>
            <w:pStyle w:val="TOC1"/>
            <w:tabs>
              <w:tab w:val="right" w:leader="dot" w:pos="9628"/>
            </w:tabs>
            <w:rPr>
              <w:rFonts w:asciiTheme="minorHAnsi" w:hAnsiTheme="minorHAnsi"/>
              <w:b w:val="0"/>
              <w:noProof/>
              <w:sz w:val="22"/>
              <w:szCs w:val="22"/>
            </w:rPr>
          </w:pPr>
          <w:r>
            <w:fldChar w:fldCharType="begin"/>
          </w:r>
          <w:r>
            <w:instrText>TOC \h \t "Table Caption,1"</w:instrText>
          </w:r>
          <w:r>
            <w:fldChar w:fldCharType="separate"/>
          </w:r>
          <w:hyperlink w:anchor="_Toc131178736" w:history="1">
            <w:r w:rsidR="00552795" w:rsidRPr="00E07640">
              <w:rPr>
                <w:rStyle w:val="Hyperlink"/>
                <w:noProof/>
              </w:rPr>
              <w:t>Table 3-1. Summary of audit targets by Regional Forest Agreement area and Forest Management Area</w:t>
            </w:r>
            <w:r w:rsidR="00552795">
              <w:rPr>
                <w:noProof/>
              </w:rPr>
              <w:tab/>
            </w:r>
            <w:r w:rsidR="00552795">
              <w:rPr>
                <w:noProof/>
              </w:rPr>
              <w:fldChar w:fldCharType="begin"/>
            </w:r>
            <w:r w:rsidR="00552795">
              <w:rPr>
                <w:noProof/>
              </w:rPr>
              <w:instrText xml:space="preserve"> PAGEREF _Toc131178736 \h </w:instrText>
            </w:r>
            <w:r w:rsidR="00552795">
              <w:rPr>
                <w:noProof/>
              </w:rPr>
            </w:r>
            <w:r w:rsidR="00552795">
              <w:rPr>
                <w:noProof/>
              </w:rPr>
              <w:fldChar w:fldCharType="separate"/>
            </w:r>
            <w:r w:rsidR="00130DCF">
              <w:rPr>
                <w:noProof/>
              </w:rPr>
              <w:t>7</w:t>
            </w:r>
            <w:r w:rsidR="00552795">
              <w:rPr>
                <w:noProof/>
              </w:rPr>
              <w:fldChar w:fldCharType="end"/>
            </w:r>
          </w:hyperlink>
        </w:p>
        <w:p w14:paraId="0CBDF7D5" w14:textId="02EB50AD" w:rsidR="00552795" w:rsidRDefault="00000000">
          <w:pPr>
            <w:pStyle w:val="TOC1"/>
            <w:tabs>
              <w:tab w:val="right" w:leader="dot" w:pos="9628"/>
            </w:tabs>
            <w:rPr>
              <w:rFonts w:asciiTheme="minorHAnsi" w:hAnsiTheme="minorHAnsi"/>
              <w:b w:val="0"/>
              <w:noProof/>
              <w:sz w:val="22"/>
              <w:szCs w:val="22"/>
            </w:rPr>
          </w:pPr>
          <w:hyperlink w:anchor="_Toc131178737" w:history="1">
            <w:r w:rsidR="00552795" w:rsidRPr="00E07640">
              <w:rPr>
                <w:rStyle w:val="Hyperlink"/>
                <w:noProof/>
              </w:rPr>
              <w:t>Table 3-2. Location and characteristics of coupes included in 2022 Forest Audit Program audits</w:t>
            </w:r>
            <w:r w:rsidR="00552795">
              <w:rPr>
                <w:noProof/>
              </w:rPr>
              <w:tab/>
            </w:r>
            <w:r w:rsidR="00552795">
              <w:rPr>
                <w:noProof/>
              </w:rPr>
              <w:fldChar w:fldCharType="begin"/>
            </w:r>
            <w:r w:rsidR="00552795">
              <w:rPr>
                <w:noProof/>
              </w:rPr>
              <w:instrText xml:space="preserve"> PAGEREF _Toc131178737 \h </w:instrText>
            </w:r>
            <w:r w:rsidR="00552795">
              <w:rPr>
                <w:noProof/>
              </w:rPr>
            </w:r>
            <w:r w:rsidR="00552795">
              <w:rPr>
                <w:noProof/>
              </w:rPr>
              <w:fldChar w:fldCharType="separate"/>
            </w:r>
            <w:r w:rsidR="00130DCF">
              <w:rPr>
                <w:noProof/>
              </w:rPr>
              <w:t>8</w:t>
            </w:r>
            <w:r w:rsidR="00552795">
              <w:rPr>
                <w:noProof/>
              </w:rPr>
              <w:fldChar w:fldCharType="end"/>
            </w:r>
          </w:hyperlink>
        </w:p>
        <w:p w14:paraId="6ED95B80" w14:textId="3568E60E" w:rsidR="00552795" w:rsidRDefault="00000000">
          <w:pPr>
            <w:pStyle w:val="TOC1"/>
            <w:tabs>
              <w:tab w:val="right" w:leader="dot" w:pos="9628"/>
            </w:tabs>
            <w:rPr>
              <w:rFonts w:asciiTheme="minorHAnsi" w:hAnsiTheme="minorHAnsi"/>
              <w:b w:val="0"/>
              <w:noProof/>
              <w:sz w:val="22"/>
              <w:szCs w:val="22"/>
            </w:rPr>
          </w:pPr>
          <w:hyperlink w:anchor="_Toc131178738" w:history="1">
            <w:r w:rsidR="00552795" w:rsidRPr="00E07640">
              <w:rPr>
                <w:rStyle w:val="Hyperlink"/>
                <w:noProof/>
              </w:rPr>
              <w:t>Table 3-3. Descriptors used to assess conformance with audit criteria</w:t>
            </w:r>
            <w:r w:rsidR="00552795">
              <w:rPr>
                <w:noProof/>
              </w:rPr>
              <w:tab/>
            </w:r>
            <w:r w:rsidR="00552795">
              <w:rPr>
                <w:noProof/>
              </w:rPr>
              <w:fldChar w:fldCharType="begin"/>
            </w:r>
            <w:r w:rsidR="00552795">
              <w:rPr>
                <w:noProof/>
              </w:rPr>
              <w:instrText xml:space="preserve"> PAGEREF _Toc131178738 \h </w:instrText>
            </w:r>
            <w:r w:rsidR="00552795">
              <w:rPr>
                <w:noProof/>
              </w:rPr>
            </w:r>
            <w:r w:rsidR="00552795">
              <w:rPr>
                <w:noProof/>
              </w:rPr>
              <w:fldChar w:fldCharType="separate"/>
            </w:r>
            <w:r w:rsidR="00130DCF">
              <w:rPr>
                <w:noProof/>
              </w:rPr>
              <w:t>10</w:t>
            </w:r>
            <w:r w:rsidR="00552795">
              <w:rPr>
                <w:noProof/>
              </w:rPr>
              <w:fldChar w:fldCharType="end"/>
            </w:r>
          </w:hyperlink>
        </w:p>
        <w:p w14:paraId="23983563" w14:textId="729D392F" w:rsidR="00552795" w:rsidRDefault="00000000">
          <w:pPr>
            <w:pStyle w:val="TOC1"/>
            <w:tabs>
              <w:tab w:val="right" w:leader="dot" w:pos="9628"/>
            </w:tabs>
            <w:rPr>
              <w:rFonts w:asciiTheme="minorHAnsi" w:hAnsiTheme="minorHAnsi"/>
              <w:b w:val="0"/>
              <w:noProof/>
              <w:sz w:val="22"/>
              <w:szCs w:val="22"/>
            </w:rPr>
          </w:pPr>
          <w:hyperlink w:anchor="_Toc131178739" w:history="1">
            <w:r w:rsidR="00552795" w:rsidRPr="00E07640">
              <w:rPr>
                <w:rStyle w:val="Hyperlink"/>
                <w:noProof/>
              </w:rPr>
              <w:t>Table 3-4. Field assessment methods for 2022 Forest Audit Program</w:t>
            </w:r>
            <w:r w:rsidR="00552795">
              <w:rPr>
                <w:noProof/>
              </w:rPr>
              <w:tab/>
            </w:r>
            <w:r w:rsidR="00552795">
              <w:rPr>
                <w:noProof/>
              </w:rPr>
              <w:fldChar w:fldCharType="begin"/>
            </w:r>
            <w:r w:rsidR="00552795">
              <w:rPr>
                <w:noProof/>
              </w:rPr>
              <w:instrText xml:space="preserve"> PAGEREF _Toc131178739 \h </w:instrText>
            </w:r>
            <w:r w:rsidR="00552795">
              <w:rPr>
                <w:noProof/>
              </w:rPr>
            </w:r>
            <w:r w:rsidR="00552795">
              <w:rPr>
                <w:noProof/>
              </w:rPr>
              <w:fldChar w:fldCharType="separate"/>
            </w:r>
            <w:r w:rsidR="00130DCF">
              <w:rPr>
                <w:noProof/>
              </w:rPr>
              <w:t>10</w:t>
            </w:r>
            <w:r w:rsidR="00552795">
              <w:rPr>
                <w:noProof/>
              </w:rPr>
              <w:fldChar w:fldCharType="end"/>
            </w:r>
          </w:hyperlink>
        </w:p>
        <w:p w14:paraId="2144E26B" w14:textId="11BB9795" w:rsidR="00552795" w:rsidRDefault="00000000">
          <w:pPr>
            <w:pStyle w:val="TOC1"/>
            <w:tabs>
              <w:tab w:val="right" w:leader="dot" w:pos="9628"/>
            </w:tabs>
            <w:rPr>
              <w:rFonts w:asciiTheme="minorHAnsi" w:hAnsiTheme="minorHAnsi"/>
              <w:b w:val="0"/>
              <w:noProof/>
              <w:sz w:val="22"/>
              <w:szCs w:val="22"/>
            </w:rPr>
          </w:pPr>
          <w:hyperlink w:anchor="_Toc131178740" w:history="1">
            <w:r w:rsidR="00552795" w:rsidRPr="00E07640">
              <w:rPr>
                <w:rStyle w:val="Hyperlink"/>
                <w:noProof/>
              </w:rPr>
              <w:t>Table 5-1. Numbers of incidents resulting in non-conformances with audit criteria</w:t>
            </w:r>
            <w:r w:rsidR="00552795">
              <w:rPr>
                <w:noProof/>
              </w:rPr>
              <w:tab/>
            </w:r>
            <w:r w:rsidR="00552795">
              <w:rPr>
                <w:noProof/>
              </w:rPr>
              <w:fldChar w:fldCharType="begin"/>
            </w:r>
            <w:r w:rsidR="00552795">
              <w:rPr>
                <w:noProof/>
              </w:rPr>
              <w:instrText xml:space="preserve"> PAGEREF _Toc131178740 \h </w:instrText>
            </w:r>
            <w:r w:rsidR="00552795">
              <w:rPr>
                <w:noProof/>
              </w:rPr>
            </w:r>
            <w:r w:rsidR="00552795">
              <w:rPr>
                <w:noProof/>
              </w:rPr>
              <w:fldChar w:fldCharType="separate"/>
            </w:r>
            <w:r w:rsidR="00130DCF">
              <w:rPr>
                <w:noProof/>
              </w:rPr>
              <w:t>28</w:t>
            </w:r>
            <w:r w:rsidR="00552795">
              <w:rPr>
                <w:noProof/>
              </w:rPr>
              <w:fldChar w:fldCharType="end"/>
            </w:r>
          </w:hyperlink>
        </w:p>
        <w:p w14:paraId="6AAEF956" w14:textId="33ED7967" w:rsidR="00552795" w:rsidRDefault="00000000">
          <w:pPr>
            <w:pStyle w:val="TOC1"/>
            <w:tabs>
              <w:tab w:val="right" w:leader="dot" w:pos="9628"/>
            </w:tabs>
            <w:rPr>
              <w:rFonts w:asciiTheme="minorHAnsi" w:hAnsiTheme="minorHAnsi"/>
              <w:b w:val="0"/>
              <w:noProof/>
              <w:sz w:val="22"/>
              <w:szCs w:val="22"/>
            </w:rPr>
          </w:pPr>
          <w:hyperlink w:anchor="_Toc131178741" w:history="1">
            <w:r w:rsidR="00552795" w:rsidRPr="00E07640">
              <w:rPr>
                <w:rStyle w:val="Hyperlink"/>
                <w:noProof/>
              </w:rPr>
              <w:t>Table 5-2. Types of incident resulting in non-conformances with the regulatory framework that have potential or actual environmental impact, including comparison with 2019-20 and 2020-21 FAP audits (Jacobs, 2020; Jacobs,2021)</w:t>
            </w:r>
            <w:r w:rsidR="00552795">
              <w:rPr>
                <w:noProof/>
              </w:rPr>
              <w:tab/>
            </w:r>
            <w:r w:rsidR="00552795">
              <w:rPr>
                <w:noProof/>
              </w:rPr>
              <w:fldChar w:fldCharType="begin"/>
            </w:r>
            <w:r w:rsidR="00552795">
              <w:rPr>
                <w:noProof/>
              </w:rPr>
              <w:instrText xml:space="preserve"> PAGEREF _Toc131178741 \h </w:instrText>
            </w:r>
            <w:r w:rsidR="00552795">
              <w:rPr>
                <w:noProof/>
              </w:rPr>
            </w:r>
            <w:r w:rsidR="00552795">
              <w:rPr>
                <w:noProof/>
              </w:rPr>
              <w:fldChar w:fldCharType="separate"/>
            </w:r>
            <w:r w:rsidR="00130DCF">
              <w:rPr>
                <w:noProof/>
              </w:rPr>
              <w:t>28</w:t>
            </w:r>
            <w:r w:rsidR="00552795">
              <w:rPr>
                <w:noProof/>
              </w:rPr>
              <w:fldChar w:fldCharType="end"/>
            </w:r>
          </w:hyperlink>
        </w:p>
        <w:p w14:paraId="55A0499C" w14:textId="0A2FBB98" w:rsidR="00552795" w:rsidRDefault="00000000">
          <w:pPr>
            <w:pStyle w:val="TOC1"/>
            <w:tabs>
              <w:tab w:val="right" w:leader="dot" w:pos="9628"/>
            </w:tabs>
            <w:rPr>
              <w:rFonts w:asciiTheme="minorHAnsi" w:hAnsiTheme="minorHAnsi"/>
              <w:b w:val="0"/>
              <w:noProof/>
              <w:sz w:val="22"/>
              <w:szCs w:val="22"/>
            </w:rPr>
          </w:pPr>
          <w:hyperlink w:anchor="_Toc131178742" w:history="1">
            <w:r w:rsidR="00552795" w:rsidRPr="00E07640">
              <w:rPr>
                <w:rStyle w:val="Hyperlink"/>
                <w:noProof/>
              </w:rPr>
              <w:t>Table 5-3. Comparison of results for recent Forest Audit Program Audits: Central Highlands RFA region coupes only</w:t>
            </w:r>
            <w:r w:rsidR="00552795">
              <w:rPr>
                <w:noProof/>
              </w:rPr>
              <w:tab/>
            </w:r>
            <w:r w:rsidR="00552795">
              <w:rPr>
                <w:noProof/>
              </w:rPr>
              <w:fldChar w:fldCharType="begin"/>
            </w:r>
            <w:r w:rsidR="00552795">
              <w:rPr>
                <w:noProof/>
              </w:rPr>
              <w:instrText xml:space="preserve"> PAGEREF _Toc131178742 \h </w:instrText>
            </w:r>
            <w:r w:rsidR="00552795">
              <w:rPr>
                <w:noProof/>
              </w:rPr>
            </w:r>
            <w:r w:rsidR="00552795">
              <w:rPr>
                <w:noProof/>
              </w:rPr>
              <w:fldChar w:fldCharType="separate"/>
            </w:r>
            <w:r w:rsidR="00130DCF">
              <w:rPr>
                <w:noProof/>
              </w:rPr>
              <w:t>33</w:t>
            </w:r>
            <w:r w:rsidR="00552795">
              <w:rPr>
                <w:noProof/>
              </w:rPr>
              <w:fldChar w:fldCharType="end"/>
            </w:r>
          </w:hyperlink>
        </w:p>
        <w:p w14:paraId="0134B8B2" w14:textId="0A1A55AB" w:rsidR="00552795" w:rsidRDefault="00000000">
          <w:pPr>
            <w:pStyle w:val="TOC1"/>
            <w:tabs>
              <w:tab w:val="right" w:leader="dot" w:pos="9628"/>
            </w:tabs>
            <w:rPr>
              <w:rFonts w:asciiTheme="minorHAnsi" w:hAnsiTheme="minorHAnsi"/>
              <w:b w:val="0"/>
              <w:noProof/>
              <w:sz w:val="22"/>
              <w:szCs w:val="22"/>
            </w:rPr>
          </w:pPr>
          <w:hyperlink w:anchor="_Toc131178743" w:history="1">
            <w:r w:rsidR="00552795" w:rsidRPr="00E07640">
              <w:rPr>
                <w:rStyle w:val="Hyperlink"/>
                <w:noProof/>
              </w:rPr>
              <w:t>Table 5-4. Comparison of results for recent Forest Audit Program Audits: all coupes in eastern Victorian RFA regions</w:t>
            </w:r>
            <w:r w:rsidR="00552795">
              <w:rPr>
                <w:noProof/>
              </w:rPr>
              <w:tab/>
            </w:r>
            <w:r w:rsidR="00552795">
              <w:rPr>
                <w:noProof/>
              </w:rPr>
              <w:fldChar w:fldCharType="begin"/>
            </w:r>
            <w:r w:rsidR="00552795">
              <w:rPr>
                <w:noProof/>
              </w:rPr>
              <w:instrText xml:space="preserve"> PAGEREF _Toc131178743 \h </w:instrText>
            </w:r>
            <w:r w:rsidR="00552795">
              <w:rPr>
                <w:noProof/>
              </w:rPr>
            </w:r>
            <w:r w:rsidR="00552795">
              <w:rPr>
                <w:noProof/>
              </w:rPr>
              <w:fldChar w:fldCharType="separate"/>
            </w:r>
            <w:r w:rsidR="00130DCF">
              <w:rPr>
                <w:noProof/>
              </w:rPr>
              <w:t>34</w:t>
            </w:r>
            <w:r w:rsidR="00552795">
              <w:rPr>
                <w:noProof/>
              </w:rPr>
              <w:fldChar w:fldCharType="end"/>
            </w:r>
          </w:hyperlink>
        </w:p>
        <w:p w14:paraId="5E9E4207" w14:textId="372E00FD" w:rsidR="00552795" w:rsidRDefault="00000000">
          <w:pPr>
            <w:pStyle w:val="TOC1"/>
            <w:tabs>
              <w:tab w:val="right" w:leader="dot" w:pos="9628"/>
            </w:tabs>
            <w:rPr>
              <w:rFonts w:asciiTheme="minorHAnsi" w:hAnsiTheme="minorHAnsi"/>
              <w:b w:val="0"/>
              <w:noProof/>
              <w:sz w:val="22"/>
              <w:szCs w:val="22"/>
            </w:rPr>
          </w:pPr>
          <w:hyperlink w:anchor="_Toc131178744" w:history="1">
            <w:r w:rsidR="00552795" w:rsidRPr="00E07640">
              <w:rPr>
                <w:rStyle w:val="Hyperlink"/>
                <w:noProof/>
              </w:rPr>
              <w:t>Table 5-5. Application of precautionary principle to coupes in East Gippsland FMA</w:t>
            </w:r>
            <w:r w:rsidR="00552795">
              <w:rPr>
                <w:noProof/>
              </w:rPr>
              <w:tab/>
            </w:r>
            <w:r w:rsidR="00552795">
              <w:rPr>
                <w:noProof/>
              </w:rPr>
              <w:fldChar w:fldCharType="begin"/>
            </w:r>
            <w:r w:rsidR="00552795">
              <w:rPr>
                <w:noProof/>
              </w:rPr>
              <w:instrText xml:space="preserve"> PAGEREF _Toc131178744 \h </w:instrText>
            </w:r>
            <w:r w:rsidR="00552795">
              <w:rPr>
                <w:noProof/>
              </w:rPr>
            </w:r>
            <w:r w:rsidR="00552795">
              <w:rPr>
                <w:noProof/>
              </w:rPr>
              <w:fldChar w:fldCharType="separate"/>
            </w:r>
            <w:r w:rsidR="00130DCF">
              <w:rPr>
                <w:noProof/>
              </w:rPr>
              <w:t>38</w:t>
            </w:r>
            <w:r w:rsidR="00552795">
              <w:rPr>
                <w:noProof/>
              </w:rPr>
              <w:fldChar w:fldCharType="end"/>
            </w:r>
          </w:hyperlink>
        </w:p>
        <w:p w14:paraId="7857FDAD" w14:textId="2875AA68" w:rsidR="00552795" w:rsidRDefault="00000000">
          <w:pPr>
            <w:pStyle w:val="TOC1"/>
            <w:tabs>
              <w:tab w:val="right" w:leader="dot" w:pos="9628"/>
            </w:tabs>
            <w:rPr>
              <w:rFonts w:asciiTheme="minorHAnsi" w:hAnsiTheme="minorHAnsi"/>
              <w:b w:val="0"/>
              <w:noProof/>
              <w:sz w:val="22"/>
              <w:szCs w:val="22"/>
            </w:rPr>
          </w:pPr>
          <w:hyperlink w:anchor="_Toc131178745" w:history="1">
            <w:r w:rsidR="00552795" w:rsidRPr="00E07640">
              <w:rPr>
                <w:rStyle w:val="Hyperlink"/>
                <w:noProof/>
              </w:rPr>
              <w:t>Table B-1</w:t>
            </w:r>
            <w:r w:rsidR="00552795">
              <w:rPr>
                <w:noProof/>
              </w:rPr>
              <w:tab/>
            </w:r>
            <w:r w:rsidR="00552795">
              <w:rPr>
                <w:noProof/>
              </w:rPr>
              <w:fldChar w:fldCharType="begin"/>
            </w:r>
            <w:r w:rsidR="00552795">
              <w:rPr>
                <w:noProof/>
              </w:rPr>
              <w:instrText xml:space="preserve"> PAGEREF _Toc131178745 \h </w:instrText>
            </w:r>
            <w:r w:rsidR="00552795">
              <w:rPr>
                <w:noProof/>
              </w:rPr>
            </w:r>
            <w:r w:rsidR="00552795">
              <w:rPr>
                <w:noProof/>
              </w:rPr>
              <w:fldChar w:fldCharType="separate"/>
            </w:r>
            <w:r w:rsidR="00130DCF">
              <w:rPr>
                <w:noProof/>
              </w:rPr>
              <w:t>70</w:t>
            </w:r>
            <w:r w:rsidR="00552795">
              <w:rPr>
                <w:noProof/>
              </w:rPr>
              <w:fldChar w:fldCharType="end"/>
            </w:r>
          </w:hyperlink>
        </w:p>
        <w:p w14:paraId="62ABDA2B" w14:textId="59761F80" w:rsidR="00552795" w:rsidRDefault="00000000">
          <w:pPr>
            <w:pStyle w:val="TOC1"/>
            <w:tabs>
              <w:tab w:val="right" w:leader="dot" w:pos="9628"/>
            </w:tabs>
            <w:rPr>
              <w:rFonts w:asciiTheme="minorHAnsi" w:hAnsiTheme="minorHAnsi"/>
              <w:b w:val="0"/>
              <w:noProof/>
              <w:sz w:val="22"/>
              <w:szCs w:val="22"/>
            </w:rPr>
          </w:pPr>
          <w:hyperlink w:anchor="_Toc131178746" w:history="1">
            <w:r w:rsidR="00552795" w:rsidRPr="00E07640">
              <w:rPr>
                <w:rStyle w:val="Hyperlink"/>
                <w:noProof/>
              </w:rPr>
              <w:t>Extent and location of impact assessment criteria and scoring</w:t>
            </w:r>
            <w:r w:rsidR="00552795">
              <w:rPr>
                <w:noProof/>
              </w:rPr>
              <w:tab/>
            </w:r>
            <w:r w:rsidR="00552795">
              <w:rPr>
                <w:noProof/>
              </w:rPr>
              <w:fldChar w:fldCharType="begin"/>
            </w:r>
            <w:r w:rsidR="00552795">
              <w:rPr>
                <w:noProof/>
              </w:rPr>
              <w:instrText xml:space="preserve"> PAGEREF _Toc131178746 \h </w:instrText>
            </w:r>
            <w:r w:rsidR="00552795">
              <w:rPr>
                <w:noProof/>
              </w:rPr>
            </w:r>
            <w:r w:rsidR="00552795">
              <w:rPr>
                <w:noProof/>
              </w:rPr>
              <w:fldChar w:fldCharType="separate"/>
            </w:r>
            <w:r w:rsidR="00130DCF">
              <w:rPr>
                <w:noProof/>
              </w:rPr>
              <w:t>70</w:t>
            </w:r>
            <w:r w:rsidR="00552795">
              <w:rPr>
                <w:noProof/>
              </w:rPr>
              <w:fldChar w:fldCharType="end"/>
            </w:r>
          </w:hyperlink>
        </w:p>
        <w:p w14:paraId="75DD9B6E" w14:textId="0EE6AF9F" w:rsidR="00552795" w:rsidRDefault="00000000">
          <w:pPr>
            <w:pStyle w:val="TOC1"/>
            <w:tabs>
              <w:tab w:val="right" w:leader="dot" w:pos="9628"/>
            </w:tabs>
            <w:rPr>
              <w:rFonts w:asciiTheme="minorHAnsi" w:hAnsiTheme="minorHAnsi"/>
              <w:b w:val="0"/>
              <w:noProof/>
              <w:sz w:val="22"/>
              <w:szCs w:val="22"/>
            </w:rPr>
          </w:pPr>
          <w:hyperlink w:anchor="_Toc131178747" w:history="1">
            <w:r w:rsidR="00552795" w:rsidRPr="00E07640">
              <w:rPr>
                <w:rStyle w:val="Hyperlink"/>
                <w:noProof/>
              </w:rPr>
              <w:t>Table B-2. Assessment of the duration and extent of recovery</w:t>
            </w:r>
            <w:r w:rsidR="00552795">
              <w:rPr>
                <w:noProof/>
              </w:rPr>
              <w:tab/>
            </w:r>
            <w:r w:rsidR="00552795">
              <w:rPr>
                <w:noProof/>
              </w:rPr>
              <w:fldChar w:fldCharType="begin"/>
            </w:r>
            <w:r w:rsidR="00552795">
              <w:rPr>
                <w:noProof/>
              </w:rPr>
              <w:instrText xml:space="preserve"> PAGEREF _Toc131178747 \h </w:instrText>
            </w:r>
            <w:r w:rsidR="00552795">
              <w:rPr>
                <w:noProof/>
              </w:rPr>
            </w:r>
            <w:r w:rsidR="00552795">
              <w:rPr>
                <w:noProof/>
              </w:rPr>
              <w:fldChar w:fldCharType="separate"/>
            </w:r>
            <w:r w:rsidR="00130DCF">
              <w:rPr>
                <w:noProof/>
              </w:rPr>
              <w:t>71</w:t>
            </w:r>
            <w:r w:rsidR="00552795">
              <w:rPr>
                <w:noProof/>
              </w:rPr>
              <w:fldChar w:fldCharType="end"/>
            </w:r>
          </w:hyperlink>
        </w:p>
        <w:p w14:paraId="51A0B5CF" w14:textId="1D697717" w:rsidR="00552795" w:rsidRDefault="00000000">
          <w:pPr>
            <w:pStyle w:val="TOC1"/>
            <w:tabs>
              <w:tab w:val="right" w:leader="dot" w:pos="9628"/>
            </w:tabs>
            <w:rPr>
              <w:rFonts w:asciiTheme="minorHAnsi" w:hAnsiTheme="minorHAnsi"/>
              <w:b w:val="0"/>
              <w:noProof/>
              <w:sz w:val="22"/>
              <w:szCs w:val="22"/>
            </w:rPr>
          </w:pPr>
          <w:hyperlink w:anchor="_Toc131178748" w:history="1">
            <w:r w:rsidR="00552795" w:rsidRPr="00E07640">
              <w:rPr>
                <w:rStyle w:val="Hyperlink"/>
                <w:noProof/>
              </w:rPr>
              <w:t>Table B.3 Asset or value significance score</w:t>
            </w:r>
            <w:r w:rsidR="00552795">
              <w:rPr>
                <w:noProof/>
              </w:rPr>
              <w:tab/>
            </w:r>
            <w:r w:rsidR="00552795">
              <w:rPr>
                <w:noProof/>
              </w:rPr>
              <w:fldChar w:fldCharType="begin"/>
            </w:r>
            <w:r w:rsidR="00552795">
              <w:rPr>
                <w:noProof/>
              </w:rPr>
              <w:instrText xml:space="preserve"> PAGEREF _Toc131178748 \h </w:instrText>
            </w:r>
            <w:r w:rsidR="00552795">
              <w:rPr>
                <w:noProof/>
              </w:rPr>
            </w:r>
            <w:r w:rsidR="00552795">
              <w:rPr>
                <w:noProof/>
              </w:rPr>
              <w:fldChar w:fldCharType="separate"/>
            </w:r>
            <w:r w:rsidR="00130DCF">
              <w:rPr>
                <w:noProof/>
              </w:rPr>
              <w:t>71</w:t>
            </w:r>
            <w:r w:rsidR="00552795">
              <w:rPr>
                <w:noProof/>
              </w:rPr>
              <w:fldChar w:fldCharType="end"/>
            </w:r>
          </w:hyperlink>
        </w:p>
        <w:p w14:paraId="1D6BA0F1" w14:textId="15BA58D5" w:rsidR="00552795" w:rsidRDefault="00000000">
          <w:pPr>
            <w:pStyle w:val="TOC1"/>
            <w:tabs>
              <w:tab w:val="right" w:leader="dot" w:pos="9628"/>
            </w:tabs>
            <w:rPr>
              <w:rFonts w:asciiTheme="minorHAnsi" w:hAnsiTheme="minorHAnsi"/>
              <w:b w:val="0"/>
              <w:noProof/>
              <w:sz w:val="22"/>
              <w:szCs w:val="22"/>
            </w:rPr>
          </w:pPr>
          <w:hyperlink w:anchor="_Toc131178749" w:history="1">
            <w:r w:rsidR="00552795" w:rsidRPr="00E07640">
              <w:rPr>
                <w:rStyle w:val="Hyperlink"/>
                <w:noProof/>
              </w:rPr>
              <w:t>Table B.4 Ranking of EIA scores</w:t>
            </w:r>
            <w:r w:rsidR="00552795">
              <w:rPr>
                <w:noProof/>
              </w:rPr>
              <w:tab/>
            </w:r>
            <w:r w:rsidR="00552795">
              <w:rPr>
                <w:noProof/>
              </w:rPr>
              <w:fldChar w:fldCharType="begin"/>
            </w:r>
            <w:r w:rsidR="00552795">
              <w:rPr>
                <w:noProof/>
              </w:rPr>
              <w:instrText xml:space="preserve"> PAGEREF _Toc131178749 \h </w:instrText>
            </w:r>
            <w:r w:rsidR="00552795">
              <w:rPr>
                <w:noProof/>
              </w:rPr>
            </w:r>
            <w:r w:rsidR="00552795">
              <w:rPr>
                <w:noProof/>
              </w:rPr>
              <w:fldChar w:fldCharType="separate"/>
            </w:r>
            <w:r w:rsidR="00130DCF">
              <w:rPr>
                <w:noProof/>
              </w:rPr>
              <w:t>72</w:t>
            </w:r>
            <w:r w:rsidR="00552795">
              <w:rPr>
                <w:noProof/>
              </w:rPr>
              <w:fldChar w:fldCharType="end"/>
            </w:r>
          </w:hyperlink>
        </w:p>
        <w:p w14:paraId="4509EFC1" w14:textId="64FD5144" w:rsidR="00552795" w:rsidRDefault="00000000">
          <w:pPr>
            <w:pStyle w:val="TOC1"/>
            <w:tabs>
              <w:tab w:val="right" w:leader="dot" w:pos="9628"/>
            </w:tabs>
            <w:rPr>
              <w:rFonts w:asciiTheme="minorHAnsi" w:hAnsiTheme="minorHAnsi"/>
              <w:b w:val="0"/>
              <w:noProof/>
              <w:sz w:val="22"/>
              <w:szCs w:val="22"/>
            </w:rPr>
          </w:pPr>
          <w:hyperlink w:anchor="_Toc131178750" w:history="1">
            <w:r w:rsidR="00552795" w:rsidRPr="00E07640">
              <w:rPr>
                <w:rStyle w:val="Hyperlink"/>
                <w:noProof/>
              </w:rPr>
              <w:t>Table C-1. Summary of incidents resulting in non-conformances with potential or actual environmental impact</w:t>
            </w:r>
            <w:r w:rsidR="00552795">
              <w:rPr>
                <w:noProof/>
              </w:rPr>
              <w:tab/>
            </w:r>
            <w:r w:rsidR="00552795">
              <w:rPr>
                <w:noProof/>
              </w:rPr>
              <w:fldChar w:fldCharType="begin"/>
            </w:r>
            <w:r w:rsidR="00552795">
              <w:rPr>
                <w:noProof/>
              </w:rPr>
              <w:instrText xml:space="preserve"> PAGEREF _Toc131178750 \h </w:instrText>
            </w:r>
            <w:r w:rsidR="00552795">
              <w:rPr>
                <w:noProof/>
              </w:rPr>
            </w:r>
            <w:r w:rsidR="00552795">
              <w:rPr>
                <w:noProof/>
              </w:rPr>
              <w:fldChar w:fldCharType="separate"/>
            </w:r>
            <w:r w:rsidR="00130DCF">
              <w:rPr>
                <w:noProof/>
              </w:rPr>
              <w:t>73</w:t>
            </w:r>
            <w:r w:rsidR="00552795">
              <w:rPr>
                <w:noProof/>
              </w:rPr>
              <w:fldChar w:fldCharType="end"/>
            </w:r>
          </w:hyperlink>
        </w:p>
        <w:p w14:paraId="293F8D6A" w14:textId="15AAAFEB" w:rsidR="00552795" w:rsidRDefault="00000000">
          <w:pPr>
            <w:pStyle w:val="TOC1"/>
            <w:tabs>
              <w:tab w:val="right" w:leader="dot" w:pos="9628"/>
            </w:tabs>
            <w:rPr>
              <w:rFonts w:asciiTheme="minorHAnsi" w:hAnsiTheme="minorHAnsi"/>
              <w:b w:val="0"/>
              <w:noProof/>
              <w:sz w:val="22"/>
              <w:szCs w:val="22"/>
            </w:rPr>
          </w:pPr>
          <w:hyperlink w:anchor="_Toc131178751" w:history="1">
            <w:r w:rsidR="00552795" w:rsidRPr="00E07640">
              <w:rPr>
                <w:rStyle w:val="Hyperlink"/>
                <w:noProof/>
              </w:rPr>
              <w:t>Table D-1 VicForests substantive comments on the draft 2022 FAP audit reports and audit team’s responses</w:t>
            </w:r>
            <w:r w:rsidR="00552795">
              <w:rPr>
                <w:noProof/>
              </w:rPr>
              <w:tab/>
            </w:r>
            <w:r w:rsidR="00552795">
              <w:rPr>
                <w:noProof/>
              </w:rPr>
              <w:fldChar w:fldCharType="begin"/>
            </w:r>
            <w:r w:rsidR="00552795">
              <w:rPr>
                <w:noProof/>
              </w:rPr>
              <w:instrText xml:space="preserve"> PAGEREF _Toc131178751 \h </w:instrText>
            </w:r>
            <w:r w:rsidR="00552795">
              <w:rPr>
                <w:noProof/>
              </w:rPr>
            </w:r>
            <w:r w:rsidR="00552795">
              <w:rPr>
                <w:noProof/>
              </w:rPr>
              <w:fldChar w:fldCharType="separate"/>
            </w:r>
            <w:r w:rsidR="00130DCF">
              <w:rPr>
                <w:noProof/>
              </w:rPr>
              <w:t>76</w:t>
            </w:r>
            <w:r w:rsidR="00552795">
              <w:rPr>
                <w:noProof/>
              </w:rPr>
              <w:fldChar w:fldCharType="end"/>
            </w:r>
          </w:hyperlink>
        </w:p>
        <w:p w14:paraId="5B96947B" w14:textId="0D033C7D" w:rsidR="000C019E" w:rsidRPr="005C4363" w:rsidRDefault="00872BAA" w:rsidP="003D4A8B">
          <w:r>
            <w:fldChar w:fldCharType="end"/>
          </w:r>
        </w:p>
        <w:p w14:paraId="3ACB136B" w14:textId="77777777" w:rsidR="0020292F" w:rsidRDefault="00000000" w:rsidP="0020292F"/>
      </w:sdtContent>
    </w:sdt>
    <w:sdt>
      <w:sdtPr>
        <w:rPr>
          <w:b w:val="0"/>
          <w:color w:val="auto"/>
          <w:sz w:val="20"/>
        </w:rPr>
        <w:alias w:val="Table of figures"/>
        <w:tag w:val="Table of figures"/>
        <w:id w:val="-519778155"/>
        <w:placeholder>
          <w:docPart w:val="5413933B5DC840EB8B1D48950BDF583A"/>
        </w:placeholder>
        <w:docPartList>
          <w:docPartGallery w:val="Custom 5"/>
          <w:docPartCategory w:val="Figures"/>
        </w:docPartList>
      </w:sdtPr>
      <w:sdtContent>
        <w:p w14:paraId="1BB4B675" w14:textId="77777777" w:rsidR="0020292F" w:rsidRPr="00315F5F" w:rsidRDefault="0020292F" w:rsidP="0020292F">
          <w:pPr>
            <w:pStyle w:val="TOCHeading"/>
            <w:rPr>
              <w:rFonts w:cs="Jacobs Chronos"/>
              <w:b w:val="0"/>
              <w:sz w:val="24"/>
            </w:rPr>
          </w:pPr>
          <w:r>
            <w:t>Figures</w:t>
          </w:r>
        </w:p>
        <w:p w14:paraId="4FD17503" w14:textId="7D38ABE5" w:rsidR="00552795" w:rsidRDefault="00872BAA">
          <w:pPr>
            <w:pStyle w:val="TOC1"/>
            <w:tabs>
              <w:tab w:val="right" w:leader="dot" w:pos="9628"/>
            </w:tabs>
            <w:rPr>
              <w:rFonts w:asciiTheme="minorHAnsi" w:hAnsiTheme="minorHAnsi"/>
              <w:b w:val="0"/>
              <w:noProof/>
              <w:sz w:val="22"/>
              <w:szCs w:val="22"/>
            </w:rPr>
          </w:pPr>
          <w:r>
            <w:fldChar w:fldCharType="begin"/>
          </w:r>
          <w:r>
            <w:instrText>TOC \h \t "Figure Caption,1"</w:instrText>
          </w:r>
          <w:r>
            <w:fldChar w:fldCharType="separate"/>
          </w:r>
          <w:hyperlink w:anchor="_Toc131178752" w:history="1">
            <w:r w:rsidR="00552795" w:rsidRPr="006529B4">
              <w:rPr>
                <w:rStyle w:val="Hyperlink"/>
                <w:noProof/>
              </w:rPr>
              <w:t>Figure 2</w:t>
            </w:r>
            <w:r w:rsidR="00552795" w:rsidRPr="006529B4">
              <w:rPr>
                <w:rStyle w:val="Hyperlink"/>
                <w:noProof/>
              </w:rPr>
              <w:noBreakHyphen/>
              <w:t>1. Locations of coupes included in 2022 Forest Audit Program, with references to Victorian Forest Management Areas (FMA; green text and boundaries) and Regional Forest Agreement (RFA; blue text and boundaries) regions. Sources: ESRI, DEECA.</w:t>
            </w:r>
            <w:r w:rsidR="00552795">
              <w:rPr>
                <w:noProof/>
              </w:rPr>
              <w:tab/>
            </w:r>
            <w:r w:rsidR="00552795">
              <w:rPr>
                <w:noProof/>
              </w:rPr>
              <w:fldChar w:fldCharType="begin"/>
            </w:r>
            <w:r w:rsidR="00552795">
              <w:rPr>
                <w:noProof/>
              </w:rPr>
              <w:instrText xml:space="preserve"> PAGEREF _Toc131178752 \h </w:instrText>
            </w:r>
            <w:r w:rsidR="00552795">
              <w:rPr>
                <w:noProof/>
              </w:rPr>
            </w:r>
            <w:r w:rsidR="00552795">
              <w:rPr>
                <w:noProof/>
              </w:rPr>
              <w:fldChar w:fldCharType="separate"/>
            </w:r>
            <w:r w:rsidR="00130DCF">
              <w:rPr>
                <w:noProof/>
              </w:rPr>
              <w:t>5</w:t>
            </w:r>
            <w:r w:rsidR="00552795">
              <w:rPr>
                <w:noProof/>
              </w:rPr>
              <w:fldChar w:fldCharType="end"/>
            </w:r>
          </w:hyperlink>
        </w:p>
        <w:p w14:paraId="3182C7DC" w14:textId="04DF76E0" w:rsidR="00552795" w:rsidRDefault="00000000">
          <w:pPr>
            <w:pStyle w:val="TOC1"/>
            <w:tabs>
              <w:tab w:val="right" w:leader="dot" w:pos="9628"/>
            </w:tabs>
            <w:rPr>
              <w:rFonts w:asciiTheme="minorHAnsi" w:hAnsiTheme="minorHAnsi"/>
              <w:b w:val="0"/>
              <w:noProof/>
              <w:sz w:val="22"/>
              <w:szCs w:val="22"/>
            </w:rPr>
          </w:pPr>
          <w:hyperlink w:anchor="_Toc131178753" w:history="1">
            <w:r w:rsidR="00552795" w:rsidRPr="006529B4">
              <w:rPr>
                <w:rStyle w:val="Hyperlink"/>
                <w:noProof/>
              </w:rPr>
              <w:t>Figure 4</w:t>
            </w:r>
            <w:r w:rsidR="00552795" w:rsidRPr="006529B4">
              <w:rPr>
                <w:rStyle w:val="Hyperlink"/>
                <w:noProof/>
              </w:rPr>
              <w:noBreakHyphen/>
              <w:t>1. Overall compliance findings and assessed environmental impact for instances of non-conformance for harvest coupes. The x-axis refers to the coupe numbers, as per Table 3-1.</w:t>
            </w:r>
            <w:r w:rsidR="00552795">
              <w:rPr>
                <w:noProof/>
              </w:rPr>
              <w:tab/>
            </w:r>
            <w:r w:rsidR="00552795">
              <w:rPr>
                <w:noProof/>
              </w:rPr>
              <w:fldChar w:fldCharType="begin"/>
            </w:r>
            <w:r w:rsidR="00552795">
              <w:rPr>
                <w:noProof/>
              </w:rPr>
              <w:instrText xml:space="preserve"> PAGEREF _Toc131178753 \h </w:instrText>
            </w:r>
            <w:r w:rsidR="00552795">
              <w:rPr>
                <w:noProof/>
              </w:rPr>
            </w:r>
            <w:r w:rsidR="00552795">
              <w:rPr>
                <w:noProof/>
              </w:rPr>
              <w:fldChar w:fldCharType="separate"/>
            </w:r>
            <w:r w:rsidR="00130DCF">
              <w:rPr>
                <w:noProof/>
              </w:rPr>
              <w:t>14</w:t>
            </w:r>
            <w:r w:rsidR="00552795">
              <w:rPr>
                <w:noProof/>
              </w:rPr>
              <w:fldChar w:fldCharType="end"/>
            </w:r>
          </w:hyperlink>
        </w:p>
        <w:p w14:paraId="013A1F9D" w14:textId="1671F0FA" w:rsidR="00552795" w:rsidRDefault="00000000">
          <w:pPr>
            <w:pStyle w:val="TOC1"/>
            <w:tabs>
              <w:tab w:val="right" w:leader="dot" w:pos="9628"/>
            </w:tabs>
            <w:rPr>
              <w:rFonts w:asciiTheme="minorHAnsi" w:hAnsiTheme="minorHAnsi"/>
              <w:b w:val="0"/>
              <w:noProof/>
              <w:sz w:val="22"/>
              <w:szCs w:val="22"/>
            </w:rPr>
          </w:pPr>
          <w:hyperlink w:anchor="_Toc131178754" w:history="1">
            <w:r w:rsidR="00552795" w:rsidRPr="006529B4">
              <w:rPr>
                <w:rStyle w:val="Hyperlink"/>
                <w:noProof/>
              </w:rPr>
              <w:t>Figure 4</w:t>
            </w:r>
            <w:r w:rsidR="00552795" w:rsidRPr="006529B4">
              <w:rPr>
                <w:rStyle w:val="Hyperlink"/>
                <w:noProof/>
              </w:rPr>
              <w:noBreakHyphen/>
              <w:t>2. Compliance findings and assessed environmental impact for instances of non-conformance for criteria applicable to the protection of forest soils. The x-axis refers to the coupe numbers, as per Table 3-1.</w:t>
            </w:r>
            <w:r w:rsidR="00552795">
              <w:rPr>
                <w:noProof/>
              </w:rPr>
              <w:tab/>
            </w:r>
            <w:r w:rsidR="00552795">
              <w:rPr>
                <w:noProof/>
              </w:rPr>
              <w:fldChar w:fldCharType="begin"/>
            </w:r>
            <w:r w:rsidR="00552795">
              <w:rPr>
                <w:noProof/>
              </w:rPr>
              <w:instrText xml:space="preserve"> PAGEREF _Toc131178754 \h </w:instrText>
            </w:r>
            <w:r w:rsidR="00552795">
              <w:rPr>
                <w:noProof/>
              </w:rPr>
            </w:r>
            <w:r w:rsidR="00552795">
              <w:rPr>
                <w:noProof/>
              </w:rPr>
              <w:fldChar w:fldCharType="separate"/>
            </w:r>
            <w:r w:rsidR="00130DCF">
              <w:rPr>
                <w:noProof/>
              </w:rPr>
              <w:t>16</w:t>
            </w:r>
            <w:r w:rsidR="00552795">
              <w:rPr>
                <w:noProof/>
              </w:rPr>
              <w:fldChar w:fldCharType="end"/>
            </w:r>
          </w:hyperlink>
        </w:p>
        <w:p w14:paraId="2DDB7199" w14:textId="6147CEC6" w:rsidR="00552795" w:rsidRDefault="00000000">
          <w:pPr>
            <w:pStyle w:val="TOC1"/>
            <w:tabs>
              <w:tab w:val="right" w:leader="dot" w:pos="9628"/>
            </w:tabs>
            <w:rPr>
              <w:rFonts w:asciiTheme="minorHAnsi" w:hAnsiTheme="minorHAnsi"/>
              <w:b w:val="0"/>
              <w:noProof/>
              <w:sz w:val="22"/>
              <w:szCs w:val="22"/>
            </w:rPr>
          </w:pPr>
          <w:hyperlink w:anchor="_Toc131178755" w:history="1">
            <w:r w:rsidR="00552795" w:rsidRPr="006529B4">
              <w:rPr>
                <w:rStyle w:val="Hyperlink"/>
                <w:noProof/>
              </w:rPr>
              <w:t>Figure 4</w:t>
            </w:r>
            <w:r w:rsidR="00552795" w:rsidRPr="006529B4">
              <w:rPr>
                <w:rStyle w:val="Hyperlink"/>
                <w:noProof/>
              </w:rPr>
              <w:noBreakHyphen/>
              <w:t>3. Defects on waterway crossing at 02 Dragonfly leading to mobilisation of sediment into permanent stream.</w:t>
            </w:r>
            <w:r w:rsidR="00552795">
              <w:rPr>
                <w:noProof/>
              </w:rPr>
              <w:tab/>
            </w:r>
            <w:r w:rsidR="00552795">
              <w:rPr>
                <w:noProof/>
              </w:rPr>
              <w:fldChar w:fldCharType="begin"/>
            </w:r>
            <w:r w:rsidR="00552795">
              <w:rPr>
                <w:noProof/>
              </w:rPr>
              <w:instrText xml:space="preserve"> PAGEREF _Toc131178755 \h </w:instrText>
            </w:r>
            <w:r w:rsidR="00552795">
              <w:rPr>
                <w:noProof/>
              </w:rPr>
            </w:r>
            <w:r w:rsidR="00552795">
              <w:rPr>
                <w:noProof/>
              </w:rPr>
              <w:fldChar w:fldCharType="separate"/>
            </w:r>
            <w:r w:rsidR="00130DCF">
              <w:rPr>
                <w:noProof/>
              </w:rPr>
              <w:t>16</w:t>
            </w:r>
            <w:r w:rsidR="00552795">
              <w:rPr>
                <w:noProof/>
              </w:rPr>
              <w:fldChar w:fldCharType="end"/>
            </w:r>
          </w:hyperlink>
        </w:p>
        <w:p w14:paraId="56A1D0D3" w14:textId="19C8C46C" w:rsidR="00552795" w:rsidRDefault="00000000">
          <w:pPr>
            <w:pStyle w:val="TOC1"/>
            <w:tabs>
              <w:tab w:val="right" w:leader="dot" w:pos="9628"/>
            </w:tabs>
            <w:rPr>
              <w:rFonts w:asciiTheme="minorHAnsi" w:hAnsiTheme="minorHAnsi"/>
              <w:b w:val="0"/>
              <w:noProof/>
              <w:sz w:val="22"/>
              <w:szCs w:val="22"/>
            </w:rPr>
          </w:pPr>
          <w:hyperlink w:anchor="_Toc131178756" w:history="1">
            <w:r w:rsidR="00552795" w:rsidRPr="006529B4">
              <w:rPr>
                <w:rStyle w:val="Hyperlink"/>
                <w:noProof/>
              </w:rPr>
              <w:t>Figure 4</w:t>
            </w:r>
            <w:r w:rsidR="00552795" w:rsidRPr="006529B4">
              <w:rPr>
                <w:rStyle w:val="Hyperlink"/>
                <w:noProof/>
              </w:rPr>
              <w:noBreakHyphen/>
              <w:t>4. Defects on waterway crossing at 07 Lemon Lime leading to mobilisation of road and fill batter sediment into a temporary stream</w:t>
            </w:r>
            <w:r w:rsidR="00552795">
              <w:rPr>
                <w:noProof/>
              </w:rPr>
              <w:tab/>
            </w:r>
            <w:r w:rsidR="00552795">
              <w:rPr>
                <w:noProof/>
              </w:rPr>
              <w:fldChar w:fldCharType="begin"/>
            </w:r>
            <w:r w:rsidR="00552795">
              <w:rPr>
                <w:noProof/>
              </w:rPr>
              <w:instrText xml:space="preserve"> PAGEREF _Toc131178756 \h </w:instrText>
            </w:r>
            <w:r w:rsidR="00552795">
              <w:rPr>
                <w:noProof/>
              </w:rPr>
            </w:r>
            <w:r w:rsidR="00552795">
              <w:rPr>
                <w:noProof/>
              </w:rPr>
              <w:fldChar w:fldCharType="separate"/>
            </w:r>
            <w:r w:rsidR="00130DCF">
              <w:rPr>
                <w:noProof/>
              </w:rPr>
              <w:t>17</w:t>
            </w:r>
            <w:r w:rsidR="00552795">
              <w:rPr>
                <w:noProof/>
              </w:rPr>
              <w:fldChar w:fldCharType="end"/>
            </w:r>
          </w:hyperlink>
        </w:p>
        <w:p w14:paraId="18D5169E" w14:textId="5723E709" w:rsidR="00552795" w:rsidRDefault="00000000">
          <w:pPr>
            <w:pStyle w:val="TOC1"/>
            <w:tabs>
              <w:tab w:val="right" w:leader="dot" w:pos="9628"/>
            </w:tabs>
            <w:rPr>
              <w:rFonts w:asciiTheme="minorHAnsi" w:hAnsiTheme="minorHAnsi"/>
              <w:b w:val="0"/>
              <w:noProof/>
              <w:sz w:val="22"/>
              <w:szCs w:val="22"/>
            </w:rPr>
          </w:pPr>
          <w:hyperlink w:anchor="_Toc131178757" w:history="1">
            <w:r w:rsidR="00552795" w:rsidRPr="006529B4">
              <w:rPr>
                <w:rStyle w:val="Hyperlink"/>
                <w:noProof/>
              </w:rPr>
              <w:t>Figure 4</w:t>
            </w:r>
            <w:r w:rsidR="00552795" w:rsidRPr="006529B4">
              <w:rPr>
                <w:rStyle w:val="Hyperlink"/>
                <w:noProof/>
              </w:rPr>
              <w:noBreakHyphen/>
              <w:t>5. Compliance findings and assessed environmental impact for instances of non-conformance for criteria applicable to the protection of water quality, flows and river health. The x-axis refers to the coupe numbers, as per Table 3-1.</w:t>
            </w:r>
            <w:r w:rsidR="00552795">
              <w:rPr>
                <w:noProof/>
              </w:rPr>
              <w:tab/>
            </w:r>
            <w:r w:rsidR="00552795">
              <w:rPr>
                <w:noProof/>
              </w:rPr>
              <w:fldChar w:fldCharType="begin"/>
            </w:r>
            <w:r w:rsidR="00552795">
              <w:rPr>
                <w:noProof/>
              </w:rPr>
              <w:instrText xml:space="preserve"> PAGEREF _Toc131178757 \h </w:instrText>
            </w:r>
            <w:r w:rsidR="00552795">
              <w:rPr>
                <w:noProof/>
              </w:rPr>
            </w:r>
            <w:r w:rsidR="00552795">
              <w:rPr>
                <w:noProof/>
              </w:rPr>
              <w:fldChar w:fldCharType="separate"/>
            </w:r>
            <w:r w:rsidR="00130DCF">
              <w:rPr>
                <w:noProof/>
              </w:rPr>
              <w:t>18</w:t>
            </w:r>
            <w:r w:rsidR="00552795">
              <w:rPr>
                <w:noProof/>
              </w:rPr>
              <w:fldChar w:fldCharType="end"/>
            </w:r>
          </w:hyperlink>
        </w:p>
        <w:p w14:paraId="41D17308" w14:textId="7FD2EBB6" w:rsidR="00552795" w:rsidRDefault="00000000">
          <w:pPr>
            <w:pStyle w:val="TOC1"/>
            <w:tabs>
              <w:tab w:val="right" w:leader="dot" w:pos="9628"/>
            </w:tabs>
            <w:rPr>
              <w:rFonts w:asciiTheme="minorHAnsi" w:hAnsiTheme="minorHAnsi"/>
              <w:b w:val="0"/>
              <w:noProof/>
              <w:sz w:val="22"/>
              <w:szCs w:val="22"/>
            </w:rPr>
          </w:pPr>
          <w:hyperlink w:anchor="_Toc131178758" w:history="1">
            <w:r w:rsidR="00552795" w:rsidRPr="006529B4">
              <w:rPr>
                <w:rStyle w:val="Hyperlink"/>
                <w:noProof/>
              </w:rPr>
              <w:t>Figure 4</w:t>
            </w:r>
            <w:r w:rsidR="00552795" w:rsidRPr="006529B4">
              <w:rPr>
                <w:rStyle w:val="Hyperlink"/>
                <w:noProof/>
              </w:rPr>
              <w:noBreakHyphen/>
              <w:t>6. In-coupe road drainage onto the waterway crossing on the approach to 24 Bayled Up is allowed to drain directly across the fill batter and has mobilised batter sediments into the permanent stream.</w:t>
            </w:r>
            <w:r w:rsidR="00552795">
              <w:rPr>
                <w:noProof/>
              </w:rPr>
              <w:tab/>
            </w:r>
            <w:r w:rsidR="00552795">
              <w:rPr>
                <w:noProof/>
              </w:rPr>
              <w:fldChar w:fldCharType="begin"/>
            </w:r>
            <w:r w:rsidR="00552795">
              <w:rPr>
                <w:noProof/>
              </w:rPr>
              <w:instrText xml:space="preserve"> PAGEREF _Toc131178758 \h </w:instrText>
            </w:r>
            <w:r w:rsidR="00552795">
              <w:rPr>
                <w:noProof/>
              </w:rPr>
            </w:r>
            <w:r w:rsidR="00552795">
              <w:rPr>
                <w:noProof/>
              </w:rPr>
              <w:fldChar w:fldCharType="separate"/>
            </w:r>
            <w:r w:rsidR="00130DCF">
              <w:rPr>
                <w:noProof/>
              </w:rPr>
              <w:t>18</w:t>
            </w:r>
            <w:r w:rsidR="00552795">
              <w:rPr>
                <w:noProof/>
              </w:rPr>
              <w:fldChar w:fldCharType="end"/>
            </w:r>
          </w:hyperlink>
        </w:p>
        <w:p w14:paraId="1B36C643" w14:textId="00E9C2F1" w:rsidR="00552795" w:rsidRDefault="00000000">
          <w:pPr>
            <w:pStyle w:val="TOC1"/>
            <w:tabs>
              <w:tab w:val="right" w:leader="dot" w:pos="9628"/>
            </w:tabs>
            <w:rPr>
              <w:rFonts w:asciiTheme="minorHAnsi" w:hAnsiTheme="minorHAnsi"/>
              <w:b w:val="0"/>
              <w:noProof/>
              <w:sz w:val="22"/>
              <w:szCs w:val="22"/>
            </w:rPr>
          </w:pPr>
          <w:hyperlink w:anchor="_Toc131178759" w:history="1">
            <w:r w:rsidR="00552795" w:rsidRPr="006529B4">
              <w:rPr>
                <w:rStyle w:val="Hyperlink"/>
                <w:noProof/>
              </w:rPr>
              <w:t>Figure 4</w:t>
            </w:r>
            <w:r w:rsidR="00552795" w:rsidRPr="006529B4">
              <w:rPr>
                <w:rStyle w:val="Hyperlink"/>
                <w:noProof/>
              </w:rPr>
              <w:noBreakHyphen/>
              <w:t>7. Examples of outlets of waterway crossing culverts being elevated above the downstream bed of temporary stream, potentially blocking aquatic fauna movement and contributing to erosion and sediment mobilisation.</w:t>
            </w:r>
            <w:r w:rsidR="00552795">
              <w:rPr>
                <w:noProof/>
              </w:rPr>
              <w:tab/>
            </w:r>
            <w:r w:rsidR="00552795">
              <w:rPr>
                <w:noProof/>
              </w:rPr>
              <w:fldChar w:fldCharType="begin"/>
            </w:r>
            <w:r w:rsidR="00552795">
              <w:rPr>
                <w:noProof/>
              </w:rPr>
              <w:instrText xml:space="preserve"> PAGEREF _Toc131178759 \h </w:instrText>
            </w:r>
            <w:r w:rsidR="00552795">
              <w:rPr>
                <w:noProof/>
              </w:rPr>
            </w:r>
            <w:r w:rsidR="00552795">
              <w:rPr>
                <w:noProof/>
              </w:rPr>
              <w:fldChar w:fldCharType="separate"/>
            </w:r>
            <w:r w:rsidR="00130DCF">
              <w:rPr>
                <w:noProof/>
              </w:rPr>
              <w:t>19</w:t>
            </w:r>
            <w:r w:rsidR="00552795">
              <w:rPr>
                <w:noProof/>
              </w:rPr>
              <w:fldChar w:fldCharType="end"/>
            </w:r>
          </w:hyperlink>
        </w:p>
        <w:p w14:paraId="1F60AF57" w14:textId="1AD3E566" w:rsidR="00552795" w:rsidRDefault="00000000">
          <w:pPr>
            <w:pStyle w:val="TOC1"/>
            <w:tabs>
              <w:tab w:val="right" w:leader="dot" w:pos="9628"/>
            </w:tabs>
            <w:rPr>
              <w:rFonts w:asciiTheme="minorHAnsi" w:hAnsiTheme="minorHAnsi"/>
              <w:b w:val="0"/>
              <w:noProof/>
              <w:sz w:val="22"/>
              <w:szCs w:val="22"/>
            </w:rPr>
          </w:pPr>
          <w:hyperlink w:anchor="_Toc131178760" w:history="1">
            <w:r w:rsidR="00552795" w:rsidRPr="006529B4">
              <w:rPr>
                <w:rStyle w:val="Hyperlink"/>
                <w:noProof/>
              </w:rPr>
              <w:t>Figure 4</w:t>
            </w:r>
            <w:r w:rsidR="00552795" w:rsidRPr="006529B4">
              <w:rPr>
                <w:rStyle w:val="Hyperlink"/>
                <w:noProof/>
              </w:rPr>
              <w:noBreakHyphen/>
              <w:t>8. Drainage along the in-coupe road at 18 South Buck runs for significantly greater than 20 m into a temporary stream (highlighted by yellow arrows). Photograph on the right shows evidence of sediment deposition.</w:t>
            </w:r>
            <w:r w:rsidR="00552795">
              <w:rPr>
                <w:noProof/>
              </w:rPr>
              <w:tab/>
            </w:r>
            <w:r w:rsidR="00552795">
              <w:rPr>
                <w:noProof/>
              </w:rPr>
              <w:fldChar w:fldCharType="begin"/>
            </w:r>
            <w:r w:rsidR="00552795">
              <w:rPr>
                <w:noProof/>
              </w:rPr>
              <w:instrText xml:space="preserve"> PAGEREF _Toc131178760 \h </w:instrText>
            </w:r>
            <w:r w:rsidR="00552795">
              <w:rPr>
                <w:noProof/>
              </w:rPr>
            </w:r>
            <w:r w:rsidR="00552795">
              <w:rPr>
                <w:noProof/>
              </w:rPr>
              <w:fldChar w:fldCharType="separate"/>
            </w:r>
            <w:r w:rsidR="00130DCF">
              <w:rPr>
                <w:noProof/>
              </w:rPr>
              <w:t>19</w:t>
            </w:r>
            <w:r w:rsidR="00552795">
              <w:rPr>
                <w:noProof/>
              </w:rPr>
              <w:fldChar w:fldCharType="end"/>
            </w:r>
          </w:hyperlink>
        </w:p>
        <w:p w14:paraId="5B335C85" w14:textId="185A2841" w:rsidR="00552795" w:rsidRDefault="00000000">
          <w:pPr>
            <w:pStyle w:val="TOC1"/>
            <w:tabs>
              <w:tab w:val="right" w:leader="dot" w:pos="9628"/>
            </w:tabs>
            <w:rPr>
              <w:rFonts w:asciiTheme="minorHAnsi" w:hAnsiTheme="minorHAnsi"/>
              <w:b w:val="0"/>
              <w:noProof/>
              <w:sz w:val="22"/>
              <w:szCs w:val="22"/>
            </w:rPr>
          </w:pPr>
          <w:hyperlink w:anchor="_Toc131178761" w:history="1">
            <w:r w:rsidR="00552795" w:rsidRPr="006529B4">
              <w:rPr>
                <w:rStyle w:val="Hyperlink"/>
                <w:noProof/>
              </w:rPr>
              <w:t>Figure 4</w:t>
            </w:r>
            <w:r w:rsidR="00552795" w:rsidRPr="006529B4">
              <w:rPr>
                <w:rStyle w:val="Hyperlink"/>
                <w:noProof/>
              </w:rPr>
              <w:noBreakHyphen/>
              <w:t>9. Compliance findings and assessed environmental impact for instances of non-conformance for criteria applicable to the protection of biodiversity values. The x-axis refers to the coupe numbers, as per Table 3-1.</w:t>
            </w:r>
            <w:r w:rsidR="00552795">
              <w:rPr>
                <w:noProof/>
              </w:rPr>
              <w:tab/>
            </w:r>
            <w:r w:rsidR="00552795">
              <w:rPr>
                <w:noProof/>
              </w:rPr>
              <w:fldChar w:fldCharType="begin"/>
            </w:r>
            <w:r w:rsidR="00552795">
              <w:rPr>
                <w:noProof/>
              </w:rPr>
              <w:instrText xml:space="preserve"> PAGEREF _Toc131178761 \h </w:instrText>
            </w:r>
            <w:r w:rsidR="00552795">
              <w:rPr>
                <w:noProof/>
              </w:rPr>
            </w:r>
            <w:r w:rsidR="00552795">
              <w:rPr>
                <w:noProof/>
              </w:rPr>
              <w:fldChar w:fldCharType="separate"/>
            </w:r>
            <w:r w:rsidR="00130DCF">
              <w:rPr>
                <w:noProof/>
              </w:rPr>
              <w:t>20</w:t>
            </w:r>
            <w:r w:rsidR="00552795">
              <w:rPr>
                <w:noProof/>
              </w:rPr>
              <w:fldChar w:fldCharType="end"/>
            </w:r>
          </w:hyperlink>
        </w:p>
        <w:p w14:paraId="5C7131D5" w14:textId="74F7718B" w:rsidR="00552795" w:rsidRDefault="00000000">
          <w:pPr>
            <w:pStyle w:val="TOC1"/>
            <w:tabs>
              <w:tab w:val="right" w:leader="dot" w:pos="9628"/>
            </w:tabs>
            <w:rPr>
              <w:rFonts w:asciiTheme="minorHAnsi" w:hAnsiTheme="minorHAnsi"/>
              <w:b w:val="0"/>
              <w:noProof/>
              <w:sz w:val="22"/>
              <w:szCs w:val="22"/>
            </w:rPr>
          </w:pPr>
          <w:hyperlink w:anchor="_Toc131178762" w:history="1">
            <w:r w:rsidR="00552795" w:rsidRPr="006529B4">
              <w:rPr>
                <w:rStyle w:val="Hyperlink"/>
                <w:noProof/>
              </w:rPr>
              <w:t>Figure 4</w:t>
            </w:r>
            <w:r w:rsidR="00552795" w:rsidRPr="006529B4">
              <w:rPr>
                <w:rStyle w:val="Hyperlink"/>
                <w:noProof/>
              </w:rPr>
              <w:noBreakHyphen/>
              <w:t>10. Incursion of harvesting into Leadbeaters Possum SPZ at 10 Amity Island</w:t>
            </w:r>
            <w:r w:rsidR="00552795">
              <w:rPr>
                <w:noProof/>
              </w:rPr>
              <w:tab/>
            </w:r>
            <w:r w:rsidR="00552795">
              <w:rPr>
                <w:noProof/>
              </w:rPr>
              <w:fldChar w:fldCharType="begin"/>
            </w:r>
            <w:r w:rsidR="00552795">
              <w:rPr>
                <w:noProof/>
              </w:rPr>
              <w:instrText xml:space="preserve"> PAGEREF _Toc131178762 \h </w:instrText>
            </w:r>
            <w:r w:rsidR="00552795">
              <w:rPr>
                <w:noProof/>
              </w:rPr>
            </w:r>
            <w:r w:rsidR="00552795">
              <w:rPr>
                <w:noProof/>
              </w:rPr>
              <w:fldChar w:fldCharType="separate"/>
            </w:r>
            <w:r w:rsidR="00130DCF">
              <w:rPr>
                <w:noProof/>
              </w:rPr>
              <w:t>21</w:t>
            </w:r>
            <w:r w:rsidR="00552795">
              <w:rPr>
                <w:noProof/>
              </w:rPr>
              <w:fldChar w:fldCharType="end"/>
            </w:r>
          </w:hyperlink>
        </w:p>
        <w:p w14:paraId="7D919835" w14:textId="6BEFDFC3" w:rsidR="00552795" w:rsidRDefault="00000000">
          <w:pPr>
            <w:pStyle w:val="TOC1"/>
            <w:tabs>
              <w:tab w:val="right" w:leader="dot" w:pos="9628"/>
            </w:tabs>
            <w:rPr>
              <w:rFonts w:asciiTheme="minorHAnsi" w:hAnsiTheme="minorHAnsi"/>
              <w:b w:val="0"/>
              <w:noProof/>
              <w:sz w:val="22"/>
              <w:szCs w:val="22"/>
            </w:rPr>
          </w:pPr>
          <w:hyperlink w:anchor="_Toc131178763" w:history="1">
            <w:r w:rsidR="00552795" w:rsidRPr="006529B4">
              <w:rPr>
                <w:rStyle w:val="Hyperlink"/>
                <w:noProof/>
              </w:rPr>
              <w:t>Figure 4</w:t>
            </w:r>
            <w:r w:rsidR="00552795" w:rsidRPr="006529B4">
              <w:rPr>
                <w:rStyle w:val="Hyperlink"/>
                <w:noProof/>
              </w:rPr>
              <w:noBreakHyphen/>
              <w:t>11. Incursion of regeneration burn at 01 Turnbuckle into retained vegetation patches. The regeneration burn did not scorch the crowns of retained trees but destroy retained understorey vegetation.</w:t>
            </w:r>
            <w:r w:rsidR="00552795">
              <w:rPr>
                <w:noProof/>
              </w:rPr>
              <w:tab/>
            </w:r>
            <w:r w:rsidR="00552795">
              <w:rPr>
                <w:noProof/>
              </w:rPr>
              <w:fldChar w:fldCharType="begin"/>
            </w:r>
            <w:r w:rsidR="00552795">
              <w:rPr>
                <w:noProof/>
              </w:rPr>
              <w:instrText xml:space="preserve"> PAGEREF _Toc131178763 \h </w:instrText>
            </w:r>
            <w:r w:rsidR="00552795">
              <w:rPr>
                <w:noProof/>
              </w:rPr>
            </w:r>
            <w:r w:rsidR="00552795">
              <w:rPr>
                <w:noProof/>
              </w:rPr>
              <w:fldChar w:fldCharType="separate"/>
            </w:r>
            <w:r w:rsidR="00130DCF">
              <w:rPr>
                <w:noProof/>
              </w:rPr>
              <w:t>21</w:t>
            </w:r>
            <w:r w:rsidR="00552795">
              <w:rPr>
                <w:noProof/>
              </w:rPr>
              <w:fldChar w:fldCharType="end"/>
            </w:r>
          </w:hyperlink>
        </w:p>
        <w:p w14:paraId="558935AB" w14:textId="19C35394" w:rsidR="00552795" w:rsidRDefault="00000000">
          <w:pPr>
            <w:pStyle w:val="TOC1"/>
            <w:tabs>
              <w:tab w:val="right" w:leader="dot" w:pos="9628"/>
            </w:tabs>
            <w:rPr>
              <w:rFonts w:asciiTheme="minorHAnsi" w:hAnsiTheme="minorHAnsi"/>
              <w:b w:val="0"/>
              <w:noProof/>
              <w:sz w:val="22"/>
              <w:szCs w:val="22"/>
            </w:rPr>
          </w:pPr>
          <w:hyperlink w:anchor="_Toc131178764" w:history="1">
            <w:r w:rsidR="00552795" w:rsidRPr="006529B4">
              <w:rPr>
                <w:rStyle w:val="Hyperlink"/>
                <w:noProof/>
              </w:rPr>
              <w:t>Figure 4</w:t>
            </w:r>
            <w:r w:rsidR="00552795" w:rsidRPr="006529B4">
              <w:rPr>
                <w:rStyle w:val="Hyperlink"/>
                <w:noProof/>
              </w:rPr>
              <w:noBreakHyphen/>
              <w:t>12. Compliance findings and assessed environmental impact for instances of non-conformance for criteria applicable to coupe planning and management. The x-axis refers to the coupe numbers, as per Table 3-1.</w:t>
            </w:r>
            <w:r w:rsidR="00552795">
              <w:rPr>
                <w:noProof/>
              </w:rPr>
              <w:tab/>
            </w:r>
            <w:r w:rsidR="00552795">
              <w:rPr>
                <w:noProof/>
              </w:rPr>
              <w:fldChar w:fldCharType="begin"/>
            </w:r>
            <w:r w:rsidR="00552795">
              <w:rPr>
                <w:noProof/>
              </w:rPr>
              <w:instrText xml:space="preserve"> PAGEREF _Toc131178764 \h </w:instrText>
            </w:r>
            <w:r w:rsidR="00552795">
              <w:rPr>
                <w:noProof/>
              </w:rPr>
            </w:r>
            <w:r w:rsidR="00552795">
              <w:rPr>
                <w:noProof/>
              </w:rPr>
              <w:fldChar w:fldCharType="separate"/>
            </w:r>
            <w:r w:rsidR="00130DCF">
              <w:rPr>
                <w:noProof/>
              </w:rPr>
              <w:t>22</w:t>
            </w:r>
            <w:r w:rsidR="00552795">
              <w:rPr>
                <w:noProof/>
              </w:rPr>
              <w:fldChar w:fldCharType="end"/>
            </w:r>
          </w:hyperlink>
        </w:p>
        <w:p w14:paraId="0BDCCA40" w14:textId="3F0B9525" w:rsidR="00552795" w:rsidRDefault="00000000">
          <w:pPr>
            <w:pStyle w:val="TOC1"/>
            <w:tabs>
              <w:tab w:val="right" w:leader="dot" w:pos="9628"/>
            </w:tabs>
            <w:rPr>
              <w:rFonts w:asciiTheme="minorHAnsi" w:hAnsiTheme="minorHAnsi"/>
              <w:b w:val="0"/>
              <w:noProof/>
              <w:sz w:val="22"/>
              <w:szCs w:val="22"/>
            </w:rPr>
          </w:pPr>
          <w:hyperlink w:anchor="_Toc131178765" w:history="1">
            <w:r w:rsidR="00552795" w:rsidRPr="006529B4">
              <w:rPr>
                <w:rStyle w:val="Hyperlink"/>
                <w:noProof/>
              </w:rPr>
              <w:t>Figure 4</w:t>
            </w:r>
            <w:r w:rsidR="00552795" w:rsidRPr="006529B4">
              <w:rPr>
                <w:rStyle w:val="Hyperlink"/>
                <w:noProof/>
              </w:rPr>
              <w:noBreakHyphen/>
              <w:t>13. Compliance findings and assessed environmental impact for instances of non-conformance for criteria applicable to the road design. The x-axis refers to the coupe numbers, as per Table 3-1.</w:t>
            </w:r>
            <w:r w:rsidR="00552795">
              <w:rPr>
                <w:noProof/>
              </w:rPr>
              <w:tab/>
            </w:r>
            <w:r w:rsidR="00552795">
              <w:rPr>
                <w:noProof/>
              </w:rPr>
              <w:fldChar w:fldCharType="begin"/>
            </w:r>
            <w:r w:rsidR="00552795">
              <w:rPr>
                <w:noProof/>
              </w:rPr>
              <w:instrText xml:space="preserve"> PAGEREF _Toc131178765 \h </w:instrText>
            </w:r>
            <w:r w:rsidR="00552795">
              <w:rPr>
                <w:noProof/>
              </w:rPr>
            </w:r>
            <w:r w:rsidR="00552795">
              <w:rPr>
                <w:noProof/>
              </w:rPr>
              <w:fldChar w:fldCharType="separate"/>
            </w:r>
            <w:r w:rsidR="00130DCF">
              <w:rPr>
                <w:noProof/>
              </w:rPr>
              <w:t>23</w:t>
            </w:r>
            <w:r w:rsidR="00552795">
              <w:rPr>
                <w:noProof/>
              </w:rPr>
              <w:fldChar w:fldCharType="end"/>
            </w:r>
          </w:hyperlink>
        </w:p>
        <w:p w14:paraId="3047A6A8" w14:textId="11BADE46" w:rsidR="00552795" w:rsidRDefault="00000000">
          <w:pPr>
            <w:pStyle w:val="TOC1"/>
            <w:tabs>
              <w:tab w:val="right" w:leader="dot" w:pos="9628"/>
            </w:tabs>
            <w:rPr>
              <w:rFonts w:asciiTheme="minorHAnsi" w:hAnsiTheme="minorHAnsi"/>
              <w:b w:val="0"/>
              <w:noProof/>
              <w:sz w:val="22"/>
              <w:szCs w:val="22"/>
            </w:rPr>
          </w:pPr>
          <w:hyperlink w:anchor="_Toc131178766" w:history="1">
            <w:r w:rsidR="00552795" w:rsidRPr="006529B4">
              <w:rPr>
                <w:rStyle w:val="Hyperlink"/>
                <w:noProof/>
              </w:rPr>
              <w:t>Figure 4</w:t>
            </w:r>
            <w:r w:rsidR="00552795" w:rsidRPr="006529B4">
              <w:rPr>
                <w:rStyle w:val="Hyperlink"/>
                <w:noProof/>
              </w:rPr>
              <w:noBreakHyphen/>
              <w:t>14. Compliance findings and assessed environmental impact for instances of non-conformance for criteria applicable to road construction. The x-axis refers to the coupe numbers, as per Table 3-1.</w:t>
            </w:r>
            <w:r w:rsidR="00552795">
              <w:rPr>
                <w:noProof/>
              </w:rPr>
              <w:tab/>
            </w:r>
            <w:r w:rsidR="00552795">
              <w:rPr>
                <w:noProof/>
              </w:rPr>
              <w:fldChar w:fldCharType="begin"/>
            </w:r>
            <w:r w:rsidR="00552795">
              <w:rPr>
                <w:noProof/>
              </w:rPr>
              <w:instrText xml:space="preserve"> PAGEREF _Toc131178766 \h </w:instrText>
            </w:r>
            <w:r w:rsidR="00552795">
              <w:rPr>
                <w:noProof/>
              </w:rPr>
            </w:r>
            <w:r w:rsidR="00552795">
              <w:rPr>
                <w:noProof/>
              </w:rPr>
              <w:fldChar w:fldCharType="separate"/>
            </w:r>
            <w:r w:rsidR="00130DCF">
              <w:rPr>
                <w:noProof/>
              </w:rPr>
              <w:t>24</w:t>
            </w:r>
            <w:r w:rsidR="00552795">
              <w:rPr>
                <w:noProof/>
              </w:rPr>
              <w:fldChar w:fldCharType="end"/>
            </w:r>
          </w:hyperlink>
        </w:p>
        <w:p w14:paraId="47D157B8" w14:textId="7F859501" w:rsidR="00552795" w:rsidRDefault="00000000">
          <w:pPr>
            <w:pStyle w:val="TOC1"/>
            <w:tabs>
              <w:tab w:val="right" w:leader="dot" w:pos="9628"/>
            </w:tabs>
            <w:rPr>
              <w:rFonts w:asciiTheme="minorHAnsi" w:hAnsiTheme="minorHAnsi"/>
              <w:b w:val="0"/>
              <w:noProof/>
              <w:sz w:val="22"/>
              <w:szCs w:val="22"/>
            </w:rPr>
          </w:pPr>
          <w:hyperlink w:anchor="_Toc131178767" w:history="1">
            <w:r w:rsidR="00552795" w:rsidRPr="006529B4">
              <w:rPr>
                <w:rStyle w:val="Hyperlink"/>
                <w:noProof/>
              </w:rPr>
              <w:t>Figure 4</w:t>
            </w:r>
            <w:r w:rsidR="00552795" w:rsidRPr="006529B4">
              <w:rPr>
                <w:rStyle w:val="Hyperlink"/>
                <w:noProof/>
              </w:rPr>
              <w:noBreakHyphen/>
              <w:t>15. Compliance findings and assessed environmental impact for instances of non-conformance for criteria applicable to road maintenance and closure. The x-axis refers to the coupe numbers, as per Table 3-1.</w:t>
            </w:r>
            <w:r w:rsidR="00552795">
              <w:rPr>
                <w:noProof/>
              </w:rPr>
              <w:tab/>
            </w:r>
            <w:r w:rsidR="00552795">
              <w:rPr>
                <w:noProof/>
              </w:rPr>
              <w:fldChar w:fldCharType="begin"/>
            </w:r>
            <w:r w:rsidR="00552795">
              <w:rPr>
                <w:noProof/>
              </w:rPr>
              <w:instrText xml:space="preserve"> PAGEREF _Toc131178767 \h </w:instrText>
            </w:r>
            <w:r w:rsidR="00552795">
              <w:rPr>
                <w:noProof/>
              </w:rPr>
            </w:r>
            <w:r w:rsidR="00552795">
              <w:rPr>
                <w:noProof/>
              </w:rPr>
              <w:fldChar w:fldCharType="separate"/>
            </w:r>
            <w:r w:rsidR="00130DCF">
              <w:rPr>
                <w:noProof/>
              </w:rPr>
              <w:t>25</w:t>
            </w:r>
            <w:r w:rsidR="00552795">
              <w:rPr>
                <w:noProof/>
              </w:rPr>
              <w:fldChar w:fldCharType="end"/>
            </w:r>
          </w:hyperlink>
        </w:p>
        <w:p w14:paraId="451EFBC5" w14:textId="018FD4AF" w:rsidR="00552795" w:rsidRDefault="00000000">
          <w:pPr>
            <w:pStyle w:val="TOC1"/>
            <w:tabs>
              <w:tab w:val="right" w:leader="dot" w:pos="9628"/>
            </w:tabs>
            <w:rPr>
              <w:rFonts w:asciiTheme="minorHAnsi" w:hAnsiTheme="minorHAnsi"/>
              <w:b w:val="0"/>
              <w:noProof/>
              <w:sz w:val="22"/>
              <w:szCs w:val="22"/>
            </w:rPr>
          </w:pPr>
          <w:hyperlink w:anchor="_Toc131178768" w:history="1">
            <w:r w:rsidR="00552795" w:rsidRPr="006529B4">
              <w:rPr>
                <w:rStyle w:val="Hyperlink"/>
                <w:noProof/>
              </w:rPr>
              <w:t>Figure 4</w:t>
            </w:r>
            <w:r w:rsidR="00552795" w:rsidRPr="006529B4">
              <w:rPr>
                <w:rStyle w:val="Hyperlink"/>
                <w:noProof/>
              </w:rPr>
              <w:noBreakHyphen/>
              <w:t>16. Compliance findings and assessed environmental impact for instances of non-conformance for criteria applicable to coupe infrastructure. The x-axis refers to the coupe numbers, as per Table 3-1.</w:t>
            </w:r>
            <w:r w:rsidR="00552795">
              <w:rPr>
                <w:noProof/>
              </w:rPr>
              <w:tab/>
            </w:r>
            <w:r w:rsidR="00552795">
              <w:rPr>
                <w:noProof/>
              </w:rPr>
              <w:fldChar w:fldCharType="begin"/>
            </w:r>
            <w:r w:rsidR="00552795">
              <w:rPr>
                <w:noProof/>
              </w:rPr>
              <w:instrText xml:space="preserve"> PAGEREF _Toc131178768 \h </w:instrText>
            </w:r>
            <w:r w:rsidR="00552795">
              <w:rPr>
                <w:noProof/>
              </w:rPr>
            </w:r>
            <w:r w:rsidR="00552795">
              <w:rPr>
                <w:noProof/>
              </w:rPr>
              <w:fldChar w:fldCharType="separate"/>
            </w:r>
            <w:r w:rsidR="00130DCF">
              <w:rPr>
                <w:noProof/>
              </w:rPr>
              <w:t>26</w:t>
            </w:r>
            <w:r w:rsidR="00552795">
              <w:rPr>
                <w:noProof/>
              </w:rPr>
              <w:fldChar w:fldCharType="end"/>
            </w:r>
          </w:hyperlink>
        </w:p>
        <w:p w14:paraId="50AD8ACF" w14:textId="58EBEE4C" w:rsidR="00552795" w:rsidRDefault="00000000">
          <w:pPr>
            <w:pStyle w:val="TOC1"/>
            <w:tabs>
              <w:tab w:val="right" w:leader="dot" w:pos="9628"/>
            </w:tabs>
            <w:rPr>
              <w:rFonts w:asciiTheme="minorHAnsi" w:hAnsiTheme="minorHAnsi"/>
              <w:b w:val="0"/>
              <w:noProof/>
              <w:sz w:val="22"/>
              <w:szCs w:val="22"/>
            </w:rPr>
          </w:pPr>
          <w:hyperlink w:anchor="_Toc131178769" w:history="1">
            <w:r w:rsidR="00552795" w:rsidRPr="006529B4">
              <w:rPr>
                <w:rStyle w:val="Hyperlink"/>
                <w:noProof/>
              </w:rPr>
              <w:t>Figure 5</w:t>
            </w:r>
            <w:r w:rsidR="00552795" w:rsidRPr="006529B4">
              <w:rPr>
                <w:rStyle w:val="Hyperlink"/>
                <w:noProof/>
              </w:rPr>
              <w:noBreakHyphen/>
              <w:t>1. Summary of overall audit findings for conformance with the regulatory framework for timber harvesting and related activities in State forests in Victoria.</w:t>
            </w:r>
            <w:r w:rsidR="00552795">
              <w:rPr>
                <w:noProof/>
              </w:rPr>
              <w:tab/>
            </w:r>
            <w:r w:rsidR="00552795">
              <w:rPr>
                <w:noProof/>
              </w:rPr>
              <w:fldChar w:fldCharType="begin"/>
            </w:r>
            <w:r w:rsidR="00552795">
              <w:rPr>
                <w:noProof/>
              </w:rPr>
              <w:instrText xml:space="preserve"> PAGEREF _Toc131178769 \h </w:instrText>
            </w:r>
            <w:r w:rsidR="00552795">
              <w:rPr>
                <w:noProof/>
              </w:rPr>
            </w:r>
            <w:r w:rsidR="00552795">
              <w:rPr>
                <w:noProof/>
              </w:rPr>
              <w:fldChar w:fldCharType="separate"/>
            </w:r>
            <w:r w:rsidR="00130DCF">
              <w:rPr>
                <w:noProof/>
              </w:rPr>
              <w:t>27</w:t>
            </w:r>
            <w:r w:rsidR="00552795">
              <w:rPr>
                <w:noProof/>
              </w:rPr>
              <w:fldChar w:fldCharType="end"/>
            </w:r>
          </w:hyperlink>
        </w:p>
        <w:p w14:paraId="2CB303AA" w14:textId="7E874ADA" w:rsidR="00552795" w:rsidRDefault="00000000">
          <w:pPr>
            <w:pStyle w:val="TOC1"/>
            <w:tabs>
              <w:tab w:val="right" w:leader="dot" w:pos="9628"/>
            </w:tabs>
            <w:rPr>
              <w:rFonts w:asciiTheme="minorHAnsi" w:hAnsiTheme="minorHAnsi"/>
              <w:b w:val="0"/>
              <w:noProof/>
              <w:sz w:val="22"/>
              <w:szCs w:val="22"/>
            </w:rPr>
          </w:pPr>
          <w:hyperlink w:anchor="_Toc131178770" w:history="1">
            <w:r w:rsidR="00552795" w:rsidRPr="006529B4">
              <w:rPr>
                <w:rStyle w:val="Hyperlink"/>
                <w:noProof/>
              </w:rPr>
              <w:t>Figure 5</w:t>
            </w:r>
            <w:r w:rsidR="00552795" w:rsidRPr="006529B4">
              <w:rPr>
                <w:rStyle w:val="Hyperlink"/>
                <w:noProof/>
              </w:rPr>
              <w:noBreakHyphen/>
              <w:t>2. Examples where snig tracks have been constructed across wet areas in coupes (05 Whitehorse) or temporary streams (13 Jandles) that were most likely dry at the time. Subsequent wet conditions have resulted in water flowing across the tracks and mobilising sediment.</w:t>
            </w:r>
            <w:r w:rsidR="00552795">
              <w:rPr>
                <w:noProof/>
              </w:rPr>
              <w:tab/>
            </w:r>
            <w:r w:rsidR="00552795">
              <w:rPr>
                <w:noProof/>
              </w:rPr>
              <w:fldChar w:fldCharType="begin"/>
            </w:r>
            <w:r w:rsidR="00552795">
              <w:rPr>
                <w:noProof/>
              </w:rPr>
              <w:instrText xml:space="preserve"> PAGEREF _Toc131178770 \h </w:instrText>
            </w:r>
            <w:r w:rsidR="00552795">
              <w:rPr>
                <w:noProof/>
              </w:rPr>
            </w:r>
            <w:r w:rsidR="00552795">
              <w:rPr>
                <w:noProof/>
              </w:rPr>
              <w:fldChar w:fldCharType="separate"/>
            </w:r>
            <w:r w:rsidR="00130DCF">
              <w:rPr>
                <w:noProof/>
              </w:rPr>
              <w:t>31</w:t>
            </w:r>
            <w:r w:rsidR="00552795">
              <w:rPr>
                <w:noProof/>
              </w:rPr>
              <w:fldChar w:fldCharType="end"/>
            </w:r>
          </w:hyperlink>
        </w:p>
        <w:p w14:paraId="6AA049C7" w14:textId="59B6E63C" w:rsidR="00552795" w:rsidRDefault="00000000">
          <w:pPr>
            <w:pStyle w:val="TOC1"/>
            <w:tabs>
              <w:tab w:val="right" w:leader="dot" w:pos="9628"/>
            </w:tabs>
            <w:rPr>
              <w:rFonts w:asciiTheme="minorHAnsi" w:hAnsiTheme="minorHAnsi"/>
              <w:b w:val="0"/>
              <w:noProof/>
              <w:sz w:val="22"/>
              <w:szCs w:val="22"/>
            </w:rPr>
          </w:pPr>
          <w:hyperlink w:anchor="_Toc131178771" w:history="1">
            <w:r w:rsidR="00552795" w:rsidRPr="006529B4">
              <w:rPr>
                <w:rStyle w:val="Hyperlink"/>
                <w:noProof/>
              </w:rPr>
              <w:t>Figure 5</w:t>
            </w:r>
            <w:r w:rsidR="00552795" w:rsidRPr="006529B4">
              <w:rPr>
                <w:rStyle w:val="Hyperlink"/>
                <w:noProof/>
              </w:rPr>
              <w:noBreakHyphen/>
              <w:t>3. Compliance findings and assessed environmental impact for instances of non-conformance for fire salvage prescription criteria. The x-axis refers to the coupe numbers, as per Table 3-1. Fifteen of the 32 coupes included in the audit were subject to fire salvage prescriptions.</w:t>
            </w:r>
            <w:r w:rsidR="00552795">
              <w:rPr>
                <w:noProof/>
              </w:rPr>
              <w:tab/>
            </w:r>
            <w:r w:rsidR="00552795">
              <w:rPr>
                <w:noProof/>
              </w:rPr>
              <w:fldChar w:fldCharType="begin"/>
            </w:r>
            <w:r w:rsidR="00552795">
              <w:rPr>
                <w:noProof/>
              </w:rPr>
              <w:instrText xml:space="preserve"> PAGEREF _Toc131178771 \h </w:instrText>
            </w:r>
            <w:r w:rsidR="00552795">
              <w:rPr>
                <w:noProof/>
              </w:rPr>
            </w:r>
            <w:r w:rsidR="00552795">
              <w:rPr>
                <w:noProof/>
              </w:rPr>
              <w:fldChar w:fldCharType="separate"/>
            </w:r>
            <w:r w:rsidR="00130DCF">
              <w:rPr>
                <w:noProof/>
              </w:rPr>
              <w:t>35</w:t>
            </w:r>
            <w:r w:rsidR="00552795">
              <w:rPr>
                <w:noProof/>
              </w:rPr>
              <w:fldChar w:fldCharType="end"/>
            </w:r>
          </w:hyperlink>
        </w:p>
        <w:p w14:paraId="223B39E7" w14:textId="40AB35D9" w:rsidR="00552795" w:rsidRDefault="00000000">
          <w:pPr>
            <w:pStyle w:val="TOC1"/>
            <w:tabs>
              <w:tab w:val="right" w:leader="dot" w:pos="9628"/>
            </w:tabs>
            <w:rPr>
              <w:rFonts w:asciiTheme="minorHAnsi" w:hAnsiTheme="minorHAnsi"/>
              <w:b w:val="0"/>
              <w:noProof/>
              <w:sz w:val="22"/>
              <w:szCs w:val="22"/>
            </w:rPr>
          </w:pPr>
          <w:hyperlink w:anchor="_Toc131178772" w:history="1">
            <w:r w:rsidR="00552795" w:rsidRPr="006529B4">
              <w:rPr>
                <w:rStyle w:val="Hyperlink"/>
                <w:noProof/>
              </w:rPr>
              <w:t>Figure 5-6 Cumulative monthly rainfall anomalies for locations “near” coupes targeted for audit.</w:t>
            </w:r>
            <w:r w:rsidR="00552795">
              <w:rPr>
                <w:noProof/>
              </w:rPr>
              <w:tab/>
            </w:r>
            <w:r w:rsidR="00552795">
              <w:rPr>
                <w:noProof/>
              </w:rPr>
              <w:fldChar w:fldCharType="begin"/>
            </w:r>
            <w:r w:rsidR="00552795">
              <w:rPr>
                <w:noProof/>
              </w:rPr>
              <w:instrText xml:space="preserve"> PAGEREF _Toc131178772 \h </w:instrText>
            </w:r>
            <w:r w:rsidR="00552795">
              <w:rPr>
                <w:noProof/>
              </w:rPr>
            </w:r>
            <w:r w:rsidR="00552795">
              <w:rPr>
                <w:noProof/>
              </w:rPr>
              <w:fldChar w:fldCharType="separate"/>
            </w:r>
            <w:r w:rsidR="00130DCF">
              <w:rPr>
                <w:noProof/>
              </w:rPr>
              <w:t>43</w:t>
            </w:r>
            <w:r w:rsidR="00552795">
              <w:rPr>
                <w:noProof/>
              </w:rPr>
              <w:fldChar w:fldCharType="end"/>
            </w:r>
          </w:hyperlink>
        </w:p>
        <w:p w14:paraId="7EC85E06" w14:textId="383F6771" w:rsidR="0020292F" w:rsidRPr="005C4363" w:rsidRDefault="00872BAA" w:rsidP="0020292F">
          <w:r>
            <w:fldChar w:fldCharType="end"/>
          </w:r>
        </w:p>
        <w:p w14:paraId="67CBFCDF" w14:textId="77777777" w:rsidR="0020292F" w:rsidRDefault="00000000" w:rsidP="0020292F"/>
      </w:sdtContent>
    </w:sdt>
    <w:p w14:paraId="17B0D80C" w14:textId="77777777" w:rsidR="008A6AF1" w:rsidRDefault="008A6AF1" w:rsidP="00B46F37"/>
    <w:p w14:paraId="765D0073" w14:textId="77777777" w:rsidR="00B46F37" w:rsidRDefault="00B46F37" w:rsidP="006659BF">
      <w:pPr>
        <w:pStyle w:val="BodyText"/>
        <w:sectPr w:rsidR="00B46F37" w:rsidSect="00773A7E">
          <w:headerReference w:type="default" r:id="rId39"/>
          <w:footerReference w:type="default" r:id="rId40"/>
          <w:pgSz w:w="11906" w:h="16838" w:code="9"/>
          <w:pgMar w:top="1134" w:right="1134" w:bottom="567" w:left="1134" w:header="567" w:footer="0" w:gutter="0"/>
          <w:pgNumType w:fmt="lowerRoman"/>
          <w:cols w:space="720"/>
          <w:docGrid w:linePitch="360"/>
        </w:sectPr>
      </w:pPr>
    </w:p>
    <w:p w14:paraId="1FAA1A2E" w14:textId="77777777" w:rsidR="000A061B" w:rsidRDefault="000A061B" w:rsidP="000A061B">
      <w:pPr>
        <w:pStyle w:val="Headingunnumbered1"/>
      </w:pPr>
      <w:bookmarkStart w:id="55" w:name="_Toc131178662"/>
      <w:bookmarkStart w:id="56" w:name="_Toc42856228"/>
      <w:bookmarkStart w:id="57" w:name="_Toc42856071"/>
      <w:bookmarkStart w:id="58" w:name="_Toc41900238"/>
      <w:bookmarkStart w:id="59" w:name="_Toc41573219"/>
      <w:bookmarkEnd w:id="10"/>
      <w:r>
        <w:lastRenderedPageBreak/>
        <w:t>Glossary</w:t>
      </w:r>
      <w:bookmarkEnd w:id="55"/>
    </w:p>
    <w:tbl>
      <w:tblPr>
        <w:tblStyle w:val="JacobsTable1accentprimarythemes"/>
        <w:tblW w:w="9639" w:type="dxa"/>
        <w:tblBorders>
          <w:top w:val="none" w:sz="0" w:space="0" w:color="auto"/>
          <w:bottom w:val="none" w:sz="0" w:space="0" w:color="auto"/>
          <w:insideH w:val="none" w:sz="0" w:space="0" w:color="auto"/>
        </w:tblBorders>
        <w:tblLook w:val="04A0" w:firstRow="1" w:lastRow="0" w:firstColumn="1" w:lastColumn="0" w:noHBand="0" w:noVBand="1"/>
      </w:tblPr>
      <w:tblGrid>
        <w:gridCol w:w="1318"/>
        <w:gridCol w:w="8321"/>
      </w:tblGrid>
      <w:tr w:rsidR="000A061B" w:rsidRPr="000A061B" w14:paraId="119C6673" w14:textId="77777777" w:rsidTr="00C31A7B">
        <w:trPr>
          <w:cnfStyle w:val="100000000000" w:firstRow="1" w:lastRow="0" w:firstColumn="0" w:lastColumn="0" w:oddVBand="0" w:evenVBand="0" w:oddHBand="0" w:evenHBand="0" w:firstRowFirstColumn="0" w:firstRowLastColumn="0" w:lastRowFirstColumn="0" w:lastRowLastColumn="0"/>
          <w:tblHeader w:val="0"/>
        </w:trPr>
        <w:tc>
          <w:tcPr>
            <w:tcW w:w="1318" w:type="dxa"/>
            <w:shd w:val="clear" w:color="auto" w:fill="auto"/>
          </w:tcPr>
          <w:p w14:paraId="51EA9D03" w14:textId="77777777" w:rsidR="000A061B" w:rsidRPr="000A061B" w:rsidRDefault="000A061B" w:rsidP="00FB2E1B">
            <w:pPr>
              <w:pStyle w:val="TableText"/>
              <w:rPr>
                <w:color w:val="auto"/>
              </w:rPr>
            </w:pPr>
            <w:r w:rsidRPr="000A061B">
              <w:rPr>
                <w:color w:val="auto"/>
              </w:rPr>
              <w:t>Audit criteria</w:t>
            </w:r>
          </w:p>
        </w:tc>
        <w:tc>
          <w:tcPr>
            <w:tcW w:w="8321" w:type="dxa"/>
            <w:shd w:val="clear" w:color="auto" w:fill="auto"/>
          </w:tcPr>
          <w:p w14:paraId="30965089" w14:textId="77777777" w:rsidR="000A061B" w:rsidRPr="000A061B" w:rsidRDefault="000A061B" w:rsidP="00FB2E1B">
            <w:pPr>
              <w:pStyle w:val="TableText"/>
              <w:rPr>
                <w:color w:val="auto"/>
              </w:rPr>
            </w:pPr>
            <w:r w:rsidRPr="000A061B">
              <w:rPr>
                <w:color w:val="auto"/>
              </w:rPr>
              <w:t xml:space="preserve">Criteria used to assess whether timber harvesting and related activities are consistent with mandatory requirements of the Code and MSP. </w:t>
            </w:r>
          </w:p>
        </w:tc>
      </w:tr>
      <w:tr w:rsidR="000A061B" w:rsidRPr="000A061B" w14:paraId="6F26A56F" w14:textId="77777777" w:rsidTr="00C31A7B">
        <w:tc>
          <w:tcPr>
            <w:tcW w:w="1318" w:type="dxa"/>
          </w:tcPr>
          <w:p w14:paraId="3812F29D" w14:textId="77777777" w:rsidR="000A061B" w:rsidRPr="000A061B" w:rsidRDefault="000A061B" w:rsidP="00FB2E1B">
            <w:pPr>
              <w:pStyle w:val="TableText"/>
            </w:pPr>
            <w:r w:rsidRPr="000A061B">
              <w:t>Boundary track</w:t>
            </w:r>
          </w:p>
        </w:tc>
        <w:tc>
          <w:tcPr>
            <w:tcW w:w="8321" w:type="dxa"/>
          </w:tcPr>
          <w:p w14:paraId="49F24AA6" w14:textId="77777777" w:rsidR="000A061B" w:rsidRPr="000A061B" w:rsidRDefault="000A061B" w:rsidP="00FB2E1B">
            <w:pPr>
              <w:pStyle w:val="TableText"/>
            </w:pPr>
            <w:r w:rsidRPr="000A061B">
              <w:t>Track constructed in some harvest coupes that follows the marked boundary and is often used to support the containment of regeneration burns. Some boundary tracks may be used as snig tracks. Abbreviated as BT at places in this report.</w:t>
            </w:r>
          </w:p>
        </w:tc>
      </w:tr>
      <w:tr w:rsidR="000A061B" w:rsidRPr="000A061B" w14:paraId="3366C935" w14:textId="77777777" w:rsidTr="00C31A7B">
        <w:tc>
          <w:tcPr>
            <w:tcW w:w="1318" w:type="dxa"/>
          </w:tcPr>
          <w:p w14:paraId="38A57914" w14:textId="77777777" w:rsidR="000A061B" w:rsidRPr="000A061B" w:rsidRDefault="000A061B" w:rsidP="00FB2E1B">
            <w:pPr>
              <w:pStyle w:val="TableText"/>
            </w:pPr>
            <w:r w:rsidRPr="000A061B">
              <w:t>Buffer strip</w:t>
            </w:r>
          </w:p>
        </w:tc>
        <w:tc>
          <w:tcPr>
            <w:tcW w:w="8321" w:type="dxa"/>
          </w:tcPr>
          <w:p w14:paraId="3F22C184" w14:textId="77777777" w:rsidR="000A061B" w:rsidRPr="000A061B" w:rsidRDefault="000A061B" w:rsidP="00FB2E1B">
            <w:pPr>
              <w:pStyle w:val="TableText"/>
            </w:pPr>
            <w:r w:rsidRPr="000A061B">
              <w:t>A protective margin of vegetation excluded from any harvesting activity abutting a waterway or an area of rainforest or other special area, which protects it from potentially detrimental disturbances in the surrounding forest.</w:t>
            </w:r>
          </w:p>
        </w:tc>
      </w:tr>
      <w:tr w:rsidR="000A061B" w:rsidRPr="000A061B" w14:paraId="2BFE19C0" w14:textId="77777777" w:rsidTr="00C31A7B">
        <w:tc>
          <w:tcPr>
            <w:tcW w:w="1318" w:type="dxa"/>
          </w:tcPr>
          <w:p w14:paraId="0941D172" w14:textId="77777777" w:rsidR="000A061B" w:rsidRPr="000A061B" w:rsidRDefault="000A061B" w:rsidP="00FB2E1B">
            <w:pPr>
              <w:pStyle w:val="TableText"/>
            </w:pPr>
            <w:r w:rsidRPr="000A061B">
              <w:t>Code</w:t>
            </w:r>
          </w:p>
        </w:tc>
        <w:tc>
          <w:tcPr>
            <w:tcW w:w="8321" w:type="dxa"/>
          </w:tcPr>
          <w:p w14:paraId="3D0CB810" w14:textId="7525C8E0" w:rsidR="000A061B" w:rsidRPr="000A061B" w:rsidRDefault="000A061B" w:rsidP="00FB2E1B">
            <w:pPr>
              <w:pStyle w:val="TableText"/>
            </w:pPr>
            <w:r w:rsidRPr="000A061B">
              <w:t>The Code of Practice for Timber Production 2014</w:t>
            </w:r>
            <w:r w:rsidR="00680220">
              <w:t xml:space="preserve"> (revised 2021)</w:t>
            </w:r>
            <w:r w:rsidRPr="000A061B">
              <w:t>, which lists mandatory actions for timber harvesting activities in native forests and plantations in Victoria.</w:t>
            </w:r>
          </w:p>
        </w:tc>
      </w:tr>
      <w:tr w:rsidR="000A061B" w:rsidRPr="000A061B" w14:paraId="639BEF8A" w14:textId="77777777" w:rsidTr="00552795">
        <w:tc>
          <w:tcPr>
            <w:tcW w:w="1318" w:type="dxa"/>
          </w:tcPr>
          <w:p w14:paraId="4E2EAFB8" w14:textId="77777777" w:rsidR="000A061B" w:rsidRPr="000A061B" w:rsidRDefault="000A061B" w:rsidP="00FB2E1B">
            <w:pPr>
              <w:pStyle w:val="TableText"/>
            </w:pPr>
            <w:r w:rsidRPr="000A061B">
              <w:t xml:space="preserve">Conformance </w:t>
            </w:r>
          </w:p>
        </w:tc>
        <w:tc>
          <w:tcPr>
            <w:tcW w:w="8321" w:type="dxa"/>
          </w:tcPr>
          <w:p w14:paraId="2EFA36F2" w14:textId="77777777" w:rsidR="000A061B" w:rsidRDefault="000A061B" w:rsidP="00FB2E1B">
            <w:pPr>
              <w:pStyle w:val="TableText"/>
            </w:pPr>
            <w:r w:rsidRPr="000A061B">
              <w:t>Conformance with audit criteria. Activities were assessed to:</w:t>
            </w:r>
          </w:p>
          <w:p w14:paraId="7F5CFDCC" w14:textId="77777777" w:rsidR="000A061B" w:rsidRDefault="000A061B" w:rsidP="000A061B">
            <w:pPr>
              <w:pStyle w:val="TableBullet"/>
            </w:pPr>
            <w:r w:rsidRPr="000A061B">
              <w:t>Fully conform (or fully comply) with audit compliance element</w:t>
            </w:r>
          </w:p>
          <w:p w14:paraId="306C6455" w14:textId="77777777" w:rsidR="000A061B" w:rsidRDefault="000A061B" w:rsidP="000A061B">
            <w:pPr>
              <w:pStyle w:val="TableBullet"/>
            </w:pPr>
            <w:r w:rsidRPr="000A061B">
              <w:t>Not fully conform with the audit compliance element, but pose no direct risk of environmental harm</w:t>
            </w:r>
          </w:p>
          <w:p w14:paraId="7017FEEE" w14:textId="6EE3F27D" w:rsidR="000A061B" w:rsidRPr="000A061B" w:rsidRDefault="000A061B" w:rsidP="000A061B">
            <w:pPr>
              <w:pStyle w:val="TableBullet"/>
            </w:pPr>
            <w:r w:rsidRPr="000A061B">
              <w:t>Not fully conform with the audit compliance element and either have potential to pose a risk of harm to the environment or cause observable environmental harm. The severity of risk or actual harm is assessed using the FAP’s environmental impact assessment (EIA) rating tool (</w:t>
            </w:r>
            <w:r>
              <w:fldChar w:fldCharType="begin"/>
            </w:r>
            <w:r>
              <w:instrText xml:space="preserve"> REF _Ref120089846 \r \h </w:instrText>
            </w:r>
            <w:r>
              <w:fldChar w:fldCharType="separate"/>
            </w:r>
            <w:r w:rsidR="00130DCF">
              <w:t>Appendix B</w:t>
            </w:r>
            <w:r>
              <w:fldChar w:fldCharType="end"/>
            </w:r>
            <w:r w:rsidRPr="000A061B">
              <w:t>).</w:t>
            </w:r>
          </w:p>
        </w:tc>
      </w:tr>
      <w:tr w:rsidR="00F3209B" w:rsidRPr="000A061B" w14:paraId="5E724086" w14:textId="77777777" w:rsidTr="000610A2">
        <w:tc>
          <w:tcPr>
            <w:tcW w:w="1318" w:type="dxa"/>
          </w:tcPr>
          <w:p w14:paraId="4B4945EE" w14:textId="2C460DC3" w:rsidR="00F3209B" w:rsidRPr="000A061B" w:rsidRDefault="00F3209B" w:rsidP="00F3209B">
            <w:pPr>
              <w:pStyle w:val="TableText"/>
            </w:pPr>
            <w:r w:rsidRPr="000A061B">
              <w:t>CR</w:t>
            </w:r>
          </w:p>
        </w:tc>
        <w:tc>
          <w:tcPr>
            <w:tcW w:w="8321" w:type="dxa"/>
          </w:tcPr>
          <w:p w14:paraId="550C930D" w14:textId="168ACB9B" w:rsidR="00F3209B" w:rsidRPr="000A061B" w:rsidRDefault="00F3209B" w:rsidP="00F3209B">
            <w:pPr>
              <w:pStyle w:val="TableText"/>
            </w:pPr>
            <w:r w:rsidRPr="000A061B">
              <w:t xml:space="preserve">Conservation Regulator, an office within </w:t>
            </w:r>
            <w:r>
              <w:t>DEECA</w:t>
            </w:r>
            <w:r w:rsidRPr="000A061B">
              <w:t xml:space="preserve"> that administers the regulatory framework for timber harvesting in State forests.</w:t>
            </w:r>
          </w:p>
        </w:tc>
      </w:tr>
      <w:tr w:rsidR="000A061B" w:rsidRPr="000A061B" w14:paraId="22C04D51" w14:textId="77777777" w:rsidTr="00C31A7B">
        <w:tc>
          <w:tcPr>
            <w:tcW w:w="1318" w:type="dxa"/>
          </w:tcPr>
          <w:p w14:paraId="56EC5D33" w14:textId="77777777" w:rsidR="000A061B" w:rsidRPr="000A061B" w:rsidRDefault="000A061B" w:rsidP="00FB2E1B">
            <w:pPr>
              <w:pStyle w:val="TableText"/>
            </w:pPr>
            <w:r w:rsidRPr="000A061B">
              <w:t>Cording</w:t>
            </w:r>
          </w:p>
        </w:tc>
        <w:tc>
          <w:tcPr>
            <w:tcW w:w="8321" w:type="dxa"/>
          </w:tcPr>
          <w:p w14:paraId="44C05D18" w14:textId="77777777" w:rsidR="000A061B" w:rsidRPr="000A061B" w:rsidRDefault="000A061B" w:rsidP="00FB2E1B">
            <w:pPr>
              <w:pStyle w:val="TableText"/>
            </w:pPr>
            <w:r w:rsidRPr="000A061B">
              <w:t>Log material (&gt;15 cm diameter) placed in a corduroy fashion on landings and snig tracks to distribute loading over a greater area and reduce soil disturbance. Cording is typically accompanied by matting, which is bark or head material that is used to cover cording on snig tracks and landings.</w:t>
            </w:r>
          </w:p>
        </w:tc>
      </w:tr>
      <w:tr w:rsidR="000A061B" w:rsidRPr="000A061B" w14:paraId="0AF95D74" w14:textId="77777777" w:rsidTr="00C31A7B">
        <w:tc>
          <w:tcPr>
            <w:tcW w:w="1318" w:type="dxa"/>
          </w:tcPr>
          <w:p w14:paraId="4662EFF9" w14:textId="77777777" w:rsidR="000A061B" w:rsidRPr="000A061B" w:rsidRDefault="000A061B" w:rsidP="00FB2E1B">
            <w:pPr>
              <w:pStyle w:val="TableText"/>
            </w:pPr>
            <w:r w:rsidRPr="000A061B">
              <w:t>Coupe</w:t>
            </w:r>
          </w:p>
        </w:tc>
        <w:tc>
          <w:tcPr>
            <w:tcW w:w="8321" w:type="dxa"/>
          </w:tcPr>
          <w:p w14:paraId="5C9CEB3D" w14:textId="77777777" w:rsidR="000A061B" w:rsidRPr="000A061B" w:rsidRDefault="000A061B" w:rsidP="00FB2E1B">
            <w:pPr>
              <w:pStyle w:val="TableText"/>
            </w:pPr>
            <w:r w:rsidRPr="000A061B">
              <w:t>An individual management unit within forests and plantations where timber harvesting or thinning activities are planned and conducted. Under the Sustainable Forests (Timber) Act 2004, a coupe is a specific area of State forest identified for the purposes of timber harvesting and regeneration in a Timber Release Plan.</w:t>
            </w:r>
          </w:p>
        </w:tc>
      </w:tr>
      <w:tr w:rsidR="000A061B" w:rsidRPr="000A061B" w14:paraId="187DEDD2" w14:textId="77777777" w:rsidTr="00C31A7B">
        <w:tc>
          <w:tcPr>
            <w:tcW w:w="1318" w:type="dxa"/>
          </w:tcPr>
          <w:p w14:paraId="1B82D9E6" w14:textId="3D02FD8E" w:rsidR="000A061B" w:rsidRPr="000A061B" w:rsidRDefault="00A84884" w:rsidP="00FB2E1B">
            <w:pPr>
              <w:pStyle w:val="TableText"/>
            </w:pPr>
            <w:r>
              <w:t>DEECA</w:t>
            </w:r>
          </w:p>
        </w:tc>
        <w:tc>
          <w:tcPr>
            <w:tcW w:w="8321" w:type="dxa"/>
          </w:tcPr>
          <w:p w14:paraId="05EE0D39" w14:textId="1E800DDE" w:rsidR="000A061B" w:rsidRPr="000A061B" w:rsidRDefault="000A061B" w:rsidP="00FB2E1B">
            <w:pPr>
              <w:pStyle w:val="TableText"/>
            </w:pPr>
            <w:r w:rsidRPr="000A061B">
              <w:t xml:space="preserve">Department of </w:t>
            </w:r>
            <w:r w:rsidR="00A84884">
              <w:t xml:space="preserve">Energy, </w:t>
            </w:r>
            <w:r w:rsidRPr="000A061B">
              <w:t>Environment</w:t>
            </w:r>
            <w:r w:rsidR="00A84884">
              <w:t xml:space="preserve"> and Climate Action</w:t>
            </w:r>
            <w:r w:rsidRPr="000A061B">
              <w:t xml:space="preserve">: </w:t>
            </w:r>
            <w:r w:rsidR="00A84884">
              <w:t>DEECA</w:t>
            </w:r>
            <w:r w:rsidR="00A84884" w:rsidRPr="000A061B">
              <w:t xml:space="preserve"> </w:t>
            </w:r>
            <w:r w:rsidRPr="000A061B">
              <w:t xml:space="preserve">has responsibility for environmental regulation of timber production activities in State forests. </w:t>
            </w:r>
            <w:r w:rsidR="00A84884">
              <w:t>DEECA</w:t>
            </w:r>
            <w:r w:rsidR="00A84884" w:rsidRPr="000A061B">
              <w:t xml:space="preserve"> </w:t>
            </w:r>
            <w:r w:rsidRPr="000A061B">
              <w:t xml:space="preserve">were formerly known as the </w:t>
            </w:r>
            <w:r w:rsidR="00A84884">
              <w:t>Department of Environment</w:t>
            </w:r>
            <w:r w:rsidR="00511FA1">
              <w:t xml:space="preserve">, Land, Water and Planning (DELWP), </w:t>
            </w:r>
            <w:r w:rsidRPr="000A061B">
              <w:t xml:space="preserve">Department of Environment and Primary Industries (DEPI) and the Department of Sustainability and Environment (DSE). </w:t>
            </w:r>
          </w:p>
        </w:tc>
      </w:tr>
      <w:tr w:rsidR="000A061B" w:rsidRPr="000A061B" w14:paraId="0D399E2D" w14:textId="77777777" w:rsidTr="00552795">
        <w:tc>
          <w:tcPr>
            <w:tcW w:w="1318" w:type="dxa"/>
          </w:tcPr>
          <w:p w14:paraId="321947EA" w14:textId="77777777" w:rsidR="000A061B" w:rsidRPr="000A061B" w:rsidRDefault="000A061B" w:rsidP="00FB2E1B">
            <w:pPr>
              <w:pStyle w:val="TableText"/>
            </w:pPr>
            <w:r w:rsidRPr="000A061B">
              <w:t>EI</w:t>
            </w:r>
          </w:p>
        </w:tc>
        <w:tc>
          <w:tcPr>
            <w:tcW w:w="8321" w:type="dxa"/>
          </w:tcPr>
          <w:p w14:paraId="0EE89F72" w14:textId="12DCCEA0" w:rsidR="000A061B" w:rsidRPr="000A061B" w:rsidRDefault="000A061B" w:rsidP="00FB2E1B">
            <w:pPr>
              <w:pStyle w:val="TableText"/>
            </w:pPr>
            <w:r w:rsidRPr="000A061B">
              <w:t>Environmental impact, as assessed using the EIA rating tool (</w:t>
            </w:r>
            <w:r>
              <w:fldChar w:fldCharType="begin"/>
            </w:r>
            <w:r>
              <w:instrText xml:space="preserve"> REF _Ref120089846 \r \h </w:instrText>
            </w:r>
            <w:r>
              <w:fldChar w:fldCharType="separate"/>
            </w:r>
            <w:r w:rsidR="00130DCF">
              <w:t>Appendix B</w:t>
            </w:r>
            <w:r>
              <w:fldChar w:fldCharType="end"/>
            </w:r>
            <w:r w:rsidRPr="000A061B">
              <w:t>).</w:t>
            </w:r>
          </w:p>
        </w:tc>
      </w:tr>
      <w:tr w:rsidR="000A061B" w:rsidRPr="000A061B" w14:paraId="2F3F889B" w14:textId="77777777" w:rsidTr="00C31A7B">
        <w:tc>
          <w:tcPr>
            <w:tcW w:w="1318" w:type="dxa"/>
          </w:tcPr>
          <w:p w14:paraId="7675DBF1" w14:textId="77777777" w:rsidR="000A061B" w:rsidRPr="000A061B" w:rsidRDefault="000A061B" w:rsidP="00FB2E1B">
            <w:pPr>
              <w:pStyle w:val="TableText"/>
            </w:pPr>
            <w:r w:rsidRPr="000A061B">
              <w:t>EIA, EIA rating tool</w:t>
            </w:r>
          </w:p>
        </w:tc>
        <w:tc>
          <w:tcPr>
            <w:tcW w:w="8321" w:type="dxa"/>
          </w:tcPr>
          <w:p w14:paraId="2283A437" w14:textId="77777777" w:rsidR="000A061B" w:rsidRPr="000A061B" w:rsidRDefault="000A061B" w:rsidP="00FB2E1B">
            <w:pPr>
              <w:pStyle w:val="TableText"/>
            </w:pPr>
            <w:r w:rsidRPr="000A061B">
              <w:t>Environmental Impact Assessment. The EIA rating tool was developed for the FAP (see Appendix B) to provide a consistent basis for assessing the potential environmental implications of non-compliance with audit criteria.</w:t>
            </w:r>
          </w:p>
        </w:tc>
      </w:tr>
      <w:tr w:rsidR="000A061B" w:rsidRPr="000A061B" w14:paraId="68A26766" w14:textId="77777777" w:rsidTr="00C31A7B">
        <w:tc>
          <w:tcPr>
            <w:tcW w:w="1318" w:type="dxa"/>
          </w:tcPr>
          <w:p w14:paraId="336865BF" w14:textId="77777777" w:rsidR="000A061B" w:rsidRPr="000A061B" w:rsidRDefault="000A061B" w:rsidP="00FB2E1B">
            <w:pPr>
              <w:pStyle w:val="TableText"/>
            </w:pPr>
            <w:r w:rsidRPr="000A061B">
              <w:t>FAP</w:t>
            </w:r>
          </w:p>
        </w:tc>
        <w:tc>
          <w:tcPr>
            <w:tcW w:w="8321" w:type="dxa"/>
          </w:tcPr>
          <w:p w14:paraId="47141625" w14:textId="31A0CD39" w:rsidR="000A061B" w:rsidRPr="000A061B" w:rsidRDefault="000A061B" w:rsidP="00FB2E1B">
            <w:pPr>
              <w:pStyle w:val="TableText"/>
            </w:pPr>
            <w:r w:rsidRPr="000A061B">
              <w:t xml:space="preserve">Forest Audit Program, an annual program of environmental audits coordinated by </w:t>
            </w:r>
            <w:r w:rsidR="00511FA1">
              <w:t>DEECA</w:t>
            </w:r>
            <w:r w:rsidR="00511FA1" w:rsidRPr="000A061B">
              <w:t xml:space="preserve"> </w:t>
            </w:r>
            <w:r w:rsidRPr="000A061B">
              <w:t>to ensure that timber production operations in State forests provide for sustainable forest management.</w:t>
            </w:r>
          </w:p>
        </w:tc>
      </w:tr>
      <w:tr w:rsidR="000A061B" w:rsidRPr="000A061B" w14:paraId="28A6A729" w14:textId="77777777" w:rsidTr="00C31A7B">
        <w:tc>
          <w:tcPr>
            <w:tcW w:w="1318" w:type="dxa"/>
          </w:tcPr>
          <w:p w14:paraId="3965ABB7" w14:textId="77777777" w:rsidR="000A061B" w:rsidRPr="000A061B" w:rsidRDefault="000A061B" w:rsidP="00FB2E1B">
            <w:pPr>
              <w:pStyle w:val="TableText"/>
            </w:pPr>
            <w:r w:rsidRPr="000A061B">
              <w:t>Filter strip</w:t>
            </w:r>
          </w:p>
        </w:tc>
        <w:tc>
          <w:tcPr>
            <w:tcW w:w="8321" w:type="dxa"/>
          </w:tcPr>
          <w:p w14:paraId="0C796865" w14:textId="77777777" w:rsidR="000A061B" w:rsidRPr="000A061B" w:rsidRDefault="000A061B" w:rsidP="00FB2E1B">
            <w:pPr>
              <w:pStyle w:val="TableText"/>
            </w:pPr>
            <w:r w:rsidRPr="000A061B">
              <w:t>A protective boundary around a drainage line, temporary stream or buffer strip. Trees may be harvested from within a filter strip, although they may not generally be entered by harvesting machines.</w:t>
            </w:r>
          </w:p>
        </w:tc>
      </w:tr>
      <w:tr w:rsidR="000A061B" w:rsidRPr="000A061B" w14:paraId="3A3682C6" w14:textId="77777777" w:rsidTr="00C31A7B">
        <w:tc>
          <w:tcPr>
            <w:tcW w:w="1318" w:type="dxa"/>
          </w:tcPr>
          <w:p w14:paraId="1C6799C7" w14:textId="77777777" w:rsidR="000A061B" w:rsidRPr="000A061B" w:rsidRDefault="000A061B" w:rsidP="00FB2E1B">
            <w:pPr>
              <w:pStyle w:val="TableText"/>
            </w:pPr>
            <w:r w:rsidRPr="000A061B">
              <w:t>FCP</w:t>
            </w:r>
          </w:p>
        </w:tc>
        <w:tc>
          <w:tcPr>
            <w:tcW w:w="8321" w:type="dxa"/>
          </w:tcPr>
          <w:p w14:paraId="4D831E84" w14:textId="3FC95BFF" w:rsidR="000A061B" w:rsidRPr="000A061B" w:rsidRDefault="000A061B" w:rsidP="00FB2E1B">
            <w:pPr>
              <w:pStyle w:val="TableText"/>
            </w:pPr>
            <w:r w:rsidRPr="000A061B">
              <w:t xml:space="preserve">Forest Coupe Plan, a plan that is prepared for each coupe that describes the biophysical character of the coupe and the nature of planned harvesting operations. The minimum FCP content requirements are specified in the Code. The FCP is contained within a coupe file that includes other information, including coupe monitoring records, traffic management provisions and silvicultural operations. The coupe file may also refer to information about the coupe and its operations that is held within a VicForests or </w:t>
            </w:r>
            <w:r w:rsidR="004B532E">
              <w:t>DEECA</w:t>
            </w:r>
            <w:r w:rsidR="004B532E" w:rsidRPr="000A061B">
              <w:t xml:space="preserve"> </w:t>
            </w:r>
            <w:r w:rsidRPr="000A061B">
              <w:t>information management system.</w:t>
            </w:r>
          </w:p>
        </w:tc>
      </w:tr>
      <w:tr w:rsidR="000A061B" w:rsidRPr="000A061B" w14:paraId="26AC7CFB" w14:textId="77777777" w:rsidTr="00C31A7B">
        <w:tc>
          <w:tcPr>
            <w:tcW w:w="1318" w:type="dxa"/>
          </w:tcPr>
          <w:p w14:paraId="5843B115" w14:textId="77777777" w:rsidR="000A061B" w:rsidRPr="000A061B" w:rsidRDefault="000A061B" w:rsidP="00FB2E1B">
            <w:pPr>
              <w:pStyle w:val="TableText"/>
            </w:pPr>
            <w:r w:rsidRPr="000A061B">
              <w:t>FMA</w:t>
            </w:r>
          </w:p>
        </w:tc>
        <w:tc>
          <w:tcPr>
            <w:tcW w:w="8321" w:type="dxa"/>
          </w:tcPr>
          <w:p w14:paraId="37ED5396" w14:textId="77777777" w:rsidR="000A061B" w:rsidRPr="000A061B" w:rsidRDefault="000A061B" w:rsidP="00FB2E1B">
            <w:pPr>
              <w:pStyle w:val="TableText"/>
            </w:pPr>
            <w:r w:rsidRPr="000A061B">
              <w:t>Forest Management Area, the basic regional unit for forest planning used for public land in Victoria. These forest planning units are not administrative units.</w:t>
            </w:r>
          </w:p>
        </w:tc>
      </w:tr>
      <w:tr w:rsidR="00473DBC" w:rsidRPr="000A061B" w14:paraId="6F9C7278" w14:textId="77777777" w:rsidTr="00C31A7B">
        <w:tc>
          <w:tcPr>
            <w:tcW w:w="1318" w:type="dxa"/>
          </w:tcPr>
          <w:p w14:paraId="20F50ED9" w14:textId="23328DD5" w:rsidR="00473DBC" w:rsidRPr="000A061B" w:rsidRDefault="00473DBC" w:rsidP="00FB2E1B">
            <w:pPr>
              <w:pStyle w:val="TableText"/>
            </w:pPr>
            <w:r>
              <w:t>FPSP</w:t>
            </w:r>
          </w:p>
        </w:tc>
        <w:tc>
          <w:tcPr>
            <w:tcW w:w="8321" w:type="dxa"/>
          </w:tcPr>
          <w:p w14:paraId="74475533" w14:textId="2ADB2D44" w:rsidR="00473DBC" w:rsidRPr="000A061B" w:rsidRDefault="00473DBC" w:rsidP="00FB2E1B">
            <w:pPr>
              <w:pStyle w:val="TableText"/>
            </w:pPr>
            <w:r>
              <w:t xml:space="preserve">Forest Protection Survey Program. Program of pre-harvest flora and/or fauna surveys conducted by ecological contractors engaged by </w:t>
            </w:r>
            <w:r w:rsidR="004B532E">
              <w:t>DEECA</w:t>
            </w:r>
            <w:r>
              <w:t xml:space="preserve">. FPSP surveys are undertaken of coupes </w:t>
            </w:r>
            <w:r w:rsidR="003B69C4">
              <w:t>listed on VicForests’ Timber Release Plan (TRP) and scheduled for harvesting.</w:t>
            </w:r>
          </w:p>
        </w:tc>
      </w:tr>
      <w:tr w:rsidR="00BC2EE9" w:rsidRPr="000A061B" w14:paraId="306EC33B" w14:textId="77777777" w:rsidTr="00C31A7B">
        <w:tc>
          <w:tcPr>
            <w:tcW w:w="1318" w:type="dxa"/>
          </w:tcPr>
          <w:p w14:paraId="1F76F545" w14:textId="08BB46B8" w:rsidR="00BC2EE9" w:rsidRDefault="00BC2EE9" w:rsidP="00FB2E1B">
            <w:pPr>
              <w:pStyle w:val="TableText"/>
            </w:pPr>
            <w:r>
              <w:t>HDM</w:t>
            </w:r>
          </w:p>
        </w:tc>
        <w:tc>
          <w:tcPr>
            <w:tcW w:w="8321" w:type="dxa"/>
          </w:tcPr>
          <w:p w14:paraId="31AC0CAB" w14:textId="6A5B669F" w:rsidR="00BC2EE9" w:rsidRDefault="00BC2EE9" w:rsidP="00FB2E1B">
            <w:pPr>
              <w:pStyle w:val="TableText"/>
            </w:pPr>
            <w:r>
              <w:t>Habitat Distribution Model. Ecological model showing likely distribution of threatened flora and fauna species in native vegetation areas.</w:t>
            </w:r>
          </w:p>
        </w:tc>
      </w:tr>
      <w:tr w:rsidR="000A061B" w:rsidRPr="000A061B" w14:paraId="4383F0B9" w14:textId="77777777" w:rsidTr="00C31A7B">
        <w:tc>
          <w:tcPr>
            <w:tcW w:w="1318" w:type="dxa"/>
          </w:tcPr>
          <w:p w14:paraId="42437AB5" w14:textId="4AB3F088" w:rsidR="000A061B" w:rsidRPr="000A061B" w:rsidRDefault="000A061B" w:rsidP="00FB2E1B">
            <w:pPr>
              <w:pStyle w:val="TableText"/>
            </w:pPr>
            <w:r w:rsidRPr="000A061B">
              <w:t>In-coupe road</w:t>
            </w:r>
            <w:r>
              <w:t xml:space="preserve"> (ICR)</w:t>
            </w:r>
          </w:p>
        </w:tc>
        <w:tc>
          <w:tcPr>
            <w:tcW w:w="8321" w:type="dxa"/>
          </w:tcPr>
          <w:p w14:paraId="31C73D35" w14:textId="77777777" w:rsidR="000A061B" w:rsidRPr="000A061B" w:rsidRDefault="000A061B" w:rsidP="00FB2E1B">
            <w:pPr>
              <w:pStyle w:val="TableText"/>
            </w:pPr>
            <w:r w:rsidRPr="000A061B">
              <w:t>A temporary or, in some cases, permanent road constructed to provide access to landings and/or allow haulage of timber from the coupe. Abbreviated ICR in some tables in this report.</w:t>
            </w:r>
          </w:p>
        </w:tc>
      </w:tr>
      <w:tr w:rsidR="000A061B" w:rsidRPr="000A061B" w14:paraId="79D1A6F1" w14:textId="77777777" w:rsidTr="00C31A7B">
        <w:tc>
          <w:tcPr>
            <w:tcW w:w="1318" w:type="dxa"/>
          </w:tcPr>
          <w:p w14:paraId="37B6B436" w14:textId="77777777" w:rsidR="000A061B" w:rsidRPr="000A061B" w:rsidRDefault="000A061B" w:rsidP="00FB2E1B">
            <w:pPr>
              <w:pStyle w:val="TableText"/>
            </w:pPr>
            <w:r w:rsidRPr="000A061B">
              <w:t>Incident</w:t>
            </w:r>
          </w:p>
        </w:tc>
        <w:tc>
          <w:tcPr>
            <w:tcW w:w="8321" w:type="dxa"/>
          </w:tcPr>
          <w:p w14:paraId="772C4EA2" w14:textId="77777777" w:rsidR="000A061B" w:rsidRPr="000A061B" w:rsidRDefault="000A061B" w:rsidP="00FB2E1B">
            <w:pPr>
              <w:pStyle w:val="TableText"/>
            </w:pPr>
            <w:r w:rsidRPr="000A061B">
              <w:t>An event, action or lack of action on a coupe that gives rise to an assessment of non-conformance with an audit criterion. The nature of the audit criteria and various prescriptions mean that a single incident may result in multiple non-conformances.</w:t>
            </w:r>
          </w:p>
        </w:tc>
      </w:tr>
      <w:tr w:rsidR="000A061B" w:rsidRPr="000A061B" w14:paraId="3624E17A" w14:textId="77777777" w:rsidTr="00C31A7B">
        <w:tc>
          <w:tcPr>
            <w:tcW w:w="1318" w:type="dxa"/>
          </w:tcPr>
          <w:p w14:paraId="7AFE62C2" w14:textId="77777777" w:rsidR="000A061B" w:rsidRPr="000A061B" w:rsidRDefault="000A061B" w:rsidP="00FB2E1B">
            <w:pPr>
              <w:pStyle w:val="TableText"/>
            </w:pPr>
            <w:r w:rsidRPr="000A061B">
              <w:lastRenderedPageBreak/>
              <w:t>Landing</w:t>
            </w:r>
          </w:p>
        </w:tc>
        <w:tc>
          <w:tcPr>
            <w:tcW w:w="8321" w:type="dxa"/>
          </w:tcPr>
          <w:p w14:paraId="0C1FAC62" w14:textId="77777777" w:rsidR="000A061B" w:rsidRPr="000A061B" w:rsidRDefault="000A061B" w:rsidP="00FB2E1B">
            <w:pPr>
              <w:pStyle w:val="TableText"/>
            </w:pPr>
            <w:r w:rsidRPr="000A061B">
              <w:t>An area within the coupe that is specifically developed to sort, process and/or load trees or parts of trees for transport from the forest. Topsoil may be removed before landings are developed. Landings must be rehabilitated at coupe closure (including by ripping and re-spreading topsoil) unless they are to be used for an adjacent coupe.</w:t>
            </w:r>
          </w:p>
        </w:tc>
      </w:tr>
      <w:tr w:rsidR="000A061B" w:rsidRPr="000A061B" w14:paraId="6A333D7A" w14:textId="77777777" w:rsidTr="00C31A7B">
        <w:tc>
          <w:tcPr>
            <w:tcW w:w="1318" w:type="dxa"/>
          </w:tcPr>
          <w:p w14:paraId="3FEACFCD" w14:textId="77777777" w:rsidR="000A061B" w:rsidRPr="000A061B" w:rsidRDefault="000A061B" w:rsidP="00FB2E1B">
            <w:pPr>
              <w:pStyle w:val="TableText"/>
            </w:pPr>
            <w:r w:rsidRPr="000A061B">
              <w:t>MSP</w:t>
            </w:r>
          </w:p>
        </w:tc>
        <w:tc>
          <w:tcPr>
            <w:tcW w:w="8321" w:type="dxa"/>
          </w:tcPr>
          <w:p w14:paraId="2E32B414" w14:textId="6C550B78" w:rsidR="000A061B" w:rsidRPr="000A061B" w:rsidRDefault="000A061B" w:rsidP="00FB2E1B">
            <w:pPr>
              <w:pStyle w:val="TableText"/>
            </w:pPr>
            <w:r w:rsidRPr="000A061B">
              <w:t>Management standards and procedures for timber harvesting operations in Victoria’s State forests 2014</w:t>
            </w:r>
            <w:r w:rsidR="006474EE">
              <w:t xml:space="preserve"> (revised 2021)</w:t>
            </w:r>
            <w:r w:rsidRPr="000A061B">
              <w:t xml:space="preserve">. They are designed to help interpret the Code for timber harvesting and related activities in State forests. They are a secondary source of mandatory prescriptions for forest management. </w:t>
            </w:r>
          </w:p>
        </w:tc>
      </w:tr>
      <w:tr w:rsidR="000A061B" w:rsidRPr="000A061B" w14:paraId="22A91625" w14:textId="77777777" w:rsidTr="00C31A7B">
        <w:tc>
          <w:tcPr>
            <w:tcW w:w="1318" w:type="dxa"/>
          </w:tcPr>
          <w:p w14:paraId="4ACA65D5" w14:textId="77777777" w:rsidR="000A061B" w:rsidRPr="000A061B" w:rsidRDefault="000A061B" w:rsidP="00FB2E1B">
            <w:pPr>
              <w:pStyle w:val="TableText"/>
            </w:pPr>
            <w:r w:rsidRPr="000A061B">
              <w:t>MRT</w:t>
            </w:r>
          </w:p>
        </w:tc>
        <w:tc>
          <w:tcPr>
            <w:tcW w:w="8321" w:type="dxa"/>
          </w:tcPr>
          <w:p w14:paraId="51B18787" w14:textId="77777777" w:rsidR="000A061B" w:rsidRPr="000A061B" w:rsidRDefault="000A061B" w:rsidP="00FB2E1B">
            <w:pPr>
              <w:pStyle w:val="TableText"/>
            </w:pPr>
            <w:r w:rsidRPr="000A061B">
              <w:t>Montane Riparian Thicket, a vegetation community containing at least 40% canopy cover of Mountain Tea-tree (</w:t>
            </w:r>
            <w:r w:rsidRPr="000A061B">
              <w:rPr>
                <w:i/>
                <w:iCs/>
              </w:rPr>
              <w:t>Leptospermum grandifolium</w:t>
            </w:r>
            <w:r w:rsidRPr="000A061B">
              <w:t>) and with understorey composition as per the MSPs.</w:t>
            </w:r>
          </w:p>
        </w:tc>
      </w:tr>
      <w:tr w:rsidR="000A061B" w:rsidRPr="000A061B" w14:paraId="587FAA1D" w14:textId="77777777" w:rsidTr="00C31A7B">
        <w:tc>
          <w:tcPr>
            <w:tcW w:w="1318" w:type="dxa"/>
          </w:tcPr>
          <w:p w14:paraId="67B0B904" w14:textId="77777777" w:rsidR="000A061B" w:rsidRPr="000A061B" w:rsidRDefault="000A061B" w:rsidP="00FB2E1B">
            <w:pPr>
              <w:pStyle w:val="TableText"/>
            </w:pPr>
            <w:r w:rsidRPr="000A061B">
              <w:t>Rainforest stand</w:t>
            </w:r>
          </w:p>
        </w:tc>
        <w:tc>
          <w:tcPr>
            <w:tcW w:w="8321" w:type="dxa"/>
          </w:tcPr>
          <w:p w14:paraId="01B6AFB7" w14:textId="502B3849" w:rsidR="000A061B" w:rsidRPr="000A061B" w:rsidRDefault="000A061B" w:rsidP="00FB2E1B">
            <w:pPr>
              <w:pStyle w:val="TableText"/>
            </w:pPr>
            <w:r w:rsidRPr="000A061B">
              <w:t>Patch of rainforest vegetation that meets the minimum species composition, size and projected foliage cover requirements of MSP 4.</w:t>
            </w:r>
            <w:r w:rsidR="00473DBC">
              <w:t>3</w:t>
            </w:r>
            <w:r w:rsidRPr="000A061B">
              <w:t>.7 and 4.</w:t>
            </w:r>
            <w:r w:rsidR="00473DBC">
              <w:t>3</w:t>
            </w:r>
            <w:r w:rsidRPr="000A061B">
              <w:t>.8 for recognition as a rainforest stand.</w:t>
            </w:r>
          </w:p>
        </w:tc>
      </w:tr>
      <w:tr w:rsidR="000A061B" w:rsidRPr="000A061B" w14:paraId="4EAFA2C1" w14:textId="77777777" w:rsidTr="00C31A7B">
        <w:tc>
          <w:tcPr>
            <w:tcW w:w="1318" w:type="dxa"/>
          </w:tcPr>
          <w:p w14:paraId="34AE01F1" w14:textId="77777777" w:rsidR="000A061B" w:rsidRPr="000A061B" w:rsidRDefault="000A061B" w:rsidP="00FB2E1B">
            <w:pPr>
              <w:pStyle w:val="TableText"/>
            </w:pPr>
            <w:r w:rsidRPr="000A061B">
              <w:t>Rainforest vegetation</w:t>
            </w:r>
          </w:p>
        </w:tc>
        <w:tc>
          <w:tcPr>
            <w:tcW w:w="8321" w:type="dxa"/>
          </w:tcPr>
          <w:p w14:paraId="128D3825" w14:textId="1CBA1854" w:rsidR="000A061B" w:rsidRPr="000A061B" w:rsidRDefault="000A061B" w:rsidP="00FB2E1B">
            <w:pPr>
              <w:pStyle w:val="TableText"/>
            </w:pPr>
            <w:r w:rsidRPr="000A061B">
              <w:t>A patch of vegetation comprised of recognised rainforest canopy species, as per MSP 4.</w:t>
            </w:r>
            <w:r w:rsidR="00473DBC">
              <w:t>3</w:t>
            </w:r>
            <w:r w:rsidRPr="000A061B">
              <w:t>.7. Rainforest vegetation may or may not form a stand, as described in the MSPs.</w:t>
            </w:r>
          </w:p>
        </w:tc>
      </w:tr>
      <w:tr w:rsidR="000A061B" w:rsidRPr="000A061B" w14:paraId="7E4D4639" w14:textId="77777777" w:rsidTr="00C31A7B">
        <w:tc>
          <w:tcPr>
            <w:tcW w:w="1318" w:type="dxa"/>
          </w:tcPr>
          <w:p w14:paraId="4303B29C" w14:textId="77777777" w:rsidR="000A061B" w:rsidRPr="000A061B" w:rsidRDefault="000A061B" w:rsidP="00FB2E1B">
            <w:pPr>
              <w:pStyle w:val="TableText"/>
            </w:pPr>
            <w:r w:rsidRPr="000A061B">
              <w:t>RFA</w:t>
            </w:r>
          </w:p>
        </w:tc>
        <w:tc>
          <w:tcPr>
            <w:tcW w:w="8321" w:type="dxa"/>
          </w:tcPr>
          <w:p w14:paraId="7FE7E51B" w14:textId="77777777" w:rsidR="000A061B" w:rsidRPr="000A061B" w:rsidRDefault="000A061B" w:rsidP="00FB2E1B">
            <w:pPr>
              <w:pStyle w:val="TableText"/>
            </w:pPr>
            <w:r w:rsidRPr="000A061B">
              <w:t>Regional Forest Agreement. The 2020-21 FAP considered coupes in three RFA regions, Central Highlands, Gippsland and East Gippsland.</w:t>
            </w:r>
          </w:p>
        </w:tc>
      </w:tr>
      <w:tr w:rsidR="000A061B" w:rsidRPr="000A061B" w14:paraId="050D0154" w14:textId="77777777" w:rsidTr="00C31A7B">
        <w:tc>
          <w:tcPr>
            <w:tcW w:w="1318" w:type="dxa"/>
          </w:tcPr>
          <w:p w14:paraId="758BFE00" w14:textId="77777777" w:rsidR="000A061B" w:rsidRPr="000A061B" w:rsidRDefault="000A061B" w:rsidP="00FB2E1B">
            <w:pPr>
              <w:pStyle w:val="TableText"/>
            </w:pPr>
            <w:r w:rsidRPr="000A061B">
              <w:t>Rough heaping</w:t>
            </w:r>
          </w:p>
        </w:tc>
        <w:tc>
          <w:tcPr>
            <w:tcW w:w="8321" w:type="dxa"/>
          </w:tcPr>
          <w:p w14:paraId="169C4B9A" w14:textId="77777777" w:rsidR="000A061B" w:rsidRPr="000A061B" w:rsidRDefault="000A061B" w:rsidP="00FB2E1B">
            <w:pPr>
              <w:pStyle w:val="TableText"/>
            </w:pPr>
            <w:r w:rsidRPr="000A061B">
              <w:t>A method of preparing coupes for regeneration. Woody residue from harvesting is pushed into heaps and burnt. Soils, understorey and coupe infrastructure are disturbed by machinery to create a receptive seed bed.</w:t>
            </w:r>
          </w:p>
        </w:tc>
      </w:tr>
      <w:tr w:rsidR="000A061B" w:rsidRPr="000A061B" w14:paraId="17316DED" w14:textId="77777777" w:rsidTr="00C31A7B">
        <w:tc>
          <w:tcPr>
            <w:tcW w:w="1318" w:type="dxa"/>
          </w:tcPr>
          <w:p w14:paraId="5EF8B7B3" w14:textId="77777777" w:rsidR="000A061B" w:rsidRPr="000A061B" w:rsidRDefault="000A061B" w:rsidP="00FB2E1B">
            <w:pPr>
              <w:pStyle w:val="TableText"/>
            </w:pPr>
            <w:r w:rsidRPr="000A061B">
              <w:t>Snig track</w:t>
            </w:r>
          </w:p>
        </w:tc>
        <w:tc>
          <w:tcPr>
            <w:tcW w:w="8321" w:type="dxa"/>
          </w:tcPr>
          <w:p w14:paraId="06AC331C" w14:textId="77777777" w:rsidR="000A061B" w:rsidRPr="000A061B" w:rsidRDefault="000A061B" w:rsidP="00FB2E1B">
            <w:pPr>
              <w:pStyle w:val="TableText"/>
            </w:pPr>
            <w:r w:rsidRPr="000A061B">
              <w:t>A track through a harvested coupe along which harvested logs are towed or winched, normally towards a landing. Abbreviated ST in some tables in this report.</w:t>
            </w:r>
          </w:p>
        </w:tc>
      </w:tr>
      <w:tr w:rsidR="000A061B" w:rsidRPr="000A061B" w14:paraId="73E95E49" w14:textId="77777777" w:rsidTr="00C31A7B">
        <w:tc>
          <w:tcPr>
            <w:tcW w:w="1318" w:type="dxa"/>
          </w:tcPr>
          <w:p w14:paraId="5E52CBC7" w14:textId="77777777" w:rsidR="000A061B" w:rsidRPr="000A061B" w:rsidRDefault="000A061B" w:rsidP="00FB2E1B">
            <w:pPr>
              <w:pStyle w:val="TableText"/>
            </w:pPr>
            <w:r w:rsidRPr="000A061B">
              <w:t>SMZ</w:t>
            </w:r>
          </w:p>
        </w:tc>
        <w:tc>
          <w:tcPr>
            <w:tcW w:w="8321" w:type="dxa"/>
          </w:tcPr>
          <w:p w14:paraId="2960715A" w14:textId="464B89E6" w:rsidR="000A061B" w:rsidRPr="000A061B" w:rsidRDefault="000A061B" w:rsidP="00FB2E1B">
            <w:pPr>
              <w:pStyle w:val="TableText"/>
            </w:pPr>
            <w:r w:rsidRPr="000A061B">
              <w:t>Special Management Zone, a forest management zone that is managed to conserve specific features or values, allowing timber harvesting operations to proceed under special management.</w:t>
            </w:r>
          </w:p>
        </w:tc>
      </w:tr>
      <w:tr w:rsidR="000A061B" w:rsidRPr="000A061B" w14:paraId="7E8C4714" w14:textId="77777777" w:rsidTr="00C31A7B">
        <w:tc>
          <w:tcPr>
            <w:tcW w:w="1318" w:type="dxa"/>
          </w:tcPr>
          <w:p w14:paraId="5AD3197E" w14:textId="77777777" w:rsidR="000A061B" w:rsidRPr="000A061B" w:rsidRDefault="000A061B" w:rsidP="00FB2E1B">
            <w:pPr>
              <w:pStyle w:val="TableText"/>
            </w:pPr>
            <w:r w:rsidRPr="000A061B">
              <w:t>Soil erosion hazard</w:t>
            </w:r>
          </w:p>
        </w:tc>
        <w:tc>
          <w:tcPr>
            <w:tcW w:w="8321" w:type="dxa"/>
          </w:tcPr>
          <w:p w14:paraId="6F85E417" w14:textId="77777777" w:rsidR="000A061B" w:rsidRPr="000A061B" w:rsidRDefault="000A061B" w:rsidP="00FB2E1B">
            <w:pPr>
              <w:pStyle w:val="TableText"/>
            </w:pPr>
            <w:r w:rsidRPr="000A061B">
              <w:t>Soil erosion hazard (or SEH) is a composite index of the potential for soil erosion to occur within a forest coupe. SEH is based on field assessments of soil texture, aggregate stability, structure, colour, organic content, mottling and stoniness. It also takes account of the erosivity of rainfall at the location, average slope, slope length, tree size and revegetation capacity. The method of calculation is described in the MSP (DEPI, 2014b). SEH is assessed for each coupe during harvest planning.</w:t>
            </w:r>
          </w:p>
        </w:tc>
      </w:tr>
      <w:tr w:rsidR="000A061B" w:rsidRPr="000A061B" w14:paraId="358D3977" w14:textId="77777777" w:rsidTr="00C31A7B">
        <w:tc>
          <w:tcPr>
            <w:tcW w:w="1318" w:type="dxa"/>
          </w:tcPr>
          <w:p w14:paraId="668FCCDD" w14:textId="77777777" w:rsidR="000A061B" w:rsidRPr="000A061B" w:rsidRDefault="000A061B" w:rsidP="00FB2E1B">
            <w:pPr>
              <w:pStyle w:val="TableText"/>
            </w:pPr>
            <w:r w:rsidRPr="000A061B">
              <w:t>SPZ</w:t>
            </w:r>
          </w:p>
        </w:tc>
        <w:tc>
          <w:tcPr>
            <w:tcW w:w="8321" w:type="dxa"/>
          </w:tcPr>
          <w:p w14:paraId="35B32B34" w14:textId="77777777" w:rsidR="000A061B" w:rsidRPr="000A061B" w:rsidRDefault="000A061B" w:rsidP="00FB2E1B">
            <w:pPr>
              <w:pStyle w:val="TableText"/>
            </w:pPr>
            <w:r w:rsidRPr="000A061B">
              <w:t>Special Protection Zone, a forest management zone that is managed for specific conservation values. SPZs form a network within State forests that is meant to complement the formal conservation reserve system.</w:t>
            </w:r>
          </w:p>
        </w:tc>
      </w:tr>
      <w:tr w:rsidR="000A061B" w:rsidRPr="000A061B" w14:paraId="1223BA7A" w14:textId="77777777" w:rsidTr="00C31A7B">
        <w:tc>
          <w:tcPr>
            <w:tcW w:w="1318" w:type="dxa"/>
          </w:tcPr>
          <w:p w14:paraId="05E26054" w14:textId="77777777" w:rsidR="000A061B" w:rsidRPr="000A061B" w:rsidRDefault="000A061B" w:rsidP="00FB2E1B">
            <w:pPr>
              <w:pStyle w:val="TableText"/>
            </w:pPr>
            <w:r w:rsidRPr="000A061B">
              <w:t>State forest</w:t>
            </w:r>
          </w:p>
        </w:tc>
        <w:tc>
          <w:tcPr>
            <w:tcW w:w="8321" w:type="dxa"/>
          </w:tcPr>
          <w:p w14:paraId="58961EAD" w14:textId="77777777" w:rsidR="000A061B" w:rsidRPr="000A061B" w:rsidRDefault="000A061B" w:rsidP="00FB2E1B">
            <w:pPr>
              <w:pStyle w:val="TableText"/>
            </w:pPr>
            <w:r w:rsidRPr="000A061B">
              <w:t xml:space="preserve">Publicly-owned and managed forest estate. Victoria has 3.4 million ha of State forest. State forest is managed for multiple beneficial uses, including conserving flora and fauna, protecting water catchments and water supply, providing timber for sustainable forestry, protecting landscape, archaeological and historic values, and providing recreational and educational opportunities. </w:t>
            </w:r>
          </w:p>
        </w:tc>
      </w:tr>
      <w:tr w:rsidR="000A061B" w:rsidRPr="000A061B" w14:paraId="03B2C06D" w14:textId="77777777" w:rsidTr="00C31A7B">
        <w:tc>
          <w:tcPr>
            <w:tcW w:w="1318" w:type="dxa"/>
          </w:tcPr>
          <w:p w14:paraId="7FB595CF" w14:textId="77777777" w:rsidR="000A061B" w:rsidRPr="000A061B" w:rsidRDefault="000A061B" w:rsidP="00FB2E1B">
            <w:pPr>
              <w:pStyle w:val="TableText"/>
            </w:pPr>
            <w:r w:rsidRPr="000A061B">
              <w:t>STX</w:t>
            </w:r>
          </w:p>
        </w:tc>
        <w:tc>
          <w:tcPr>
            <w:tcW w:w="8321" w:type="dxa"/>
          </w:tcPr>
          <w:p w14:paraId="74412EF1" w14:textId="77777777" w:rsidR="000A061B" w:rsidRPr="000A061B" w:rsidRDefault="000A061B" w:rsidP="00FB2E1B">
            <w:pPr>
              <w:pStyle w:val="TableText"/>
            </w:pPr>
            <w:r w:rsidRPr="000A061B">
              <w:t>Snig track crossing, a constructed crossing through a waterway for a snig track.</w:t>
            </w:r>
          </w:p>
        </w:tc>
      </w:tr>
      <w:tr w:rsidR="000A061B" w:rsidRPr="000A061B" w14:paraId="4D8ABBF2" w14:textId="77777777" w:rsidTr="00C31A7B">
        <w:tc>
          <w:tcPr>
            <w:tcW w:w="1318" w:type="dxa"/>
          </w:tcPr>
          <w:p w14:paraId="7B8CC639" w14:textId="77777777" w:rsidR="000A061B" w:rsidRPr="000A061B" w:rsidRDefault="000A061B" w:rsidP="00FB2E1B">
            <w:pPr>
              <w:pStyle w:val="TableText"/>
            </w:pPr>
            <w:r w:rsidRPr="000A061B">
              <w:t>THCU</w:t>
            </w:r>
          </w:p>
        </w:tc>
        <w:tc>
          <w:tcPr>
            <w:tcW w:w="8321" w:type="dxa"/>
          </w:tcPr>
          <w:p w14:paraId="629D747D" w14:textId="5AF6042F" w:rsidR="000A061B" w:rsidRPr="000A061B" w:rsidRDefault="000A061B" w:rsidP="00FB2E1B">
            <w:pPr>
              <w:pStyle w:val="TableText"/>
            </w:pPr>
            <w:r w:rsidRPr="000A061B">
              <w:t xml:space="preserve">Timber Harvesting Compliance Unit. The group within </w:t>
            </w:r>
            <w:r w:rsidR="00FF69E3">
              <w:t xml:space="preserve">the </w:t>
            </w:r>
            <w:r w:rsidR="00FF69E3" w:rsidRPr="000A061B">
              <w:t xml:space="preserve">CR </w:t>
            </w:r>
            <w:r w:rsidRPr="000A061B">
              <w:t>that is responsible for regulatory compliance in timber harvesting operations conducted within State forest.</w:t>
            </w:r>
          </w:p>
        </w:tc>
      </w:tr>
      <w:tr w:rsidR="000A061B" w:rsidRPr="000A061B" w14:paraId="61182126" w14:textId="77777777" w:rsidTr="00C31A7B">
        <w:tc>
          <w:tcPr>
            <w:tcW w:w="1318" w:type="dxa"/>
          </w:tcPr>
          <w:p w14:paraId="5E591944" w14:textId="77777777" w:rsidR="000A061B" w:rsidRPr="000A061B" w:rsidRDefault="000A061B" w:rsidP="00FB2E1B">
            <w:pPr>
              <w:pStyle w:val="TableText"/>
            </w:pPr>
            <w:r w:rsidRPr="000A061B">
              <w:t>TRP</w:t>
            </w:r>
          </w:p>
        </w:tc>
        <w:tc>
          <w:tcPr>
            <w:tcW w:w="8321" w:type="dxa"/>
          </w:tcPr>
          <w:p w14:paraId="27C69608" w14:textId="77777777" w:rsidR="000A061B" w:rsidRDefault="000A061B" w:rsidP="00FB2E1B">
            <w:pPr>
              <w:pStyle w:val="TableText"/>
            </w:pPr>
            <w:r w:rsidRPr="000A061B">
              <w:t>Timber Release Plan. Timber resources in State forests in eastern Victoria are allocated to VicForests for the purposes of harvesting and/or selling through the Allocation to VicForests Order 2004 (as amended). The Allocation Order specifies the extent and location of the forest stands to which VicForests has access under this Order. VicForests must prepare a Timber Release Plan for allocated areas.</w:t>
            </w:r>
          </w:p>
          <w:p w14:paraId="1B2B2431" w14:textId="7F6AA6CF" w:rsidR="000A061B" w:rsidRPr="000A061B" w:rsidRDefault="000A061B" w:rsidP="00473DBC">
            <w:pPr>
              <w:pStyle w:val="TableText"/>
            </w:pPr>
            <w:r w:rsidRPr="000A061B">
              <w:t>TRPs are publicly available documents that must include: a schedule of coupes selected for timber harvesting and associated access road requirements; details of the location and approximate timing of timber harvesting in the proposed coupes; and details of the location of any associated access roads.</w:t>
            </w:r>
            <w:r w:rsidR="00473DBC">
              <w:t xml:space="preserve"> </w:t>
            </w:r>
            <w:r w:rsidRPr="000A061B">
              <w:t xml:space="preserve">They are prepared by VicForests in accordance with Part 5 of the </w:t>
            </w:r>
            <w:r w:rsidRPr="00473DBC">
              <w:rPr>
                <w:i/>
                <w:iCs/>
              </w:rPr>
              <w:t>Sustainable Forests (Timber) Act 2004</w:t>
            </w:r>
            <w:r w:rsidRPr="000A061B">
              <w:t xml:space="preserve"> and may be reviewed and changed in accordance with Section 43.</w:t>
            </w:r>
          </w:p>
        </w:tc>
      </w:tr>
      <w:tr w:rsidR="000A061B" w:rsidRPr="000A061B" w14:paraId="201A4174" w14:textId="77777777" w:rsidTr="00C31A7B">
        <w:tc>
          <w:tcPr>
            <w:tcW w:w="1318" w:type="dxa"/>
          </w:tcPr>
          <w:p w14:paraId="73B630A0" w14:textId="77777777" w:rsidR="000A061B" w:rsidRPr="000A061B" w:rsidRDefault="000A061B" w:rsidP="00FB2E1B">
            <w:pPr>
              <w:pStyle w:val="TableText"/>
            </w:pPr>
            <w:r w:rsidRPr="000A061B">
              <w:t>UP</w:t>
            </w:r>
          </w:p>
        </w:tc>
        <w:tc>
          <w:tcPr>
            <w:tcW w:w="8321" w:type="dxa"/>
          </w:tcPr>
          <w:p w14:paraId="2F746A2E" w14:textId="77777777" w:rsidR="000A061B" w:rsidRPr="000A061B" w:rsidRDefault="000A061B" w:rsidP="00FB2E1B">
            <w:pPr>
              <w:pStyle w:val="TableText"/>
            </w:pPr>
            <w:r w:rsidRPr="000A061B">
              <w:t>VicForests’ Utilisation Procedures. Operational procedures used by VicForests and its contractors in their management of harvesting and in-coupe roading operations. The UPs typically apply Code and MSP requirements.</w:t>
            </w:r>
          </w:p>
        </w:tc>
      </w:tr>
      <w:tr w:rsidR="000A061B" w:rsidRPr="000A061B" w14:paraId="70E968C9" w14:textId="77777777" w:rsidTr="00C31A7B">
        <w:tc>
          <w:tcPr>
            <w:tcW w:w="1318" w:type="dxa"/>
          </w:tcPr>
          <w:p w14:paraId="2A4DB158" w14:textId="77777777" w:rsidR="000A061B" w:rsidRPr="000A061B" w:rsidRDefault="000A061B" w:rsidP="00FB2E1B">
            <w:pPr>
              <w:pStyle w:val="TableText"/>
            </w:pPr>
            <w:r w:rsidRPr="000A061B">
              <w:t>VBA</w:t>
            </w:r>
          </w:p>
        </w:tc>
        <w:tc>
          <w:tcPr>
            <w:tcW w:w="8321" w:type="dxa"/>
          </w:tcPr>
          <w:p w14:paraId="01994B46" w14:textId="77777777" w:rsidR="000A061B" w:rsidRPr="000A061B" w:rsidRDefault="000A061B" w:rsidP="00FB2E1B">
            <w:pPr>
              <w:pStyle w:val="TableText"/>
            </w:pPr>
            <w:r w:rsidRPr="000A061B">
              <w:t xml:space="preserve">Victorian Biodiversity Atlas, a database with records showing the distribution of native flora and fauna species, including listed threatened species. </w:t>
            </w:r>
          </w:p>
        </w:tc>
      </w:tr>
      <w:tr w:rsidR="000A061B" w:rsidRPr="000A061B" w14:paraId="4ECD73D3" w14:textId="77777777" w:rsidTr="00C31A7B">
        <w:tc>
          <w:tcPr>
            <w:tcW w:w="1318" w:type="dxa"/>
          </w:tcPr>
          <w:p w14:paraId="4565D53D" w14:textId="77777777" w:rsidR="000A061B" w:rsidRPr="000A061B" w:rsidRDefault="000A061B" w:rsidP="00FB2E1B">
            <w:pPr>
              <w:pStyle w:val="TableText"/>
            </w:pPr>
            <w:r w:rsidRPr="000A061B">
              <w:t>Waterway</w:t>
            </w:r>
          </w:p>
        </w:tc>
        <w:tc>
          <w:tcPr>
            <w:tcW w:w="8321" w:type="dxa"/>
          </w:tcPr>
          <w:p w14:paraId="6EB27207" w14:textId="77777777" w:rsidR="000A061B" w:rsidRPr="000A061B" w:rsidRDefault="000A061B" w:rsidP="00FB2E1B">
            <w:pPr>
              <w:pStyle w:val="TableText"/>
            </w:pPr>
            <w:r w:rsidRPr="000A061B">
              <w:t>A permanent stream, temporary stream, drainage line, pool, spring or wetland, as defined in the Code.</w:t>
            </w:r>
          </w:p>
        </w:tc>
      </w:tr>
      <w:tr w:rsidR="000A061B" w:rsidRPr="000A061B" w14:paraId="37C28D6C" w14:textId="77777777" w:rsidTr="00C31A7B">
        <w:tc>
          <w:tcPr>
            <w:tcW w:w="1318" w:type="dxa"/>
          </w:tcPr>
          <w:p w14:paraId="3AE1341A" w14:textId="77777777" w:rsidR="000A061B" w:rsidRPr="000A061B" w:rsidRDefault="000A061B" w:rsidP="00FB2E1B">
            <w:pPr>
              <w:pStyle w:val="TableText"/>
            </w:pPr>
            <w:r w:rsidRPr="000A061B">
              <w:t>WWX</w:t>
            </w:r>
          </w:p>
        </w:tc>
        <w:tc>
          <w:tcPr>
            <w:tcW w:w="8321" w:type="dxa"/>
          </w:tcPr>
          <w:p w14:paraId="6C98AA1A" w14:textId="77777777" w:rsidR="000A061B" w:rsidRPr="000A061B" w:rsidRDefault="000A061B" w:rsidP="00FB2E1B">
            <w:pPr>
              <w:pStyle w:val="TableText"/>
            </w:pPr>
            <w:r w:rsidRPr="000A061B">
              <w:t>Waterway crossing constructed for an in-coupe road.</w:t>
            </w:r>
          </w:p>
        </w:tc>
      </w:tr>
    </w:tbl>
    <w:p w14:paraId="55D0E8C1" w14:textId="77777777" w:rsidR="000A061B" w:rsidRDefault="000A061B" w:rsidP="008A4CEE">
      <w:pPr>
        <w:pStyle w:val="BodyText"/>
      </w:pPr>
    </w:p>
    <w:p w14:paraId="0A1EEC92" w14:textId="77777777" w:rsidR="00C61A1D" w:rsidRDefault="00C61A1D" w:rsidP="008A4CEE">
      <w:pPr>
        <w:pStyle w:val="BodyText"/>
        <w:sectPr w:rsidR="00C61A1D" w:rsidSect="00C61A1D">
          <w:headerReference w:type="default" r:id="rId41"/>
          <w:footerReference w:type="default" r:id="rId42"/>
          <w:pgSz w:w="11906" w:h="16838" w:code="9"/>
          <w:pgMar w:top="1134" w:right="1134" w:bottom="567" w:left="1134" w:header="567" w:footer="0" w:gutter="0"/>
          <w:pgNumType w:fmt="lowerRoman"/>
          <w:cols w:space="720"/>
          <w:docGrid w:linePitch="360"/>
        </w:sectPr>
      </w:pPr>
    </w:p>
    <w:p w14:paraId="5F664546" w14:textId="77777777" w:rsidR="00725C13" w:rsidRDefault="00D4218B" w:rsidP="00455008">
      <w:pPr>
        <w:pStyle w:val="Heading1"/>
      </w:pPr>
      <w:bookmarkStart w:id="60" w:name="_Toc43216295"/>
      <w:bookmarkStart w:id="61" w:name="_Toc70933335"/>
      <w:bookmarkStart w:id="62" w:name="_Toc89265640"/>
      <w:bookmarkStart w:id="63" w:name="_Toc89265663"/>
      <w:bookmarkStart w:id="64" w:name="_Toc89455708"/>
      <w:bookmarkStart w:id="65" w:name="_Toc90318224"/>
      <w:bookmarkStart w:id="66" w:name="_Ref121249847"/>
      <w:bookmarkStart w:id="67" w:name="_Toc131178663"/>
      <w:r w:rsidRPr="00AF2D90">
        <w:lastRenderedPageBreak/>
        <w:t>Int</w:t>
      </w:r>
      <w:r w:rsidR="00725C13" w:rsidRPr="00AF2D90">
        <w:t>roduction</w:t>
      </w:r>
      <w:bookmarkEnd w:id="56"/>
      <w:bookmarkEnd w:id="57"/>
      <w:bookmarkEnd w:id="58"/>
      <w:bookmarkEnd w:id="59"/>
      <w:bookmarkEnd w:id="60"/>
      <w:bookmarkEnd w:id="61"/>
      <w:bookmarkEnd w:id="62"/>
      <w:bookmarkEnd w:id="63"/>
      <w:bookmarkEnd w:id="64"/>
      <w:bookmarkEnd w:id="65"/>
      <w:bookmarkEnd w:id="66"/>
      <w:bookmarkEnd w:id="67"/>
    </w:p>
    <w:p w14:paraId="388D1479" w14:textId="2CA45354" w:rsidR="00492A74" w:rsidRDefault="00492A74" w:rsidP="00492A74">
      <w:pPr>
        <w:pStyle w:val="Heading2"/>
      </w:pPr>
      <w:bookmarkStart w:id="68" w:name="_Toc131178664"/>
      <w:r>
        <w:t>Sustainable Forest Management in Victoria</w:t>
      </w:r>
      <w:bookmarkEnd w:id="68"/>
    </w:p>
    <w:p w14:paraId="175741AC" w14:textId="77777777" w:rsidR="00492A74" w:rsidRDefault="00492A74" w:rsidP="00492A74">
      <w:pPr>
        <w:pStyle w:val="BodyText"/>
      </w:pPr>
      <w:r>
        <w:t>The legislative framework for the harvesting and management of timber resources in Victoria’s State forests is provided by five main pieces of legislation (based on DELWP, 2019):</w:t>
      </w:r>
    </w:p>
    <w:p w14:paraId="097F238D" w14:textId="3AC1F06A" w:rsidR="00492A74" w:rsidRDefault="00492A74" w:rsidP="00492A74">
      <w:pPr>
        <w:pStyle w:val="BulletLevel1"/>
      </w:pPr>
      <w:r w:rsidRPr="00492A74">
        <w:rPr>
          <w:i/>
          <w:iCs/>
        </w:rPr>
        <w:t>Forests Act 1958</w:t>
      </w:r>
      <w:r>
        <w:t xml:space="preserve">: provides the legislative basis for the development and implementation of Forest Management Plans and Forest Management Zones, which influence timber harvesting activities in State forests. </w:t>
      </w:r>
    </w:p>
    <w:p w14:paraId="6D83974F" w14:textId="3D56AA7D" w:rsidR="00492A74" w:rsidRDefault="00492A74" w:rsidP="00492A74">
      <w:pPr>
        <w:pStyle w:val="BulletLevel1"/>
      </w:pPr>
      <w:r w:rsidRPr="00492A74">
        <w:rPr>
          <w:i/>
          <w:iCs/>
        </w:rPr>
        <w:t>Wildlife Act 1975</w:t>
      </w:r>
      <w:r>
        <w:t>: provides a framework for regulating interactions with wildlife and must be complied with when undertaking timber harvesting in State forests.</w:t>
      </w:r>
    </w:p>
    <w:p w14:paraId="6C50AFA7" w14:textId="64265467" w:rsidR="00492A74" w:rsidRDefault="00492A74" w:rsidP="00492A74">
      <w:pPr>
        <w:pStyle w:val="BulletLevel1"/>
      </w:pPr>
      <w:r w:rsidRPr="00492A74">
        <w:rPr>
          <w:i/>
          <w:iCs/>
        </w:rPr>
        <w:t>Conservation, Forests and Lands (CFL) Act 1987</w:t>
      </w:r>
      <w:r>
        <w:t>: provides the legislative basis for the creation and enforcement of codes of practice (including the Code of Practice for Timber Production 2014 [</w:t>
      </w:r>
      <w:r w:rsidR="003A270C">
        <w:t xml:space="preserve">amended 2021; </w:t>
      </w:r>
      <w:r w:rsidR="00190CA1">
        <w:t>DELWP, 2021</w:t>
      </w:r>
      <w:r w:rsidR="00E445F6">
        <w:t>a</w:t>
      </w:r>
      <w:r>
        <w:t>]; the Code) which specify standards and procedures for carrying out timber harvesting operations (among other activities).</w:t>
      </w:r>
    </w:p>
    <w:p w14:paraId="6E6F808B" w14:textId="44460C82" w:rsidR="00492A74" w:rsidRDefault="00492A74" w:rsidP="00492A74">
      <w:pPr>
        <w:pStyle w:val="BulletLevel1"/>
      </w:pPr>
      <w:r w:rsidRPr="00492A74">
        <w:rPr>
          <w:i/>
          <w:iCs/>
        </w:rPr>
        <w:t>Flora and Fauna Guarantee (FFG) Act 1988</w:t>
      </w:r>
      <w:r>
        <w:t>: provide the legislative basis for biodiversity conservation in Victoria. Action Statements for threatened species and communities are published under the auspices of the FFG Act. These statements inform updates to the Code when undertaking timber harvesting in State forests.</w:t>
      </w:r>
    </w:p>
    <w:p w14:paraId="46A33D78" w14:textId="0564CFF1" w:rsidR="00492A74" w:rsidRDefault="00492A74" w:rsidP="00492A74">
      <w:pPr>
        <w:pStyle w:val="BulletLevel1"/>
      </w:pPr>
      <w:r w:rsidRPr="00492A74">
        <w:rPr>
          <w:i/>
          <w:iCs/>
        </w:rPr>
        <w:t>Sustainable Forests (Timber) (SFT) Act 2004</w:t>
      </w:r>
      <w:r>
        <w:t xml:space="preserve">: provides a framework for sustainable forest management and sustainable timber harvesting in State forests and establishes the Allocation Order, Timber Release Plans (TRPs) and compliance obligations provisions for timber harvesting in State forests. The SFT Act requires VicForests and persons who have entered into an agreement with VicForests for the supply and sale of timber resources to comply with the Code. </w:t>
      </w:r>
    </w:p>
    <w:p w14:paraId="7F7A10DD" w14:textId="77777777" w:rsidR="00492A74" w:rsidRDefault="00492A74" w:rsidP="00492A74">
      <w:pPr>
        <w:pStyle w:val="BodyText"/>
      </w:pPr>
      <w:r>
        <w:t>The SFT Act also provides the legislative basis for commissioning audits of compliance with relevant codes of practice (including the Code) by VicForests. It also requires VicForests to respond to any adverse findings of such an audit, including details of measures it has or intends to undertake to improve compliance with the relevant code of practice. The SFT Act also provides for the publication of audit reports and VicForests’ responses to these.</w:t>
      </w:r>
    </w:p>
    <w:p w14:paraId="08E5DA30" w14:textId="77777777" w:rsidR="00492A74" w:rsidRDefault="00492A74" w:rsidP="00492A74">
      <w:pPr>
        <w:pStyle w:val="BodyText"/>
      </w:pPr>
      <w:r>
        <w:t>Under the SFT Act, harvesting of timber from public land by VicForests is to be conducted in a manner which has regard to the principles of ecologically sustainable development. The Act provides for the development of a Sustainability Charter, which sets out the State’s objectives for sustainable forest management. These objectives (DSE, 2006) are to:</w:t>
      </w:r>
    </w:p>
    <w:p w14:paraId="74F00620" w14:textId="55956908" w:rsidR="00492A74" w:rsidRDefault="00492A74" w:rsidP="00492A74">
      <w:pPr>
        <w:pStyle w:val="BulletLevel1"/>
      </w:pPr>
      <w:r>
        <w:t>Maintain and conserve biodiversity in State forests</w:t>
      </w:r>
    </w:p>
    <w:p w14:paraId="3727FDA6" w14:textId="5EF40622" w:rsidR="00492A74" w:rsidRDefault="00492A74" w:rsidP="00492A74">
      <w:pPr>
        <w:pStyle w:val="BulletLevel1"/>
      </w:pPr>
      <w:r>
        <w:t>Maintain and improve the capacity of forest ecosystems to produce wood and non-wood products</w:t>
      </w:r>
    </w:p>
    <w:p w14:paraId="143AA53F" w14:textId="4B3561D8" w:rsidR="00492A74" w:rsidRDefault="00492A74" w:rsidP="00492A74">
      <w:pPr>
        <w:pStyle w:val="BulletLevel1"/>
      </w:pPr>
      <w:r>
        <w:t>Promote healthy forests by actively managing disturbance</w:t>
      </w:r>
    </w:p>
    <w:p w14:paraId="28E2107E" w14:textId="0359A086" w:rsidR="00492A74" w:rsidRDefault="00492A74" w:rsidP="00492A74">
      <w:pPr>
        <w:pStyle w:val="BulletLevel1"/>
      </w:pPr>
      <w:r>
        <w:t>Maintain and conserve the soil and water resources of State forests</w:t>
      </w:r>
    </w:p>
    <w:p w14:paraId="039F8ADE" w14:textId="016929DA" w:rsidR="00492A74" w:rsidRDefault="00492A74" w:rsidP="00492A74">
      <w:pPr>
        <w:pStyle w:val="BulletLevel1"/>
      </w:pPr>
      <w:r>
        <w:t>Maintain and better understand the role of Victoria’s State forests in global carbon cycles</w:t>
      </w:r>
    </w:p>
    <w:p w14:paraId="1A9F1901" w14:textId="0CCACAE5" w:rsidR="00492A74" w:rsidRDefault="00492A74" w:rsidP="00492A74">
      <w:pPr>
        <w:pStyle w:val="BulletLevel1"/>
      </w:pPr>
      <w:r>
        <w:t>Maintain and enhance the socio-economic benefits of State forests to Victorian communities</w:t>
      </w:r>
    </w:p>
    <w:p w14:paraId="648EF13C" w14:textId="6CB210DD" w:rsidR="00492A74" w:rsidRDefault="00492A74" w:rsidP="00492A74">
      <w:pPr>
        <w:pStyle w:val="BulletLevel1"/>
      </w:pPr>
      <w:r>
        <w:t>Ensure Victoria’s legal, institutional and economic frameworks effectively support the sustainable management of State forests.</w:t>
      </w:r>
    </w:p>
    <w:p w14:paraId="5AC97BA3" w14:textId="77777777" w:rsidR="00492A74" w:rsidRDefault="00492A74" w:rsidP="00492A74">
      <w:pPr>
        <w:pStyle w:val="BodyText"/>
      </w:pPr>
      <w:r>
        <w:t>In reviewing VicForests’ Allocation Order, the SFT Act requires that the Minister will also have regard to VicForests’ compliance with applicable codes of practice.</w:t>
      </w:r>
    </w:p>
    <w:p w14:paraId="7E990B2E" w14:textId="6CDCDC77" w:rsidR="00492A74" w:rsidRDefault="00492A74" w:rsidP="00492A74">
      <w:pPr>
        <w:pStyle w:val="BodyText"/>
      </w:pPr>
      <w:r>
        <w:t xml:space="preserve">The primary instrument used to regulate timber harvesting activities in State forests is the Code. This is now administered by </w:t>
      </w:r>
      <w:r w:rsidR="00F310E2">
        <w:t>DEECA’s</w:t>
      </w:r>
      <w:r w:rsidR="008E63A2">
        <w:t xml:space="preserve"> </w:t>
      </w:r>
      <w:r w:rsidR="00F310E2">
        <w:t xml:space="preserve"> </w:t>
      </w:r>
      <w:r>
        <w:t xml:space="preserve">Conservation Regulator (CR). </w:t>
      </w:r>
    </w:p>
    <w:p w14:paraId="504EE44A" w14:textId="77777777" w:rsidR="00492A74" w:rsidRDefault="00492A74" w:rsidP="00492A74">
      <w:pPr>
        <w:pStyle w:val="BodyText"/>
      </w:pPr>
      <w:r>
        <w:t>The purpose of the Code is to provide direction to timber harvesting managers, harvesting entities and operators to deliver sound environmental performance when planning for and conducting timber harvesting activities in a way that:</w:t>
      </w:r>
    </w:p>
    <w:p w14:paraId="7D98B908" w14:textId="5DA23ED1" w:rsidR="00492A74" w:rsidRDefault="00492A74" w:rsidP="00492A74">
      <w:pPr>
        <w:pStyle w:val="BulletLevel1"/>
      </w:pPr>
      <w:r>
        <w:t>Permits an economically viable, internationally competitive, sustainable timber industry</w:t>
      </w:r>
    </w:p>
    <w:p w14:paraId="66FF530D" w14:textId="161CA540" w:rsidR="00492A74" w:rsidRDefault="00492A74" w:rsidP="00492A74">
      <w:pPr>
        <w:pStyle w:val="BulletLevel1"/>
      </w:pPr>
      <w:r>
        <w:t>Is compatible with conservation of the wide range of environmental, social and cultural values associated with forests</w:t>
      </w:r>
    </w:p>
    <w:p w14:paraId="6C221055" w14:textId="5F2FF8DE" w:rsidR="00492A74" w:rsidRDefault="00492A74" w:rsidP="00492A74">
      <w:pPr>
        <w:pStyle w:val="BulletLevel1"/>
      </w:pPr>
      <w:r>
        <w:t>Provides for the ecologically sustainable management of native forests proposed for cyclical timber harvesting operations</w:t>
      </w:r>
    </w:p>
    <w:p w14:paraId="71D97B52" w14:textId="070F91CB" w:rsidR="00492A74" w:rsidRDefault="00492A74" w:rsidP="00492A74">
      <w:pPr>
        <w:pStyle w:val="BulletLevel1"/>
      </w:pPr>
      <w:r>
        <w:lastRenderedPageBreak/>
        <w:t xml:space="preserve">Enhances public confidence in the management of timber production in Victoria’s forests and plantations. </w:t>
      </w:r>
    </w:p>
    <w:p w14:paraId="3F5CEF1A" w14:textId="32FA9CA3" w:rsidR="00492A74" w:rsidRDefault="00492A74" w:rsidP="00492A74">
      <w:pPr>
        <w:pStyle w:val="BodyText"/>
      </w:pPr>
      <w:r>
        <w:t>The Code includes a set of operational goals and mandatory actions for various aspects of planning and implementation of timber harvesting operations and applies to native forests and plantations on private and public land. It is supported by the Management Standards and Procedures for Timber Harvesting Operations in Victoria’s State Forests 2014 (</w:t>
      </w:r>
      <w:r w:rsidR="00E445F6">
        <w:t xml:space="preserve">amended 2021; </w:t>
      </w:r>
      <w:r>
        <w:t>the MSPs</w:t>
      </w:r>
      <w:r w:rsidR="00E445F6">
        <w:t>=</w:t>
      </w:r>
      <w:r>
        <w:t>;</w:t>
      </w:r>
      <w:r w:rsidR="00E445F6">
        <w:t>DELWP</w:t>
      </w:r>
      <w:r>
        <w:t xml:space="preserve">, </w:t>
      </w:r>
      <w:r w:rsidR="00E445F6">
        <w:t>2021b</w:t>
      </w:r>
      <w:r>
        <w:t xml:space="preserve">), which specify (often in greater detail) mandatory standards and procedures for timber harvesting activities in State forests (only). </w:t>
      </w:r>
    </w:p>
    <w:p w14:paraId="6B4D8B17" w14:textId="754710DE" w:rsidR="00492A74" w:rsidRDefault="00492A74" w:rsidP="00492A74">
      <w:pPr>
        <w:pStyle w:val="BodyText"/>
      </w:pPr>
      <w:r>
        <w:t xml:space="preserve">Revised versions of the Code and MSPs, with minor modifications, were released in November 2021 (DELWP, 2021a,b). A more extensive revision of the timber harvesting regulatory framework is </w:t>
      </w:r>
      <w:r w:rsidR="001840DC">
        <w:t>planned</w:t>
      </w:r>
      <w:r>
        <w:t xml:space="preserve">. </w:t>
      </w:r>
      <w:r w:rsidR="001840DC">
        <w:t>These updated versions of the Code and MSPs underpin the audit framework for the 2022 Forest Audit Program.</w:t>
      </w:r>
    </w:p>
    <w:p w14:paraId="18DDD89C" w14:textId="5357F3A7" w:rsidR="00492A74" w:rsidRDefault="00492A74" w:rsidP="001840DC">
      <w:pPr>
        <w:pStyle w:val="Heading2"/>
      </w:pPr>
      <w:bookmarkStart w:id="69" w:name="_Toc131178665"/>
      <w:r>
        <w:t>Forest Audit Program</w:t>
      </w:r>
      <w:bookmarkEnd w:id="69"/>
    </w:p>
    <w:p w14:paraId="11CB97D7" w14:textId="1BC5AB74" w:rsidR="00492A74" w:rsidRDefault="00492A74" w:rsidP="00492A74">
      <w:pPr>
        <w:pStyle w:val="BodyText"/>
      </w:pPr>
      <w:r>
        <w:t>Since 2002, independent environmental auditors have been engaged to undertake audits of timber harvesting operations in Victoria’s State forests, as provided for by the SFT Act. These audits have assessed compliance with the Code and related standards and management procedures. This annual program of audits has been delivered by DELWP, under its Forest Audit Program (FAP) since 2010. Independent auditors are engaged by the CR to undertake FAP audits.</w:t>
      </w:r>
    </w:p>
    <w:p w14:paraId="4A8CCB4D" w14:textId="77777777" w:rsidR="00492A74" w:rsidRDefault="00492A74" w:rsidP="00492A74">
      <w:pPr>
        <w:pStyle w:val="BodyText"/>
      </w:pPr>
      <w:r>
        <w:t xml:space="preserve">FAP audits do not have a direct regulatory function. They help to monitor VicForests’ compliance with the regulatory framework and are intended to contribute to continuous improvement in sustainable native forest management. In keeping with the latter, field components of the audit are undertaken with VicForests personnel present. This informs the auditors of the history of operations on the coupe and any challenges faced. It also allows for on-site discussion about any potential non-conformance issues that have been observed by the audit team. </w:t>
      </w:r>
    </w:p>
    <w:p w14:paraId="16602BA8" w14:textId="732383D5" w:rsidR="00492A74" w:rsidRDefault="00492A74" w:rsidP="00492A74">
      <w:pPr>
        <w:pStyle w:val="BodyText"/>
      </w:pPr>
      <w:r>
        <w:t xml:space="preserve">Following the audit field components, VicForests was requested to provide additional information to enable the auditors to determine whether coupe planning or operations comply with regulatory requirements. VicForests was provided, via DELWP, with a copy of the draft audit report. This allows them to contest draft compliance findings and offer further evidence for the audit team to consider. VicForests’ comments and any additional evidence are considered by the audit team in finalising the audit report.  </w:t>
      </w:r>
    </w:p>
    <w:p w14:paraId="027787FA" w14:textId="0635A47C" w:rsidR="00492A74" w:rsidRDefault="00492A74" w:rsidP="001840DC">
      <w:pPr>
        <w:pStyle w:val="Heading2"/>
      </w:pPr>
      <w:bookmarkStart w:id="70" w:name="_Toc131178666"/>
      <w:r>
        <w:t>About this report</w:t>
      </w:r>
      <w:bookmarkEnd w:id="70"/>
    </w:p>
    <w:p w14:paraId="3EA84149" w14:textId="094F3FDC" w:rsidR="00492A74" w:rsidRDefault="00492A74" w:rsidP="00492A74">
      <w:pPr>
        <w:pStyle w:val="BodyText"/>
      </w:pPr>
      <w:r>
        <w:t xml:space="preserve">This is the </w:t>
      </w:r>
      <w:r w:rsidR="00272E94">
        <w:t xml:space="preserve">final </w:t>
      </w:r>
      <w:r w:rsidR="001840DC">
        <w:t>audit</w:t>
      </w:r>
      <w:r>
        <w:t xml:space="preserve"> report </w:t>
      </w:r>
      <w:r w:rsidR="001840DC">
        <w:t>for</w:t>
      </w:r>
      <w:r>
        <w:t xml:space="preserve"> the 202</w:t>
      </w:r>
      <w:r w:rsidR="001840DC">
        <w:t>2</w:t>
      </w:r>
      <w:r>
        <w:t xml:space="preserve"> Forest Audit Program. The remainder of the document includes five main sections, as follows:</w:t>
      </w:r>
    </w:p>
    <w:p w14:paraId="57DD6197" w14:textId="710E004B" w:rsidR="00492A74" w:rsidRDefault="00492A74" w:rsidP="001840DC">
      <w:pPr>
        <w:pStyle w:val="BulletLevel1"/>
      </w:pPr>
      <w:r>
        <w:t xml:space="preserve">Section </w:t>
      </w:r>
      <w:r w:rsidR="00BD5362">
        <w:fldChar w:fldCharType="begin"/>
      </w:r>
      <w:r w:rsidR="00BD5362">
        <w:instrText xml:space="preserve"> REF _Ref121249851 \r \h </w:instrText>
      </w:r>
      <w:r w:rsidR="00BD5362">
        <w:fldChar w:fldCharType="separate"/>
      </w:r>
      <w:r w:rsidR="00130DCF">
        <w:t>2</w:t>
      </w:r>
      <w:r w:rsidR="00BD5362">
        <w:fldChar w:fldCharType="end"/>
      </w:r>
      <w:r>
        <w:t xml:space="preserve"> </w:t>
      </w:r>
      <w:r w:rsidRPr="00BD5362">
        <w:rPr>
          <w:i/>
          <w:iCs/>
        </w:rPr>
        <w:t>Audit scope:</w:t>
      </w:r>
      <w:r>
        <w:t xml:space="preserve"> describes the scope of the audit, including the audit objectives, the regulatory scope it addresses, the audit timing and audit team.</w:t>
      </w:r>
    </w:p>
    <w:p w14:paraId="62F5C70E" w14:textId="22E1BA04" w:rsidR="00492A74" w:rsidRDefault="00492A74" w:rsidP="001840DC">
      <w:pPr>
        <w:pStyle w:val="BulletLevel1"/>
      </w:pPr>
      <w:r>
        <w:t xml:space="preserve">Section </w:t>
      </w:r>
      <w:r w:rsidR="00BD5362">
        <w:fldChar w:fldCharType="begin"/>
      </w:r>
      <w:r w:rsidR="00BD5362">
        <w:instrText xml:space="preserve"> REF _Ref121249869 \r \h </w:instrText>
      </w:r>
      <w:r w:rsidR="00BD5362">
        <w:fldChar w:fldCharType="separate"/>
      </w:r>
      <w:r w:rsidR="00130DCF">
        <w:t>3</w:t>
      </w:r>
      <w:r w:rsidR="00BD5362">
        <w:fldChar w:fldCharType="end"/>
      </w:r>
      <w:r>
        <w:t xml:space="preserve"> </w:t>
      </w:r>
      <w:r w:rsidRPr="00BD5362">
        <w:rPr>
          <w:i/>
          <w:iCs/>
        </w:rPr>
        <w:t>Audit approach:</w:t>
      </w:r>
      <w:r>
        <w:t xml:space="preserve"> describes the coupe selection process, development of audit compliance elements and the methods by which conformance with the regulatory framework is assessed during the audit.</w:t>
      </w:r>
    </w:p>
    <w:p w14:paraId="09E23ED4" w14:textId="3AE51F16" w:rsidR="00492A74" w:rsidRDefault="00492A74" w:rsidP="001840DC">
      <w:pPr>
        <w:pStyle w:val="BulletLevel1"/>
      </w:pPr>
      <w:r>
        <w:t xml:space="preserve">Section </w:t>
      </w:r>
      <w:r w:rsidR="00BD5362">
        <w:fldChar w:fldCharType="begin"/>
      </w:r>
      <w:r w:rsidR="00BD5362">
        <w:instrText xml:space="preserve"> REF _Ref121249881 \r \h </w:instrText>
      </w:r>
      <w:r w:rsidR="00BD5362">
        <w:fldChar w:fldCharType="separate"/>
      </w:r>
      <w:r w:rsidR="00130DCF">
        <w:t>4</w:t>
      </w:r>
      <w:r w:rsidR="00BD5362">
        <w:fldChar w:fldCharType="end"/>
      </w:r>
      <w:r>
        <w:t xml:space="preserve"> </w:t>
      </w:r>
      <w:r w:rsidRPr="00BD5362">
        <w:rPr>
          <w:i/>
          <w:iCs/>
        </w:rPr>
        <w:t>Audit results:</w:t>
      </w:r>
      <w:r>
        <w:t xml:space="preserve"> presents the main results of the audit, including the level of conformance with audit criteria and the assessed potential environmental impact associated with any observed non-conformance incidents. Audit results are organized by the compliance themes included in the audit scope developed by </w:t>
      </w:r>
      <w:r w:rsidR="00272E94">
        <w:t>DEECA</w:t>
      </w:r>
      <w:r>
        <w:t>.</w:t>
      </w:r>
    </w:p>
    <w:p w14:paraId="4790FD38" w14:textId="5B9B6D32" w:rsidR="00492A74" w:rsidRDefault="00492A74" w:rsidP="001840DC">
      <w:pPr>
        <w:pStyle w:val="BulletLevel1"/>
      </w:pPr>
      <w:r>
        <w:t xml:space="preserve">Section </w:t>
      </w:r>
      <w:r w:rsidR="00BD5362">
        <w:fldChar w:fldCharType="begin"/>
      </w:r>
      <w:r w:rsidR="00BD5362">
        <w:instrText xml:space="preserve"> REF _Ref121249898 \r \h </w:instrText>
      </w:r>
      <w:r w:rsidR="00BD5362">
        <w:fldChar w:fldCharType="separate"/>
      </w:r>
      <w:r w:rsidR="00130DCF">
        <w:t>5</w:t>
      </w:r>
      <w:r w:rsidR="00BD5362">
        <w:fldChar w:fldCharType="end"/>
      </w:r>
      <w:r>
        <w:t xml:space="preserve"> </w:t>
      </w:r>
      <w:r w:rsidRPr="00BD5362">
        <w:rPr>
          <w:i/>
          <w:iCs/>
        </w:rPr>
        <w:t>Discussion</w:t>
      </w:r>
      <w:r>
        <w:t xml:space="preserve">: of the overall audit findings and comparison (to the extent appropriate) of </w:t>
      </w:r>
      <w:r w:rsidR="0027641D">
        <w:t>the 2022</w:t>
      </w:r>
      <w:r>
        <w:t xml:space="preserve"> audit results with previous FAP audits. The discussion also draws on observations made during the field audit to suggests potential improvements in coupe planning and timber harvesting activities.</w:t>
      </w:r>
    </w:p>
    <w:p w14:paraId="717C7D05" w14:textId="7A5B09FC" w:rsidR="007C2BF8" w:rsidRDefault="00492A74" w:rsidP="001840DC">
      <w:pPr>
        <w:pStyle w:val="BulletLevel1"/>
      </w:pPr>
      <w:r>
        <w:t xml:space="preserve">Section </w:t>
      </w:r>
      <w:r w:rsidR="00BD5362">
        <w:fldChar w:fldCharType="begin"/>
      </w:r>
      <w:r w:rsidR="00BD5362">
        <w:instrText xml:space="preserve"> REF _Ref121249912 \r \h </w:instrText>
      </w:r>
      <w:r w:rsidR="00BD5362">
        <w:fldChar w:fldCharType="separate"/>
      </w:r>
      <w:r w:rsidR="00130DCF">
        <w:t>6</w:t>
      </w:r>
      <w:r w:rsidR="00BD5362">
        <w:fldChar w:fldCharType="end"/>
      </w:r>
      <w:r>
        <w:t xml:space="preserve"> </w:t>
      </w:r>
      <w:r w:rsidRPr="00BD5362">
        <w:rPr>
          <w:i/>
          <w:iCs/>
        </w:rPr>
        <w:t>Conclusions and recommendations:</w:t>
      </w:r>
      <w:r>
        <w:t xml:space="preserve"> summarises the main findings of the audit and outlines recommendations for improvements in timber harvesting operations and the regulatory framework.</w:t>
      </w:r>
    </w:p>
    <w:p w14:paraId="42AE6F87" w14:textId="59CB3701" w:rsidR="00502DC6" w:rsidRDefault="002D2E6B" w:rsidP="00502DC6">
      <w:pPr>
        <w:pStyle w:val="BodyText"/>
      </w:pPr>
      <w:r>
        <w:t>The report’s appendices incorporate the following:</w:t>
      </w:r>
    </w:p>
    <w:p w14:paraId="0D1424E9" w14:textId="3D856999" w:rsidR="002D2E6B" w:rsidRDefault="00811103" w:rsidP="002D2E6B">
      <w:pPr>
        <w:pStyle w:val="BulletLevel1"/>
      </w:pPr>
      <w:r>
        <w:fldChar w:fldCharType="begin"/>
      </w:r>
      <w:r>
        <w:instrText xml:space="preserve"> REF _Ref131151052 \w \h </w:instrText>
      </w:r>
      <w:r>
        <w:fldChar w:fldCharType="separate"/>
      </w:r>
      <w:r w:rsidR="00130DCF">
        <w:t>Appendix A</w:t>
      </w:r>
      <w:r>
        <w:fldChar w:fldCharType="end"/>
      </w:r>
      <w:r>
        <w:t xml:space="preserve"> </w:t>
      </w:r>
      <w:r>
        <w:fldChar w:fldCharType="begin"/>
      </w:r>
      <w:r>
        <w:instrText xml:space="preserve"> REF _Ref131151069 \h </w:instrText>
      </w:r>
      <w:r>
        <w:fldChar w:fldCharType="separate"/>
      </w:r>
      <w:r w:rsidR="00130DCF">
        <w:t>Audit compliance elements</w:t>
      </w:r>
      <w:r>
        <w:fldChar w:fldCharType="end"/>
      </w:r>
      <w:r>
        <w:t xml:space="preserve">: which lists the </w:t>
      </w:r>
      <w:r w:rsidR="005B18EA">
        <w:t xml:space="preserve">audit </w:t>
      </w:r>
      <w:r>
        <w:t>compliance elements</w:t>
      </w:r>
      <w:r w:rsidR="005B18EA">
        <w:t xml:space="preserve"> and conformance criteria and provides a summary of the overall level of full conformance with </w:t>
      </w:r>
      <w:r w:rsidR="00585EF9">
        <w:t>each applicable audit</w:t>
      </w:r>
      <w:r w:rsidR="005B18EA">
        <w:t xml:space="preserve"> </w:t>
      </w:r>
      <w:r w:rsidR="00585EF9">
        <w:t xml:space="preserve">criterion. </w:t>
      </w:r>
    </w:p>
    <w:p w14:paraId="3E22DC90" w14:textId="6AD7EAA0" w:rsidR="00585EF9" w:rsidRDefault="00585EF9" w:rsidP="002D2E6B">
      <w:pPr>
        <w:pStyle w:val="BulletLevel1"/>
      </w:pPr>
      <w:r>
        <w:fldChar w:fldCharType="begin"/>
      </w:r>
      <w:r>
        <w:instrText xml:space="preserve"> REF _Ref120089846 \r \h </w:instrText>
      </w:r>
      <w:r>
        <w:fldChar w:fldCharType="separate"/>
      </w:r>
      <w:r w:rsidR="00130DCF">
        <w:t>Appendix B</w:t>
      </w:r>
      <w:r>
        <w:fldChar w:fldCharType="end"/>
      </w:r>
      <w:r>
        <w:t xml:space="preserve"> </w:t>
      </w:r>
      <w:r>
        <w:fldChar w:fldCharType="begin"/>
      </w:r>
      <w:r>
        <w:instrText xml:space="preserve"> REF _Ref120089846 \h </w:instrText>
      </w:r>
      <w:r>
        <w:fldChar w:fldCharType="separate"/>
      </w:r>
      <w:r w:rsidR="00130DCF">
        <w:t>Environment impact assessment tool</w:t>
      </w:r>
      <w:r>
        <w:fldChar w:fldCharType="end"/>
      </w:r>
      <w:r>
        <w:t xml:space="preserve">: which describes the </w:t>
      </w:r>
      <w:r w:rsidR="0063486C">
        <w:t>method for assessing potential environmental impacts associated with non-conformances with audit criteria</w:t>
      </w:r>
      <w:r w:rsidR="00E97E8F">
        <w:t>.</w:t>
      </w:r>
    </w:p>
    <w:p w14:paraId="429BADDD" w14:textId="540449A9" w:rsidR="00E97E8F" w:rsidRDefault="00E97E8F" w:rsidP="002D2E6B">
      <w:pPr>
        <w:pStyle w:val="BulletLevel1"/>
      </w:pPr>
      <w:r>
        <w:lastRenderedPageBreak/>
        <w:fldChar w:fldCharType="begin"/>
      </w:r>
      <w:r>
        <w:instrText xml:space="preserve"> REF _Ref21343207 \r \h </w:instrText>
      </w:r>
      <w:r>
        <w:fldChar w:fldCharType="separate"/>
      </w:r>
      <w:r w:rsidR="00130DCF">
        <w:t>Appendix C</w:t>
      </w:r>
      <w:r>
        <w:fldChar w:fldCharType="end"/>
      </w:r>
      <w:r>
        <w:t xml:space="preserve"> </w:t>
      </w:r>
      <w:r>
        <w:fldChar w:fldCharType="begin"/>
      </w:r>
      <w:r>
        <w:instrText xml:space="preserve"> REF _Ref21343207 \h </w:instrText>
      </w:r>
      <w:r>
        <w:fldChar w:fldCharType="separate"/>
      </w:r>
      <w:r w:rsidR="00130DCF" w:rsidRPr="00F54A2D">
        <w:t>Incidents leading to assessments of non-conformance with audit criteria and the regulatory framework for timber harvesting</w:t>
      </w:r>
      <w:r>
        <w:fldChar w:fldCharType="end"/>
      </w:r>
      <w:r>
        <w:t xml:space="preserve">: which describes the </w:t>
      </w:r>
      <w:r w:rsidR="009D2C84">
        <w:t>various non-conformance incidents observed that had direct potential for environmental impact.</w:t>
      </w:r>
    </w:p>
    <w:p w14:paraId="3DA41803" w14:textId="486C40C1" w:rsidR="00441C4E" w:rsidRDefault="00441C4E" w:rsidP="002D2E6B">
      <w:pPr>
        <w:pStyle w:val="BulletLevel1"/>
      </w:pPr>
      <w:r>
        <w:fldChar w:fldCharType="begin"/>
      </w:r>
      <w:r>
        <w:instrText xml:space="preserve"> REF _Ref131151417 \r \h </w:instrText>
      </w:r>
      <w:r>
        <w:fldChar w:fldCharType="separate"/>
      </w:r>
      <w:r w:rsidR="00130DCF">
        <w:t>Appendix D</w:t>
      </w:r>
      <w:r>
        <w:fldChar w:fldCharType="end"/>
      </w:r>
      <w:r>
        <w:t xml:space="preserve"> </w:t>
      </w:r>
      <w:r>
        <w:fldChar w:fldCharType="begin"/>
      </w:r>
      <w:r>
        <w:instrText xml:space="preserve"> REF _Ref131151417 \h </w:instrText>
      </w:r>
      <w:r>
        <w:fldChar w:fldCharType="separate"/>
      </w:r>
      <w:r w:rsidR="00130DCF">
        <w:t>VicForests’ substantive comments on the draft audit report</w:t>
      </w:r>
      <w:r>
        <w:fldChar w:fldCharType="end"/>
      </w:r>
      <w:r>
        <w:t xml:space="preserve">: </w:t>
      </w:r>
      <w:r w:rsidR="00E9039F">
        <w:t xml:space="preserve">which summarises VicForests’ substantive comments on the draft of this report and how these have been responded to </w:t>
      </w:r>
      <w:r w:rsidR="004E53E0">
        <w:t>in finalising this report.</w:t>
      </w:r>
    </w:p>
    <w:p w14:paraId="2C7C889D" w14:textId="68248E00" w:rsidR="001840DC" w:rsidRDefault="001840DC" w:rsidP="001840DC">
      <w:pPr>
        <w:pStyle w:val="Heading1"/>
      </w:pPr>
      <w:bookmarkStart w:id="71" w:name="_Ref121249851"/>
      <w:bookmarkStart w:id="72" w:name="_Toc131178667"/>
      <w:r>
        <w:lastRenderedPageBreak/>
        <w:t>Audit scope</w:t>
      </w:r>
      <w:bookmarkEnd w:id="71"/>
      <w:bookmarkEnd w:id="72"/>
    </w:p>
    <w:p w14:paraId="4091BC49" w14:textId="3C67ECA5" w:rsidR="001840DC" w:rsidRDefault="001840DC" w:rsidP="001840DC">
      <w:pPr>
        <w:pStyle w:val="Heading2"/>
      </w:pPr>
      <w:bookmarkStart w:id="73" w:name="_Toc131178668"/>
      <w:r>
        <w:t>Audit objectives</w:t>
      </w:r>
      <w:bookmarkEnd w:id="73"/>
    </w:p>
    <w:p w14:paraId="31F120C6" w14:textId="1AC5B11B" w:rsidR="001840DC" w:rsidRDefault="001840DC" w:rsidP="001840DC">
      <w:pPr>
        <w:pStyle w:val="BodyText"/>
      </w:pPr>
      <w:r>
        <w:t xml:space="preserve">The FAP is delivered by an independent environmental auditor commissioned by </w:t>
      </w:r>
      <w:r w:rsidR="00917C92">
        <w:t>DEECA</w:t>
      </w:r>
      <w:r>
        <w:t>. The audit is intended to provide an objective and independent assessment of:</w:t>
      </w:r>
    </w:p>
    <w:p w14:paraId="0A83271F" w14:textId="17BD5F06" w:rsidR="001840DC" w:rsidRDefault="001840DC" w:rsidP="001840DC">
      <w:pPr>
        <w:pStyle w:val="BulletLevel1"/>
      </w:pPr>
      <w:r>
        <w:t>Compliance by VicForests and their contractors with mandatory prescriptions for timber harvesting and related activities that are outlined in the applicable regulatory framework for Victoria</w:t>
      </w:r>
    </w:p>
    <w:p w14:paraId="648085E9" w14:textId="608AD5DE" w:rsidR="001840DC" w:rsidRDefault="001840DC" w:rsidP="001840DC">
      <w:pPr>
        <w:pStyle w:val="BulletLevel1"/>
      </w:pPr>
      <w:r>
        <w:t>Environmental performance of the audited timber harvesting operations and any associated risks of harm to the environment</w:t>
      </w:r>
      <w:r w:rsidR="003C1219">
        <w:t xml:space="preserve"> resulting from non-conformances with the regulatory framework for timber harvesting activities</w:t>
      </w:r>
      <w:r>
        <w:t>.</w:t>
      </w:r>
    </w:p>
    <w:p w14:paraId="319E1795" w14:textId="09A7BD70" w:rsidR="001840DC" w:rsidRDefault="001840DC" w:rsidP="001840DC">
      <w:pPr>
        <w:pStyle w:val="BodyText"/>
      </w:pPr>
      <w:r>
        <w:t xml:space="preserve">The FAP </w:t>
      </w:r>
      <w:r w:rsidR="003C1219">
        <w:t xml:space="preserve">also </w:t>
      </w:r>
      <w:r>
        <w:t>contribut</w:t>
      </w:r>
      <w:r w:rsidR="003C1219">
        <w:t>es</w:t>
      </w:r>
      <w:r>
        <w:t xml:space="preserve"> to continuous improvement in sustainable management of Victoria’s State forests.</w:t>
      </w:r>
    </w:p>
    <w:p w14:paraId="18FB841A" w14:textId="40C1ACAA" w:rsidR="001840DC" w:rsidRDefault="001840DC" w:rsidP="003C1219">
      <w:pPr>
        <w:pStyle w:val="Heading2"/>
      </w:pPr>
      <w:bookmarkStart w:id="74" w:name="_Toc131178669"/>
      <w:r>
        <w:t>Audit scope</w:t>
      </w:r>
      <w:bookmarkEnd w:id="74"/>
      <w:r>
        <w:t xml:space="preserve"> </w:t>
      </w:r>
    </w:p>
    <w:p w14:paraId="04078C2D" w14:textId="73A2E73E" w:rsidR="001840DC" w:rsidRDefault="001840DC" w:rsidP="001840DC">
      <w:pPr>
        <w:pStyle w:val="BodyText"/>
      </w:pPr>
      <w:r>
        <w:t xml:space="preserve">The audit addresses a suite of mandatory Code compliance elements that were selected by </w:t>
      </w:r>
      <w:r w:rsidR="004F3539">
        <w:t xml:space="preserve">DEECA’s </w:t>
      </w:r>
      <w:r>
        <w:t>Timber Harvesting Compliance Unit (THCU; a unit within the CR). It focusses on four main areas of compliance priority under the Code, namely:</w:t>
      </w:r>
    </w:p>
    <w:p w14:paraId="30994CB3" w14:textId="4F48BF72" w:rsidR="001840DC" w:rsidRDefault="001840DC" w:rsidP="003C1219">
      <w:pPr>
        <w:pStyle w:val="BulletLevel1"/>
      </w:pPr>
      <w:r w:rsidRPr="003C1219">
        <w:rPr>
          <w:i/>
          <w:iCs/>
        </w:rPr>
        <w:t>Environmental values in State Forests</w:t>
      </w:r>
      <w:r>
        <w:t>: specific measures to protect water quality, river health and soils</w:t>
      </w:r>
    </w:p>
    <w:p w14:paraId="04204B45" w14:textId="5C40DCE8" w:rsidR="001840DC" w:rsidRDefault="001840DC" w:rsidP="003C1219">
      <w:pPr>
        <w:pStyle w:val="BulletLevel1"/>
      </w:pPr>
      <w:r w:rsidRPr="003C1219">
        <w:rPr>
          <w:i/>
          <w:iCs/>
        </w:rPr>
        <w:t>Conservation of biodiversity</w:t>
      </w:r>
      <w:r>
        <w:t>: measures during coupe planning and operations which are designed to protect listed threatened species and vegetation communities, avoid harvesting in rainforests, and maintain forest hygiene</w:t>
      </w:r>
    </w:p>
    <w:p w14:paraId="65F43A2E" w14:textId="0224D932" w:rsidR="001840DC" w:rsidRDefault="001840DC" w:rsidP="003C1219">
      <w:pPr>
        <w:pStyle w:val="BulletLevel1"/>
      </w:pPr>
      <w:r w:rsidRPr="003C1219">
        <w:rPr>
          <w:i/>
          <w:iCs/>
        </w:rPr>
        <w:t>Operational planning and record-keeping</w:t>
      </w:r>
      <w:r>
        <w:t>: measures that are undertaken to ensure that timber harvesting operations are planned to satisfy applicable regulatory requirements</w:t>
      </w:r>
    </w:p>
    <w:p w14:paraId="6568E5AE" w14:textId="3C0F85CE" w:rsidR="001840DC" w:rsidRDefault="001840DC" w:rsidP="003C1219">
      <w:pPr>
        <w:pStyle w:val="BulletLevel1"/>
      </w:pPr>
      <w:r w:rsidRPr="003C1219">
        <w:rPr>
          <w:i/>
          <w:iCs/>
        </w:rPr>
        <w:t>Coupe infrastructure for timber harvesting operations</w:t>
      </w:r>
      <w:r>
        <w:t>: measures to ensure the design, construction, decommissioning and rehabilitation of in-coupe roads and other coupe infrastructure (e.g., landings, snig tracks, boundary tracks) protect key environmental values.</w:t>
      </w:r>
    </w:p>
    <w:p w14:paraId="04401E6E" w14:textId="4C5D8A30" w:rsidR="001840DC" w:rsidRDefault="001840DC" w:rsidP="001840DC">
      <w:pPr>
        <w:pStyle w:val="BodyText"/>
      </w:pPr>
      <w:r>
        <w:t xml:space="preserve">Audit compliance elements that are based on the Code are supplemented by elements drawn from mandatory requirements of the MSPs. These additional elements were selected by the auditors, based on the Code compliance elements specified by DELWP, and agreed with THCU prior to commencing the audit. </w:t>
      </w:r>
    </w:p>
    <w:p w14:paraId="2ADC09C0" w14:textId="77777777" w:rsidR="001840DC" w:rsidRDefault="001840DC" w:rsidP="001840DC">
      <w:pPr>
        <w:pStyle w:val="BodyText"/>
      </w:pPr>
      <w:r>
        <w:t xml:space="preserve">Collectively, the compliance elements seek to ensure that coupe planning, harvesting and associated forest roading activities are conducted so that the range, quantity and quality of environmental goods and services provided by State forests are maintained. </w:t>
      </w:r>
    </w:p>
    <w:p w14:paraId="566ECF88" w14:textId="7C261A79" w:rsidR="001840DC" w:rsidRDefault="001840DC" w:rsidP="001840DC">
      <w:pPr>
        <w:pStyle w:val="BodyText"/>
      </w:pPr>
      <w:r>
        <w:t>The audit included 3</w:t>
      </w:r>
      <w:r w:rsidR="003C1219">
        <w:t>2</w:t>
      </w:r>
      <w:r>
        <w:t xml:space="preserve"> coupes that were listed in VicForests’ TRP (for intensive harvesting operations in eastern Victoria) and harvested during the 20</w:t>
      </w:r>
      <w:r w:rsidR="003C1219">
        <w:t>20-2021</w:t>
      </w:r>
      <w:r>
        <w:t xml:space="preserve"> financial year. These coupes are located within the Central Highlands, Gippsland</w:t>
      </w:r>
      <w:r w:rsidR="003C1219">
        <w:t>,</w:t>
      </w:r>
      <w:r>
        <w:t xml:space="preserve"> East Gippsland </w:t>
      </w:r>
      <w:r w:rsidR="003C1219">
        <w:t xml:space="preserve">and North East </w:t>
      </w:r>
      <w:r>
        <w:t>Regional Forest Agreement (RFA) regions (</w:t>
      </w:r>
      <w:r w:rsidR="003C1219">
        <w:fldChar w:fldCharType="begin"/>
      </w:r>
      <w:r w:rsidR="003C1219">
        <w:instrText xml:space="preserve"> REF _Ref119761687 \h </w:instrText>
      </w:r>
      <w:r w:rsidR="003C1219">
        <w:fldChar w:fldCharType="separate"/>
      </w:r>
      <w:r w:rsidR="00130DCF" w:rsidRPr="009038E7">
        <w:t>Figure</w:t>
      </w:r>
      <w:r w:rsidR="00130DCF">
        <w:t> </w:t>
      </w:r>
      <w:r w:rsidR="00130DCF">
        <w:rPr>
          <w:noProof/>
        </w:rPr>
        <w:t>2</w:t>
      </w:r>
      <w:r w:rsidR="00130DCF">
        <w:noBreakHyphen/>
      </w:r>
      <w:r w:rsidR="00130DCF">
        <w:rPr>
          <w:noProof/>
        </w:rPr>
        <w:t>1</w:t>
      </w:r>
      <w:r w:rsidR="003C1219">
        <w:fldChar w:fldCharType="end"/>
      </w:r>
      <w:r>
        <w:t xml:space="preserve">). </w:t>
      </w:r>
    </w:p>
    <w:p w14:paraId="741C8ADD" w14:textId="58621B59" w:rsidR="001840DC" w:rsidRDefault="000803B3" w:rsidP="001840DC">
      <w:pPr>
        <w:pStyle w:val="BodyText"/>
      </w:pPr>
      <w:r>
        <w:rPr>
          <w:noProof/>
        </w:rPr>
        <w:lastRenderedPageBreak/>
        <w:drawing>
          <wp:inline distT="0" distB="0" distL="0" distR="0" wp14:anchorId="55F691A1" wp14:editId="0C9344AC">
            <wp:extent cx="6123542" cy="42386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32" t="3516" r="1691" b="1099"/>
                    <a:stretch/>
                  </pic:blipFill>
                  <pic:spPr bwMode="auto">
                    <a:xfrm>
                      <a:off x="0" y="0"/>
                      <a:ext cx="6141119" cy="4250791"/>
                    </a:xfrm>
                    <a:prstGeom prst="rect">
                      <a:avLst/>
                    </a:prstGeom>
                    <a:noFill/>
                    <a:ln>
                      <a:noFill/>
                    </a:ln>
                    <a:extLst>
                      <a:ext uri="{53640926-AAD7-44D8-BBD7-CCE9431645EC}">
                        <a14:shadowObscured xmlns:a14="http://schemas.microsoft.com/office/drawing/2010/main"/>
                      </a:ext>
                    </a:extLst>
                  </pic:spPr>
                </pic:pic>
              </a:graphicData>
            </a:graphic>
          </wp:inline>
        </w:drawing>
      </w:r>
    </w:p>
    <w:p w14:paraId="06084729" w14:textId="43455FA6" w:rsidR="001840DC" w:rsidRDefault="001840DC" w:rsidP="009B1D0C">
      <w:pPr>
        <w:pStyle w:val="TableText"/>
      </w:pPr>
      <w:r>
        <w:t>Note: numbers 01-3</w:t>
      </w:r>
      <w:r w:rsidR="00F97E0A">
        <w:t>2</w:t>
      </w:r>
      <w:r>
        <w:t xml:space="preserve"> represent the assigned coupe number (see </w:t>
      </w:r>
      <w:r w:rsidR="00BD5362">
        <w:fldChar w:fldCharType="begin"/>
      </w:r>
      <w:r w:rsidR="00BD5362">
        <w:instrText xml:space="preserve"> REF _Ref119928572 \h </w:instrText>
      </w:r>
      <w:r w:rsidR="00BD5362">
        <w:fldChar w:fldCharType="separate"/>
      </w:r>
      <w:r w:rsidR="00130DCF" w:rsidRPr="009038E7">
        <w:t>Table</w:t>
      </w:r>
      <w:r w:rsidR="00130DCF">
        <w:t> </w:t>
      </w:r>
      <w:r w:rsidR="00130DCF">
        <w:rPr>
          <w:noProof/>
        </w:rPr>
        <w:t>3-1</w:t>
      </w:r>
      <w:r w:rsidR="00BD5362">
        <w:fldChar w:fldCharType="end"/>
      </w:r>
      <w:r>
        <w:t xml:space="preserve"> for details). </w:t>
      </w:r>
    </w:p>
    <w:p w14:paraId="607D3595" w14:textId="7805B4B9" w:rsidR="003C1219" w:rsidRDefault="003C1219" w:rsidP="003D4A8B">
      <w:pPr>
        <w:pStyle w:val="FigureCaption"/>
      </w:pPr>
      <w:bookmarkStart w:id="75" w:name="_Ref119761687"/>
      <w:bookmarkStart w:id="76" w:name="_Toc131178752"/>
      <w:r w:rsidRPr="009038E7">
        <w:t>Figure</w:t>
      </w:r>
      <w:r>
        <w:t> </w:t>
      </w:r>
      <w:fldSimple w:instr=" STYLEREF 1 \s ">
        <w:r w:rsidR="00130DCF">
          <w:rPr>
            <w:noProof/>
          </w:rPr>
          <w:t>2</w:t>
        </w:r>
      </w:fldSimple>
      <w:r w:rsidR="0039100E">
        <w:noBreakHyphen/>
      </w:r>
      <w:fldSimple w:instr=" SEQ Figure \* ARABIC \s 1 ">
        <w:r w:rsidR="00130DCF">
          <w:rPr>
            <w:noProof/>
          </w:rPr>
          <w:t>1</w:t>
        </w:r>
      </w:fldSimple>
      <w:bookmarkEnd w:id="75"/>
      <w:r>
        <w:rPr>
          <w:noProof/>
        </w:rPr>
        <w:t>.</w:t>
      </w:r>
      <w:r w:rsidRPr="009038E7">
        <w:t xml:space="preserve"> </w:t>
      </w:r>
      <w:r>
        <w:t>Locations of coupes included in 2022 Forest Audit Program, with references to Victorian Forest Management Areas (FMA</w:t>
      </w:r>
      <w:r w:rsidR="00F97E0A">
        <w:t>; green text</w:t>
      </w:r>
      <w:r w:rsidR="0099432C">
        <w:t xml:space="preserve"> and </w:t>
      </w:r>
      <w:r w:rsidR="00F97E0A">
        <w:t>boundaries</w:t>
      </w:r>
      <w:r>
        <w:t>) and Regional Forest Agreement (RFA</w:t>
      </w:r>
      <w:r w:rsidR="00F97E0A">
        <w:t xml:space="preserve">; </w:t>
      </w:r>
      <w:r w:rsidR="0099432C">
        <w:t xml:space="preserve">blue </w:t>
      </w:r>
      <w:r w:rsidR="00F97E0A">
        <w:t>text</w:t>
      </w:r>
      <w:r w:rsidR="0099432C">
        <w:t xml:space="preserve"> and </w:t>
      </w:r>
      <w:r w:rsidR="00F97E0A">
        <w:t>boundaries</w:t>
      </w:r>
      <w:r>
        <w:t xml:space="preserve">) regions. Sources: ESRI, </w:t>
      </w:r>
      <w:r w:rsidR="00437576">
        <w:t>DEECA</w:t>
      </w:r>
      <w:r>
        <w:t>.</w:t>
      </w:r>
      <w:bookmarkEnd w:id="76"/>
    </w:p>
    <w:p w14:paraId="0EA9484A" w14:textId="7C338AED" w:rsidR="001840DC" w:rsidRDefault="001840DC" w:rsidP="009B1D0C">
      <w:pPr>
        <w:pStyle w:val="Heading2"/>
      </w:pPr>
      <w:bookmarkStart w:id="77" w:name="_Toc131178670"/>
      <w:r>
        <w:t>Audit timing</w:t>
      </w:r>
      <w:bookmarkEnd w:id="77"/>
    </w:p>
    <w:p w14:paraId="40572CF3" w14:textId="77777777" w:rsidR="009B1D0C" w:rsidRDefault="001840DC" w:rsidP="001840DC">
      <w:pPr>
        <w:pStyle w:val="BodyText"/>
      </w:pPr>
      <w:r>
        <w:t xml:space="preserve">Field assessments of the coupes included in this audit were undertaken </w:t>
      </w:r>
      <w:r w:rsidR="009B1D0C">
        <w:t>in two tranches, between</w:t>
      </w:r>
      <w:r>
        <w:t xml:space="preserve"> June </w:t>
      </w:r>
      <w:r w:rsidR="009B1D0C">
        <w:t>and September 2022</w:t>
      </w:r>
      <w:r>
        <w:t xml:space="preserve">. </w:t>
      </w:r>
      <w:r w:rsidR="009B1D0C">
        <w:t>The first tranche included 24 coupes located in Central Highlands, Gippsland and East Gippsland RFA regions. The second tranche included eight coupes in North East RFA region; auditing of these coupes was delayed due to access issues.</w:t>
      </w:r>
    </w:p>
    <w:p w14:paraId="19D81CFF" w14:textId="0347F385" w:rsidR="009B1D0C" w:rsidRDefault="001840DC" w:rsidP="001840DC">
      <w:pPr>
        <w:pStyle w:val="BodyText"/>
      </w:pPr>
      <w:r>
        <w:t xml:space="preserve">Audit reporting was carried out in </w:t>
      </w:r>
      <w:r w:rsidR="009B1D0C">
        <w:t>three</w:t>
      </w:r>
      <w:r>
        <w:t xml:space="preserve"> stages</w:t>
      </w:r>
      <w:r w:rsidR="009B1D0C">
        <w:t>:</w:t>
      </w:r>
    </w:p>
    <w:p w14:paraId="194FA5AE" w14:textId="54A99FD7" w:rsidR="009B1D0C" w:rsidRDefault="009B1D0C" w:rsidP="009B1D0C">
      <w:pPr>
        <w:pStyle w:val="BulletLevel1"/>
      </w:pPr>
      <w:r w:rsidRPr="0090580C">
        <w:rPr>
          <w:i/>
          <w:iCs/>
        </w:rPr>
        <w:t>I</w:t>
      </w:r>
      <w:r w:rsidR="001840DC" w:rsidRPr="0090580C">
        <w:rPr>
          <w:i/>
          <w:iCs/>
        </w:rPr>
        <w:t>nitial conformance summary report</w:t>
      </w:r>
      <w:r w:rsidRPr="0090580C">
        <w:rPr>
          <w:i/>
          <w:iCs/>
        </w:rPr>
        <w:t>:</w:t>
      </w:r>
      <w:r>
        <w:t xml:space="preserve"> </w:t>
      </w:r>
      <w:r w:rsidR="001840DC">
        <w:t xml:space="preserve">on the </w:t>
      </w:r>
      <w:r>
        <w:t xml:space="preserve">preliminary </w:t>
      </w:r>
      <w:r w:rsidR="001840DC">
        <w:t xml:space="preserve">results of the audit </w:t>
      </w:r>
      <w:r>
        <w:t xml:space="preserve">of the 24 coupes in tranche 1. This was </w:t>
      </w:r>
      <w:r w:rsidR="001840DC">
        <w:t xml:space="preserve">submitted to </w:t>
      </w:r>
      <w:r w:rsidR="00440C6A">
        <w:t xml:space="preserve">DEECA (then </w:t>
      </w:r>
      <w:r w:rsidR="001840DC">
        <w:t>DELWP</w:t>
      </w:r>
      <w:r w:rsidR="00440C6A">
        <w:t>)</w:t>
      </w:r>
      <w:r w:rsidR="001840DC">
        <w:t xml:space="preserve"> in </w:t>
      </w:r>
      <w:r>
        <w:t>July</w:t>
      </w:r>
      <w:r w:rsidR="001840DC">
        <w:t xml:space="preserve"> 202</w:t>
      </w:r>
      <w:r>
        <w:t>2</w:t>
      </w:r>
    </w:p>
    <w:p w14:paraId="2A1B20BC" w14:textId="7923EE59" w:rsidR="0090580C" w:rsidRDefault="009B1D0C" w:rsidP="009B1D0C">
      <w:pPr>
        <w:pStyle w:val="BulletLevel1"/>
      </w:pPr>
      <w:r w:rsidRPr="0090580C">
        <w:rPr>
          <w:i/>
          <w:iCs/>
        </w:rPr>
        <w:t>Updated conformance summary:</w:t>
      </w:r>
      <w:r>
        <w:t xml:space="preserve"> which included the preliminary results of audits in tranche 1 and 2 coupes</w:t>
      </w:r>
      <w:r w:rsidR="0090580C">
        <w:t xml:space="preserve"> and was submitted to </w:t>
      </w:r>
      <w:r w:rsidR="00A72425">
        <w:t xml:space="preserve">DEECA (then DELWP) </w:t>
      </w:r>
      <w:r w:rsidR="0090580C">
        <w:t>in October 2022</w:t>
      </w:r>
    </w:p>
    <w:p w14:paraId="7A5C5B3D" w14:textId="727BD273" w:rsidR="0090580C" w:rsidRDefault="0090580C" w:rsidP="009B1D0C">
      <w:pPr>
        <w:pStyle w:val="BulletLevel1"/>
      </w:pPr>
      <w:r>
        <w:rPr>
          <w:i/>
          <w:iCs/>
        </w:rPr>
        <w:t>Main a</w:t>
      </w:r>
      <w:r w:rsidRPr="0090580C">
        <w:rPr>
          <w:i/>
          <w:iCs/>
        </w:rPr>
        <w:t>udit report:</w:t>
      </w:r>
      <w:r>
        <w:t xml:space="preserve"> a full report on the revised audit results, key findings and recommendations, of which this is the </w:t>
      </w:r>
      <w:r w:rsidR="00A72425">
        <w:t>final version</w:t>
      </w:r>
      <w:r>
        <w:t xml:space="preserve">. </w:t>
      </w:r>
    </w:p>
    <w:p w14:paraId="482ECC04" w14:textId="77777777" w:rsidR="0090580C" w:rsidRDefault="0090580C" w:rsidP="0090580C">
      <w:pPr>
        <w:pStyle w:val="BodyText"/>
      </w:pPr>
      <w:r>
        <w:t xml:space="preserve">The conformance summary </w:t>
      </w:r>
      <w:r w:rsidR="001840DC">
        <w:t xml:space="preserve">provided preliminary information on compliance assessments and the potential environmental impact of any non-conformances. </w:t>
      </w:r>
      <w:r>
        <w:t xml:space="preserve">Unlike this main audit report, </w:t>
      </w:r>
      <w:r w:rsidR="001840DC">
        <w:t xml:space="preserve">it did not </w:t>
      </w:r>
      <w:r>
        <w:t xml:space="preserve">discuss the audit results, </w:t>
      </w:r>
      <w:r w:rsidR="001840DC">
        <w:t>draw out any overall findings or conclusions</w:t>
      </w:r>
      <w:r>
        <w:t xml:space="preserve"> or make recommendations</w:t>
      </w:r>
      <w:r w:rsidR="001840DC">
        <w:t xml:space="preserve">. </w:t>
      </w:r>
    </w:p>
    <w:p w14:paraId="0F470817" w14:textId="6E00B69E" w:rsidR="001840DC" w:rsidRDefault="001840DC" w:rsidP="0090580C">
      <w:pPr>
        <w:pStyle w:val="BodyText"/>
      </w:pPr>
      <w:r>
        <w:t xml:space="preserve">The general content and format of the </w:t>
      </w:r>
      <w:r w:rsidR="0090580C">
        <w:t>conformance summary</w:t>
      </w:r>
      <w:r>
        <w:t xml:space="preserve"> </w:t>
      </w:r>
      <w:r w:rsidR="00003BE9">
        <w:t xml:space="preserve">and </w:t>
      </w:r>
      <w:r>
        <w:t xml:space="preserve">audit report were specified by </w:t>
      </w:r>
      <w:r w:rsidR="00A72425">
        <w:t>DEECA</w:t>
      </w:r>
      <w:r>
        <w:t>.</w:t>
      </w:r>
    </w:p>
    <w:p w14:paraId="330E1F97" w14:textId="425BE2C4" w:rsidR="001840DC" w:rsidRDefault="001840DC" w:rsidP="0090580C">
      <w:pPr>
        <w:pStyle w:val="Heading2"/>
      </w:pPr>
      <w:bookmarkStart w:id="78" w:name="_Toc131178671"/>
      <w:r>
        <w:lastRenderedPageBreak/>
        <w:t>Audit team</w:t>
      </w:r>
      <w:bookmarkEnd w:id="78"/>
    </w:p>
    <w:p w14:paraId="3FDEB767" w14:textId="77777777" w:rsidR="001840DC" w:rsidRDefault="001840DC" w:rsidP="00382F1A">
      <w:pPr>
        <w:pStyle w:val="BodyText"/>
        <w:keepNext/>
      </w:pPr>
      <w:r>
        <w:t xml:space="preserve">The audit team (below) were all employed by Jacobs Group (Australia) Pty Ltd (Jacobs): </w:t>
      </w:r>
    </w:p>
    <w:p w14:paraId="5E2EB233" w14:textId="35DB4B8E" w:rsidR="001840DC" w:rsidRDefault="001840DC" w:rsidP="0090580C">
      <w:pPr>
        <w:pStyle w:val="BulletLevel1"/>
      </w:pPr>
      <w:r w:rsidRPr="0090580C">
        <w:rPr>
          <w:i/>
          <w:iCs/>
        </w:rPr>
        <w:t>Craig Clifton (Project Manager and lead auditor):</w:t>
      </w:r>
      <w:r>
        <w:t xml:space="preserve"> Craig is an EPA-appointed natural resources environmental auditor and has undergraduate and post-graduate qualifications in Forest Science. He developed the audit methodology, led the field assessments and their analysis and is lead author of this audit report. Craig has led audit teams undertaking </w:t>
      </w:r>
      <w:r w:rsidR="0090580C">
        <w:t>nine</w:t>
      </w:r>
      <w:r>
        <w:t xml:space="preserve"> previous FAP audit projects. </w:t>
      </w:r>
    </w:p>
    <w:p w14:paraId="407728D1" w14:textId="192E7A0F" w:rsidR="001840DC" w:rsidRDefault="001840DC" w:rsidP="0090580C">
      <w:pPr>
        <w:pStyle w:val="BulletLevel1"/>
      </w:pPr>
      <w:r w:rsidRPr="0090580C">
        <w:rPr>
          <w:i/>
          <w:iCs/>
        </w:rPr>
        <w:t>David Endersby (Project Director):</w:t>
      </w:r>
      <w:r>
        <w:t xml:space="preserve"> David is a principal terrestrial ecologist, with specialist expertise in botany, plant ecology and geomorphology. He has participated in </w:t>
      </w:r>
      <w:r w:rsidR="0090580C">
        <w:t xml:space="preserve">most of the </w:t>
      </w:r>
      <w:r>
        <w:t xml:space="preserve">previous FAP audits </w:t>
      </w:r>
      <w:r w:rsidR="0090580C">
        <w:t xml:space="preserve">delivered by Jacobs </w:t>
      </w:r>
      <w:r>
        <w:t>as a field team member, project director and</w:t>
      </w:r>
      <w:r w:rsidR="0090580C">
        <w:t>/or</w:t>
      </w:r>
      <w:r>
        <w:t xml:space="preserve"> technical reviewer. David is the internal technical reviewer for this report and Jacobs’ project director. </w:t>
      </w:r>
    </w:p>
    <w:p w14:paraId="75F92005" w14:textId="09D06AF7" w:rsidR="001840DC" w:rsidRDefault="001840DC" w:rsidP="0090580C">
      <w:pPr>
        <w:pStyle w:val="BulletLevel1"/>
      </w:pPr>
      <w:r w:rsidRPr="0090580C">
        <w:rPr>
          <w:i/>
          <w:iCs/>
        </w:rPr>
        <w:t>Andrew Stephens (Audit team member):</w:t>
      </w:r>
      <w:r>
        <w:t xml:space="preserve"> Andrew is a senior ecologist with specialisations in vegetation and bushfire ecology. Andrew works closely with statutory authorities for environmental approvals including state and nationally protected matters. He has also assisted in implementing native vegetation offsets as an accredited assessor, preparing management plans and monitoring implementation of restoration works. Andrew participated in field audits in</w:t>
      </w:r>
      <w:r w:rsidR="0090580C">
        <w:t xml:space="preserve"> two previous FAP audits</w:t>
      </w:r>
      <w:r w:rsidR="00382F1A">
        <w:t xml:space="preserve"> and was an audit team member for field audits </w:t>
      </w:r>
      <w:r w:rsidR="0090580C">
        <w:t>in</w:t>
      </w:r>
      <w:r>
        <w:t xml:space="preserve"> the East Gippsland </w:t>
      </w:r>
      <w:r w:rsidR="0090580C">
        <w:t xml:space="preserve">and Gippsland </w:t>
      </w:r>
      <w:r>
        <w:t>RFA region</w:t>
      </w:r>
      <w:r w:rsidR="0090580C">
        <w:t>s</w:t>
      </w:r>
      <w:r>
        <w:t xml:space="preserve"> as part of this audit.</w:t>
      </w:r>
    </w:p>
    <w:p w14:paraId="1BA42DF8" w14:textId="14D2EA25" w:rsidR="00382F1A" w:rsidRPr="00382F1A" w:rsidRDefault="00667BDC" w:rsidP="0090580C">
      <w:pPr>
        <w:pStyle w:val="BulletLevel1"/>
      </w:pPr>
      <w:r>
        <w:rPr>
          <w:i/>
          <w:iCs/>
        </w:rPr>
        <w:t xml:space="preserve">John </w:t>
      </w:r>
      <w:r w:rsidR="00382F1A">
        <w:rPr>
          <w:i/>
          <w:iCs/>
        </w:rPr>
        <w:t xml:space="preserve">Sharp (Audit team member): </w:t>
      </w:r>
      <w:r w:rsidR="00382F1A" w:rsidRPr="00382F1A">
        <w:t xml:space="preserve">John is an experienced ecologist who specialises in zoology and fauna survey. In a former role, John undertook Forest Protection Survey Program (FPSP) pre-harvest fauna surveys in </w:t>
      </w:r>
      <w:r w:rsidR="00117CCA">
        <w:t>many</w:t>
      </w:r>
      <w:r w:rsidR="00382F1A" w:rsidRPr="00382F1A">
        <w:t xml:space="preserve"> prospective timber harvesting coupes, mainly in the Central Highlands. John participated in field audits in the Central Highlands RFA area</w:t>
      </w:r>
      <w:r w:rsidR="00382F1A">
        <w:t>.</w:t>
      </w:r>
    </w:p>
    <w:p w14:paraId="1E42C9FB" w14:textId="06759168" w:rsidR="00382F1A" w:rsidRPr="00382F1A" w:rsidRDefault="00382F1A" w:rsidP="0090580C">
      <w:pPr>
        <w:pStyle w:val="BulletLevel1"/>
      </w:pPr>
      <w:r>
        <w:rPr>
          <w:i/>
          <w:iCs/>
        </w:rPr>
        <w:t xml:space="preserve">Austen Hawkins (Audit team member): </w:t>
      </w:r>
      <w:r w:rsidRPr="00382F1A">
        <w:t xml:space="preserve">Austen is an environmental scientist with wide bushfire management, modelling and policy experience. Austen participated in the final eight field audits in the North East </w:t>
      </w:r>
      <w:r>
        <w:t>RFA area.</w:t>
      </w:r>
    </w:p>
    <w:p w14:paraId="70B8E3BD" w14:textId="13FA3FBD" w:rsidR="00382F1A" w:rsidRDefault="00382F1A" w:rsidP="0090580C">
      <w:pPr>
        <w:pStyle w:val="BulletLevel1"/>
      </w:pPr>
      <w:r>
        <w:rPr>
          <w:i/>
          <w:iCs/>
        </w:rPr>
        <w:t xml:space="preserve">Mike Timms (Audit team member): </w:t>
      </w:r>
      <w:r w:rsidRPr="00382F1A">
        <w:t>Mike is an experienced ecologist with extensive ecological survey experience in urban and regional areas of Victoria. Mike participated in one of the field audits in the Central Highlands RFA area</w:t>
      </w:r>
      <w:r>
        <w:t>.</w:t>
      </w:r>
    </w:p>
    <w:p w14:paraId="21362C2A" w14:textId="131D675A" w:rsidR="001840DC" w:rsidRDefault="00382F1A" w:rsidP="00382F1A">
      <w:pPr>
        <w:pStyle w:val="Heading1"/>
      </w:pPr>
      <w:bookmarkStart w:id="79" w:name="_Ref121249869"/>
      <w:bookmarkStart w:id="80" w:name="_Toc131178672"/>
      <w:r>
        <w:lastRenderedPageBreak/>
        <w:t>Audit approach</w:t>
      </w:r>
      <w:bookmarkEnd w:id="79"/>
      <w:bookmarkEnd w:id="80"/>
    </w:p>
    <w:p w14:paraId="6A129D44" w14:textId="15FA973E" w:rsidR="00382F1A" w:rsidRPr="00382F1A" w:rsidRDefault="00382F1A" w:rsidP="00382F1A">
      <w:pPr>
        <w:pStyle w:val="Heading2"/>
      </w:pPr>
      <w:bookmarkStart w:id="81" w:name="_Toc131178673"/>
      <w:r>
        <w:t>Coupe selection</w:t>
      </w:r>
      <w:bookmarkEnd w:id="81"/>
    </w:p>
    <w:p w14:paraId="611D8AF4" w14:textId="455EA782" w:rsidR="00382F1A" w:rsidRDefault="00382F1A" w:rsidP="00383136">
      <w:pPr>
        <w:pStyle w:val="BodyText"/>
      </w:pPr>
      <w:r w:rsidRPr="00382F1A">
        <w:t>Target coupes for the audit were selected from the set of VicForests’ Timber Release Plan (TRP) coupes which were operational or regenerating during the 2020-21 financial year. The coupes are located in the Central Highlands</w:t>
      </w:r>
      <w:r w:rsidR="00283446">
        <w:t xml:space="preserve">, East Gippsland, Gippsland and </w:t>
      </w:r>
      <w:r w:rsidR="00E3383C">
        <w:t>N</w:t>
      </w:r>
      <w:r w:rsidR="00283446">
        <w:t>orth East RFA areas.</w:t>
      </w:r>
      <w:r w:rsidRPr="00382F1A">
        <w:t xml:space="preserve"> Thirty-two coupes were selected for inclusion in the audit, distributed as listed in </w:t>
      </w:r>
      <w:r w:rsidR="00283446">
        <w:fldChar w:fldCharType="begin"/>
      </w:r>
      <w:r w:rsidR="00283446">
        <w:instrText xml:space="preserve"> REF _Ref119928572 \h </w:instrText>
      </w:r>
      <w:r w:rsidR="00283446">
        <w:fldChar w:fldCharType="separate"/>
      </w:r>
      <w:r w:rsidR="00130DCF" w:rsidRPr="009038E7">
        <w:t>Table</w:t>
      </w:r>
      <w:r w:rsidR="00130DCF">
        <w:t> </w:t>
      </w:r>
      <w:r w:rsidR="00130DCF">
        <w:rPr>
          <w:noProof/>
        </w:rPr>
        <w:t>3-1</w:t>
      </w:r>
      <w:r w:rsidR="00283446">
        <w:fldChar w:fldCharType="end"/>
      </w:r>
      <w:r w:rsidRPr="00382F1A">
        <w:t xml:space="preserve">. Reserve coupes were selected in each </w:t>
      </w:r>
      <w:r w:rsidR="00283446">
        <w:t xml:space="preserve">RFA </w:t>
      </w:r>
      <w:r w:rsidRPr="00382F1A">
        <w:t xml:space="preserve">area in case the initial target coupes were inaccessible </w:t>
      </w:r>
      <w:r w:rsidR="00283446">
        <w:t xml:space="preserve">and/or unsafe </w:t>
      </w:r>
      <w:r w:rsidRPr="00382F1A">
        <w:t>at the time of the field audit.</w:t>
      </w:r>
    </w:p>
    <w:p w14:paraId="746738D6" w14:textId="67A75569" w:rsidR="00382F1A" w:rsidRDefault="00382F1A" w:rsidP="003D4A8B">
      <w:pPr>
        <w:pStyle w:val="TableCaption"/>
      </w:pPr>
      <w:bookmarkStart w:id="82" w:name="_Ref119928572"/>
      <w:bookmarkStart w:id="83" w:name="_Toc131178736"/>
      <w:r w:rsidRPr="009038E7">
        <w:t>Table</w:t>
      </w:r>
      <w:r>
        <w:t> </w:t>
      </w:r>
      <w:r>
        <w:fldChar w:fldCharType="begin"/>
      </w:r>
      <w:r>
        <w:instrText>STYLEREF 1 \s</w:instrText>
      </w:r>
      <w:r>
        <w:fldChar w:fldCharType="separate"/>
      </w:r>
      <w:r w:rsidR="00130DCF">
        <w:rPr>
          <w:noProof/>
        </w:rPr>
        <w:t>3</w:t>
      </w:r>
      <w:r>
        <w:fldChar w:fldCharType="end"/>
      </w:r>
      <w:r>
        <w:rPr>
          <w:noProof/>
        </w:rPr>
        <w:t>-</w:t>
      </w:r>
      <w:r>
        <w:fldChar w:fldCharType="begin"/>
      </w:r>
      <w:r>
        <w:instrText>SEQ Table \* ARABIC \s 1</w:instrText>
      </w:r>
      <w:r>
        <w:fldChar w:fldCharType="separate"/>
      </w:r>
      <w:r w:rsidR="00130DCF">
        <w:rPr>
          <w:noProof/>
        </w:rPr>
        <w:t>1</w:t>
      </w:r>
      <w:r>
        <w:fldChar w:fldCharType="end"/>
      </w:r>
      <w:bookmarkEnd w:id="82"/>
      <w:r>
        <w:rPr>
          <w:noProof/>
        </w:rPr>
        <w:t>.</w:t>
      </w:r>
      <w:r w:rsidRPr="009038E7">
        <w:t xml:space="preserve"> </w:t>
      </w:r>
      <w:r>
        <w:t>Summary of audit targets by Regional Forest Agreement area</w:t>
      </w:r>
      <w:r w:rsidR="00A03203">
        <w:t xml:space="preserve"> and Forest Management Area</w:t>
      </w:r>
      <w:bookmarkEnd w:id="83"/>
    </w:p>
    <w:tbl>
      <w:tblPr>
        <w:tblStyle w:val="JacobsTable1accentprimarythemes"/>
        <w:tblW w:w="0" w:type="auto"/>
        <w:tblLook w:val="04A0" w:firstRow="1" w:lastRow="0" w:firstColumn="1" w:lastColumn="0" w:noHBand="0" w:noVBand="1"/>
      </w:tblPr>
      <w:tblGrid>
        <w:gridCol w:w="7797"/>
        <w:gridCol w:w="1841"/>
      </w:tblGrid>
      <w:tr w:rsidR="00382F1A" w14:paraId="754FC9C7" w14:textId="77777777" w:rsidTr="00A03203">
        <w:trPr>
          <w:cnfStyle w:val="100000000000" w:firstRow="1" w:lastRow="0" w:firstColumn="0" w:lastColumn="0" w:oddVBand="0" w:evenVBand="0" w:oddHBand="0" w:evenHBand="0" w:firstRowFirstColumn="0" w:firstRowLastColumn="0" w:lastRowFirstColumn="0" w:lastRowLastColumn="0"/>
        </w:trPr>
        <w:tc>
          <w:tcPr>
            <w:tcW w:w="7797" w:type="dxa"/>
          </w:tcPr>
          <w:p w14:paraId="4F1FF23C" w14:textId="77CCE479" w:rsidR="00382F1A" w:rsidRDefault="00382F1A" w:rsidP="00382F1A">
            <w:pPr>
              <w:pStyle w:val="TableText"/>
            </w:pPr>
            <w:r>
              <w:t>RFA area</w:t>
            </w:r>
          </w:p>
        </w:tc>
        <w:tc>
          <w:tcPr>
            <w:tcW w:w="1841" w:type="dxa"/>
          </w:tcPr>
          <w:p w14:paraId="179CCC21" w14:textId="1F217988" w:rsidR="00382F1A" w:rsidRDefault="00382F1A" w:rsidP="00A03203">
            <w:pPr>
              <w:pStyle w:val="TableText"/>
              <w:jc w:val="center"/>
            </w:pPr>
            <w:r>
              <w:t># coupes</w:t>
            </w:r>
          </w:p>
        </w:tc>
      </w:tr>
      <w:tr w:rsidR="00382F1A" w14:paraId="670FA14D" w14:textId="77777777" w:rsidTr="00A03203">
        <w:tc>
          <w:tcPr>
            <w:tcW w:w="7797" w:type="dxa"/>
          </w:tcPr>
          <w:p w14:paraId="10FCD58D" w14:textId="45D5F905" w:rsidR="00382F1A" w:rsidRDefault="00382F1A" w:rsidP="00382F1A">
            <w:pPr>
              <w:pStyle w:val="TableText"/>
            </w:pPr>
            <w:r>
              <w:t xml:space="preserve">Central Highlands: Central, </w:t>
            </w:r>
            <w:r w:rsidR="00A03203">
              <w:t>Central Gippsland and Dandenong Forest Management Areas (FMAs)</w:t>
            </w:r>
          </w:p>
        </w:tc>
        <w:tc>
          <w:tcPr>
            <w:tcW w:w="1841" w:type="dxa"/>
          </w:tcPr>
          <w:p w14:paraId="4E99383F" w14:textId="01113A87" w:rsidR="00382F1A" w:rsidRDefault="00A03203" w:rsidP="00A03203">
            <w:pPr>
              <w:pStyle w:val="TableText"/>
              <w:jc w:val="center"/>
            </w:pPr>
            <w:r>
              <w:t>12</w:t>
            </w:r>
          </w:p>
        </w:tc>
      </w:tr>
      <w:tr w:rsidR="00382F1A" w14:paraId="2CDD0929" w14:textId="77777777" w:rsidTr="00A03203">
        <w:tc>
          <w:tcPr>
            <w:tcW w:w="7797" w:type="dxa"/>
          </w:tcPr>
          <w:p w14:paraId="7D397871" w14:textId="5D817B8C" w:rsidR="00382F1A" w:rsidRDefault="00382F1A" w:rsidP="00382F1A">
            <w:pPr>
              <w:pStyle w:val="TableText"/>
            </w:pPr>
            <w:r>
              <w:t>East Gippsland</w:t>
            </w:r>
            <w:r w:rsidR="00A03203">
              <w:t>: East Gippsland FMA</w:t>
            </w:r>
          </w:p>
        </w:tc>
        <w:tc>
          <w:tcPr>
            <w:tcW w:w="1841" w:type="dxa"/>
          </w:tcPr>
          <w:p w14:paraId="20CE7EA3" w14:textId="0CFF0CE3" w:rsidR="00382F1A" w:rsidRDefault="00A03203" w:rsidP="00A03203">
            <w:pPr>
              <w:pStyle w:val="TableText"/>
              <w:jc w:val="center"/>
            </w:pPr>
            <w:r>
              <w:t>8</w:t>
            </w:r>
          </w:p>
        </w:tc>
      </w:tr>
      <w:tr w:rsidR="00382F1A" w14:paraId="7455BBD4" w14:textId="77777777" w:rsidTr="00A03203">
        <w:tc>
          <w:tcPr>
            <w:tcW w:w="7797" w:type="dxa"/>
          </w:tcPr>
          <w:p w14:paraId="27BB2255" w14:textId="6D37F9B5" w:rsidR="00382F1A" w:rsidRDefault="00382F1A" w:rsidP="00382F1A">
            <w:pPr>
              <w:pStyle w:val="TableText"/>
            </w:pPr>
            <w:r>
              <w:t>Gippsland</w:t>
            </w:r>
            <w:r w:rsidR="00A03203">
              <w:t>: Tambo FMA</w:t>
            </w:r>
          </w:p>
        </w:tc>
        <w:tc>
          <w:tcPr>
            <w:tcW w:w="1841" w:type="dxa"/>
          </w:tcPr>
          <w:p w14:paraId="5120D9F0" w14:textId="2F9E0AA7" w:rsidR="00382F1A" w:rsidRDefault="00A03203" w:rsidP="00A03203">
            <w:pPr>
              <w:pStyle w:val="TableText"/>
              <w:jc w:val="center"/>
            </w:pPr>
            <w:r>
              <w:t>4</w:t>
            </w:r>
          </w:p>
        </w:tc>
      </w:tr>
      <w:tr w:rsidR="00382F1A" w14:paraId="65E02B89" w14:textId="77777777" w:rsidTr="00A03203">
        <w:tc>
          <w:tcPr>
            <w:tcW w:w="7797" w:type="dxa"/>
          </w:tcPr>
          <w:p w14:paraId="7115FC9C" w14:textId="442FC946" w:rsidR="00382F1A" w:rsidRDefault="00382F1A" w:rsidP="00382F1A">
            <w:pPr>
              <w:pStyle w:val="TableText"/>
            </w:pPr>
            <w:r>
              <w:t>North East</w:t>
            </w:r>
            <w:r w:rsidR="00A03203">
              <w:t>: North East FMA</w:t>
            </w:r>
          </w:p>
        </w:tc>
        <w:tc>
          <w:tcPr>
            <w:tcW w:w="1841" w:type="dxa"/>
          </w:tcPr>
          <w:p w14:paraId="7388E5AE" w14:textId="5D0B71C2" w:rsidR="00382F1A" w:rsidRDefault="00A03203" w:rsidP="00A03203">
            <w:pPr>
              <w:pStyle w:val="TableText"/>
              <w:jc w:val="center"/>
            </w:pPr>
            <w:r>
              <w:t>8</w:t>
            </w:r>
          </w:p>
        </w:tc>
      </w:tr>
    </w:tbl>
    <w:p w14:paraId="2B5468AC" w14:textId="77777777" w:rsidR="00283446" w:rsidRDefault="00283446" w:rsidP="00283446">
      <w:pPr>
        <w:pStyle w:val="BodyText"/>
      </w:pPr>
      <w:r>
        <w:t>Access issues meant that two of the planned reserve coupes (one each in East Gippsland and Tambo FMAs) were included in the audit.</w:t>
      </w:r>
    </w:p>
    <w:p w14:paraId="60404B79" w14:textId="77777777" w:rsidR="00283446" w:rsidRDefault="00283446" w:rsidP="00283446">
      <w:pPr>
        <w:pStyle w:val="BodyText"/>
      </w:pPr>
      <w:r>
        <w:t>A risk-based selection process was used to identify the target and reserve coupes. The process uses data from VicForests that characterises inherent coupe conditions and details of planned harvesting activities. The factors influencing selection for target coupes included:</w:t>
      </w:r>
    </w:p>
    <w:p w14:paraId="1D9C5B9E" w14:textId="3295DFEA" w:rsidR="00283446" w:rsidRDefault="00283446" w:rsidP="00283446">
      <w:pPr>
        <w:pStyle w:val="BulletLevel1"/>
      </w:pPr>
      <w:r>
        <w:t>Waterway crossing was constructed to access the coupe</w:t>
      </w:r>
    </w:p>
    <w:p w14:paraId="12737D24" w14:textId="52BDDC40" w:rsidR="00283446" w:rsidRDefault="00283446" w:rsidP="00283446">
      <w:pPr>
        <w:pStyle w:val="BulletLevel1"/>
      </w:pPr>
      <w:r>
        <w:t>Rainforest and/or montane riparian thicket vegetation was identified as being present within or near the gross coupe boundary</w:t>
      </w:r>
    </w:p>
    <w:p w14:paraId="73947F27" w14:textId="0373D05F" w:rsidR="00283446" w:rsidRDefault="00283446" w:rsidP="00283446">
      <w:pPr>
        <w:pStyle w:val="BulletLevel1"/>
      </w:pPr>
      <w:r>
        <w:t>Length of in-coupe road required to access the landing(s)</w:t>
      </w:r>
    </w:p>
    <w:p w14:paraId="22DEFA66" w14:textId="56EEA15F" w:rsidR="00283446" w:rsidRDefault="00283446" w:rsidP="00283446">
      <w:pPr>
        <w:pStyle w:val="BulletLevel1"/>
      </w:pPr>
      <w:r>
        <w:t>Soil erosion hazard in the A or B horizon</w:t>
      </w:r>
    </w:p>
    <w:p w14:paraId="5F38DF03" w14:textId="6410EFD0" w:rsidR="00283446" w:rsidRDefault="00283446" w:rsidP="00283446">
      <w:pPr>
        <w:pStyle w:val="BulletLevel1"/>
      </w:pPr>
      <w:r>
        <w:t>Presence of special protection or special management zones (SPZ/SMZ) within or adjacent to the coupe</w:t>
      </w:r>
    </w:p>
    <w:p w14:paraId="23D06CA1" w14:textId="661AF324" w:rsidR="00283446" w:rsidRDefault="00283446" w:rsidP="00283446">
      <w:pPr>
        <w:pStyle w:val="BulletLevel1"/>
      </w:pPr>
      <w:r>
        <w:t>Recorded presence of listed threatened flora and/or fauna within or near the coupe</w:t>
      </w:r>
    </w:p>
    <w:p w14:paraId="0DE41D9B" w14:textId="03D956F1" w:rsidR="00283446" w:rsidRDefault="00283446" w:rsidP="00283446">
      <w:pPr>
        <w:pStyle w:val="BulletLevel1"/>
      </w:pPr>
      <w:r>
        <w:t>Coupe is located within a designated water supply catchment</w:t>
      </w:r>
    </w:p>
    <w:p w14:paraId="4006B8E9" w14:textId="39A97F87" w:rsidR="00283446" w:rsidRDefault="00283446" w:rsidP="00283446">
      <w:pPr>
        <w:pStyle w:val="BulletLevel1"/>
      </w:pPr>
      <w:r>
        <w:t>Average slope within coupe.</w:t>
      </w:r>
    </w:p>
    <w:p w14:paraId="00467833" w14:textId="77777777" w:rsidR="00B36A05" w:rsidRDefault="00283446" w:rsidP="00283446">
      <w:pPr>
        <w:pStyle w:val="BodyText"/>
      </w:pPr>
      <w:r>
        <w:t xml:space="preserve">Coupes were preferentially selected where multiple risk factors were present. Coupes were excluded from selection if they had previously been included in FAP audits. </w:t>
      </w:r>
    </w:p>
    <w:p w14:paraId="1BD8E788" w14:textId="628317B7" w:rsidR="00283446" w:rsidRDefault="00283446" w:rsidP="00283446">
      <w:pPr>
        <w:pStyle w:val="BodyText"/>
      </w:pPr>
      <w:r>
        <w:t>Four coupes located in Melbourne Water catchment areas</w:t>
      </w:r>
      <w:r w:rsidR="00B36A05">
        <w:t xml:space="preserve"> were selected for audit</w:t>
      </w:r>
      <w:r>
        <w:t xml:space="preserve">. </w:t>
      </w:r>
      <w:r w:rsidR="00B36A05">
        <w:t>Selection of these coupes was informed by both the risk-based selection process and Melbourne Water priorities</w:t>
      </w:r>
    </w:p>
    <w:p w14:paraId="389C9DD4" w14:textId="3FAB7A08" w:rsidR="00B36A05" w:rsidRDefault="00B36A05" w:rsidP="00B36A05">
      <w:pPr>
        <w:pStyle w:val="BodyText"/>
      </w:pPr>
      <w:r>
        <w:t xml:space="preserve">A summary of key characteristics of the selected coupes is given in </w:t>
      </w:r>
      <w:r>
        <w:fldChar w:fldCharType="begin"/>
      </w:r>
      <w:r>
        <w:instrText xml:space="preserve"> REF _Ref119929353 \h </w:instrText>
      </w:r>
      <w:r>
        <w:fldChar w:fldCharType="separate"/>
      </w:r>
      <w:r w:rsidR="00130DCF" w:rsidRPr="009038E7">
        <w:t>Table</w:t>
      </w:r>
      <w:r w:rsidR="00130DCF">
        <w:t> </w:t>
      </w:r>
      <w:r w:rsidR="00130DCF">
        <w:rPr>
          <w:noProof/>
        </w:rPr>
        <w:t>3-2</w:t>
      </w:r>
      <w:r>
        <w:fldChar w:fldCharType="end"/>
      </w:r>
      <w:r>
        <w:t xml:space="preserve">. The average net harvest area for the selected coupes is </w:t>
      </w:r>
      <w:r w:rsidR="002B7966">
        <w:t>12.6</w:t>
      </w:r>
      <w:r>
        <w:t xml:space="preserve"> ha, compared with an average gross coupe area of </w:t>
      </w:r>
      <w:r w:rsidR="00374C8C">
        <w:t>50.6</w:t>
      </w:r>
      <w:r>
        <w:t xml:space="preserve"> ha. </w:t>
      </w:r>
      <w:r w:rsidR="00374C8C">
        <w:t>Nine</w:t>
      </w:r>
      <w:r>
        <w:t xml:space="preserve"> of the coupes were located within </w:t>
      </w:r>
      <w:r w:rsidR="00374C8C">
        <w:t>about 100 m</w:t>
      </w:r>
      <w:r>
        <w:t xml:space="preserve"> of modelled rainforest vegetation communities, few of which were rainforest stands requiring protection under the Code and MSPs. </w:t>
      </w:r>
      <w:r w:rsidR="00374C8C">
        <w:t>Twelve</w:t>
      </w:r>
      <w:r>
        <w:t xml:space="preserve"> of the coupes had in-coupe road or snig track waterway crossings. The length of in-coupe road required to access landings that serviced the coupes ranged between zero and about 1</w:t>
      </w:r>
      <w:r w:rsidR="00374C8C">
        <w:t>5</w:t>
      </w:r>
      <w:r>
        <w:t>00 m. Average coupe slope was 10-15°, with maximum slope exceeding 30° in areas of some coupes. Most coupes included or were adjacent to land zoned as SPZ and/or SMZ. Threatened native plant and animal species had been recorded on or within 500 m of all but two of the coupes.</w:t>
      </w:r>
    </w:p>
    <w:p w14:paraId="4E2968A9" w14:textId="746392FF" w:rsidR="00B36A05" w:rsidRDefault="00B36A05" w:rsidP="00B36A05">
      <w:pPr>
        <w:pStyle w:val="BodyText"/>
      </w:pPr>
      <w:r>
        <w:t xml:space="preserve">The analysis in </w:t>
      </w:r>
      <w:r w:rsidR="00130DCF">
        <w:fldChar w:fldCharType="begin"/>
      </w:r>
      <w:r w:rsidR="00130DCF">
        <w:instrText xml:space="preserve"> REF _Ref119929353 \h </w:instrText>
      </w:r>
      <w:r w:rsidR="00130DCF">
        <w:fldChar w:fldCharType="separate"/>
      </w:r>
      <w:r w:rsidR="00130DCF" w:rsidRPr="009038E7">
        <w:t>Table</w:t>
      </w:r>
      <w:r w:rsidR="00130DCF">
        <w:t> </w:t>
      </w:r>
      <w:r w:rsidR="00130DCF">
        <w:rPr>
          <w:noProof/>
        </w:rPr>
        <w:t>3-2</w:t>
      </w:r>
      <w:r w:rsidR="00130DCF">
        <w:fldChar w:fldCharType="end"/>
      </w:r>
      <w:r>
        <w:t xml:space="preserve"> shows that the data reported by VicForests on key risk characteristics, particularly the presence of waterway crossings and in-coupe roads, is </w:t>
      </w:r>
      <w:r w:rsidR="00374C8C">
        <w:t xml:space="preserve">not completely </w:t>
      </w:r>
      <w:r>
        <w:t xml:space="preserve">reliable. </w:t>
      </w:r>
      <w:r w:rsidR="00374C8C">
        <w:t>Three</w:t>
      </w:r>
      <w:r>
        <w:t xml:space="preserve"> of </w:t>
      </w:r>
      <w:r w:rsidR="00374C8C">
        <w:t xml:space="preserve">the </w:t>
      </w:r>
      <w:r>
        <w:t xml:space="preserve">coupes </w:t>
      </w:r>
      <w:r w:rsidR="00374C8C">
        <w:t xml:space="preserve">that </w:t>
      </w:r>
      <w:r>
        <w:t xml:space="preserve">were reported as </w:t>
      </w:r>
      <w:r w:rsidR="00374C8C">
        <w:t>having</w:t>
      </w:r>
      <w:r>
        <w:t xml:space="preserve"> waterway crossings did not. Planned lengths of in-coupe road were </w:t>
      </w:r>
      <w:r w:rsidR="00374C8C">
        <w:t>significantly shorter on eight coupes and significantly longer than actual on one coupe.</w:t>
      </w:r>
    </w:p>
    <w:p w14:paraId="18270707" w14:textId="77777777" w:rsidR="00B36A05" w:rsidRDefault="00B36A05" w:rsidP="00383136">
      <w:pPr>
        <w:pStyle w:val="BodyText"/>
        <w:sectPr w:rsidR="00B36A05" w:rsidSect="004104B3">
          <w:headerReference w:type="default" r:id="rId44"/>
          <w:footerReference w:type="default" r:id="rId45"/>
          <w:pgSz w:w="11906" w:h="16838" w:code="9"/>
          <w:pgMar w:top="1134" w:right="1134" w:bottom="567" w:left="1134" w:header="567" w:footer="0" w:gutter="0"/>
          <w:pgNumType w:start="1"/>
          <w:cols w:space="720"/>
          <w:docGrid w:linePitch="360"/>
        </w:sectPr>
      </w:pPr>
    </w:p>
    <w:p w14:paraId="4BED0668" w14:textId="57D7DAE6" w:rsidR="00B36A05" w:rsidRDefault="00B36A05" w:rsidP="003D4A8B">
      <w:pPr>
        <w:pStyle w:val="TableCaption"/>
      </w:pPr>
      <w:bookmarkStart w:id="84" w:name="_Ref119929353"/>
      <w:bookmarkStart w:id="85" w:name="_Toc131178737"/>
      <w:r w:rsidRPr="009038E7">
        <w:lastRenderedPageBreak/>
        <w:t>Table</w:t>
      </w:r>
      <w:r>
        <w:t> </w:t>
      </w:r>
      <w:r>
        <w:fldChar w:fldCharType="begin"/>
      </w:r>
      <w:r>
        <w:instrText>STYLEREF 1 \s</w:instrText>
      </w:r>
      <w:r>
        <w:fldChar w:fldCharType="separate"/>
      </w:r>
      <w:r w:rsidR="00130DCF">
        <w:rPr>
          <w:noProof/>
        </w:rPr>
        <w:t>3</w:t>
      </w:r>
      <w:r>
        <w:fldChar w:fldCharType="end"/>
      </w:r>
      <w:r>
        <w:rPr>
          <w:noProof/>
        </w:rPr>
        <w:t>-</w:t>
      </w:r>
      <w:r>
        <w:fldChar w:fldCharType="begin"/>
      </w:r>
      <w:r>
        <w:instrText>SEQ Table \* ARABIC \s 1</w:instrText>
      </w:r>
      <w:r>
        <w:fldChar w:fldCharType="separate"/>
      </w:r>
      <w:r w:rsidR="00130DCF">
        <w:rPr>
          <w:noProof/>
        </w:rPr>
        <w:t>2</w:t>
      </w:r>
      <w:r>
        <w:fldChar w:fldCharType="end"/>
      </w:r>
      <w:bookmarkEnd w:id="84"/>
      <w:r>
        <w:rPr>
          <w:noProof/>
        </w:rPr>
        <w:t>.</w:t>
      </w:r>
      <w:r w:rsidRPr="009038E7">
        <w:t xml:space="preserve"> </w:t>
      </w:r>
      <w:r>
        <w:t>Location and characteristics of coupes included in 2022 Forest Audit Program audits</w:t>
      </w:r>
      <w:bookmarkEnd w:id="85"/>
    </w:p>
    <w:tbl>
      <w:tblPr>
        <w:tblW w:w="14781" w:type="dxa"/>
        <w:tblInd w:w="93"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723"/>
        <w:gridCol w:w="30"/>
        <w:gridCol w:w="1449"/>
        <w:gridCol w:w="6"/>
        <w:gridCol w:w="1663"/>
        <w:gridCol w:w="851"/>
        <w:gridCol w:w="1491"/>
        <w:gridCol w:w="7"/>
        <w:gridCol w:w="1195"/>
        <w:gridCol w:w="1134"/>
        <w:gridCol w:w="992"/>
        <w:gridCol w:w="993"/>
        <w:gridCol w:w="1060"/>
        <w:gridCol w:w="1144"/>
        <w:gridCol w:w="899"/>
        <w:gridCol w:w="1144"/>
      </w:tblGrid>
      <w:tr w:rsidR="009C1A0F" w:rsidRPr="009C1A0F" w14:paraId="66D6BA84" w14:textId="77777777" w:rsidTr="00B36A05">
        <w:trPr>
          <w:trHeight w:val="480"/>
          <w:tblHeader/>
        </w:trPr>
        <w:tc>
          <w:tcPr>
            <w:tcW w:w="723" w:type="dxa"/>
            <w:shd w:val="clear" w:color="auto" w:fill="007D55" w:themeFill="accent1"/>
            <w:vAlign w:val="center"/>
            <w:hideMark/>
          </w:tcPr>
          <w:p w14:paraId="1AA66D61" w14:textId="77777777" w:rsidR="00B36A05" w:rsidRPr="00C31A7B" w:rsidRDefault="00B36A05" w:rsidP="00B36A05">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Audit #</w:t>
            </w:r>
          </w:p>
        </w:tc>
        <w:tc>
          <w:tcPr>
            <w:tcW w:w="1485" w:type="dxa"/>
            <w:gridSpan w:val="3"/>
            <w:shd w:val="clear" w:color="auto" w:fill="007D55" w:themeFill="accent1"/>
            <w:vAlign w:val="center"/>
            <w:hideMark/>
          </w:tcPr>
          <w:p w14:paraId="7DBEF375" w14:textId="77777777" w:rsidR="00B36A05" w:rsidRPr="00C31A7B" w:rsidRDefault="00B36A05" w:rsidP="003D4A8B">
            <w:pPr>
              <w:pStyle w:val="Tablesmalltext"/>
              <w:rPr>
                <w:rFonts w:eastAsia="Times New Roman"/>
                <w:b/>
                <w:color w:val="FFFFFF" w:themeColor="background1"/>
                <w:lang w:val="en-AU" w:eastAsia="en-AU"/>
              </w:rPr>
            </w:pPr>
            <w:r w:rsidRPr="00C31A7B">
              <w:rPr>
                <w:rFonts w:eastAsia="Times New Roman"/>
                <w:b/>
                <w:color w:val="FFFFFF" w:themeColor="background1"/>
                <w:lang w:val="en-AU" w:eastAsia="en-AU"/>
              </w:rPr>
              <w:t>Coupe address</w:t>
            </w:r>
          </w:p>
        </w:tc>
        <w:tc>
          <w:tcPr>
            <w:tcW w:w="1663" w:type="dxa"/>
            <w:shd w:val="clear" w:color="auto" w:fill="007D55" w:themeFill="accent1"/>
            <w:vAlign w:val="center"/>
            <w:hideMark/>
          </w:tcPr>
          <w:p w14:paraId="218ECBD0" w14:textId="77777777" w:rsidR="00B36A05" w:rsidRPr="00C31A7B" w:rsidRDefault="00B36A05" w:rsidP="003D4A8B">
            <w:pPr>
              <w:pStyle w:val="Tablesmalltext"/>
              <w:rPr>
                <w:rFonts w:eastAsia="Times New Roman"/>
                <w:b/>
                <w:color w:val="FFFFFF" w:themeColor="background1"/>
                <w:lang w:val="en-AU" w:eastAsia="en-AU"/>
              </w:rPr>
            </w:pPr>
            <w:r w:rsidRPr="00C31A7B">
              <w:rPr>
                <w:rFonts w:eastAsia="Times New Roman"/>
                <w:b/>
                <w:color w:val="FFFFFF" w:themeColor="background1"/>
                <w:lang w:val="en-AU" w:eastAsia="en-AU"/>
              </w:rPr>
              <w:t>Coupe Name</w:t>
            </w:r>
          </w:p>
        </w:tc>
        <w:tc>
          <w:tcPr>
            <w:tcW w:w="851" w:type="dxa"/>
            <w:shd w:val="clear" w:color="auto" w:fill="007D55" w:themeFill="accent1"/>
            <w:vAlign w:val="center"/>
          </w:tcPr>
          <w:p w14:paraId="7E2DAB39" w14:textId="77777777"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FMA</w:t>
            </w:r>
          </w:p>
        </w:tc>
        <w:tc>
          <w:tcPr>
            <w:tcW w:w="1498" w:type="dxa"/>
            <w:gridSpan w:val="2"/>
            <w:shd w:val="clear" w:color="auto" w:fill="007D55" w:themeFill="accent1"/>
            <w:vAlign w:val="center"/>
            <w:hideMark/>
          </w:tcPr>
          <w:p w14:paraId="390EA08B" w14:textId="77777777"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Coupe status</w:t>
            </w:r>
            <w:r w:rsidRPr="00C31A7B">
              <w:rPr>
                <w:rFonts w:eastAsia="Times New Roman"/>
                <w:b/>
                <w:color w:val="FFFFFF" w:themeColor="background1"/>
                <w:lang w:val="en-AU" w:eastAsia="en-AU"/>
              </w:rPr>
              <w:br/>
              <w:t>end 2020-21</w:t>
            </w:r>
          </w:p>
        </w:tc>
        <w:tc>
          <w:tcPr>
            <w:tcW w:w="1195" w:type="dxa"/>
            <w:shd w:val="clear" w:color="auto" w:fill="007D55" w:themeFill="accent1"/>
            <w:vAlign w:val="center"/>
          </w:tcPr>
          <w:p w14:paraId="0131D1A3" w14:textId="7BC97520"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Coupe net harvest area (ha)</w:t>
            </w:r>
          </w:p>
        </w:tc>
        <w:tc>
          <w:tcPr>
            <w:tcW w:w="1134" w:type="dxa"/>
            <w:shd w:val="clear" w:color="auto" w:fill="007D55" w:themeFill="accent1"/>
            <w:vAlign w:val="center"/>
            <w:hideMark/>
          </w:tcPr>
          <w:p w14:paraId="6F440539" w14:textId="40213D5D" w:rsidR="00B36A05" w:rsidRPr="00C31A7B" w:rsidRDefault="00B36A05" w:rsidP="003D4A8B">
            <w:pPr>
              <w:pStyle w:val="Tablesmalltext"/>
              <w:jc w:val="center"/>
              <w:rPr>
                <w:rFonts w:eastAsia="Times New Roman"/>
                <w:b/>
                <w:color w:val="FFFFFF" w:themeColor="background1"/>
                <w:vertAlign w:val="superscript"/>
                <w:lang w:val="en-AU" w:eastAsia="en-AU"/>
              </w:rPr>
            </w:pPr>
            <w:r w:rsidRPr="00C31A7B">
              <w:rPr>
                <w:rFonts w:eastAsia="Times New Roman"/>
                <w:b/>
                <w:color w:val="FFFFFF" w:themeColor="background1"/>
                <w:lang w:val="en-AU" w:eastAsia="en-AU"/>
              </w:rPr>
              <w:t>Rainforest vegetation</w:t>
            </w:r>
            <w:r w:rsidR="00BD66A1" w:rsidRPr="00C31A7B">
              <w:rPr>
                <w:rFonts w:eastAsia="Times New Roman"/>
                <w:b/>
                <w:color w:val="FFFFFF" w:themeColor="background1"/>
                <w:vertAlign w:val="superscript"/>
                <w:lang w:val="en-AU" w:eastAsia="en-AU"/>
              </w:rPr>
              <w:t>2</w:t>
            </w:r>
          </w:p>
        </w:tc>
        <w:tc>
          <w:tcPr>
            <w:tcW w:w="992" w:type="dxa"/>
            <w:shd w:val="clear" w:color="auto" w:fill="007D55" w:themeFill="accent1"/>
            <w:vAlign w:val="center"/>
            <w:hideMark/>
          </w:tcPr>
          <w:p w14:paraId="1F893F97" w14:textId="54386FB7" w:rsidR="00B36A05" w:rsidRPr="00C31A7B" w:rsidRDefault="00B36A05" w:rsidP="003D4A8B">
            <w:pPr>
              <w:pStyle w:val="Tablesmalltext"/>
              <w:jc w:val="center"/>
              <w:rPr>
                <w:rFonts w:eastAsia="Times New Roman"/>
                <w:b/>
                <w:color w:val="FFFFFF" w:themeColor="background1"/>
                <w:vertAlign w:val="superscript"/>
                <w:lang w:val="en-AU" w:eastAsia="en-AU"/>
              </w:rPr>
            </w:pPr>
            <w:r w:rsidRPr="00C31A7B">
              <w:rPr>
                <w:rFonts w:eastAsia="Times New Roman"/>
                <w:b/>
                <w:color w:val="FFFFFF" w:themeColor="background1"/>
                <w:lang w:val="en-AU" w:eastAsia="en-AU"/>
              </w:rPr>
              <w:t>Waterway crossing</w:t>
            </w:r>
            <w:r w:rsidR="00BD66A1" w:rsidRPr="00C31A7B">
              <w:rPr>
                <w:rFonts w:eastAsia="Times New Roman"/>
                <w:b/>
                <w:color w:val="FFFFFF" w:themeColor="background1"/>
                <w:vertAlign w:val="superscript"/>
                <w:lang w:val="en-AU" w:eastAsia="en-AU"/>
              </w:rPr>
              <w:t>3</w:t>
            </w:r>
          </w:p>
        </w:tc>
        <w:tc>
          <w:tcPr>
            <w:tcW w:w="993" w:type="dxa"/>
            <w:shd w:val="clear" w:color="auto" w:fill="007D55" w:themeFill="accent1"/>
            <w:vAlign w:val="center"/>
            <w:hideMark/>
          </w:tcPr>
          <w:p w14:paraId="6F5947D0" w14:textId="106BD8ED"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ICR</w:t>
            </w:r>
            <w:r w:rsidR="00BD66A1" w:rsidRPr="00C31A7B">
              <w:rPr>
                <w:rFonts w:eastAsia="Times New Roman"/>
                <w:b/>
                <w:color w:val="FFFFFF" w:themeColor="background1"/>
                <w:vertAlign w:val="superscript"/>
                <w:lang w:val="en-AU" w:eastAsia="en-AU"/>
              </w:rPr>
              <w:t>4</w:t>
            </w:r>
            <w:r w:rsidRPr="00C31A7B">
              <w:rPr>
                <w:rFonts w:eastAsia="Times New Roman"/>
                <w:b/>
                <w:color w:val="FFFFFF" w:themeColor="background1"/>
                <w:lang w:val="en-AU" w:eastAsia="en-AU"/>
              </w:rPr>
              <w:t xml:space="preserve"> </w:t>
            </w:r>
            <w:r w:rsidRPr="00C31A7B">
              <w:rPr>
                <w:rFonts w:eastAsia="Times New Roman"/>
                <w:b/>
                <w:color w:val="FFFFFF" w:themeColor="background1"/>
                <w:lang w:val="en-AU" w:eastAsia="en-AU"/>
              </w:rPr>
              <w:br/>
              <w:t>(m)</w:t>
            </w:r>
          </w:p>
        </w:tc>
        <w:tc>
          <w:tcPr>
            <w:tcW w:w="1060" w:type="dxa"/>
            <w:shd w:val="clear" w:color="auto" w:fill="007D55" w:themeFill="accent1"/>
            <w:vAlign w:val="center"/>
          </w:tcPr>
          <w:p w14:paraId="4F24ED19" w14:textId="77777777"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 xml:space="preserve">Ave slope </w:t>
            </w:r>
            <w:r w:rsidRPr="00C31A7B">
              <w:rPr>
                <w:rFonts w:eastAsia="Times New Roman"/>
                <w:b/>
                <w:color w:val="FFFFFF" w:themeColor="background1"/>
                <w:lang w:val="en-AU" w:eastAsia="en-AU"/>
              </w:rPr>
              <w:br/>
              <w:t>(degrees)</w:t>
            </w:r>
          </w:p>
        </w:tc>
        <w:tc>
          <w:tcPr>
            <w:tcW w:w="1144" w:type="dxa"/>
            <w:shd w:val="clear" w:color="auto" w:fill="007D55" w:themeFill="accent1"/>
            <w:vAlign w:val="center"/>
          </w:tcPr>
          <w:p w14:paraId="56A8BFB5" w14:textId="77777777"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Soil erosion hazard (max)</w:t>
            </w:r>
          </w:p>
        </w:tc>
        <w:tc>
          <w:tcPr>
            <w:tcW w:w="899" w:type="dxa"/>
            <w:shd w:val="clear" w:color="auto" w:fill="007D55" w:themeFill="accent1"/>
            <w:vAlign w:val="center"/>
          </w:tcPr>
          <w:p w14:paraId="22CF649D" w14:textId="51794F1B"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SMZ</w:t>
            </w:r>
            <w:r w:rsidR="00BD66A1" w:rsidRPr="00C31A7B">
              <w:rPr>
                <w:rFonts w:eastAsia="Times New Roman"/>
                <w:b/>
                <w:color w:val="FFFFFF" w:themeColor="background1"/>
                <w:vertAlign w:val="superscript"/>
                <w:lang w:val="en-AU" w:eastAsia="en-AU"/>
              </w:rPr>
              <w:t>5</w:t>
            </w:r>
            <w:r w:rsidRPr="00C31A7B">
              <w:rPr>
                <w:rFonts w:eastAsia="Times New Roman"/>
                <w:b/>
                <w:color w:val="FFFFFF" w:themeColor="background1"/>
                <w:lang w:val="en-AU" w:eastAsia="en-AU"/>
              </w:rPr>
              <w:t xml:space="preserve"> or SPZ</w:t>
            </w:r>
          </w:p>
        </w:tc>
        <w:tc>
          <w:tcPr>
            <w:tcW w:w="1144" w:type="dxa"/>
            <w:shd w:val="clear" w:color="auto" w:fill="007D55" w:themeFill="accent1"/>
            <w:vAlign w:val="center"/>
          </w:tcPr>
          <w:p w14:paraId="0953970E" w14:textId="6A6BAEE3" w:rsidR="00B36A05" w:rsidRPr="00C31A7B" w:rsidRDefault="00B36A05" w:rsidP="003D4A8B">
            <w:pPr>
              <w:pStyle w:val="Tablesmalltext"/>
              <w:jc w:val="center"/>
              <w:rPr>
                <w:rFonts w:eastAsia="Times New Roman"/>
                <w:b/>
                <w:color w:val="FFFFFF" w:themeColor="background1"/>
                <w:lang w:val="en-AU" w:eastAsia="en-AU"/>
              </w:rPr>
            </w:pPr>
            <w:r w:rsidRPr="00C31A7B">
              <w:rPr>
                <w:rFonts w:eastAsia="Times New Roman"/>
                <w:b/>
                <w:color w:val="FFFFFF" w:themeColor="background1"/>
                <w:lang w:val="en-AU" w:eastAsia="en-AU"/>
              </w:rPr>
              <w:t>Thr flora</w:t>
            </w:r>
            <w:r w:rsidR="00BD66A1" w:rsidRPr="00C31A7B">
              <w:rPr>
                <w:rFonts w:eastAsia="Times New Roman"/>
                <w:b/>
                <w:color w:val="FFFFFF" w:themeColor="background1"/>
                <w:vertAlign w:val="superscript"/>
                <w:lang w:val="en-AU" w:eastAsia="en-AU"/>
              </w:rPr>
              <w:t>6</w:t>
            </w:r>
            <w:r w:rsidRPr="00C31A7B">
              <w:rPr>
                <w:rFonts w:eastAsia="Times New Roman"/>
                <w:b/>
                <w:color w:val="FFFFFF" w:themeColor="background1"/>
                <w:lang w:val="en-AU" w:eastAsia="en-AU"/>
              </w:rPr>
              <w:t>/ fauna</w:t>
            </w:r>
          </w:p>
        </w:tc>
      </w:tr>
      <w:tr w:rsidR="00B36A05" w:rsidRPr="001C0F84" w14:paraId="11944A9D" w14:textId="77777777" w:rsidTr="00B36A05">
        <w:trPr>
          <w:trHeight w:val="240"/>
        </w:trPr>
        <w:tc>
          <w:tcPr>
            <w:tcW w:w="3871" w:type="dxa"/>
            <w:gridSpan w:val="5"/>
            <w:shd w:val="clear" w:color="auto" w:fill="D9D9D9" w:themeFill="background1" w:themeFillShade="D9"/>
            <w:noWrap/>
            <w:vAlign w:val="center"/>
            <w:hideMark/>
          </w:tcPr>
          <w:p w14:paraId="5E1A1346" w14:textId="34966D0C" w:rsidR="00B36A05" w:rsidRPr="00B36A05" w:rsidRDefault="00B36A05" w:rsidP="00B36A05">
            <w:pPr>
              <w:pStyle w:val="Tablesmalltext"/>
              <w:rPr>
                <w:rFonts w:eastAsia="Times New Roman"/>
                <w:b/>
                <w:lang w:val="en-AU" w:eastAsia="en-AU"/>
              </w:rPr>
            </w:pPr>
            <w:r>
              <w:rPr>
                <w:rFonts w:eastAsia="Times New Roman"/>
                <w:b/>
                <w:lang w:val="en-AU" w:eastAsia="en-AU"/>
              </w:rPr>
              <w:t>Central Highlands RFA area</w:t>
            </w:r>
          </w:p>
        </w:tc>
        <w:tc>
          <w:tcPr>
            <w:tcW w:w="851" w:type="dxa"/>
            <w:shd w:val="clear" w:color="auto" w:fill="D9D9D9" w:themeFill="background1" w:themeFillShade="D9"/>
          </w:tcPr>
          <w:p w14:paraId="296244B7" w14:textId="77777777" w:rsidR="00B36A05" w:rsidRPr="001C0F84" w:rsidRDefault="00B36A05" w:rsidP="003D4A8B">
            <w:pPr>
              <w:pStyle w:val="Tablesmalltext"/>
              <w:rPr>
                <w:rFonts w:eastAsia="Times New Roman"/>
                <w:lang w:val="en-AU" w:eastAsia="en-AU"/>
              </w:rPr>
            </w:pPr>
          </w:p>
        </w:tc>
        <w:tc>
          <w:tcPr>
            <w:tcW w:w="1491" w:type="dxa"/>
            <w:shd w:val="clear" w:color="auto" w:fill="D9D9D9" w:themeFill="background1" w:themeFillShade="D9"/>
            <w:vAlign w:val="center"/>
            <w:hideMark/>
          </w:tcPr>
          <w:p w14:paraId="39F2E39E" w14:textId="77777777" w:rsidR="00B36A05" w:rsidRPr="001C0F84" w:rsidRDefault="00B36A05" w:rsidP="003D4A8B">
            <w:pPr>
              <w:pStyle w:val="Tablesmalltext"/>
              <w:rPr>
                <w:rFonts w:eastAsia="Times New Roman"/>
                <w:lang w:val="en-AU" w:eastAsia="en-AU"/>
              </w:rPr>
            </w:pPr>
          </w:p>
        </w:tc>
        <w:tc>
          <w:tcPr>
            <w:tcW w:w="1202" w:type="dxa"/>
            <w:gridSpan w:val="2"/>
            <w:shd w:val="clear" w:color="auto" w:fill="D9D9D9" w:themeFill="background1" w:themeFillShade="D9"/>
          </w:tcPr>
          <w:p w14:paraId="3612F4A6" w14:textId="77777777" w:rsidR="00B36A05" w:rsidRPr="001C0F84" w:rsidRDefault="00B36A05" w:rsidP="003D4A8B">
            <w:pPr>
              <w:pStyle w:val="Tablesmalltext"/>
              <w:rPr>
                <w:rFonts w:eastAsia="Times New Roman"/>
                <w:lang w:val="en-AU" w:eastAsia="en-AU"/>
              </w:rPr>
            </w:pPr>
          </w:p>
        </w:tc>
        <w:tc>
          <w:tcPr>
            <w:tcW w:w="1134" w:type="dxa"/>
            <w:shd w:val="clear" w:color="auto" w:fill="D9D9D9" w:themeFill="background1" w:themeFillShade="D9"/>
            <w:vAlign w:val="center"/>
            <w:hideMark/>
          </w:tcPr>
          <w:p w14:paraId="10404C64" w14:textId="77777777" w:rsidR="00B36A05" w:rsidRPr="001C0F84" w:rsidRDefault="00B36A05" w:rsidP="003D4A8B">
            <w:pPr>
              <w:pStyle w:val="Tablesmalltext"/>
              <w:rPr>
                <w:rFonts w:eastAsia="Times New Roman"/>
                <w:lang w:val="en-AU" w:eastAsia="en-AU"/>
              </w:rPr>
            </w:pPr>
          </w:p>
        </w:tc>
        <w:tc>
          <w:tcPr>
            <w:tcW w:w="992" w:type="dxa"/>
            <w:shd w:val="clear" w:color="auto" w:fill="D9D9D9" w:themeFill="background1" w:themeFillShade="D9"/>
            <w:vAlign w:val="center"/>
            <w:hideMark/>
          </w:tcPr>
          <w:p w14:paraId="0DBF41C4" w14:textId="77777777" w:rsidR="00B36A05" w:rsidRPr="001C0F84" w:rsidRDefault="00B36A05" w:rsidP="003D4A8B">
            <w:pPr>
              <w:pStyle w:val="Tablesmalltext"/>
              <w:jc w:val="center"/>
              <w:rPr>
                <w:rFonts w:eastAsia="Times New Roman"/>
                <w:lang w:val="en-AU" w:eastAsia="en-AU"/>
              </w:rPr>
            </w:pPr>
          </w:p>
        </w:tc>
        <w:tc>
          <w:tcPr>
            <w:tcW w:w="993" w:type="dxa"/>
            <w:shd w:val="clear" w:color="auto" w:fill="D9D9D9" w:themeFill="background1" w:themeFillShade="D9"/>
            <w:vAlign w:val="center"/>
            <w:hideMark/>
          </w:tcPr>
          <w:p w14:paraId="7D4AC0D6" w14:textId="77777777" w:rsidR="00B36A05" w:rsidRPr="001C0F84" w:rsidRDefault="00B36A05" w:rsidP="003D4A8B">
            <w:pPr>
              <w:pStyle w:val="Tablesmalltext"/>
              <w:jc w:val="center"/>
              <w:rPr>
                <w:rFonts w:eastAsia="Times New Roman"/>
                <w:lang w:val="en-AU" w:eastAsia="en-AU"/>
              </w:rPr>
            </w:pPr>
          </w:p>
        </w:tc>
        <w:tc>
          <w:tcPr>
            <w:tcW w:w="1060" w:type="dxa"/>
            <w:shd w:val="clear" w:color="auto" w:fill="D9D9D9" w:themeFill="background1" w:themeFillShade="D9"/>
          </w:tcPr>
          <w:p w14:paraId="37D4BA45"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76FAAB86" w14:textId="77777777" w:rsidR="00B36A05" w:rsidRPr="001C0F84" w:rsidRDefault="00B36A05" w:rsidP="003D4A8B">
            <w:pPr>
              <w:pStyle w:val="Tablesmalltext"/>
              <w:jc w:val="center"/>
              <w:rPr>
                <w:rFonts w:eastAsia="Times New Roman"/>
                <w:lang w:val="en-AU" w:eastAsia="en-AU"/>
              </w:rPr>
            </w:pPr>
          </w:p>
        </w:tc>
        <w:tc>
          <w:tcPr>
            <w:tcW w:w="899" w:type="dxa"/>
            <w:shd w:val="clear" w:color="auto" w:fill="D9D9D9" w:themeFill="background1" w:themeFillShade="D9"/>
          </w:tcPr>
          <w:p w14:paraId="0993384E"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6FE3CF4A" w14:textId="77777777" w:rsidR="00B36A05" w:rsidRPr="001C0F84" w:rsidRDefault="00B36A05" w:rsidP="003D4A8B">
            <w:pPr>
              <w:pStyle w:val="Tablesmalltext"/>
              <w:jc w:val="center"/>
              <w:rPr>
                <w:rFonts w:eastAsia="Times New Roman"/>
                <w:lang w:val="en-AU" w:eastAsia="en-AU"/>
              </w:rPr>
            </w:pPr>
          </w:p>
        </w:tc>
      </w:tr>
      <w:tr w:rsidR="00B36A05" w:rsidRPr="00C45E81" w14:paraId="43FE044D" w14:textId="77777777" w:rsidTr="00F22160">
        <w:trPr>
          <w:trHeight w:val="240"/>
        </w:trPr>
        <w:tc>
          <w:tcPr>
            <w:tcW w:w="723" w:type="dxa"/>
            <w:shd w:val="clear" w:color="auto" w:fill="auto"/>
            <w:noWrap/>
            <w:vAlign w:val="center"/>
          </w:tcPr>
          <w:p w14:paraId="00FF1EEA" w14:textId="77777777" w:rsidR="00B36A05" w:rsidRPr="001C0F84" w:rsidRDefault="00B36A05" w:rsidP="00B36A05">
            <w:pPr>
              <w:pStyle w:val="Tablesmalltext"/>
              <w:jc w:val="center"/>
              <w:rPr>
                <w:rFonts w:eastAsia="Times New Roman"/>
                <w:lang w:val="en-AU" w:eastAsia="en-AU"/>
              </w:rPr>
            </w:pPr>
            <w:r>
              <w:rPr>
                <w:rFonts w:eastAsia="Times New Roman"/>
                <w:lang w:val="en-AU" w:eastAsia="en-AU"/>
              </w:rPr>
              <w:t>1</w:t>
            </w:r>
          </w:p>
        </w:tc>
        <w:tc>
          <w:tcPr>
            <w:tcW w:w="1485" w:type="dxa"/>
            <w:gridSpan w:val="3"/>
            <w:shd w:val="clear" w:color="auto" w:fill="auto"/>
          </w:tcPr>
          <w:p w14:paraId="56519B1F" w14:textId="77777777" w:rsidR="00B36A05" w:rsidRPr="001C0F84" w:rsidRDefault="00B36A05" w:rsidP="003D4A8B">
            <w:pPr>
              <w:pStyle w:val="Tablesmalltext"/>
              <w:rPr>
                <w:rFonts w:eastAsia="Times New Roman"/>
                <w:lang w:val="en-AU" w:eastAsia="en-AU"/>
              </w:rPr>
            </w:pPr>
            <w:r w:rsidRPr="00115D48">
              <w:t>288-509-0002</w:t>
            </w:r>
          </w:p>
        </w:tc>
        <w:tc>
          <w:tcPr>
            <w:tcW w:w="1663" w:type="dxa"/>
            <w:shd w:val="clear" w:color="auto" w:fill="auto"/>
          </w:tcPr>
          <w:p w14:paraId="13B8E33C" w14:textId="77777777" w:rsidR="00B36A05" w:rsidRPr="001C0F84" w:rsidRDefault="00B36A05" w:rsidP="003D4A8B">
            <w:pPr>
              <w:pStyle w:val="Tablesmalltext"/>
              <w:rPr>
                <w:rFonts w:eastAsia="Times New Roman"/>
                <w:lang w:val="en-AU" w:eastAsia="en-AU"/>
              </w:rPr>
            </w:pPr>
            <w:r w:rsidRPr="00115D48">
              <w:t>Turnbuckle</w:t>
            </w:r>
          </w:p>
        </w:tc>
        <w:tc>
          <w:tcPr>
            <w:tcW w:w="851" w:type="dxa"/>
          </w:tcPr>
          <w:p w14:paraId="36F2341D"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04C602AC"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tcPr>
          <w:p w14:paraId="3B61348F" w14:textId="77777777" w:rsidR="00B36A05" w:rsidRPr="001C0F84" w:rsidRDefault="00B36A05" w:rsidP="003D4A8B">
            <w:pPr>
              <w:pStyle w:val="Tablesmalltext"/>
              <w:jc w:val="center"/>
              <w:rPr>
                <w:rFonts w:eastAsia="Times New Roman"/>
                <w:lang w:val="en-AU" w:eastAsia="en-AU"/>
              </w:rPr>
            </w:pPr>
            <w:r w:rsidRPr="00E44384">
              <w:t>12.74</w:t>
            </w:r>
          </w:p>
        </w:tc>
        <w:tc>
          <w:tcPr>
            <w:tcW w:w="1134" w:type="dxa"/>
            <w:shd w:val="clear" w:color="auto" w:fill="auto"/>
          </w:tcPr>
          <w:p w14:paraId="1B2A3502" w14:textId="77777777" w:rsidR="00B36A05" w:rsidRPr="001C0F84" w:rsidRDefault="00B36A05" w:rsidP="003D4A8B">
            <w:pPr>
              <w:pStyle w:val="Tablesmalltext"/>
              <w:jc w:val="center"/>
              <w:rPr>
                <w:rFonts w:eastAsia="Times New Roman"/>
                <w:lang w:val="en-AU" w:eastAsia="en-AU"/>
              </w:rPr>
            </w:pPr>
            <w:r>
              <w:t>Yes</w:t>
            </w:r>
          </w:p>
        </w:tc>
        <w:tc>
          <w:tcPr>
            <w:tcW w:w="992" w:type="dxa"/>
            <w:shd w:val="clear" w:color="auto" w:fill="FFC000"/>
          </w:tcPr>
          <w:p w14:paraId="3D404626" w14:textId="1837A445" w:rsidR="00B36A05" w:rsidRPr="00BD66A1" w:rsidRDefault="00B36A05" w:rsidP="003D4A8B">
            <w:pPr>
              <w:pStyle w:val="Tablesmalltext"/>
              <w:jc w:val="center"/>
              <w:rPr>
                <w:rFonts w:eastAsia="Times New Roman"/>
                <w:vertAlign w:val="superscript"/>
                <w:lang w:val="en-AU" w:eastAsia="en-AU"/>
              </w:rPr>
            </w:pPr>
            <w:r>
              <w:t>Yes</w:t>
            </w:r>
          </w:p>
        </w:tc>
        <w:tc>
          <w:tcPr>
            <w:tcW w:w="993" w:type="dxa"/>
            <w:shd w:val="clear" w:color="auto" w:fill="auto"/>
            <w:noWrap/>
          </w:tcPr>
          <w:p w14:paraId="65CFF106" w14:textId="41890A3E" w:rsidR="00B36A05" w:rsidRPr="001C0F84" w:rsidRDefault="00B36A05" w:rsidP="003D4A8B">
            <w:pPr>
              <w:pStyle w:val="Tablesmalltext"/>
              <w:jc w:val="center"/>
              <w:rPr>
                <w:rFonts w:eastAsia="Times New Roman"/>
                <w:lang w:val="en-AU" w:eastAsia="en-AU"/>
              </w:rPr>
            </w:pPr>
            <w:r>
              <w:t>&lt;50</w:t>
            </w:r>
          </w:p>
        </w:tc>
        <w:tc>
          <w:tcPr>
            <w:tcW w:w="1060" w:type="dxa"/>
          </w:tcPr>
          <w:p w14:paraId="755E6F7C" w14:textId="77777777" w:rsidR="00B36A05" w:rsidRPr="001C0F84" w:rsidRDefault="00B36A05" w:rsidP="003D4A8B">
            <w:pPr>
              <w:pStyle w:val="Tablesmalltext"/>
              <w:jc w:val="center"/>
              <w:rPr>
                <w:rFonts w:eastAsia="Times New Roman"/>
                <w:lang w:val="en-AU" w:eastAsia="en-AU"/>
              </w:rPr>
            </w:pPr>
            <w:r w:rsidRPr="00E10998">
              <w:t>25</w:t>
            </w:r>
          </w:p>
        </w:tc>
        <w:tc>
          <w:tcPr>
            <w:tcW w:w="1144" w:type="dxa"/>
          </w:tcPr>
          <w:p w14:paraId="42E7CF00" w14:textId="77777777" w:rsidR="00B36A05" w:rsidRPr="001C0F84" w:rsidRDefault="00B36A05" w:rsidP="003D4A8B">
            <w:pPr>
              <w:pStyle w:val="Tablesmalltext"/>
              <w:jc w:val="center"/>
              <w:rPr>
                <w:rFonts w:eastAsia="Times New Roman"/>
                <w:lang w:val="en-AU" w:eastAsia="en-AU"/>
              </w:rPr>
            </w:pPr>
            <w:r>
              <w:t>High</w:t>
            </w:r>
          </w:p>
        </w:tc>
        <w:tc>
          <w:tcPr>
            <w:tcW w:w="899" w:type="dxa"/>
          </w:tcPr>
          <w:p w14:paraId="51FCFCA7" w14:textId="77777777" w:rsidR="00B36A05" w:rsidRPr="001C0F84" w:rsidRDefault="00B36A05" w:rsidP="003D4A8B">
            <w:pPr>
              <w:pStyle w:val="Tablesmalltext"/>
              <w:jc w:val="center"/>
              <w:rPr>
                <w:rFonts w:eastAsia="Times New Roman"/>
                <w:lang w:val="en-AU" w:eastAsia="en-AU"/>
              </w:rPr>
            </w:pPr>
            <w:r>
              <w:t>Yes</w:t>
            </w:r>
          </w:p>
        </w:tc>
        <w:tc>
          <w:tcPr>
            <w:tcW w:w="1144" w:type="dxa"/>
          </w:tcPr>
          <w:p w14:paraId="717581B6" w14:textId="77777777" w:rsidR="00B36A05" w:rsidRPr="00C45E81" w:rsidRDefault="00B36A05" w:rsidP="003D4A8B">
            <w:pPr>
              <w:pStyle w:val="Tablesmalltext"/>
              <w:jc w:val="center"/>
            </w:pPr>
            <w:r>
              <w:t>Coupe</w:t>
            </w:r>
          </w:p>
        </w:tc>
      </w:tr>
      <w:tr w:rsidR="00B36A05" w:rsidRPr="001C0F84" w14:paraId="395589CC" w14:textId="77777777" w:rsidTr="00F22160">
        <w:trPr>
          <w:trHeight w:val="240"/>
        </w:trPr>
        <w:tc>
          <w:tcPr>
            <w:tcW w:w="723" w:type="dxa"/>
            <w:shd w:val="clear" w:color="auto" w:fill="auto"/>
            <w:noWrap/>
            <w:vAlign w:val="center"/>
          </w:tcPr>
          <w:p w14:paraId="02F7C815" w14:textId="77777777" w:rsidR="00B36A05" w:rsidRDefault="00B36A05" w:rsidP="00B36A05">
            <w:pPr>
              <w:pStyle w:val="Tablesmalltext"/>
              <w:jc w:val="center"/>
            </w:pPr>
            <w:r>
              <w:t>2</w:t>
            </w:r>
          </w:p>
        </w:tc>
        <w:tc>
          <w:tcPr>
            <w:tcW w:w="1485" w:type="dxa"/>
            <w:gridSpan w:val="3"/>
            <w:shd w:val="clear" w:color="auto" w:fill="auto"/>
          </w:tcPr>
          <w:p w14:paraId="76C37364" w14:textId="77777777" w:rsidR="00B36A05" w:rsidRPr="001C0F84" w:rsidRDefault="00B36A05" w:rsidP="003D4A8B">
            <w:pPr>
              <w:pStyle w:val="Tablesmalltext"/>
              <w:rPr>
                <w:rFonts w:eastAsia="Times New Roman"/>
                <w:lang w:val="en-AU" w:eastAsia="en-AU"/>
              </w:rPr>
            </w:pPr>
            <w:r w:rsidRPr="00115D48">
              <w:t>288-517-0006</w:t>
            </w:r>
          </w:p>
        </w:tc>
        <w:tc>
          <w:tcPr>
            <w:tcW w:w="1663" w:type="dxa"/>
            <w:shd w:val="clear" w:color="auto" w:fill="auto"/>
          </w:tcPr>
          <w:p w14:paraId="432EB226" w14:textId="77777777" w:rsidR="00B36A05" w:rsidRPr="001C0F84" w:rsidRDefault="00B36A05" w:rsidP="003D4A8B">
            <w:pPr>
              <w:pStyle w:val="Tablesmalltext"/>
              <w:rPr>
                <w:rFonts w:eastAsia="Times New Roman"/>
                <w:lang w:val="en-AU" w:eastAsia="en-AU"/>
              </w:rPr>
            </w:pPr>
            <w:r w:rsidRPr="00115D48">
              <w:t>Dragonfly</w:t>
            </w:r>
          </w:p>
        </w:tc>
        <w:tc>
          <w:tcPr>
            <w:tcW w:w="851" w:type="dxa"/>
          </w:tcPr>
          <w:p w14:paraId="71753F15"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3A01FC52"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tcPr>
          <w:p w14:paraId="79399AA5" w14:textId="77777777" w:rsidR="00B36A05" w:rsidRPr="001C0F84" w:rsidRDefault="00B36A05" w:rsidP="003D4A8B">
            <w:pPr>
              <w:pStyle w:val="Tablesmalltext"/>
              <w:jc w:val="center"/>
              <w:rPr>
                <w:rFonts w:eastAsia="Times New Roman"/>
                <w:lang w:val="en-AU" w:eastAsia="en-AU"/>
              </w:rPr>
            </w:pPr>
            <w:r w:rsidRPr="00E44384">
              <w:t>9.24</w:t>
            </w:r>
          </w:p>
        </w:tc>
        <w:tc>
          <w:tcPr>
            <w:tcW w:w="1134" w:type="dxa"/>
            <w:shd w:val="clear" w:color="auto" w:fill="auto"/>
          </w:tcPr>
          <w:p w14:paraId="31EEA95F" w14:textId="77777777" w:rsidR="00B36A05" w:rsidRPr="001C0F84" w:rsidRDefault="00B36A05" w:rsidP="003D4A8B">
            <w:pPr>
              <w:pStyle w:val="Tablesmalltext"/>
              <w:jc w:val="center"/>
              <w:rPr>
                <w:rFonts w:eastAsia="Times New Roman"/>
                <w:lang w:val="en-AU" w:eastAsia="en-AU"/>
              </w:rPr>
            </w:pPr>
            <w:r>
              <w:t>Yes</w:t>
            </w:r>
          </w:p>
        </w:tc>
        <w:tc>
          <w:tcPr>
            <w:tcW w:w="992" w:type="dxa"/>
            <w:shd w:val="clear" w:color="auto" w:fill="FFFF00"/>
          </w:tcPr>
          <w:p w14:paraId="2BE47E0D" w14:textId="77777777" w:rsidR="00B36A05" w:rsidRPr="001C0F84" w:rsidRDefault="00B36A05" w:rsidP="003D4A8B">
            <w:pPr>
              <w:pStyle w:val="Tablesmalltext"/>
              <w:jc w:val="center"/>
              <w:rPr>
                <w:rFonts w:eastAsia="Times New Roman"/>
                <w:lang w:val="en-AU" w:eastAsia="en-AU"/>
              </w:rPr>
            </w:pPr>
            <w:r>
              <w:t>Yes</w:t>
            </w:r>
          </w:p>
        </w:tc>
        <w:tc>
          <w:tcPr>
            <w:tcW w:w="993" w:type="dxa"/>
            <w:shd w:val="clear" w:color="auto" w:fill="auto"/>
            <w:noWrap/>
          </w:tcPr>
          <w:p w14:paraId="77C478B5" w14:textId="77777777" w:rsidR="00B36A05" w:rsidRPr="001C0F84" w:rsidRDefault="00B36A05" w:rsidP="003D4A8B">
            <w:pPr>
              <w:pStyle w:val="Tablesmalltext"/>
              <w:jc w:val="center"/>
              <w:rPr>
                <w:rFonts w:eastAsia="Times New Roman"/>
                <w:lang w:val="en-AU" w:eastAsia="en-AU"/>
              </w:rPr>
            </w:pPr>
            <w:r w:rsidRPr="008E5D07">
              <w:t>2</w:t>
            </w:r>
            <w:r>
              <w:t>00</w:t>
            </w:r>
          </w:p>
        </w:tc>
        <w:tc>
          <w:tcPr>
            <w:tcW w:w="1060" w:type="dxa"/>
          </w:tcPr>
          <w:p w14:paraId="4757BC9A" w14:textId="77777777" w:rsidR="00B36A05" w:rsidRPr="001C0F84" w:rsidRDefault="00B36A05" w:rsidP="003D4A8B">
            <w:pPr>
              <w:pStyle w:val="Tablesmalltext"/>
              <w:jc w:val="center"/>
              <w:rPr>
                <w:rFonts w:eastAsia="Times New Roman"/>
                <w:lang w:val="en-AU" w:eastAsia="en-AU"/>
              </w:rPr>
            </w:pPr>
            <w:r w:rsidRPr="00E10998">
              <w:t>15</w:t>
            </w:r>
          </w:p>
        </w:tc>
        <w:tc>
          <w:tcPr>
            <w:tcW w:w="1144" w:type="dxa"/>
          </w:tcPr>
          <w:p w14:paraId="0BEB3BBC" w14:textId="77777777" w:rsidR="00B36A05" w:rsidRPr="001C0F84" w:rsidRDefault="00B36A05" w:rsidP="003D4A8B">
            <w:pPr>
              <w:pStyle w:val="Tablesmalltext"/>
              <w:jc w:val="center"/>
              <w:rPr>
                <w:rFonts w:eastAsia="Times New Roman"/>
                <w:lang w:val="en-AU" w:eastAsia="en-AU"/>
              </w:rPr>
            </w:pPr>
            <w:r>
              <w:t xml:space="preserve">High </w:t>
            </w:r>
          </w:p>
        </w:tc>
        <w:tc>
          <w:tcPr>
            <w:tcW w:w="899" w:type="dxa"/>
          </w:tcPr>
          <w:p w14:paraId="5A5F6254"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184C11DA"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54BBDBF3" w14:textId="77777777" w:rsidTr="00B36A05">
        <w:trPr>
          <w:trHeight w:val="240"/>
        </w:trPr>
        <w:tc>
          <w:tcPr>
            <w:tcW w:w="723" w:type="dxa"/>
            <w:shd w:val="clear" w:color="auto" w:fill="auto"/>
            <w:noWrap/>
            <w:vAlign w:val="center"/>
          </w:tcPr>
          <w:p w14:paraId="21943A64" w14:textId="77777777" w:rsidR="00B36A05" w:rsidRDefault="00B36A05" w:rsidP="00B36A05">
            <w:pPr>
              <w:pStyle w:val="Tablesmalltext"/>
              <w:jc w:val="center"/>
            </w:pPr>
            <w:r>
              <w:t>3</w:t>
            </w:r>
          </w:p>
        </w:tc>
        <w:tc>
          <w:tcPr>
            <w:tcW w:w="1485" w:type="dxa"/>
            <w:gridSpan w:val="3"/>
            <w:shd w:val="clear" w:color="auto" w:fill="auto"/>
          </w:tcPr>
          <w:p w14:paraId="4E90DBA7" w14:textId="77777777" w:rsidR="00B36A05" w:rsidRPr="001C0F84" w:rsidRDefault="00B36A05" w:rsidP="003D4A8B">
            <w:pPr>
              <w:pStyle w:val="Tablesmalltext"/>
              <w:rPr>
                <w:rFonts w:eastAsia="Times New Roman"/>
                <w:lang w:val="en-AU" w:eastAsia="en-AU"/>
              </w:rPr>
            </w:pPr>
            <w:r w:rsidRPr="00115D48">
              <w:t>288-520-0007</w:t>
            </w:r>
          </w:p>
        </w:tc>
        <w:tc>
          <w:tcPr>
            <w:tcW w:w="1663" w:type="dxa"/>
            <w:shd w:val="clear" w:color="auto" w:fill="auto"/>
          </w:tcPr>
          <w:p w14:paraId="264780E4" w14:textId="77777777" w:rsidR="00B36A05" w:rsidRPr="001C0F84" w:rsidRDefault="00B36A05" w:rsidP="003D4A8B">
            <w:pPr>
              <w:pStyle w:val="Tablesmalltext"/>
              <w:rPr>
                <w:rFonts w:eastAsia="Times New Roman"/>
                <w:lang w:val="en-AU" w:eastAsia="en-AU"/>
              </w:rPr>
            </w:pPr>
            <w:r w:rsidRPr="00115D48">
              <w:t>Gnu</w:t>
            </w:r>
          </w:p>
        </w:tc>
        <w:tc>
          <w:tcPr>
            <w:tcW w:w="851" w:type="dxa"/>
          </w:tcPr>
          <w:p w14:paraId="202881E6"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4D0C0A94"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tcPr>
          <w:p w14:paraId="61FEA82E" w14:textId="77777777" w:rsidR="00B36A05" w:rsidRPr="001C0F84" w:rsidRDefault="00B36A05" w:rsidP="003D4A8B">
            <w:pPr>
              <w:pStyle w:val="Tablesmalltext"/>
              <w:jc w:val="center"/>
              <w:rPr>
                <w:rFonts w:eastAsia="Times New Roman"/>
                <w:lang w:val="en-AU" w:eastAsia="en-AU"/>
              </w:rPr>
            </w:pPr>
            <w:r w:rsidRPr="00E44384">
              <w:t>5.53</w:t>
            </w:r>
          </w:p>
        </w:tc>
        <w:tc>
          <w:tcPr>
            <w:tcW w:w="1134" w:type="dxa"/>
            <w:shd w:val="clear" w:color="auto" w:fill="auto"/>
          </w:tcPr>
          <w:p w14:paraId="0186D371" w14:textId="77777777" w:rsidR="00B36A05" w:rsidRPr="001C0F84" w:rsidRDefault="00B36A05" w:rsidP="003D4A8B">
            <w:pPr>
              <w:pStyle w:val="Tablesmalltext"/>
              <w:jc w:val="center"/>
              <w:rPr>
                <w:rFonts w:eastAsia="Times New Roman"/>
                <w:lang w:val="en-AU" w:eastAsia="en-AU"/>
              </w:rPr>
            </w:pPr>
            <w:r>
              <w:t>Yes</w:t>
            </w:r>
          </w:p>
        </w:tc>
        <w:tc>
          <w:tcPr>
            <w:tcW w:w="992" w:type="dxa"/>
            <w:shd w:val="clear" w:color="auto" w:fill="auto"/>
          </w:tcPr>
          <w:p w14:paraId="2C6A4AA7"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auto"/>
            <w:noWrap/>
          </w:tcPr>
          <w:p w14:paraId="04BEAFC8" w14:textId="77777777" w:rsidR="00B36A05" w:rsidRPr="001C0F84" w:rsidRDefault="00B36A05" w:rsidP="003D4A8B">
            <w:pPr>
              <w:pStyle w:val="Tablesmalltext"/>
              <w:jc w:val="center"/>
              <w:rPr>
                <w:rFonts w:eastAsia="Times New Roman"/>
                <w:lang w:val="en-AU" w:eastAsia="en-AU"/>
              </w:rPr>
            </w:pPr>
            <w:r w:rsidRPr="008E5D07">
              <w:t>2</w:t>
            </w:r>
            <w:r>
              <w:t>00</w:t>
            </w:r>
          </w:p>
        </w:tc>
        <w:tc>
          <w:tcPr>
            <w:tcW w:w="1060" w:type="dxa"/>
          </w:tcPr>
          <w:p w14:paraId="226A32BC" w14:textId="77777777" w:rsidR="00B36A05" w:rsidRPr="001C0F84" w:rsidRDefault="00B36A05" w:rsidP="003D4A8B">
            <w:pPr>
              <w:pStyle w:val="Tablesmalltext"/>
              <w:jc w:val="center"/>
              <w:rPr>
                <w:rFonts w:eastAsia="Times New Roman"/>
                <w:lang w:val="en-AU" w:eastAsia="en-AU"/>
              </w:rPr>
            </w:pPr>
            <w:r w:rsidRPr="00E10998">
              <w:t>20</w:t>
            </w:r>
          </w:p>
        </w:tc>
        <w:tc>
          <w:tcPr>
            <w:tcW w:w="1144" w:type="dxa"/>
          </w:tcPr>
          <w:p w14:paraId="5F29126D" w14:textId="77777777" w:rsidR="00B36A05" w:rsidRPr="001C0F84" w:rsidRDefault="00B36A05" w:rsidP="003D4A8B">
            <w:pPr>
              <w:pStyle w:val="Tablesmalltext"/>
              <w:jc w:val="center"/>
              <w:rPr>
                <w:rFonts w:eastAsia="Times New Roman"/>
                <w:lang w:val="en-AU" w:eastAsia="en-AU"/>
              </w:rPr>
            </w:pPr>
            <w:r>
              <w:t>Low</w:t>
            </w:r>
          </w:p>
        </w:tc>
        <w:tc>
          <w:tcPr>
            <w:tcW w:w="899" w:type="dxa"/>
          </w:tcPr>
          <w:p w14:paraId="45B4C3AA"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42C32DAB"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081B2057" w14:textId="77777777" w:rsidTr="00781925">
        <w:trPr>
          <w:trHeight w:val="240"/>
        </w:trPr>
        <w:tc>
          <w:tcPr>
            <w:tcW w:w="723" w:type="dxa"/>
            <w:shd w:val="clear" w:color="auto" w:fill="auto"/>
            <w:noWrap/>
            <w:vAlign w:val="center"/>
          </w:tcPr>
          <w:p w14:paraId="45F1E985" w14:textId="77777777" w:rsidR="00B36A05" w:rsidRDefault="00B36A05" w:rsidP="00B36A05">
            <w:pPr>
              <w:pStyle w:val="Tablesmalltext"/>
              <w:jc w:val="center"/>
            </w:pPr>
            <w:r>
              <w:t>4</w:t>
            </w:r>
          </w:p>
        </w:tc>
        <w:tc>
          <w:tcPr>
            <w:tcW w:w="1485" w:type="dxa"/>
            <w:gridSpan w:val="3"/>
            <w:shd w:val="clear" w:color="auto" w:fill="auto"/>
          </w:tcPr>
          <w:p w14:paraId="6C9870E6" w14:textId="77777777" w:rsidR="00B36A05" w:rsidRPr="001C0F84" w:rsidRDefault="00B36A05" w:rsidP="003D4A8B">
            <w:pPr>
              <w:pStyle w:val="Tablesmalltext"/>
              <w:rPr>
                <w:rFonts w:eastAsia="Times New Roman"/>
                <w:lang w:val="en-AU" w:eastAsia="en-AU"/>
              </w:rPr>
            </w:pPr>
            <w:r w:rsidRPr="00115D48">
              <w:t>297-507-0003</w:t>
            </w:r>
          </w:p>
        </w:tc>
        <w:tc>
          <w:tcPr>
            <w:tcW w:w="1663" w:type="dxa"/>
            <w:shd w:val="clear" w:color="auto" w:fill="auto"/>
          </w:tcPr>
          <w:p w14:paraId="2F3022BD" w14:textId="77777777" w:rsidR="00B36A05" w:rsidRPr="001C0F84" w:rsidRDefault="00B36A05" w:rsidP="003D4A8B">
            <w:pPr>
              <w:pStyle w:val="Tablesmalltext"/>
              <w:rPr>
                <w:rFonts w:eastAsia="Times New Roman"/>
                <w:lang w:val="en-AU" w:eastAsia="en-AU"/>
              </w:rPr>
            </w:pPr>
            <w:r w:rsidRPr="00115D48">
              <w:t>Sun Downies</w:t>
            </w:r>
          </w:p>
        </w:tc>
        <w:tc>
          <w:tcPr>
            <w:tcW w:w="851" w:type="dxa"/>
          </w:tcPr>
          <w:p w14:paraId="64B177D0"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074E4786"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tcPr>
          <w:p w14:paraId="611A94CD" w14:textId="77777777" w:rsidR="00B36A05" w:rsidRPr="001C0F84" w:rsidRDefault="00B36A05" w:rsidP="003D4A8B">
            <w:pPr>
              <w:pStyle w:val="Tablesmalltext"/>
              <w:jc w:val="center"/>
              <w:rPr>
                <w:rFonts w:eastAsia="Times New Roman"/>
                <w:lang w:val="en-AU" w:eastAsia="en-AU"/>
              </w:rPr>
            </w:pPr>
            <w:r w:rsidRPr="00E44384">
              <w:t>22.4</w:t>
            </w:r>
          </w:p>
        </w:tc>
        <w:tc>
          <w:tcPr>
            <w:tcW w:w="1134" w:type="dxa"/>
            <w:shd w:val="clear" w:color="auto" w:fill="FFC000"/>
          </w:tcPr>
          <w:p w14:paraId="53CB745B" w14:textId="23D1EC0C" w:rsidR="00B36A05" w:rsidRPr="001C0F84" w:rsidRDefault="00781925" w:rsidP="003D4A8B">
            <w:pPr>
              <w:pStyle w:val="Tablesmalltext"/>
              <w:jc w:val="center"/>
              <w:rPr>
                <w:rFonts w:eastAsia="Times New Roman"/>
                <w:lang w:val="en-AU" w:eastAsia="en-AU"/>
              </w:rPr>
            </w:pPr>
            <w:r>
              <w:t>No</w:t>
            </w:r>
          </w:p>
        </w:tc>
        <w:tc>
          <w:tcPr>
            <w:tcW w:w="992" w:type="dxa"/>
            <w:shd w:val="clear" w:color="auto" w:fill="FFFF00"/>
          </w:tcPr>
          <w:p w14:paraId="3F3BB8E0" w14:textId="77777777" w:rsidR="00B36A05" w:rsidRPr="001C0F84" w:rsidRDefault="00B36A05" w:rsidP="003D4A8B">
            <w:pPr>
              <w:pStyle w:val="Tablesmalltext"/>
              <w:jc w:val="center"/>
              <w:rPr>
                <w:rFonts w:eastAsia="Times New Roman"/>
                <w:lang w:val="en-AU" w:eastAsia="en-AU"/>
              </w:rPr>
            </w:pPr>
            <w:r>
              <w:t>Yes</w:t>
            </w:r>
          </w:p>
        </w:tc>
        <w:tc>
          <w:tcPr>
            <w:tcW w:w="993" w:type="dxa"/>
            <w:shd w:val="clear" w:color="auto" w:fill="auto"/>
            <w:noWrap/>
          </w:tcPr>
          <w:p w14:paraId="71303FD7" w14:textId="77777777" w:rsidR="00B36A05" w:rsidRPr="001C0F84" w:rsidRDefault="00B36A05" w:rsidP="003D4A8B">
            <w:pPr>
              <w:pStyle w:val="Tablesmalltext"/>
              <w:jc w:val="center"/>
              <w:rPr>
                <w:rFonts w:eastAsia="Times New Roman"/>
                <w:lang w:val="en-AU" w:eastAsia="en-AU"/>
              </w:rPr>
            </w:pPr>
            <w:r w:rsidRPr="008E5D07">
              <w:t>2</w:t>
            </w:r>
            <w:r>
              <w:t>00</w:t>
            </w:r>
          </w:p>
        </w:tc>
        <w:tc>
          <w:tcPr>
            <w:tcW w:w="1060" w:type="dxa"/>
          </w:tcPr>
          <w:p w14:paraId="630E0C78" w14:textId="77777777" w:rsidR="00B36A05" w:rsidRPr="001C0F84" w:rsidRDefault="00B36A05" w:rsidP="003D4A8B">
            <w:pPr>
              <w:pStyle w:val="Tablesmalltext"/>
              <w:jc w:val="center"/>
              <w:rPr>
                <w:rFonts w:eastAsia="Times New Roman"/>
                <w:lang w:val="en-AU" w:eastAsia="en-AU"/>
              </w:rPr>
            </w:pPr>
            <w:r w:rsidRPr="00E10998">
              <w:t>10</w:t>
            </w:r>
          </w:p>
        </w:tc>
        <w:tc>
          <w:tcPr>
            <w:tcW w:w="1144" w:type="dxa"/>
          </w:tcPr>
          <w:p w14:paraId="2D01510E" w14:textId="77777777" w:rsidR="00B36A05" w:rsidRPr="001C0F84" w:rsidRDefault="00B36A05" w:rsidP="003D4A8B">
            <w:pPr>
              <w:pStyle w:val="Tablesmalltext"/>
              <w:jc w:val="center"/>
              <w:rPr>
                <w:rFonts w:eastAsia="Times New Roman"/>
                <w:lang w:val="en-AU" w:eastAsia="en-AU"/>
              </w:rPr>
            </w:pPr>
            <w:r>
              <w:t>Low</w:t>
            </w:r>
          </w:p>
        </w:tc>
        <w:tc>
          <w:tcPr>
            <w:tcW w:w="899" w:type="dxa"/>
          </w:tcPr>
          <w:p w14:paraId="268F4A6C"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6226DDE2"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13BA6F76" w14:textId="77777777" w:rsidTr="002B7966">
        <w:trPr>
          <w:trHeight w:val="240"/>
        </w:trPr>
        <w:tc>
          <w:tcPr>
            <w:tcW w:w="723" w:type="dxa"/>
            <w:shd w:val="clear" w:color="auto" w:fill="auto"/>
            <w:noWrap/>
            <w:vAlign w:val="center"/>
          </w:tcPr>
          <w:p w14:paraId="13B4590A" w14:textId="77777777" w:rsidR="00B36A05" w:rsidRDefault="00B36A05" w:rsidP="00B36A05">
            <w:pPr>
              <w:pStyle w:val="Tablesmalltext"/>
              <w:jc w:val="center"/>
            </w:pPr>
            <w:r>
              <w:t>5</w:t>
            </w:r>
          </w:p>
        </w:tc>
        <w:tc>
          <w:tcPr>
            <w:tcW w:w="1485" w:type="dxa"/>
            <w:gridSpan w:val="3"/>
            <w:shd w:val="clear" w:color="auto" w:fill="auto"/>
          </w:tcPr>
          <w:p w14:paraId="08C8874A" w14:textId="77777777" w:rsidR="00B36A05" w:rsidRPr="001C0F84" w:rsidRDefault="00B36A05" w:rsidP="003D4A8B">
            <w:pPr>
              <w:pStyle w:val="Tablesmalltext"/>
              <w:rPr>
                <w:rFonts w:eastAsia="Times New Roman"/>
                <w:lang w:val="en-AU" w:eastAsia="en-AU"/>
              </w:rPr>
            </w:pPr>
            <w:r w:rsidRPr="00115D48">
              <w:t>312-009-0010</w:t>
            </w:r>
          </w:p>
        </w:tc>
        <w:tc>
          <w:tcPr>
            <w:tcW w:w="1663" w:type="dxa"/>
            <w:shd w:val="clear" w:color="auto" w:fill="auto"/>
          </w:tcPr>
          <w:p w14:paraId="0FFACD45" w14:textId="77777777" w:rsidR="00B36A05" w:rsidRPr="001C0F84" w:rsidRDefault="00B36A05" w:rsidP="003D4A8B">
            <w:pPr>
              <w:pStyle w:val="Tablesmalltext"/>
              <w:rPr>
                <w:rFonts w:eastAsia="Times New Roman"/>
                <w:lang w:val="en-AU" w:eastAsia="en-AU"/>
              </w:rPr>
            </w:pPr>
            <w:r w:rsidRPr="00115D48">
              <w:t>Whitehorse</w:t>
            </w:r>
          </w:p>
        </w:tc>
        <w:tc>
          <w:tcPr>
            <w:tcW w:w="851" w:type="dxa"/>
          </w:tcPr>
          <w:p w14:paraId="23A18A10"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073A51EC"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tcPr>
          <w:p w14:paraId="6365707F" w14:textId="77777777" w:rsidR="00B36A05" w:rsidRPr="001C0F84" w:rsidRDefault="00B36A05" w:rsidP="003D4A8B">
            <w:pPr>
              <w:pStyle w:val="Tablesmalltext"/>
              <w:jc w:val="center"/>
              <w:rPr>
                <w:rFonts w:eastAsia="Times New Roman"/>
                <w:lang w:val="en-AU" w:eastAsia="en-AU"/>
              </w:rPr>
            </w:pPr>
            <w:r w:rsidRPr="00E44384">
              <w:t>7.6</w:t>
            </w:r>
          </w:p>
        </w:tc>
        <w:tc>
          <w:tcPr>
            <w:tcW w:w="1134" w:type="dxa"/>
            <w:shd w:val="clear" w:color="auto" w:fill="auto"/>
          </w:tcPr>
          <w:p w14:paraId="4599A6F5" w14:textId="77777777" w:rsidR="00B36A05" w:rsidRPr="001C0F84" w:rsidRDefault="00B36A05" w:rsidP="003D4A8B">
            <w:pPr>
              <w:pStyle w:val="Tablesmalltext"/>
              <w:jc w:val="center"/>
              <w:rPr>
                <w:rFonts w:eastAsia="Times New Roman"/>
                <w:lang w:val="en-AU" w:eastAsia="en-AU"/>
              </w:rPr>
            </w:pPr>
            <w:r>
              <w:t>Yes</w:t>
            </w:r>
          </w:p>
        </w:tc>
        <w:tc>
          <w:tcPr>
            <w:tcW w:w="992" w:type="dxa"/>
            <w:shd w:val="clear" w:color="auto" w:fill="FFC000"/>
          </w:tcPr>
          <w:p w14:paraId="32A6D148" w14:textId="77777777" w:rsidR="00B36A05" w:rsidRPr="001C0F84" w:rsidRDefault="00B36A05" w:rsidP="003D4A8B">
            <w:pPr>
              <w:pStyle w:val="Tablesmalltext"/>
              <w:jc w:val="center"/>
              <w:rPr>
                <w:rFonts w:eastAsia="Times New Roman"/>
                <w:lang w:val="en-AU" w:eastAsia="en-AU"/>
              </w:rPr>
            </w:pPr>
            <w:r w:rsidRPr="00C91C68">
              <w:t>Yes</w:t>
            </w:r>
          </w:p>
        </w:tc>
        <w:tc>
          <w:tcPr>
            <w:tcW w:w="993" w:type="dxa"/>
            <w:shd w:val="clear" w:color="auto" w:fill="92D050"/>
            <w:noWrap/>
          </w:tcPr>
          <w:p w14:paraId="44B78D8C" w14:textId="57A65353" w:rsidR="00B36A05" w:rsidRPr="001C0F84" w:rsidRDefault="002B7966" w:rsidP="003D4A8B">
            <w:pPr>
              <w:pStyle w:val="Tablesmalltext"/>
              <w:jc w:val="center"/>
              <w:rPr>
                <w:rFonts w:eastAsia="Times New Roman"/>
                <w:lang w:val="en-AU" w:eastAsia="en-AU"/>
              </w:rPr>
            </w:pPr>
            <w:r>
              <w:t>&lt;50</w:t>
            </w:r>
          </w:p>
        </w:tc>
        <w:tc>
          <w:tcPr>
            <w:tcW w:w="1060" w:type="dxa"/>
          </w:tcPr>
          <w:p w14:paraId="50BE1E42" w14:textId="77777777" w:rsidR="00B36A05" w:rsidRPr="001C0F84" w:rsidRDefault="00B36A05" w:rsidP="003D4A8B">
            <w:pPr>
              <w:pStyle w:val="Tablesmalltext"/>
              <w:jc w:val="center"/>
              <w:rPr>
                <w:rFonts w:eastAsia="Times New Roman"/>
                <w:lang w:val="en-AU" w:eastAsia="en-AU"/>
              </w:rPr>
            </w:pPr>
            <w:r w:rsidRPr="00E10998">
              <w:t>20</w:t>
            </w:r>
          </w:p>
        </w:tc>
        <w:tc>
          <w:tcPr>
            <w:tcW w:w="1144" w:type="dxa"/>
          </w:tcPr>
          <w:p w14:paraId="289BA11F" w14:textId="77777777" w:rsidR="00B36A05" w:rsidRPr="001C0F84" w:rsidRDefault="00B36A05" w:rsidP="003D4A8B">
            <w:pPr>
              <w:pStyle w:val="Tablesmalltext"/>
              <w:jc w:val="center"/>
              <w:rPr>
                <w:rFonts w:eastAsia="Times New Roman"/>
                <w:lang w:val="en-AU" w:eastAsia="en-AU"/>
              </w:rPr>
            </w:pPr>
            <w:r>
              <w:t>Low</w:t>
            </w:r>
          </w:p>
        </w:tc>
        <w:tc>
          <w:tcPr>
            <w:tcW w:w="899" w:type="dxa"/>
          </w:tcPr>
          <w:p w14:paraId="7580DF40"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6C0194E8" w14:textId="77777777" w:rsidR="00B36A05" w:rsidRPr="001C0F84" w:rsidRDefault="00B36A05" w:rsidP="003D4A8B">
            <w:pPr>
              <w:pStyle w:val="Tablesmalltext"/>
              <w:jc w:val="center"/>
              <w:rPr>
                <w:rFonts w:eastAsia="Times New Roman"/>
                <w:lang w:val="en-AU" w:eastAsia="en-AU"/>
              </w:rPr>
            </w:pPr>
            <w:r>
              <w:t>&lt;500 m</w:t>
            </w:r>
          </w:p>
        </w:tc>
      </w:tr>
      <w:tr w:rsidR="00B36A05" w:rsidRPr="001C0F84" w14:paraId="52D36FE9" w14:textId="77777777" w:rsidTr="00781925">
        <w:trPr>
          <w:trHeight w:val="240"/>
        </w:trPr>
        <w:tc>
          <w:tcPr>
            <w:tcW w:w="723" w:type="dxa"/>
            <w:shd w:val="clear" w:color="auto" w:fill="auto"/>
            <w:noWrap/>
            <w:vAlign w:val="center"/>
          </w:tcPr>
          <w:p w14:paraId="7252B9FC" w14:textId="77777777" w:rsidR="00B36A05" w:rsidRDefault="00B36A05" w:rsidP="00B36A05">
            <w:pPr>
              <w:pStyle w:val="Tablesmalltext"/>
              <w:jc w:val="center"/>
            </w:pPr>
            <w:r>
              <w:t>6</w:t>
            </w:r>
          </w:p>
        </w:tc>
        <w:tc>
          <w:tcPr>
            <w:tcW w:w="1485" w:type="dxa"/>
            <w:gridSpan w:val="3"/>
            <w:shd w:val="clear" w:color="auto" w:fill="auto"/>
          </w:tcPr>
          <w:p w14:paraId="6AB5FA9F" w14:textId="77777777" w:rsidR="00B36A05" w:rsidRPr="001C0F84" w:rsidRDefault="00B36A05" w:rsidP="003D4A8B">
            <w:pPr>
              <w:pStyle w:val="Tablesmalltext"/>
              <w:rPr>
                <w:rFonts w:eastAsia="Times New Roman"/>
                <w:lang w:val="en-AU" w:eastAsia="en-AU"/>
              </w:rPr>
            </w:pPr>
            <w:r w:rsidRPr="00115D48">
              <w:t>312-511-0003</w:t>
            </w:r>
          </w:p>
        </w:tc>
        <w:tc>
          <w:tcPr>
            <w:tcW w:w="1663" w:type="dxa"/>
            <w:shd w:val="clear" w:color="auto" w:fill="auto"/>
          </w:tcPr>
          <w:p w14:paraId="625C8C30" w14:textId="77777777" w:rsidR="00B36A05" w:rsidRPr="001C0F84" w:rsidRDefault="00B36A05" w:rsidP="003D4A8B">
            <w:pPr>
              <w:pStyle w:val="Tablesmalltext"/>
              <w:rPr>
                <w:rFonts w:eastAsia="Times New Roman"/>
                <w:lang w:val="en-AU" w:eastAsia="en-AU"/>
              </w:rPr>
            </w:pPr>
            <w:r w:rsidRPr="00115D48">
              <w:t>Real Madrid</w:t>
            </w:r>
          </w:p>
        </w:tc>
        <w:tc>
          <w:tcPr>
            <w:tcW w:w="851" w:type="dxa"/>
          </w:tcPr>
          <w:p w14:paraId="137AF2E5"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6EC4EC6B"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tcPr>
          <w:p w14:paraId="13AEABAD" w14:textId="77777777" w:rsidR="00B36A05" w:rsidRPr="001C0F84" w:rsidRDefault="00B36A05" w:rsidP="003D4A8B">
            <w:pPr>
              <w:pStyle w:val="Tablesmalltext"/>
              <w:jc w:val="center"/>
              <w:rPr>
                <w:rFonts w:eastAsia="Times New Roman"/>
                <w:lang w:val="en-AU" w:eastAsia="en-AU"/>
              </w:rPr>
            </w:pPr>
            <w:r w:rsidRPr="00E44384">
              <w:t>1.78</w:t>
            </w:r>
          </w:p>
        </w:tc>
        <w:tc>
          <w:tcPr>
            <w:tcW w:w="1134" w:type="dxa"/>
            <w:shd w:val="clear" w:color="auto" w:fill="auto"/>
          </w:tcPr>
          <w:p w14:paraId="2EFCC76B" w14:textId="77777777" w:rsidR="00B36A05" w:rsidRPr="001C0F84" w:rsidRDefault="00B36A05" w:rsidP="003D4A8B">
            <w:pPr>
              <w:pStyle w:val="Tablesmalltext"/>
              <w:jc w:val="center"/>
              <w:rPr>
                <w:rFonts w:eastAsia="Times New Roman"/>
                <w:lang w:val="en-AU" w:eastAsia="en-AU"/>
              </w:rPr>
            </w:pPr>
            <w:r>
              <w:t>Yes</w:t>
            </w:r>
          </w:p>
        </w:tc>
        <w:tc>
          <w:tcPr>
            <w:tcW w:w="992" w:type="dxa"/>
            <w:shd w:val="clear" w:color="auto" w:fill="FFC000"/>
          </w:tcPr>
          <w:p w14:paraId="327B16DC" w14:textId="77777777" w:rsidR="00B36A05" w:rsidRPr="001C0F84" w:rsidRDefault="00B36A05" w:rsidP="003D4A8B">
            <w:pPr>
              <w:pStyle w:val="Tablesmalltext"/>
              <w:jc w:val="center"/>
              <w:rPr>
                <w:rFonts w:eastAsia="Times New Roman"/>
                <w:lang w:val="en-AU" w:eastAsia="en-AU"/>
              </w:rPr>
            </w:pPr>
            <w:r w:rsidRPr="00C91C68">
              <w:t>Yes</w:t>
            </w:r>
          </w:p>
        </w:tc>
        <w:tc>
          <w:tcPr>
            <w:tcW w:w="993" w:type="dxa"/>
            <w:shd w:val="clear" w:color="auto" w:fill="auto"/>
            <w:noWrap/>
          </w:tcPr>
          <w:p w14:paraId="3728B83C" w14:textId="02CD1DF9" w:rsidR="00B36A05" w:rsidRPr="001C0F84" w:rsidRDefault="002B7966" w:rsidP="003D4A8B">
            <w:pPr>
              <w:pStyle w:val="Tablesmalltext"/>
              <w:jc w:val="center"/>
              <w:rPr>
                <w:rFonts w:eastAsia="Times New Roman"/>
                <w:lang w:val="en-AU" w:eastAsia="en-AU"/>
              </w:rPr>
            </w:pPr>
            <w:r>
              <w:t>&lt;</w:t>
            </w:r>
            <w:r w:rsidR="00B36A05">
              <w:t>50</w:t>
            </w:r>
            <w:r>
              <w:t xml:space="preserve"> m</w:t>
            </w:r>
          </w:p>
        </w:tc>
        <w:tc>
          <w:tcPr>
            <w:tcW w:w="1060" w:type="dxa"/>
          </w:tcPr>
          <w:p w14:paraId="3030A61F" w14:textId="77777777" w:rsidR="00B36A05" w:rsidRPr="001C0F84" w:rsidRDefault="00B36A05" w:rsidP="003D4A8B">
            <w:pPr>
              <w:pStyle w:val="Tablesmalltext"/>
              <w:jc w:val="center"/>
              <w:rPr>
                <w:rFonts w:eastAsia="Times New Roman"/>
                <w:lang w:val="en-AU" w:eastAsia="en-AU"/>
              </w:rPr>
            </w:pPr>
            <w:r w:rsidRPr="00E10998">
              <w:t>20</w:t>
            </w:r>
          </w:p>
        </w:tc>
        <w:tc>
          <w:tcPr>
            <w:tcW w:w="1144" w:type="dxa"/>
          </w:tcPr>
          <w:p w14:paraId="5561C24F" w14:textId="77777777" w:rsidR="00B36A05" w:rsidRPr="001C0F84" w:rsidRDefault="00B36A05" w:rsidP="003D4A8B">
            <w:pPr>
              <w:pStyle w:val="Tablesmalltext"/>
              <w:jc w:val="center"/>
              <w:rPr>
                <w:rFonts w:eastAsia="Times New Roman"/>
                <w:lang w:val="en-AU" w:eastAsia="en-AU"/>
              </w:rPr>
            </w:pPr>
            <w:r>
              <w:t>Low</w:t>
            </w:r>
          </w:p>
        </w:tc>
        <w:tc>
          <w:tcPr>
            <w:tcW w:w="899" w:type="dxa"/>
          </w:tcPr>
          <w:p w14:paraId="226842BE"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14D53809"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75F0AC5F" w14:textId="77777777" w:rsidTr="008D021D">
        <w:trPr>
          <w:trHeight w:val="240"/>
        </w:trPr>
        <w:tc>
          <w:tcPr>
            <w:tcW w:w="723" w:type="dxa"/>
            <w:shd w:val="clear" w:color="auto" w:fill="auto"/>
            <w:noWrap/>
            <w:vAlign w:val="center"/>
          </w:tcPr>
          <w:p w14:paraId="147911CB" w14:textId="77777777" w:rsidR="00B36A05" w:rsidRDefault="00B36A05" w:rsidP="00B36A05">
            <w:pPr>
              <w:pStyle w:val="Tablesmalltext"/>
              <w:jc w:val="center"/>
            </w:pPr>
            <w:r>
              <w:t>7</w:t>
            </w:r>
          </w:p>
        </w:tc>
        <w:tc>
          <w:tcPr>
            <w:tcW w:w="1485" w:type="dxa"/>
            <w:gridSpan w:val="3"/>
            <w:shd w:val="clear" w:color="auto" w:fill="auto"/>
          </w:tcPr>
          <w:p w14:paraId="03AC4B8D" w14:textId="77777777" w:rsidR="00B36A05" w:rsidRPr="001C0F84" w:rsidRDefault="00B36A05" w:rsidP="003D4A8B">
            <w:pPr>
              <w:pStyle w:val="Tablesmalltext"/>
              <w:rPr>
                <w:rFonts w:eastAsia="Times New Roman"/>
                <w:lang w:val="en-AU" w:eastAsia="en-AU"/>
              </w:rPr>
            </w:pPr>
            <w:r w:rsidRPr="00115D48">
              <w:t>314-502-0009</w:t>
            </w:r>
          </w:p>
        </w:tc>
        <w:tc>
          <w:tcPr>
            <w:tcW w:w="1663" w:type="dxa"/>
            <w:shd w:val="clear" w:color="auto" w:fill="auto"/>
          </w:tcPr>
          <w:p w14:paraId="03DB198C" w14:textId="77777777" w:rsidR="00B36A05" w:rsidRPr="001C0F84" w:rsidRDefault="00B36A05" w:rsidP="003D4A8B">
            <w:pPr>
              <w:pStyle w:val="Tablesmalltext"/>
              <w:rPr>
                <w:rFonts w:eastAsia="Times New Roman"/>
                <w:lang w:val="en-AU" w:eastAsia="en-AU"/>
              </w:rPr>
            </w:pPr>
            <w:r w:rsidRPr="00115D48">
              <w:t>Lemon Lime</w:t>
            </w:r>
          </w:p>
        </w:tc>
        <w:tc>
          <w:tcPr>
            <w:tcW w:w="851" w:type="dxa"/>
          </w:tcPr>
          <w:p w14:paraId="076FC19E" w14:textId="77777777" w:rsidR="00B36A05" w:rsidRPr="001C0F84" w:rsidRDefault="00B36A05" w:rsidP="003D4A8B">
            <w:pPr>
              <w:pStyle w:val="Tablesmalltext"/>
              <w:jc w:val="center"/>
              <w:rPr>
                <w:rFonts w:eastAsia="Times New Roman"/>
                <w:lang w:val="en-AU" w:eastAsia="en-AU"/>
              </w:rPr>
            </w:pPr>
            <w:r w:rsidRPr="00A5081F">
              <w:t>CT</w:t>
            </w:r>
          </w:p>
        </w:tc>
        <w:tc>
          <w:tcPr>
            <w:tcW w:w="1498" w:type="dxa"/>
            <w:gridSpan w:val="2"/>
            <w:shd w:val="clear" w:color="auto" w:fill="auto"/>
          </w:tcPr>
          <w:p w14:paraId="65636EE3"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tcPr>
          <w:p w14:paraId="32A1E5EA" w14:textId="77777777" w:rsidR="00B36A05" w:rsidRPr="001C0F84" w:rsidRDefault="00B36A05" w:rsidP="003D4A8B">
            <w:pPr>
              <w:pStyle w:val="Tablesmalltext"/>
              <w:jc w:val="center"/>
              <w:rPr>
                <w:rFonts w:eastAsia="Times New Roman"/>
                <w:lang w:val="en-AU" w:eastAsia="en-AU"/>
              </w:rPr>
            </w:pPr>
            <w:r w:rsidRPr="00E44384">
              <w:t>20.15</w:t>
            </w:r>
          </w:p>
        </w:tc>
        <w:tc>
          <w:tcPr>
            <w:tcW w:w="1134" w:type="dxa"/>
            <w:shd w:val="clear" w:color="auto" w:fill="auto"/>
          </w:tcPr>
          <w:p w14:paraId="07FE079F"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92D050"/>
          </w:tcPr>
          <w:p w14:paraId="3777086C" w14:textId="77777777" w:rsidR="00B36A05" w:rsidRPr="001C0F84" w:rsidRDefault="00B36A05" w:rsidP="003D4A8B">
            <w:pPr>
              <w:pStyle w:val="Tablesmalltext"/>
              <w:jc w:val="center"/>
              <w:rPr>
                <w:rFonts w:eastAsia="Times New Roman"/>
                <w:lang w:val="en-AU" w:eastAsia="en-AU"/>
              </w:rPr>
            </w:pPr>
            <w:r w:rsidRPr="00C91C68">
              <w:t>Yes</w:t>
            </w:r>
          </w:p>
        </w:tc>
        <w:tc>
          <w:tcPr>
            <w:tcW w:w="993" w:type="dxa"/>
            <w:shd w:val="clear" w:color="auto" w:fill="auto"/>
            <w:noWrap/>
          </w:tcPr>
          <w:p w14:paraId="6C8AF0C5" w14:textId="77777777" w:rsidR="00B36A05" w:rsidRPr="001C0F84" w:rsidRDefault="00B36A05" w:rsidP="003D4A8B">
            <w:pPr>
              <w:pStyle w:val="Tablesmalltext"/>
              <w:jc w:val="center"/>
              <w:rPr>
                <w:rFonts w:eastAsia="Times New Roman"/>
                <w:lang w:val="en-AU" w:eastAsia="en-AU"/>
              </w:rPr>
            </w:pPr>
            <w:r>
              <w:t>600</w:t>
            </w:r>
          </w:p>
        </w:tc>
        <w:tc>
          <w:tcPr>
            <w:tcW w:w="1060" w:type="dxa"/>
          </w:tcPr>
          <w:p w14:paraId="2943B818" w14:textId="77777777" w:rsidR="00B36A05" w:rsidRPr="001C0F84" w:rsidRDefault="00B36A05" w:rsidP="003D4A8B">
            <w:pPr>
              <w:pStyle w:val="Tablesmalltext"/>
              <w:jc w:val="center"/>
              <w:rPr>
                <w:rFonts w:eastAsia="Times New Roman"/>
                <w:lang w:val="en-AU" w:eastAsia="en-AU"/>
              </w:rPr>
            </w:pPr>
            <w:r w:rsidRPr="00E10998">
              <w:t>15</w:t>
            </w:r>
          </w:p>
        </w:tc>
        <w:tc>
          <w:tcPr>
            <w:tcW w:w="1144" w:type="dxa"/>
          </w:tcPr>
          <w:p w14:paraId="25FA3462" w14:textId="77777777" w:rsidR="00B36A05" w:rsidRPr="001C0F84" w:rsidRDefault="00B36A05" w:rsidP="003D4A8B">
            <w:pPr>
              <w:pStyle w:val="Tablesmalltext"/>
              <w:jc w:val="center"/>
              <w:rPr>
                <w:rFonts w:eastAsia="Times New Roman"/>
                <w:lang w:val="en-AU" w:eastAsia="en-AU"/>
              </w:rPr>
            </w:pPr>
            <w:r>
              <w:t>Med</w:t>
            </w:r>
          </w:p>
        </w:tc>
        <w:tc>
          <w:tcPr>
            <w:tcW w:w="899" w:type="dxa"/>
          </w:tcPr>
          <w:p w14:paraId="0AB847E8"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tcPr>
          <w:p w14:paraId="5AAB3A83"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0E1D42F9" w14:textId="77777777" w:rsidTr="002B7966">
        <w:trPr>
          <w:trHeight w:val="240"/>
        </w:trPr>
        <w:tc>
          <w:tcPr>
            <w:tcW w:w="723" w:type="dxa"/>
            <w:shd w:val="clear" w:color="auto" w:fill="FFEBD0" w:themeFill="accent4" w:themeFillTint="33"/>
            <w:noWrap/>
            <w:vAlign w:val="center"/>
          </w:tcPr>
          <w:p w14:paraId="2D11B139" w14:textId="1F742EA3" w:rsidR="00B36A05" w:rsidRPr="00F22160" w:rsidRDefault="00B36A05" w:rsidP="00B36A05">
            <w:pPr>
              <w:pStyle w:val="Tablesmalltext"/>
              <w:jc w:val="center"/>
              <w:rPr>
                <w:vertAlign w:val="superscript"/>
              </w:rPr>
            </w:pPr>
            <w:r>
              <w:t>8</w:t>
            </w:r>
            <w:r w:rsidR="00F22160">
              <w:rPr>
                <w:vertAlign w:val="superscript"/>
              </w:rPr>
              <w:t>1</w:t>
            </w:r>
          </w:p>
        </w:tc>
        <w:tc>
          <w:tcPr>
            <w:tcW w:w="1485" w:type="dxa"/>
            <w:gridSpan w:val="3"/>
            <w:shd w:val="clear" w:color="auto" w:fill="FFEBD0" w:themeFill="accent4" w:themeFillTint="33"/>
          </w:tcPr>
          <w:p w14:paraId="1AC8A32A" w14:textId="77777777" w:rsidR="00B36A05" w:rsidRPr="001C0F84" w:rsidRDefault="00B36A05" w:rsidP="003D4A8B">
            <w:pPr>
              <w:pStyle w:val="Tablesmalltext"/>
              <w:rPr>
                <w:rFonts w:eastAsia="Times New Roman"/>
                <w:lang w:val="en-AU" w:eastAsia="en-AU"/>
              </w:rPr>
            </w:pPr>
            <w:r w:rsidRPr="00115D48">
              <w:t>457-501-0033</w:t>
            </w:r>
          </w:p>
        </w:tc>
        <w:tc>
          <w:tcPr>
            <w:tcW w:w="1663" w:type="dxa"/>
            <w:shd w:val="clear" w:color="auto" w:fill="FFEBD0" w:themeFill="accent4" w:themeFillTint="33"/>
          </w:tcPr>
          <w:p w14:paraId="1E28325D" w14:textId="77777777" w:rsidR="00B36A05" w:rsidRPr="001C0F84" w:rsidRDefault="00B36A05" w:rsidP="003D4A8B">
            <w:pPr>
              <w:pStyle w:val="Tablesmalltext"/>
              <w:rPr>
                <w:rFonts w:eastAsia="Times New Roman"/>
                <w:lang w:val="en-AU" w:eastAsia="en-AU"/>
              </w:rPr>
            </w:pPr>
            <w:r w:rsidRPr="00115D48">
              <w:t>Philadelphia</w:t>
            </w:r>
          </w:p>
        </w:tc>
        <w:tc>
          <w:tcPr>
            <w:tcW w:w="851" w:type="dxa"/>
            <w:shd w:val="clear" w:color="auto" w:fill="FFEBD0" w:themeFill="accent4" w:themeFillTint="33"/>
          </w:tcPr>
          <w:p w14:paraId="0720E4CB" w14:textId="77777777" w:rsidR="00B36A05" w:rsidRPr="001C0F84" w:rsidRDefault="00B36A05" w:rsidP="003D4A8B">
            <w:pPr>
              <w:pStyle w:val="Tablesmalltext"/>
              <w:jc w:val="center"/>
              <w:rPr>
                <w:rFonts w:eastAsia="Times New Roman"/>
                <w:lang w:val="en-AU" w:eastAsia="en-AU"/>
              </w:rPr>
            </w:pPr>
            <w:r w:rsidRPr="00A5081F">
              <w:t>CG</w:t>
            </w:r>
          </w:p>
        </w:tc>
        <w:tc>
          <w:tcPr>
            <w:tcW w:w="1498" w:type="dxa"/>
            <w:gridSpan w:val="2"/>
            <w:shd w:val="clear" w:color="auto" w:fill="FFEBD0" w:themeFill="accent4" w:themeFillTint="33"/>
          </w:tcPr>
          <w:p w14:paraId="13F5EC68"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shd w:val="clear" w:color="auto" w:fill="FFEBD0" w:themeFill="accent4" w:themeFillTint="33"/>
          </w:tcPr>
          <w:p w14:paraId="5C7B0F25" w14:textId="77777777" w:rsidR="00B36A05" w:rsidRPr="001C0F84" w:rsidRDefault="00B36A05" w:rsidP="003D4A8B">
            <w:pPr>
              <w:pStyle w:val="Tablesmalltext"/>
              <w:jc w:val="center"/>
              <w:rPr>
                <w:rFonts w:eastAsia="Times New Roman"/>
                <w:lang w:val="en-AU" w:eastAsia="en-AU"/>
              </w:rPr>
            </w:pPr>
            <w:r w:rsidRPr="00E44384">
              <w:t>13.34</w:t>
            </w:r>
          </w:p>
        </w:tc>
        <w:tc>
          <w:tcPr>
            <w:tcW w:w="1134" w:type="dxa"/>
            <w:shd w:val="clear" w:color="auto" w:fill="FFEBD0" w:themeFill="accent4" w:themeFillTint="33"/>
          </w:tcPr>
          <w:p w14:paraId="7800F593"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FFEBD0" w:themeFill="accent4" w:themeFillTint="33"/>
          </w:tcPr>
          <w:p w14:paraId="57DA0143"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92D050"/>
            <w:noWrap/>
          </w:tcPr>
          <w:p w14:paraId="616F40BA" w14:textId="4F701BBC" w:rsidR="00B36A05" w:rsidRPr="001C0F84" w:rsidRDefault="002B7966" w:rsidP="003D4A8B">
            <w:pPr>
              <w:pStyle w:val="Tablesmalltext"/>
              <w:jc w:val="center"/>
              <w:rPr>
                <w:rFonts w:eastAsia="Times New Roman"/>
                <w:lang w:val="en-AU" w:eastAsia="en-AU"/>
              </w:rPr>
            </w:pPr>
            <w:r>
              <w:t>&lt;50</w:t>
            </w:r>
          </w:p>
        </w:tc>
        <w:tc>
          <w:tcPr>
            <w:tcW w:w="1060" w:type="dxa"/>
            <w:shd w:val="clear" w:color="auto" w:fill="FFEBD0" w:themeFill="accent4" w:themeFillTint="33"/>
          </w:tcPr>
          <w:p w14:paraId="0413142A" w14:textId="77777777" w:rsidR="00B36A05" w:rsidRPr="001C0F84" w:rsidRDefault="00B36A05" w:rsidP="003D4A8B">
            <w:pPr>
              <w:pStyle w:val="Tablesmalltext"/>
              <w:jc w:val="center"/>
              <w:rPr>
                <w:rFonts w:eastAsia="Times New Roman"/>
                <w:lang w:val="en-AU" w:eastAsia="en-AU"/>
              </w:rPr>
            </w:pPr>
            <w:r w:rsidRPr="00E10998">
              <w:t>15</w:t>
            </w:r>
          </w:p>
        </w:tc>
        <w:tc>
          <w:tcPr>
            <w:tcW w:w="1144" w:type="dxa"/>
            <w:shd w:val="clear" w:color="auto" w:fill="FFEBD0" w:themeFill="accent4" w:themeFillTint="33"/>
          </w:tcPr>
          <w:p w14:paraId="6AF934A5" w14:textId="77777777" w:rsidR="00B36A05" w:rsidRPr="001C0F84" w:rsidRDefault="00B36A05" w:rsidP="003D4A8B">
            <w:pPr>
              <w:pStyle w:val="Tablesmalltext"/>
              <w:jc w:val="center"/>
              <w:rPr>
                <w:rFonts w:eastAsia="Times New Roman"/>
                <w:lang w:val="en-AU" w:eastAsia="en-AU"/>
              </w:rPr>
            </w:pPr>
            <w:r>
              <w:t>Low</w:t>
            </w:r>
          </w:p>
        </w:tc>
        <w:tc>
          <w:tcPr>
            <w:tcW w:w="899" w:type="dxa"/>
            <w:shd w:val="clear" w:color="auto" w:fill="FFEBD0" w:themeFill="accent4" w:themeFillTint="33"/>
          </w:tcPr>
          <w:p w14:paraId="75659047"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shd w:val="clear" w:color="auto" w:fill="FFEBD0" w:themeFill="accent4" w:themeFillTint="33"/>
          </w:tcPr>
          <w:p w14:paraId="545CFB30"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310B92" w14:paraId="0F767BAB" w14:textId="77777777" w:rsidTr="00B36A05">
        <w:trPr>
          <w:trHeight w:val="240"/>
        </w:trPr>
        <w:tc>
          <w:tcPr>
            <w:tcW w:w="723" w:type="dxa"/>
            <w:shd w:val="clear" w:color="auto" w:fill="FFEBD0" w:themeFill="accent4" w:themeFillTint="33"/>
            <w:noWrap/>
            <w:vAlign w:val="center"/>
          </w:tcPr>
          <w:p w14:paraId="139EF877" w14:textId="77777777" w:rsidR="00B36A05" w:rsidRDefault="00B36A05" w:rsidP="00B36A05">
            <w:pPr>
              <w:pStyle w:val="Tablesmalltext"/>
              <w:jc w:val="center"/>
            </w:pPr>
            <w:r>
              <w:t>9</w:t>
            </w:r>
          </w:p>
        </w:tc>
        <w:tc>
          <w:tcPr>
            <w:tcW w:w="1485" w:type="dxa"/>
            <w:gridSpan w:val="3"/>
            <w:shd w:val="clear" w:color="auto" w:fill="FFEBD0" w:themeFill="accent4" w:themeFillTint="33"/>
          </w:tcPr>
          <w:p w14:paraId="54AEB4F0" w14:textId="77777777" w:rsidR="00B36A05" w:rsidRPr="001C0F84" w:rsidRDefault="00B36A05" w:rsidP="003D4A8B">
            <w:pPr>
              <w:pStyle w:val="Tablesmalltext"/>
              <w:rPr>
                <w:rFonts w:eastAsia="Times New Roman"/>
                <w:lang w:val="en-AU" w:eastAsia="en-AU"/>
              </w:rPr>
            </w:pPr>
            <w:r w:rsidRPr="00115D48">
              <w:t>457-504-0009</w:t>
            </w:r>
          </w:p>
        </w:tc>
        <w:tc>
          <w:tcPr>
            <w:tcW w:w="1663" w:type="dxa"/>
            <w:shd w:val="clear" w:color="auto" w:fill="FFEBD0" w:themeFill="accent4" w:themeFillTint="33"/>
          </w:tcPr>
          <w:p w14:paraId="4D602E82" w14:textId="77777777" w:rsidR="00B36A05" w:rsidRPr="001C0F84" w:rsidRDefault="00B36A05" w:rsidP="003D4A8B">
            <w:pPr>
              <w:pStyle w:val="Tablesmalltext"/>
              <w:rPr>
                <w:rFonts w:eastAsia="Times New Roman"/>
                <w:lang w:val="en-AU" w:eastAsia="en-AU"/>
              </w:rPr>
            </w:pPr>
            <w:r w:rsidRPr="00115D48">
              <w:t>Quinn</w:t>
            </w:r>
          </w:p>
        </w:tc>
        <w:tc>
          <w:tcPr>
            <w:tcW w:w="851" w:type="dxa"/>
            <w:shd w:val="clear" w:color="auto" w:fill="FFEBD0" w:themeFill="accent4" w:themeFillTint="33"/>
          </w:tcPr>
          <w:p w14:paraId="7DE50A76" w14:textId="77777777" w:rsidR="00B36A05" w:rsidRPr="001C0F84" w:rsidRDefault="00B36A05" w:rsidP="003D4A8B">
            <w:pPr>
              <w:pStyle w:val="Tablesmalltext"/>
              <w:jc w:val="center"/>
              <w:rPr>
                <w:rFonts w:eastAsia="Times New Roman"/>
                <w:lang w:val="en-AU" w:eastAsia="en-AU"/>
              </w:rPr>
            </w:pPr>
            <w:r w:rsidRPr="00A5081F">
              <w:t>CG</w:t>
            </w:r>
          </w:p>
        </w:tc>
        <w:tc>
          <w:tcPr>
            <w:tcW w:w="1498" w:type="dxa"/>
            <w:gridSpan w:val="2"/>
            <w:shd w:val="clear" w:color="auto" w:fill="FFEBD0" w:themeFill="accent4" w:themeFillTint="33"/>
          </w:tcPr>
          <w:p w14:paraId="56CF5DE2"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shd w:val="clear" w:color="auto" w:fill="FFEBD0" w:themeFill="accent4" w:themeFillTint="33"/>
          </w:tcPr>
          <w:p w14:paraId="6C517B3E" w14:textId="77777777" w:rsidR="00B36A05" w:rsidRPr="001C0F84" w:rsidRDefault="00B36A05" w:rsidP="003D4A8B">
            <w:pPr>
              <w:pStyle w:val="Tablesmalltext"/>
              <w:jc w:val="center"/>
              <w:rPr>
                <w:rFonts w:eastAsia="Times New Roman"/>
                <w:lang w:val="en-AU" w:eastAsia="en-AU"/>
              </w:rPr>
            </w:pPr>
            <w:r w:rsidRPr="00E44384">
              <w:t>3.98</w:t>
            </w:r>
          </w:p>
        </w:tc>
        <w:tc>
          <w:tcPr>
            <w:tcW w:w="1134" w:type="dxa"/>
            <w:shd w:val="clear" w:color="auto" w:fill="FFEBD0" w:themeFill="accent4" w:themeFillTint="33"/>
          </w:tcPr>
          <w:p w14:paraId="0CF1F90E"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FFEBD0" w:themeFill="accent4" w:themeFillTint="33"/>
          </w:tcPr>
          <w:p w14:paraId="39EC478E"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FFEBD0" w:themeFill="accent4" w:themeFillTint="33"/>
            <w:noWrap/>
          </w:tcPr>
          <w:p w14:paraId="3881F8A4" w14:textId="77777777" w:rsidR="00B36A05" w:rsidRPr="001C0F84" w:rsidRDefault="00B36A05" w:rsidP="003D4A8B">
            <w:pPr>
              <w:pStyle w:val="Tablesmalltext"/>
              <w:jc w:val="center"/>
              <w:rPr>
                <w:rFonts w:eastAsia="Times New Roman"/>
                <w:lang w:val="en-AU" w:eastAsia="en-AU"/>
              </w:rPr>
            </w:pPr>
            <w:r w:rsidRPr="008E5D07">
              <w:t>3</w:t>
            </w:r>
            <w:r>
              <w:t>30</w:t>
            </w:r>
          </w:p>
        </w:tc>
        <w:tc>
          <w:tcPr>
            <w:tcW w:w="1060" w:type="dxa"/>
            <w:shd w:val="clear" w:color="auto" w:fill="FFEBD0" w:themeFill="accent4" w:themeFillTint="33"/>
          </w:tcPr>
          <w:p w14:paraId="6D2C6E30" w14:textId="77777777" w:rsidR="00B36A05" w:rsidRPr="001C0F84" w:rsidRDefault="00B36A05" w:rsidP="003D4A8B">
            <w:pPr>
              <w:pStyle w:val="Tablesmalltext"/>
              <w:jc w:val="center"/>
              <w:rPr>
                <w:rFonts w:eastAsia="Times New Roman"/>
                <w:lang w:val="en-AU" w:eastAsia="en-AU"/>
              </w:rPr>
            </w:pPr>
            <w:r w:rsidRPr="00E10998">
              <w:t>20</w:t>
            </w:r>
          </w:p>
        </w:tc>
        <w:tc>
          <w:tcPr>
            <w:tcW w:w="1144" w:type="dxa"/>
            <w:shd w:val="clear" w:color="auto" w:fill="FFEBD0" w:themeFill="accent4" w:themeFillTint="33"/>
          </w:tcPr>
          <w:p w14:paraId="5C8C13A2" w14:textId="77777777" w:rsidR="00B36A05" w:rsidRPr="001C0F84" w:rsidRDefault="00B36A05" w:rsidP="003D4A8B">
            <w:pPr>
              <w:pStyle w:val="Tablesmalltext"/>
              <w:jc w:val="center"/>
              <w:rPr>
                <w:rFonts w:eastAsia="Times New Roman"/>
                <w:lang w:val="en-AU" w:eastAsia="en-AU"/>
              </w:rPr>
            </w:pPr>
            <w:r>
              <w:t>Low</w:t>
            </w:r>
          </w:p>
        </w:tc>
        <w:tc>
          <w:tcPr>
            <w:tcW w:w="899" w:type="dxa"/>
            <w:shd w:val="clear" w:color="auto" w:fill="FFEBD0" w:themeFill="accent4" w:themeFillTint="33"/>
          </w:tcPr>
          <w:p w14:paraId="04DA12C9"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shd w:val="clear" w:color="auto" w:fill="FFEBD0" w:themeFill="accent4" w:themeFillTint="33"/>
          </w:tcPr>
          <w:p w14:paraId="3D0F4FD5" w14:textId="77777777" w:rsidR="00B36A05" w:rsidRPr="00310B92" w:rsidRDefault="00B36A05" w:rsidP="003D4A8B">
            <w:pPr>
              <w:pStyle w:val="Tablesmalltext"/>
              <w:jc w:val="center"/>
            </w:pPr>
            <w:r w:rsidRPr="00434F81">
              <w:t>Coupe</w:t>
            </w:r>
          </w:p>
        </w:tc>
      </w:tr>
      <w:tr w:rsidR="00B36A05" w:rsidRPr="001C0F84" w14:paraId="518F6C51" w14:textId="77777777" w:rsidTr="002B7966">
        <w:trPr>
          <w:trHeight w:val="240"/>
        </w:trPr>
        <w:tc>
          <w:tcPr>
            <w:tcW w:w="723" w:type="dxa"/>
            <w:shd w:val="clear" w:color="auto" w:fill="FFEBD0" w:themeFill="accent4" w:themeFillTint="33"/>
            <w:noWrap/>
            <w:vAlign w:val="center"/>
          </w:tcPr>
          <w:p w14:paraId="4F730811" w14:textId="77777777" w:rsidR="00B36A05" w:rsidRDefault="00B36A05" w:rsidP="00B36A05">
            <w:pPr>
              <w:pStyle w:val="Tablesmalltext"/>
              <w:jc w:val="center"/>
            </w:pPr>
            <w:r>
              <w:t>10</w:t>
            </w:r>
          </w:p>
        </w:tc>
        <w:tc>
          <w:tcPr>
            <w:tcW w:w="1485" w:type="dxa"/>
            <w:gridSpan w:val="3"/>
            <w:shd w:val="clear" w:color="auto" w:fill="FFEBD0" w:themeFill="accent4" w:themeFillTint="33"/>
          </w:tcPr>
          <w:p w14:paraId="0B094FD1" w14:textId="77777777" w:rsidR="00B36A05" w:rsidRPr="001C0F84" w:rsidRDefault="00B36A05" w:rsidP="003D4A8B">
            <w:pPr>
              <w:pStyle w:val="Tablesmalltext"/>
              <w:rPr>
                <w:rFonts w:eastAsia="Times New Roman"/>
                <w:lang w:val="en-AU" w:eastAsia="en-AU"/>
              </w:rPr>
            </w:pPr>
            <w:r w:rsidRPr="00115D48">
              <w:t>457-505-0009</w:t>
            </w:r>
          </w:p>
        </w:tc>
        <w:tc>
          <w:tcPr>
            <w:tcW w:w="1663" w:type="dxa"/>
            <w:shd w:val="clear" w:color="auto" w:fill="FFEBD0" w:themeFill="accent4" w:themeFillTint="33"/>
          </w:tcPr>
          <w:p w14:paraId="7F47BE05" w14:textId="77777777" w:rsidR="00B36A05" w:rsidRPr="001C0F84" w:rsidRDefault="00B36A05" w:rsidP="003D4A8B">
            <w:pPr>
              <w:pStyle w:val="Tablesmalltext"/>
              <w:rPr>
                <w:rFonts w:eastAsia="Times New Roman"/>
                <w:lang w:val="en-AU" w:eastAsia="en-AU"/>
              </w:rPr>
            </w:pPr>
            <w:r w:rsidRPr="00115D48">
              <w:t>Amity Island</w:t>
            </w:r>
          </w:p>
        </w:tc>
        <w:tc>
          <w:tcPr>
            <w:tcW w:w="851" w:type="dxa"/>
            <w:shd w:val="clear" w:color="auto" w:fill="FFEBD0" w:themeFill="accent4" w:themeFillTint="33"/>
          </w:tcPr>
          <w:p w14:paraId="7E51AF63" w14:textId="77777777" w:rsidR="00B36A05" w:rsidRPr="001C0F84" w:rsidRDefault="00B36A05" w:rsidP="003D4A8B">
            <w:pPr>
              <w:pStyle w:val="Tablesmalltext"/>
              <w:jc w:val="center"/>
              <w:rPr>
                <w:rFonts w:eastAsia="Times New Roman"/>
                <w:lang w:val="en-AU" w:eastAsia="en-AU"/>
              </w:rPr>
            </w:pPr>
            <w:r w:rsidRPr="00A5081F">
              <w:t>CG</w:t>
            </w:r>
          </w:p>
        </w:tc>
        <w:tc>
          <w:tcPr>
            <w:tcW w:w="1498" w:type="dxa"/>
            <w:gridSpan w:val="2"/>
            <w:shd w:val="clear" w:color="auto" w:fill="FFEBD0" w:themeFill="accent4" w:themeFillTint="33"/>
          </w:tcPr>
          <w:p w14:paraId="1EC2669F"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shd w:val="clear" w:color="auto" w:fill="FFEBD0" w:themeFill="accent4" w:themeFillTint="33"/>
          </w:tcPr>
          <w:p w14:paraId="22E7ACC4" w14:textId="77777777" w:rsidR="00B36A05" w:rsidRPr="001C0F84" w:rsidRDefault="00B36A05" w:rsidP="003D4A8B">
            <w:pPr>
              <w:pStyle w:val="Tablesmalltext"/>
              <w:jc w:val="center"/>
              <w:rPr>
                <w:rFonts w:eastAsia="Times New Roman"/>
                <w:lang w:val="en-AU" w:eastAsia="en-AU"/>
              </w:rPr>
            </w:pPr>
            <w:r w:rsidRPr="00E44384">
              <w:t>11.08</w:t>
            </w:r>
          </w:p>
        </w:tc>
        <w:tc>
          <w:tcPr>
            <w:tcW w:w="1134" w:type="dxa"/>
            <w:shd w:val="clear" w:color="auto" w:fill="FFEBD0" w:themeFill="accent4" w:themeFillTint="33"/>
          </w:tcPr>
          <w:p w14:paraId="2CDBAE3A"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FFEBD0" w:themeFill="accent4" w:themeFillTint="33"/>
          </w:tcPr>
          <w:p w14:paraId="02B7A471"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92D050"/>
            <w:noWrap/>
          </w:tcPr>
          <w:p w14:paraId="5A2C2D75" w14:textId="3F02B2A5" w:rsidR="00B36A05" w:rsidRPr="001C0F84" w:rsidRDefault="002B7966" w:rsidP="003D4A8B">
            <w:pPr>
              <w:pStyle w:val="Tablesmalltext"/>
              <w:jc w:val="center"/>
              <w:rPr>
                <w:rFonts w:eastAsia="Times New Roman"/>
                <w:lang w:val="en-AU" w:eastAsia="en-AU"/>
              </w:rPr>
            </w:pPr>
            <w:r>
              <w:t>&lt;50</w:t>
            </w:r>
          </w:p>
        </w:tc>
        <w:tc>
          <w:tcPr>
            <w:tcW w:w="1060" w:type="dxa"/>
            <w:shd w:val="clear" w:color="auto" w:fill="FFEBD0" w:themeFill="accent4" w:themeFillTint="33"/>
          </w:tcPr>
          <w:p w14:paraId="6BD8DA5D" w14:textId="77777777" w:rsidR="00B36A05" w:rsidRPr="001C0F84" w:rsidRDefault="00B36A05" w:rsidP="003D4A8B">
            <w:pPr>
              <w:pStyle w:val="Tablesmalltext"/>
              <w:jc w:val="center"/>
              <w:rPr>
                <w:rFonts w:eastAsia="Times New Roman"/>
                <w:lang w:val="en-AU" w:eastAsia="en-AU"/>
              </w:rPr>
            </w:pPr>
            <w:r w:rsidRPr="00E10998">
              <w:t>20</w:t>
            </w:r>
          </w:p>
        </w:tc>
        <w:tc>
          <w:tcPr>
            <w:tcW w:w="1144" w:type="dxa"/>
            <w:shd w:val="clear" w:color="auto" w:fill="FFEBD0" w:themeFill="accent4" w:themeFillTint="33"/>
          </w:tcPr>
          <w:p w14:paraId="793E1219" w14:textId="77777777" w:rsidR="00B36A05" w:rsidRPr="001C0F84" w:rsidRDefault="00B36A05" w:rsidP="003D4A8B">
            <w:pPr>
              <w:pStyle w:val="Tablesmalltext"/>
              <w:jc w:val="center"/>
              <w:rPr>
                <w:rFonts w:eastAsia="Times New Roman"/>
                <w:lang w:val="en-AU" w:eastAsia="en-AU"/>
              </w:rPr>
            </w:pPr>
            <w:r>
              <w:t>Med</w:t>
            </w:r>
          </w:p>
        </w:tc>
        <w:tc>
          <w:tcPr>
            <w:tcW w:w="899" w:type="dxa"/>
            <w:shd w:val="clear" w:color="auto" w:fill="FFEBD0" w:themeFill="accent4" w:themeFillTint="33"/>
          </w:tcPr>
          <w:p w14:paraId="5D495413"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shd w:val="clear" w:color="auto" w:fill="FFEBD0" w:themeFill="accent4" w:themeFillTint="33"/>
          </w:tcPr>
          <w:p w14:paraId="612B34A4"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327A6FAC" w14:textId="77777777" w:rsidTr="008D021D">
        <w:trPr>
          <w:trHeight w:val="240"/>
        </w:trPr>
        <w:tc>
          <w:tcPr>
            <w:tcW w:w="723" w:type="dxa"/>
            <w:shd w:val="clear" w:color="auto" w:fill="FFEBD0" w:themeFill="accent4" w:themeFillTint="33"/>
            <w:noWrap/>
            <w:vAlign w:val="center"/>
          </w:tcPr>
          <w:p w14:paraId="063B391E" w14:textId="77777777" w:rsidR="00B36A05" w:rsidRDefault="00B36A05" w:rsidP="00B36A05">
            <w:pPr>
              <w:pStyle w:val="Tablesmalltext"/>
              <w:jc w:val="center"/>
            </w:pPr>
            <w:r>
              <w:t>11</w:t>
            </w:r>
          </w:p>
        </w:tc>
        <w:tc>
          <w:tcPr>
            <w:tcW w:w="1485" w:type="dxa"/>
            <w:gridSpan w:val="3"/>
            <w:shd w:val="clear" w:color="auto" w:fill="FFEBD0" w:themeFill="accent4" w:themeFillTint="33"/>
          </w:tcPr>
          <w:p w14:paraId="290AF7A3" w14:textId="77777777" w:rsidR="00B36A05" w:rsidRPr="001C0F84" w:rsidRDefault="00B36A05" w:rsidP="003D4A8B">
            <w:pPr>
              <w:pStyle w:val="Tablesmalltext"/>
              <w:rPr>
                <w:rFonts w:eastAsia="Times New Roman"/>
                <w:lang w:val="en-AU" w:eastAsia="en-AU"/>
              </w:rPr>
            </w:pPr>
            <w:r w:rsidRPr="00115D48">
              <w:t>464-506-0018</w:t>
            </w:r>
          </w:p>
        </w:tc>
        <w:tc>
          <w:tcPr>
            <w:tcW w:w="1663" w:type="dxa"/>
            <w:shd w:val="clear" w:color="auto" w:fill="FFEBD0" w:themeFill="accent4" w:themeFillTint="33"/>
          </w:tcPr>
          <w:p w14:paraId="24CAE37C" w14:textId="77777777" w:rsidR="00B36A05" w:rsidRPr="001C0F84" w:rsidRDefault="00B36A05" w:rsidP="003D4A8B">
            <w:pPr>
              <w:pStyle w:val="Tablesmalltext"/>
              <w:rPr>
                <w:rFonts w:eastAsia="Times New Roman"/>
                <w:lang w:val="en-AU" w:eastAsia="en-AU"/>
              </w:rPr>
            </w:pPr>
            <w:r w:rsidRPr="00115D48">
              <w:t>Annex</w:t>
            </w:r>
          </w:p>
        </w:tc>
        <w:tc>
          <w:tcPr>
            <w:tcW w:w="851" w:type="dxa"/>
            <w:shd w:val="clear" w:color="auto" w:fill="FFEBD0" w:themeFill="accent4" w:themeFillTint="33"/>
          </w:tcPr>
          <w:p w14:paraId="1685D987" w14:textId="77777777" w:rsidR="00B36A05" w:rsidRPr="001C0F84" w:rsidRDefault="00B36A05" w:rsidP="003D4A8B">
            <w:pPr>
              <w:pStyle w:val="Tablesmalltext"/>
              <w:jc w:val="center"/>
              <w:rPr>
                <w:rFonts w:eastAsia="Times New Roman"/>
                <w:lang w:val="en-AU" w:eastAsia="en-AU"/>
              </w:rPr>
            </w:pPr>
            <w:r w:rsidRPr="00A5081F">
              <w:t>CG</w:t>
            </w:r>
          </w:p>
        </w:tc>
        <w:tc>
          <w:tcPr>
            <w:tcW w:w="1498" w:type="dxa"/>
            <w:gridSpan w:val="2"/>
            <w:shd w:val="clear" w:color="auto" w:fill="FFEBD0" w:themeFill="accent4" w:themeFillTint="33"/>
          </w:tcPr>
          <w:p w14:paraId="27F6BC7A" w14:textId="77777777" w:rsidR="00B36A05" w:rsidRPr="001C0F84" w:rsidRDefault="00B36A05" w:rsidP="003D4A8B">
            <w:pPr>
              <w:pStyle w:val="Tablesmalltext"/>
              <w:jc w:val="center"/>
              <w:rPr>
                <w:rFonts w:eastAsia="Times New Roman"/>
                <w:lang w:val="en-AU" w:eastAsia="en-AU"/>
              </w:rPr>
            </w:pPr>
            <w:r w:rsidRPr="009C03DD">
              <w:t>Active - Harvest</w:t>
            </w:r>
          </w:p>
        </w:tc>
        <w:tc>
          <w:tcPr>
            <w:tcW w:w="1195" w:type="dxa"/>
            <w:shd w:val="clear" w:color="auto" w:fill="FFEBD0" w:themeFill="accent4" w:themeFillTint="33"/>
          </w:tcPr>
          <w:p w14:paraId="3FA96325" w14:textId="77777777" w:rsidR="00B36A05" w:rsidRPr="001C0F84" w:rsidRDefault="00B36A05" w:rsidP="003D4A8B">
            <w:pPr>
              <w:pStyle w:val="Tablesmalltext"/>
              <w:jc w:val="center"/>
              <w:rPr>
                <w:rFonts w:eastAsia="Times New Roman"/>
                <w:lang w:val="en-AU" w:eastAsia="en-AU"/>
              </w:rPr>
            </w:pPr>
            <w:r w:rsidRPr="00E44384">
              <w:t>10.25</w:t>
            </w:r>
          </w:p>
        </w:tc>
        <w:tc>
          <w:tcPr>
            <w:tcW w:w="1134" w:type="dxa"/>
            <w:shd w:val="clear" w:color="auto" w:fill="FFC000"/>
          </w:tcPr>
          <w:p w14:paraId="604D5F93" w14:textId="28FB88EE" w:rsidR="00B36A05" w:rsidRPr="001C0F84" w:rsidRDefault="008D021D" w:rsidP="003D4A8B">
            <w:pPr>
              <w:pStyle w:val="Tablesmalltext"/>
              <w:jc w:val="center"/>
              <w:rPr>
                <w:rFonts w:eastAsia="Times New Roman"/>
                <w:lang w:val="en-AU" w:eastAsia="en-AU"/>
              </w:rPr>
            </w:pPr>
            <w:r>
              <w:t>No</w:t>
            </w:r>
          </w:p>
        </w:tc>
        <w:tc>
          <w:tcPr>
            <w:tcW w:w="992" w:type="dxa"/>
            <w:shd w:val="clear" w:color="auto" w:fill="FFEBD0" w:themeFill="accent4" w:themeFillTint="33"/>
          </w:tcPr>
          <w:p w14:paraId="13588224"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FFEBD0" w:themeFill="accent4" w:themeFillTint="33"/>
            <w:noWrap/>
          </w:tcPr>
          <w:p w14:paraId="45855C98" w14:textId="77777777" w:rsidR="00B36A05" w:rsidRPr="001C0F84" w:rsidRDefault="00B36A05" w:rsidP="003D4A8B">
            <w:pPr>
              <w:pStyle w:val="Tablesmalltext"/>
              <w:jc w:val="center"/>
              <w:rPr>
                <w:rFonts w:eastAsia="Times New Roman"/>
                <w:lang w:val="en-AU" w:eastAsia="en-AU"/>
              </w:rPr>
            </w:pPr>
            <w:r w:rsidRPr="008E5D07">
              <w:t>1</w:t>
            </w:r>
            <w:r>
              <w:t>00</w:t>
            </w:r>
          </w:p>
        </w:tc>
        <w:tc>
          <w:tcPr>
            <w:tcW w:w="1060" w:type="dxa"/>
            <w:shd w:val="clear" w:color="auto" w:fill="FFEBD0" w:themeFill="accent4" w:themeFillTint="33"/>
          </w:tcPr>
          <w:p w14:paraId="283E11EE" w14:textId="77777777" w:rsidR="00B36A05" w:rsidRPr="001C0F84" w:rsidRDefault="00B36A05" w:rsidP="003D4A8B">
            <w:pPr>
              <w:pStyle w:val="Tablesmalltext"/>
              <w:jc w:val="center"/>
              <w:rPr>
                <w:rFonts w:eastAsia="Times New Roman"/>
                <w:lang w:val="en-AU" w:eastAsia="en-AU"/>
              </w:rPr>
            </w:pPr>
            <w:r w:rsidRPr="00E10998">
              <w:t>15</w:t>
            </w:r>
          </w:p>
        </w:tc>
        <w:tc>
          <w:tcPr>
            <w:tcW w:w="1144" w:type="dxa"/>
            <w:shd w:val="clear" w:color="auto" w:fill="FFEBD0" w:themeFill="accent4" w:themeFillTint="33"/>
          </w:tcPr>
          <w:p w14:paraId="7042A1B6" w14:textId="77777777" w:rsidR="00B36A05" w:rsidRPr="001C0F84" w:rsidRDefault="00B36A05" w:rsidP="003D4A8B">
            <w:pPr>
              <w:pStyle w:val="Tablesmalltext"/>
              <w:jc w:val="center"/>
              <w:rPr>
                <w:rFonts w:eastAsia="Times New Roman"/>
                <w:lang w:val="en-AU" w:eastAsia="en-AU"/>
              </w:rPr>
            </w:pPr>
            <w:r>
              <w:t>Med</w:t>
            </w:r>
          </w:p>
        </w:tc>
        <w:tc>
          <w:tcPr>
            <w:tcW w:w="899" w:type="dxa"/>
            <w:shd w:val="clear" w:color="auto" w:fill="FFEBD0" w:themeFill="accent4" w:themeFillTint="33"/>
          </w:tcPr>
          <w:p w14:paraId="4742C38B"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shd w:val="clear" w:color="auto" w:fill="FFEBD0" w:themeFill="accent4" w:themeFillTint="33"/>
          </w:tcPr>
          <w:p w14:paraId="67549239" w14:textId="77777777" w:rsidR="00B36A05" w:rsidRPr="001C0F84" w:rsidRDefault="00B36A05" w:rsidP="003D4A8B">
            <w:pPr>
              <w:pStyle w:val="Tablesmalltext"/>
              <w:jc w:val="center"/>
              <w:rPr>
                <w:rFonts w:eastAsia="Times New Roman"/>
                <w:lang w:val="en-AU" w:eastAsia="en-AU"/>
              </w:rPr>
            </w:pPr>
            <w:r w:rsidRPr="00434F81">
              <w:t>Coupe</w:t>
            </w:r>
          </w:p>
        </w:tc>
      </w:tr>
      <w:tr w:rsidR="00B36A05" w:rsidRPr="001C0F84" w14:paraId="132CA5B4" w14:textId="77777777" w:rsidTr="008D021D">
        <w:trPr>
          <w:trHeight w:val="240"/>
        </w:trPr>
        <w:tc>
          <w:tcPr>
            <w:tcW w:w="723" w:type="dxa"/>
            <w:shd w:val="clear" w:color="auto" w:fill="auto"/>
            <w:noWrap/>
            <w:vAlign w:val="center"/>
          </w:tcPr>
          <w:p w14:paraId="1E1AE098" w14:textId="77777777" w:rsidR="00B36A05" w:rsidRDefault="00B36A05" w:rsidP="00B36A05">
            <w:pPr>
              <w:pStyle w:val="Tablesmalltext"/>
              <w:jc w:val="center"/>
            </w:pPr>
            <w:r w:rsidRPr="00946C84">
              <w:t>12</w:t>
            </w:r>
          </w:p>
        </w:tc>
        <w:tc>
          <w:tcPr>
            <w:tcW w:w="1485" w:type="dxa"/>
            <w:gridSpan w:val="3"/>
            <w:shd w:val="clear" w:color="auto" w:fill="auto"/>
          </w:tcPr>
          <w:p w14:paraId="0826E929" w14:textId="77777777" w:rsidR="00B36A05" w:rsidRPr="001C0F84" w:rsidRDefault="00B36A05" w:rsidP="003D4A8B">
            <w:pPr>
              <w:pStyle w:val="Tablesmalltext"/>
              <w:rPr>
                <w:rFonts w:eastAsia="Times New Roman"/>
                <w:lang w:val="en-AU" w:eastAsia="en-AU"/>
              </w:rPr>
            </w:pPr>
            <w:r w:rsidRPr="00115D48">
              <w:t>484-501-0043</w:t>
            </w:r>
          </w:p>
        </w:tc>
        <w:tc>
          <w:tcPr>
            <w:tcW w:w="1663" w:type="dxa"/>
            <w:shd w:val="clear" w:color="auto" w:fill="auto"/>
          </w:tcPr>
          <w:p w14:paraId="57CB7760" w14:textId="77777777" w:rsidR="00B36A05" w:rsidRPr="001C0F84" w:rsidRDefault="00B36A05" w:rsidP="003D4A8B">
            <w:pPr>
              <w:pStyle w:val="Tablesmalltext"/>
              <w:rPr>
                <w:rFonts w:eastAsia="Times New Roman"/>
                <w:lang w:val="en-AU" w:eastAsia="en-AU"/>
              </w:rPr>
            </w:pPr>
            <w:r w:rsidRPr="00115D48">
              <w:t>Puerile</w:t>
            </w:r>
          </w:p>
        </w:tc>
        <w:tc>
          <w:tcPr>
            <w:tcW w:w="851" w:type="dxa"/>
            <w:shd w:val="clear" w:color="auto" w:fill="auto"/>
          </w:tcPr>
          <w:p w14:paraId="33AF8188" w14:textId="77777777" w:rsidR="00B36A05" w:rsidRPr="001C0F84" w:rsidRDefault="00B36A05" w:rsidP="003D4A8B">
            <w:pPr>
              <w:pStyle w:val="Tablesmalltext"/>
              <w:jc w:val="center"/>
              <w:rPr>
                <w:rFonts w:eastAsia="Times New Roman"/>
                <w:lang w:val="en-AU" w:eastAsia="en-AU"/>
              </w:rPr>
            </w:pPr>
            <w:r w:rsidRPr="00A5081F">
              <w:t>CG</w:t>
            </w:r>
          </w:p>
        </w:tc>
        <w:tc>
          <w:tcPr>
            <w:tcW w:w="1498" w:type="dxa"/>
            <w:gridSpan w:val="2"/>
            <w:shd w:val="clear" w:color="auto" w:fill="auto"/>
          </w:tcPr>
          <w:p w14:paraId="6F090835" w14:textId="77777777" w:rsidR="00B36A05" w:rsidRPr="001C0F84" w:rsidRDefault="00B36A05" w:rsidP="003D4A8B">
            <w:pPr>
              <w:pStyle w:val="Tablesmalltext"/>
              <w:jc w:val="center"/>
              <w:rPr>
                <w:rFonts w:eastAsia="Times New Roman"/>
                <w:lang w:val="en-AU" w:eastAsia="en-AU"/>
              </w:rPr>
            </w:pPr>
            <w:r w:rsidRPr="009C03DD">
              <w:t>Regenerating</w:t>
            </w:r>
          </w:p>
        </w:tc>
        <w:tc>
          <w:tcPr>
            <w:tcW w:w="1195" w:type="dxa"/>
            <w:shd w:val="clear" w:color="auto" w:fill="auto"/>
          </w:tcPr>
          <w:p w14:paraId="488CD63C" w14:textId="77777777" w:rsidR="00B36A05" w:rsidRPr="001C0F84" w:rsidRDefault="00B36A05" w:rsidP="003D4A8B">
            <w:pPr>
              <w:pStyle w:val="Tablesmalltext"/>
              <w:jc w:val="center"/>
              <w:rPr>
                <w:rFonts w:eastAsia="Times New Roman"/>
                <w:lang w:val="en-AU" w:eastAsia="en-AU"/>
              </w:rPr>
            </w:pPr>
            <w:r w:rsidRPr="00E44384">
              <w:t>5.91</w:t>
            </w:r>
          </w:p>
        </w:tc>
        <w:tc>
          <w:tcPr>
            <w:tcW w:w="1134" w:type="dxa"/>
            <w:shd w:val="clear" w:color="auto" w:fill="auto"/>
          </w:tcPr>
          <w:p w14:paraId="5E0394BC"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FFC000"/>
          </w:tcPr>
          <w:p w14:paraId="4A6DE170" w14:textId="77777777" w:rsidR="00B36A05" w:rsidRPr="001C0F84" w:rsidRDefault="00B36A05" w:rsidP="003D4A8B">
            <w:pPr>
              <w:pStyle w:val="Tablesmalltext"/>
              <w:jc w:val="center"/>
              <w:rPr>
                <w:rFonts w:eastAsia="Times New Roman"/>
                <w:lang w:val="en-AU" w:eastAsia="en-AU"/>
              </w:rPr>
            </w:pPr>
            <w:r>
              <w:t>Yes</w:t>
            </w:r>
          </w:p>
        </w:tc>
        <w:tc>
          <w:tcPr>
            <w:tcW w:w="993" w:type="dxa"/>
            <w:shd w:val="clear" w:color="auto" w:fill="auto"/>
            <w:noWrap/>
          </w:tcPr>
          <w:p w14:paraId="746E6A2A" w14:textId="77777777" w:rsidR="00B36A05" w:rsidRPr="001C0F84" w:rsidRDefault="00B36A05" w:rsidP="003D4A8B">
            <w:pPr>
              <w:pStyle w:val="Tablesmalltext"/>
              <w:jc w:val="center"/>
              <w:rPr>
                <w:rFonts w:eastAsia="Times New Roman"/>
                <w:lang w:val="en-AU" w:eastAsia="en-AU"/>
              </w:rPr>
            </w:pPr>
            <w:r>
              <w:t>400</w:t>
            </w:r>
          </w:p>
        </w:tc>
        <w:tc>
          <w:tcPr>
            <w:tcW w:w="1060" w:type="dxa"/>
            <w:shd w:val="clear" w:color="auto" w:fill="auto"/>
          </w:tcPr>
          <w:p w14:paraId="4AEBBD5A" w14:textId="77777777" w:rsidR="00B36A05" w:rsidRPr="001C0F84" w:rsidRDefault="00B36A05" w:rsidP="003D4A8B">
            <w:pPr>
              <w:pStyle w:val="Tablesmalltext"/>
              <w:jc w:val="center"/>
              <w:rPr>
                <w:rFonts w:eastAsia="Times New Roman"/>
                <w:lang w:val="en-AU" w:eastAsia="en-AU"/>
              </w:rPr>
            </w:pPr>
            <w:r w:rsidRPr="00E10998">
              <w:t>15</w:t>
            </w:r>
          </w:p>
        </w:tc>
        <w:tc>
          <w:tcPr>
            <w:tcW w:w="1144" w:type="dxa"/>
            <w:shd w:val="clear" w:color="auto" w:fill="auto"/>
          </w:tcPr>
          <w:p w14:paraId="50CBF558" w14:textId="77777777" w:rsidR="00B36A05" w:rsidRPr="001C0F84" w:rsidRDefault="00B36A05" w:rsidP="003D4A8B">
            <w:pPr>
              <w:pStyle w:val="Tablesmalltext"/>
              <w:jc w:val="center"/>
              <w:rPr>
                <w:rFonts w:eastAsia="Times New Roman"/>
                <w:lang w:val="en-AU" w:eastAsia="en-AU"/>
              </w:rPr>
            </w:pPr>
            <w:r>
              <w:t>Low</w:t>
            </w:r>
          </w:p>
        </w:tc>
        <w:tc>
          <w:tcPr>
            <w:tcW w:w="899" w:type="dxa"/>
            <w:shd w:val="clear" w:color="auto" w:fill="auto"/>
          </w:tcPr>
          <w:p w14:paraId="3B900E08" w14:textId="77777777" w:rsidR="00B36A05" w:rsidRPr="001C0F84" w:rsidRDefault="00B36A05" w:rsidP="003D4A8B">
            <w:pPr>
              <w:pStyle w:val="Tablesmalltext"/>
              <w:jc w:val="center"/>
              <w:rPr>
                <w:rFonts w:eastAsia="Times New Roman"/>
                <w:lang w:val="en-AU" w:eastAsia="en-AU"/>
              </w:rPr>
            </w:pPr>
            <w:r w:rsidRPr="00E60CD7">
              <w:t>Yes</w:t>
            </w:r>
          </w:p>
        </w:tc>
        <w:tc>
          <w:tcPr>
            <w:tcW w:w="1144" w:type="dxa"/>
            <w:shd w:val="clear" w:color="auto" w:fill="auto"/>
          </w:tcPr>
          <w:p w14:paraId="20771350" w14:textId="77777777" w:rsidR="00B36A05" w:rsidRPr="001C0F84" w:rsidRDefault="00B36A05" w:rsidP="003D4A8B">
            <w:pPr>
              <w:pStyle w:val="Tablesmalltext"/>
              <w:jc w:val="center"/>
              <w:rPr>
                <w:rFonts w:eastAsia="Times New Roman"/>
                <w:lang w:val="en-AU" w:eastAsia="en-AU"/>
              </w:rPr>
            </w:pPr>
            <w:r w:rsidRPr="00434F81">
              <w:t>Coupe</w:t>
            </w:r>
          </w:p>
        </w:tc>
      </w:tr>
      <w:tr w:rsidR="00FE3FF2" w:rsidRPr="001C0F84" w14:paraId="27739964" w14:textId="77777777" w:rsidTr="003D4A8B">
        <w:trPr>
          <w:trHeight w:val="240"/>
        </w:trPr>
        <w:tc>
          <w:tcPr>
            <w:tcW w:w="4722" w:type="dxa"/>
            <w:gridSpan w:val="6"/>
            <w:shd w:val="clear" w:color="auto" w:fill="D9D9D9" w:themeFill="background1" w:themeFillShade="D9"/>
            <w:noWrap/>
            <w:hideMark/>
          </w:tcPr>
          <w:p w14:paraId="5A85379E" w14:textId="00422AF9" w:rsidR="00FE3FF2" w:rsidRPr="001C0F84" w:rsidRDefault="00FE3FF2" w:rsidP="003D4A8B">
            <w:pPr>
              <w:pStyle w:val="Tablesmalltext"/>
              <w:rPr>
                <w:rFonts w:eastAsia="Times New Roman"/>
                <w:lang w:val="en-AU" w:eastAsia="en-AU"/>
              </w:rPr>
            </w:pPr>
            <w:r>
              <w:rPr>
                <w:rFonts w:eastAsia="Times New Roman"/>
                <w:b/>
                <w:lang w:val="en-AU" w:eastAsia="en-AU"/>
              </w:rPr>
              <w:t>North East RFA area and FMA</w:t>
            </w:r>
          </w:p>
        </w:tc>
        <w:tc>
          <w:tcPr>
            <w:tcW w:w="1491" w:type="dxa"/>
            <w:shd w:val="clear" w:color="auto" w:fill="D9D9D9" w:themeFill="background1" w:themeFillShade="D9"/>
            <w:vAlign w:val="center"/>
            <w:hideMark/>
          </w:tcPr>
          <w:p w14:paraId="43B38D2D" w14:textId="77777777" w:rsidR="00FE3FF2" w:rsidRPr="001C0F84" w:rsidRDefault="00FE3FF2" w:rsidP="003D4A8B">
            <w:pPr>
              <w:pStyle w:val="Tablesmalltext"/>
              <w:rPr>
                <w:rFonts w:eastAsia="Times New Roman"/>
                <w:lang w:val="en-AU" w:eastAsia="en-AU"/>
              </w:rPr>
            </w:pPr>
          </w:p>
        </w:tc>
        <w:tc>
          <w:tcPr>
            <w:tcW w:w="1202" w:type="dxa"/>
            <w:gridSpan w:val="2"/>
            <w:shd w:val="clear" w:color="auto" w:fill="D9D9D9" w:themeFill="background1" w:themeFillShade="D9"/>
          </w:tcPr>
          <w:p w14:paraId="5A3BDCF3" w14:textId="77777777" w:rsidR="00FE3FF2" w:rsidRPr="001C0F84" w:rsidRDefault="00FE3FF2" w:rsidP="003D4A8B">
            <w:pPr>
              <w:pStyle w:val="Tablesmalltext"/>
              <w:rPr>
                <w:rFonts w:eastAsia="Times New Roman"/>
                <w:lang w:val="en-AU" w:eastAsia="en-AU"/>
              </w:rPr>
            </w:pPr>
          </w:p>
        </w:tc>
        <w:tc>
          <w:tcPr>
            <w:tcW w:w="1134" w:type="dxa"/>
            <w:shd w:val="clear" w:color="auto" w:fill="D9D9D9" w:themeFill="background1" w:themeFillShade="D9"/>
            <w:vAlign w:val="center"/>
            <w:hideMark/>
          </w:tcPr>
          <w:p w14:paraId="45983BCE" w14:textId="77777777" w:rsidR="00FE3FF2" w:rsidRPr="001C0F84" w:rsidRDefault="00FE3FF2" w:rsidP="003D4A8B">
            <w:pPr>
              <w:pStyle w:val="Tablesmalltext"/>
              <w:rPr>
                <w:rFonts w:eastAsia="Times New Roman"/>
                <w:lang w:val="en-AU" w:eastAsia="en-AU"/>
              </w:rPr>
            </w:pPr>
          </w:p>
        </w:tc>
        <w:tc>
          <w:tcPr>
            <w:tcW w:w="992" w:type="dxa"/>
            <w:shd w:val="clear" w:color="auto" w:fill="D9D9D9" w:themeFill="background1" w:themeFillShade="D9"/>
            <w:vAlign w:val="center"/>
            <w:hideMark/>
          </w:tcPr>
          <w:p w14:paraId="7C3B2C64" w14:textId="77777777" w:rsidR="00FE3FF2" w:rsidRPr="001C0F84" w:rsidRDefault="00FE3FF2" w:rsidP="003D4A8B">
            <w:pPr>
              <w:pStyle w:val="Tablesmalltext"/>
              <w:jc w:val="center"/>
              <w:rPr>
                <w:rFonts w:eastAsia="Times New Roman"/>
                <w:lang w:val="en-AU" w:eastAsia="en-AU"/>
              </w:rPr>
            </w:pPr>
          </w:p>
        </w:tc>
        <w:tc>
          <w:tcPr>
            <w:tcW w:w="993" w:type="dxa"/>
            <w:shd w:val="clear" w:color="auto" w:fill="D9D9D9" w:themeFill="background1" w:themeFillShade="D9"/>
            <w:vAlign w:val="center"/>
            <w:hideMark/>
          </w:tcPr>
          <w:p w14:paraId="05230160" w14:textId="77777777" w:rsidR="00FE3FF2" w:rsidRPr="001C0F84" w:rsidRDefault="00FE3FF2" w:rsidP="003D4A8B">
            <w:pPr>
              <w:pStyle w:val="Tablesmalltext"/>
              <w:jc w:val="center"/>
              <w:rPr>
                <w:rFonts w:eastAsia="Times New Roman"/>
                <w:lang w:val="en-AU" w:eastAsia="en-AU"/>
              </w:rPr>
            </w:pPr>
          </w:p>
        </w:tc>
        <w:tc>
          <w:tcPr>
            <w:tcW w:w="1060" w:type="dxa"/>
            <w:shd w:val="clear" w:color="auto" w:fill="D9D9D9" w:themeFill="background1" w:themeFillShade="D9"/>
          </w:tcPr>
          <w:p w14:paraId="2AF87BE5" w14:textId="77777777" w:rsidR="00FE3FF2" w:rsidRPr="001C0F84" w:rsidRDefault="00FE3FF2" w:rsidP="003D4A8B">
            <w:pPr>
              <w:pStyle w:val="Tablesmalltext"/>
              <w:jc w:val="center"/>
              <w:rPr>
                <w:rFonts w:eastAsia="Times New Roman"/>
                <w:lang w:val="en-AU" w:eastAsia="en-AU"/>
              </w:rPr>
            </w:pPr>
          </w:p>
        </w:tc>
        <w:tc>
          <w:tcPr>
            <w:tcW w:w="1144" w:type="dxa"/>
            <w:shd w:val="clear" w:color="auto" w:fill="D9D9D9" w:themeFill="background1" w:themeFillShade="D9"/>
          </w:tcPr>
          <w:p w14:paraId="19B5C6A0" w14:textId="77777777" w:rsidR="00FE3FF2" w:rsidRPr="001C0F84" w:rsidRDefault="00FE3FF2" w:rsidP="003D4A8B">
            <w:pPr>
              <w:pStyle w:val="Tablesmalltext"/>
              <w:jc w:val="center"/>
              <w:rPr>
                <w:rFonts w:eastAsia="Times New Roman"/>
                <w:lang w:val="en-AU" w:eastAsia="en-AU"/>
              </w:rPr>
            </w:pPr>
          </w:p>
        </w:tc>
        <w:tc>
          <w:tcPr>
            <w:tcW w:w="899" w:type="dxa"/>
            <w:shd w:val="clear" w:color="auto" w:fill="D9D9D9" w:themeFill="background1" w:themeFillShade="D9"/>
          </w:tcPr>
          <w:p w14:paraId="6D91B812" w14:textId="77777777" w:rsidR="00FE3FF2" w:rsidRPr="001C0F84" w:rsidRDefault="00FE3FF2" w:rsidP="003D4A8B">
            <w:pPr>
              <w:pStyle w:val="Tablesmalltext"/>
              <w:jc w:val="center"/>
              <w:rPr>
                <w:rFonts w:eastAsia="Times New Roman"/>
                <w:lang w:val="en-AU" w:eastAsia="en-AU"/>
              </w:rPr>
            </w:pPr>
          </w:p>
        </w:tc>
        <w:tc>
          <w:tcPr>
            <w:tcW w:w="1144" w:type="dxa"/>
            <w:shd w:val="clear" w:color="auto" w:fill="D9D9D9" w:themeFill="background1" w:themeFillShade="D9"/>
          </w:tcPr>
          <w:p w14:paraId="0A4F837A" w14:textId="77777777" w:rsidR="00FE3FF2" w:rsidRPr="001C0F84" w:rsidRDefault="00FE3FF2" w:rsidP="003D4A8B">
            <w:pPr>
              <w:pStyle w:val="Tablesmalltext"/>
              <w:jc w:val="center"/>
              <w:rPr>
                <w:rFonts w:eastAsia="Times New Roman"/>
                <w:lang w:val="en-AU" w:eastAsia="en-AU"/>
              </w:rPr>
            </w:pPr>
          </w:p>
        </w:tc>
      </w:tr>
      <w:tr w:rsidR="00B36A05" w:rsidRPr="001C0F84" w14:paraId="782C301C" w14:textId="77777777" w:rsidTr="002B7966">
        <w:trPr>
          <w:trHeight w:val="240"/>
        </w:trPr>
        <w:tc>
          <w:tcPr>
            <w:tcW w:w="753" w:type="dxa"/>
            <w:gridSpan w:val="2"/>
            <w:shd w:val="clear" w:color="auto" w:fill="auto"/>
            <w:noWrap/>
            <w:vAlign w:val="center"/>
          </w:tcPr>
          <w:p w14:paraId="18D06267" w14:textId="77777777" w:rsidR="00B36A05" w:rsidRDefault="00B36A05" w:rsidP="00B36A05">
            <w:pPr>
              <w:pStyle w:val="Tablesmalltext"/>
              <w:jc w:val="center"/>
            </w:pPr>
            <w:r>
              <w:t>13</w:t>
            </w:r>
          </w:p>
        </w:tc>
        <w:tc>
          <w:tcPr>
            <w:tcW w:w="1455" w:type="dxa"/>
            <w:gridSpan w:val="2"/>
            <w:shd w:val="clear" w:color="auto" w:fill="auto"/>
          </w:tcPr>
          <w:p w14:paraId="0D5BD16D" w14:textId="77777777" w:rsidR="00B36A05" w:rsidRPr="001C0F84" w:rsidRDefault="00B36A05" w:rsidP="003D4A8B">
            <w:pPr>
              <w:pStyle w:val="Tablesmalltext"/>
              <w:rPr>
                <w:rFonts w:eastAsia="Times New Roman"/>
                <w:lang w:val="en-AU" w:eastAsia="en-AU"/>
              </w:rPr>
            </w:pPr>
            <w:r w:rsidRPr="00C648CD">
              <w:t>676-520-0004</w:t>
            </w:r>
          </w:p>
        </w:tc>
        <w:tc>
          <w:tcPr>
            <w:tcW w:w="1663" w:type="dxa"/>
            <w:shd w:val="clear" w:color="auto" w:fill="auto"/>
          </w:tcPr>
          <w:p w14:paraId="167E0B6E" w14:textId="77777777" w:rsidR="00B36A05" w:rsidRPr="001C0F84" w:rsidRDefault="00B36A05" w:rsidP="003D4A8B">
            <w:pPr>
              <w:pStyle w:val="Tablesmalltext"/>
              <w:rPr>
                <w:rFonts w:eastAsia="Times New Roman"/>
                <w:lang w:val="en-AU" w:eastAsia="en-AU"/>
              </w:rPr>
            </w:pPr>
            <w:r w:rsidRPr="00C648CD">
              <w:t>Jandles</w:t>
            </w:r>
          </w:p>
        </w:tc>
        <w:tc>
          <w:tcPr>
            <w:tcW w:w="851" w:type="dxa"/>
          </w:tcPr>
          <w:p w14:paraId="7C8943B7" w14:textId="77777777" w:rsidR="00B36A05" w:rsidRPr="001C0F84" w:rsidRDefault="00B36A05" w:rsidP="003D4A8B">
            <w:pPr>
              <w:pStyle w:val="Tablesmalltext"/>
              <w:jc w:val="center"/>
              <w:rPr>
                <w:rFonts w:eastAsia="Times New Roman"/>
                <w:lang w:val="en-AU" w:eastAsia="en-AU"/>
              </w:rPr>
            </w:pPr>
            <w:r w:rsidRPr="000D278A">
              <w:t>NE</w:t>
            </w:r>
          </w:p>
        </w:tc>
        <w:tc>
          <w:tcPr>
            <w:tcW w:w="1498" w:type="dxa"/>
            <w:gridSpan w:val="2"/>
            <w:shd w:val="clear" w:color="auto" w:fill="auto"/>
          </w:tcPr>
          <w:p w14:paraId="38F7ABA2" w14:textId="77777777" w:rsidR="00B36A05" w:rsidRPr="001C0F84" w:rsidRDefault="00B36A05" w:rsidP="003D4A8B">
            <w:pPr>
              <w:pStyle w:val="Tablesmalltext"/>
              <w:jc w:val="center"/>
              <w:rPr>
                <w:rFonts w:eastAsia="Times New Roman"/>
                <w:lang w:val="en-AU" w:eastAsia="en-AU"/>
              </w:rPr>
            </w:pPr>
            <w:r w:rsidRPr="0011478C">
              <w:t>Active - Harvest</w:t>
            </w:r>
          </w:p>
        </w:tc>
        <w:tc>
          <w:tcPr>
            <w:tcW w:w="1195" w:type="dxa"/>
          </w:tcPr>
          <w:p w14:paraId="10802BEA" w14:textId="77777777" w:rsidR="00B36A05" w:rsidRPr="001C0F84" w:rsidRDefault="00B36A05" w:rsidP="003D4A8B">
            <w:pPr>
              <w:pStyle w:val="Tablesmalltext"/>
              <w:jc w:val="center"/>
              <w:rPr>
                <w:rFonts w:eastAsia="Times New Roman"/>
                <w:lang w:val="en-AU" w:eastAsia="en-AU"/>
              </w:rPr>
            </w:pPr>
            <w:r w:rsidRPr="00C26C2B">
              <w:t>5.39</w:t>
            </w:r>
          </w:p>
        </w:tc>
        <w:tc>
          <w:tcPr>
            <w:tcW w:w="1134" w:type="dxa"/>
            <w:shd w:val="clear" w:color="auto" w:fill="auto"/>
          </w:tcPr>
          <w:p w14:paraId="20215D1E" w14:textId="77777777" w:rsidR="00B36A05" w:rsidRPr="001C0F84" w:rsidRDefault="00B36A05" w:rsidP="003D4A8B">
            <w:pPr>
              <w:pStyle w:val="Tablesmalltext"/>
              <w:jc w:val="center"/>
              <w:rPr>
                <w:rFonts w:eastAsia="Times New Roman"/>
                <w:lang w:val="en-AU" w:eastAsia="en-AU"/>
              </w:rPr>
            </w:pPr>
            <w:r>
              <w:t>No</w:t>
            </w:r>
          </w:p>
        </w:tc>
        <w:tc>
          <w:tcPr>
            <w:tcW w:w="992" w:type="dxa"/>
            <w:shd w:val="clear" w:color="auto" w:fill="auto"/>
          </w:tcPr>
          <w:p w14:paraId="3AFE08B6"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92D050"/>
            <w:noWrap/>
          </w:tcPr>
          <w:p w14:paraId="3EA10C87" w14:textId="4DA331AE" w:rsidR="00B36A05" w:rsidRPr="001C0F84" w:rsidRDefault="002B7966" w:rsidP="003D4A8B">
            <w:pPr>
              <w:pStyle w:val="Tablesmalltext"/>
              <w:jc w:val="center"/>
              <w:rPr>
                <w:rFonts w:eastAsia="Times New Roman"/>
                <w:lang w:val="en-AU" w:eastAsia="en-AU"/>
              </w:rPr>
            </w:pPr>
            <w:r>
              <w:t>&lt;50</w:t>
            </w:r>
          </w:p>
        </w:tc>
        <w:tc>
          <w:tcPr>
            <w:tcW w:w="1060" w:type="dxa"/>
          </w:tcPr>
          <w:p w14:paraId="436A6BC9" w14:textId="77777777" w:rsidR="00B36A05" w:rsidRPr="001C0F84" w:rsidRDefault="00B36A05" w:rsidP="003D4A8B">
            <w:pPr>
              <w:pStyle w:val="Tablesmalltext"/>
              <w:jc w:val="center"/>
              <w:rPr>
                <w:rFonts w:eastAsia="Times New Roman"/>
                <w:lang w:val="en-AU" w:eastAsia="en-AU"/>
              </w:rPr>
            </w:pPr>
            <w:r w:rsidRPr="00934051">
              <w:t>10</w:t>
            </w:r>
          </w:p>
        </w:tc>
        <w:tc>
          <w:tcPr>
            <w:tcW w:w="1144" w:type="dxa"/>
          </w:tcPr>
          <w:p w14:paraId="64B5E891" w14:textId="77777777" w:rsidR="00B36A05" w:rsidRPr="001C0F84" w:rsidRDefault="00B36A05" w:rsidP="003D4A8B">
            <w:pPr>
              <w:pStyle w:val="Tablesmalltext"/>
              <w:jc w:val="center"/>
              <w:rPr>
                <w:rFonts w:eastAsia="Times New Roman"/>
                <w:lang w:val="en-AU" w:eastAsia="en-AU"/>
              </w:rPr>
            </w:pPr>
            <w:r w:rsidRPr="00376591">
              <w:t>Medium</w:t>
            </w:r>
          </w:p>
        </w:tc>
        <w:tc>
          <w:tcPr>
            <w:tcW w:w="899" w:type="dxa"/>
          </w:tcPr>
          <w:p w14:paraId="31A7E7C1" w14:textId="77777777" w:rsidR="00B36A05" w:rsidRPr="001C0F84" w:rsidRDefault="00B36A05" w:rsidP="003D4A8B">
            <w:pPr>
              <w:pStyle w:val="Tablesmalltext"/>
              <w:jc w:val="center"/>
              <w:rPr>
                <w:rFonts w:eastAsia="Times New Roman"/>
                <w:lang w:val="en-AU" w:eastAsia="en-AU"/>
              </w:rPr>
            </w:pPr>
            <w:r>
              <w:t>Yes</w:t>
            </w:r>
          </w:p>
        </w:tc>
        <w:tc>
          <w:tcPr>
            <w:tcW w:w="1144" w:type="dxa"/>
          </w:tcPr>
          <w:p w14:paraId="1172B23B" w14:textId="77777777" w:rsidR="00B36A05" w:rsidRPr="001C0F84" w:rsidRDefault="00B36A05" w:rsidP="003D4A8B">
            <w:pPr>
              <w:pStyle w:val="Tablesmalltext"/>
              <w:jc w:val="center"/>
              <w:rPr>
                <w:rFonts w:eastAsia="Times New Roman"/>
                <w:lang w:val="en-AU" w:eastAsia="en-AU"/>
              </w:rPr>
            </w:pPr>
            <w:r>
              <w:t>&lt;500 m</w:t>
            </w:r>
          </w:p>
        </w:tc>
      </w:tr>
      <w:tr w:rsidR="00B36A05" w:rsidRPr="001C0F84" w14:paraId="2C6B4250" w14:textId="77777777" w:rsidTr="00B36A05">
        <w:trPr>
          <w:trHeight w:val="240"/>
        </w:trPr>
        <w:tc>
          <w:tcPr>
            <w:tcW w:w="753" w:type="dxa"/>
            <w:gridSpan w:val="2"/>
            <w:shd w:val="clear" w:color="auto" w:fill="auto"/>
            <w:noWrap/>
            <w:vAlign w:val="center"/>
          </w:tcPr>
          <w:p w14:paraId="523EA898" w14:textId="77777777" w:rsidR="00B36A05" w:rsidRDefault="00B36A05" w:rsidP="00B36A05">
            <w:pPr>
              <w:pStyle w:val="Tablesmalltext"/>
              <w:jc w:val="center"/>
            </w:pPr>
            <w:r>
              <w:t>14</w:t>
            </w:r>
          </w:p>
        </w:tc>
        <w:tc>
          <w:tcPr>
            <w:tcW w:w="1455" w:type="dxa"/>
            <w:gridSpan w:val="2"/>
            <w:shd w:val="clear" w:color="auto" w:fill="auto"/>
          </w:tcPr>
          <w:p w14:paraId="48D6A3F6" w14:textId="77777777" w:rsidR="00B36A05" w:rsidRPr="001C0F84" w:rsidRDefault="00B36A05" w:rsidP="003D4A8B">
            <w:pPr>
              <w:pStyle w:val="Tablesmalltext"/>
              <w:rPr>
                <w:rFonts w:eastAsia="Times New Roman"/>
                <w:lang w:val="en-AU" w:eastAsia="en-AU"/>
              </w:rPr>
            </w:pPr>
            <w:r w:rsidRPr="00C648CD">
              <w:t>697-519-0001</w:t>
            </w:r>
          </w:p>
        </w:tc>
        <w:tc>
          <w:tcPr>
            <w:tcW w:w="1663" w:type="dxa"/>
            <w:shd w:val="clear" w:color="auto" w:fill="auto"/>
          </w:tcPr>
          <w:p w14:paraId="6D5CFEEA" w14:textId="77777777" w:rsidR="00B36A05" w:rsidRPr="001C0F84" w:rsidRDefault="00B36A05" w:rsidP="003D4A8B">
            <w:pPr>
              <w:pStyle w:val="Tablesmalltext"/>
              <w:rPr>
                <w:rFonts w:eastAsia="Times New Roman"/>
                <w:lang w:val="en-AU" w:eastAsia="en-AU"/>
              </w:rPr>
            </w:pPr>
            <w:r w:rsidRPr="00C648CD">
              <w:t>Gibb Range 1</w:t>
            </w:r>
          </w:p>
        </w:tc>
        <w:tc>
          <w:tcPr>
            <w:tcW w:w="851" w:type="dxa"/>
            <w:shd w:val="clear" w:color="auto" w:fill="auto"/>
          </w:tcPr>
          <w:p w14:paraId="23AC3C17" w14:textId="77777777" w:rsidR="00B36A05" w:rsidRPr="001C0F84" w:rsidRDefault="00B36A05" w:rsidP="003D4A8B">
            <w:pPr>
              <w:pStyle w:val="Tablesmalltext"/>
              <w:jc w:val="center"/>
              <w:rPr>
                <w:rFonts w:eastAsia="Times New Roman"/>
                <w:lang w:val="en-AU" w:eastAsia="en-AU"/>
              </w:rPr>
            </w:pPr>
            <w:r w:rsidRPr="000D278A">
              <w:t>NE</w:t>
            </w:r>
          </w:p>
        </w:tc>
        <w:tc>
          <w:tcPr>
            <w:tcW w:w="1498" w:type="dxa"/>
            <w:gridSpan w:val="2"/>
            <w:shd w:val="clear" w:color="auto" w:fill="auto"/>
          </w:tcPr>
          <w:p w14:paraId="2189F32F" w14:textId="77777777" w:rsidR="00B36A05" w:rsidRPr="001C0F84" w:rsidRDefault="00B36A05" w:rsidP="003D4A8B">
            <w:pPr>
              <w:pStyle w:val="Tablesmalltext"/>
              <w:jc w:val="center"/>
              <w:rPr>
                <w:rFonts w:eastAsia="Times New Roman"/>
                <w:lang w:val="en-AU" w:eastAsia="en-AU"/>
              </w:rPr>
            </w:pPr>
            <w:r w:rsidRPr="0011478C">
              <w:t>Regenerating</w:t>
            </w:r>
          </w:p>
        </w:tc>
        <w:tc>
          <w:tcPr>
            <w:tcW w:w="1195" w:type="dxa"/>
            <w:shd w:val="clear" w:color="auto" w:fill="auto"/>
          </w:tcPr>
          <w:p w14:paraId="444307B9" w14:textId="77777777" w:rsidR="00B36A05" w:rsidRPr="001C0F84" w:rsidRDefault="00B36A05" w:rsidP="003D4A8B">
            <w:pPr>
              <w:pStyle w:val="Tablesmalltext"/>
              <w:jc w:val="center"/>
              <w:rPr>
                <w:rFonts w:eastAsia="Times New Roman"/>
                <w:lang w:val="en-AU" w:eastAsia="en-AU"/>
              </w:rPr>
            </w:pPr>
            <w:r w:rsidRPr="00C26C2B">
              <w:t>17.05</w:t>
            </w:r>
          </w:p>
        </w:tc>
        <w:tc>
          <w:tcPr>
            <w:tcW w:w="1134" w:type="dxa"/>
            <w:shd w:val="clear" w:color="auto" w:fill="auto"/>
          </w:tcPr>
          <w:p w14:paraId="5A8C2025" w14:textId="77777777" w:rsidR="00B36A05" w:rsidRPr="001C0F84" w:rsidRDefault="00B36A05" w:rsidP="003D4A8B">
            <w:pPr>
              <w:pStyle w:val="Tablesmalltext"/>
              <w:jc w:val="center"/>
              <w:rPr>
                <w:rFonts w:eastAsia="Times New Roman"/>
                <w:lang w:val="en-AU" w:eastAsia="en-AU"/>
              </w:rPr>
            </w:pPr>
            <w:r w:rsidRPr="00F57E11">
              <w:t>No</w:t>
            </w:r>
          </w:p>
        </w:tc>
        <w:tc>
          <w:tcPr>
            <w:tcW w:w="992" w:type="dxa"/>
            <w:shd w:val="clear" w:color="auto" w:fill="auto"/>
          </w:tcPr>
          <w:p w14:paraId="4CBA0069"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auto"/>
            <w:noWrap/>
          </w:tcPr>
          <w:p w14:paraId="16AE953D" w14:textId="77777777" w:rsidR="00B36A05" w:rsidRPr="001C0F84" w:rsidRDefault="00B36A05" w:rsidP="003D4A8B">
            <w:pPr>
              <w:pStyle w:val="Tablesmalltext"/>
              <w:jc w:val="center"/>
              <w:rPr>
                <w:rFonts w:eastAsia="Times New Roman"/>
                <w:lang w:val="en-AU" w:eastAsia="en-AU"/>
              </w:rPr>
            </w:pPr>
            <w:r w:rsidRPr="00AA3705">
              <w:t>600</w:t>
            </w:r>
          </w:p>
        </w:tc>
        <w:tc>
          <w:tcPr>
            <w:tcW w:w="1060" w:type="dxa"/>
            <w:shd w:val="clear" w:color="auto" w:fill="auto"/>
          </w:tcPr>
          <w:p w14:paraId="429FF783" w14:textId="77777777" w:rsidR="00B36A05" w:rsidRPr="001C0F84" w:rsidRDefault="00B36A05" w:rsidP="003D4A8B">
            <w:pPr>
              <w:pStyle w:val="Tablesmalltext"/>
              <w:jc w:val="center"/>
              <w:rPr>
                <w:rFonts w:eastAsia="Times New Roman"/>
                <w:lang w:val="en-AU" w:eastAsia="en-AU"/>
              </w:rPr>
            </w:pPr>
            <w:r w:rsidRPr="00934051">
              <w:t>30</w:t>
            </w:r>
          </w:p>
        </w:tc>
        <w:tc>
          <w:tcPr>
            <w:tcW w:w="1144" w:type="dxa"/>
            <w:shd w:val="clear" w:color="auto" w:fill="auto"/>
          </w:tcPr>
          <w:p w14:paraId="0DE738D4" w14:textId="77777777" w:rsidR="00B36A05" w:rsidRPr="001C0F84" w:rsidRDefault="00B36A05" w:rsidP="003D4A8B">
            <w:pPr>
              <w:pStyle w:val="Tablesmalltext"/>
              <w:jc w:val="center"/>
              <w:rPr>
                <w:rFonts w:eastAsia="Times New Roman"/>
                <w:lang w:val="en-AU" w:eastAsia="en-AU"/>
              </w:rPr>
            </w:pPr>
            <w:r w:rsidRPr="00376591">
              <w:t>High</w:t>
            </w:r>
          </w:p>
        </w:tc>
        <w:tc>
          <w:tcPr>
            <w:tcW w:w="899" w:type="dxa"/>
            <w:shd w:val="clear" w:color="auto" w:fill="auto"/>
          </w:tcPr>
          <w:p w14:paraId="7A7BE77E" w14:textId="77777777" w:rsidR="00B36A05" w:rsidRPr="001C0F84" w:rsidRDefault="00B36A05" w:rsidP="003D4A8B">
            <w:pPr>
              <w:pStyle w:val="Tablesmalltext"/>
              <w:jc w:val="center"/>
              <w:rPr>
                <w:rFonts w:eastAsia="Times New Roman"/>
                <w:lang w:val="en-AU" w:eastAsia="en-AU"/>
              </w:rPr>
            </w:pPr>
            <w:r w:rsidRPr="00B2724F">
              <w:t>Yes</w:t>
            </w:r>
          </w:p>
        </w:tc>
        <w:tc>
          <w:tcPr>
            <w:tcW w:w="1144" w:type="dxa"/>
            <w:shd w:val="clear" w:color="auto" w:fill="auto"/>
          </w:tcPr>
          <w:p w14:paraId="7E6CBBBD" w14:textId="77777777" w:rsidR="00B36A05" w:rsidRPr="001C0F84" w:rsidRDefault="00B36A05" w:rsidP="003D4A8B">
            <w:pPr>
              <w:pStyle w:val="Tablesmalltext"/>
              <w:jc w:val="center"/>
              <w:rPr>
                <w:rFonts w:eastAsia="Times New Roman"/>
                <w:lang w:val="en-AU" w:eastAsia="en-AU"/>
              </w:rPr>
            </w:pPr>
            <w:r>
              <w:t>Coupe</w:t>
            </w:r>
          </w:p>
        </w:tc>
      </w:tr>
      <w:tr w:rsidR="00B36A05" w:rsidRPr="001C0F84" w14:paraId="5772D42E" w14:textId="77777777" w:rsidTr="002B7966">
        <w:trPr>
          <w:trHeight w:val="240"/>
        </w:trPr>
        <w:tc>
          <w:tcPr>
            <w:tcW w:w="753" w:type="dxa"/>
            <w:gridSpan w:val="2"/>
            <w:shd w:val="clear" w:color="auto" w:fill="auto"/>
            <w:noWrap/>
            <w:vAlign w:val="center"/>
          </w:tcPr>
          <w:p w14:paraId="29DBCC42" w14:textId="77777777" w:rsidR="00B36A05" w:rsidRDefault="00B36A05" w:rsidP="00B36A05">
            <w:pPr>
              <w:pStyle w:val="Tablesmalltext"/>
              <w:jc w:val="center"/>
            </w:pPr>
            <w:r>
              <w:t>15</w:t>
            </w:r>
          </w:p>
        </w:tc>
        <w:tc>
          <w:tcPr>
            <w:tcW w:w="1455" w:type="dxa"/>
            <w:gridSpan w:val="2"/>
            <w:shd w:val="clear" w:color="auto" w:fill="auto"/>
          </w:tcPr>
          <w:p w14:paraId="7037C79B" w14:textId="77777777" w:rsidR="00B36A05" w:rsidRPr="001C0F84" w:rsidRDefault="00B36A05" w:rsidP="003D4A8B">
            <w:pPr>
              <w:pStyle w:val="Tablesmalltext"/>
              <w:rPr>
                <w:rFonts w:eastAsia="Times New Roman"/>
                <w:lang w:val="en-AU" w:eastAsia="en-AU"/>
              </w:rPr>
            </w:pPr>
            <w:r w:rsidRPr="00C648CD">
              <w:t>697-519-0003</w:t>
            </w:r>
          </w:p>
        </w:tc>
        <w:tc>
          <w:tcPr>
            <w:tcW w:w="1663" w:type="dxa"/>
            <w:shd w:val="clear" w:color="auto" w:fill="auto"/>
          </w:tcPr>
          <w:p w14:paraId="26F17807" w14:textId="77777777" w:rsidR="00B36A05" w:rsidRPr="001C0F84" w:rsidRDefault="00B36A05" w:rsidP="003D4A8B">
            <w:pPr>
              <w:pStyle w:val="Tablesmalltext"/>
              <w:rPr>
                <w:rFonts w:eastAsia="Times New Roman"/>
                <w:lang w:val="en-AU" w:eastAsia="en-AU"/>
              </w:rPr>
            </w:pPr>
            <w:r w:rsidRPr="00C648CD">
              <w:t>Lower Gibb</w:t>
            </w:r>
          </w:p>
        </w:tc>
        <w:tc>
          <w:tcPr>
            <w:tcW w:w="851" w:type="dxa"/>
            <w:shd w:val="clear" w:color="auto" w:fill="auto"/>
          </w:tcPr>
          <w:p w14:paraId="18965B9E" w14:textId="77777777" w:rsidR="00B36A05" w:rsidRPr="001C0F84" w:rsidRDefault="00B36A05" w:rsidP="003D4A8B">
            <w:pPr>
              <w:pStyle w:val="Tablesmalltext"/>
              <w:jc w:val="center"/>
              <w:rPr>
                <w:rFonts w:eastAsia="Times New Roman"/>
                <w:lang w:val="en-AU" w:eastAsia="en-AU"/>
              </w:rPr>
            </w:pPr>
            <w:r w:rsidRPr="000D278A">
              <w:t>NE</w:t>
            </w:r>
          </w:p>
        </w:tc>
        <w:tc>
          <w:tcPr>
            <w:tcW w:w="1498" w:type="dxa"/>
            <w:gridSpan w:val="2"/>
            <w:shd w:val="clear" w:color="auto" w:fill="auto"/>
          </w:tcPr>
          <w:p w14:paraId="5B458347" w14:textId="77777777" w:rsidR="00B36A05" w:rsidRPr="001C0F84" w:rsidRDefault="00B36A05" w:rsidP="003D4A8B">
            <w:pPr>
              <w:pStyle w:val="Tablesmalltext"/>
              <w:jc w:val="center"/>
              <w:rPr>
                <w:rFonts w:eastAsia="Times New Roman"/>
                <w:lang w:val="en-AU" w:eastAsia="en-AU"/>
              </w:rPr>
            </w:pPr>
            <w:r w:rsidRPr="0011478C">
              <w:t>Regenerating</w:t>
            </w:r>
          </w:p>
        </w:tc>
        <w:tc>
          <w:tcPr>
            <w:tcW w:w="1195" w:type="dxa"/>
            <w:shd w:val="clear" w:color="auto" w:fill="auto"/>
          </w:tcPr>
          <w:p w14:paraId="14CA348E" w14:textId="77777777" w:rsidR="00B36A05" w:rsidRPr="001C0F84" w:rsidRDefault="00B36A05" w:rsidP="003D4A8B">
            <w:pPr>
              <w:pStyle w:val="Tablesmalltext"/>
              <w:jc w:val="center"/>
              <w:rPr>
                <w:rFonts w:eastAsia="Times New Roman"/>
                <w:lang w:val="en-AU" w:eastAsia="en-AU"/>
              </w:rPr>
            </w:pPr>
            <w:r w:rsidRPr="00C26C2B">
              <w:t>6.61</w:t>
            </w:r>
          </w:p>
        </w:tc>
        <w:tc>
          <w:tcPr>
            <w:tcW w:w="1134" w:type="dxa"/>
            <w:shd w:val="clear" w:color="auto" w:fill="auto"/>
          </w:tcPr>
          <w:p w14:paraId="2C4EE56F" w14:textId="77777777" w:rsidR="00B36A05" w:rsidRPr="001C0F84" w:rsidRDefault="00B36A05" w:rsidP="003D4A8B">
            <w:pPr>
              <w:pStyle w:val="Tablesmalltext"/>
              <w:jc w:val="center"/>
              <w:rPr>
                <w:rFonts w:eastAsia="Times New Roman"/>
                <w:lang w:val="en-AU" w:eastAsia="en-AU"/>
              </w:rPr>
            </w:pPr>
            <w:r w:rsidRPr="00F57E11">
              <w:t>No</w:t>
            </w:r>
          </w:p>
        </w:tc>
        <w:tc>
          <w:tcPr>
            <w:tcW w:w="992" w:type="dxa"/>
            <w:shd w:val="clear" w:color="auto" w:fill="auto"/>
          </w:tcPr>
          <w:p w14:paraId="69C48F7D" w14:textId="77777777" w:rsidR="00B36A05" w:rsidRPr="001C0F84" w:rsidRDefault="00B36A05" w:rsidP="003D4A8B">
            <w:pPr>
              <w:pStyle w:val="Tablesmalltext"/>
              <w:jc w:val="center"/>
              <w:rPr>
                <w:rFonts w:eastAsia="Times New Roman"/>
                <w:lang w:val="en-AU" w:eastAsia="en-AU"/>
              </w:rPr>
            </w:pPr>
            <w:r>
              <w:t>No</w:t>
            </w:r>
          </w:p>
        </w:tc>
        <w:tc>
          <w:tcPr>
            <w:tcW w:w="993" w:type="dxa"/>
            <w:shd w:val="clear" w:color="auto" w:fill="92D050"/>
            <w:noWrap/>
          </w:tcPr>
          <w:p w14:paraId="34C1A925" w14:textId="07137A5A" w:rsidR="00B36A05" w:rsidRPr="001C0F84" w:rsidRDefault="002B7966" w:rsidP="003D4A8B">
            <w:pPr>
              <w:pStyle w:val="Tablesmalltext"/>
              <w:jc w:val="center"/>
              <w:rPr>
                <w:rFonts w:eastAsia="Times New Roman"/>
                <w:lang w:val="en-AU" w:eastAsia="en-AU"/>
              </w:rPr>
            </w:pPr>
            <w:r>
              <w:t>&lt;50</w:t>
            </w:r>
          </w:p>
        </w:tc>
        <w:tc>
          <w:tcPr>
            <w:tcW w:w="1060" w:type="dxa"/>
            <w:shd w:val="clear" w:color="auto" w:fill="auto"/>
          </w:tcPr>
          <w:p w14:paraId="0482B827" w14:textId="77777777" w:rsidR="00B36A05" w:rsidRPr="001C0F84" w:rsidRDefault="00B36A05" w:rsidP="003D4A8B">
            <w:pPr>
              <w:pStyle w:val="Tablesmalltext"/>
              <w:jc w:val="center"/>
              <w:rPr>
                <w:rFonts w:eastAsia="Times New Roman"/>
                <w:lang w:val="en-AU" w:eastAsia="en-AU"/>
              </w:rPr>
            </w:pPr>
            <w:r w:rsidRPr="00934051">
              <w:t>15</w:t>
            </w:r>
          </w:p>
        </w:tc>
        <w:tc>
          <w:tcPr>
            <w:tcW w:w="1144" w:type="dxa"/>
            <w:shd w:val="clear" w:color="auto" w:fill="auto"/>
          </w:tcPr>
          <w:p w14:paraId="25DF5D20" w14:textId="77777777" w:rsidR="00B36A05" w:rsidRPr="001C0F84" w:rsidRDefault="00B36A05" w:rsidP="003D4A8B">
            <w:pPr>
              <w:pStyle w:val="Tablesmalltext"/>
              <w:jc w:val="center"/>
              <w:rPr>
                <w:rFonts w:eastAsia="Times New Roman"/>
                <w:lang w:val="en-AU" w:eastAsia="en-AU"/>
              </w:rPr>
            </w:pPr>
            <w:r w:rsidRPr="00376591">
              <w:t>High</w:t>
            </w:r>
          </w:p>
        </w:tc>
        <w:tc>
          <w:tcPr>
            <w:tcW w:w="899" w:type="dxa"/>
            <w:shd w:val="clear" w:color="auto" w:fill="auto"/>
          </w:tcPr>
          <w:p w14:paraId="05046DDE" w14:textId="77777777" w:rsidR="00B36A05" w:rsidRPr="001C0F84" w:rsidRDefault="00B36A05" w:rsidP="003D4A8B">
            <w:pPr>
              <w:pStyle w:val="Tablesmalltext"/>
              <w:jc w:val="center"/>
              <w:rPr>
                <w:rFonts w:eastAsia="Times New Roman"/>
                <w:lang w:val="en-AU" w:eastAsia="en-AU"/>
              </w:rPr>
            </w:pPr>
            <w:r w:rsidRPr="00B2724F">
              <w:t>Yes</w:t>
            </w:r>
          </w:p>
        </w:tc>
        <w:tc>
          <w:tcPr>
            <w:tcW w:w="1144" w:type="dxa"/>
            <w:shd w:val="clear" w:color="auto" w:fill="auto"/>
          </w:tcPr>
          <w:p w14:paraId="15F79DF1" w14:textId="77777777" w:rsidR="00B36A05" w:rsidRPr="001C0F84" w:rsidRDefault="00B36A05" w:rsidP="003D4A8B">
            <w:pPr>
              <w:pStyle w:val="Tablesmalltext"/>
              <w:jc w:val="center"/>
              <w:rPr>
                <w:rFonts w:eastAsia="Times New Roman"/>
                <w:lang w:val="en-AU" w:eastAsia="en-AU"/>
              </w:rPr>
            </w:pPr>
            <w:r>
              <w:t>Coupe</w:t>
            </w:r>
          </w:p>
        </w:tc>
      </w:tr>
      <w:tr w:rsidR="00B36A05" w:rsidRPr="001F7945" w14:paraId="0FC416F7" w14:textId="77777777" w:rsidTr="008D021D">
        <w:trPr>
          <w:trHeight w:val="240"/>
        </w:trPr>
        <w:tc>
          <w:tcPr>
            <w:tcW w:w="753" w:type="dxa"/>
            <w:gridSpan w:val="2"/>
            <w:shd w:val="clear" w:color="auto" w:fill="auto"/>
            <w:noWrap/>
            <w:vAlign w:val="center"/>
          </w:tcPr>
          <w:p w14:paraId="6B42DA4D" w14:textId="77777777" w:rsidR="00B36A05" w:rsidRPr="001F7945" w:rsidRDefault="00B36A05" w:rsidP="00B36A05">
            <w:pPr>
              <w:pStyle w:val="Tablesmalltext"/>
              <w:jc w:val="center"/>
              <w:rPr>
                <w:rFonts w:eastAsia="Times New Roman"/>
                <w:bCs/>
                <w:lang w:val="en-AU" w:eastAsia="en-AU"/>
              </w:rPr>
            </w:pPr>
            <w:r>
              <w:t>16</w:t>
            </w:r>
          </w:p>
        </w:tc>
        <w:tc>
          <w:tcPr>
            <w:tcW w:w="1449" w:type="dxa"/>
            <w:shd w:val="clear" w:color="auto" w:fill="auto"/>
          </w:tcPr>
          <w:p w14:paraId="7EBDA3E5" w14:textId="77777777" w:rsidR="00B36A05" w:rsidRPr="001F7945" w:rsidRDefault="00B36A05" w:rsidP="003D4A8B">
            <w:pPr>
              <w:pStyle w:val="Tablesmalltext"/>
              <w:rPr>
                <w:rFonts w:eastAsia="Times New Roman"/>
                <w:bCs/>
                <w:lang w:val="en-AU" w:eastAsia="en-AU"/>
              </w:rPr>
            </w:pPr>
            <w:r w:rsidRPr="00C648CD">
              <w:t>698-506-0001</w:t>
            </w:r>
          </w:p>
        </w:tc>
        <w:tc>
          <w:tcPr>
            <w:tcW w:w="1669" w:type="dxa"/>
            <w:gridSpan w:val="2"/>
            <w:shd w:val="clear" w:color="auto" w:fill="auto"/>
          </w:tcPr>
          <w:p w14:paraId="4C4585FF" w14:textId="77777777" w:rsidR="00B36A05" w:rsidRPr="001F7945" w:rsidRDefault="00B36A05" w:rsidP="003D4A8B">
            <w:pPr>
              <w:pStyle w:val="Tablesmalltext"/>
              <w:rPr>
                <w:rFonts w:eastAsia="Times New Roman"/>
                <w:bCs/>
                <w:lang w:val="en-AU" w:eastAsia="en-AU"/>
              </w:rPr>
            </w:pPr>
            <w:r w:rsidRPr="00C648CD">
              <w:t>Sheik</w:t>
            </w:r>
          </w:p>
        </w:tc>
        <w:tc>
          <w:tcPr>
            <w:tcW w:w="851" w:type="dxa"/>
            <w:shd w:val="clear" w:color="auto" w:fill="auto"/>
          </w:tcPr>
          <w:p w14:paraId="22326094" w14:textId="77777777" w:rsidR="00B36A05" w:rsidRPr="001F7945" w:rsidRDefault="00B36A05" w:rsidP="003D4A8B">
            <w:pPr>
              <w:pStyle w:val="Tablesmalltext"/>
              <w:jc w:val="center"/>
              <w:rPr>
                <w:rFonts w:eastAsia="Times New Roman"/>
                <w:bCs/>
                <w:lang w:val="en-AU" w:eastAsia="en-AU"/>
              </w:rPr>
            </w:pPr>
            <w:r w:rsidRPr="000D278A">
              <w:t>NE</w:t>
            </w:r>
          </w:p>
        </w:tc>
        <w:tc>
          <w:tcPr>
            <w:tcW w:w="1491" w:type="dxa"/>
            <w:shd w:val="clear" w:color="auto" w:fill="auto"/>
          </w:tcPr>
          <w:p w14:paraId="01AFD88C" w14:textId="77777777" w:rsidR="00B36A05" w:rsidRPr="001F7945" w:rsidRDefault="00B36A05" w:rsidP="003D4A8B">
            <w:pPr>
              <w:pStyle w:val="Tablesmalltext"/>
              <w:jc w:val="center"/>
              <w:rPr>
                <w:rFonts w:eastAsia="Times New Roman"/>
                <w:bCs/>
                <w:lang w:val="en-AU" w:eastAsia="en-AU"/>
              </w:rPr>
            </w:pPr>
            <w:r w:rsidRPr="0011478C">
              <w:t>Regenerating</w:t>
            </w:r>
          </w:p>
        </w:tc>
        <w:tc>
          <w:tcPr>
            <w:tcW w:w="1202" w:type="dxa"/>
            <w:gridSpan w:val="2"/>
            <w:shd w:val="clear" w:color="auto" w:fill="auto"/>
          </w:tcPr>
          <w:p w14:paraId="521330F9" w14:textId="77777777" w:rsidR="00B36A05" w:rsidRPr="001F7945" w:rsidRDefault="00B36A05" w:rsidP="003D4A8B">
            <w:pPr>
              <w:pStyle w:val="Tablesmalltext"/>
              <w:jc w:val="center"/>
              <w:rPr>
                <w:rFonts w:eastAsia="Times New Roman"/>
                <w:bCs/>
                <w:lang w:val="en-AU" w:eastAsia="en-AU"/>
              </w:rPr>
            </w:pPr>
            <w:r w:rsidRPr="00C26C2B">
              <w:t>10.23</w:t>
            </w:r>
          </w:p>
        </w:tc>
        <w:tc>
          <w:tcPr>
            <w:tcW w:w="1134" w:type="dxa"/>
            <w:shd w:val="clear" w:color="auto" w:fill="auto"/>
          </w:tcPr>
          <w:p w14:paraId="454AB08D" w14:textId="77777777" w:rsidR="00B36A05" w:rsidRPr="001F7945" w:rsidRDefault="00B36A05" w:rsidP="003D4A8B">
            <w:pPr>
              <w:pStyle w:val="Tablesmalltext"/>
              <w:jc w:val="center"/>
              <w:rPr>
                <w:rFonts w:eastAsia="Times New Roman"/>
                <w:bCs/>
                <w:lang w:val="en-AU" w:eastAsia="en-AU"/>
              </w:rPr>
            </w:pPr>
            <w:r w:rsidRPr="00F57E11">
              <w:t>No</w:t>
            </w:r>
          </w:p>
        </w:tc>
        <w:tc>
          <w:tcPr>
            <w:tcW w:w="992" w:type="dxa"/>
            <w:shd w:val="clear" w:color="auto" w:fill="FFC000"/>
          </w:tcPr>
          <w:p w14:paraId="5D63F7DF" w14:textId="77777777" w:rsidR="00B36A05" w:rsidRPr="001F7945" w:rsidRDefault="00B36A05" w:rsidP="003D4A8B">
            <w:pPr>
              <w:pStyle w:val="Tablesmalltext"/>
              <w:jc w:val="center"/>
              <w:rPr>
                <w:rFonts w:eastAsia="Times New Roman"/>
                <w:bCs/>
                <w:lang w:val="en-AU" w:eastAsia="en-AU"/>
              </w:rPr>
            </w:pPr>
            <w:r>
              <w:t>Yes</w:t>
            </w:r>
          </w:p>
        </w:tc>
        <w:tc>
          <w:tcPr>
            <w:tcW w:w="993" w:type="dxa"/>
            <w:shd w:val="clear" w:color="auto" w:fill="auto"/>
          </w:tcPr>
          <w:p w14:paraId="5F29205E" w14:textId="30000BE8" w:rsidR="00B36A05" w:rsidRPr="001F7945" w:rsidRDefault="002B7966" w:rsidP="003D4A8B">
            <w:pPr>
              <w:pStyle w:val="Tablesmalltext"/>
              <w:jc w:val="center"/>
              <w:rPr>
                <w:rFonts w:eastAsia="Times New Roman"/>
                <w:bCs/>
                <w:lang w:val="en-AU" w:eastAsia="en-AU"/>
              </w:rPr>
            </w:pPr>
            <w:r>
              <w:t>&lt;50 m</w:t>
            </w:r>
          </w:p>
        </w:tc>
        <w:tc>
          <w:tcPr>
            <w:tcW w:w="1060" w:type="dxa"/>
            <w:shd w:val="clear" w:color="auto" w:fill="auto"/>
          </w:tcPr>
          <w:p w14:paraId="47CBA7BD" w14:textId="77777777" w:rsidR="00B36A05" w:rsidRPr="001F7945" w:rsidRDefault="00B36A05" w:rsidP="003D4A8B">
            <w:pPr>
              <w:pStyle w:val="Tablesmalltext"/>
              <w:jc w:val="center"/>
              <w:rPr>
                <w:rFonts w:eastAsia="Times New Roman"/>
                <w:bCs/>
                <w:lang w:val="en-AU" w:eastAsia="en-AU"/>
              </w:rPr>
            </w:pPr>
            <w:r w:rsidRPr="00934051">
              <w:t>15</w:t>
            </w:r>
          </w:p>
        </w:tc>
        <w:tc>
          <w:tcPr>
            <w:tcW w:w="1144" w:type="dxa"/>
            <w:shd w:val="clear" w:color="auto" w:fill="auto"/>
          </w:tcPr>
          <w:p w14:paraId="6AEEE595"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High</w:t>
            </w:r>
          </w:p>
        </w:tc>
        <w:tc>
          <w:tcPr>
            <w:tcW w:w="899" w:type="dxa"/>
            <w:shd w:val="clear" w:color="auto" w:fill="auto"/>
          </w:tcPr>
          <w:p w14:paraId="69EA82DB" w14:textId="77777777" w:rsidR="00B36A05" w:rsidRPr="001F7945" w:rsidRDefault="00B36A05" w:rsidP="003D4A8B">
            <w:pPr>
              <w:pStyle w:val="Tablesmalltext"/>
              <w:jc w:val="center"/>
              <w:rPr>
                <w:rFonts w:eastAsia="Times New Roman"/>
                <w:bCs/>
                <w:lang w:val="en-AU" w:eastAsia="en-AU"/>
              </w:rPr>
            </w:pPr>
            <w:r>
              <w:t>No</w:t>
            </w:r>
          </w:p>
        </w:tc>
        <w:tc>
          <w:tcPr>
            <w:tcW w:w="1144" w:type="dxa"/>
            <w:shd w:val="clear" w:color="auto" w:fill="auto"/>
          </w:tcPr>
          <w:p w14:paraId="64AB03F7"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No</w:t>
            </w:r>
          </w:p>
        </w:tc>
      </w:tr>
      <w:tr w:rsidR="00B36A05" w:rsidRPr="001F7945" w14:paraId="6BBA04E4" w14:textId="77777777" w:rsidTr="002B7966">
        <w:trPr>
          <w:trHeight w:val="240"/>
        </w:trPr>
        <w:tc>
          <w:tcPr>
            <w:tcW w:w="753" w:type="dxa"/>
            <w:gridSpan w:val="2"/>
            <w:shd w:val="clear" w:color="auto" w:fill="auto"/>
            <w:noWrap/>
            <w:vAlign w:val="center"/>
          </w:tcPr>
          <w:p w14:paraId="70B1BB59" w14:textId="77777777" w:rsidR="00B36A05" w:rsidRPr="001F7945" w:rsidRDefault="00B36A05" w:rsidP="00B36A05">
            <w:pPr>
              <w:pStyle w:val="Tablesmalltext"/>
              <w:jc w:val="center"/>
              <w:rPr>
                <w:rFonts w:eastAsia="Times New Roman"/>
                <w:bCs/>
                <w:lang w:val="en-AU" w:eastAsia="en-AU"/>
              </w:rPr>
            </w:pPr>
            <w:r>
              <w:t>17</w:t>
            </w:r>
          </w:p>
        </w:tc>
        <w:tc>
          <w:tcPr>
            <w:tcW w:w="1449" w:type="dxa"/>
            <w:shd w:val="clear" w:color="auto" w:fill="auto"/>
          </w:tcPr>
          <w:p w14:paraId="6D6D3952" w14:textId="77777777" w:rsidR="00B36A05" w:rsidRPr="001F7945" w:rsidRDefault="00B36A05" w:rsidP="003D4A8B">
            <w:pPr>
              <w:pStyle w:val="Tablesmalltext"/>
              <w:rPr>
                <w:rFonts w:eastAsia="Times New Roman"/>
                <w:bCs/>
                <w:lang w:val="en-AU" w:eastAsia="en-AU"/>
              </w:rPr>
            </w:pPr>
            <w:r w:rsidRPr="00C648CD">
              <w:t>698-511-0003</w:t>
            </w:r>
          </w:p>
        </w:tc>
        <w:tc>
          <w:tcPr>
            <w:tcW w:w="1669" w:type="dxa"/>
            <w:gridSpan w:val="2"/>
            <w:shd w:val="clear" w:color="auto" w:fill="auto"/>
          </w:tcPr>
          <w:p w14:paraId="123CDF86" w14:textId="77777777" w:rsidR="00B36A05" w:rsidRPr="001F7945" w:rsidRDefault="00B36A05" w:rsidP="003D4A8B">
            <w:pPr>
              <w:pStyle w:val="Tablesmalltext"/>
              <w:rPr>
                <w:rFonts w:eastAsia="Times New Roman"/>
                <w:bCs/>
                <w:lang w:val="en-AU" w:eastAsia="en-AU"/>
              </w:rPr>
            </w:pPr>
            <w:r w:rsidRPr="00C648CD">
              <w:t>Olin</w:t>
            </w:r>
          </w:p>
        </w:tc>
        <w:tc>
          <w:tcPr>
            <w:tcW w:w="851" w:type="dxa"/>
            <w:shd w:val="clear" w:color="auto" w:fill="auto"/>
          </w:tcPr>
          <w:p w14:paraId="4457DE56" w14:textId="77777777" w:rsidR="00B36A05" w:rsidRPr="001F7945" w:rsidRDefault="00B36A05" w:rsidP="003D4A8B">
            <w:pPr>
              <w:pStyle w:val="Tablesmalltext"/>
              <w:jc w:val="center"/>
              <w:rPr>
                <w:rFonts w:eastAsia="Times New Roman"/>
                <w:bCs/>
                <w:lang w:val="en-AU" w:eastAsia="en-AU"/>
              </w:rPr>
            </w:pPr>
            <w:r w:rsidRPr="000D278A">
              <w:t>NE</w:t>
            </w:r>
          </w:p>
        </w:tc>
        <w:tc>
          <w:tcPr>
            <w:tcW w:w="1491" w:type="dxa"/>
            <w:shd w:val="clear" w:color="auto" w:fill="auto"/>
          </w:tcPr>
          <w:p w14:paraId="79F96E18" w14:textId="77777777" w:rsidR="00B36A05" w:rsidRPr="001F7945" w:rsidRDefault="00B36A05" w:rsidP="003D4A8B">
            <w:pPr>
              <w:pStyle w:val="Tablesmalltext"/>
              <w:jc w:val="center"/>
              <w:rPr>
                <w:rFonts w:eastAsia="Times New Roman"/>
                <w:bCs/>
                <w:lang w:val="en-AU" w:eastAsia="en-AU"/>
              </w:rPr>
            </w:pPr>
            <w:r w:rsidRPr="0011478C">
              <w:t>Regenerating</w:t>
            </w:r>
          </w:p>
        </w:tc>
        <w:tc>
          <w:tcPr>
            <w:tcW w:w="1202" w:type="dxa"/>
            <w:gridSpan w:val="2"/>
            <w:shd w:val="clear" w:color="auto" w:fill="auto"/>
          </w:tcPr>
          <w:p w14:paraId="71017B4A" w14:textId="77777777" w:rsidR="00B36A05" w:rsidRPr="001F7945" w:rsidRDefault="00B36A05" w:rsidP="003D4A8B">
            <w:pPr>
              <w:pStyle w:val="Tablesmalltext"/>
              <w:jc w:val="center"/>
              <w:rPr>
                <w:rFonts w:eastAsia="Times New Roman"/>
                <w:bCs/>
                <w:lang w:val="en-AU" w:eastAsia="en-AU"/>
              </w:rPr>
            </w:pPr>
            <w:r w:rsidRPr="00C26C2B">
              <w:t>17.83</w:t>
            </w:r>
          </w:p>
        </w:tc>
        <w:tc>
          <w:tcPr>
            <w:tcW w:w="1134" w:type="dxa"/>
            <w:shd w:val="clear" w:color="auto" w:fill="auto"/>
          </w:tcPr>
          <w:p w14:paraId="60E3A75D" w14:textId="77777777" w:rsidR="00B36A05" w:rsidRPr="001F7945" w:rsidRDefault="00B36A05" w:rsidP="003D4A8B">
            <w:pPr>
              <w:pStyle w:val="Tablesmalltext"/>
              <w:jc w:val="center"/>
              <w:rPr>
                <w:rFonts w:eastAsia="Times New Roman"/>
                <w:bCs/>
                <w:lang w:val="en-AU" w:eastAsia="en-AU"/>
              </w:rPr>
            </w:pPr>
            <w:r w:rsidRPr="00F57E11">
              <w:t>No</w:t>
            </w:r>
          </w:p>
        </w:tc>
        <w:tc>
          <w:tcPr>
            <w:tcW w:w="992" w:type="dxa"/>
            <w:shd w:val="clear" w:color="auto" w:fill="auto"/>
          </w:tcPr>
          <w:p w14:paraId="189880C4" w14:textId="77777777" w:rsidR="00B36A05" w:rsidRPr="001F7945" w:rsidRDefault="00B36A05" w:rsidP="003D4A8B">
            <w:pPr>
              <w:pStyle w:val="Tablesmalltext"/>
              <w:jc w:val="center"/>
              <w:rPr>
                <w:rFonts w:eastAsia="Times New Roman"/>
                <w:bCs/>
                <w:lang w:val="en-AU" w:eastAsia="en-AU"/>
              </w:rPr>
            </w:pPr>
            <w:r>
              <w:t>No</w:t>
            </w:r>
          </w:p>
        </w:tc>
        <w:tc>
          <w:tcPr>
            <w:tcW w:w="993" w:type="dxa"/>
            <w:shd w:val="clear" w:color="auto" w:fill="92D050"/>
          </w:tcPr>
          <w:p w14:paraId="2D909AD9" w14:textId="7AC2B6E1" w:rsidR="00B36A05" w:rsidRPr="001F7945" w:rsidRDefault="002B7966" w:rsidP="003D4A8B">
            <w:pPr>
              <w:pStyle w:val="Tablesmalltext"/>
              <w:jc w:val="center"/>
              <w:rPr>
                <w:rFonts w:eastAsia="Times New Roman"/>
                <w:bCs/>
                <w:lang w:val="en-AU" w:eastAsia="en-AU"/>
              </w:rPr>
            </w:pPr>
            <w:r>
              <w:t>&lt;</w:t>
            </w:r>
            <w:r w:rsidR="00B36A05" w:rsidRPr="00AA3705">
              <w:t>50</w:t>
            </w:r>
          </w:p>
        </w:tc>
        <w:tc>
          <w:tcPr>
            <w:tcW w:w="1060" w:type="dxa"/>
            <w:shd w:val="clear" w:color="auto" w:fill="auto"/>
          </w:tcPr>
          <w:p w14:paraId="1F9140CA" w14:textId="77777777" w:rsidR="00B36A05" w:rsidRPr="001F7945" w:rsidRDefault="00B36A05" w:rsidP="003D4A8B">
            <w:pPr>
              <w:pStyle w:val="Tablesmalltext"/>
              <w:jc w:val="center"/>
              <w:rPr>
                <w:rFonts w:eastAsia="Times New Roman"/>
                <w:bCs/>
                <w:lang w:val="en-AU" w:eastAsia="en-AU"/>
              </w:rPr>
            </w:pPr>
            <w:r w:rsidRPr="00934051">
              <w:t>5</w:t>
            </w:r>
          </w:p>
        </w:tc>
        <w:tc>
          <w:tcPr>
            <w:tcW w:w="1144" w:type="dxa"/>
            <w:shd w:val="clear" w:color="auto" w:fill="auto"/>
          </w:tcPr>
          <w:p w14:paraId="226F4393"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Medium</w:t>
            </w:r>
          </w:p>
        </w:tc>
        <w:tc>
          <w:tcPr>
            <w:tcW w:w="899" w:type="dxa"/>
            <w:shd w:val="clear" w:color="auto" w:fill="auto"/>
          </w:tcPr>
          <w:p w14:paraId="21802F1A" w14:textId="77777777" w:rsidR="00B36A05" w:rsidRPr="001F7945" w:rsidRDefault="00B36A05" w:rsidP="003D4A8B">
            <w:pPr>
              <w:pStyle w:val="Tablesmalltext"/>
              <w:jc w:val="center"/>
              <w:rPr>
                <w:rFonts w:eastAsia="Times New Roman"/>
                <w:bCs/>
                <w:lang w:val="en-AU" w:eastAsia="en-AU"/>
              </w:rPr>
            </w:pPr>
            <w:r w:rsidRPr="00B2724F">
              <w:t>Yes</w:t>
            </w:r>
          </w:p>
        </w:tc>
        <w:tc>
          <w:tcPr>
            <w:tcW w:w="1144" w:type="dxa"/>
            <w:shd w:val="clear" w:color="auto" w:fill="auto"/>
          </w:tcPr>
          <w:p w14:paraId="4D9BC3F9"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Coupe</w:t>
            </w:r>
          </w:p>
        </w:tc>
      </w:tr>
      <w:tr w:rsidR="00B36A05" w:rsidRPr="001F7945" w14:paraId="251805C0" w14:textId="77777777" w:rsidTr="008D021D">
        <w:trPr>
          <w:trHeight w:val="240"/>
        </w:trPr>
        <w:tc>
          <w:tcPr>
            <w:tcW w:w="753" w:type="dxa"/>
            <w:gridSpan w:val="2"/>
            <w:shd w:val="clear" w:color="auto" w:fill="auto"/>
            <w:noWrap/>
            <w:vAlign w:val="center"/>
          </w:tcPr>
          <w:p w14:paraId="5A5A8C13" w14:textId="77777777" w:rsidR="00B36A05" w:rsidRPr="001F7945" w:rsidRDefault="00B36A05" w:rsidP="00B36A05">
            <w:pPr>
              <w:pStyle w:val="Tablesmalltext"/>
              <w:jc w:val="center"/>
              <w:rPr>
                <w:rFonts w:eastAsia="Times New Roman"/>
                <w:bCs/>
                <w:lang w:val="en-AU" w:eastAsia="en-AU"/>
              </w:rPr>
            </w:pPr>
            <w:r>
              <w:t>18</w:t>
            </w:r>
          </w:p>
        </w:tc>
        <w:tc>
          <w:tcPr>
            <w:tcW w:w="1449" w:type="dxa"/>
            <w:shd w:val="clear" w:color="auto" w:fill="auto"/>
          </w:tcPr>
          <w:p w14:paraId="5EBC8872" w14:textId="77777777" w:rsidR="00B36A05" w:rsidRPr="001F7945" w:rsidRDefault="00B36A05" w:rsidP="003D4A8B">
            <w:pPr>
              <w:pStyle w:val="Tablesmalltext"/>
              <w:rPr>
                <w:rFonts w:eastAsia="Times New Roman"/>
                <w:bCs/>
                <w:lang w:val="en-AU" w:eastAsia="en-AU"/>
              </w:rPr>
            </w:pPr>
            <w:r w:rsidRPr="00C648CD">
              <w:t>699-519-0002</w:t>
            </w:r>
          </w:p>
        </w:tc>
        <w:tc>
          <w:tcPr>
            <w:tcW w:w="1669" w:type="dxa"/>
            <w:gridSpan w:val="2"/>
            <w:shd w:val="clear" w:color="auto" w:fill="auto"/>
          </w:tcPr>
          <w:p w14:paraId="01CB6B90" w14:textId="77777777" w:rsidR="00B36A05" w:rsidRPr="001F7945" w:rsidRDefault="00B36A05" w:rsidP="003D4A8B">
            <w:pPr>
              <w:pStyle w:val="Tablesmalltext"/>
              <w:rPr>
                <w:rFonts w:eastAsia="Times New Roman"/>
                <w:bCs/>
                <w:lang w:val="en-AU" w:eastAsia="en-AU"/>
              </w:rPr>
            </w:pPr>
            <w:r w:rsidRPr="00C648CD">
              <w:t>South Buck</w:t>
            </w:r>
          </w:p>
        </w:tc>
        <w:tc>
          <w:tcPr>
            <w:tcW w:w="851" w:type="dxa"/>
            <w:shd w:val="clear" w:color="auto" w:fill="auto"/>
          </w:tcPr>
          <w:p w14:paraId="73EA273C" w14:textId="77777777" w:rsidR="00B36A05" w:rsidRPr="001F7945" w:rsidRDefault="00B36A05" w:rsidP="003D4A8B">
            <w:pPr>
              <w:pStyle w:val="Tablesmalltext"/>
              <w:jc w:val="center"/>
              <w:rPr>
                <w:rFonts w:eastAsia="Times New Roman"/>
                <w:bCs/>
                <w:lang w:val="en-AU" w:eastAsia="en-AU"/>
              </w:rPr>
            </w:pPr>
            <w:r w:rsidRPr="000D278A">
              <w:t>NE</w:t>
            </w:r>
          </w:p>
        </w:tc>
        <w:tc>
          <w:tcPr>
            <w:tcW w:w="1491" w:type="dxa"/>
            <w:shd w:val="clear" w:color="auto" w:fill="auto"/>
          </w:tcPr>
          <w:p w14:paraId="78F02447" w14:textId="77777777" w:rsidR="00B36A05" w:rsidRPr="001F7945" w:rsidRDefault="00B36A05" w:rsidP="003D4A8B">
            <w:pPr>
              <w:pStyle w:val="Tablesmalltext"/>
              <w:jc w:val="center"/>
              <w:rPr>
                <w:rFonts w:eastAsia="Times New Roman"/>
                <w:bCs/>
                <w:lang w:val="en-AU" w:eastAsia="en-AU"/>
              </w:rPr>
            </w:pPr>
            <w:r w:rsidRPr="0011478C">
              <w:t>Active - Harvest</w:t>
            </w:r>
          </w:p>
        </w:tc>
        <w:tc>
          <w:tcPr>
            <w:tcW w:w="1202" w:type="dxa"/>
            <w:gridSpan w:val="2"/>
            <w:shd w:val="clear" w:color="auto" w:fill="auto"/>
          </w:tcPr>
          <w:p w14:paraId="2FACB5E6" w14:textId="77777777" w:rsidR="00B36A05" w:rsidRPr="001F7945" w:rsidRDefault="00B36A05" w:rsidP="003D4A8B">
            <w:pPr>
              <w:pStyle w:val="Tablesmalltext"/>
              <w:jc w:val="center"/>
              <w:rPr>
                <w:rFonts w:eastAsia="Times New Roman"/>
                <w:bCs/>
                <w:lang w:val="en-AU" w:eastAsia="en-AU"/>
              </w:rPr>
            </w:pPr>
            <w:r w:rsidRPr="00C26C2B">
              <w:t>9.59</w:t>
            </w:r>
          </w:p>
        </w:tc>
        <w:tc>
          <w:tcPr>
            <w:tcW w:w="1134" w:type="dxa"/>
            <w:shd w:val="clear" w:color="auto" w:fill="auto"/>
          </w:tcPr>
          <w:p w14:paraId="0FCB0702" w14:textId="77777777" w:rsidR="00B36A05" w:rsidRPr="001F7945" w:rsidRDefault="00B36A05" w:rsidP="003D4A8B">
            <w:pPr>
              <w:pStyle w:val="Tablesmalltext"/>
              <w:jc w:val="center"/>
              <w:rPr>
                <w:rFonts w:eastAsia="Times New Roman"/>
                <w:bCs/>
                <w:lang w:val="en-AU" w:eastAsia="en-AU"/>
              </w:rPr>
            </w:pPr>
            <w:r w:rsidRPr="00F57E11">
              <w:t>No</w:t>
            </w:r>
          </w:p>
        </w:tc>
        <w:tc>
          <w:tcPr>
            <w:tcW w:w="992" w:type="dxa"/>
            <w:shd w:val="clear" w:color="auto" w:fill="FFFF00"/>
          </w:tcPr>
          <w:p w14:paraId="7AD89204" w14:textId="3A9CA0CE" w:rsidR="00B36A05" w:rsidRPr="001F7945" w:rsidRDefault="00B36A05" w:rsidP="008D021D">
            <w:pPr>
              <w:pStyle w:val="Tablesmalltext"/>
              <w:tabs>
                <w:tab w:val="left" w:pos="255"/>
                <w:tab w:val="center" w:pos="388"/>
              </w:tabs>
              <w:jc w:val="center"/>
              <w:rPr>
                <w:rFonts w:eastAsia="Times New Roman"/>
                <w:bCs/>
                <w:lang w:val="en-AU" w:eastAsia="en-AU"/>
              </w:rPr>
            </w:pPr>
            <w:r>
              <w:t>Yes</w:t>
            </w:r>
          </w:p>
        </w:tc>
        <w:tc>
          <w:tcPr>
            <w:tcW w:w="993" w:type="dxa"/>
            <w:shd w:val="clear" w:color="auto" w:fill="auto"/>
          </w:tcPr>
          <w:p w14:paraId="6166AFCB" w14:textId="77777777" w:rsidR="00B36A05" w:rsidRPr="001F7945" w:rsidRDefault="00B36A05" w:rsidP="003D4A8B">
            <w:pPr>
              <w:pStyle w:val="Tablesmalltext"/>
              <w:jc w:val="center"/>
              <w:rPr>
                <w:rFonts w:eastAsia="Times New Roman"/>
                <w:bCs/>
                <w:lang w:val="en-AU" w:eastAsia="en-AU"/>
              </w:rPr>
            </w:pPr>
            <w:r w:rsidRPr="00AA3705">
              <w:t>450</w:t>
            </w:r>
          </w:p>
        </w:tc>
        <w:tc>
          <w:tcPr>
            <w:tcW w:w="1060" w:type="dxa"/>
            <w:shd w:val="clear" w:color="auto" w:fill="auto"/>
          </w:tcPr>
          <w:p w14:paraId="3B72E0D4" w14:textId="77777777" w:rsidR="00B36A05" w:rsidRPr="001F7945" w:rsidRDefault="00B36A05" w:rsidP="003D4A8B">
            <w:pPr>
              <w:pStyle w:val="Tablesmalltext"/>
              <w:jc w:val="center"/>
              <w:rPr>
                <w:rFonts w:eastAsia="Times New Roman"/>
                <w:bCs/>
                <w:lang w:val="en-AU" w:eastAsia="en-AU"/>
              </w:rPr>
            </w:pPr>
            <w:r w:rsidRPr="00934051">
              <w:t>20</w:t>
            </w:r>
          </w:p>
        </w:tc>
        <w:tc>
          <w:tcPr>
            <w:tcW w:w="1144" w:type="dxa"/>
            <w:shd w:val="clear" w:color="auto" w:fill="auto"/>
          </w:tcPr>
          <w:p w14:paraId="4127F5F0"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High</w:t>
            </w:r>
          </w:p>
        </w:tc>
        <w:tc>
          <w:tcPr>
            <w:tcW w:w="899" w:type="dxa"/>
            <w:shd w:val="clear" w:color="auto" w:fill="auto"/>
          </w:tcPr>
          <w:p w14:paraId="3512D89F" w14:textId="77777777" w:rsidR="00B36A05" w:rsidRPr="001F7945" w:rsidRDefault="00B36A05" w:rsidP="003D4A8B">
            <w:pPr>
              <w:pStyle w:val="Tablesmalltext"/>
              <w:jc w:val="center"/>
              <w:rPr>
                <w:rFonts w:eastAsia="Times New Roman"/>
                <w:bCs/>
                <w:lang w:val="en-AU" w:eastAsia="en-AU"/>
              </w:rPr>
            </w:pPr>
            <w:r>
              <w:t>No</w:t>
            </w:r>
          </w:p>
        </w:tc>
        <w:tc>
          <w:tcPr>
            <w:tcW w:w="1144" w:type="dxa"/>
            <w:shd w:val="clear" w:color="auto" w:fill="auto"/>
          </w:tcPr>
          <w:p w14:paraId="2F0D1CD6"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No</w:t>
            </w:r>
          </w:p>
        </w:tc>
      </w:tr>
      <w:tr w:rsidR="00B36A05" w:rsidRPr="001F7945" w14:paraId="2A6943DC" w14:textId="77777777" w:rsidTr="008D021D">
        <w:trPr>
          <w:trHeight w:val="240"/>
        </w:trPr>
        <w:tc>
          <w:tcPr>
            <w:tcW w:w="753" w:type="dxa"/>
            <w:gridSpan w:val="2"/>
            <w:shd w:val="clear" w:color="auto" w:fill="auto"/>
            <w:noWrap/>
            <w:vAlign w:val="center"/>
          </w:tcPr>
          <w:p w14:paraId="25A15F95" w14:textId="77777777" w:rsidR="00B36A05" w:rsidRPr="001F7945" w:rsidRDefault="00B36A05" w:rsidP="00B36A05">
            <w:pPr>
              <w:pStyle w:val="Tablesmalltext"/>
              <w:jc w:val="center"/>
              <w:rPr>
                <w:rFonts w:eastAsia="Times New Roman"/>
                <w:bCs/>
                <w:lang w:val="en-AU" w:eastAsia="en-AU"/>
              </w:rPr>
            </w:pPr>
            <w:r>
              <w:t>19</w:t>
            </w:r>
          </w:p>
        </w:tc>
        <w:tc>
          <w:tcPr>
            <w:tcW w:w="1449" w:type="dxa"/>
            <w:shd w:val="clear" w:color="auto" w:fill="auto"/>
          </w:tcPr>
          <w:p w14:paraId="3ADC9FE3" w14:textId="77777777" w:rsidR="00B36A05" w:rsidRPr="001F7945" w:rsidRDefault="00B36A05" w:rsidP="003D4A8B">
            <w:pPr>
              <w:pStyle w:val="Tablesmalltext"/>
              <w:rPr>
                <w:rFonts w:eastAsia="Times New Roman"/>
                <w:bCs/>
                <w:lang w:val="en-AU" w:eastAsia="en-AU"/>
              </w:rPr>
            </w:pPr>
            <w:r w:rsidRPr="00C648CD">
              <w:t>699-520-0001</w:t>
            </w:r>
          </w:p>
        </w:tc>
        <w:tc>
          <w:tcPr>
            <w:tcW w:w="1669" w:type="dxa"/>
            <w:gridSpan w:val="2"/>
            <w:shd w:val="clear" w:color="auto" w:fill="auto"/>
          </w:tcPr>
          <w:p w14:paraId="3CEE8941" w14:textId="77777777" w:rsidR="00B36A05" w:rsidRPr="001F7945" w:rsidRDefault="00B36A05" w:rsidP="003D4A8B">
            <w:pPr>
              <w:pStyle w:val="Tablesmalltext"/>
              <w:rPr>
                <w:rFonts w:eastAsia="Times New Roman"/>
                <w:bCs/>
                <w:lang w:val="en-AU" w:eastAsia="en-AU"/>
              </w:rPr>
            </w:pPr>
            <w:r w:rsidRPr="00C648CD">
              <w:t>Rossignol</w:t>
            </w:r>
          </w:p>
        </w:tc>
        <w:tc>
          <w:tcPr>
            <w:tcW w:w="851" w:type="dxa"/>
            <w:shd w:val="clear" w:color="auto" w:fill="auto"/>
          </w:tcPr>
          <w:p w14:paraId="26144886" w14:textId="77777777" w:rsidR="00B36A05" w:rsidRPr="001F7945" w:rsidRDefault="00B36A05" w:rsidP="003D4A8B">
            <w:pPr>
              <w:pStyle w:val="Tablesmalltext"/>
              <w:jc w:val="center"/>
              <w:rPr>
                <w:rFonts w:eastAsia="Times New Roman"/>
                <w:bCs/>
                <w:lang w:val="en-AU" w:eastAsia="en-AU"/>
              </w:rPr>
            </w:pPr>
            <w:r w:rsidRPr="000D278A">
              <w:t>NE</w:t>
            </w:r>
          </w:p>
        </w:tc>
        <w:tc>
          <w:tcPr>
            <w:tcW w:w="1491" w:type="dxa"/>
            <w:shd w:val="clear" w:color="auto" w:fill="auto"/>
          </w:tcPr>
          <w:p w14:paraId="732F0236" w14:textId="77777777" w:rsidR="00B36A05" w:rsidRPr="001F7945" w:rsidRDefault="00B36A05" w:rsidP="003D4A8B">
            <w:pPr>
              <w:pStyle w:val="Tablesmalltext"/>
              <w:jc w:val="center"/>
              <w:rPr>
                <w:rFonts w:eastAsia="Times New Roman"/>
                <w:bCs/>
                <w:lang w:val="en-AU" w:eastAsia="en-AU"/>
              </w:rPr>
            </w:pPr>
            <w:r w:rsidRPr="0011478C">
              <w:t>Regenerating</w:t>
            </w:r>
          </w:p>
        </w:tc>
        <w:tc>
          <w:tcPr>
            <w:tcW w:w="1202" w:type="dxa"/>
            <w:gridSpan w:val="2"/>
            <w:shd w:val="clear" w:color="auto" w:fill="auto"/>
          </w:tcPr>
          <w:p w14:paraId="6D74C108" w14:textId="77777777" w:rsidR="00B36A05" w:rsidRPr="001F7945" w:rsidRDefault="00B36A05" w:rsidP="003D4A8B">
            <w:pPr>
              <w:pStyle w:val="Tablesmalltext"/>
              <w:jc w:val="center"/>
              <w:rPr>
                <w:rFonts w:eastAsia="Times New Roman"/>
                <w:bCs/>
                <w:lang w:val="en-AU" w:eastAsia="en-AU"/>
              </w:rPr>
            </w:pPr>
            <w:r w:rsidRPr="00C26C2B">
              <w:t>16.64</w:t>
            </w:r>
          </w:p>
        </w:tc>
        <w:tc>
          <w:tcPr>
            <w:tcW w:w="1134" w:type="dxa"/>
            <w:shd w:val="clear" w:color="auto" w:fill="auto"/>
          </w:tcPr>
          <w:p w14:paraId="331E5402" w14:textId="77777777" w:rsidR="00B36A05" w:rsidRPr="001F7945" w:rsidRDefault="00B36A05" w:rsidP="003D4A8B">
            <w:pPr>
              <w:pStyle w:val="Tablesmalltext"/>
              <w:jc w:val="center"/>
              <w:rPr>
                <w:rFonts w:eastAsia="Times New Roman"/>
                <w:bCs/>
                <w:lang w:val="en-AU" w:eastAsia="en-AU"/>
              </w:rPr>
            </w:pPr>
            <w:r w:rsidRPr="00F57E11">
              <w:t>No</w:t>
            </w:r>
          </w:p>
        </w:tc>
        <w:tc>
          <w:tcPr>
            <w:tcW w:w="992" w:type="dxa"/>
            <w:shd w:val="clear" w:color="auto" w:fill="FFFF00"/>
          </w:tcPr>
          <w:p w14:paraId="2D898D32" w14:textId="77777777" w:rsidR="00B36A05" w:rsidRPr="001F7945" w:rsidRDefault="00B36A05" w:rsidP="003D4A8B">
            <w:pPr>
              <w:pStyle w:val="Tablesmalltext"/>
              <w:jc w:val="center"/>
              <w:rPr>
                <w:rFonts w:eastAsia="Times New Roman"/>
                <w:bCs/>
                <w:lang w:val="en-AU" w:eastAsia="en-AU"/>
              </w:rPr>
            </w:pPr>
            <w:r>
              <w:t>Yes</w:t>
            </w:r>
          </w:p>
        </w:tc>
        <w:tc>
          <w:tcPr>
            <w:tcW w:w="993" w:type="dxa"/>
            <w:shd w:val="clear" w:color="auto" w:fill="auto"/>
          </w:tcPr>
          <w:p w14:paraId="10FA810C" w14:textId="77777777" w:rsidR="00B36A05" w:rsidRPr="001F7945" w:rsidRDefault="00B36A05" w:rsidP="003D4A8B">
            <w:pPr>
              <w:pStyle w:val="Tablesmalltext"/>
              <w:jc w:val="center"/>
              <w:rPr>
                <w:rFonts w:eastAsia="Times New Roman"/>
                <w:bCs/>
                <w:lang w:val="en-AU" w:eastAsia="en-AU"/>
              </w:rPr>
            </w:pPr>
            <w:r w:rsidRPr="00AA3705">
              <w:t>200</w:t>
            </w:r>
          </w:p>
        </w:tc>
        <w:tc>
          <w:tcPr>
            <w:tcW w:w="1060" w:type="dxa"/>
            <w:shd w:val="clear" w:color="auto" w:fill="auto"/>
          </w:tcPr>
          <w:p w14:paraId="75356094" w14:textId="77777777" w:rsidR="00B36A05" w:rsidRPr="001F7945" w:rsidRDefault="00B36A05" w:rsidP="003D4A8B">
            <w:pPr>
              <w:pStyle w:val="Tablesmalltext"/>
              <w:jc w:val="center"/>
              <w:rPr>
                <w:rFonts w:eastAsia="Times New Roman"/>
                <w:bCs/>
                <w:lang w:val="en-AU" w:eastAsia="en-AU"/>
              </w:rPr>
            </w:pPr>
            <w:r w:rsidRPr="00934051">
              <w:t>10</w:t>
            </w:r>
          </w:p>
        </w:tc>
        <w:tc>
          <w:tcPr>
            <w:tcW w:w="1144" w:type="dxa"/>
            <w:shd w:val="clear" w:color="auto" w:fill="auto"/>
          </w:tcPr>
          <w:p w14:paraId="1BC708F3"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High</w:t>
            </w:r>
          </w:p>
        </w:tc>
        <w:tc>
          <w:tcPr>
            <w:tcW w:w="899" w:type="dxa"/>
            <w:shd w:val="clear" w:color="auto" w:fill="auto"/>
          </w:tcPr>
          <w:p w14:paraId="3DAF1D6E" w14:textId="77777777" w:rsidR="00B36A05" w:rsidRPr="001F7945" w:rsidRDefault="00B36A05" w:rsidP="003D4A8B">
            <w:pPr>
              <w:pStyle w:val="Tablesmalltext"/>
              <w:jc w:val="center"/>
              <w:rPr>
                <w:rFonts w:eastAsia="Times New Roman"/>
                <w:bCs/>
                <w:lang w:val="en-AU" w:eastAsia="en-AU"/>
              </w:rPr>
            </w:pPr>
            <w:r w:rsidRPr="00B2724F">
              <w:t>Yes</w:t>
            </w:r>
          </w:p>
        </w:tc>
        <w:tc>
          <w:tcPr>
            <w:tcW w:w="1144" w:type="dxa"/>
            <w:shd w:val="clear" w:color="auto" w:fill="auto"/>
          </w:tcPr>
          <w:p w14:paraId="0208E5EC" w14:textId="77777777" w:rsidR="00B36A05" w:rsidRPr="001F7945" w:rsidRDefault="00B36A05" w:rsidP="003D4A8B">
            <w:pPr>
              <w:pStyle w:val="Tablesmalltext"/>
              <w:jc w:val="center"/>
              <w:rPr>
                <w:rFonts w:eastAsia="Times New Roman"/>
                <w:bCs/>
                <w:lang w:val="en-AU" w:eastAsia="en-AU"/>
              </w:rPr>
            </w:pPr>
            <w:r>
              <w:t>&lt;500 m</w:t>
            </w:r>
          </w:p>
        </w:tc>
      </w:tr>
      <w:tr w:rsidR="00B36A05" w:rsidRPr="001F7945" w14:paraId="00B4BDC8" w14:textId="77777777" w:rsidTr="002B7966">
        <w:trPr>
          <w:trHeight w:val="240"/>
        </w:trPr>
        <w:tc>
          <w:tcPr>
            <w:tcW w:w="753" w:type="dxa"/>
            <w:gridSpan w:val="2"/>
            <w:shd w:val="clear" w:color="auto" w:fill="auto"/>
            <w:noWrap/>
            <w:vAlign w:val="center"/>
          </w:tcPr>
          <w:p w14:paraId="235D2073" w14:textId="77777777" w:rsidR="00B36A05" w:rsidRPr="001F7945" w:rsidRDefault="00B36A05" w:rsidP="00B36A05">
            <w:pPr>
              <w:pStyle w:val="Tablesmalltext"/>
              <w:jc w:val="center"/>
              <w:rPr>
                <w:rFonts w:eastAsia="Times New Roman"/>
                <w:bCs/>
                <w:lang w:val="en-AU" w:eastAsia="en-AU"/>
              </w:rPr>
            </w:pPr>
            <w:r>
              <w:t>20</w:t>
            </w:r>
          </w:p>
        </w:tc>
        <w:tc>
          <w:tcPr>
            <w:tcW w:w="1449" w:type="dxa"/>
            <w:shd w:val="clear" w:color="auto" w:fill="auto"/>
          </w:tcPr>
          <w:p w14:paraId="46B297DF" w14:textId="77777777" w:rsidR="00B36A05" w:rsidRPr="001F7945" w:rsidRDefault="00B36A05" w:rsidP="003D4A8B">
            <w:pPr>
              <w:pStyle w:val="Tablesmalltext"/>
              <w:rPr>
                <w:rFonts w:eastAsia="Times New Roman"/>
                <w:bCs/>
                <w:lang w:val="en-AU" w:eastAsia="en-AU"/>
              </w:rPr>
            </w:pPr>
            <w:r w:rsidRPr="00C648CD">
              <w:t>699-524-0003</w:t>
            </w:r>
          </w:p>
        </w:tc>
        <w:tc>
          <w:tcPr>
            <w:tcW w:w="1669" w:type="dxa"/>
            <w:gridSpan w:val="2"/>
            <w:shd w:val="clear" w:color="auto" w:fill="auto"/>
          </w:tcPr>
          <w:p w14:paraId="4C79136A" w14:textId="77777777" w:rsidR="00B36A05" w:rsidRPr="001F7945" w:rsidRDefault="00B36A05" w:rsidP="003D4A8B">
            <w:pPr>
              <w:pStyle w:val="Tablesmalltext"/>
              <w:rPr>
                <w:rFonts w:eastAsia="Times New Roman"/>
                <w:bCs/>
                <w:lang w:val="en-AU" w:eastAsia="en-AU"/>
              </w:rPr>
            </w:pPr>
            <w:r w:rsidRPr="00C648CD">
              <w:t>Telemark</w:t>
            </w:r>
          </w:p>
        </w:tc>
        <w:tc>
          <w:tcPr>
            <w:tcW w:w="851" w:type="dxa"/>
            <w:shd w:val="clear" w:color="auto" w:fill="auto"/>
          </w:tcPr>
          <w:p w14:paraId="5BEA9555" w14:textId="77777777" w:rsidR="00B36A05" w:rsidRPr="001F7945" w:rsidRDefault="00B36A05" w:rsidP="003D4A8B">
            <w:pPr>
              <w:pStyle w:val="Tablesmalltext"/>
              <w:jc w:val="center"/>
              <w:rPr>
                <w:rFonts w:eastAsia="Times New Roman"/>
                <w:bCs/>
                <w:lang w:val="en-AU" w:eastAsia="en-AU"/>
              </w:rPr>
            </w:pPr>
            <w:r w:rsidRPr="000D278A">
              <w:t>NE</w:t>
            </w:r>
          </w:p>
        </w:tc>
        <w:tc>
          <w:tcPr>
            <w:tcW w:w="1491" w:type="dxa"/>
            <w:shd w:val="clear" w:color="auto" w:fill="auto"/>
          </w:tcPr>
          <w:p w14:paraId="516FD730" w14:textId="77777777" w:rsidR="00B36A05" w:rsidRPr="001F7945" w:rsidRDefault="00B36A05" w:rsidP="003D4A8B">
            <w:pPr>
              <w:pStyle w:val="Tablesmalltext"/>
              <w:jc w:val="center"/>
              <w:rPr>
                <w:rFonts w:eastAsia="Times New Roman"/>
                <w:bCs/>
                <w:lang w:val="en-AU" w:eastAsia="en-AU"/>
              </w:rPr>
            </w:pPr>
            <w:r w:rsidRPr="0011478C">
              <w:t>Regenerating</w:t>
            </w:r>
          </w:p>
        </w:tc>
        <w:tc>
          <w:tcPr>
            <w:tcW w:w="1202" w:type="dxa"/>
            <w:gridSpan w:val="2"/>
            <w:shd w:val="clear" w:color="auto" w:fill="auto"/>
          </w:tcPr>
          <w:p w14:paraId="4A9F2933" w14:textId="77777777" w:rsidR="00B36A05" w:rsidRPr="001F7945" w:rsidRDefault="00B36A05" w:rsidP="003D4A8B">
            <w:pPr>
              <w:pStyle w:val="Tablesmalltext"/>
              <w:jc w:val="center"/>
              <w:rPr>
                <w:rFonts w:eastAsia="Times New Roman"/>
                <w:bCs/>
                <w:lang w:val="en-AU" w:eastAsia="en-AU"/>
              </w:rPr>
            </w:pPr>
            <w:r w:rsidRPr="00C26C2B">
              <w:t>13.18</w:t>
            </w:r>
          </w:p>
        </w:tc>
        <w:tc>
          <w:tcPr>
            <w:tcW w:w="1134" w:type="dxa"/>
            <w:shd w:val="clear" w:color="auto" w:fill="auto"/>
          </w:tcPr>
          <w:p w14:paraId="56FC5E6C" w14:textId="77777777" w:rsidR="00B36A05" w:rsidRPr="001F7945" w:rsidRDefault="00B36A05" w:rsidP="003D4A8B">
            <w:pPr>
              <w:pStyle w:val="Tablesmalltext"/>
              <w:jc w:val="center"/>
              <w:rPr>
                <w:rFonts w:eastAsia="Times New Roman"/>
                <w:bCs/>
                <w:lang w:val="en-AU" w:eastAsia="en-AU"/>
              </w:rPr>
            </w:pPr>
            <w:r w:rsidRPr="00F57E11">
              <w:t>No</w:t>
            </w:r>
          </w:p>
        </w:tc>
        <w:tc>
          <w:tcPr>
            <w:tcW w:w="992" w:type="dxa"/>
            <w:shd w:val="clear" w:color="auto" w:fill="FF0000"/>
          </w:tcPr>
          <w:p w14:paraId="2ABF275B" w14:textId="6C5D2FE8" w:rsidR="00B36A05" w:rsidRPr="001F7945" w:rsidRDefault="008D021D" w:rsidP="003D4A8B">
            <w:pPr>
              <w:pStyle w:val="Tablesmalltext"/>
              <w:jc w:val="center"/>
              <w:rPr>
                <w:rFonts w:eastAsia="Times New Roman"/>
                <w:bCs/>
                <w:lang w:val="en-AU" w:eastAsia="en-AU"/>
              </w:rPr>
            </w:pPr>
            <w:r>
              <w:t>No</w:t>
            </w:r>
          </w:p>
        </w:tc>
        <w:tc>
          <w:tcPr>
            <w:tcW w:w="993" w:type="dxa"/>
            <w:shd w:val="clear" w:color="auto" w:fill="92D050"/>
          </w:tcPr>
          <w:p w14:paraId="0255AAE6" w14:textId="79483FF9" w:rsidR="00B36A05" w:rsidRPr="001F7945" w:rsidRDefault="002B7966" w:rsidP="003D4A8B">
            <w:pPr>
              <w:pStyle w:val="Tablesmalltext"/>
              <w:jc w:val="center"/>
              <w:rPr>
                <w:rFonts w:eastAsia="Times New Roman"/>
                <w:bCs/>
                <w:lang w:val="en-AU" w:eastAsia="en-AU"/>
              </w:rPr>
            </w:pPr>
            <w:r>
              <w:t>&lt;50</w:t>
            </w:r>
          </w:p>
        </w:tc>
        <w:tc>
          <w:tcPr>
            <w:tcW w:w="1060" w:type="dxa"/>
            <w:shd w:val="clear" w:color="auto" w:fill="auto"/>
          </w:tcPr>
          <w:p w14:paraId="2B89EF0E" w14:textId="77777777" w:rsidR="00B36A05" w:rsidRPr="001F7945" w:rsidRDefault="00B36A05" w:rsidP="003D4A8B">
            <w:pPr>
              <w:pStyle w:val="Tablesmalltext"/>
              <w:jc w:val="center"/>
              <w:rPr>
                <w:rFonts w:eastAsia="Times New Roman"/>
                <w:bCs/>
                <w:lang w:val="en-AU" w:eastAsia="en-AU"/>
              </w:rPr>
            </w:pPr>
            <w:r w:rsidRPr="00934051">
              <w:t>10</w:t>
            </w:r>
          </w:p>
        </w:tc>
        <w:tc>
          <w:tcPr>
            <w:tcW w:w="1144" w:type="dxa"/>
            <w:shd w:val="clear" w:color="auto" w:fill="auto"/>
          </w:tcPr>
          <w:p w14:paraId="65A4BA16"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High</w:t>
            </w:r>
          </w:p>
        </w:tc>
        <w:tc>
          <w:tcPr>
            <w:tcW w:w="899" w:type="dxa"/>
            <w:shd w:val="clear" w:color="auto" w:fill="auto"/>
          </w:tcPr>
          <w:p w14:paraId="7B83D234" w14:textId="77777777" w:rsidR="00B36A05" w:rsidRPr="001F7945" w:rsidRDefault="00B36A05" w:rsidP="003D4A8B">
            <w:pPr>
              <w:pStyle w:val="Tablesmalltext"/>
              <w:jc w:val="center"/>
              <w:rPr>
                <w:rFonts w:eastAsia="Times New Roman"/>
                <w:bCs/>
                <w:lang w:val="en-AU" w:eastAsia="en-AU"/>
              </w:rPr>
            </w:pPr>
            <w:r w:rsidRPr="00B2724F">
              <w:t>Yes</w:t>
            </w:r>
          </w:p>
        </w:tc>
        <w:tc>
          <w:tcPr>
            <w:tcW w:w="1144" w:type="dxa"/>
            <w:shd w:val="clear" w:color="auto" w:fill="auto"/>
          </w:tcPr>
          <w:p w14:paraId="0B240A88" w14:textId="77777777" w:rsidR="00B36A05" w:rsidRPr="001F7945" w:rsidRDefault="00B36A05" w:rsidP="003D4A8B">
            <w:pPr>
              <w:pStyle w:val="Tablesmalltext"/>
              <w:jc w:val="center"/>
              <w:rPr>
                <w:rFonts w:eastAsia="Times New Roman"/>
                <w:bCs/>
                <w:lang w:val="en-AU" w:eastAsia="en-AU"/>
              </w:rPr>
            </w:pPr>
            <w:r>
              <w:rPr>
                <w:rFonts w:eastAsia="Times New Roman"/>
                <w:bCs/>
                <w:lang w:val="en-AU" w:eastAsia="en-AU"/>
              </w:rPr>
              <w:t>Coupe</w:t>
            </w:r>
          </w:p>
        </w:tc>
      </w:tr>
      <w:tr w:rsidR="00B36A05" w:rsidRPr="001C0F84" w14:paraId="39A6C9C5" w14:textId="77777777" w:rsidTr="00FE3FF2">
        <w:trPr>
          <w:trHeight w:val="240"/>
        </w:trPr>
        <w:tc>
          <w:tcPr>
            <w:tcW w:w="2202" w:type="dxa"/>
            <w:gridSpan w:val="3"/>
            <w:shd w:val="clear" w:color="auto" w:fill="D9D9D9" w:themeFill="background1" w:themeFillShade="D9"/>
            <w:noWrap/>
            <w:vAlign w:val="center"/>
            <w:hideMark/>
          </w:tcPr>
          <w:p w14:paraId="30E141E0" w14:textId="77777777" w:rsidR="00B36A05" w:rsidRPr="00B60EE5" w:rsidRDefault="00B36A05" w:rsidP="00FE3FF2">
            <w:pPr>
              <w:pStyle w:val="Tablesmalltext"/>
              <w:keepNext/>
              <w:rPr>
                <w:rFonts w:eastAsia="Times New Roman"/>
                <w:b/>
                <w:lang w:val="en-AU" w:eastAsia="en-AU"/>
              </w:rPr>
            </w:pPr>
            <w:r>
              <w:rPr>
                <w:rFonts w:eastAsia="Times New Roman"/>
                <w:b/>
                <w:lang w:val="en-AU" w:eastAsia="en-AU"/>
              </w:rPr>
              <w:lastRenderedPageBreak/>
              <w:t>Tambo FMA</w:t>
            </w:r>
          </w:p>
        </w:tc>
        <w:tc>
          <w:tcPr>
            <w:tcW w:w="1669" w:type="dxa"/>
            <w:gridSpan w:val="2"/>
            <w:shd w:val="clear" w:color="auto" w:fill="D9D9D9" w:themeFill="background1" w:themeFillShade="D9"/>
            <w:vAlign w:val="center"/>
            <w:hideMark/>
          </w:tcPr>
          <w:p w14:paraId="4CA90C43" w14:textId="77777777" w:rsidR="00B36A05" w:rsidRPr="001C0F84" w:rsidRDefault="00B36A05" w:rsidP="003D4A8B">
            <w:pPr>
              <w:pStyle w:val="Tablesmalltext"/>
              <w:rPr>
                <w:rFonts w:eastAsia="Times New Roman"/>
                <w:lang w:val="en-AU" w:eastAsia="en-AU"/>
              </w:rPr>
            </w:pPr>
          </w:p>
        </w:tc>
        <w:tc>
          <w:tcPr>
            <w:tcW w:w="851" w:type="dxa"/>
            <w:shd w:val="clear" w:color="auto" w:fill="D9D9D9" w:themeFill="background1" w:themeFillShade="D9"/>
          </w:tcPr>
          <w:p w14:paraId="0C483C2C" w14:textId="77777777" w:rsidR="00B36A05" w:rsidRPr="001C0F84" w:rsidRDefault="00B36A05" w:rsidP="003D4A8B">
            <w:pPr>
              <w:pStyle w:val="Tablesmalltext"/>
              <w:rPr>
                <w:rFonts w:eastAsia="Times New Roman"/>
                <w:lang w:val="en-AU" w:eastAsia="en-AU"/>
              </w:rPr>
            </w:pPr>
          </w:p>
        </w:tc>
        <w:tc>
          <w:tcPr>
            <w:tcW w:w="1491" w:type="dxa"/>
            <w:shd w:val="clear" w:color="auto" w:fill="D9D9D9" w:themeFill="background1" w:themeFillShade="D9"/>
            <w:vAlign w:val="center"/>
            <w:hideMark/>
          </w:tcPr>
          <w:p w14:paraId="4A392D44" w14:textId="77777777" w:rsidR="00B36A05" w:rsidRPr="001C0F84" w:rsidRDefault="00B36A05" w:rsidP="003D4A8B">
            <w:pPr>
              <w:pStyle w:val="Tablesmalltext"/>
              <w:rPr>
                <w:rFonts w:eastAsia="Times New Roman"/>
                <w:lang w:val="en-AU" w:eastAsia="en-AU"/>
              </w:rPr>
            </w:pPr>
          </w:p>
        </w:tc>
        <w:tc>
          <w:tcPr>
            <w:tcW w:w="1202" w:type="dxa"/>
            <w:gridSpan w:val="2"/>
            <w:shd w:val="clear" w:color="auto" w:fill="D9D9D9" w:themeFill="background1" w:themeFillShade="D9"/>
          </w:tcPr>
          <w:p w14:paraId="0E8A55E9" w14:textId="77777777" w:rsidR="00B36A05" w:rsidRPr="001C0F84" w:rsidRDefault="00B36A05" w:rsidP="003D4A8B">
            <w:pPr>
              <w:pStyle w:val="Tablesmalltext"/>
              <w:rPr>
                <w:rFonts w:eastAsia="Times New Roman"/>
                <w:lang w:val="en-AU" w:eastAsia="en-AU"/>
              </w:rPr>
            </w:pPr>
          </w:p>
        </w:tc>
        <w:tc>
          <w:tcPr>
            <w:tcW w:w="1134" w:type="dxa"/>
            <w:shd w:val="clear" w:color="auto" w:fill="D9D9D9" w:themeFill="background1" w:themeFillShade="D9"/>
            <w:vAlign w:val="center"/>
            <w:hideMark/>
          </w:tcPr>
          <w:p w14:paraId="6C0E74B4" w14:textId="77777777" w:rsidR="00B36A05" w:rsidRPr="001C0F84" w:rsidRDefault="00B36A05" w:rsidP="003D4A8B">
            <w:pPr>
              <w:pStyle w:val="Tablesmalltext"/>
              <w:rPr>
                <w:rFonts w:eastAsia="Times New Roman"/>
                <w:lang w:val="en-AU" w:eastAsia="en-AU"/>
              </w:rPr>
            </w:pPr>
          </w:p>
        </w:tc>
        <w:tc>
          <w:tcPr>
            <w:tcW w:w="992" w:type="dxa"/>
            <w:shd w:val="clear" w:color="auto" w:fill="D9D9D9" w:themeFill="background1" w:themeFillShade="D9"/>
            <w:vAlign w:val="center"/>
            <w:hideMark/>
          </w:tcPr>
          <w:p w14:paraId="01A00BEA" w14:textId="77777777" w:rsidR="00B36A05" w:rsidRPr="001C0F84" w:rsidRDefault="00B36A05" w:rsidP="003D4A8B">
            <w:pPr>
              <w:pStyle w:val="Tablesmalltext"/>
              <w:jc w:val="center"/>
              <w:rPr>
                <w:rFonts w:eastAsia="Times New Roman"/>
                <w:lang w:val="en-AU" w:eastAsia="en-AU"/>
              </w:rPr>
            </w:pPr>
          </w:p>
        </w:tc>
        <w:tc>
          <w:tcPr>
            <w:tcW w:w="993" w:type="dxa"/>
            <w:shd w:val="clear" w:color="auto" w:fill="D9D9D9" w:themeFill="background1" w:themeFillShade="D9"/>
            <w:vAlign w:val="center"/>
            <w:hideMark/>
          </w:tcPr>
          <w:p w14:paraId="73F5C07C" w14:textId="77777777" w:rsidR="00B36A05" w:rsidRPr="001C0F84" w:rsidRDefault="00B36A05" w:rsidP="003D4A8B">
            <w:pPr>
              <w:pStyle w:val="Tablesmalltext"/>
              <w:jc w:val="center"/>
              <w:rPr>
                <w:rFonts w:eastAsia="Times New Roman"/>
                <w:lang w:val="en-AU" w:eastAsia="en-AU"/>
              </w:rPr>
            </w:pPr>
          </w:p>
        </w:tc>
        <w:tc>
          <w:tcPr>
            <w:tcW w:w="1060" w:type="dxa"/>
            <w:shd w:val="clear" w:color="auto" w:fill="D9D9D9" w:themeFill="background1" w:themeFillShade="D9"/>
          </w:tcPr>
          <w:p w14:paraId="35E642E5"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5DA11525" w14:textId="77777777" w:rsidR="00B36A05" w:rsidRPr="001C0F84" w:rsidRDefault="00B36A05" w:rsidP="003D4A8B">
            <w:pPr>
              <w:pStyle w:val="Tablesmalltext"/>
              <w:jc w:val="center"/>
              <w:rPr>
                <w:rFonts w:eastAsia="Times New Roman"/>
                <w:lang w:val="en-AU" w:eastAsia="en-AU"/>
              </w:rPr>
            </w:pPr>
          </w:p>
        </w:tc>
        <w:tc>
          <w:tcPr>
            <w:tcW w:w="899" w:type="dxa"/>
            <w:shd w:val="clear" w:color="auto" w:fill="D9D9D9" w:themeFill="background1" w:themeFillShade="D9"/>
          </w:tcPr>
          <w:p w14:paraId="07B51100"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4859D756" w14:textId="77777777" w:rsidR="00B36A05" w:rsidRPr="001C0F84" w:rsidRDefault="00B36A05" w:rsidP="003D4A8B">
            <w:pPr>
              <w:pStyle w:val="Tablesmalltext"/>
              <w:jc w:val="center"/>
              <w:rPr>
                <w:rFonts w:eastAsia="Times New Roman"/>
                <w:lang w:val="en-AU" w:eastAsia="en-AU"/>
              </w:rPr>
            </w:pPr>
          </w:p>
        </w:tc>
      </w:tr>
      <w:tr w:rsidR="00B36A05" w:rsidRPr="001C0F84" w14:paraId="74996CC1" w14:textId="77777777" w:rsidTr="00C476AF">
        <w:trPr>
          <w:trHeight w:val="240"/>
        </w:trPr>
        <w:tc>
          <w:tcPr>
            <w:tcW w:w="723" w:type="dxa"/>
            <w:shd w:val="clear" w:color="auto" w:fill="FFFFFF" w:themeFill="background1"/>
            <w:noWrap/>
            <w:vAlign w:val="center"/>
          </w:tcPr>
          <w:p w14:paraId="4E976800" w14:textId="77777777" w:rsidR="00B36A05" w:rsidRDefault="00B36A05" w:rsidP="00B36A05">
            <w:pPr>
              <w:pStyle w:val="Tablesmalltext"/>
              <w:jc w:val="center"/>
            </w:pPr>
            <w:r>
              <w:t>21</w:t>
            </w:r>
          </w:p>
        </w:tc>
        <w:tc>
          <w:tcPr>
            <w:tcW w:w="1485" w:type="dxa"/>
            <w:gridSpan w:val="3"/>
            <w:shd w:val="clear" w:color="auto" w:fill="FFFFFF" w:themeFill="background1"/>
          </w:tcPr>
          <w:p w14:paraId="217DB53F" w14:textId="77777777" w:rsidR="00B36A05" w:rsidRPr="001C0F84" w:rsidRDefault="00B36A05" w:rsidP="003D4A8B">
            <w:pPr>
              <w:pStyle w:val="Tablesmalltext"/>
              <w:rPr>
                <w:rFonts w:eastAsia="Times New Roman"/>
                <w:lang w:val="en-AU" w:eastAsia="en-AU"/>
              </w:rPr>
            </w:pPr>
            <w:r w:rsidRPr="006F7D36">
              <w:t>727-507-0005</w:t>
            </w:r>
          </w:p>
        </w:tc>
        <w:tc>
          <w:tcPr>
            <w:tcW w:w="1663" w:type="dxa"/>
            <w:shd w:val="clear" w:color="auto" w:fill="FFFFFF" w:themeFill="background1"/>
          </w:tcPr>
          <w:p w14:paraId="6E9F0548" w14:textId="77777777" w:rsidR="00B36A05" w:rsidRPr="001C0F84" w:rsidRDefault="00B36A05" w:rsidP="003D4A8B">
            <w:pPr>
              <w:pStyle w:val="Tablesmalltext"/>
              <w:rPr>
                <w:rFonts w:eastAsia="Times New Roman"/>
                <w:lang w:val="en-AU" w:eastAsia="en-AU"/>
              </w:rPr>
            </w:pPr>
            <w:r w:rsidRPr="006F7D36">
              <w:t>Dow Jones</w:t>
            </w:r>
          </w:p>
        </w:tc>
        <w:tc>
          <w:tcPr>
            <w:tcW w:w="851" w:type="dxa"/>
            <w:shd w:val="clear" w:color="auto" w:fill="FFFFFF" w:themeFill="background1"/>
          </w:tcPr>
          <w:p w14:paraId="659A7B5D"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TB</w:t>
            </w:r>
          </w:p>
        </w:tc>
        <w:tc>
          <w:tcPr>
            <w:tcW w:w="1498" w:type="dxa"/>
            <w:gridSpan w:val="2"/>
            <w:shd w:val="clear" w:color="auto" w:fill="FFFFFF" w:themeFill="background1"/>
          </w:tcPr>
          <w:p w14:paraId="727B8150" w14:textId="77777777" w:rsidR="00B36A05" w:rsidRPr="001C0F84" w:rsidRDefault="00B36A05" w:rsidP="003D4A8B">
            <w:pPr>
              <w:pStyle w:val="Tablesmalltext"/>
              <w:jc w:val="center"/>
              <w:rPr>
                <w:rFonts w:eastAsia="Times New Roman"/>
                <w:lang w:val="en-AU" w:eastAsia="en-AU"/>
              </w:rPr>
            </w:pPr>
            <w:r w:rsidRPr="00C92E46">
              <w:t>Regenerating</w:t>
            </w:r>
          </w:p>
        </w:tc>
        <w:tc>
          <w:tcPr>
            <w:tcW w:w="1195" w:type="dxa"/>
            <w:shd w:val="clear" w:color="auto" w:fill="FFFFFF" w:themeFill="background1"/>
          </w:tcPr>
          <w:p w14:paraId="071CD4CD" w14:textId="77777777" w:rsidR="00B36A05" w:rsidRPr="001C0F84" w:rsidRDefault="00B36A05" w:rsidP="003D4A8B">
            <w:pPr>
              <w:pStyle w:val="Tablesmalltext"/>
              <w:jc w:val="center"/>
              <w:rPr>
                <w:rFonts w:eastAsia="Times New Roman"/>
                <w:lang w:val="en-AU" w:eastAsia="en-AU"/>
              </w:rPr>
            </w:pPr>
            <w:r w:rsidRPr="00C943AD">
              <w:t>46.25</w:t>
            </w:r>
          </w:p>
        </w:tc>
        <w:tc>
          <w:tcPr>
            <w:tcW w:w="1134" w:type="dxa"/>
            <w:shd w:val="clear" w:color="auto" w:fill="FFFFFF" w:themeFill="background1"/>
          </w:tcPr>
          <w:p w14:paraId="781C5DF6"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FFFF00"/>
          </w:tcPr>
          <w:p w14:paraId="734DADFC"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Yes</w:t>
            </w:r>
          </w:p>
        </w:tc>
        <w:tc>
          <w:tcPr>
            <w:tcW w:w="993" w:type="dxa"/>
            <w:shd w:val="clear" w:color="auto" w:fill="FFFFFF" w:themeFill="background1"/>
            <w:noWrap/>
          </w:tcPr>
          <w:p w14:paraId="06189410" w14:textId="77777777" w:rsidR="00B36A05" w:rsidRPr="001C0F84" w:rsidRDefault="00B36A05" w:rsidP="003D4A8B">
            <w:pPr>
              <w:pStyle w:val="Tablesmalltext"/>
              <w:jc w:val="center"/>
              <w:rPr>
                <w:rFonts w:eastAsia="Times New Roman"/>
                <w:lang w:val="en-AU" w:eastAsia="en-AU"/>
              </w:rPr>
            </w:pPr>
            <w:r w:rsidRPr="0015690C">
              <w:t>500</w:t>
            </w:r>
          </w:p>
        </w:tc>
        <w:tc>
          <w:tcPr>
            <w:tcW w:w="1060" w:type="dxa"/>
            <w:shd w:val="clear" w:color="auto" w:fill="FFFFFF" w:themeFill="background1"/>
          </w:tcPr>
          <w:p w14:paraId="77F4D27F" w14:textId="77777777" w:rsidR="00B36A05" w:rsidRPr="001C0F84" w:rsidRDefault="00B36A05" w:rsidP="003D4A8B">
            <w:pPr>
              <w:pStyle w:val="Tablesmalltext"/>
              <w:jc w:val="center"/>
              <w:rPr>
                <w:rFonts w:eastAsia="Times New Roman"/>
                <w:lang w:val="en-AU" w:eastAsia="en-AU"/>
              </w:rPr>
            </w:pPr>
            <w:r w:rsidRPr="002D1708">
              <w:t>15</w:t>
            </w:r>
          </w:p>
        </w:tc>
        <w:tc>
          <w:tcPr>
            <w:tcW w:w="1144" w:type="dxa"/>
            <w:shd w:val="clear" w:color="auto" w:fill="FFFFFF" w:themeFill="background1"/>
          </w:tcPr>
          <w:p w14:paraId="063C442E" w14:textId="77777777" w:rsidR="00B36A05" w:rsidRPr="001C0F84" w:rsidRDefault="00B36A05" w:rsidP="003D4A8B">
            <w:pPr>
              <w:pStyle w:val="Tablesmalltext"/>
              <w:jc w:val="center"/>
              <w:rPr>
                <w:rFonts w:eastAsia="Times New Roman"/>
                <w:lang w:val="en-AU" w:eastAsia="en-AU"/>
              </w:rPr>
            </w:pPr>
            <w:r w:rsidRPr="00196A5C">
              <w:rPr>
                <w:rFonts w:eastAsia="Times New Roman"/>
                <w:lang w:val="en-AU" w:eastAsia="en-AU"/>
              </w:rPr>
              <w:t>Medium</w:t>
            </w:r>
          </w:p>
        </w:tc>
        <w:tc>
          <w:tcPr>
            <w:tcW w:w="899" w:type="dxa"/>
            <w:shd w:val="clear" w:color="auto" w:fill="FFFFFF" w:themeFill="background1"/>
          </w:tcPr>
          <w:p w14:paraId="51105DDE" w14:textId="77777777" w:rsidR="00B36A05" w:rsidRPr="001C0F84" w:rsidRDefault="00B36A05" w:rsidP="003D4A8B">
            <w:pPr>
              <w:pStyle w:val="Tablesmalltext"/>
              <w:jc w:val="center"/>
              <w:rPr>
                <w:rFonts w:eastAsia="Times New Roman"/>
                <w:lang w:val="en-AU" w:eastAsia="en-AU"/>
              </w:rPr>
            </w:pPr>
            <w:r w:rsidRPr="006F0168">
              <w:rPr>
                <w:rFonts w:eastAsia="Times New Roman"/>
                <w:lang w:val="en-AU" w:eastAsia="en-AU"/>
              </w:rPr>
              <w:t>Yes</w:t>
            </w:r>
          </w:p>
        </w:tc>
        <w:tc>
          <w:tcPr>
            <w:tcW w:w="1144" w:type="dxa"/>
            <w:shd w:val="clear" w:color="auto" w:fill="FFFFFF" w:themeFill="background1"/>
          </w:tcPr>
          <w:p w14:paraId="7BEE0096" w14:textId="77777777" w:rsidR="00B36A05" w:rsidRPr="001C0F84" w:rsidRDefault="00B36A05" w:rsidP="003D4A8B">
            <w:pPr>
              <w:pStyle w:val="Tablesmalltext"/>
              <w:jc w:val="center"/>
              <w:rPr>
                <w:rFonts w:eastAsia="Times New Roman"/>
                <w:lang w:val="en-AU" w:eastAsia="en-AU"/>
              </w:rPr>
            </w:pPr>
            <w:r w:rsidRPr="00AE29FF">
              <w:rPr>
                <w:rFonts w:eastAsia="Times New Roman"/>
                <w:lang w:val="en-AU" w:eastAsia="en-AU"/>
              </w:rPr>
              <w:t>Coupe</w:t>
            </w:r>
          </w:p>
        </w:tc>
      </w:tr>
      <w:tr w:rsidR="00B36A05" w:rsidRPr="001C0F84" w14:paraId="5A2D06B0" w14:textId="77777777" w:rsidTr="008301BC">
        <w:trPr>
          <w:trHeight w:val="240"/>
        </w:trPr>
        <w:tc>
          <w:tcPr>
            <w:tcW w:w="723" w:type="dxa"/>
            <w:shd w:val="clear" w:color="auto" w:fill="auto"/>
            <w:noWrap/>
            <w:vAlign w:val="center"/>
          </w:tcPr>
          <w:p w14:paraId="3CEE2877" w14:textId="77777777" w:rsidR="00B36A05" w:rsidRDefault="00B36A05" w:rsidP="00B36A05">
            <w:pPr>
              <w:pStyle w:val="Tablesmalltext"/>
              <w:jc w:val="center"/>
            </w:pPr>
            <w:r>
              <w:t>22</w:t>
            </w:r>
          </w:p>
        </w:tc>
        <w:tc>
          <w:tcPr>
            <w:tcW w:w="1485" w:type="dxa"/>
            <w:gridSpan w:val="3"/>
            <w:shd w:val="clear" w:color="auto" w:fill="auto"/>
          </w:tcPr>
          <w:p w14:paraId="17933CEB" w14:textId="77777777" w:rsidR="00B36A05" w:rsidRPr="001C0F84" w:rsidRDefault="00B36A05" w:rsidP="003D4A8B">
            <w:pPr>
              <w:pStyle w:val="Tablesmalltext"/>
              <w:rPr>
                <w:rFonts w:eastAsia="Times New Roman"/>
                <w:lang w:val="en-AU" w:eastAsia="en-AU"/>
              </w:rPr>
            </w:pPr>
            <w:r w:rsidRPr="006F7D36">
              <w:t>743-502-0001</w:t>
            </w:r>
          </w:p>
        </w:tc>
        <w:tc>
          <w:tcPr>
            <w:tcW w:w="1663" w:type="dxa"/>
            <w:shd w:val="clear" w:color="auto" w:fill="auto"/>
          </w:tcPr>
          <w:p w14:paraId="0694B521" w14:textId="77777777" w:rsidR="00B36A05" w:rsidRPr="001C0F84" w:rsidRDefault="00B36A05" w:rsidP="003D4A8B">
            <w:pPr>
              <w:pStyle w:val="Tablesmalltext"/>
              <w:rPr>
                <w:rFonts w:eastAsia="Times New Roman"/>
                <w:lang w:val="en-AU" w:eastAsia="en-AU"/>
              </w:rPr>
            </w:pPr>
            <w:r w:rsidRPr="006F7D36">
              <w:t>Yazoo</w:t>
            </w:r>
          </w:p>
        </w:tc>
        <w:tc>
          <w:tcPr>
            <w:tcW w:w="851" w:type="dxa"/>
          </w:tcPr>
          <w:p w14:paraId="11F5577B"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TB</w:t>
            </w:r>
          </w:p>
        </w:tc>
        <w:tc>
          <w:tcPr>
            <w:tcW w:w="1498" w:type="dxa"/>
            <w:gridSpan w:val="2"/>
            <w:shd w:val="clear" w:color="auto" w:fill="auto"/>
          </w:tcPr>
          <w:p w14:paraId="0C29CEC5" w14:textId="77777777" w:rsidR="00B36A05" w:rsidRPr="001C0F84" w:rsidRDefault="00B36A05" w:rsidP="003D4A8B">
            <w:pPr>
              <w:pStyle w:val="Tablesmalltext"/>
              <w:jc w:val="center"/>
              <w:rPr>
                <w:rFonts w:eastAsia="Times New Roman"/>
                <w:lang w:val="en-AU" w:eastAsia="en-AU"/>
              </w:rPr>
            </w:pPr>
            <w:r w:rsidRPr="00C92E46">
              <w:t>Regenerating</w:t>
            </w:r>
          </w:p>
        </w:tc>
        <w:tc>
          <w:tcPr>
            <w:tcW w:w="1195" w:type="dxa"/>
          </w:tcPr>
          <w:p w14:paraId="3AEE212D" w14:textId="77777777" w:rsidR="00B36A05" w:rsidRPr="001C0F84" w:rsidRDefault="00B36A05" w:rsidP="003D4A8B">
            <w:pPr>
              <w:pStyle w:val="Tablesmalltext"/>
              <w:jc w:val="center"/>
              <w:rPr>
                <w:rFonts w:eastAsia="Times New Roman"/>
                <w:lang w:val="en-AU" w:eastAsia="en-AU"/>
              </w:rPr>
            </w:pPr>
            <w:r w:rsidRPr="00C943AD">
              <w:t>11.6</w:t>
            </w:r>
          </w:p>
        </w:tc>
        <w:tc>
          <w:tcPr>
            <w:tcW w:w="1134" w:type="dxa"/>
            <w:shd w:val="clear" w:color="auto" w:fill="FFC000"/>
          </w:tcPr>
          <w:p w14:paraId="5C7B8B5F" w14:textId="63457373" w:rsidR="00B36A05" w:rsidRPr="001C0F84" w:rsidRDefault="008301BC"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auto"/>
          </w:tcPr>
          <w:p w14:paraId="0A9E950E"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No</w:t>
            </w:r>
          </w:p>
        </w:tc>
        <w:tc>
          <w:tcPr>
            <w:tcW w:w="993" w:type="dxa"/>
            <w:shd w:val="clear" w:color="auto" w:fill="auto"/>
            <w:noWrap/>
          </w:tcPr>
          <w:p w14:paraId="00C8EFE3" w14:textId="77777777" w:rsidR="00B36A05" w:rsidRPr="001C0F84" w:rsidRDefault="00B36A05" w:rsidP="003D4A8B">
            <w:pPr>
              <w:pStyle w:val="Tablesmalltext"/>
              <w:jc w:val="center"/>
              <w:rPr>
                <w:rFonts w:eastAsia="Times New Roman"/>
                <w:lang w:val="en-AU" w:eastAsia="en-AU"/>
              </w:rPr>
            </w:pPr>
            <w:r w:rsidRPr="0015690C">
              <w:t>454</w:t>
            </w:r>
          </w:p>
        </w:tc>
        <w:tc>
          <w:tcPr>
            <w:tcW w:w="1060" w:type="dxa"/>
          </w:tcPr>
          <w:p w14:paraId="37A79AFA" w14:textId="77777777" w:rsidR="00B36A05" w:rsidRPr="001C0F84" w:rsidRDefault="00B36A05" w:rsidP="003D4A8B">
            <w:pPr>
              <w:pStyle w:val="Tablesmalltext"/>
              <w:jc w:val="center"/>
              <w:rPr>
                <w:rFonts w:eastAsia="Times New Roman"/>
                <w:lang w:val="en-AU" w:eastAsia="en-AU"/>
              </w:rPr>
            </w:pPr>
            <w:r w:rsidRPr="002D1708">
              <w:t>5</w:t>
            </w:r>
          </w:p>
        </w:tc>
        <w:tc>
          <w:tcPr>
            <w:tcW w:w="1144" w:type="dxa"/>
          </w:tcPr>
          <w:p w14:paraId="33F1358D" w14:textId="77777777" w:rsidR="00B36A05" w:rsidRPr="001C0F84" w:rsidRDefault="00B36A05" w:rsidP="003D4A8B">
            <w:pPr>
              <w:pStyle w:val="Tablesmalltext"/>
              <w:jc w:val="center"/>
              <w:rPr>
                <w:rFonts w:eastAsia="Times New Roman"/>
                <w:lang w:val="en-AU" w:eastAsia="en-AU"/>
              </w:rPr>
            </w:pPr>
            <w:r w:rsidRPr="00196A5C">
              <w:rPr>
                <w:rFonts w:eastAsia="Times New Roman"/>
                <w:lang w:val="en-AU" w:eastAsia="en-AU"/>
              </w:rPr>
              <w:t>Medium</w:t>
            </w:r>
          </w:p>
        </w:tc>
        <w:tc>
          <w:tcPr>
            <w:tcW w:w="899" w:type="dxa"/>
          </w:tcPr>
          <w:p w14:paraId="47A0212A" w14:textId="77777777" w:rsidR="00B36A05" w:rsidRPr="001C0F84" w:rsidRDefault="00B36A05" w:rsidP="003D4A8B">
            <w:pPr>
              <w:pStyle w:val="Tablesmalltext"/>
              <w:jc w:val="center"/>
              <w:rPr>
                <w:rFonts w:eastAsia="Times New Roman"/>
                <w:lang w:val="en-AU" w:eastAsia="en-AU"/>
              </w:rPr>
            </w:pPr>
            <w:r w:rsidRPr="006F0168">
              <w:rPr>
                <w:rFonts w:eastAsia="Times New Roman"/>
                <w:lang w:val="en-AU" w:eastAsia="en-AU"/>
              </w:rPr>
              <w:t>Yes</w:t>
            </w:r>
          </w:p>
        </w:tc>
        <w:tc>
          <w:tcPr>
            <w:tcW w:w="1144" w:type="dxa"/>
          </w:tcPr>
          <w:p w14:paraId="652511E9" w14:textId="77777777" w:rsidR="00B36A05" w:rsidRPr="001C0F84" w:rsidRDefault="00B36A05" w:rsidP="003D4A8B">
            <w:pPr>
              <w:pStyle w:val="Tablesmalltext"/>
              <w:jc w:val="center"/>
              <w:rPr>
                <w:rFonts w:eastAsia="Times New Roman"/>
                <w:lang w:val="en-AU" w:eastAsia="en-AU"/>
              </w:rPr>
            </w:pPr>
            <w:r w:rsidRPr="00AE29FF">
              <w:rPr>
                <w:rFonts w:eastAsia="Times New Roman"/>
                <w:lang w:val="en-AU" w:eastAsia="en-AU"/>
              </w:rPr>
              <w:t>Coupe</w:t>
            </w:r>
          </w:p>
        </w:tc>
      </w:tr>
      <w:tr w:rsidR="00B36A05" w:rsidRPr="001C0F84" w14:paraId="0799F3CD" w14:textId="77777777" w:rsidTr="002B7966">
        <w:trPr>
          <w:trHeight w:val="240"/>
        </w:trPr>
        <w:tc>
          <w:tcPr>
            <w:tcW w:w="723" w:type="dxa"/>
            <w:shd w:val="clear" w:color="auto" w:fill="auto"/>
            <w:noWrap/>
            <w:vAlign w:val="center"/>
          </w:tcPr>
          <w:p w14:paraId="0C666F1F" w14:textId="77777777" w:rsidR="00B36A05" w:rsidRDefault="00B36A05" w:rsidP="00B36A05">
            <w:pPr>
              <w:pStyle w:val="Tablesmalltext"/>
              <w:jc w:val="center"/>
            </w:pPr>
            <w:r>
              <w:t>23</w:t>
            </w:r>
          </w:p>
        </w:tc>
        <w:tc>
          <w:tcPr>
            <w:tcW w:w="1485" w:type="dxa"/>
            <w:gridSpan w:val="3"/>
            <w:shd w:val="clear" w:color="auto" w:fill="auto"/>
          </w:tcPr>
          <w:p w14:paraId="50C1C24A" w14:textId="77777777" w:rsidR="00B36A05" w:rsidRPr="001C0F84" w:rsidRDefault="00B36A05" w:rsidP="003D4A8B">
            <w:pPr>
              <w:pStyle w:val="Tablesmalltext"/>
              <w:rPr>
                <w:rFonts w:eastAsia="Times New Roman"/>
                <w:lang w:val="en-AU" w:eastAsia="en-AU"/>
              </w:rPr>
            </w:pPr>
            <w:r w:rsidRPr="006F7D36">
              <w:t>770-507-0002</w:t>
            </w:r>
          </w:p>
        </w:tc>
        <w:tc>
          <w:tcPr>
            <w:tcW w:w="1663" w:type="dxa"/>
            <w:shd w:val="clear" w:color="auto" w:fill="auto"/>
          </w:tcPr>
          <w:p w14:paraId="34477C68" w14:textId="77777777" w:rsidR="00B36A05" w:rsidRPr="001C0F84" w:rsidRDefault="00B36A05" w:rsidP="003D4A8B">
            <w:pPr>
              <w:pStyle w:val="Tablesmalltext"/>
              <w:rPr>
                <w:rFonts w:eastAsia="Times New Roman"/>
                <w:lang w:val="en-AU" w:eastAsia="en-AU"/>
              </w:rPr>
            </w:pPr>
            <w:r w:rsidRPr="006F7D36">
              <w:t>Bayliss Spur</w:t>
            </w:r>
          </w:p>
        </w:tc>
        <w:tc>
          <w:tcPr>
            <w:tcW w:w="851" w:type="dxa"/>
            <w:shd w:val="clear" w:color="auto" w:fill="auto"/>
          </w:tcPr>
          <w:p w14:paraId="357C6E5C"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TB</w:t>
            </w:r>
          </w:p>
        </w:tc>
        <w:tc>
          <w:tcPr>
            <w:tcW w:w="1498" w:type="dxa"/>
            <w:gridSpan w:val="2"/>
            <w:shd w:val="clear" w:color="auto" w:fill="auto"/>
          </w:tcPr>
          <w:p w14:paraId="01A28B54" w14:textId="77777777" w:rsidR="00B36A05" w:rsidRPr="001C0F84" w:rsidRDefault="00B36A05" w:rsidP="003D4A8B">
            <w:pPr>
              <w:pStyle w:val="Tablesmalltext"/>
              <w:jc w:val="center"/>
              <w:rPr>
                <w:rFonts w:eastAsia="Times New Roman"/>
                <w:lang w:val="en-AU" w:eastAsia="en-AU"/>
              </w:rPr>
            </w:pPr>
            <w:r w:rsidRPr="00C92E46">
              <w:t>Regenerating</w:t>
            </w:r>
          </w:p>
        </w:tc>
        <w:tc>
          <w:tcPr>
            <w:tcW w:w="1195" w:type="dxa"/>
            <w:shd w:val="clear" w:color="auto" w:fill="auto"/>
          </w:tcPr>
          <w:p w14:paraId="53C7C911" w14:textId="77777777" w:rsidR="00B36A05" w:rsidRPr="001C0F84" w:rsidRDefault="00B36A05" w:rsidP="003D4A8B">
            <w:pPr>
              <w:pStyle w:val="Tablesmalltext"/>
              <w:jc w:val="center"/>
              <w:rPr>
                <w:rFonts w:eastAsia="Times New Roman"/>
                <w:lang w:val="en-AU" w:eastAsia="en-AU"/>
              </w:rPr>
            </w:pPr>
            <w:r w:rsidRPr="00C943AD">
              <w:t>12.75</w:t>
            </w:r>
          </w:p>
        </w:tc>
        <w:tc>
          <w:tcPr>
            <w:tcW w:w="1134" w:type="dxa"/>
            <w:shd w:val="clear" w:color="auto" w:fill="auto"/>
          </w:tcPr>
          <w:p w14:paraId="327969D1"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FF0000"/>
          </w:tcPr>
          <w:p w14:paraId="76DD57A8" w14:textId="32E3332A" w:rsidR="00B36A05" w:rsidRPr="001C0F84" w:rsidRDefault="008301BC" w:rsidP="003D4A8B">
            <w:pPr>
              <w:pStyle w:val="Tablesmalltext"/>
              <w:jc w:val="center"/>
              <w:rPr>
                <w:rFonts w:eastAsia="Times New Roman"/>
                <w:lang w:val="en-AU" w:eastAsia="en-AU"/>
              </w:rPr>
            </w:pPr>
            <w:r>
              <w:rPr>
                <w:rFonts w:eastAsia="Times New Roman"/>
                <w:lang w:val="en-AU" w:eastAsia="en-AU"/>
              </w:rPr>
              <w:t>No</w:t>
            </w:r>
          </w:p>
        </w:tc>
        <w:tc>
          <w:tcPr>
            <w:tcW w:w="993" w:type="dxa"/>
            <w:shd w:val="clear" w:color="auto" w:fill="92D050"/>
            <w:noWrap/>
          </w:tcPr>
          <w:p w14:paraId="2478B4FB" w14:textId="7FD30937" w:rsidR="00B36A05" w:rsidRPr="001C0F84" w:rsidRDefault="002B7966" w:rsidP="003D4A8B">
            <w:pPr>
              <w:pStyle w:val="Tablesmalltext"/>
              <w:jc w:val="center"/>
              <w:rPr>
                <w:rFonts w:eastAsia="Times New Roman"/>
                <w:lang w:val="en-AU" w:eastAsia="en-AU"/>
              </w:rPr>
            </w:pPr>
            <w:r>
              <w:t>&lt;50</w:t>
            </w:r>
          </w:p>
        </w:tc>
        <w:tc>
          <w:tcPr>
            <w:tcW w:w="1060" w:type="dxa"/>
            <w:shd w:val="clear" w:color="auto" w:fill="auto"/>
          </w:tcPr>
          <w:p w14:paraId="45C3B8DB" w14:textId="77777777" w:rsidR="00B36A05" w:rsidRPr="001C0F84" w:rsidRDefault="00B36A05" w:rsidP="003D4A8B">
            <w:pPr>
              <w:pStyle w:val="Tablesmalltext"/>
              <w:jc w:val="center"/>
              <w:rPr>
                <w:rFonts w:eastAsia="Times New Roman"/>
                <w:lang w:val="en-AU" w:eastAsia="en-AU"/>
              </w:rPr>
            </w:pPr>
            <w:r w:rsidRPr="002D1708">
              <w:t>15</w:t>
            </w:r>
          </w:p>
        </w:tc>
        <w:tc>
          <w:tcPr>
            <w:tcW w:w="1144" w:type="dxa"/>
            <w:shd w:val="clear" w:color="auto" w:fill="auto"/>
          </w:tcPr>
          <w:p w14:paraId="009781D4" w14:textId="77777777" w:rsidR="00B36A05" w:rsidRPr="001C0F84" w:rsidRDefault="00B36A05" w:rsidP="003D4A8B">
            <w:pPr>
              <w:pStyle w:val="Tablesmalltext"/>
              <w:jc w:val="center"/>
              <w:rPr>
                <w:rFonts w:eastAsia="Times New Roman"/>
                <w:lang w:val="en-AU" w:eastAsia="en-AU"/>
              </w:rPr>
            </w:pPr>
            <w:r w:rsidRPr="00196A5C">
              <w:rPr>
                <w:rFonts w:eastAsia="Times New Roman"/>
                <w:lang w:val="en-AU" w:eastAsia="en-AU"/>
              </w:rPr>
              <w:t>Medium</w:t>
            </w:r>
          </w:p>
        </w:tc>
        <w:tc>
          <w:tcPr>
            <w:tcW w:w="899" w:type="dxa"/>
            <w:shd w:val="clear" w:color="auto" w:fill="auto"/>
          </w:tcPr>
          <w:p w14:paraId="4F5C5471" w14:textId="77777777" w:rsidR="00B36A05" w:rsidRPr="001C0F84" w:rsidRDefault="00B36A05" w:rsidP="003D4A8B">
            <w:pPr>
              <w:pStyle w:val="Tablesmalltext"/>
              <w:jc w:val="center"/>
              <w:rPr>
                <w:rFonts w:eastAsia="Times New Roman"/>
                <w:lang w:val="en-AU" w:eastAsia="en-AU"/>
              </w:rPr>
            </w:pPr>
            <w:r w:rsidRPr="006F0168">
              <w:rPr>
                <w:rFonts w:eastAsia="Times New Roman"/>
                <w:lang w:val="en-AU" w:eastAsia="en-AU"/>
              </w:rPr>
              <w:t>Yes</w:t>
            </w:r>
          </w:p>
        </w:tc>
        <w:tc>
          <w:tcPr>
            <w:tcW w:w="1144" w:type="dxa"/>
            <w:shd w:val="clear" w:color="auto" w:fill="auto"/>
          </w:tcPr>
          <w:p w14:paraId="24205642" w14:textId="77777777" w:rsidR="00B36A05" w:rsidRPr="001C0F84" w:rsidRDefault="00B36A05" w:rsidP="003D4A8B">
            <w:pPr>
              <w:pStyle w:val="Tablesmalltext"/>
              <w:jc w:val="center"/>
              <w:rPr>
                <w:rFonts w:eastAsia="Times New Roman"/>
                <w:lang w:val="en-AU" w:eastAsia="en-AU"/>
              </w:rPr>
            </w:pPr>
            <w:r w:rsidRPr="00AE29FF">
              <w:rPr>
                <w:rFonts w:eastAsia="Times New Roman"/>
                <w:lang w:val="en-AU" w:eastAsia="en-AU"/>
              </w:rPr>
              <w:t>Coupe</w:t>
            </w:r>
          </w:p>
        </w:tc>
      </w:tr>
      <w:tr w:rsidR="00B36A05" w:rsidRPr="00AE29FF" w14:paraId="66DA85CC" w14:textId="77777777" w:rsidTr="008301BC">
        <w:trPr>
          <w:trHeight w:val="240"/>
        </w:trPr>
        <w:tc>
          <w:tcPr>
            <w:tcW w:w="723" w:type="dxa"/>
            <w:shd w:val="clear" w:color="auto" w:fill="auto"/>
            <w:noWrap/>
            <w:vAlign w:val="center"/>
          </w:tcPr>
          <w:p w14:paraId="382AC070" w14:textId="77777777" w:rsidR="00B36A05" w:rsidRDefault="00B36A05" w:rsidP="00B36A05">
            <w:pPr>
              <w:pStyle w:val="Tablesmalltext"/>
              <w:jc w:val="center"/>
            </w:pPr>
            <w:r>
              <w:t>24</w:t>
            </w:r>
          </w:p>
        </w:tc>
        <w:tc>
          <w:tcPr>
            <w:tcW w:w="1485" w:type="dxa"/>
            <w:gridSpan w:val="3"/>
            <w:shd w:val="clear" w:color="auto" w:fill="auto"/>
          </w:tcPr>
          <w:p w14:paraId="5B254EAB" w14:textId="77777777" w:rsidR="00B36A05" w:rsidRPr="006F7D36" w:rsidRDefault="00B36A05" w:rsidP="003D4A8B">
            <w:pPr>
              <w:pStyle w:val="Tablesmalltext"/>
            </w:pPr>
            <w:r w:rsidRPr="005D75F3">
              <w:t>770-507-0005</w:t>
            </w:r>
          </w:p>
        </w:tc>
        <w:tc>
          <w:tcPr>
            <w:tcW w:w="1663" w:type="dxa"/>
            <w:shd w:val="clear" w:color="auto" w:fill="auto"/>
          </w:tcPr>
          <w:p w14:paraId="4147E8FD" w14:textId="77777777" w:rsidR="00B36A05" w:rsidRPr="006F7D36" w:rsidRDefault="00B36A05" w:rsidP="003D4A8B">
            <w:pPr>
              <w:pStyle w:val="Tablesmalltext"/>
            </w:pPr>
            <w:r>
              <w:t>Bayled Up</w:t>
            </w:r>
          </w:p>
        </w:tc>
        <w:tc>
          <w:tcPr>
            <w:tcW w:w="851" w:type="dxa"/>
            <w:shd w:val="clear" w:color="auto" w:fill="auto"/>
          </w:tcPr>
          <w:p w14:paraId="7EC1F6D7" w14:textId="77777777" w:rsidR="00B36A05" w:rsidRDefault="00B36A05" w:rsidP="003D4A8B">
            <w:pPr>
              <w:pStyle w:val="Tablesmalltext"/>
              <w:jc w:val="center"/>
              <w:rPr>
                <w:rFonts w:eastAsia="Times New Roman"/>
                <w:lang w:val="en-AU" w:eastAsia="en-AU"/>
              </w:rPr>
            </w:pPr>
            <w:r>
              <w:rPr>
                <w:rFonts w:eastAsia="Times New Roman"/>
                <w:lang w:val="en-AU" w:eastAsia="en-AU"/>
              </w:rPr>
              <w:t>TB</w:t>
            </w:r>
          </w:p>
        </w:tc>
        <w:tc>
          <w:tcPr>
            <w:tcW w:w="1498" w:type="dxa"/>
            <w:gridSpan w:val="2"/>
            <w:shd w:val="clear" w:color="auto" w:fill="auto"/>
          </w:tcPr>
          <w:p w14:paraId="72279A80" w14:textId="77777777" w:rsidR="00B36A05" w:rsidRPr="00C92E46" w:rsidRDefault="00B36A05" w:rsidP="003D4A8B">
            <w:pPr>
              <w:pStyle w:val="Tablesmalltext"/>
              <w:jc w:val="center"/>
            </w:pPr>
            <w:r w:rsidRPr="00C92E46">
              <w:t>Regenerating</w:t>
            </w:r>
          </w:p>
        </w:tc>
        <w:tc>
          <w:tcPr>
            <w:tcW w:w="1195" w:type="dxa"/>
            <w:shd w:val="clear" w:color="auto" w:fill="auto"/>
          </w:tcPr>
          <w:p w14:paraId="745F1F33" w14:textId="77777777" w:rsidR="00B36A05" w:rsidRPr="00C943AD" w:rsidRDefault="00B36A05" w:rsidP="003D4A8B">
            <w:pPr>
              <w:pStyle w:val="Tablesmalltext"/>
              <w:jc w:val="center"/>
            </w:pPr>
            <w:r>
              <w:t>20.65</w:t>
            </w:r>
          </w:p>
        </w:tc>
        <w:tc>
          <w:tcPr>
            <w:tcW w:w="1134" w:type="dxa"/>
            <w:shd w:val="clear" w:color="auto" w:fill="auto"/>
          </w:tcPr>
          <w:p w14:paraId="003CEDBA" w14:textId="77777777" w:rsidR="00B36A05" w:rsidRDefault="00B36A05"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FFFF00"/>
          </w:tcPr>
          <w:p w14:paraId="3C78B856" w14:textId="77777777" w:rsidR="00B36A05" w:rsidRDefault="00B36A05" w:rsidP="003D4A8B">
            <w:pPr>
              <w:pStyle w:val="Tablesmalltext"/>
              <w:jc w:val="center"/>
              <w:rPr>
                <w:rFonts w:eastAsia="Times New Roman"/>
                <w:lang w:val="en-AU" w:eastAsia="en-AU"/>
              </w:rPr>
            </w:pPr>
            <w:r>
              <w:rPr>
                <w:rFonts w:eastAsia="Times New Roman"/>
                <w:lang w:val="en-AU" w:eastAsia="en-AU"/>
              </w:rPr>
              <w:t>Yes</w:t>
            </w:r>
          </w:p>
        </w:tc>
        <w:tc>
          <w:tcPr>
            <w:tcW w:w="993" w:type="dxa"/>
            <w:shd w:val="clear" w:color="auto" w:fill="auto"/>
            <w:noWrap/>
          </w:tcPr>
          <w:p w14:paraId="7E4484D2" w14:textId="77777777" w:rsidR="00B36A05" w:rsidRPr="0015690C" w:rsidRDefault="00B36A05" w:rsidP="003D4A8B">
            <w:pPr>
              <w:pStyle w:val="Tablesmalltext"/>
              <w:jc w:val="center"/>
            </w:pPr>
            <w:r>
              <w:t>500</w:t>
            </w:r>
          </w:p>
        </w:tc>
        <w:tc>
          <w:tcPr>
            <w:tcW w:w="1060" w:type="dxa"/>
            <w:shd w:val="clear" w:color="auto" w:fill="auto"/>
          </w:tcPr>
          <w:p w14:paraId="25A862C1" w14:textId="77777777" w:rsidR="00B36A05" w:rsidRPr="002D1708" w:rsidRDefault="00B36A05" w:rsidP="003D4A8B">
            <w:pPr>
              <w:pStyle w:val="Tablesmalltext"/>
              <w:jc w:val="center"/>
            </w:pPr>
            <w:r>
              <w:t>15</w:t>
            </w:r>
          </w:p>
        </w:tc>
        <w:tc>
          <w:tcPr>
            <w:tcW w:w="1144" w:type="dxa"/>
            <w:shd w:val="clear" w:color="auto" w:fill="auto"/>
          </w:tcPr>
          <w:p w14:paraId="47E14055" w14:textId="77777777" w:rsidR="00B36A05" w:rsidRPr="00196A5C" w:rsidRDefault="00B36A05" w:rsidP="003D4A8B">
            <w:pPr>
              <w:pStyle w:val="Tablesmalltext"/>
              <w:jc w:val="center"/>
              <w:rPr>
                <w:rFonts w:eastAsia="Times New Roman"/>
                <w:lang w:val="en-AU" w:eastAsia="en-AU"/>
              </w:rPr>
            </w:pPr>
            <w:r>
              <w:rPr>
                <w:rFonts w:eastAsia="Times New Roman"/>
                <w:lang w:val="en-AU" w:eastAsia="en-AU"/>
              </w:rPr>
              <w:t>Medium</w:t>
            </w:r>
          </w:p>
        </w:tc>
        <w:tc>
          <w:tcPr>
            <w:tcW w:w="899" w:type="dxa"/>
            <w:shd w:val="clear" w:color="auto" w:fill="auto"/>
          </w:tcPr>
          <w:p w14:paraId="276DDBE4" w14:textId="77777777" w:rsidR="00B36A05" w:rsidRPr="006F0168" w:rsidRDefault="00B36A05" w:rsidP="003D4A8B">
            <w:pPr>
              <w:pStyle w:val="Tablesmalltext"/>
              <w:jc w:val="center"/>
              <w:rPr>
                <w:rFonts w:eastAsia="Times New Roman"/>
                <w:lang w:val="en-AU" w:eastAsia="en-AU"/>
              </w:rPr>
            </w:pPr>
            <w:r>
              <w:rPr>
                <w:rFonts w:eastAsia="Times New Roman"/>
                <w:lang w:val="en-AU" w:eastAsia="en-AU"/>
              </w:rPr>
              <w:t>No</w:t>
            </w:r>
          </w:p>
        </w:tc>
        <w:tc>
          <w:tcPr>
            <w:tcW w:w="1144" w:type="dxa"/>
            <w:shd w:val="clear" w:color="auto" w:fill="auto"/>
          </w:tcPr>
          <w:p w14:paraId="3C997998" w14:textId="77777777" w:rsidR="00B36A05" w:rsidRPr="00AE29FF" w:rsidRDefault="00B36A05" w:rsidP="003D4A8B">
            <w:pPr>
              <w:pStyle w:val="Tablesmalltext"/>
              <w:jc w:val="center"/>
              <w:rPr>
                <w:rFonts w:eastAsia="Times New Roman"/>
                <w:lang w:val="en-AU" w:eastAsia="en-AU"/>
              </w:rPr>
            </w:pPr>
            <w:r>
              <w:rPr>
                <w:rFonts w:eastAsia="Times New Roman"/>
                <w:lang w:val="en-AU" w:eastAsia="en-AU"/>
              </w:rPr>
              <w:t>Coupe</w:t>
            </w:r>
          </w:p>
        </w:tc>
      </w:tr>
      <w:tr w:rsidR="00B36A05" w:rsidRPr="001C0F84" w14:paraId="02141BB8" w14:textId="77777777" w:rsidTr="00FE3FF2">
        <w:trPr>
          <w:trHeight w:val="240"/>
        </w:trPr>
        <w:tc>
          <w:tcPr>
            <w:tcW w:w="2202" w:type="dxa"/>
            <w:gridSpan w:val="3"/>
            <w:shd w:val="clear" w:color="auto" w:fill="D9D9D9" w:themeFill="background1" w:themeFillShade="D9"/>
            <w:noWrap/>
            <w:vAlign w:val="center"/>
            <w:hideMark/>
          </w:tcPr>
          <w:p w14:paraId="684BCB2F" w14:textId="2E59FFC1" w:rsidR="00B36A05" w:rsidRPr="00B60EE5" w:rsidRDefault="00B36A05" w:rsidP="00FE3FF2">
            <w:pPr>
              <w:pStyle w:val="Tablesmalltext"/>
              <w:rPr>
                <w:rFonts w:eastAsia="Times New Roman"/>
                <w:b/>
                <w:lang w:val="en-AU" w:eastAsia="en-AU"/>
              </w:rPr>
            </w:pPr>
            <w:r>
              <w:rPr>
                <w:rFonts w:eastAsia="Times New Roman"/>
                <w:b/>
                <w:lang w:val="en-AU" w:eastAsia="en-AU"/>
              </w:rPr>
              <w:t xml:space="preserve">East Gippsland </w:t>
            </w:r>
            <w:r w:rsidR="00FE3FF2">
              <w:rPr>
                <w:rFonts w:eastAsia="Times New Roman"/>
                <w:b/>
                <w:lang w:val="en-AU" w:eastAsia="en-AU"/>
              </w:rPr>
              <w:t>RFA area</w:t>
            </w:r>
          </w:p>
        </w:tc>
        <w:tc>
          <w:tcPr>
            <w:tcW w:w="1669" w:type="dxa"/>
            <w:gridSpan w:val="2"/>
            <w:shd w:val="clear" w:color="auto" w:fill="D9D9D9" w:themeFill="background1" w:themeFillShade="D9"/>
            <w:vAlign w:val="center"/>
            <w:hideMark/>
          </w:tcPr>
          <w:p w14:paraId="3EBEAF61" w14:textId="77777777" w:rsidR="00B36A05" w:rsidRPr="001C0F84" w:rsidRDefault="00B36A05" w:rsidP="003D4A8B">
            <w:pPr>
              <w:pStyle w:val="Tablesmalltext"/>
              <w:rPr>
                <w:rFonts w:eastAsia="Times New Roman"/>
                <w:lang w:val="en-AU" w:eastAsia="en-AU"/>
              </w:rPr>
            </w:pPr>
          </w:p>
        </w:tc>
        <w:tc>
          <w:tcPr>
            <w:tcW w:w="851" w:type="dxa"/>
            <w:shd w:val="clear" w:color="auto" w:fill="D9D9D9" w:themeFill="background1" w:themeFillShade="D9"/>
          </w:tcPr>
          <w:p w14:paraId="345AE5E5" w14:textId="77777777" w:rsidR="00B36A05" w:rsidRPr="001C0F84" w:rsidRDefault="00B36A05" w:rsidP="003D4A8B">
            <w:pPr>
              <w:pStyle w:val="Tablesmalltext"/>
              <w:rPr>
                <w:rFonts w:eastAsia="Times New Roman"/>
                <w:lang w:val="en-AU" w:eastAsia="en-AU"/>
              </w:rPr>
            </w:pPr>
          </w:p>
        </w:tc>
        <w:tc>
          <w:tcPr>
            <w:tcW w:w="1491" w:type="dxa"/>
            <w:shd w:val="clear" w:color="auto" w:fill="D9D9D9" w:themeFill="background1" w:themeFillShade="D9"/>
            <w:vAlign w:val="center"/>
            <w:hideMark/>
          </w:tcPr>
          <w:p w14:paraId="1E324AE0" w14:textId="77777777" w:rsidR="00B36A05" w:rsidRPr="001C0F84" w:rsidRDefault="00B36A05" w:rsidP="003D4A8B">
            <w:pPr>
              <w:pStyle w:val="Tablesmalltext"/>
              <w:rPr>
                <w:rFonts w:eastAsia="Times New Roman"/>
                <w:lang w:val="en-AU" w:eastAsia="en-AU"/>
              </w:rPr>
            </w:pPr>
          </w:p>
        </w:tc>
        <w:tc>
          <w:tcPr>
            <w:tcW w:w="1202" w:type="dxa"/>
            <w:gridSpan w:val="2"/>
            <w:shd w:val="clear" w:color="auto" w:fill="D9D9D9" w:themeFill="background1" w:themeFillShade="D9"/>
          </w:tcPr>
          <w:p w14:paraId="0A6F2E33" w14:textId="77777777" w:rsidR="00B36A05" w:rsidRPr="001C0F84" w:rsidRDefault="00B36A05" w:rsidP="003D4A8B">
            <w:pPr>
              <w:pStyle w:val="Tablesmalltext"/>
              <w:rPr>
                <w:rFonts w:eastAsia="Times New Roman"/>
                <w:lang w:val="en-AU" w:eastAsia="en-AU"/>
              </w:rPr>
            </w:pPr>
          </w:p>
        </w:tc>
        <w:tc>
          <w:tcPr>
            <w:tcW w:w="1134" w:type="dxa"/>
            <w:shd w:val="clear" w:color="auto" w:fill="D9D9D9" w:themeFill="background1" w:themeFillShade="D9"/>
            <w:vAlign w:val="center"/>
            <w:hideMark/>
          </w:tcPr>
          <w:p w14:paraId="664BFE31" w14:textId="77777777" w:rsidR="00B36A05" w:rsidRPr="001C0F84" w:rsidRDefault="00B36A05" w:rsidP="003D4A8B">
            <w:pPr>
              <w:pStyle w:val="Tablesmalltext"/>
              <w:rPr>
                <w:rFonts w:eastAsia="Times New Roman"/>
                <w:lang w:val="en-AU" w:eastAsia="en-AU"/>
              </w:rPr>
            </w:pPr>
          </w:p>
        </w:tc>
        <w:tc>
          <w:tcPr>
            <w:tcW w:w="992" w:type="dxa"/>
            <w:shd w:val="clear" w:color="auto" w:fill="D9D9D9" w:themeFill="background1" w:themeFillShade="D9"/>
            <w:vAlign w:val="center"/>
            <w:hideMark/>
          </w:tcPr>
          <w:p w14:paraId="0C638954" w14:textId="77777777" w:rsidR="00B36A05" w:rsidRPr="001C0F84" w:rsidRDefault="00B36A05" w:rsidP="003D4A8B">
            <w:pPr>
              <w:pStyle w:val="Tablesmalltext"/>
              <w:jc w:val="center"/>
              <w:rPr>
                <w:rFonts w:eastAsia="Times New Roman"/>
                <w:lang w:val="en-AU" w:eastAsia="en-AU"/>
              </w:rPr>
            </w:pPr>
          </w:p>
        </w:tc>
        <w:tc>
          <w:tcPr>
            <w:tcW w:w="993" w:type="dxa"/>
            <w:shd w:val="clear" w:color="auto" w:fill="D9D9D9" w:themeFill="background1" w:themeFillShade="D9"/>
            <w:vAlign w:val="center"/>
            <w:hideMark/>
          </w:tcPr>
          <w:p w14:paraId="619801BA" w14:textId="77777777" w:rsidR="00B36A05" w:rsidRPr="001C0F84" w:rsidRDefault="00B36A05" w:rsidP="003D4A8B">
            <w:pPr>
              <w:pStyle w:val="Tablesmalltext"/>
              <w:jc w:val="center"/>
              <w:rPr>
                <w:rFonts w:eastAsia="Times New Roman"/>
                <w:lang w:val="en-AU" w:eastAsia="en-AU"/>
              </w:rPr>
            </w:pPr>
          </w:p>
        </w:tc>
        <w:tc>
          <w:tcPr>
            <w:tcW w:w="1060" w:type="dxa"/>
            <w:shd w:val="clear" w:color="auto" w:fill="D9D9D9" w:themeFill="background1" w:themeFillShade="D9"/>
          </w:tcPr>
          <w:p w14:paraId="1F872ED7"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201CA1A9" w14:textId="77777777" w:rsidR="00B36A05" w:rsidRPr="001C0F84" w:rsidRDefault="00B36A05" w:rsidP="003D4A8B">
            <w:pPr>
              <w:pStyle w:val="Tablesmalltext"/>
              <w:jc w:val="center"/>
              <w:rPr>
                <w:rFonts w:eastAsia="Times New Roman"/>
                <w:lang w:val="en-AU" w:eastAsia="en-AU"/>
              </w:rPr>
            </w:pPr>
          </w:p>
        </w:tc>
        <w:tc>
          <w:tcPr>
            <w:tcW w:w="899" w:type="dxa"/>
            <w:shd w:val="clear" w:color="auto" w:fill="D9D9D9" w:themeFill="background1" w:themeFillShade="D9"/>
          </w:tcPr>
          <w:p w14:paraId="057282AD" w14:textId="77777777" w:rsidR="00B36A05" w:rsidRPr="001C0F84" w:rsidRDefault="00B36A05" w:rsidP="003D4A8B">
            <w:pPr>
              <w:pStyle w:val="Tablesmalltext"/>
              <w:jc w:val="center"/>
              <w:rPr>
                <w:rFonts w:eastAsia="Times New Roman"/>
                <w:lang w:val="en-AU" w:eastAsia="en-AU"/>
              </w:rPr>
            </w:pPr>
          </w:p>
        </w:tc>
        <w:tc>
          <w:tcPr>
            <w:tcW w:w="1144" w:type="dxa"/>
            <w:shd w:val="clear" w:color="auto" w:fill="D9D9D9" w:themeFill="background1" w:themeFillShade="D9"/>
          </w:tcPr>
          <w:p w14:paraId="150BD5C1" w14:textId="77777777" w:rsidR="00B36A05" w:rsidRPr="001C0F84" w:rsidRDefault="00B36A05" w:rsidP="003D4A8B">
            <w:pPr>
              <w:pStyle w:val="Tablesmalltext"/>
              <w:jc w:val="center"/>
              <w:rPr>
                <w:rFonts w:eastAsia="Times New Roman"/>
                <w:lang w:val="en-AU" w:eastAsia="en-AU"/>
              </w:rPr>
            </w:pPr>
          </w:p>
        </w:tc>
      </w:tr>
      <w:tr w:rsidR="00B36A05" w:rsidRPr="001C0F84" w14:paraId="5DC39E41" w14:textId="77777777" w:rsidTr="008301BC">
        <w:trPr>
          <w:trHeight w:val="240"/>
        </w:trPr>
        <w:tc>
          <w:tcPr>
            <w:tcW w:w="723" w:type="dxa"/>
            <w:shd w:val="clear" w:color="auto" w:fill="auto"/>
            <w:noWrap/>
            <w:vAlign w:val="center"/>
          </w:tcPr>
          <w:p w14:paraId="587803B6" w14:textId="77777777" w:rsidR="00B36A05" w:rsidRDefault="00B36A05" w:rsidP="00B36A05">
            <w:pPr>
              <w:pStyle w:val="Tablesmalltext"/>
              <w:jc w:val="center"/>
            </w:pPr>
            <w:r>
              <w:t>25</w:t>
            </w:r>
          </w:p>
        </w:tc>
        <w:tc>
          <w:tcPr>
            <w:tcW w:w="1485" w:type="dxa"/>
            <w:gridSpan w:val="3"/>
            <w:shd w:val="clear" w:color="auto" w:fill="auto"/>
          </w:tcPr>
          <w:p w14:paraId="0F333ADC" w14:textId="77777777" w:rsidR="00B36A05" w:rsidRPr="001C0F84" w:rsidRDefault="00B36A05" w:rsidP="003D4A8B">
            <w:pPr>
              <w:pStyle w:val="Tablesmalltext"/>
              <w:rPr>
                <w:rFonts w:eastAsia="Times New Roman"/>
                <w:lang w:val="en-AU" w:eastAsia="en-AU"/>
              </w:rPr>
            </w:pPr>
            <w:r w:rsidRPr="00A665D1">
              <w:t>801-511-0005</w:t>
            </w:r>
          </w:p>
        </w:tc>
        <w:tc>
          <w:tcPr>
            <w:tcW w:w="1663" w:type="dxa"/>
            <w:shd w:val="clear" w:color="auto" w:fill="auto"/>
          </w:tcPr>
          <w:p w14:paraId="3B65B6F4" w14:textId="77777777" w:rsidR="00B36A05" w:rsidRPr="001C0F84" w:rsidRDefault="00B36A05" w:rsidP="003D4A8B">
            <w:pPr>
              <w:pStyle w:val="Tablesmalltext"/>
              <w:rPr>
                <w:rFonts w:eastAsia="Times New Roman"/>
                <w:lang w:val="en-AU" w:eastAsia="en-AU"/>
              </w:rPr>
            </w:pPr>
            <w:r w:rsidRPr="00A665D1">
              <w:t>Lior</w:t>
            </w:r>
          </w:p>
        </w:tc>
        <w:tc>
          <w:tcPr>
            <w:tcW w:w="851" w:type="dxa"/>
          </w:tcPr>
          <w:p w14:paraId="48288ED9"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EG</w:t>
            </w:r>
          </w:p>
        </w:tc>
        <w:tc>
          <w:tcPr>
            <w:tcW w:w="1498" w:type="dxa"/>
            <w:gridSpan w:val="2"/>
            <w:shd w:val="clear" w:color="auto" w:fill="auto"/>
          </w:tcPr>
          <w:p w14:paraId="56FCFD5D" w14:textId="77777777" w:rsidR="00B36A05" w:rsidRPr="001C0F84" w:rsidRDefault="00B36A05" w:rsidP="003D4A8B">
            <w:pPr>
              <w:pStyle w:val="Tablesmalltext"/>
              <w:jc w:val="center"/>
              <w:rPr>
                <w:rFonts w:eastAsia="Times New Roman"/>
                <w:lang w:val="en-AU" w:eastAsia="en-AU"/>
              </w:rPr>
            </w:pPr>
            <w:r w:rsidRPr="00E80F76">
              <w:t>Regenerating</w:t>
            </w:r>
          </w:p>
        </w:tc>
        <w:tc>
          <w:tcPr>
            <w:tcW w:w="1195" w:type="dxa"/>
          </w:tcPr>
          <w:p w14:paraId="4290AD28" w14:textId="77777777" w:rsidR="00B36A05" w:rsidRPr="001C0F84" w:rsidRDefault="00B36A05" w:rsidP="003D4A8B">
            <w:pPr>
              <w:pStyle w:val="Tablesmalltext"/>
              <w:jc w:val="center"/>
              <w:rPr>
                <w:rFonts w:eastAsia="Times New Roman"/>
                <w:lang w:val="en-AU" w:eastAsia="en-AU"/>
              </w:rPr>
            </w:pPr>
            <w:r w:rsidRPr="00DD6B70">
              <w:t>6.49</w:t>
            </w:r>
          </w:p>
        </w:tc>
        <w:tc>
          <w:tcPr>
            <w:tcW w:w="1134" w:type="dxa"/>
            <w:shd w:val="clear" w:color="auto" w:fill="auto"/>
          </w:tcPr>
          <w:p w14:paraId="434F9F3D"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FF0000"/>
          </w:tcPr>
          <w:p w14:paraId="609CBA7B" w14:textId="5E8FB669" w:rsidR="00B36A05" w:rsidRPr="001C0F84" w:rsidRDefault="008301BC" w:rsidP="003D4A8B">
            <w:pPr>
              <w:pStyle w:val="Tablesmalltext"/>
              <w:jc w:val="center"/>
              <w:rPr>
                <w:rFonts w:eastAsia="Times New Roman"/>
                <w:lang w:val="en-AU" w:eastAsia="en-AU"/>
              </w:rPr>
            </w:pPr>
            <w:r>
              <w:rPr>
                <w:rFonts w:eastAsia="Times New Roman"/>
                <w:lang w:val="en-AU" w:eastAsia="en-AU"/>
              </w:rPr>
              <w:t>No</w:t>
            </w:r>
          </w:p>
        </w:tc>
        <w:tc>
          <w:tcPr>
            <w:tcW w:w="993" w:type="dxa"/>
            <w:shd w:val="clear" w:color="auto" w:fill="auto"/>
            <w:noWrap/>
          </w:tcPr>
          <w:p w14:paraId="77AAD9EC" w14:textId="77777777" w:rsidR="00B36A05" w:rsidRPr="001C0F84" w:rsidRDefault="00B36A05" w:rsidP="003D4A8B">
            <w:pPr>
              <w:pStyle w:val="Tablesmalltext"/>
              <w:jc w:val="center"/>
              <w:rPr>
                <w:rFonts w:eastAsia="Times New Roman"/>
                <w:lang w:val="en-AU" w:eastAsia="en-AU"/>
              </w:rPr>
            </w:pPr>
            <w:r w:rsidRPr="0083677D">
              <w:t>500</w:t>
            </w:r>
          </w:p>
        </w:tc>
        <w:tc>
          <w:tcPr>
            <w:tcW w:w="1060" w:type="dxa"/>
          </w:tcPr>
          <w:p w14:paraId="70771962" w14:textId="77777777" w:rsidR="00B36A05" w:rsidRPr="001C0F84" w:rsidRDefault="00B36A05" w:rsidP="003D4A8B">
            <w:pPr>
              <w:pStyle w:val="Tablesmalltext"/>
              <w:jc w:val="center"/>
              <w:rPr>
                <w:rFonts w:eastAsia="Times New Roman"/>
                <w:lang w:val="en-AU" w:eastAsia="en-AU"/>
              </w:rPr>
            </w:pPr>
            <w:r w:rsidRPr="00471FDE">
              <w:t>10</w:t>
            </w:r>
          </w:p>
        </w:tc>
        <w:tc>
          <w:tcPr>
            <w:tcW w:w="1144" w:type="dxa"/>
          </w:tcPr>
          <w:p w14:paraId="2415BF1D"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High</w:t>
            </w:r>
          </w:p>
        </w:tc>
        <w:tc>
          <w:tcPr>
            <w:tcW w:w="899" w:type="dxa"/>
          </w:tcPr>
          <w:p w14:paraId="71516E69"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5C0598CB" w14:textId="77777777" w:rsidR="00B36A05" w:rsidRPr="001C0F84" w:rsidRDefault="00B36A05" w:rsidP="003D4A8B">
            <w:pPr>
              <w:pStyle w:val="Tablesmalltext"/>
              <w:jc w:val="center"/>
              <w:rPr>
                <w:rFonts w:eastAsia="Times New Roman"/>
                <w:lang w:val="en-AU" w:eastAsia="en-AU"/>
              </w:rPr>
            </w:pPr>
            <w:r w:rsidRPr="00D5713C">
              <w:t>Coupe</w:t>
            </w:r>
          </w:p>
        </w:tc>
      </w:tr>
      <w:tr w:rsidR="00B36A05" w:rsidRPr="001C0F84" w14:paraId="6D376C4A" w14:textId="77777777" w:rsidTr="00BD66A1">
        <w:trPr>
          <w:trHeight w:val="240"/>
        </w:trPr>
        <w:tc>
          <w:tcPr>
            <w:tcW w:w="723" w:type="dxa"/>
            <w:shd w:val="clear" w:color="auto" w:fill="auto"/>
            <w:noWrap/>
            <w:vAlign w:val="center"/>
          </w:tcPr>
          <w:p w14:paraId="349AFCC7" w14:textId="77777777" w:rsidR="00B36A05" w:rsidRDefault="00B36A05" w:rsidP="00B36A05">
            <w:pPr>
              <w:pStyle w:val="Tablesmalltext"/>
              <w:jc w:val="center"/>
            </w:pPr>
            <w:r>
              <w:t>26</w:t>
            </w:r>
          </w:p>
        </w:tc>
        <w:tc>
          <w:tcPr>
            <w:tcW w:w="1485" w:type="dxa"/>
            <w:gridSpan w:val="3"/>
            <w:shd w:val="clear" w:color="auto" w:fill="auto"/>
          </w:tcPr>
          <w:p w14:paraId="38E03DFA" w14:textId="77777777" w:rsidR="00B36A05" w:rsidRPr="001C0F84" w:rsidRDefault="00B36A05" w:rsidP="003D4A8B">
            <w:pPr>
              <w:pStyle w:val="Tablesmalltext"/>
              <w:rPr>
                <w:rFonts w:eastAsia="Times New Roman"/>
                <w:lang w:val="en-AU" w:eastAsia="en-AU"/>
              </w:rPr>
            </w:pPr>
            <w:r w:rsidRPr="00A665D1">
              <w:t>831-501-0015</w:t>
            </w:r>
          </w:p>
        </w:tc>
        <w:tc>
          <w:tcPr>
            <w:tcW w:w="1663" w:type="dxa"/>
            <w:shd w:val="clear" w:color="auto" w:fill="auto"/>
          </w:tcPr>
          <w:p w14:paraId="0DB677F0" w14:textId="77777777" w:rsidR="00B36A05" w:rsidRPr="001C0F84" w:rsidRDefault="00B36A05" w:rsidP="003D4A8B">
            <w:pPr>
              <w:pStyle w:val="Tablesmalltext"/>
              <w:rPr>
                <w:rFonts w:eastAsia="Times New Roman"/>
                <w:lang w:val="en-AU" w:eastAsia="en-AU"/>
              </w:rPr>
            </w:pPr>
            <w:r w:rsidRPr="00A665D1">
              <w:t>Electromotive</w:t>
            </w:r>
          </w:p>
        </w:tc>
        <w:tc>
          <w:tcPr>
            <w:tcW w:w="851" w:type="dxa"/>
          </w:tcPr>
          <w:p w14:paraId="2C23FD0B" w14:textId="77777777" w:rsidR="00B36A05" w:rsidRPr="001C0F84" w:rsidRDefault="00B36A05"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7BAF5414" w14:textId="77777777" w:rsidR="00B36A05" w:rsidRPr="001C0F84" w:rsidRDefault="00B36A05" w:rsidP="003D4A8B">
            <w:pPr>
              <w:pStyle w:val="Tablesmalltext"/>
              <w:jc w:val="center"/>
              <w:rPr>
                <w:rFonts w:eastAsia="Times New Roman"/>
                <w:lang w:val="en-AU" w:eastAsia="en-AU"/>
              </w:rPr>
            </w:pPr>
            <w:r w:rsidRPr="00E80F76">
              <w:t>Active - Harvest</w:t>
            </w:r>
          </w:p>
        </w:tc>
        <w:tc>
          <w:tcPr>
            <w:tcW w:w="1195" w:type="dxa"/>
          </w:tcPr>
          <w:p w14:paraId="10396F3E" w14:textId="77777777" w:rsidR="00B36A05" w:rsidRPr="001C0F84" w:rsidRDefault="00B36A05" w:rsidP="003D4A8B">
            <w:pPr>
              <w:pStyle w:val="Tablesmalltext"/>
              <w:jc w:val="center"/>
              <w:rPr>
                <w:rFonts w:eastAsia="Times New Roman"/>
                <w:lang w:val="en-AU" w:eastAsia="en-AU"/>
              </w:rPr>
            </w:pPr>
            <w:r w:rsidRPr="00DD6B70">
              <w:t>6.68</w:t>
            </w:r>
          </w:p>
        </w:tc>
        <w:tc>
          <w:tcPr>
            <w:tcW w:w="1134" w:type="dxa"/>
            <w:shd w:val="clear" w:color="auto" w:fill="auto"/>
          </w:tcPr>
          <w:p w14:paraId="066D4743" w14:textId="10775D51" w:rsidR="00B36A05" w:rsidRPr="001C0F84" w:rsidRDefault="00BD66A1" w:rsidP="003D4A8B">
            <w:pPr>
              <w:pStyle w:val="Tablesmalltext"/>
              <w:jc w:val="center"/>
              <w:rPr>
                <w:rFonts w:eastAsia="Times New Roman"/>
                <w:lang w:val="en-AU" w:eastAsia="en-AU"/>
              </w:rPr>
            </w:pPr>
            <w:r>
              <w:rPr>
                <w:rFonts w:eastAsia="Times New Roman"/>
                <w:lang w:val="en-AU" w:eastAsia="en-AU"/>
              </w:rPr>
              <w:t>Yes</w:t>
            </w:r>
          </w:p>
        </w:tc>
        <w:tc>
          <w:tcPr>
            <w:tcW w:w="992" w:type="dxa"/>
            <w:shd w:val="clear" w:color="auto" w:fill="auto"/>
          </w:tcPr>
          <w:p w14:paraId="29538F7C"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No</w:t>
            </w:r>
          </w:p>
        </w:tc>
        <w:tc>
          <w:tcPr>
            <w:tcW w:w="993" w:type="dxa"/>
            <w:shd w:val="clear" w:color="auto" w:fill="auto"/>
            <w:noWrap/>
          </w:tcPr>
          <w:p w14:paraId="05B46017" w14:textId="4C929AC4" w:rsidR="00B36A05" w:rsidRPr="001C0F84" w:rsidRDefault="002B7966" w:rsidP="003D4A8B">
            <w:pPr>
              <w:pStyle w:val="Tablesmalltext"/>
              <w:jc w:val="center"/>
              <w:rPr>
                <w:rFonts w:eastAsia="Times New Roman"/>
                <w:lang w:val="en-AU" w:eastAsia="en-AU"/>
              </w:rPr>
            </w:pPr>
            <w:r>
              <w:t>&lt;50</w:t>
            </w:r>
          </w:p>
        </w:tc>
        <w:tc>
          <w:tcPr>
            <w:tcW w:w="1060" w:type="dxa"/>
          </w:tcPr>
          <w:p w14:paraId="73D7163D" w14:textId="77777777" w:rsidR="00B36A05" w:rsidRPr="001C0F84" w:rsidRDefault="00B36A05" w:rsidP="003D4A8B">
            <w:pPr>
              <w:pStyle w:val="Tablesmalltext"/>
              <w:jc w:val="center"/>
              <w:rPr>
                <w:rFonts w:eastAsia="Times New Roman"/>
                <w:lang w:val="en-AU" w:eastAsia="en-AU"/>
              </w:rPr>
            </w:pPr>
            <w:r w:rsidRPr="00471FDE">
              <w:t>15</w:t>
            </w:r>
          </w:p>
        </w:tc>
        <w:tc>
          <w:tcPr>
            <w:tcW w:w="1144" w:type="dxa"/>
          </w:tcPr>
          <w:p w14:paraId="1D7D11BB" w14:textId="53EA6A49" w:rsidR="00B36A05" w:rsidRPr="001C0F84" w:rsidRDefault="00F22160" w:rsidP="003D4A8B">
            <w:pPr>
              <w:pStyle w:val="Tablesmalltext"/>
              <w:jc w:val="center"/>
              <w:rPr>
                <w:rFonts w:eastAsia="Times New Roman"/>
                <w:lang w:val="en-AU" w:eastAsia="en-AU"/>
              </w:rPr>
            </w:pPr>
            <w:r>
              <w:rPr>
                <w:rFonts w:eastAsia="Times New Roman"/>
                <w:lang w:val="en-AU" w:eastAsia="en-AU"/>
              </w:rPr>
              <w:t>Medium</w:t>
            </w:r>
          </w:p>
        </w:tc>
        <w:tc>
          <w:tcPr>
            <w:tcW w:w="899" w:type="dxa"/>
          </w:tcPr>
          <w:p w14:paraId="621DF83E"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32C93D0A" w14:textId="77777777" w:rsidR="00B36A05" w:rsidRPr="001C0F84" w:rsidRDefault="00B36A05" w:rsidP="003D4A8B">
            <w:pPr>
              <w:pStyle w:val="Tablesmalltext"/>
              <w:jc w:val="center"/>
              <w:rPr>
                <w:rFonts w:eastAsia="Times New Roman"/>
                <w:lang w:val="en-AU" w:eastAsia="en-AU"/>
              </w:rPr>
            </w:pPr>
            <w:r w:rsidRPr="00D5713C">
              <w:t>Coupe</w:t>
            </w:r>
          </w:p>
        </w:tc>
      </w:tr>
      <w:tr w:rsidR="00B36A05" w:rsidRPr="001C0F84" w14:paraId="327BF4E7" w14:textId="77777777" w:rsidTr="00B36A05">
        <w:trPr>
          <w:trHeight w:val="240"/>
        </w:trPr>
        <w:tc>
          <w:tcPr>
            <w:tcW w:w="723" w:type="dxa"/>
            <w:shd w:val="clear" w:color="auto" w:fill="auto"/>
            <w:noWrap/>
            <w:vAlign w:val="center"/>
          </w:tcPr>
          <w:p w14:paraId="024253EA" w14:textId="77777777" w:rsidR="00B36A05" w:rsidRDefault="00B36A05" w:rsidP="00B36A05">
            <w:pPr>
              <w:pStyle w:val="Tablesmalltext"/>
              <w:jc w:val="center"/>
            </w:pPr>
            <w:r>
              <w:t>27</w:t>
            </w:r>
          </w:p>
        </w:tc>
        <w:tc>
          <w:tcPr>
            <w:tcW w:w="1485" w:type="dxa"/>
            <w:gridSpan w:val="3"/>
            <w:shd w:val="clear" w:color="auto" w:fill="auto"/>
          </w:tcPr>
          <w:p w14:paraId="4599E364" w14:textId="77777777" w:rsidR="00B36A05" w:rsidRPr="001C0F84" w:rsidRDefault="00B36A05" w:rsidP="003D4A8B">
            <w:pPr>
              <w:pStyle w:val="Tablesmalltext"/>
              <w:rPr>
                <w:rFonts w:eastAsia="Times New Roman"/>
                <w:lang w:val="en-AU" w:eastAsia="en-AU"/>
              </w:rPr>
            </w:pPr>
            <w:r w:rsidRPr="00A665D1">
              <w:t>834-504-0007</w:t>
            </w:r>
          </w:p>
        </w:tc>
        <w:tc>
          <w:tcPr>
            <w:tcW w:w="1663" w:type="dxa"/>
            <w:shd w:val="clear" w:color="auto" w:fill="auto"/>
          </w:tcPr>
          <w:p w14:paraId="3BB553B0" w14:textId="77777777" w:rsidR="00B36A05" w:rsidRPr="001C0F84" w:rsidRDefault="00B36A05" w:rsidP="003D4A8B">
            <w:pPr>
              <w:pStyle w:val="Tablesmalltext"/>
              <w:rPr>
                <w:rFonts w:eastAsia="Times New Roman"/>
                <w:lang w:val="en-AU" w:eastAsia="en-AU"/>
              </w:rPr>
            </w:pPr>
            <w:r w:rsidRPr="00A665D1">
              <w:t>Grandfinal</w:t>
            </w:r>
          </w:p>
        </w:tc>
        <w:tc>
          <w:tcPr>
            <w:tcW w:w="851" w:type="dxa"/>
          </w:tcPr>
          <w:p w14:paraId="3658680C" w14:textId="77777777" w:rsidR="00B36A05" w:rsidRPr="001C0F84" w:rsidRDefault="00B36A05"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789C576B" w14:textId="77777777" w:rsidR="00B36A05" w:rsidRPr="001C0F84" w:rsidRDefault="00B36A05" w:rsidP="003D4A8B">
            <w:pPr>
              <w:pStyle w:val="Tablesmalltext"/>
              <w:jc w:val="center"/>
              <w:rPr>
                <w:rFonts w:eastAsia="Times New Roman"/>
                <w:lang w:val="en-AU" w:eastAsia="en-AU"/>
              </w:rPr>
            </w:pPr>
            <w:r w:rsidRPr="00E80F76">
              <w:t>Regenerating</w:t>
            </w:r>
          </w:p>
        </w:tc>
        <w:tc>
          <w:tcPr>
            <w:tcW w:w="1195" w:type="dxa"/>
          </w:tcPr>
          <w:p w14:paraId="20D29384" w14:textId="77777777" w:rsidR="00B36A05" w:rsidRPr="001C0F84" w:rsidRDefault="00B36A05" w:rsidP="003D4A8B">
            <w:pPr>
              <w:pStyle w:val="Tablesmalltext"/>
              <w:jc w:val="center"/>
              <w:rPr>
                <w:rFonts w:eastAsia="Times New Roman"/>
                <w:lang w:val="en-AU" w:eastAsia="en-AU"/>
              </w:rPr>
            </w:pPr>
            <w:r w:rsidRPr="00DD6B70">
              <w:t>13.96</w:t>
            </w:r>
          </w:p>
        </w:tc>
        <w:tc>
          <w:tcPr>
            <w:tcW w:w="1134" w:type="dxa"/>
            <w:shd w:val="clear" w:color="auto" w:fill="auto"/>
          </w:tcPr>
          <w:p w14:paraId="4971FB4E" w14:textId="77777777" w:rsidR="00B36A05" w:rsidRPr="001C0F84" w:rsidRDefault="00B36A05" w:rsidP="003D4A8B">
            <w:pPr>
              <w:pStyle w:val="Tablesmalltext"/>
              <w:jc w:val="center"/>
              <w:rPr>
                <w:rFonts w:eastAsia="Times New Roman"/>
                <w:lang w:val="en-AU" w:eastAsia="en-AU"/>
              </w:rPr>
            </w:pPr>
            <w:r w:rsidRPr="00DA73B6">
              <w:rPr>
                <w:rFonts w:eastAsia="Times New Roman"/>
                <w:lang w:val="en-AU" w:eastAsia="en-AU"/>
              </w:rPr>
              <w:t>Yes</w:t>
            </w:r>
          </w:p>
        </w:tc>
        <w:tc>
          <w:tcPr>
            <w:tcW w:w="992" w:type="dxa"/>
            <w:shd w:val="clear" w:color="auto" w:fill="auto"/>
          </w:tcPr>
          <w:p w14:paraId="34C2BCB3" w14:textId="77777777" w:rsidR="00B36A05" w:rsidRPr="001C0F84" w:rsidRDefault="00B36A05" w:rsidP="003D4A8B">
            <w:pPr>
              <w:pStyle w:val="Tablesmalltext"/>
              <w:jc w:val="center"/>
              <w:rPr>
                <w:rFonts w:eastAsia="Times New Roman"/>
                <w:lang w:val="en-AU" w:eastAsia="en-AU"/>
              </w:rPr>
            </w:pPr>
            <w:r w:rsidRPr="00ED0918">
              <w:rPr>
                <w:rFonts w:eastAsia="Times New Roman"/>
                <w:lang w:val="en-AU" w:eastAsia="en-AU"/>
              </w:rPr>
              <w:t>No</w:t>
            </w:r>
          </w:p>
        </w:tc>
        <w:tc>
          <w:tcPr>
            <w:tcW w:w="993" w:type="dxa"/>
            <w:shd w:val="clear" w:color="auto" w:fill="auto"/>
            <w:noWrap/>
          </w:tcPr>
          <w:p w14:paraId="2DCDDEF1" w14:textId="77777777" w:rsidR="00B36A05" w:rsidRPr="001C0F84" w:rsidRDefault="00B36A05" w:rsidP="003D4A8B">
            <w:pPr>
              <w:pStyle w:val="Tablesmalltext"/>
              <w:jc w:val="center"/>
              <w:rPr>
                <w:rFonts w:eastAsia="Times New Roman"/>
                <w:lang w:val="en-AU" w:eastAsia="en-AU"/>
              </w:rPr>
            </w:pPr>
            <w:r w:rsidRPr="0083677D">
              <w:t>700</w:t>
            </w:r>
          </w:p>
        </w:tc>
        <w:tc>
          <w:tcPr>
            <w:tcW w:w="1060" w:type="dxa"/>
          </w:tcPr>
          <w:p w14:paraId="4DEE9B11" w14:textId="77777777" w:rsidR="00B36A05" w:rsidRPr="001C0F84" w:rsidRDefault="00B36A05" w:rsidP="003D4A8B">
            <w:pPr>
              <w:pStyle w:val="Tablesmalltext"/>
              <w:jc w:val="center"/>
              <w:rPr>
                <w:rFonts w:eastAsia="Times New Roman"/>
                <w:lang w:val="en-AU" w:eastAsia="en-AU"/>
              </w:rPr>
            </w:pPr>
            <w:r w:rsidRPr="00471FDE">
              <w:t>10</w:t>
            </w:r>
          </w:p>
        </w:tc>
        <w:tc>
          <w:tcPr>
            <w:tcW w:w="1144" w:type="dxa"/>
          </w:tcPr>
          <w:p w14:paraId="55BFBB02"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Medium</w:t>
            </w:r>
          </w:p>
        </w:tc>
        <w:tc>
          <w:tcPr>
            <w:tcW w:w="899" w:type="dxa"/>
          </w:tcPr>
          <w:p w14:paraId="377621C8"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49FAB844" w14:textId="77777777" w:rsidR="00B36A05" w:rsidRPr="001C0F84" w:rsidRDefault="00B36A05" w:rsidP="003D4A8B">
            <w:pPr>
              <w:pStyle w:val="Tablesmalltext"/>
              <w:jc w:val="center"/>
              <w:rPr>
                <w:rFonts w:eastAsia="Times New Roman"/>
                <w:lang w:val="en-AU" w:eastAsia="en-AU"/>
              </w:rPr>
            </w:pPr>
            <w:r w:rsidRPr="00D5713C">
              <w:t>Coupe</w:t>
            </w:r>
          </w:p>
        </w:tc>
      </w:tr>
      <w:tr w:rsidR="00B36A05" w:rsidRPr="008D5BB4" w14:paraId="20B7F3A4" w14:textId="77777777" w:rsidTr="005840C8">
        <w:trPr>
          <w:trHeight w:val="240"/>
        </w:trPr>
        <w:tc>
          <w:tcPr>
            <w:tcW w:w="723" w:type="dxa"/>
            <w:shd w:val="clear" w:color="auto" w:fill="auto"/>
            <w:noWrap/>
            <w:vAlign w:val="center"/>
          </w:tcPr>
          <w:p w14:paraId="586F007B" w14:textId="77777777" w:rsidR="00B36A05" w:rsidRPr="008327C6" w:rsidRDefault="00B36A05" w:rsidP="00B36A05">
            <w:pPr>
              <w:pStyle w:val="Tablesmalltext"/>
              <w:jc w:val="center"/>
            </w:pPr>
            <w:r>
              <w:t>28</w:t>
            </w:r>
          </w:p>
        </w:tc>
        <w:tc>
          <w:tcPr>
            <w:tcW w:w="1485" w:type="dxa"/>
            <w:gridSpan w:val="3"/>
            <w:shd w:val="clear" w:color="auto" w:fill="auto"/>
          </w:tcPr>
          <w:p w14:paraId="35726239" w14:textId="77777777" w:rsidR="00B36A05" w:rsidRPr="008327C6" w:rsidRDefault="00B36A05" w:rsidP="003D4A8B">
            <w:pPr>
              <w:pStyle w:val="Tablesmalltext"/>
            </w:pPr>
            <w:r w:rsidRPr="00A665D1">
              <w:t>842-501-0028</w:t>
            </w:r>
          </w:p>
        </w:tc>
        <w:tc>
          <w:tcPr>
            <w:tcW w:w="1663" w:type="dxa"/>
            <w:shd w:val="clear" w:color="auto" w:fill="auto"/>
          </w:tcPr>
          <w:p w14:paraId="002F01FF" w14:textId="77777777" w:rsidR="00B36A05" w:rsidRPr="008327C6" w:rsidRDefault="00B36A05" w:rsidP="003D4A8B">
            <w:pPr>
              <w:pStyle w:val="Tablesmalltext"/>
            </w:pPr>
            <w:r w:rsidRPr="00A665D1">
              <w:t>Scarface</w:t>
            </w:r>
          </w:p>
        </w:tc>
        <w:tc>
          <w:tcPr>
            <w:tcW w:w="851" w:type="dxa"/>
          </w:tcPr>
          <w:p w14:paraId="266C4C96" w14:textId="77777777" w:rsidR="00B36A05" w:rsidRPr="008327C6" w:rsidRDefault="00B36A05" w:rsidP="003D4A8B">
            <w:pPr>
              <w:pStyle w:val="Tablesmalltext"/>
              <w:jc w:val="center"/>
            </w:pPr>
            <w:r w:rsidRPr="00383C86">
              <w:rPr>
                <w:rFonts w:eastAsia="Times New Roman"/>
                <w:lang w:val="en-AU" w:eastAsia="en-AU"/>
              </w:rPr>
              <w:t>EG</w:t>
            </w:r>
          </w:p>
        </w:tc>
        <w:tc>
          <w:tcPr>
            <w:tcW w:w="1498" w:type="dxa"/>
            <w:gridSpan w:val="2"/>
            <w:shd w:val="clear" w:color="auto" w:fill="auto"/>
          </w:tcPr>
          <w:p w14:paraId="23C2CBC5" w14:textId="77777777" w:rsidR="00B36A05" w:rsidRPr="008327C6" w:rsidRDefault="00B36A05" w:rsidP="003D4A8B">
            <w:pPr>
              <w:pStyle w:val="Tablesmalltext"/>
              <w:jc w:val="center"/>
            </w:pPr>
            <w:r w:rsidRPr="00E80F76">
              <w:t>Regenerating</w:t>
            </w:r>
          </w:p>
        </w:tc>
        <w:tc>
          <w:tcPr>
            <w:tcW w:w="1195" w:type="dxa"/>
          </w:tcPr>
          <w:p w14:paraId="03100C0D" w14:textId="3C7D7BAC" w:rsidR="00B36A05" w:rsidRPr="008327C6" w:rsidRDefault="00B36A05" w:rsidP="003D4A8B">
            <w:pPr>
              <w:pStyle w:val="Tablesmalltext"/>
              <w:jc w:val="center"/>
            </w:pPr>
            <w:r w:rsidRPr="00DD6B70">
              <w:t>3.2</w:t>
            </w:r>
            <w:r w:rsidR="00FE3FF2">
              <w:t>0</w:t>
            </w:r>
          </w:p>
        </w:tc>
        <w:tc>
          <w:tcPr>
            <w:tcW w:w="1134" w:type="dxa"/>
            <w:shd w:val="clear" w:color="auto" w:fill="FFC000"/>
          </w:tcPr>
          <w:p w14:paraId="19AB0D24" w14:textId="1B54CA8D" w:rsidR="00B36A05" w:rsidRPr="00F055CA" w:rsidRDefault="005840C8" w:rsidP="003D4A8B">
            <w:pPr>
              <w:pStyle w:val="Tablesmalltext"/>
              <w:jc w:val="center"/>
            </w:pPr>
            <w:r>
              <w:rPr>
                <w:rFonts w:eastAsia="Times New Roman"/>
                <w:lang w:val="en-AU" w:eastAsia="en-AU"/>
              </w:rPr>
              <w:t>No</w:t>
            </w:r>
          </w:p>
        </w:tc>
        <w:tc>
          <w:tcPr>
            <w:tcW w:w="992" w:type="dxa"/>
            <w:shd w:val="clear" w:color="auto" w:fill="auto"/>
          </w:tcPr>
          <w:p w14:paraId="5223DD52" w14:textId="77777777" w:rsidR="00B36A05" w:rsidRPr="00F055CA" w:rsidRDefault="00B36A05" w:rsidP="003D4A8B">
            <w:pPr>
              <w:pStyle w:val="Tablesmalltext"/>
              <w:jc w:val="center"/>
            </w:pPr>
            <w:r w:rsidRPr="00ED0918">
              <w:rPr>
                <w:rFonts w:eastAsia="Times New Roman"/>
                <w:lang w:val="en-AU" w:eastAsia="en-AU"/>
              </w:rPr>
              <w:t>No</w:t>
            </w:r>
          </w:p>
        </w:tc>
        <w:tc>
          <w:tcPr>
            <w:tcW w:w="993" w:type="dxa"/>
            <w:shd w:val="clear" w:color="auto" w:fill="auto"/>
            <w:noWrap/>
          </w:tcPr>
          <w:p w14:paraId="44EE68F5" w14:textId="2682DF63" w:rsidR="00B36A05" w:rsidRPr="00777050" w:rsidRDefault="002B7966" w:rsidP="003D4A8B">
            <w:pPr>
              <w:pStyle w:val="Tablesmalltext"/>
              <w:jc w:val="center"/>
            </w:pPr>
            <w:r>
              <w:t>&lt;</w:t>
            </w:r>
            <w:r w:rsidR="00B36A05" w:rsidRPr="0083677D">
              <w:t>50</w:t>
            </w:r>
          </w:p>
        </w:tc>
        <w:tc>
          <w:tcPr>
            <w:tcW w:w="1060" w:type="dxa"/>
          </w:tcPr>
          <w:p w14:paraId="093D5480" w14:textId="77777777" w:rsidR="00B36A05" w:rsidRPr="00807433" w:rsidRDefault="00B36A05" w:rsidP="003D4A8B">
            <w:pPr>
              <w:pStyle w:val="Tablesmalltext"/>
              <w:jc w:val="center"/>
            </w:pPr>
            <w:r w:rsidRPr="00471FDE">
              <w:t>20</w:t>
            </w:r>
          </w:p>
        </w:tc>
        <w:tc>
          <w:tcPr>
            <w:tcW w:w="1144" w:type="dxa"/>
          </w:tcPr>
          <w:p w14:paraId="10DF6FA5" w14:textId="77777777" w:rsidR="00B36A05" w:rsidRPr="00336178" w:rsidRDefault="00B36A05" w:rsidP="003D4A8B">
            <w:pPr>
              <w:pStyle w:val="Tablesmalltext"/>
              <w:jc w:val="center"/>
            </w:pPr>
            <w:r>
              <w:rPr>
                <w:rFonts w:eastAsia="Times New Roman"/>
                <w:lang w:val="en-AU" w:eastAsia="en-AU"/>
              </w:rPr>
              <w:t>Medium</w:t>
            </w:r>
          </w:p>
        </w:tc>
        <w:tc>
          <w:tcPr>
            <w:tcW w:w="899" w:type="dxa"/>
          </w:tcPr>
          <w:p w14:paraId="66CAC8CF" w14:textId="77777777" w:rsidR="00B36A05" w:rsidRPr="00471A06" w:rsidRDefault="00B36A05" w:rsidP="003D4A8B">
            <w:pPr>
              <w:pStyle w:val="Tablesmalltext"/>
              <w:jc w:val="center"/>
            </w:pPr>
            <w:r w:rsidRPr="00A02CB8">
              <w:rPr>
                <w:rFonts w:eastAsia="Times New Roman"/>
                <w:lang w:val="en-AU" w:eastAsia="en-AU"/>
              </w:rPr>
              <w:t>Yes</w:t>
            </w:r>
          </w:p>
        </w:tc>
        <w:tc>
          <w:tcPr>
            <w:tcW w:w="1144" w:type="dxa"/>
          </w:tcPr>
          <w:p w14:paraId="0C868C10" w14:textId="77777777" w:rsidR="00B36A05" w:rsidRPr="008D5BB4" w:rsidRDefault="00B36A05" w:rsidP="003D4A8B">
            <w:pPr>
              <w:pStyle w:val="Tablesmalltext"/>
              <w:jc w:val="center"/>
            </w:pPr>
            <w:r>
              <w:t>&lt;500 m</w:t>
            </w:r>
          </w:p>
        </w:tc>
      </w:tr>
      <w:tr w:rsidR="00B36A05" w:rsidRPr="001C0F84" w14:paraId="09B3627B" w14:textId="77777777" w:rsidTr="005840C8">
        <w:trPr>
          <w:trHeight w:val="240"/>
        </w:trPr>
        <w:tc>
          <w:tcPr>
            <w:tcW w:w="723" w:type="dxa"/>
            <w:shd w:val="clear" w:color="auto" w:fill="auto"/>
            <w:noWrap/>
            <w:vAlign w:val="center"/>
          </w:tcPr>
          <w:p w14:paraId="4C0AAC66" w14:textId="77777777" w:rsidR="00B36A05" w:rsidRDefault="00B36A05" w:rsidP="00B36A05">
            <w:pPr>
              <w:pStyle w:val="Tablesmalltext"/>
              <w:jc w:val="center"/>
            </w:pPr>
            <w:r>
              <w:t>29</w:t>
            </w:r>
          </w:p>
        </w:tc>
        <w:tc>
          <w:tcPr>
            <w:tcW w:w="1485" w:type="dxa"/>
            <w:gridSpan w:val="3"/>
            <w:shd w:val="clear" w:color="auto" w:fill="auto"/>
          </w:tcPr>
          <w:p w14:paraId="5084AC61" w14:textId="77777777" w:rsidR="00B36A05" w:rsidRPr="001C0F84" w:rsidRDefault="00B36A05" w:rsidP="003D4A8B">
            <w:pPr>
              <w:pStyle w:val="Tablesmalltext"/>
              <w:rPr>
                <w:rFonts w:eastAsia="Times New Roman"/>
                <w:lang w:val="en-AU" w:eastAsia="en-AU"/>
              </w:rPr>
            </w:pPr>
            <w:r w:rsidRPr="00A665D1">
              <w:t>875-510-0004</w:t>
            </w:r>
          </w:p>
        </w:tc>
        <w:tc>
          <w:tcPr>
            <w:tcW w:w="1663" w:type="dxa"/>
            <w:shd w:val="clear" w:color="auto" w:fill="auto"/>
          </w:tcPr>
          <w:p w14:paraId="0CD5F197" w14:textId="41871839" w:rsidR="00B36A05" w:rsidRPr="001C0F84" w:rsidRDefault="00B36A05" w:rsidP="003D4A8B">
            <w:pPr>
              <w:pStyle w:val="Tablesmalltext"/>
              <w:rPr>
                <w:rFonts w:eastAsia="Times New Roman"/>
                <w:lang w:val="en-AU" w:eastAsia="en-AU"/>
              </w:rPr>
            </w:pPr>
            <w:r w:rsidRPr="00A665D1">
              <w:t xml:space="preserve">Pinball </w:t>
            </w:r>
            <w:r w:rsidR="005840C8">
              <w:t>W</w:t>
            </w:r>
            <w:r w:rsidRPr="00A665D1">
              <w:t>izard</w:t>
            </w:r>
          </w:p>
        </w:tc>
        <w:tc>
          <w:tcPr>
            <w:tcW w:w="851" w:type="dxa"/>
          </w:tcPr>
          <w:p w14:paraId="06A1D3FF" w14:textId="77777777" w:rsidR="00B36A05" w:rsidRPr="001C0F84" w:rsidRDefault="00B36A05"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094EA293" w14:textId="77777777" w:rsidR="00B36A05" w:rsidRPr="001C0F84" w:rsidRDefault="00B36A05" w:rsidP="003D4A8B">
            <w:pPr>
              <w:pStyle w:val="Tablesmalltext"/>
              <w:jc w:val="center"/>
              <w:rPr>
                <w:rFonts w:eastAsia="Times New Roman"/>
                <w:lang w:val="en-AU" w:eastAsia="en-AU"/>
              </w:rPr>
            </w:pPr>
            <w:r w:rsidRPr="00E80F76">
              <w:t>Regenerating</w:t>
            </w:r>
          </w:p>
        </w:tc>
        <w:tc>
          <w:tcPr>
            <w:tcW w:w="1195" w:type="dxa"/>
          </w:tcPr>
          <w:p w14:paraId="28BF9913" w14:textId="77777777" w:rsidR="00B36A05" w:rsidRPr="001C0F84" w:rsidRDefault="00B36A05" w:rsidP="003D4A8B">
            <w:pPr>
              <w:pStyle w:val="Tablesmalltext"/>
              <w:jc w:val="center"/>
              <w:rPr>
                <w:rFonts w:eastAsia="Times New Roman"/>
                <w:lang w:val="en-AU" w:eastAsia="en-AU"/>
              </w:rPr>
            </w:pPr>
            <w:r w:rsidRPr="00DD6B70">
              <w:t>3.51</w:t>
            </w:r>
          </w:p>
        </w:tc>
        <w:tc>
          <w:tcPr>
            <w:tcW w:w="1134" w:type="dxa"/>
            <w:shd w:val="clear" w:color="auto" w:fill="FFC000"/>
          </w:tcPr>
          <w:p w14:paraId="5960462B" w14:textId="122220CD" w:rsidR="00B36A05" w:rsidRPr="001C0F84" w:rsidRDefault="005840C8"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auto"/>
          </w:tcPr>
          <w:p w14:paraId="5D70B869" w14:textId="77777777" w:rsidR="00B36A05" w:rsidRPr="001C0F84" w:rsidRDefault="00B36A05" w:rsidP="003D4A8B">
            <w:pPr>
              <w:pStyle w:val="Tablesmalltext"/>
              <w:jc w:val="center"/>
              <w:rPr>
                <w:rFonts w:eastAsia="Times New Roman"/>
                <w:lang w:val="en-AU" w:eastAsia="en-AU"/>
              </w:rPr>
            </w:pPr>
            <w:r w:rsidRPr="00ED0918">
              <w:rPr>
                <w:rFonts w:eastAsia="Times New Roman"/>
                <w:lang w:val="en-AU" w:eastAsia="en-AU"/>
              </w:rPr>
              <w:t>No</w:t>
            </w:r>
          </w:p>
        </w:tc>
        <w:tc>
          <w:tcPr>
            <w:tcW w:w="993" w:type="dxa"/>
            <w:shd w:val="clear" w:color="auto" w:fill="auto"/>
            <w:noWrap/>
          </w:tcPr>
          <w:p w14:paraId="485F7759" w14:textId="77777777" w:rsidR="00B36A05" w:rsidRPr="001C0F84" w:rsidRDefault="00B36A05" w:rsidP="003D4A8B">
            <w:pPr>
              <w:pStyle w:val="Tablesmalltext"/>
              <w:jc w:val="center"/>
              <w:rPr>
                <w:rFonts w:eastAsia="Times New Roman"/>
                <w:lang w:val="en-AU" w:eastAsia="en-AU"/>
              </w:rPr>
            </w:pPr>
            <w:r w:rsidRPr="0083677D">
              <w:t>1500</w:t>
            </w:r>
          </w:p>
        </w:tc>
        <w:tc>
          <w:tcPr>
            <w:tcW w:w="1060" w:type="dxa"/>
          </w:tcPr>
          <w:p w14:paraId="11727E0E" w14:textId="77777777" w:rsidR="00B36A05" w:rsidRPr="001C0F84" w:rsidRDefault="00B36A05" w:rsidP="003D4A8B">
            <w:pPr>
              <w:pStyle w:val="Tablesmalltext"/>
              <w:jc w:val="center"/>
              <w:rPr>
                <w:rFonts w:eastAsia="Times New Roman"/>
                <w:lang w:val="en-AU" w:eastAsia="en-AU"/>
              </w:rPr>
            </w:pPr>
            <w:r w:rsidRPr="00471FDE">
              <w:t>10</w:t>
            </w:r>
          </w:p>
        </w:tc>
        <w:tc>
          <w:tcPr>
            <w:tcW w:w="1144" w:type="dxa"/>
          </w:tcPr>
          <w:p w14:paraId="705AA810"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Low</w:t>
            </w:r>
          </w:p>
        </w:tc>
        <w:tc>
          <w:tcPr>
            <w:tcW w:w="899" w:type="dxa"/>
          </w:tcPr>
          <w:p w14:paraId="60EE6ADE"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3586A6A2" w14:textId="77777777" w:rsidR="00B36A05" w:rsidRPr="001C0F84" w:rsidRDefault="00B36A05" w:rsidP="003D4A8B">
            <w:pPr>
              <w:pStyle w:val="Tablesmalltext"/>
              <w:jc w:val="center"/>
              <w:rPr>
                <w:rFonts w:eastAsia="Times New Roman"/>
                <w:lang w:val="en-AU" w:eastAsia="en-AU"/>
              </w:rPr>
            </w:pPr>
            <w:r w:rsidRPr="00D5713C">
              <w:t>Coupe</w:t>
            </w:r>
          </w:p>
        </w:tc>
      </w:tr>
      <w:tr w:rsidR="00BD66A1" w:rsidRPr="001C0F84" w14:paraId="31D569BC" w14:textId="77777777" w:rsidTr="003D4A8B">
        <w:trPr>
          <w:trHeight w:val="240"/>
        </w:trPr>
        <w:tc>
          <w:tcPr>
            <w:tcW w:w="723" w:type="dxa"/>
            <w:shd w:val="clear" w:color="auto" w:fill="auto"/>
            <w:noWrap/>
            <w:vAlign w:val="center"/>
          </w:tcPr>
          <w:p w14:paraId="5EAC85BA" w14:textId="11DB5E77" w:rsidR="00BD66A1" w:rsidRDefault="00BD66A1" w:rsidP="003D4A8B">
            <w:pPr>
              <w:pStyle w:val="Tablesmalltext"/>
              <w:jc w:val="center"/>
            </w:pPr>
            <w:r>
              <w:t>30</w:t>
            </w:r>
          </w:p>
        </w:tc>
        <w:tc>
          <w:tcPr>
            <w:tcW w:w="1485" w:type="dxa"/>
            <w:gridSpan w:val="3"/>
            <w:shd w:val="clear" w:color="auto" w:fill="auto"/>
          </w:tcPr>
          <w:p w14:paraId="1B932A7B" w14:textId="77777777" w:rsidR="00BD66A1" w:rsidRPr="001C0F84" w:rsidRDefault="00BD66A1" w:rsidP="003D4A8B">
            <w:pPr>
              <w:pStyle w:val="Tablesmalltext"/>
              <w:rPr>
                <w:rFonts w:eastAsia="Times New Roman"/>
                <w:lang w:val="en-AU" w:eastAsia="en-AU"/>
              </w:rPr>
            </w:pPr>
            <w:r w:rsidRPr="00A665D1">
              <w:t>876-510-0002</w:t>
            </w:r>
          </w:p>
        </w:tc>
        <w:tc>
          <w:tcPr>
            <w:tcW w:w="1663" w:type="dxa"/>
            <w:shd w:val="clear" w:color="auto" w:fill="auto"/>
          </w:tcPr>
          <w:p w14:paraId="77D17876" w14:textId="77777777" w:rsidR="00BD66A1" w:rsidRPr="001C0F84" w:rsidRDefault="00BD66A1" w:rsidP="003D4A8B">
            <w:pPr>
              <w:pStyle w:val="Tablesmalltext"/>
              <w:rPr>
                <w:rFonts w:eastAsia="Times New Roman"/>
                <w:lang w:val="en-AU" w:eastAsia="en-AU"/>
              </w:rPr>
            </w:pPr>
            <w:r w:rsidRPr="00A665D1">
              <w:t>Plastic Moon</w:t>
            </w:r>
          </w:p>
        </w:tc>
        <w:tc>
          <w:tcPr>
            <w:tcW w:w="851" w:type="dxa"/>
          </w:tcPr>
          <w:p w14:paraId="3A074785" w14:textId="77777777" w:rsidR="00BD66A1" w:rsidRPr="001C0F84" w:rsidRDefault="00BD66A1"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444F8E83" w14:textId="77777777" w:rsidR="00BD66A1" w:rsidRPr="001C0F84" w:rsidRDefault="00BD66A1" w:rsidP="003D4A8B">
            <w:pPr>
              <w:pStyle w:val="Tablesmalltext"/>
              <w:jc w:val="center"/>
              <w:rPr>
                <w:rFonts w:eastAsia="Times New Roman"/>
                <w:lang w:val="en-AU" w:eastAsia="en-AU"/>
              </w:rPr>
            </w:pPr>
            <w:r w:rsidRPr="00E80F76">
              <w:t>Regenerating</w:t>
            </w:r>
          </w:p>
        </w:tc>
        <w:tc>
          <w:tcPr>
            <w:tcW w:w="1195" w:type="dxa"/>
          </w:tcPr>
          <w:p w14:paraId="3B1AFF39" w14:textId="77777777" w:rsidR="00BD66A1" w:rsidRPr="001C0F84" w:rsidRDefault="00BD66A1" w:rsidP="003D4A8B">
            <w:pPr>
              <w:pStyle w:val="Tablesmalltext"/>
              <w:jc w:val="center"/>
              <w:rPr>
                <w:rFonts w:eastAsia="Times New Roman"/>
                <w:lang w:val="en-AU" w:eastAsia="en-AU"/>
              </w:rPr>
            </w:pPr>
            <w:r w:rsidRPr="00DD6B70">
              <w:t>19.81</w:t>
            </w:r>
          </w:p>
        </w:tc>
        <w:tc>
          <w:tcPr>
            <w:tcW w:w="1134" w:type="dxa"/>
            <w:shd w:val="clear" w:color="auto" w:fill="auto"/>
          </w:tcPr>
          <w:p w14:paraId="15BDFA10" w14:textId="77777777" w:rsidR="00BD66A1" w:rsidRPr="001C0F84" w:rsidRDefault="00BD66A1" w:rsidP="003D4A8B">
            <w:pPr>
              <w:pStyle w:val="Tablesmalltext"/>
              <w:jc w:val="center"/>
              <w:rPr>
                <w:rFonts w:eastAsia="Times New Roman"/>
                <w:lang w:val="en-AU" w:eastAsia="en-AU"/>
              </w:rPr>
            </w:pPr>
            <w:r w:rsidRPr="00DA73B6">
              <w:rPr>
                <w:rFonts w:eastAsia="Times New Roman"/>
                <w:lang w:val="en-AU" w:eastAsia="en-AU"/>
              </w:rPr>
              <w:t>Yes</w:t>
            </w:r>
          </w:p>
        </w:tc>
        <w:tc>
          <w:tcPr>
            <w:tcW w:w="992" w:type="dxa"/>
            <w:shd w:val="clear" w:color="auto" w:fill="auto"/>
          </w:tcPr>
          <w:p w14:paraId="342EEED0" w14:textId="77777777" w:rsidR="00BD66A1" w:rsidRPr="001C0F84" w:rsidRDefault="00BD66A1" w:rsidP="003D4A8B">
            <w:pPr>
              <w:pStyle w:val="Tablesmalltext"/>
              <w:jc w:val="center"/>
              <w:rPr>
                <w:rFonts w:eastAsia="Times New Roman"/>
                <w:lang w:val="en-AU" w:eastAsia="en-AU"/>
              </w:rPr>
            </w:pPr>
            <w:r w:rsidRPr="00ED0918">
              <w:rPr>
                <w:rFonts w:eastAsia="Times New Roman"/>
                <w:lang w:val="en-AU" w:eastAsia="en-AU"/>
              </w:rPr>
              <w:t>No</w:t>
            </w:r>
          </w:p>
        </w:tc>
        <w:tc>
          <w:tcPr>
            <w:tcW w:w="993" w:type="dxa"/>
            <w:shd w:val="clear" w:color="auto" w:fill="auto"/>
            <w:noWrap/>
          </w:tcPr>
          <w:p w14:paraId="078C617B" w14:textId="77777777" w:rsidR="00BD66A1" w:rsidRPr="001C0F84" w:rsidRDefault="00BD66A1" w:rsidP="003D4A8B">
            <w:pPr>
              <w:pStyle w:val="Tablesmalltext"/>
              <w:jc w:val="center"/>
              <w:rPr>
                <w:rFonts w:eastAsia="Times New Roman"/>
                <w:lang w:val="en-AU" w:eastAsia="en-AU"/>
              </w:rPr>
            </w:pPr>
            <w:r w:rsidRPr="0083677D">
              <w:t>200</w:t>
            </w:r>
          </w:p>
        </w:tc>
        <w:tc>
          <w:tcPr>
            <w:tcW w:w="1060" w:type="dxa"/>
          </w:tcPr>
          <w:p w14:paraId="2F845CD6" w14:textId="77777777" w:rsidR="00BD66A1" w:rsidRPr="001C0F84" w:rsidRDefault="00BD66A1" w:rsidP="003D4A8B">
            <w:pPr>
              <w:pStyle w:val="Tablesmalltext"/>
              <w:jc w:val="center"/>
              <w:rPr>
                <w:rFonts w:eastAsia="Times New Roman"/>
                <w:lang w:val="en-AU" w:eastAsia="en-AU"/>
              </w:rPr>
            </w:pPr>
            <w:r w:rsidRPr="00471FDE">
              <w:t>10</w:t>
            </w:r>
          </w:p>
        </w:tc>
        <w:tc>
          <w:tcPr>
            <w:tcW w:w="1144" w:type="dxa"/>
          </w:tcPr>
          <w:p w14:paraId="03EA5D94" w14:textId="77777777" w:rsidR="00BD66A1" w:rsidRPr="001C0F84" w:rsidRDefault="00BD66A1" w:rsidP="003D4A8B">
            <w:pPr>
              <w:pStyle w:val="Tablesmalltext"/>
              <w:jc w:val="center"/>
              <w:rPr>
                <w:rFonts w:eastAsia="Times New Roman"/>
                <w:lang w:val="en-AU" w:eastAsia="en-AU"/>
              </w:rPr>
            </w:pPr>
            <w:r>
              <w:rPr>
                <w:rFonts w:eastAsia="Times New Roman"/>
                <w:lang w:val="en-AU" w:eastAsia="en-AU"/>
              </w:rPr>
              <w:t>Low</w:t>
            </w:r>
          </w:p>
        </w:tc>
        <w:tc>
          <w:tcPr>
            <w:tcW w:w="899" w:type="dxa"/>
          </w:tcPr>
          <w:p w14:paraId="5114B674" w14:textId="77777777" w:rsidR="00BD66A1" w:rsidRPr="001C0F84" w:rsidRDefault="00BD66A1"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22A8691E" w14:textId="77777777" w:rsidR="00BD66A1" w:rsidRPr="001C0F84" w:rsidRDefault="00BD66A1" w:rsidP="003D4A8B">
            <w:pPr>
              <w:pStyle w:val="Tablesmalltext"/>
              <w:jc w:val="center"/>
              <w:rPr>
                <w:rFonts w:eastAsia="Times New Roman"/>
                <w:lang w:val="en-AU" w:eastAsia="en-AU"/>
              </w:rPr>
            </w:pPr>
            <w:r w:rsidRPr="00D5713C">
              <w:t>Coupe</w:t>
            </w:r>
          </w:p>
        </w:tc>
      </w:tr>
      <w:tr w:rsidR="00B36A05" w:rsidRPr="001C0F84" w14:paraId="2F2BBCEE" w14:textId="77777777" w:rsidTr="00BD66A1">
        <w:trPr>
          <w:trHeight w:val="240"/>
        </w:trPr>
        <w:tc>
          <w:tcPr>
            <w:tcW w:w="723" w:type="dxa"/>
            <w:shd w:val="clear" w:color="auto" w:fill="auto"/>
            <w:noWrap/>
            <w:vAlign w:val="center"/>
          </w:tcPr>
          <w:p w14:paraId="41D5C30E" w14:textId="1996617B" w:rsidR="00B36A05" w:rsidRDefault="00B36A05" w:rsidP="00B36A05">
            <w:pPr>
              <w:pStyle w:val="Tablesmalltext"/>
              <w:jc w:val="center"/>
            </w:pPr>
            <w:r>
              <w:t>3</w:t>
            </w:r>
            <w:r w:rsidR="00BD66A1">
              <w:t>1</w:t>
            </w:r>
          </w:p>
        </w:tc>
        <w:tc>
          <w:tcPr>
            <w:tcW w:w="1485" w:type="dxa"/>
            <w:gridSpan w:val="3"/>
            <w:shd w:val="clear" w:color="auto" w:fill="auto"/>
          </w:tcPr>
          <w:p w14:paraId="40A8B6AB" w14:textId="77777777" w:rsidR="00B36A05" w:rsidRPr="001C0F84" w:rsidRDefault="00B36A05" w:rsidP="003D4A8B">
            <w:pPr>
              <w:pStyle w:val="Tablesmalltext"/>
              <w:rPr>
                <w:rFonts w:eastAsia="Times New Roman"/>
                <w:lang w:val="en-AU" w:eastAsia="en-AU"/>
              </w:rPr>
            </w:pPr>
            <w:r w:rsidRPr="00A665D1">
              <w:t>876-511-0010</w:t>
            </w:r>
          </w:p>
        </w:tc>
        <w:tc>
          <w:tcPr>
            <w:tcW w:w="1663" w:type="dxa"/>
            <w:shd w:val="clear" w:color="auto" w:fill="auto"/>
          </w:tcPr>
          <w:p w14:paraId="23749C02" w14:textId="77777777" w:rsidR="00B36A05" w:rsidRPr="001C0F84" w:rsidRDefault="00B36A05" w:rsidP="003D4A8B">
            <w:pPr>
              <w:pStyle w:val="Tablesmalltext"/>
              <w:rPr>
                <w:rFonts w:eastAsia="Times New Roman"/>
                <w:lang w:val="en-AU" w:eastAsia="en-AU"/>
              </w:rPr>
            </w:pPr>
            <w:r w:rsidRPr="00A665D1">
              <w:t>Harkerscorner</w:t>
            </w:r>
          </w:p>
        </w:tc>
        <w:tc>
          <w:tcPr>
            <w:tcW w:w="851" w:type="dxa"/>
          </w:tcPr>
          <w:p w14:paraId="4B91C30E" w14:textId="77777777" w:rsidR="00B36A05" w:rsidRPr="001C0F84" w:rsidRDefault="00B36A05"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31F4D11F" w14:textId="77777777" w:rsidR="00B36A05" w:rsidRPr="001C0F84" w:rsidRDefault="00B36A05" w:rsidP="003D4A8B">
            <w:pPr>
              <w:pStyle w:val="Tablesmalltext"/>
              <w:jc w:val="center"/>
              <w:rPr>
                <w:rFonts w:eastAsia="Times New Roman"/>
                <w:lang w:val="en-AU" w:eastAsia="en-AU"/>
              </w:rPr>
            </w:pPr>
            <w:r w:rsidRPr="00E80F76">
              <w:t>Regenerating</w:t>
            </w:r>
          </w:p>
        </w:tc>
        <w:tc>
          <w:tcPr>
            <w:tcW w:w="1195" w:type="dxa"/>
          </w:tcPr>
          <w:p w14:paraId="18074E5B" w14:textId="77777777" w:rsidR="00B36A05" w:rsidRPr="001C0F84" w:rsidRDefault="00B36A05" w:rsidP="003D4A8B">
            <w:pPr>
              <w:pStyle w:val="Tablesmalltext"/>
              <w:jc w:val="center"/>
              <w:rPr>
                <w:rFonts w:eastAsia="Times New Roman"/>
                <w:lang w:val="en-AU" w:eastAsia="en-AU"/>
              </w:rPr>
            </w:pPr>
            <w:r w:rsidRPr="00DD6B70">
              <w:t>26.18</w:t>
            </w:r>
          </w:p>
        </w:tc>
        <w:tc>
          <w:tcPr>
            <w:tcW w:w="1134" w:type="dxa"/>
            <w:shd w:val="clear" w:color="auto" w:fill="FFC000"/>
          </w:tcPr>
          <w:p w14:paraId="6B55C675" w14:textId="262D0A6C" w:rsidR="00B36A05" w:rsidRPr="001C0F84" w:rsidRDefault="00BD66A1" w:rsidP="003D4A8B">
            <w:pPr>
              <w:pStyle w:val="Tablesmalltext"/>
              <w:jc w:val="center"/>
              <w:rPr>
                <w:rFonts w:eastAsia="Times New Roman"/>
                <w:lang w:val="en-AU" w:eastAsia="en-AU"/>
              </w:rPr>
            </w:pPr>
            <w:r>
              <w:rPr>
                <w:rFonts w:eastAsia="Times New Roman"/>
                <w:lang w:val="en-AU" w:eastAsia="en-AU"/>
              </w:rPr>
              <w:t>No</w:t>
            </w:r>
          </w:p>
        </w:tc>
        <w:tc>
          <w:tcPr>
            <w:tcW w:w="992" w:type="dxa"/>
            <w:shd w:val="clear" w:color="auto" w:fill="auto"/>
          </w:tcPr>
          <w:p w14:paraId="54AB68B2" w14:textId="77777777" w:rsidR="00B36A05" w:rsidRPr="001C0F84" w:rsidRDefault="00B36A05" w:rsidP="003D4A8B">
            <w:pPr>
              <w:pStyle w:val="Tablesmalltext"/>
              <w:jc w:val="center"/>
              <w:rPr>
                <w:rFonts w:eastAsia="Times New Roman"/>
                <w:lang w:val="en-AU" w:eastAsia="en-AU"/>
              </w:rPr>
            </w:pPr>
            <w:r w:rsidRPr="00ED0918">
              <w:rPr>
                <w:rFonts w:eastAsia="Times New Roman"/>
                <w:lang w:val="en-AU" w:eastAsia="en-AU"/>
              </w:rPr>
              <w:t>No</w:t>
            </w:r>
          </w:p>
        </w:tc>
        <w:tc>
          <w:tcPr>
            <w:tcW w:w="993" w:type="dxa"/>
            <w:shd w:val="clear" w:color="auto" w:fill="auto"/>
            <w:noWrap/>
          </w:tcPr>
          <w:p w14:paraId="4EDC479C" w14:textId="77777777" w:rsidR="00B36A05" w:rsidRPr="001C0F84" w:rsidRDefault="00B36A05" w:rsidP="003D4A8B">
            <w:pPr>
              <w:pStyle w:val="Tablesmalltext"/>
              <w:jc w:val="center"/>
              <w:rPr>
                <w:rFonts w:eastAsia="Times New Roman"/>
                <w:lang w:val="en-AU" w:eastAsia="en-AU"/>
              </w:rPr>
            </w:pPr>
            <w:r w:rsidRPr="0083677D">
              <w:t>700</w:t>
            </w:r>
          </w:p>
        </w:tc>
        <w:tc>
          <w:tcPr>
            <w:tcW w:w="1060" w:type="dxa"/>
          </w:tcPr>
          <w:p w14:paraId="73B4086E" w14:textId="77777777" w:rsidR="00B36A05" w:rsidRPr="001C0F84" w:rsidRDefault="00B36A05" w:rsidP="003D4A8B">
            <w:pPr>
              <w:pStyle w:val="Tablesmalltext"/>
              <w:jc w:val="center"/>
              <w:rPr>
                <w:rFonts w:eastAsia="Times New Roman"/>
                <w:lang w:val="en-AU" w:eastAsia="en-AU"/>
              </w:rPr>
            </w:pPr>
            <w:r w:rsidRPr="00471FDE">
              <w:t>10</w:t>
            </w:r>
          </w:p>
        </w:tc>
        <w:tc>
          <w:tcPr>
            <w:tcW w:w="1144" w:type="dxa"/>
          </w:tcPr>
          <w:p w14:paraId="5CB45F37"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Medium</w:t>
            </w:r>
          </w:p>
        </w:tc>
        <w:tc>
          <w:tcPr>
            <w:tcW w:w="899" w:type="dxa"/>
          </w:tcPr>
          <w:p w14:paraId="0EB5B98B"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6C9BC6EF" w14:textId="77777777" w:rsidR="00B36A05" w:rsidRPr="001C0F84" w:rsidRDefault="00B36A05" w:rsidP="003D4A8B">
            <w:pPr>
              <w:pStyle w:val="Tablesmalltext"/>
              <w:jc w:val="center"/>
              <w:rPr>
                <w:rFonts w:eastAsia="Times New Roman"/>
                <w:lang w:val="en-AU" w:eastAsia="en-AU"/>
              </w:rPr>
            </w:pPr>
            <w:r w:rsidRPr="00D5713C">
              <w:t>Coupe</w:t>
            </w:r>
          </w:p>
        </w:tc>
      </w:tr>
      <w:tr w:rsidR="00B36A05" w:rsidRPr="001C0F84" w14:paraId="204C9CCA" w14:textId="77777777" w:rsidTr="002B7966">
        <w:trPr>
          <w:trHeight w:val="240"/>
        </w:trPr>
        <w:tc>
          <w:tcPr>
            <w:tcW w:w="723" w:type="dxa"/>
            <w:shd w:val="clear" w:color="auto" w:fill="auto"/>
            <w:noWrap/>
            <w:vAlign w:val="center"/>
          </w:tcPr>
          <w:p w14:paraId="406B8E7D" w14:textId="77777777" w:rsidR="00B36A05" w:rsidRDefault="00B36A05" w:rsidP="00B36A05">
            <w:pPr>
              <w:pStyle w:val="Tablesmalltext"/>
              <w:jc w:val="center"/>
            </w:pPr>
            <w:r>
              <w:t>32</w:t>
            </w:r>
          </w:p>
        </w:tc>
        <w:tc>
          <w:tcPr>
            <w:tcW w:w="1485" w:type="dxa"/>
            <w:gridSpan w:val="3"/>
            <w:shd w:val="clear" w:color="auto" w:fill="auto"/>
          </w:tcPr>
          <w:p w14:paraId="79462A1F" w14:textId="77777777" w:rsidR="00B36A05" w:rsidRPr="001C0F84" w:rsidRDefault="00B36A05" w:rsidP="003D4A8B">
            <w:pPr>
              <w:pStyle w:val="Tablesmalltext"/>
              <w:rPr>
                <w:rFonts w:eastAsia="Times New Roman"/>
                <w:lang w:val="en-AU" w:eastAsia="en-AU"/>
              </w:rPr>
            </w:pPr>
            <w:r w:rsidRPr="005D75F3">
              <w:rPr>
                <w:rFonts w:eastAsia="Times New Roman"/>
                <w:lang w:val="en-AU" w:eastAsia="en-AU"/>
              </w:rPr>
              <w:t>891-516-0034</w:t>
            </w:r>
          </w:p>
        </w:tc>
        <w:tc>
          <w:tcPr>
            <w:tcW w:w="1663" w:type="dxa"/>
            <w:shd w:val="clear" w:color="auto" w:fill="auto"/>
          </w:tcPr>
          <w:p w14:paraId="13CAE9DD" w14:textId="77777777" w:rsidR="00B36A05" w:rsidRPr="001C0F84" w:rsidRDefault="00B36A05" w:rsidP="003D4A8B">
            <w:pPr>
              <w:pStyle w:val="Tablesmalltext"/>
              <w:rPr>
                <w:rFonts w:eastAsia="Times New Roman"/>
                <w:lang w:val="en-AU" w:eastAsia="en-AU"/>
              </w:rPr>
            </w:pPr>
            <w:r>
              <w:rPr>
                <w:rFonts w:eastAsia="Times New Roman"/>
                <w:lang w:val="en-AU" w:eastAsia="en-AU"/>
              </w:rPr>
              <w:t>Paw Print</w:t>
            </w:r>
          </w:p>
        </w:tc>
        <w:tc>
          <w:tcPr>
            <w:tcW w:w="851" w:type="dxa"/>
          </w:tcPr>
          <w:p w14:paraId="6A7A8DD6" w14:textId="77777777" w:rsidR="00B36A05" w:rsidRPr="001C0F84" w:rsidRDefault="00B36A05" w:rsidP="003D4A8B">
            <w:pPr>
              <w:pStyle w:val="Tablesmalltext"/>
              <w:jc w:val="center"/>
              <w:rPr>
                <w:rFonts w:eastAsia="Times New Roman"/>
                <w:lang w:val="en-AU" w:eastAsia="en-AU"/>
              </w:rPr>
            </w:pPr>
            <w:r w:rsidRPr="00383C86">
              <w:rPr>
                <w:rFonts w:eastAsia="Times New Roman"/>
                <w:lang w:val="en-AU" w:eastAsia="en-AU"/>
              </w:rPr>
              <w:t>EG</w:t>
            </w:r>
          </w:p>
        </w:tc>
        <w:tc>
          <w:tcPr>
            <w:tcW w:w="1498" w:type="dxa"/>
            <w:gridSpan w:val="2"/>
            <w:shd w:val="clear" w:color="auto" w:fill="auto"/>
          </w:tcPr>
          <w:p w14:paraId="7AA040AD" w14:textId="77777777" w:rsidR="00B36A05" w:rsidRPr="001C0F84" w:rsidRDefault="00B36A05" w:rsidP="003D4A8B">
            <w:pPr>
              <w:pStyle w:val="Tablesmalltext"/>
              <w:jc w:val="center"/>
              <w:rPr>
                <w:rFonts w:eastAsia="Times New Roman"/>
                <w:lang w:val="en-AU" w:eastAsia="en-AU"/>
              </w:rPr>
            </w:pPr>
            <w:r w:rsidRPr="00E80F76">
              <w:t>Regenerating</w:t>
            </w:r>
          </w:p>
        </w:tc>
        <w:tc>
          <w:tcPr>
            <w:tcW w:w="1195" w:type="dxa"/>
          </w:tcPr>
          <w:p w14:paraId="70DE294D" w14:textId="77777777" w:rsidR="00B36A05" w:rsidRPr="001C0F84" w:rsidRDefault="00B36A05" w:rsidP="003D4A8B">
            <w:pPr>
              <w:pStyle w:val="Tablesmalltext"/>
              <w:jc w:val="center"/>
              <w:rPr>
                <w:rFonts w:eastAsia="Times New Roman"/>
                <w:lang w:val="en-AU" w:eastAsia="en-AU"/>
              </w:rPr>
            </w:pPr>
            <w:r>
              <w:t>22.24</w:t>
            </w:r>
          </w:p>
        </w:tc>
        <w:tc>
          <w:tcPr>
            <w:tcW w:w="1134" w:type="dxa"/>
            <w:shd w:val="clear" w:color="auto" w:fill="auto"/>
          </w:tcPr>
          <w:p w14:paraId="15E363F0" w14:textId="77777777" w:rsidR="00B36A05" w:rsidRPr="001C0F84" w:rsidRDefault="00B36A05" w:rsidP="003D4A8B">
            <w:pPr>
              <w:pStyle w:val="Tablesmalltext"/>
              <w:jc w:val="center"/>
              <w:rPr>
                <w:rFonts w:eastAsia="Times New Roman"/>
                <w:lang w:val="en-AU" w:eastAsia="en-AU"/>
              </w:rPr>
            </w:pPr>
            <w:r w:rsidRPr="00DA73B6">
              <w:rPr>
                <w:rFonts w:eastAsia="Times New Roman"/>
                <w:lang w:val="en-AU" w:eastAsia="en-AU"/>
              </w:rPr>
              <w:t>Yes</w:t>
            </w:r>
          </w:p>
        </w:tc>
        <w:tc>
          <w:tcPr>
            <w:tcW w:w="992" w:type="dxa"/>
            <w:shd w:val="clear" w:color="auto" w:fill="auto"/>
          </w:tcPr>
          <w:p w14:paraId="4F7DB67E" w14:textId="77777777" w:rsidR="00B36A05" w:rsidRPr="001C0F84" w:rsidRDefault="00B36A05" w:rsidP="003D4A8B">
            <w:pPr>
              <w:pStyle w:val="Tablesmalltext"/>
              <w:jc w:val="center"/>
              <w:rPr>
                <w:rFonts w:eastAsia="Times New Roman"/>
                <w:lang w:val="en-AU" w:eastAsia="en-AU"/>
              </w:rPr>
            </w:pPr>
            <w:r w:rsidRPr="00ED0918">
              <w:rPr>
                <w:rFonts w:eastAsia="Times New Roman"/>
                <w:lang w:val="en-AU" w:eastAsia="en-AU"/>
              </w:rPr>
              <w:t>No</w:t>
            </w:r>
          </w:p>
        </w:tc>
        <w:tc>
          <w:tcPr>
            <w:tcW w:w="993" w:type="dxa"/>
            <w:shd w:val="clear" w:color="auto" w:fill="FFC000"/>
            <w:noWrap/>
          </w:tcPr>
          <w:p w14:paraId="24CEE47B" w14:textId="20434F96" w:rsidR="00B36A05" w:rsidRPr="001C0F84" w:rsidRDefault="002B7966" w:rsidP="003D4A8B">
            <w:pPr>
              <w:pStyle w:val="Tablesmalltext"/>
              <w:jc w:val="center"/>
              <w:rPr>
                <w:rFonts w:eastAsia="Times New Roman"/>
                <w:lang w:val="en-AU" w:eastAsia="en-AU"/>
              </w:rPr>
            </w:pPr>
            <w:r>
              <w:t>&gt;</w:t>
            </w:r>
            <w:r w:rsidR="00B36A05" w:rsidRPr="0083677D">
              <w:t>50</w:t>
            </w:r>
            <w:r>
              <w:t>0</w:t>
            </w:r>
          </w:p>
        </w:tc>
        <w:tc>
          <w:tcPr>
            <w:tcW w:w="1060" w:type="dxa"/>
          </w:tcPr>
          <w:p w14:paraId="301FFAF5" w14:textId="77777777" w:rsidR="00B36A05" w:rsidRPr="001C0F84" w:rsidRDefault="00B36A05" w:rsidP="003D4A8B">
            <w:pPr>
              <w:pStyle w:val="Tablesmalltext"/>
              <w:jc w:val="center"/>
              <w:rPr>
                <w:rFonts w:eastAsia="Times New Roman"/>
                <w:lang w:val="en-AU" w:eastAsia="en-AU"/>
              </w:rPr>
            </w:pPr>
            <w:r w:rsidRPr="00471FDE">
              <w:t>1</w:t>
            </w:r>
            <w:r>
              <w:t>0</w:t>
            </w:r>
          </w:p>
        </w:tc>
        <w:tc>
          <w:tcPr>
            <w:tcW w:w="1144" w:type="dxa"/>
          </w:tcPr>
          <w:p w14:paraId="55EB4C4A" w14:textId="77777777" w:rsidR="00B36A05" w:rsidRPr="001C0F84" w:rsidRDefault="00B36A05" w:rsidP="003D4A8B">
            <w:pPr>
              <w:pStyle w:val="Tablesmalltext"/>
              <w:jc w:val="center"/>
              <w:rPr>
                <w:rFonts w:eastAsia="Times New Roman"/>
                <w:lang w:val="en-AU" w:eastAsia="en-AU"/>
              </w:rPr>
            </w:pPr>
            <w:r>
              <w:rPr>
                <w:rFonts w:eastAsia="Times New Roman"/>
                <w:lang w:val="en-AU" w:eastAsia="en-AU"/>
              </w:rPr>
              <w:t>High</w:t>
            </w:r>
          </w:p>
        </w:tc>
        <w:tc>
          <w:tcPr>
            <w:tcW w:w="899" w:type="dxa"/>
          </w:tcPr>
          <w:p w14:paraId="3EDA9111" w14:textId="77777777" w:rsidR="00B36A05" w:rsidRPr="001C0F84" w:rsidRDefault="00B36A05" w:rsidP="003D4A8B">
            <w:pPr>
              <w:pStyle w:val="Tablesmalltext"/>
              <w:jc w:val="center"/>
              <w:rPr>
                <w:rFonts w:eastAsia="Times New Roman"/>
                <w:lang w:val="en-AU" w:eastAsia="en-AU"/>
              </w:rPr>
            </w:pPr>
            <w:r w:rsidRPr="00A02CB8">
              <w:rPr>
                <w:rFonts w:eastAsia="Times New Roman"/>
                <w:lang w:val="en-AU" w:eastAsia="en-AU"/>
              </w:rPr>
              <w:t>Yes</w:t>
            </w:r>
          </w:p>
        </w:tc>
        <w:tc>
          <w:tcPr>
            <w:tcW w:w="1144" w:type="dxa"/>
          </w:tcPr>
          <w:p w14:paraId="61FC1F60" w14:textId="77777777" w:rsidR="00B36A05" w:rsidRPr="001C0F84" w:rsidRDefault="00B36A05" w:rsidP="003D4A8B">
            <w:pPr>
              <w:pStyle w:val="Tablesmalltext"/>
              <w:jc w:val="center"/>
              <w:rPr>
                <w:rFonts w:eastAsia="Times New Roman"/>
                <w:lang w:val="en-AU" w:eastAsia="en-AU"/>
              </w:rPr>
            </w:pPr>
            <w:r w:rsidRPr="00D5713C">
              <w:t>Coupe</w:t>
            </w:r>
          </w:p>
        </w:tc>
      </w:tr>
    </w:tbl>
    <w:p w14:paraId="24C9A458" w14:textId="2650E0A6" w:rsidR="00B36A05" w:rsidRDefault="00FE3FF2" w:rsidP="00FE3FF2">
      <w:pPr>
        <w:pStyle w:val="TableText"/>
      </w:pPr>
      <w:r>
        <w:t>Notes:</w:t>
      </w:r>
    </w:p>
    <w:p w14:paraId="07C70086" w14:textId="06DD9C77" w:rsidR="00FE3FF2" w:rsidRDefault="0029153E" w:rsidP="00FE3FF2">
      <w:pPr>
        <w:pStyle w:val="TableNumber"/>
      </w:pPr>
      <w:r>
        <w:t>Pale or</w:t>
      </w:r>
      <w:r w:rsidR="00A14CEC">
        <w:t xml:space="preserve">ange </w:t>
      </w:r>
      <w:r w:rsidR="00FE3FF2">
        <w:t>shading indicates coupes located in Melbourne Water catchment area</w:t>
      </w:r>
    </w:p>
    <w:p w14:paraId="56B7C033" w14:textId="179A1FCF" w:rsidR="00BD66A1" w:rsidRDefault="00BD66A1" w:rsidP="00FE3FF2">
      <w:pPr>
        <w:pStyle w:val="TableNumber"/>
      </w:pPr>
      <w:r>
        <w:t>Rainforest vegetation: dark yellow shading indicates VicForests information suggests modelled rainforest ecological vegetation community (EVC) within or adjacent to coupe, but found not to be the case. Rainforest may be beyond 100m from coupe</w:t>
      </w:r>
    </w:p>
    <w:p w14:paraId="1DF33DE4" w14:textId="7F6891D4" w:rsidR="00BD66A1" w:rsidRDefault="00BD66A1" w:rsidP="00FE3FF2">
      <w:pPr>
        <w:pStyle w:val="TableNumber"/>
      </w:pPr>
      <w:r>
        <w:t>Waterway crossing: dark yellow indicates snig track crossing, yellow indicates in-coupe road waterway crossing, green indicates both snig track and in-coupe road crossing, red indicates waterway crossing planned by VicForests but found to not have been constructed</w:t>
      </w:r>
    </w:p>
    <w:p w14:paraId="721137F8" w14:textId="4A921CFA" w:rsidR="00FE3FF2" w:rsidRDefault="00F22160" w:rsidP="00FE3FF2">
      <w:pPr>
        <w:pStyle w:val="TableNumber"/>
      </w:pPr>
      <w:r>
        <w:t>ICR: In-coupe road</w:t>
      </w:r>
      <w:r w:rsidR="002B7966">
        <w:t xml:space="preserve"> length. Green shading indicates VicForests information significantly overstates actual length of in-coupe road. Dark yellow indicates VicForests information significantly understates the actual length of in-coupe road</w:t>
      </w:r>
    </w:p>
    <w:p w14:paraId="3A9ECED0" w14:textId="62FC49BC" w:rsidR="00F22160" w:rsidRDefault="00F22160" w:rsidP="00FE3FF2">
      <w:pPr>
        <w:pStyle w:val="TableNumber"/>
      </w:pPr>
      <w:r>
        <w:t>SMZ/SPZ: forest management zones, Special Management Zone and Special Protection Zones</w:t>
      </w:r>
    </w:p>
    <w:p w14:paraId="03A59BA0" w14:textId="00DAE555" w:rsidR="00F22160" w:rsidRDefault="00F22160" w:rsidP="00FE3FF2">
      <w:pPr>
        <w:pStyle w:val="TableNumber"/>
      </w:pPr>
      <w:r>
        <w:t>Thr flora/fauna: listed threatened native flora and/or fauna present within coupe (coupe)</w:t>
      </w:r>
      <w:r w:rsidR="00374C8C">
        <w:t>,</w:t>
      </w:r>
      <w:r>
        <w:t xml:space="preserve"> within 500m of coupe (&lt;500m)</w:t>
      </w:r>
      <w:r w:rsidR="00374C8C">
        <w:t xml:space="preserve"> or not present (no)</w:t>
      </w:r>
    </w:p>
    <w:p w14:paraId="43D0320D" w14:textId="77777777" w:rsidR="00B36A05" w:rsidRDefault="00B36A05" w:rsidP="003D4A8B">
      <w:pPr>
        <w:pStyle w:val="BodyText"/>
      </w:pPr>
    </w:p>
    <w:p w14:paraId="66B280A9" w14:textId="77777777" w:rsidR="00B36A05" w:rsidRDefault="00B36A05" w:rsidP="003D4A8B">
      <w:pPr>
        <w:sectPr w:rsidR="00B36A05" w:rsidSect="003D4A8B">
          <w:headerReference w:type="even" r:id="rId46"/>
          <w:headerReference w:type="default" r:id="rId47"/>
          <w:footerReference w:type="even" r:id="rId48"/>
          <w:footerReference w:type="default" r:id="rId49"/>
          <w:headerReference w:type="first" r:id="rId50"/>
          <w:footerReference w:type="first" r:id="rId51"/>
          <w:pgSz w:w="16838" w:h="11906" w:orient="landscape" w:code="9"/>
          <w:pgMar w:top="1134" w:right="1134" w:bottom="567" w:left="1134" w:header="567" w:footer="0" w:gutter="0"/>
          <w:cols w:space="720"/>
          <w:docGrid w:linePitch="360"/>
        </w:sectPr>
      </w:pPr>
    </w:p>
    <w:p w14:paraId="49F34D06" w14:textId="48BD8993" w:rsidR="00311FB1" w:rsidRDefault="00311FB1" w:rsidP="00311FB1">
      <w:pPr>
        <w:pStyle w:val="Heading2"/>
      </w:pPr>
      <w:bookmarkStart w:id="86" w:name="_Toc131178674"/>
      <w:r>
        <w:lastRenderedPageBreak/>
        <w:t>Audit criteria and workbook</w:t>
      </w:r>
      <w:bookmarkEnd w:id="86"/>
    </w:p>
    <w:p w14:paraId="15DECDA0" w14:textId="2B2D4BBD" w:rsidR="00311FB1" w:rsidRDefault="00311FB1" w:rsidP="00311FB1">
      <w:pPr>
        <w:pStyle w:val="BodyText"/>
      </w:pPr>
      <w:r>
        <w:t xml:space="preserve">Audit criteria were based on mandatory requirements of the Code selected by </w:t>
      </w:r>
      <w:r w:rsidR="00400C72">
        <w:t xml:space="preserve">the </w:t>
      </w:r>
      <w:r>
        <w:t>THCU. Generally, the criteria referenced additional compliance elements from the MSPs and the PS, which provide more detailed interpretations of Code requirements. Compliance criteria were grouped into several themes and sub-themes, as follows:</w:t>
      </w:r>
    </w:p>
    <w:p w14:paraId="1F8342ED" w14:textId="691FC789" w:rsidR="00311FB1" w:rsidRDefault="00311FB1" w:rsidP="00311FB1">
      <w:pPr>
        <w:pStyle w:val="BulletLevel1"/>
      </w:pPr>
      <w:r w:rsidRPr="00311FB1">
        <w:rPr>
          <w:i/>
          <w:iCs/>
        </w:rPr>
        <w:t>Environment:</w:t>
      </w:r>
      <w:r>
        <w:t xml:space="preserve"> compliance criteria developed for the audit drew on Section 2.2.1 of the Code (Water quality, river health and soil protection) and related compliance elements from the MSPs. There are two sub-themes, soil and water, with the latter incorporating flows, water quality and river health.</w:t>
      </w:r>
    </w:p>
    <w:p w14:paraId="09AB42BC" w14:textId="64ADE127" w:rsidR="00311FB1" w:rsidRDefault="00311FB1" w:rsidP="00311FB1">
      <w:pPr>
        <w:pStyle w:val="BulletLevel1"/>
      </w:pPr>
      <w:r w:rsidRPr="00311FB1">
        <w:rPr>
          <w:i/>
          <w:iCs/>
        </w:rPr>
        <w:t>Conservation of biodiversity:</w:t>
      </w:r>
      <w:r>
        <w:t xml:space="preserve"> compliance criteria developed for the audit drew on Section 2.2.2 of the Code and related MSP and PS compliance elements. </w:t>
      </w:r>
    </w:p>
    <w:p w14:paraId="0A2BE876" w14:textId="02148656" w:rsidR="00311FB1" w:rsidRDefault="00311FB1" w:rsidP="00311FB1">
      <w:pPr>
        <w:pStyle w:val="BulletLevel1"/>
      </w:pPr>
      <w:r w:rsidRPr="00311FB1">
        <w:rPr>
          <w:i/>
          <w:iCs/>
        </w:rPr>
        <w:t>Operational planning and record-keeping:</w:t>
      </w:r>
      <w:r>
        <w:t xml:space="preserve"> compliance criteria for the audit drew on Sections 2.3 and 2.5.1 of the Code and related MSP compliance elements.</w:t>
      </w:r>
    </w:p>
    <w:p w14:paraId="5181B941" w14:textId="1C9CB33D" w:rsidR="00311FB1" w:rsidRDefault="00311FB1" w:rsidP="00311FB1">
      <w:pPr>
        <w:pStyle w:val="BulletLevel1"/>
      </w:pPr>
      <w:r w:rsidRPr="00311FB1">
        <w:rPr>
          <w:i/>
          <w:iCs/>
        </w:rPr>
        <w:t>Coupe infrastructure for timber harvesting operations:</w:t>
      </w:r>
      <w:r>
        <w:t xml:space="preserve"> compliance criteria were organised into four sub-themes, three related to roading for timber harvesting operations (based on Code Section 2.4; 2.4.2 Road design, 2.4.3 Road construction, 2.4.4 Road maintenance) and one sub-theme relating to other coupe infrastructure (</w:t>
      </w:r>
      <w:r w:rsidR="00CE35B5">
        <w:t>i.e.,</w:t>
      </w:r>
      <w:r>
        <w:t xml:space="preserve"> landings, snig, forwarding and boundary tracks; Code Section 2.5.2). As with other compliance themes, audit criteria also drew on relevant MSP mandatory compliance elements. </w:t>
      </w:r>
    </w:p>
    <w:p w14:paraId="78ACC9E7" w14:textId="4B54FB08" w:rsidR="00311FB1" w:rsidRDefault="00311FB1" w:rsidP="00311FB1">
      <w:pPr>
        <w:pStyle w:val="BodyText"/>
      </w:pPr>
      <w:r>
        <w:t xml:space="preserve">The audits considered </w:t>
      </w:r>
      <w:r w:rsidR="00FF56DA">
        <w:t>171</w:t>
      </w:r>
      <w:r>
        <w:t xml:space="preserve"> individual compliance criteria (see </w:t>
      </w:r>
      <w:r w:rsidR="000D4E69">
        <w:fldChar w:fldCharType="begin"/>
      </w:r>
      <w:r w:rsidR="000D4E69">
        <w:instrText xml:space="preserve"> REF _Ref119997714 \r \h </w:instrText>
      </w:r>
      <w:r w:rsidR="000D4E69">
        <w:fldChar w:fldCharType="separate"/>
      </w:r>
      <w:r w:rsidR="00130DCF">
        <w:t>Appendix A</w:t>
      </w:r>
      <w:r w:rsidR="000D4E69">
        <w:fldChar w:fldCharType="end"/>
      </w:r>
      <w:r>
        <w:t xml:space="preserve">). These were assessed, as applicable, for each of the audit coupes. A digital audit workbook was </w:t>
      </w:r>
      <w:r w:rsidR="008C1793">
        <w:t>used</w:t>
      </w:r>
      <w:r>
        <w:t xml:space="preserve"> to capture assessments against applicable criteria for each individual coupe. Assessments recorded in the workbook were based on observations by the audit team and their review of VicForests’ Forest Coupe Plans (FCP</w:t>
      </w:r>
      <w:r w:rsidR="003D5C9E">
        <w:t>s</w:t>
      </w:r>
      <w:r>
        <w:t xml:space="preserve">). They considered the applicability of each criterion, as well as the operations’ conformance with the audit criteria or compliance element. The latter was assessed using the descriptors in </w:t>
      </w:r>
      <w:r w:rsidR="003840C8">
        <w:fldChar w:fldCharType="begin"/>
      </w:r>
      <w:r w:rsidR="003840C8">
        <w:instrText xml:space="preserve"> REF _Ref120088545 \h </w:instrText>
      </w:r>
      <w:r w:rsidR="003840C8">
        <w:fldChar w:fldCharType="separate"/>
      </w:r>
      <w:r w:rsidR="00130DCF" w:rsidRPr="009038E7">
        <w:t>Table</w:t>
      </w:r>
      <w:r w:rsidR="00130DCF">
        <w:t> </w:t>
      </w:r>
      <w:r w:rsidR="00130DCF">
        <w:rPr>
          <w:noProof/>
        </w:rPr>
        <w:t>3-3</w:t>
      </w:r>
      <w:r w:rsidR="003840C8">
        <w:fldChar w:fldCharType="end"/>
      </w:r>
      <w:r>
        <w:t xml:space="preserve">. </w:t>
      </w:r>
    </w:p>
    <w:p w14:paraId="3FFAEDE0" w14:textId="153E5063" w:rsidR="004641EA" w:rsidRDefault="004641EA" w:rsidP="003D4A8B">
      <w:pPr>
        <w:pStyle w:val="TableCaption"/>
      </w:pPr>
      <w:bookmarkStart w:id="87" w:name="_Ref120088545"/>
      <w:bookmarkStart w:id="88" w:name="_Toc131178738"/>
      <w:r w:rsidRPr="009038E7">
        <w:t>Table</w:t>
      </w:r>
      <w:r>
        <w:t> </w:t>
      </w:r>
      <w:r>
        <w:fldChar w:fldCharType="begin"/>
      </w:r>
      <w:r>
        <w:instrText>STYLEREF 1 \s</w:instrText>
      </w:r>
      <w:r>
        <w:fldChar w:fldCharType="separate"/>
      </w:r>
      <w:r w:rsidR="00130DCF">
        <w:rPr>
          <w:noProof/>
        </w:rPr>
        <w:t>3</w:t>
      </w:r>
      <w:r>
        <w:fldChar w:fldCharType="end"/>
      </w:r>
      <w:r>
        <w:rPr>
          <w:noProof/>
        </w:rPr>
        <w:t>-</w:t>
      </w:r>
      <w:r>
        <w:fldChar w:fldCharType="begin"/>
      </w:r>
      <w:r>
        <w:instrText>SEQ Table \* ARABIC \s 1</w:instrText>
      </w:r>
      <w:r>
        <w:fldChar w:fldCharType="separate"/>
      </w:r>
      <w:r w:rsidR="00130DCF">
        <w:rPr>
          <w:noProof/>
        </w:rPr>
        <w:t>3</w:t>
      </w:r>
      <w:r>
        <w:fldChar w:fldCharType="end"/>
      </w:r>
      <w:bookmarkEnd w:id="87"/>
      <w:r>
        <w:rPr>
          <w:noProof/>
        </w:rPr>
        <w:t>.</w:t>
      </w:r>
      <w:r w:rsidRPr="009038E7">
        <w:t xml:space="preserve"> </w:t>
      </w:r>
      <w:r w:rsidR="003840C8">
        <w:t>Descriptors used to assess conformance with audit criteria</w:t>
      </w:r>
      <w:bookmarkEnd w:id="88"/>
    </w:p>
    <w:tbl>
      <w:tblPr>
        <w:tblStyle w:val="JacobsTable1accentprimarythemes"/>
        <w:tblW w:w="0" w:type="auto"/>
        <w:tblLook w:val="04A0" w:firstRow="1" w:lastRow="0" w:firstColumn="1" w:lastColumn="0" w:noHBand="0" w:noVBand="1"/>
      </w:tblPr>
      <w:tblGrid>
        <w:gridCol w:w="1418"/>
        <w:gridCol w:w="2740"/>
        <w:gridCol w:w="2740"/>
        <w:gridCol w:w="2740"/>
      </w:tblGrid>
      <w:tr w:rsidR="00DF1CB8" w14:paraId="17DC6D57" w14:textId="77777777" w:rsidTr="005A3F02">
        <w:trPr>
          <w:cnfStyle w:val="100000000000" w:firstRow="1" w:lastRow="0" w:firstColumn="0" w:lastColumn="0" w:oddVBand="0" w:evenVBand="0" w:oddHBand="0" w:evenHBand="0" w:firstRowFirstColumn="0" w:firstRowLastColumn="0" w:lastRowFirstColumn="0" w:lastRowLastColumn="0"/>
        </w:trPr>
        <w:tc>
          <w:tcPr>
            <w:tcW w:w="1418" w:type="dxa"/>
          </w:tcPr>
          <w:p w14:paraId="3539B8B8" w14:textId="3F2FD1F9" w:rsidR="00DF1CB8" w:rsidRDefault="00DF1CB8" w:rsidP="00DF1CB8">
            <w:pPr>
              <w:pStyle w:val="TableText"/>
            </w:pPr>
            <w:r w:rsidRPr="004D43C4">
              <w:t>Level of conformance</w:t>
            </w:r>
          </w:p>
        </w:tc>
        <w:tc>
          <w:tcPr>
            <w:tcW w:w="2740" w:type="dxa"/>
          </w:tcPr>
          <w:p w14:paraId="02703D0B" w14:textId="2897187F" w:rsidR="00DF1CB8" w:rsidRDefault="00DF1CB8" w:rsidP="00DF1CB8">
            <w:pPr>
              <w:pStyle w:val="TableText"/>
            </w:pPr>
            <w:r w:rsidRPr="004D43C4">
              <w:t>Fully conforms</w:t>
            </w:r>
          </w:p>
        </w:tc>
        <w:tc>
          <w:tcPr>
            <w:tcW w:w="2740" w:type="dxa"/>
          </w:tcPr>
          <w:p w14:paraId="26E28C70" w14:textId="47938E36" w:rsidR="00DF1CB8" w:rsidRDefault="00DF1CB8" w:rsidP="00DF1CB8">
            <w:pPr>
              <w:pStyle w:val="TableText"/>
            </w:pPr>
            <w:r w:rsidRPr="004D43C4">
              <w:t xml:space="preserve">Non-conforming with no environmental impact </w:t>
            </w:r>
          </w:p>
        </w:tc>
        <w:tc>
          <w:tcPr>
            <w:tcW w:w="2740" w:type="dxa"/>
          </w:tcPr>
          <w:p w14:paraId="37B76F4D" w14:textId="77777777" w:rsidR="00DF1CB8" w:rsidRDefault="00DF1CB8" w:rsidP="00DF1CB8">
            <w:pPr>
              <w:pStyle w:val="TableText"/>
            </w:pPr>
            <w:r w:rsidRPr="004D43C4">
              <w:t>Non-conforming with environmental impact</w:t>
            </w:r>
          </w:p>
          <w:p w14:paraId="5C327C6E" w14:textId="371D5601" w:rsidR="00083C5D" w:rsidRDefault="00083C5D" w:rsidP="00DF1CB8">
            <w:pPr>
              <w:pStyle w:val="TableText"/>
            </w:pPr>
            <w:r>
              <w:t>(Full non-conformance)</w:t>
            </w:r>
          </w:p>
        </w:tc>
      </w:tr>
      <w:tr w:rsidR="005A3F02" w14:paraId="4E55B546" w14:textId="77777777" w:rsidTr="005A3F02">
        <w:tc>
          <w:tcPr>
            <w:tcW w:w="1418" w:type="dxa"/>
          </w:tcPr>
          <w:p w14:paraId="7E5B733A" w14:textId="34FEFCA9" w:rsidR="005A3F02" w:rsidRDefault="005A3F02" w:rsidP="005A3F02">
            <w:pPr>
              <w:pStyle w:val="TableText"/>
            </w:pPr>
            <w:r w:rsidRPr="005437D7">
              <w:t>Description</w:t>
            </w:r>
          </w:p>
        </w:tc>
        <w:tc>
          <w:tcPr>
            <w:tcW w:w="2740" w:type="dxa"/>
          </w:tcPr>
          <w:p w14:paraId="156062FF" w14:textId="352FA0BC" w:rsidR="005A3F02" w:rsidRDefault="005A3F02" w:rsidP="005A3F02">
            <w:pPr>
              <w:pStyle w:val="TableText"/>
            </w:pPr>
            <w:r w:rsidRPr="005437D7">
              <w:t>All requirements of the compliance element are fully satisfied.</w:t>
            </w:r>
          </w:p>
        </w:tc>
        <w:tc>
          <w:tcPr>
            <w:tcW w:w="2740" w:type="dxa"/>
          </w:tcPr>
          <w:p w14:paraId="2DC28BE8" w14:textId="7F360EC1" w:rsidR="005A3F02" w:rsidRDefault="005A3F02" w:rsidP="005A3F02">
            <w:pPr>
              <w:pStyle w:val="TableText"/>
            </w:pPr>
            <w:r w:rsidRPr="005437D7">
              <w:t>All requirements of the compliance element are not fully satisfied. However, the non-conformance is procedural and will pose no direct risk of harm to the environment.</w:t>
            </w:r>
          </w:p>
        </w:tc>
        <w:tc>
          <w:tcPr>
            <w:tcW w:w="2740" w:type="dxa"/>
          </w:tcPr>
          <w:p w14:paraId="1B7E10C2" w14:textId="57E106BC" w:rsidR="005A3F02" w:rsidRDefault="005A3F02" w:rsidP="005A3F02">
            <w:pPr>
              <w:pStyle w:val="TableText"/>
            </w:pPr>
            <w:r w:rsidRPr="005437D7">
              <w:t>All requirements of the compliance element are not fully satisfied. The non-conformance has potential to pose a risk of harm to the environment.</w:t>
            </w:r>
          </w:p>
        </w:tc>
      </w:tr>
    </w:tbl>
    <w:p w14:paraId="4AAA608F" w14:textId="499EC6CE" w:rsidR="00B36A05" w:rsidRDefault="00800E92" w:rsidP="00383136">
      <w:pPr>
        <w:pStyle w:val="BodyText"/>
      </w:pPr>
      <w:r w:rsidRPr="00800E92">
        <w:t>The workbook was also used to capture the basis for any non-conformance assessment. Photographs were taken of coupe features, particularly where/if non-conformances were observed.</w:t>
      </w:r>
    </w:p>
    <w:p w14:paraId="4CADB2C1" w14:textId="5FED62AC" w:rsidR="007A01C0" w:rsidRDefault="007A01C0" w:rsidP="007A01C0">
      <w:pPr>
        <w:pStyle w:val="Heading2"/>
      </w:pPr>
      <w:bookmarkStart w:id="89" w:name="_Toc131178675"/>
      <w:r>
        <w:t>Field assessments</w:t>
      </w:r>
      <w:bookmarkEnd w:id="89"/>
    </w:p>
    <w:p w14:paraId="3580DFEB" w14:textId="39BE0DB5" w:rsidR="00800E92" w:rsidRDefault="007A01C0" w:rsidP="007A01C0">
      <w:pPr>
        <w:pStyle w:val="BodyText"/>
      </w:pPr>
      <w:r>
        <w:t>Field assessments of relevant coupe characteristics (</w:t>
      </w:r>
      <w:r w:rsidR="006C2554">
        <w:fldChar w:fldCharType="begin"/>
      </w:r>
      <w:r w:rsidR="006C2554">
        <w:instrText xml:space="preserve"> REF _Ref120089685 \h </w:instrText>
      </w:r>
      <w:r w:rsidR="006C2554">
        <w:fldChar w:fldCharType="separate"/>
      </w:r>
      <w:r w:rsidR="00130DCF" w:rsidRPr="009038E7">
        <w:t>Table</w:t>
      </w:r>
      <w:r w:rsidR="00130DCF">
        <w:t> </w:t>
      </w:r>
      <w:r w:rsidR="00130DCF">
        <w:rPr>
          <w:noProof/>
        </w:rPr>
        <w:t>3-4</w:t>
      </w:r>
      <w:r w:rsidR="006C2554">
        <w:fldChar w:fldCharType="end"/>
      </w:r>
      <w:r>
        <w:t xml:space="preserve">) were carried out in each of the target coupes. Handheld global positioning system (GPS) devices </w:t>
      </w:r>
      <w:r w:rsidR="0070386E">
        <w:t xml:space="preserve">and satellite-linked mobiles phones </w:t>
      </w:r>
      <w:r>
        <w:t xml:space="preserve">were used in most coupes to track the field team’s movements and </w:t>
      </w:r>
      <w:r w:rsidR="005E0230">
        <w:t xml:space="preserve">record field </w:t>
      </w:r>
      <w:r>
        <w:t xml:space="preserve">observations </w:t>
      </w:r>
      <w:r w:rsidR="005E0230">
        <w:t>(</w:t>
      </w:r>
      <w:r>
        <w:t xml:space="preserve">using </w:t>
      </w:r>
      <w:r w:rsidR="006353C4">
        <w:t>either</w:t>
      </w:r>
      <w:r>
        <w:t xml:space="preserve"> ESRI </w:t>
      </w:r>
      <w:r w:rsidR="006353C4">
        <w:t>Field Maps or Avenza</w:t>
      </w:r>
      <w:r w:rsidR="005E0230">
        <w:t>)</w:t>
      </w:r>
      <w:r>
        <w:t>.</w:t>
      </w:r>
    </w:p>
    <w:p w14:paraId="6DC6A1C3" w14:textId="6289F73B" w:rsidR="007A01C0" w:rsidRDefault="007A01C0" w:rsidP="003D4A8B">
      <w:pPr>
        <w:pStyle w:val="TableCaption"/>
      </w:pPr>
      <w:bookmarkStart w:id="90" w:name="_Ref120089685"/>
      <w:bookmarkStart w:id="91" w:name="_Toc131178739"/>
      <w:r w:rsidRPr="009038E7">
        <w:t>Table</w:t>
      </w:r>
      <w:r>
        <w:t> </w:t>
      </w:r>
      <w:r>
        <w:fldChar w:fldCharType="begin"/>
      </w:r>
      <w:r>
        <w:instrText>STYLEREF 1 \s</w:instrText>
      </w:r>
      <w:r>
        <w:fldChar w:fldCharType="separate"/>
      </w:r>
      <w:r w:rsidR="00130DCF">
        <w:rPr>
          <w:noProof/>
        </w:rPr>
        <w:t>3</w:t>
      </w:r>
      <w:r>
        <w:fldChar w:fldCharType="end"/>
      </w:r>
      <w:r>
        <w:rPr>
          <w:noProof/>
        </w:rPr>
        <w:t>-</w:t>
      </w:r>
      <w:r>
        <w:fldChar w:fldCharType="begin"/>
      </w:r>
      <w:r>
        <w:instrText>SEQ Table \* ARABIC \s 1</w:instrText>
      </w:r>
      <w:r>
        <w:fldChar w:fldCharType="separate"/>
      </w:r>
      <w:r w:rsidR="00130DCF">
        <w:rPr>
          <w:noProof/>
        </w:rPr>
        <w:t>4</w:t>
      </w:r>
      <w:r>
        <w:fldChar w:fldCharType="end"/>
      </w:r>
      <w:bookmarkEnd w:id="90"/>
      <w:r>
        <w:rPr>
          <w:noProof/>
        </w:rPr>
        <w:t>.</w:t>
      </w:r>
      <w:r w:rsidRPr="009038E7">
        <w:t xml:space="preserve"> </w:t>
      </w:r>
      <w:r w:rsidR="00075302">
        <w:t>Field assessment methods</w:t>
      </w:r>
      <w:r w:rsidR="006B608B">
        <w:t xml:space="preserve"> </w:t>
      </w:r>
      <w:r w:rsidR="00BC069C">
        <w:t>for 2022</w:t>
      </w:r>
      <w:r w:rsidR="006B608B">
        <w:t xml:space="preserve"> Forest Audit Program</w:t>
      </w:r>
      <w:bookmarkEnd w:id="91"/>
    </w:p>
    <w:tbl>
      <w:tblPr>
        <w:tblStyle w:val="JacobsTable1accentprimarythemes"/>
        <w:tblW w:w="0" w:type="auto"/>
        <w:tblLook w:val="04A0" w:firstRow="1" w:lastRow="0" w:firstColumn="1" w:lastColumn="0" w:noHBand="0" w:noVBand="1"/>
      </w:tblPr>
      <w:tblGrid>
        <w:gridCol w:w="2835"/>
        <w:gridCol w:w="1276"/>
        <w:gridCol w:w="5527"/>
      </w:tblGrid>
      <w:tr w:rsidR="00075302" w14:paraId="1386D083" w14:textId="77777777" w:rsidTr="004D5FC6">
        <w:trPr>
          <w:cnfStyle w:val="100000000000" w:firstRow="1" w:lastRow="0" w:firstColumn="0" w:lastColumn="0" w:oddVBand="0" w:evenVBand="0" w:oddHBand="0" w:evenHBand="0" w:firstRowFirstColumn="0" w:firstRowLastColumn="0" w:lastRowFirstColumn="0" w:lastRowLastColumn="0"/>
        </w:trPr>
        <w:tc>
          <w:tcPr>
            <w:tcW w:w="2835" w:type="dxa"/>
          </w:tcPr>
          <w:p w14:paraId="1E4A2058" w14:textId="325E390E" w:rsidR="00075302" w:rsidRDefault="00337709" w:rsidP="00075302">
            <w:pPr>
              <w:pStyle w:val="TableText"/>
            </w:pPr>
            <w:r>
              <w:t>Attribute being assessed</w:t>
            </w:r>
          </w:p>
        </w:tc>
        <w:tc>
          <w:tcPr>
            <w:tcW w:w="1276" w:type="dxa"/>
          </w:tcPr>
          <w:p w14:paraId="1CC7A4F1" w14:textId="50DEBDF2" w:rsidR="00075302" w:rsidRDefault="00337709" w:rsidP="00337709">
            <w:pPr>
              <w:pStyle w:val="TableText"/>
              <w:jc w:val="center"/>
            </w:pPr>
            <w:r>
              <w:t>Audit criteria</w:t>
            </w:r>
          </w:p>
        </w:tc>
        <w:tc>
          <w:tcPr>
            <w:tcW w:w="5527" w:type="dxa"/>
          </w:tcPr>
          <w:p w14:paraId="320F6447" w14:textId="7280EE6C" w:rsidR="00075302" w:rsidRDefault="00337709" w:rsidP="00075302">
            <w:pPr>
              <w:pStyle w:val="TableText"/>
            </w:pPr>
            <w:r>
              <w:t>Method</w:t>
            </w:r>
          </w:p>
        </w:tc>
      </w:tr>
      <w:tr w:rsidR="006E5ECC" w14:paraId="2191036C" w14:textId="77777777" w:rsidTr="004D5FC6">
        <w:tc>
          <w:tcPr>
            <w:tcW w:w="2835" w:type="dxa"/>
          </w:tcPr>
          <w:p w14:paraId="35F9E777" w14:textId="2E9CB0A4" w:rsidR="006E5ECC" w:rsidRDefault="006E5ECC" w:rsidP="008B59CC">
            <w:pPr>
              <w:pStyle w:val="TableNumber"/>
              <w:numPr>
                <w:ilvl w:val="0"/>
                <w:numId w:val="39"/>
              </w:numPr>
            </w:pPr>
            <w:r w:rsidRPr="00B94D04">
              <w:t>Waterway classification and correct provision of riparian filters and/or buffers.</w:t>
            </w:r>
          </w:p>
        </w:tc>
        <w:tc>
          <w:tcPr>
            <w:tcW w:w="1276" w:type="dxa"/>
          </w:tcPr>
          <w:p w14:paraId="4F318AB5" w14:textId="4C3146A3" w:rsidR="006E5ECC" w:rsidRDefault="006E5ECC" w:rsidP="006E5ECC">
            <w:pPr>
              <w:pStyle w:val="TableText"/>
              <w:jc w:val="center"/>
            </w:pPr>
            <w:r w:rsidRPr="00B94D04">
              <w:t>1, 3, 5, 15</w:t>
            </w:r>
          </w:p>
        </w:tc>
        <w:tc>
          <w:tcPr>
            <w:tcW w:w="5527" w:type="dxa"/>
          </w:tcPr>
          <w:p w14:paraId="7C92C076" w14:textId="7F98E7A0" w:rsidR="006E5ECC" w:rsidRDefault="006E5ECC" w:rsidP="006E5ECC">
            <w:pPr>
              <w:pStyle w:val="TableText"/>
            </w:pPr>
            <w:r w:rsidRPr="00B94D04">
              <w:t>Assessment of waterway as drainage line, temporary stream or permanent stream, based on Code definitions. Streams and widths of filters/buffers will be assessed along ≤600 m of waterway per coupe</w:t>
            </w:r>
            <w:r w:rsidR="00C65C9B">
              <w:t xml:space="preserve"> (</w:t>
            </w:r>
            <w:r w:rsidRPr="00B94D04">
              <w:t>if present</w:t>
            </w:r>
            <w:r w:rsidR="00C65C9B">
              <w:t>)</w:t>
            </w:r>
            <w:r w:rsidRPr="00B94D04">
              <w:t>. Adequacy of filter and buffer widths will be assessed with a range finder, supported by ground traverses to locate the centreline of the stream (as required).</w:t>
            </w:r>
          </w:p>
          <w:p w14:paraId="3AA330B9" w14:textId="423F653E" w:rsidR="00E74658" w:rsidRDefault="00E74658" w:rsidP="006E5ECC">
            <w:pPr>
              <w:pStyle w:val="TableText"/>
            </w:pPr>
            <w:r w:rsidRPr="00B94D04">
              <w:t>For fire salvage coupes, conformance with additional filter &amp; buffer requirements will be noted.</w:t>
            </w:r>
          </w:p>
        </w:tc>
      </w:tr>
      <w:tr w:rsidR="006E5ECC" w14:paraId="06BE972E" w14:textId="77777777" w:rsidTr="004D5FC6">
        <w:tc>
          <w:tcPr>
            <w:tcW w:w="2835" w:type="dxa"/>
          </w:tcPr>
          <w:p w14:paraId="6D02E97F" w14:textId="7CB1690C" w:rsidR="006E5ECC" w:rsidRDefault="006E5ECC" w:rsidP="006E5ECC">
            <w:pPr>
              <w:pStyle w:val="TableNumber"/>
            </w:pPr>
            <w:r w:rsidRPr="00B94D04">
              <w:lastRenderedPageBreak/>
              <w:t>Soil erosion hazard</w:t>
            </w:r>
          </w:p>
        </w:tc>
        <w:tc>
          <w:tcPr>
            <w:tcW w:w="1276" w:type="dxa"/>
          </w:tcPr>
          <w:p w14:paraId="23C4A925" w14:textId="3D17DFE1" w:rsidR="006E5ECC" w:rsidRDefault="006E5ECC" w:rsidP="006E5ECC">
            <w:pPr>
              <w:pStyle w:val="TableText"/>
              <w:jc w:val="center"/>
            </w:pPr>
            <w:r w:rsidRPr="00B94D04">
              <w:t>2</w:t>
            </w:r>
          </w:p>
        </w:tc>
        <w:tc>
          <w:tcPr>
            <w:tcW w:w="5527" w:type="dxa"/>
          </w:tcPr>
          <w:p w14:paraId="4A99BB98" w14:textId="57F49194" w:rsidR="006E5ECC" w:rsidRDefault="006E5ECC" w:rsidP="006E5ECC">
            <w:pPr>
              <w:pStyle w:val="TableText"/>
            </w:pPr>
            <w:r w:rsidRPr="00B94D04">
              <w:t>Comparison of VicForests assessment of soil erosion hazard with observations of erosion within the coupe. Soil erosion hazard will be assessed using MSP methods where evidence of soil conditions and soil erosion suggests to the auditor that the initial assessment may have been incorrect or only applicable for one of multiple soil types present within the coupe.</w:t>
            </w:r>
          </w:p>
        </w:tc>
      </w:tr>
      <w:tr w:rsidR="006E5ECC" w14:paraId="34EDE000" w14:textId="77777777" w:rsidTr="004D5FC6">
        <w:tc>
          <w:tcPr>
            <w:tcW w:w="2835" w:type="dxa"/>
          </w:tcPr>
          <w:p w14:paraId="58BA74D5" w14:textId="5C81C89C" w:rsidR="006E5ECC" w:rsidRDefault="006E5ECC" w:rsidP="006E5ECC">
            <w:pPr>
              <w:pStyle w:val="TableNumber"/>
            </w:pPr>
            <w:r w:rsidRPr="00B94D04">
              <w:t>Extent to which harvesting was conducted on slopes &gt;30°/25° (EG granite-derived soils).</w:t>
            </w:r>
          </w:p>
        </w:tc>
        <w:tc>
          <w:tcPr>
            <w:tcW w:w="1276" w:type="dxa"/>
          </w:tcPr>
          <w:p w14:paraId="04210745" w14:textId="79F9ED72" w:rsidR="006E5ECC" w:rsidRDefault="006E5ECC" w:rsidP="006E5ECC">
            <w:pPr>
              <w:pStyle w:val="TableText"/>
              <w:jc w:val="center"/>
            </w:pPr>
            <w:r w:rsidRPr="00B94D04">
              <w:t>4,5</w:t>
            </w:r>
          </w:p>
        </w:tc>
        <w:tc>
          <w:tcPr>
            <w:tcW w:w="5527" w:type="dxa"/>
          </w:tcPr>
          <w:p w14:paraId="02208729" w14:textId="1F800E31" w:rsidR="006E5ECC" w:rsidRDefault="00B22AA0" w:rsidP="006E5ECC">
            <w:pPr>
              <w:pStyle w:val="TableText"/>
            </w:pPr>
            <w:r>
              <w:t>P</w:t>
            </w:r>
            <w:r w:rsidR="006E5ECC" w:rsidRPr="00B94D04">
              <w:t xml:space="preserve">re-field audit GIS analysis using lidar data (where available) to target investigations. </w:t>
            </w:r>
            <w:r w:rsidR="00CA1DBF">
              <w:t>Traverse across h</w:t>
            </w:r>
            <w:r w:rsidR="008F3FB1">
              <w:t xml:space="preserve">igh slope areas </w:t>
            </w:r>
            <w:r w:rsidR="008F494F">
              <w:t xml:space="preserve">(within harvest area) </w:t>
            </w:r>
            <w:r w:rsidR="008F3FB1">
              <w:t xml:space="preserve">to locate and measure area of </w:t>
            </w:r>
            <w:r w:rsidR="00A14196">
              <w:t xml:space="preserve">any locations where harvesting conducted on land </w:t>
            </w:r>
            <w:r w:rsidR="001030C8">
              <w:t xml:space="preserve">with </w:t>
            </w:r>
            <w:r w:rsidR="00D72AB8" w:rsidRPr="00B94D04">
              <w:t>&gt;30°/25°</w:t>
            </w:r>
            <w:r w:rsidR="00D72AB8">
              <w:t xml:space="preserve"> slope</w:t>
            </w:r>
            <w:r w:rsidR="00393677">
              <w:t>.</w:t>
            </w:r>
          </w:p>
        </w:tc>
      </w:tr>
      <w:tr w:rsidR="006E5ECC" w14:paraId="25717463" w14:textId="77777777" w:rsidTr="004D5FC6">
        <w:tc>
          <w:tcPr>
            <w:tcW w:w="2835" w:type="dxa"/>
          </w:tcPr>
          <w:p w14:paraId="24914916" w14:textId="0A2780C5" w:rsidR="006E5ECC" w:rsidRDefault="006E5ECC" w:rsidP="006E5ECC">
            <w:pPr>
              <w:pStyle w:val="TableNumber"/>
            </w:pPr>
            <w:r w:rsidRPr="00B94D04">
              <w:t>Adequacy of protection provided to soils, waterways and river health.</w:t>
            </w:r>
          </w:p>
        </w:tc>
        <w:tc>
          <w:tcPr>
            <w:tcW w:w="1276" w:type="dxa"/>
          </w:tcPr>
          <w:p w14:paraId="74ADA36A" w14:textId="2883BDC4" w:rsidR="006E5ECC" w:rsidRDefault="006E5ECC" w:rsidP="006E5ECC">
            <w:pPr>
              <w:pStyle w:val="TableText"/>
              <w:jc w:val="center"/>
            </w:pPr>
            <w:r w:rsidRPr="00B94D04">
              <w:t>6, 7, 8, 15, 21</w:t>
            </w:r>
          </w:p>
        </w:tc>
        <w:tc>
          <w:tcPr>
            <w:tcW w:w="5527" w:type="dxa"/>
          </w:tcPr>
          <w:p w14:paraId="446302DB" w14:textId="6D6C56DB" w:rsidR="006E5ECC" w:rsidRDefault="006E5ECC" w:rsidP="006E5ECC">
            <w:pPr>
              <w:pStyle w:val="TableText"/>
            </w:pPr>
            <w:r w:rsidRPr="00B94D04">
              <w:t>Visual observations and auditors’ interpretations, based on the presence of excessive disturbance and/or activities which are not compliant with elements of the regulatory framework. Considers in-coupe roads (ICR) and coupe infrastructure (snig tracks [ST], boundary tracks [BT</w:t>
            </w:r>
            <w:r w:rsidR="00AF6A9F">
              <w:t>, where present</w:t>
            </w:r>
            <w:r w:rsidRPr="00B94D04">
              <w:t>] and landings).</w:t>
            </w:r>
          </w:p>
        </w:tc>
      </w:tr>
      <w:tr w:rsidR="006E5ECC" w14:paraId="6F1C62C5" w14:textId="77777777" w:rsidTr="004D5FC6">
        <w:tc>
          <w:tcPr>
            <w:tcW w:w="2835" w:type="dxa"/>
          </w:tcPr>
          <w:p w14:paraId="0C8AB1DD" w14:textId="4E67049F" w:rsidR="006E5ECC" w:rsidRDefault="006E5ECC" w:rsidP="006E5ECC">
            <w:pPr>
              <w:pStyle w:val="TableNumber"/>
            </w:pPr>
            <w:r w:rsidRPr="00B94D04">
              <w:t>Presence of in-coupe roads or snig tracks in riparian habitats.</w:t>
            </w:r>
          </w:p>
        </w:tc>
        <w:tc>
          <w:tcPr>
            <w:tcW w:w="1276" w:type="dxa"/>
          </w:tcPr>
          <w:p w14:paraId="3FD63218" w14:textId="61292D96" w:rsidR="006E5ECC" w:rsidRDefault="006E5ECC" w:rsidP="006E5ECC">
            <w:pPr>
              <w:pStyle w:val="TableText"/>
              <w:jc w:val="center"/>
            </w:pPr>
            <w:r w:rsidRPr="00B94D04">
              <w:t>7, 15, 21</w:t>
            </w:r>
          </w:p>
        </w:tc>
        <w:tc>
          <w:tcPr>
            <w:tcW w:w="5527" w:type="dxa"/>
          </w:tcPr>
          <w:p w14:paraId="174C8F26" w14:textId="03C6CDEE" w:rsidR="006E5ECC" w:rsidRDefault="006E5ECC" w:rsidP="006E5ECC">
            <w:pPr>
              <w:pStyle w:val="TableText"/>
            </w:pPr>
            <w:r w:rsidRPr="00B94D04">
              <w:t>Visual observations and auditors’ interpretations of the reasonable practicability of alternative placements which avoided or were more remote from riparian areas.</w:t>
            </w:r>
          </w:p>
        </w:tc>
      </w:tr>
      <w:tr w:rsidR="006E5ECC" w14:paraId="7FE0BA6E" w14:textId="77777777" w:rsidTr="004D5FC6">
        <w:tc>
          <w:tcPr>
            <w:tcW w:w="2835" w:type="dxa"/>
          </w:tcPr>
          <w:p w14:paraId="277FF4EC" w14:textId="7CD6CF4A" w:rsidR="006E5ECC" w:rsidRDefault="006E5ECC" w:rsidP="006E5ECC">
            <w:pPr>
              <w:pStyle w:val="TableNumber"/>
            </w:pPr>
            <w:r w:rsidRPr="00B94D04">
              <w:t>Waterway crossings and culverts.</w:t>
            </w:r>
          </w:p>
        </w:tc>
        <w:tc>
          <w:tcPr>
            <w:tcW w:w="1276" w:type="dxa"/>
          </w:tcPr>
          <w:p w14:paraId="72E3C6F7" w14:textId="57DB540D" w:rsidR="006E5ECC" w:rsidRDefault="006E5ECC" w:rsidP="006E5ECC">
            <w:pPr>
              <w:pStyle w:val="TableText"/>
              <w:jc w:val="center"/>
            </w:pPr>
            <w:r w:rsidRPr="00B94D04">
              <w:t>7, 18, 19, 21, 22</w:t>
            </w:r>
          </w:p>
        </w:tc>
        <w:tc>
          <w:tcPr>
            <w:tcW w:w="5527" w:type="dxa"/>
          </w:tcPr>
          <w:p w14:paraId="2754EBA4" w14:textId="6F48721A" w:rsidR="006E5ECC" w:rsidRDefault="006E5ECC" w:rsidP="006E5ECC">
            <w:pPr>
              <w:pStyle w:val="TableText"/>
            </w:pPr>
            <w:r w:rsidRPr="00B94D04">
              <w:t xml:space="preserve">Assessment of culverts, </w:t>
            </w:r>
            <w:r w:rsidR="00BD1FFF">
              <w:t>fill batters</w:t>
            </w:r>
            <w:r w:rsidR="00BD1FFF" w:rsidRPr="00B94D04">
              <w:t xml:space="preserve"> </w:t>
            </w:r>
            <w:r w:rsidRPr="00B94D04">
              <w:t>and road drainage against MSP requirements. Observations and auditors’ interpretation of crossings in which the culvert had been removed (if observed). Observations of sediment entry into the waterway.</w:t>
            </w:r>
          </w:p>
        </w:tc>
      </w:tr>
      <w:tr w:rsidR="006E5ECC" w14:paraId="69C00A38" w14:textId="77777777" w:rsidTr="004D5FC6">
        <w:tc>
          <w:tcPr>
            <w:tcW w:w="2835" w:type="dxa"/>
          </w:tcPr>
          <w:p w14:paraId="6B5D1594" w14:textId="35B2F99B" w:rsidR="006E5ECC" w:rsidRDefault="006E5ECC" w:rsidP="006E5ECC">
            <w:pPr>
              <w:pStyle w:val="TableNumber"/>
            </w:pPr>
            <w:r w:rsidRPr="00B94D04">
              <w:t>Habitat trees.</w:t>
            </w:r>
          </w:p>
        </w:tc>
        <w:tc>
          <w:tcPr>
            <w:tcW w:w="1276" w:type="dxa"/>
          </w:tcPr>
          <w:p w14:paraId="6D11C646" w14:textId="2E1E8900" w:rsidR="006E5ECC" w:rsidRDefault="006E5ECC" w:rsidP="006E5ECC">
            <w:pPr>
              <w:pStyle w:val="TableText"/>
              <w:jc w:val="center"/>
            </w:pPr>
            <w:r w:rsidRPr="00B94D04">
              <w:t>10</w:t>
            </w:r>
          </w:p>
        </w:tc>
        <w:tc>
          <w:tcPr>
            <w:tcW w:w="5527" w:type="dxa"/>
          </w:tcPr>
          <w:p w14:paraId="5DF060D7" w14:textId="647A88BC" w:rsidR="006E5ECC" w:rsidRDefault="006E5ECC" w:rsidP="006E5ECC">
            <w:pPr>
              <w:pStyle w:val="TableText"/>
            </w:pPr>
            <w:r w:rsidRPr="00B94D04">
              <w:t xml:space="preserve">Assessment of the density and distribution of habitat trees, their location in relation to other habitat and their potential to develop hollows. </w:t>
            </w:r>
          </w:p>
        </w:tc>
      </w:tr>
      <w:tr w:rsidR="006E5ECC" w14:paraId="7D354F15" w14:textId="77777777" w:rsidTr="004D5FC6">
        <w:tc>
          <w:tcPr>
            <w:tcW w:w="2835" w:type="dxa"/>
          </w:tcPr>
          <w:p w14:paraId="7B31C6D2" w14:textId="4BDC75EE" w:rsidR="006E5ECC" w:rsidRDefault="006E5ECC" w:rsidP="006E5ECC">
            <w:pPr>
              <w:pStyle w:val="TableNumber"/>
            </w:pPr>
            <w:r w:rsidRPr="00B94D04">
              <w:t>If listed threatened fauna or flora are recorded as being present, whether prescribed management actions been followed.</w:t>
            </w:r>
          </w:p>
        </w:tc>
        <w:tc>
          <w:tcPr>
            <w:tcW w:w="1276" w:type="dxa"/>
          </w:tcPr>
          <w:p w14:paraId="3FA557BB" w14:textId="63A4F8EF" w:rsidR="006E5ECC" w:rsidRDefault="006E5ECC" w:rsidP="006E5ECC">
            <w:pPr>
              <w:pStyle w:val="TableText"/>
              <w:jc w:val="center"/>
            </w:pPr>
            <w:r w:rsidRPr="00B94D04">
              <w:t>9, 11</w:t>
            </w:r>
          </w:p>
        </w:tc>
        <w:tc>
          <w:tcPr>
            <w:tcW w:w="5527" w:type="dxa"/>
          </w:tcPr>
          <w:p w14:paraId="45237B13" w14:textId="494E3439" w:rsidR="006E5ECC" w:rsidRDefault="006E5ECC" w:rsidP="006E5ECC">
            <w:pPr>
              <w:pStyle w:val="TableText"/>
            </w:pPr>
            <w:r w:rsidRPr="00B94D04">
              <w:t>Comparison of observed coupe conditions with management actions specified in the MSP</w:t>
            </w:r>
            <w:r w:rsidR="00BD1FFF">
              <w:t>s</w:t>
            </w:r>
            <w:r w:rsidRPr="00B94D04">
              <w:t xml:space="preserve"> and forest coupe plan (FCP). </w:t>
            </w:r>
          </w:p>
        </w:tc>
      </w:tr>
      <w:tr w:rsidR="006E5ECC" w14:paraId="35D1875E" w14:textId="77777777" w:rsidTr="004D5FC6">
        <w:tc>
          <w:tcPr>
            <w:tcW w:w="2835" w:type="dxa"/>
          </w:tcPr>
          <w:p w14:paraId="0127C7E7" w14:textId="49604F5F" w:rsidR="006E5ECC" w:rsidRDefault="006E5ECC" w:rsidP="006E5ECC">
            <w:pPr>
              <w:pStyle w:val="TableNumber"/>
            </w:pPr>
            <w:r w:rsidRPr="00B94D04">
              <w:t>Harvesting and/or road construction in or near box-ironbark, heathland or montane riparian thicket (MRT) if present within or near the coupe.</w:t>
            </w:r>
          </w:p>
        </w:tc>
        <w:tc>
          <w:tcPr>
            <w:tcW w:w="1276" w:type="dxa"/>
          </w:tcPr>
          <w:p w14:paraId="6E2C925A" w14:textId="0ED1CCA7" w:rsidR="006E5ECC" w:rsidRDefault="006E5ECC" w:rsidP="006E5ECC">
            <w:pPr>
              <w:pStyle w:val="TableText"/>
              <w:jc w:val="center"/>
            </w:pPr>
            <w:r w:rsidRPr="00B94D04">
              <w:t>12</w:t>
            </w:r>
          </w:p>
        </w:tc>
        <w:tc>
          <w:tcPr>
            <w:tcW w:w="5527" w:type="dxa"/>
          </w:tcPr>
          <w:p w14:paraId="3EF771B2" w14:textId="3E6E5061" w:rsidR="006E5ECC" w:rsidRDefault="006E5ECC" w:rsidP="006E5ECC">
            <w:pPr>
              <w:pStyle w:val="TableText"/>
            </w:pPr>
            <w:r w:rsidRPr="00B94D04">
              <w:t xml:space="preserve">Confirmation of the presence of the vegetation community and observation of its proximity to in-coupe roads. Auditors’ assessment as to the reasonable practicability of alternative road location if the road entered the protected vegetation community. Presence of harvesting in or in proximity to </w:t>
            </w:r>
            <w:r w:rsidR="00AC3A46">
              <w:t>b</w:t>
            </w:r>
            <w:r w:rsidRPr="00B94D04">
              <w:t>ox-ironbark forests, heathlands or MRT.</w:t>
            </w:r>
          </w:p>
        </w:tc>
      </w:tr>
      <w:tr w:rsidR="006E5ECC" w14:paraId="5A3AA872" w14:textId="77777777" w:rsidTr="004D5FC6">
        <w:tc>
          <w:tcPr>
            <w:tcW w:w="2835" w:type="dxa"/>
          </w:tcPr>
          <w:p w14:paraId="799E583C" w14:textId="02D7731F" w:rsidR="006E5ECC" w:rsidRDefault="006E5ECC" w:rsidP="006E5ECC">
            <w:pPr>
              <w:pStyle w:val="TableNumber"/>
            </w:pPr>
            <w:r w:rsidRPr="00B94D04">
              <w:t>Old growth forest (OGF)</w:t>
            </w:r>
            <w:r w:rsidR="0050523F">
              <w:t xml:space="preserve"> and large or giant trees</w:t>
            </w:r>
          </w:p>
        </w:tc>
        <w:tc>
          <w:tcPr>
            <w:tcW w:w="1276" w:type="dxa"/>
          </w:tcPr>
          <w:p w14:paraId="4AABE896" w14:textId="43E04348" w:rsidR="006E5ECC" w:rsidRDefault="006E5ECC" w:rsidP="006E5ECC">
            <w:pPr>
              <w:pStyle w:val="TableText"/>
              <w:jc w:val="center"/>
            </w:pPr>
            <w:r w:rsidRPr="00B94D04">
              <w:t>12</w:t>
            </w:r>
          </w:p>
        </w:tc>
        <w:tc>
          <w:tcPr>
            <w:tcW w:w="5527" w:type="dxa"/>
          </w:tcPr>
          <w:p w14:paraId="4006A6D2" w14:textId="24D7F664" w:rsidR="006E5ECC" w:rsidRDefault="006E5ECC" w:rsidP="006E5ECC">
            <w:pPr>
              <w:pStyle w:val="TableText"/>
            </w:pPr>
            <w:r w:rsidRPr="00B94D04">
              <w:t>Provision of buffers around verified OGF within Leadbeater’s Possum (LBP) range.</w:t>
            </w:r>
            <w:r w:rsidR="0050523F">
              <w:t xml:space="preserve"> Retention of large or giant trees in accordance with MSP requirements.</w:t>
            </w:r>
          </w:p>
        </w:tc>
      </w:tr>
      <w:tr w:rsidR="006E5ECC" w14:paraId="6CFBB298" w14:textId="77777777" w:rsidTr="004D5FC6">
        <w:tc>
          <w:tcPr>
            <w:tcW w:w="2835" w:type="dxa"/>
          </w:tcPr>
          <w:p w14:paraId="175CF54F" w14:textId="4C30F535" w:rsidR="006E5ECC" w:rsidRDefault="006E5ECC" w:rsidP="006E5ECC">
            <w:pPr>
              <w:pStyle w:val="TableNumber"/>
            </w:pPr>
            <w:r w:rsidRPr="00B94D04">
              <w:t>Rainforest buffers.</w:t>
            </w:r>
          </w:p>
        </w:tc>
        <w:tc>
          <w:tcPr>
            <w:tcW w:w="1276" w:type="dxa"/>
          </w:tcPr>
          <w:p w14:paraId="643B8DA5" w14:textId="0D3BD8D6" w:rsidR="006E5ECC" w:rsidRDefault="006E5ECC" w:rsidP="006E5ECC">
            <w:pPr>
              <w:pStyle w:val="TableText"/>
              <w:jc w:val="center"/>
            </w:pPr>
            <w:r w:rsidRPr="00B94D04">
              <w:t>12</w:t>
            </w:r>
          </w:p>
        </w:tc>
        <w:tc>
          <w:tcPr>
            <w:tcW w:w="5527" w:type="dxa"/>
          </w:tcPr>
          <w:p w14:paraId="5BB5EAC0" w14:textId="4BFA3068" w:rsidR="006E5ECC" w:rsidRDefault="006E5ECC" w:rsidP="006E5ECC">
            <w:pPr>
              <w:pStyle w:val="TableText"/>
            </w:pPr>
            <w:r w:rsidRPr="00B94D04">
              <w:t>Identification of rainforest stands, as per MSP definitions. Assessment of provision of any required buffers as per MSP compliance requirements.</w:t>
            </w:r>
          </w:p>
        </w:tc>
      </w:tr>
      <w:tr w:rsidR="006E5ECC" w14:paraId="4D0C5EA1" w14:textId="77777777" w:rsidTr="004D5FC6">
        <w:tc>
          <w:tcPr>
            <w:tcW w:w="2835" w:type="dxa"/>
          </w:tcPr>
          <w:p w14:paraId="0EFF722C" w14:textId="581FD521" w:rsidR="006E5ECC" w:rsidRDefault="006E5ECC" w:rsidP="006E5ECC">
            <w:pPr>
              <w:pStyle w:val="TableNumber"/>
            </w:pPr>
            <w:r w:rsidRPr="00B94D04">
              <w:t>Protection of exclusion areas and areas outside gross coupe boundaries</w:t>
            </w:r>
          </w:p>
        </w:tc>
        <w:tc>
          <w:tcPr>
            <w:tcW w:w="1276" w:type="dxa"/>
          </w:tcPr>
          <w:p w14:paraId="78CBCCAF" w14:textId="58403A8A" w:rsidR="006E5ECC" w:rsidRDefault="006E5ECC" w:rsidP="006E5ECC">
            <w:pPr>
              <w:pStyle w:val="TableText"/>
              <w:jc w:val="center"/>
            </w:pPr>
            <w:r w:rsidRPr="00B94D04">
              <w:t>12, 15, 21</w:t>
            </w:r>
          </w:p>
        </w:tc>
        <w:tc>
          <w:tcPr>
            <w:tcW w:w="5527" w:type="dxa"/>
          </w:tcPr>
          <w:p w14:paraId="3D785973" w14:textId="33129B06" w:rsidR="006E5ECC" w:rsidRDefault="006E5ECC" w:rsidP="006E5ECC">
            <w:pPr>
              <w:pStyle w:val="TableText"/>
            </w:pPr>
            <w:r w:rsidRPr="00B94D04">
              <w:t>Identification and assessment of any effect of harvesting operation (including roading, regeneration burning, tree felling, ST/BT and machinery movement) on exclusion areas or areas outside the coupe boundary.</w:t>
            </w:r>
          </w:p>
        </w:tc>
      </w:tr>
      <w:tr w:rsidR="006E5ECC" w14:paraId="54993085" w14:textId="77777777" w:rsidTr="004D5FC6">
        <w:tc>
          <w:tcPr>
            <w:tcW w:w="2835" w:type="dxa"/>
          </w:tcPr>
          <w:p w14:paraId="6E9715C3" w14:textId="6BD1F551" w:rsidR="006E5ECC" w:rsidRDefault="006E5ECC" w:rsidP="006E5ECC">
            <w:pPr>
              <w:pStyle w:val="TableNumber"/>
            </w:pPr>
            <w:r w:rsidRPr="00B94D04">
              <w:t>Biosecurity.</w:t>
            </w:r>
          </w:p>
        </w:tc>
        <w:tc>
          <w:tcPr>
            <w:tcW w:w="1276" w:type="dxa"/>
          </w:tcPr>
          <w:p w14:paraId="352ABA6C" w14:textId="70BD10D8" w:rsidR="006E5ECC" w:rsidRDefault="006E5ECC" w:rsidP="006E5ECC">
            <w:pPr>
              <w:pStyle w:val="TableText"/>
              <w:jc w:val="center"/>
            </w:pPr>
            <w:r w:rsidRPr="00B94D04">
              <w:t>13</w:t>
            </w:r>
          </w:p>
        </w:tc>
        <w:tc>
          <w:tcPr>
            <w:tcW w:w="5527" w:type="dxa"/>
          </w:tcPr>
          <w:p w14:paraId="433EA052" w14:textId="203C2861" w:rsidR="006E5ECC" w:rsidRDefault="006E5ECC" w:rsidP="006E5ECC">
            <w:pPr>
              <w:pStyle w:val="TableText"/>
            </w:pPr>
            <w:r w:rsidRPr="00B94D04">
              <w:t>Observation of harvesting related damage to or wounding of Myrtle Beech trees, in applicable coupes. Implementation of any management plans where harvesting operations appear to have led to disease or pest introduction.</w:t>
            </w:r>
          </w:p>
        </w:tc>
      </w:tr>
      <w:tr w:rsidR="006E5ECC" w14:paraId="1E13C50C" w14:textId="77777777" w:rsidTr="004D5FC6">
        <w:tc>
          <w:tcPr>
            <w:tcW w:w="2835" w:type="dxa"/>
          </w:tcPr>
          <w:p w14:paraId="13E74A24" w14:textId="3EE5D918" w:rsidR="006E5ECC" w:rsidRDefault="006E5ECC" w:rsidP="006E5ECC">
            <w:pPr>
              <w:pStyle w:val="TableNumber"/>
            </w:pPr>
            <w:r w:rsidRPr="00B94D04">
              <w:t>In-coupe road design and construction</w:t>
            </w:r>
          </w:p>
        </w:tc>
        <w:tc>
          <w:tcPr>
            <w:tcW w:w="1276" w:type="dxa"/>
          </w:tcPr>
          <w:p w14:paraId="2B14092B" w14:textId="12C64EFB" w:rsidR="006E5ECC" w:rsidRDefault="006E5ECC" w:rsidP="006E5ECC">
            <w:pPr>
              <w:pStyle w:val="TableText"/>
              <w:jc w:val="center"/>
            </w:pPr>
            <w:r w:rsidRPr="00B94D04">
              <w:t>16, 17, 18, 19</w:t>
            </w:r>
          </w:p>
        </w:tc>
        <w:tc>
          <w:tcPr>
            <w:tcW w:w="5527" w:type="dxa"/>
          </w:tcPr>
          <w:p w14:paraId="5E34E0C6" w14:textId="77777777" w:rsidR="006E5ECC" w:rsidRDefault="006E5ECC" w:rsidP="006E5ECC">
            <w:pPr>
              <w:pStyle w:val="TableText"/>
            </w:pPr>
            <w:r w:rsidRPr="00B94D04">
              <w:t>Assessment of whether road construction follows any documented plan or design.</w:t>
            </w:r>
          </w:p>
          <w:p w14:paraId="6D7ABFB8" w14:textId="77777777" w:rsidR="00276B58" w:rsidRDefault="00276B58" w:rsidP="006E5ECC">
            <w:pPr>
              <w:pStyle w:val="TableText"/>
            </w:pPr>
            <w:r w:rsidRPr="00B94D04">
              <w:t>Identification of any evidence that road construction was inconsistent with need to minimise risk of erosion and water quality impact.</w:t>
            </w:r>
          </w:p>
          <w:p w14:paraId="1FCDC782" w14:textId="77777777" w:rsidR="00276B58" w:rsidRDefault="00276B58" w:rsidP="006E5ECC">
            <w:pPr>
              <w:pStyle w:val="TableText"/>
            </w:pPr>
            <w:r w:rsidRPr="00B94D04">
              <w:t>Identification of any evidence that table drains were constructed by subsequent excavation.</w:t>
            </w:r>
          </w:p>
          <w:p w14:paraId="089E05E0" w14:textId="77777777" w:rsidR="00276B58" w:rsidRDefault="00276B58" w:rsidP="006E5ECC">
            <w:pPr>
              <w:pStyle w:val="TableText"/>
            </w:pPr>
            <w:r w:rsidRPr="00B94D04">
              <w:t>For in-coupe roads through retained vegetation, assess whether clearing width was consistent with MSP requirements.</w:t>
            </w:r>
          </w:p>
          <w:p w14:paraId="134F9677" w14:textId="77777777" w:rsidR="00276B58" w:rsidRDefault="00276B58" w:rsidP="006E5ECC">
            <w:pPr>
              <w:pStyle w:val="TableText"/>
            </w:pPr>
            <w:r w:rsidRPr="00B94D04">
              <w:lastRenderedPageBreak/>
              <w:t>Assessment of the appropriateness of the intensity of earthworks for ICR</w:t>
            </w:r>
            <w:r w:rsidR="00FD29C0">
              <w:t>.</w:t>
            </w:r>
          </w:p>
          <w:p w14:paraId="3AB0720A" w14:textId="4B565F21" w:rsidR="00FD29C0" w:rsidRDefault="00FD29C0" w:rsidP="006E5ECC">
            <w:pPr>
              <w:pStyle w:val="TableText"/>
            </w:pPr>
            <w:r w:rsidRPr="00B94D04">
              <w:t>Observation and auditors’ interpretation of the adequacy of road maintenance and any road closure works.</w:t>
            </w:r>
          </w:p>
        </w:tc>
      </w:tr>
      <w:tr w:rsidR="006E5ECC" w14:paraId="64E38322" w14:textId="77777777" w:rsidTr="004D5FC6">
        <w:tc>
          <w:tcPr>
            <w:tcW w:w="2835" w:type="dxa"/>
          </w:tcPr>
          <w:p w14:paraId="3A1F446C" w14:textId="49DBEC65" w:rsidR="006E5ECC" w:rsidRDefault="006E5ECC" w:rsidP="006E5ECC">
            <w:pPr>
              <w:pStyle w:val="TableNumber"/>
            </w:pPr>
            <w:r w:rsidRPr="00B94D04">
              <w:lastRenderedPageBreak/>
              <w:t>Fill batters</w:t>
            </w:r>
          </w:p>
        </w:tc>
        <w:tc>
          <w:tcPr>
            <w:tcW w:w="1276" w:type="dxa"/>
          </w:tcPr>
          <w:p w14:paraId="5C90BD86" w14:textId="1508B53D" w:rsidR="006E5ECC" w:rsidRDefault="006E5ECC" w:rsidP="006E5ECC">
            <w:pPr>
              <w:pStyle w:val="TableText"/>
              <w:jc w:val="center"/>
            </w:pPr>
            <w:r w:rsidRPr="00B94D04">
              <w:t>18</w:t>
            </w:r>
          </w:p>
        </w:tc>
        <w:tc>
          <w:tcPr>
            <w:tcW w:w="5527" w:type="dxa"/>
          </w:tcPr>
          <w:p w14:paraId="37C392CD" w14:textId="0A1D90C6" w:rsidR="006E5ECC" w:rsidRDefault="006E5ECC" w:rsidP="006E5ECC">
            <w:pPr>
              <w:pStyle w:val="TableText"/>
            </w:pPr>
            <w:r w:rsidRPr="00B94D04">
              <w:t>Evidence of soil movement and instability. Observation of instances where fill batters cover base of live trees to be retained post-harvest.</w:t>
            </w:r>
          </w:p>
        </w:tc>
      </w:tr>
      <w:tr w:rsidR="006E5ECC" w14:paraId="10F07008" w14:textId="77777777" w:rsidTr="004D5FC6">
        <w:tc>
          <w:tcPr>
            <w:tcW w:w="2835" w:type="dxa"/>
          </w:tcPr>
          <w:p w14:paraId="072AA631" w14:textId="2B47A478" w:rsidR="006E5ECC" w:rsidRDefault="006E5ECC" w:rsidP="006E5ECC">
            <w:pPr>
              <w:pStyle w:val="TableNumber"/>
            </w:pPr>
            <w:r w:rsidRPr="00B94D04">
              <w:t>Road drainage</w:t>
            </w:r>
          </w:p>
        </w:tc>
        <w:tc>
          <w:tcPr>
            <w:tcW w:w="1276" w:type="dxa"/>
          </w:tcPr>
          <w:p w14:paraId="0A365C6D" w14:textId="767D4D55" w:rsidR="006E5ECC" w:rsidRDefault="006E5ECC" w:rsidP="006E5ECC">
            <w:pPr>
              <w:pStyle w:val="TableText"/>
              <w:jc w:val="center"/>
            </w:pPr>
            <w:r w:rsidRPr="00B94D04">
              <w:t>19</w:t>
            </w:r>
          </w:p>
        </w:tc>
        <w:tc>
          <w:tcPr>
            <w:tcW w:w="5527" w:type="dxa"/>
          </w:tcPr>
          <w:p w14:paraId="044E0564" w14:textId="77777777" w:rsidR="006E5ECC" w:rsidRDefault="006E5ECC" w:rsidP="006E5ECC">
            <w:pPr>
              <w:pStyle w:val="TableText"/>
            </w:pPr>
            <w:r w:rsidRPr="00B94D04">
              <w:t>Compliance with MSP drain spacing requirements, based on soil erosion hazard and gradient, for full length of in-coupe road. Assessment of effectiveness of drainage and appropriateness of drainage disposal, considering Code and MSP requirements. Assess full length of ICR.</w:t>
            </w:r>
          </w:p>
          <w:p w14:paraId="302D5E90" w14:textId="77777777" w:rsidR="002B5B16" w:rsidRDefault="002B5B16" w:rsidP="006E5ECC">
            <w:pPr>
              <w:pStyle w:val="TableText"/>
            </w:pPr>
            <w:r w:rsidRPr="00B94D04">
              <w:t>Conformance of culvert construction and management with MSP requirements</w:t>
            </w:r>
          </w:p>
          <w:p w14:paraId="62848508" w14:textId="2EBB66AA" w:rsidR="002B5B16" w:rsidRDefault="002B5B16" w:rsidP="006E5ECC">
            <w:pPr>
              <w:pStyle w:val="TableText"/>
            </w:pPr>
            <w:r w:rsidRPr="00B94D04">
              <w:t>Appropriateness and avoidability of disturbance to stream beds during and following crossing construction and removal.</w:t>
            </w:r>
          </w:p>
        </w:tc>
      </w:tr>
      <w:tr w:rsidR="006E5ECC" w14:paraId="652CCACC" w14:textId="77777777" w:rsidTr="004D5FC6">
        <w:tc>
          <w:tcPr>
            <w:tcW w:w="2835" w:type="dxa"/>
          </w:tcPr>
          <w:p w14:paraId="347A775F" w14:textId="582DF9D6" w:rsidR="006E5ECC" w:rsidRDefault="006E5ECC" w:rsidP="006E5ECC">
            <w:pPr>
              <w:pStyle w:val="TableNumber"/>
            </w:pPr>
            <w:r w:rsidRPr="00B94D04">
              <w:t>ICR and waterway crossing (WWX) closure</w:t>
            </w:r>
          </w:p>
        </w:tc>
        <w:tc>
          <w:tcPr>
            <w:tcW w:w="1276" w:type="dxa"/>
          </w:tcPr>
          <w:p w14:paraId="594244D6" w14:textId="76D6630D" w:rsidR="006E5ECC" w:rsidRDefault="006E5ECC" w:rsidP="006E5ECC">
            <w:pPr>
              <w:pStyle w:val="TableText"/>
              <w:jc w:val="center"/>
            </w:pPr>
            <w:r w:rsidRPr="00B94D04">
              <w:t>20</w:t>
            </w:r>
          </w:p>
        </w:tc>
        <w:tc>
          <w:tcPr>
            <w:tcW w:w="5527" w:type="dxa"/>
          </w:tcPr>
          <w:p w14:paraId="0B28E097" w14:textId="4FA04ED7" w:rsidR="006E5ECC" w:rsidRDefault="00CC2990" w:rsidP="006E5ECC">
            <w:pPr>
              <w:pStyle w:val="TableText"/>
            </w:pPr>
            <w:r>
              <w:t>Determine whether</w:t>
            </w:r>
            <w:r w:rsidR="006E5ECC" w:rsidRPr="00B94D04">
              <w:t xml:space="preserve"> any WWXs that are no longer required </w:t>
            </w:r>
            <w:r>
              <w:t xml:space="preserve">have </w:t>
            </w:r>
            <w:r w:rsidR="006E5ECC" w:rsidRPr="00B94D04">
              <w:t>been removed and rehabilitated as per MSP requirements</w:t>
            </w:r>
            <w:r>
              <w:t>.</w:t>
            </w:r>
          </w:p>
          <w:p w14:paraId="5E57B0F7" w14:textId="1419EE4E" w:rsidR="00E40058" w:rsidRDefault="00CC2990" w:rsidP="006E5ECC">
            <w:pPr>
              <w:pStyle w:val="TableText"/>
            </w:pPr>
            <w:r>
              <w:t>Determine whether an</w:t>
            </w:r>
            <w:r w:rsidR="00E40058" w:rsidRPr="00B94D04">
              <w:t xml:space="preserve"> ICR that is no longer required been closed permanently</w:t>
            </w:r>
            <w:r>
              <w:t>.</w:t>
            </w:r>
          </w:p>
        </w:tc>
      </w:tr>
      <w:tr w:rsidR="006E5ECC" w14:paraId="6FE24D01" w14:textId="77777777" w:rsidTr="004D5FC6">
        <w:tc>
          <w:tcPr>
            <w:tcW w:w="2835" w:type="dxa"/>
          </w:tcPr>
          <w:p w14:paraId="46B449ED" w14:textId="2779BD13" w:rsidR="006E5ECC" w:rsidRDefault="006E5ECC" w:rsidP="006E5ECC">
            <w:pPr>
              <w:pStyle w:val="TableNumber"/>
            </w:pPr>
            <w:r w:rsidRPr="00B94D04">
              <w:t>Coupe management</w:t>
            </w:r>
          </w:p>
        </w:tc>
        <w:tc>
          <w:tcPr>
            <w:tcW w:w="1276" w:type="dxa"/>
          </w:tcPr>
          <w:p w14:paraId="0D84F23A" w14:textId="0457486A" w:rsidR="006E5ECC" w:rsidRDefault="006E5ECC" w:rsidP="006E5ECC">
            <w:pPr>
              <w:pStyle w:val="TableText"/>
              <w:jc w:val="center"/>
            </w:pPr>
            <w:r w:rsidRPr="00B94D04">
              <w:t>21</w:t>
            </w:r>
          </w:p>
        </w:tc>
        <w:tc>
          <w:tcPr>
            <w:tcW w:w="5527" w:type="dxa"/>
          </w:tcPr>
          <w:p w14:paraId="404D487A" w14:textId="2381BB10" w:rsidR="006E5ECC" w:rsidRDefault="006E5ECC" w:rsidP="006E5ECC">
            <w:pPr>
              <w:pStyle w:val="TableText"/>
            </w:pPr>
            <w:r w:rsidRPr="00B94D04">
              <w:t>Observation of the consistency between the FCP and the timber harvesting operation.</w:t>
            </w:r>
          </w:p>
        </w:tc>
      </w:tr>
      <w:tr w:rsidR="006E5ECC" w14:paraId="31695132" w14:textId="77777777" w:rsidTr="004D5FC6">
        <w:tc>
          <w:tcPr>
            <w:tcW w:w="2835" w:type="dxa"/>
          </w:tcPr>
          <w:p w14:paraId="57B113A7" w14:textId="42F22343" w:rsidR="006E5ECC" w:rsidRDefault="006E5ECC" w:rsidP="006E5ECC">
            <w:pPr>
              <w:pStyle w:val="TableNumber"/>
            </w:pPr>
            <w:r w:rsidRPr="00B94D04">
              <w:t>Coupe infrastructure – ST &amp; BT</w:t>
            </w:r>
          </w:p>
        </w:tc>
        <w:tc>
          <w:tcPr>
            <w:tcW w:w="1276" w:type="dxa"/>
          </w:tcPr>
          <w:p w14:paraId="3F4BC3E9" w14:textId="5E3FA1FF" w:rsidR="006E5ECC" w:rsidRDefault="006E5ECC" w:rsidP="006E5ECC">
            <w:pPr>
              <w:pStyle w:val="TableText"/>
              <w:jc w:val="center"/>
            </w:pPr>
            <w:r w:rsidRPr="00B94D04">
              <w:t>22</w:t>
            </w:r>
          </w:p>
        </w:tc>
        <w:tc>
          <w:tcPr>
            <w:tcW w:w="5527" w:type="dxa"/>
          </w:tcPr>
          <w:p w14:paraId="58A79E1B" w14:textId="4A36999D" w:rsidR="006E5ECC" w:rsidRDefault="006E5ECC" w:rsidP="006E5ECC">
            <w:pPr>
              <w:pStyle w:val="TableText"/>
            </w:pPr>
            <w:r w:rsidRPr="00B94D04">
              <w:t>Assess if ST have been progressively rehabilitated and rehabilitated in a way that prevents soil movement into streams and consistent with MSP requirements. Assess adequacy of ST and BT drainage and its conformance to MSP requirements. Assess up to 600 m length of ST and/or BT, where present.</w:t>
            </w:r>
          </w:p>
        </w:tc>
      </w:tr>
      <w:tr w:rsidR="006E5ECC" w14:paraId="16F91CAE" w14:textId="77777777" w:rsidTr="004D5FC6">
        <w:tc>
          <w:tcPr>
            <w:tcW w:w="2835" w:type="dxa"/>
          </w:tcPr>
          <w:p w14:paraId="305CA768" w14:textId="2BAFFE0B" w:rsidR="006E5ECC" w:rsidRDefault="006E5ECC" w:rsidP="006E5ECC">
            <w:pPr>
              <w:pStyle w:val="TableNumber"/>
            </w:pPr>
            <w:r w:rsidRPr="00B94D04">
              <w:t>Coupe infrastructure – landings</w:t>
            </w:r>
          </w:p>
        </w:tc>
        <w:tc>
          <w:tcPr>
            <w:tcW w:w="1276" w:type="dxa"/>
          </w:tcPr>
          <w:p w14:paraId="6D8F1C1E" w14:textId="19B1B5F4" w:rsidR="006E5ECC" w:rsidRDefault="006E5ECC" w:rsidP="006E5ECC">
            <w:pPr>
              <w:pStyle w:val="TableText"/>
              <w:jc w:val="center"/>
            </w:pPr>
            <w:r w:rsidRPr="00B94D04">
              <w:t>21</w:t>
            </w:r>
          </w:p>
        </w:tc>
        <w:tc>
          <w:tcPr>
            <w:tcW w:w="5527" w:type="dxa"/>
          </w:tcPr>
          <w:p w14:paraId="263694D9" w14:textId="519E0FD5" w:rsidR="006E5ECC" w:rsidRDefault="006E5ECC" w:rsidP="006E5ECC">
            <w:pPr>
              <w:pStyle w:val="TableText"/>
            </w:pPr>
            <w:r w:rsidRPr="00B94D04">
              <w:t>Assess adequacy of landing rehabilitation, including removal of cording and matting, ripping of landing and final 30 m of ST, placement of bark piles and storage and redistribution of stockpiled soil.</w:t>
            </w:r>
          </w:p>
        </w:tc>
      </w:tr>
      <w:tr w:rsidR="006E5ECC" w14:paraId="57EC6378" w14:textId="77777777" w:rsidTr="004D5FC6">
        <w:tc>
          <w:tcPr>
            <w:tcW w:w="2835" w:type="dxa"/>
          </w:tcPr>
          <w:p w14:paraId="6DCDFC80" w14:textId="37D22F14" w:rsidR="006E5ECC" w:rsidRDefault="006E5ECC" w:rsidP="006E5ECC">
            <w:pPr>
              <w:pStyle w:val="TableNumber"/>
            </w:pPr>
            <w:r w:rsidRPr="00B94D04">
              <w:t>Slash and bark piles</w:t>
            </w:r>
          </w:p>
        </w:tc>
        <w:tc>
          <w:tcPr>
            <w:tcW w:w="1276" w:type="dxa"/>
          </w:tcPr>
          <w:p w14:paraId="125CAAAC" w14:textId="1564DDCC" w:rsidR="006E5ECC" w:rsidRDefault="006E5ECC" w:rsidP="006E5ECC">
            <w:pPr>
              <w:pStyle w:val="TableText"/>
              <w:jc w:val="center"/>
            </w:pPr>
            <w:r w:rsidRPr="00B94D04">
              <w:t>22</w:t>
            </w:r>
          </w:p>
        </w:tc>
        <w:tc>
          <w:tcPr>
            <w:tcW w:w="5527" w:type="dxa"/>
          </w:tcPr>
          <w:p w14:paraId="080C38D1" w14:textId="599D922E" w:rsidR="006E5ECC" w:rsidRDefault="006E5ECC" w:rsidP="006E5ECC">
            <w:pPr>
              <w:pStyle w:val="TableText"/>
            </w:pPr>
            <w:r w:rsidRPr="00B94D04">
              <w:t>Has slash and bark been placed and piled appropriately in preparation for regeneration burning?</w:t>
            </w:r>
          </w:p>
        </w:tc>
      </w:tr>
      <w:tr w:rsidR="006E5ECC" w14:paraId="232525C1" w14:textId="77777777" w:rsidTr="004D5FC6">
        <w:tc>
          <w:tcPr>
            <w:tcW w:w="2835" w:type="dxa"/>
          </w:tcPr>
          <w:p w14:paraId="22B0DF9E" w14:textId="0CFDDBF6" w:rsidR="006E5ECC" w:rsidRDefault="006E5ECC" w:rsidP="006E5ECC">
            <w:pPr>
              <w:pStyle w:val="TableNumber"/>
            </w:pPr>
            <w:r w:rsidRPr="00B94D04">
              <w:t>Campsites</w:t>
            </w:r>
          </w:p>
        </w:tc>
        <w:tc>
          <w:tcPr>
            <w:tcW w:w="1276" w:type="dxa"/>
          </w:tcPr>
          <w:p w14:paraId="767F6EE3" w14:textId="01EC1967" w:rsidR="006E5ECC" w:rsidRDefault="006E5ECC" w:rsidP="006E5ECC">
            <w:pPr>
              <w:pStyle w:val="TableText"/>
              <w:jc w:val="center"/>
            </w:pPr>
            <w:r w:rsidRPr="00B94D04">
              <w:t>22</w:t>
            </w:r>
          </w:p>
        </w:tc>
        <w:tc>
          <w:tcPr>
            <w:tcW w:w="5527" w:type="dxa"/>
          </w:tcPr>
          <w:p w14:paraId="11CDE70A" w14:textId="59973E43" w:rsidR="006E5ECC" w:rsidRDefault="006E5ECC" w:rsidP="006E5ECC">
            <w:pPr>
              <w:pStyle w:val="TableText"/>
            </w:pPr>
            <w:r w:rsidRPr="00B94D04">
              <w:t>Are any campsites located appropriately?</w:t>
            </w:r>
          </w:p>
        </w:tc>
      </w:tr>
      <w:tr w:rsidR="006E5ECC" w14:paraId="5654F732" w14:textId="77777777" w:rsidTr="004D5FC6">
        <w:tc>
          <w:tcPr>
            <w:tcW w:w="2835" w:type="dxa"/>
          </w:tcPr>
          <w:p w14:paraId="63261CA7" w14:textId="1A3C72E0" w:rsidR="006E5ECC" w:rsidRDefault="006E5ECC" w:rsidP="006E5ECC">
            <w:pPr>
              <w:pStyle w:val="TableNumber"/>
            </w:pPr>
            <w:r w:rsidRPr="00B94D04">
              <w:t xml:space="preserve">Fire salvage harvesting </w:t>
            </w:r>
          </w:p>
        </w:tc>
        <w:tc>
          <w:tcPr>
            <w:tcW w:w="1276" w:type="dxa"/>
          </w:tcPr>
          <w:p w14:paraId="48260DB5" w14:textId="1C0FC063" w:rsidR="006E5ECC" w:rsidRDefault="006E5ECC" w:rsidP="006E5ECC">
            <w:pPr>
              <w:pStyle w:val="TableText"/>
              <w:jc w:val="center"/>
            </w:pPr>
            <w:r w:rsidRPr="00B94D04">
              <w:t>15</w:t>
            </w:r>
          </w:p>
        </w:tc>
        <w:tc>
          <w:tcPr>
            <w:tcW w:w="5527" w:type="dxa"/>
          </w:tcPr>
          <w:p w14:paraId="76E8A6D3" w14:textId="5405C48A" w:rsidR="006E5ECC" w:rsidRDefault="006E5ECC" w:rsidP="006E5ECC">
            <w:pPr>
              <w:pStyle w:val="TableText"/>
            </w:pPr>
            <w:r w:rsidRPr="00B94D04">
              <w:t xml:space="preserve">Assess conformance of coupe operations with applicable salvage harvesting prescriptions as per </w:t>
            </w:r>
            <w:r w:rsidR="006C2554">
              <w:t>S</w:t>
            </w:r>
            <w:r w:rsidRPr="00B94D04">
              <w:t xml:space="preserve">ection 8 of the MSP. </w:t>
            </w:r>
          </w:p>
        </w:tc>
      </w:tr>
    </w:tbl>
    <w:p w14:paraId="392F366C" w14:textId="3C810485" w:rsidR="00F569E6" w:rsidRDefault="00F569E6" w:rsidP="00F569E6">
      <w:pPr>
        <w:pStyle w:val="Heading2"/>
      </w:pPr>
      <w:bookmarkStart w:id="92" w:name="_Toc131178676"/>
      <w:r>
        <w:t>Environmental impact assessment</w:t>
      </w:r>
      <w:bookmarkEnd w:id="92"/>
    </w:p>
    <w:p w14:paraId="63479756" w14:textId="41D1D2FC" w:rsidR="00F569E6" w:rsidRDefault="00F569E6" w:rsidP="00F569E6">
      <w:pPr>
        <w:pStyle w:val="BodyText"/>
      </w:pPr>
      <w:r>
        <w:t xml:space="preserve">The EIA tool provided by </w:t>
      </w:r>
      <w:r w:rsidR="004C19EA">
        <w:t xml:space="preserve">the </w:t>
      </w:r>
      <w:r w:rsidR="00FE483E">
        <w:t>CR</w:t>
      </w:r>
      <w:r w:rsidR="001C166C">
        <w:t xml:space="preserve"> </w:t>
      </w:r>
      <w:r>
        <w:t>(</w:t>
      </w:r>
      <w:r w:rsidR="001B4CF3">
        <w:fldChar w:fldCharType="begin"/>
      </w:r>
      <w:r w:rsidR="001B4CF3">
        <w:instrText xml:space="preserve"> REF _Ref120089846 \r \h </w:instrText>
      </w:r>
      <w:r w:rsidR="001B4CF3">
        <w:fldChar w:fldCharType="separate"/>
      </w:r>
      <w:r w:rsidR="00130DCF">
        <w:t>Appendix B</w:t>
      </w:r>
      <w:r w:rsidR="001B4CF3">
        <w:fldChar w:fldCharType="end"/>
      </w:r>
      <w:r>
        <w:t>) was used to assess the potential environmental impacts of non-conformance with audit criteria and the regulatory framework for timber harvesting. EIA tool assessments are based on:</w:t>
      </w:r>
    </w:p>
    <w:p w14:paraId="4C85B0BB" w14:textId="46005285" w:rsidR="00F569E6" w:rsidRDefault="00F569E6" w:rsidP="00F569E6">
      <w:pPr>
        <w:pStyle w:val="BulletLevel1"/>
      </w:pPr>
      <w:r w:rsidRPr="00442839">
        <w:rPr>
          <w:i/>
          <w:iCs/>
        </w:rPr>
        <w:t xml:space="preserve">Extent and location of impact: </w:t>
      </w:r>
      <w:r>
        <w:t>an auditor’s assessment based on one or more of several factors:</w:t>
      </w:r>
    </w:p>
    <w:p w14:paraId="3FD9E4C1" w14:textId="34B5175C" w:rsidR="00F569E6" w:rsidRDefault="00F569E6" w:rsidP="00442839">
      <w:pPr>
        <w:pStyle w:val="BulletLevel2"/>
      </w:pPr>
      <w:r>
        <w:t>Proportion of the harvestable coupe area affected by the non-conformance</w:t>
      </w:r>
    </w:p>
    <w:p w14:paraId="25298C64" w14:textId="22F83AD8" w:rsidR="00F569E6" w:rsidRDefault="00F569E6" w:rsidP="00442839">
      <w:pPr>
        <w:pStyle w:val="BulletLevel2"/>
      </w:pPr>
      <w:r>
        <w:t>Length of in-coupe road and/or snig/boundary track without conforming drainage</w:t>
      </w:r>
    </w:p>
    <w:p w14:paraId="45FBAEB8" w14:textId="2C5463FB" w:rsidR="00F569E6" w:rsidRDefault="00F569E6" w:rsidP="00442839">
      <w:pPr>
        <w:pStyle w:val="BulletLevel2"/>
      </w:pPr>
      <w:r>
        <w:t>Suitability of landing rehabilitation</w:t>
      </w:r>
    </w:p>
    <w:p w14:paraId="636AB33D" w14:textId="6E215EFE" w:rsidR="00F569E6" w:rsidRDefault="00F569E6" w:rsidP="00442839">
      <w:pPr>
        <w:pStyle w:val="BulletLevel2"/>
      </w:pPr>
      <w:r>
        <w:t>Extent of soil mass movement</w:t>
      </w:r>
    </w:p>
    <w:p w14:paraId="0F6B28AB" w14:textId="4C8B04BE" w:rsidR="00F569E6" w:rsidRDefault="00F569E6" w:rsidP="00442839">
      <w:pPr>
        <w:pStyle w:val="BulletLevel2"/>
      </w:pPr>
      <w:r>
        <w:t>Number of retained trees whose base is covered by in-coupe road, landing or snig track embankment materials</w:t>
      </w:r>
    </w:p>
    <w:p w14:paraId="1D03E51D" w14:textId="44E8BDEF" w:rsidR="00F569E6" w:rsidRDefault="00F569E6" w:rsidP="00442839">
      <w:pPr>
        <w:pStyle w:val="BulletLevel2"/>
      </w:pPr>
      <w:r>
        <w:t>The number and/or extent of incidences of inappropriate disturbances (i.e.</w:t>
      </w:r>
      <w:r w:rsidR="00525A59">
        <w:t>,</w:t>
      </w:r>
      <w:r>
        <w:t xml:space="preserve"> disturbances to planned timber harvesting exclusions areas which are not permitted by the Code or MSPs) to waterways, riparian buffers or filters or other areas within or adjacent to the gross coupe area.</w:t>
      </w:r>
    </w:p>
    <w:p w14:paraId="39795DD5" w14:textId="0C024DBC" w:rsidR="00F569E6" w:rsidRDefault="00F569E6" w:rsidP="00F569E6">
      <w:pPr>
        <w:pStyle w:val="BulletLevel1"/>
      </w:pPr>
      <w:r w:rsidRPr="00442839">
        <w:rPr>
          <w:i/>
          <w:iCs/>
        </w:rPr>
        <w:t>Duration of impact/recovery time:</w:t>
      </w:r>
      <w:r>
        <w:t xml:space="preserve"> an assessment by the auditor of the likely time required for the coupe to recover from any impact or disturbance associated with the non-conformance incident.</w:t>
      </w:r>
    </w:p>
    <w:p w14:paraId="0011751F" w14:textId="1F2685B2" w:rsidR="00F569E6" w:rsidRDefault="00F569E6" w:rsidP="00F569E6">
      <w:pPr>
        <w:pStyle w:val="BulletLevel1"/>
      </w:pPr>
      <w:r w:rsidRPr="00442839">
        <w:rPr>
          <w:i/>
          <w:iCs/>
        </w:rPr>
        <w:t>Values affected:</w:t>
      </w:r>
      <w:r>
        <w:t xml:space="preserve"> an assessment based on the value or environmental aspect experiencing or potentially experiencing an impact stemming from the non-conformance. General forest areas are valued less than riparian or rainforest buffers and SPZ, for example. </w:t>
      </w:r>
    </w:p>
    <w:p w14:paraId="7D4CFC8C" w14:textId="77777777" w:rsidR="00B85A29" w:rsidRDefault="00F569E6" w:rsidP="00F569E6">
      <w:pPr>
        <w:pStyle w:val="BodyText"/>
      </w:pPr>
      <w:r>
        <w:lastRenderedPageBreak/>
        <w:t xml:space="preserve">The overall five-point EIA rating is based on the total score for each component. Ratings </w:t>
      </w:r>
      <w:r w:rsidR="00002EF3">
        <w:t>potentially</w:t>
      </w:r>
      <w:r>
        <w:t xml:space="preserve"> range between negligible and severe. The assessed potential environmental impact is not necessarily reflective of the actual environmental impact of a non-conformance incident. Incidents that occur in sensitive locations (e.g., SPZ, buffers</w:t>
      </w:r>
      <w:r w:rsidR="002823A6">
        <w:t xml:space="preserve"> of permanent streams</w:t>
      </w:r>
      <w:r>
        <w:t xml:space="preserve">) may </w:t>
      </w:r>
      <w:r w:rsidR="00CE0EB0">
        <w:t xml:space="preserve">sometimes </w:t>
      </w:r>
      <w:r>
        <w:t xml:space="preserve">be assessed to have relatively high potential environmental impact even if the actual impact </w:t>
      </w:r>
      <w:r w:rsidR="002823A6">
        <w:t xml:space="preserve">observable at the time of audit </w:t>
      </w:r>
      <w:r>
        <w:t xml:space="preserve">is minimal. </w:t>
      </w:r>
    </w:p>
    <w:p w14:paraId="38C6D757" w14:textId="10848CA9" w:rsidR="00F569E6" w:rsidRDefault="0041765A" w:rsidP="00F569E6">
      <w:pPr>
        <w:pStyle w:val="BodyText"/>
      </w:pPr>
      <w:r>
        <w:t xml:space="preserve">Descriptors for extent and location of impact were revised </w:t>
      </w:r>
      <w:r w:rsidR="00B85A29">
        <w:t>for waterway crossings</w:t>
      </w:r>
      <w:r w:rsidR="001F46FA" w:rsidRPr="001F46FA">
        <w:t xml:space="preserve"> </w:t>
      </w:r>
      <w:r w:rsidR="001F46FA">
        <w:t xml:space="preserve">from those in the original EIA tool, with agreement from the THCU. This helped to </w:t>
      </w:r>
      <w:r w:rsidR="00590F31">
        <w:t xml:space="preserve">align the EIA rating more closely with the actual level of environmental impact </w:t>
      </w:r>
      <w:r w:rsidR="006801BB">
        <w:t>of the non-conformance incident.</w:t>
      </w:r>
    </w:p>
    <w:p w14:paraId="4E6EB178" w14:textId="7843075E" w:rsidR="00075302" w:rsidRPr="00075302" w:rsidRDefault="00F569E6" w:rsidP="00F569E6">
      <w:pPr>
        <w:pStyle w:val="BodyText"/>
      </w:pPr>
      <w:r>
        <w:t xml:space="preserve">Non-conformances for which there is no direct pathway to cause harm to the environment (and not just that they </w:t>
      </w:r>
      <w:r w:rsidR="00123FC9">
        <w:t xml:space="preserve">did </w:t>
      </w:r>
      <w:r>
        <w:t xml:space="preserve">not cause </w:t>
      </w:r>
      <w:r w:rsidR="00123FC9">
        <w:t xml:space="preserve">material </w:t>
      </w:r>
      <w:r>
        <w:t xml:space="preserve">environmental harm) were assessed as non-conforming with no environmental impact, as per </w:t>
      </w:r>
      <w:r w:rsidR="00FD5CC2">
        <w:fldChar w:fldCharType="begin"/>
      </w:r>
      <w:r w:rsidR="00FD5CC2">
        <w:instrText xml:space="preserve"> REF _Ref120088545 \h </w:instrText>
      </w:r>
      <w:r w:rsidR="00FD5CC2">
        <w:fldChar w:fldCharType="separate"/>
      </w:r>
      <w:r w:rsidR="00130DCF" w:rsidRPr="009038E7">
        <w:t>Table</w:t>
      </w:r>
      <w:r w:rsidR="00130DCF">
        <w:t> </w:t>
      </w:r>
      <w:r w:rsidR="00130DCF">
        <w:rPr>
          <w:noProof/>
        </w:rPr>
        <w:t>3-3</w:t>
      </w:r>
      <w:r w:rsidR="00FD5CC2">
        <w:fldChar w:fldCharType="end"/>
      </w:r>
      <w:r>
        <w:t>.</w:t>
      </w:r>
    </w:p>
    <w:p w14:paraId="58C72557" w14:textId="5FA2762A" w:rsidR="004C4D26" w:rsidRDefault="004C4D26" w:rsidP="004C4D26">
      <w:pPr>
        <w:pStyle w:val="Heading1"/>
      </w:pPr>
      <w:bookmarkStart w:id="93" w:name="_Ref121249881"/>
      <w:bookmarkStart w:id="94" w:name="_Toc131178677"/>
      <w:r>
        <w:lastRenderedPageBreak/>
        <w:t>Audit results</w:t>
      </w:r>
      <w:bookmarkEnd w:id="93"/>
      <w:bookmarkEnd w:id="94"/>
    </w:p>
    <w:p w14:paraId="6AF066CD" w14:textId="19741D4B" w:rsidR="004C4D26" w:rsidRDefault="004C4D26" w:rsidP="004C4D26">
      <w:pPr>
        <w:pStyle w:val="BodyText"/>
      </w:pPr>
      <w:r>
        <w:t xml:space="preserve">This section summarises the results of the assessments of conformance with compliance criteria based on mandatory elements of the regulatory framework for timber harvesting in State forests, as listed in </w:t>
      </w:r>
      <w:r w:rsidR="007C24DC">
        <w:fldChar w:fldCharType="begin"/>
      </w:r>
      <w:r w:rsidR="007C24DC">
        <w:instrText xml:space="preserve"> REF _Ref120090041 \r \h </w:instrText>
      </w:r>
      <w:r w:rsidR="007C24DC">
        <w:fldChar w:fldCharType="separate"/>
      </w:r>
      <w:r w:rsidR="00130DCF">
        <w:t>Appendix A</w:t>
      </w:r>
      <w:r w:rsidR="007C24DC">
        <w:fldChar w:fldCharType="end"/>
      </w:r>
      <w:r>
        <w:t xml:space="preserve">. Overall results are presented first, with those for each compliance theme and sub-theme following. As the coupe selection method was risk-based, rather than random, these results are not necessarily statistically representative of VicForests’ operations overall. </w:t>
      </w:r>
    </w:p>
    <w:p w14:paraId="23A4AB67" w14:textId="21FF39D1" w:rsidR="004C4D26" w:rsidRDefault="004C4D26" w:rsidP="004C4D26">
      <w:pPr>
        <w:pStyle w:val="BodyText"/>
      </w:pPr>
      <w:r>
        <w:t xml:space="preserve">Due to space constraints in the figures, coupes are represented by the number assigned in </w:t>
      </w:r>
      <w:r w:rsidR="00200DC0">
        <w:fldChar w:fldCharType="begin"/>
      </w:r>
      <w:r w:rsidR="00200DC0">
        <w:instrText xml:space="preserve"> REF _Ref119929353 \h </w:instrText>
      </w:r>
      <w:r w:rsidR="00200DC0">
        <w:fldChar w:fldCharType="separate"/>
      </w:r>
      <w:r w:rsidR="00130DCF" w:rsidRPr="009038E7">
        <w:t>Table</w:t>
      </w:r>
      <w:r w:rsidR="00130DCF">
        <w:t> </w:t>
      </w:r>
      <w:r w:rsidR="00130DCF">
        <w:rPr>
          <w:noProof/>
        </w:rPr>
        <w:t>3-2</w:t>
      </w:r>
      <w:r w:rsidR="00200DC0">
        <w:fldChar w:fldCharType="end"/>
      </w:r>
      <w:r>
        <w:t>. In the narrative accompanying these figures, coupes are referred to by that number (rather than the TRP coupe number) and the coupe name.</w:t>
      </w:r>
    </w:p>
    <w:p w14:paraId="7F505BAA" w14:textId="0FC45585" w:rsidR="004C4D26" w:rsidRDefault="004C4D26" w:rsidP="008B619B">
      <w:pPr>
        <w:pStyle w:val="Heading2"/>
      </w:pPr>
      <w:bookmarkStart w:id="95" w:name="_Toc131178678"/>
      <w:r>
        <w:t>Overall compliance findings</w:t>
      </w:r>
      <w:bookmarkEnd w:id="95"/>
    </w:p>
    <w:p w14:paraId="48D99360" w14:textId="00D1B398" w:rsidR="004C4D26" w:rsidRDefault="004C4D26" w:rsidP="004C4D26">
      <w:pPr>
        <w:pStyle w:val="BodyText"/>
      </w:pPr>
      <w:r>
        <w:t>A total of 1</w:t>
      </w:r>
      <w:r w:rsidR="0001687B">
        <w:t>71</w:t>
      </w:r>
      <w:r>
        <w:t xml:space="preserve"> criteria were identified from the various compliance elements applicable to </w:t>
      </w:r>
      <w:r w:rsidR="00F53D6E">
        <w:t>the target</w:t>
      </w:r>
      <w:r>
        <w:t xml:space="preserve"> coupes (</w:t>
      </w:r>
      <w:r w:rsidR="00C42410">
        <w:fldChar w:fldCharType="begin"/>
      </w:r>
      <w:r w:rsidR="00C42410">
        <w:instrText xml:space="preserve"> REF _Ref120090139 \r \h </w:instrText>
      </w:r>
      <w:r w:rsidR="00C42410">
        <w:fldChar w:fldCharType="separate"/>
      </w:r>
      <w:r w:rsidR="00130DCF">
        <w:t>Appendix A</w:t>
      </w:r>
      <w:r w:rsidR="00C42410">
        <w:fldChar w:fldCharType="end"/>
      </w:r>
      <w:r>
        <w:t>). Of these, 2</w:t>
      </w:r>
      <w:r w:rsidR="00D81C04">
        <w:t>0</w:t>
      </w:r>
      <w:r>
        <w:t xml:space="preserve"> criteria were found not </w:t>
      </w:r>
      <w:r w:rsidR="00D81C04">
        <w:t xml:space="preserve">to </w:t>
      </w:r>
      <w:r>
        <w:t xml:space="preserve">apply to any of the audit coupes. The overall level of full conformance with applicable audit criteria ranged between </w:t>
      </w:r>
      <w:r w:rsidR="00C85FD3">
        <w:t>87</w:t>
      </w:r>
      <w:r>
        <w:t>% (</w:t>
      </w:r>
      <w:r w:rsidR="008D4B2E">
        <w:t xml:space="preserve">07 Lemon Lime, 18 South Buck, </w:t>
      </w:r>
      <w:r w:rsidR="003B1696">
        <w:t>24 Bayled Up</w:t>
      </w:r>
      <w:r>
        <w:t>) and 100% (</w:t>
      </w:r>
      <w:r w:rsidR="00F970A6">
        <w:t xml:space="preserve">08 Philadelphia, </w:t>
      </w:r>
      <w:r w:rsidR="009D497B">
        <w:t xml:space="preserve">11 Annex, </w:t>
      </w:r>
      <w:r w:rsidR="006A6EF7">
        <w:t xml:space="preserve">15 Lower Gibb, </w:t>
      </w:r>
      <w:r w:rsidR="006137EB">
        <w:t xml:space="preserve">22 Yazoo, </w:t>
      </w:r>
      <w:r w:rsidR="00852FA7">
        <w:t xml:space="preserve">23 Bayliss Spur, </w:t>
      </w:r>
      <w:r w:rsidR="00E86D16">
        <w:t xml:space="preserve">25 Lior, </w:t>
      </w:r>
      <w:r w:rsidR="00BD3D8C">
        <w:t xml:space="preserve">26 Electromotive, 27 </w:t>
      </w:r>
      <w:r w:rsidR="00A63C74">
        <w:t>Grandfinal, 28 Scarface</w:t>
      </w:r>
      <w:r w:rsidR="009B0F35">
        <w:t xml:space="preserve">, 30 Plastic Moon, 31 </w:t>
      </w:r>
      <w:r w:rsidR="00154379">
        <w:t>Harkerscorner, 32 Paw Print</w:t>
      </w:r>
      <w:r>
        <w:t>), with the average being 9</w:t>
      </w:r>
      <w:r w:rsidR="00211DD1">
        <w:t>6</w:t>
      </w:r>
      <w:r>
        <w:t>% (</w:t>
      </w:r>
      <w:r w:rsidR="00984EA7">
        <w:fldChar w:fldCharType="begin"/>
      </w:r>
      <w:r w:rsidR="00984EA7">
        <w:instrText xml:space="preserve"> REF _Ref120090619 \h </w:instrText>
      </w:r>
      <w:r w:rsidR="00984EA7">
        <w:fldChar w:fldCharType="separate"/>
      </w:r>
      <w:r w:rsidR="00130DCF" w:rsidRPr="009038E7">
        <w:t>Figure</w:t>
      </w:r>
      <w:r w:rsidR="00130DCF">
        <w:t> </w:t>
      </w:r>
      <w:r w:rsidR="00130DCF">
        <w:rPr>
          <w:noProof/>
        </w:rPr>
        <w:t>4</w:t>
      </w:r>
      <w:r w:rsidR="00130DCF">
        <w:noBreakHyphen/>
      </w:r>
      <w:r w:rsidR="00130DCF">
        <w:rPr>
          <w:noProof/>
        </w:rPr>
        <w:t>1</w:t>
      </w:r>
      <w:r w:rsidR="00984EA7">
        <w:fldChar w:fldCharType="end"/>
      </w:r>
      <w:r>
        <w:t xml:space="preserve">). Non-conformances identified in </w:t>
      </w:r>
      <w:r w:rsidR="00B9678D">
        <w:t>20</w:t>
      </w:r>
      <w:r>
        <w:t xml:space="preserve"> of the 3</w:t>
      </w:r>
      <w:r w:rsidR="00B9678D">
        <w:t>2</w:t>
      </w:r>
      <w:r>
        <w:t xml:space="preserve"> coupes had potential for environmental impact.</w:t>
      </w:r>
    </w:p>
    <w:p w14:paraId="5DF7A536" w14:textId="16D390AA" w:rsidR="004C4D26" w:rsidRDefault="00CC6E2F" w:rsidP="004C4D26">
      <w:pPr>
        <w:pStyle w:val="BodyText"/>
      </w:pPr>
      <w:r>
        <w:rPr>
          <w:noProof/>
        </w:rPr>
        <w:drawing>
          <wp:inline distT="0" distB="0" distL="0" distR="0" wp14:anchorId="283E4755" wp14:editId="3075E139">
            <wp:extent cx="6115050" cy="185247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a:extLst>
                        <a:ext uri="{28A0092B-C50C-407E-A947-70E740481C1C}">
                          <a14:useLocalDpi xmlns:a14="http://schemas.microsoft.com/office/drawing/2010/main" val="0"/>
                        </a:ext>
                      </a:extLst>
                    </a:blip>
                    <a:srcRect l="1843" t="12148"/>
                    <a:stretch/>
                  </pic:blipFill>
                  <pic:spPr bwMode="auto">
                    <a:xfrm>
                      <a:off x="0" y="0"/>
                      <a:ext cx="6134455" cy="1858353"/>
                    </a:xfrm>
                    <a:prstGeom prst="rect">
                      <a:avLst/>
                    </a:prstGeom>
                    <a:noFill/>
                    <a:ln>
                      <a:noFill/>
                    </a:ln>
                    <a:extLst>
                      <a:ext uri="{53640926-AAD7-44D8-BBD7-CCE9431645EC}">
                        <a14:shadowObscured xmlns:a14="http://schemas.microsoft.com/office/drawing/2010/main"/>
                      </a:ext>
                    </a:extLst>
                  </pic:spPr>
                </pic:pic>
              </a:graphicData>
            </a:graphic>
          </wp:inline>
        </w:drawing>
      </w:r>
    </w:p>
    <w:p w14:paraId="0089F292" w14:textId="60AB98A1" w:rsidR="004C4D26" w:rsidRPr="0023030C" w:rsidRDefault="004C4D26" w:rsidP="0023030C">
      <w:pPr>
        <w:pStyle w:val="TableText"/>
      </w:pPr>
      <w:r w:rsidRPr="0023030C">
        <w:t xml:space="preserve">a) Level of conformance with audit criteria and number of non-conformance incidents with assessable environmental impact. Conformance as per </w:t>
      </w:r>
      <w:r w:rsidR="000D403A" w:rsidRPr="0023030C">
        <w:fldChar w:fldCharType="begin"/>
      </w:r>
      <w:r w:rsidR="000D403A" w:rsidRPr="0023030C">
        <w:instrText xml:space="preserve"> REF _Ref120088545 \h </w:instrText>
      </w:r>
      <w:r w:rsidR="007F6C0B" w:rsidRPr="0023030C">
        <w:instrText xml:space="preserve"> \* MERGEFORMAT </w:instrText>
      </w:r>
      <w:r w:rsidR="000D403A" w:rsidRPr="0023030C">
        <w:fldChar w:fldCharType="separate"/>
      </w:r>
      <w:r w:rsidR="00130DCF" w:rsidRPr="009038E7">
        <w:t>Table</w:t>
      </w:r>
      <w:r w:rsidR="00130DCF">
        <w:t> 3-3</w:t>
      </w:r>
      <w:r w:rsidR="000D403A" w:rsidRPr="0023030C">
        <w:fldChar w:fldCharType="end"/>
      </w:r>
      <w:r w:rsidRPr="0023030C">
        <w:t>, with not full compliance including all criteria with which the coupe did not fully comply, regardless of the potential for environmental impact.</w:t>
      </w:r>
    </w:p>
    <w:p w14:paraId="472B785F" w14:textId="4AEE2EBA" w:rsidR="004C4D26" w:rsidRDefault="001F47F8" w:rsidP="004C4D26">
      <w:pPr>
        <w:pStyle w:val="BodyText"/>
      </w:pPr>
      <w:r>
        <w:rPr>
          <w:noProof/>
        </w:rPr>
        <w:drawing>
          <wp:inline distT="0" distB="0" distL="0" distR="0" wp14:anchorId="5B1FFFED" wp14:editId="557FC889">
            <wp:extent cx="6224270" cy="1901825"/>
            <wp:effectExtent l="0" t="0" r="508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24270" cy="1901825"/>
                    </a:xfrm>
                    <a:prstGeom prst="rect">
                      <a:avLst/>
                    </a:prstGeom>
                    <a:noFill/>
                  </pic:spPr>
                </pic:pic>
              </a:graphicData>
            </a:graphic>
          </wp:inline>
        </w:drawing>
      </w:r>
    </w:p>
    <w:p w14:paraId="69B5AA3B" w14:textId="77777777" w:rsidR="004C4D26" w:rsidRPr="0023030C" w:rsidRDefault="004C4D26" w:rsidP="0023030C">
      <w:pPr>
        <w:pStyle w:val="TableText"/>
      </w:pPr>
      <w:r w:rsidRPr="0023030C">
        <w:t>b) Number of compliance criteria with assessable environmental impact and the assessed level of impact for each instance of non-conformance.</w:t>
      </w:r>
    </w:p>
    <w:p w14:paraId="2B95252C" w14:textId="49EFB1AC" w:rsidR="00211DD1" w:rsidRDefault="00211DD1" w:rsidP="003D4A8B">
      <w:pPr>
        <w:pStyle w:val="FigureCaption"/>
      </w:pPr>
      <w:bookmarkStart w:id="96" w:name="_Ref120090619"/>
      <w:bookmarkStart w:id="97" w:name="_Toc131178753"/>
      <w:r w:rsidRPr="009038E7">
        <w:t>Figure</w:t>
      </w:r>
      <w:r>
        <w:t> </w:t>
      </w:r>
      <w:fldSimple w:instr=" STYLEREF 1 \s ">
        <w:r w:rsidR="00130DCF">
          <w:rPr>
            <w:noProof/>
          </w:rPr>
          <w:t>4</w:t>
        </w:r>
      </w:fldSimple>
      <w:r w:rsidR="0039100E">
        <w:noBreakHyphen/>
      </w:r>
      <w:fldSimple w:instr=" SEQ Figure \* ARABIC \s 1 ">
        <w:r w:rsidR="00130DCF">
          <w:rPr>
            <w:noProof/>
          </w:rPr>
          <w:t>1</w:t>
        </w:r>
      </w:fldSimple>
      <w:bookmarkEnd w:id="96"/>
      <w:r>
        <w:rPr>
          <w:noProof/>
        </w:rPr>
        <w:t>.</w:t>
      </w:r>
      <w:r w:rsidRPr="009038E7">
        <w:t xml:space="preserve"> </w:t>
      </w:r>
      <w:r>
        <w:t xml:space="preserve">Overall compliance findings and assessed environmental impact for instances of non-conformance for harvest coupes.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rsidR="00F315F7">
        <w:t>.</w:t>
      </w:r>
      <w:bookmarkEnd w:id="97"/>
    </w:p>
    <w:p w14:paraId="1EEFEFC4" w14:textId="44CCD93C" w:rsidR="004C4D26" w:rsidRDefault="0005097C" w:rsidP="004C4D26">
      <w:pPr>
        <w:pStyle w:val="BodyText"/>
      </w:pPr>
      <w:r>
        <w:fldChar w:fldCharType="begin"/>
      </w:r>
      <w:r>
        <w:instrText xml:space="preserve"> REF _Ref120090619 \h </w:instrText>
      </w:r>
      <w:r>
        <w:fldChar w:fldCharType="separate"/>
      </w:r>
      <w:r w:rsidR="00130DCF" w:rsidRPr="009038E7">
        <w:t>Figure</w:t>
      </w:r>
      <w:r w:rsidR="00130DCF">
        <w:t> </w:t>
      </w:r>
      <w:r w:rsidR="00130DCF">
        <w:rPr>
          <w:noProof/>
        </w:rPr>
        <w:t>4</w:t>
      </w:r>
      <w:r w:rsidR="00130DCF">
        <w:noBreakHyphen/>
      </w:r>
      <w:r w:rsidR="00130DCF">
        <w:rPr>
          <w:noProof/>
        </w:rPr>
        <w:t>1</w:t>
      </w:r>
      <w:r>
        <w:fldChar w:fldCharType="end"/>
      </w:r>
      <w:r w:rsidR="00B661AC">
        <w:t>a</w:t>
      </w:r>
      <w:r w:rsidR="00687982">
        <w:t xml:space="preserve"> </w:t>
      </w:r>
      <w:r w:rsidR="004C4D26">
        <w:t xml:space="preserve">shows the number of incidents resulting in non-conformance with </w:t>
      </w:r>
      <w:r w:rsidR="00787CE1">
        <w:t xml:space="preserve">actual or potential environmental impact. </w:t>
      </w:r>
      <w:r w:rsidR="004C4D26">
        <w:t>These ranged between zero (1</w:t>
      </w:r>
      <w:r w:rsidR="00787CE1">
        <w:t>2</w:t>
      </w:r>
      <w:r w:rsidR="004C4D26">
        <w:t xml:space="preserve"> coupes) and </w:t>
      </w:r>
      <w:r w:rsidR="004C35FD">
        <w:t xml:space="preserve">six </w:t>
      </w:r>
      <w:r w:rsidR="004C4D26">
        <w:t>(</w:t>
      </w:r>
      <w:r w:rsidR="00EE014A">
        <w:t>07 Lemon Lime</w:t>
      </w:r>
      <w:r w:rsidR="004C4D26">
        <w:t xml:space="preserve">), with an average of </w:t>
      </w:r>
      <w:r w:rsidR="004C4D26">
        <w:lastRenderedPageBreak/>
        <w:t>1.</w:t>
      </w:r>
      <w:r w:rsidR="0005480C">
        <w:t>4</w:t>
      </w:r>
      <w:r w:rsidR="004C4D26">
        <w:t xml:space="preserve"> incidents per coupe. </w:t>
      </w:r>
      <w:r w:rsidR="001445E4">
        <w:t>Descriptions</w:t>
      </w:r>
      <w:r w:rsidR="004C4D26">
        <w:t xml:space="preserve"> of the incidents associated with non-conformance with audit criteria and the regulatory framework for timber harvesting </w:t>
      </w:r>
      <w:r w:rsidR="00AF4046">
        <w:t>are</w:t>
      </w:r>
      <w:r w:rsidR="004C4D26">
        <w:t xml:space="preserve"> given in </w:t>
      </w:r>
      <w:r w:rsidR="001445E4">
        <w:fldChar w:fldCharType="begin"/>
      </w:r>
      <w:r w:rsidR="001445E4">
        <w:instrText xml:space="preserve"> REF _Ref21343207 \r \h </w:instrText>
      </w:r>
      <w:r w:rsidR="001445E4">
        <w:fldChar w:fldCharType="separate"/>
      </w:r>
      <w:r w:rsidR="00130DCF">
        <w:t>Appendix C</w:t>
      </w:r>
      <w:r w:rsidR="001445E4">
        <w:fldChar w:fldCharType="end"/>
      </w:r>
      <w:r w:rsidR="004C4D26">
        <w:t>.</w:t>
      </w:r>
    </w:p>
    <w:p w14:paraId="676633C0" w14:textId="61E3F9F2" w:rsidR="007A01C0" w:rsidRDefault="004C4D26" w:rsidP="004C4D26">
      <w:pPr>
        <w:pStyle w:val="BodyText"/>
      </w:pPr>
      <w:r>
        <w:t>The EIA tool (</w:t>
      </w:r>
      <w:r w:rsidR="00AF4046">
        <w:fldChar w:fldCharType="begin"/>
      </w:r>
      <w:r w:rsidR="00AF4046">
        <w:instrText xml:space="preserve"> REF _Ref120089846 \r \h </w:instrText>
      </w:r>
      <w:r w:rsidR="00AF4046">
        <w:fldChar w:fldCharType="separate"/>
      </w:r>
      <w:r w:rsidR="00130DCF">
        <w:t>Appendix B</w:t>
      </w:r>
      <w:r w:rsidR="00AF4046">
        <w:fldChar w:fldCharType="end"/>
      </w:r>
      <w:r>
        <w:t>) was used to assess the potential environmental impact associated with each non-conformance incident. This ranged between negligible and major (</w:t>
      </w:r>
      <w:r w:rsidR="00117D03">
        <w:fldChar w:fldCharType="begin"/>
      </w:r>
      <w:r w:rsidR="00117D03">
        <w:instrText xml:space="preserve"> REF _Ref120090619 \h </w:instrText>
      </w:r>
      <w:r w:rsidR="00117D03">
        <w:fldChar w:fldCharType="separate"/>
      </w:r>
      <w:r w:rsidR="00130DCF" w:rsidRPr="009038E7">
        <w:t>Figure</w:t>
      </w:r>
      <w:r w:rsidR="00130DCF">
        <w:t> </w:t>
      </w:r>
      <w:r w:rsidR="00130DCF">
        <w:rPr>
          <w:noProof/>
        </w:rPr>
        <w:t>4</w:t>
      </w:r>
      <w:r w:rsidR="00130DCF">
        <w:noBreakHyphen/>
      </w:r>
      <w:r w:rsidR="00130DCF">
        <w:rPr>
          <w:noProof/>
        </w:rPr>
        <w:t>1</w:t>
      </w:r>
      <w:r w:rsidR="00117D03">
        <w:fldChar w:fldCharType="end"/>
      </w:r>
      <w:r w:rsidR="00117D03">
        <w:t>b</w:t>
      </w:r>
      <w:r>
        <w:t xml:space="preserve">). Non-conformances which were assessed to have major </w:t>
      </w:r>
      <w:r w:rsidR="00E169E9">
        <w:t xml:space="preserve">potential </w:t>
      </w:r>
      <w:r>
        <w:t xml:space="preserve">environmental impact were detected in </w:t>
      </w:r>
      <w:r w:rsidR="009A690E">
        <w:t>three</w:t>
      </w:r>
      <w:r w:rsidR="00045532">
        <w:t xml:space="preserve"> </w:t>
      </w:r>
      <w:r>
        <w:t xml:space="preserve">of the </w:t>
      </w:r>
      <w:r w:rsidR="00E169E9">
        <w:t>32</w:t>
      </w:r>
      <w:r w:rsidR="00DE63C9">
        <w:t xml:space="preserve"> </w:t>
      </w:r>
      <w:r>
        <w:t xml:space="preserve">coupes included in the audit </w:t>
      </w:r>
      <w:r w:rsidR="00DE63C9">
        <w:t>(</w:t>
      </w:r>
      <w:r w:rsidR="00BD0645">
        <w:t xml:space="preserve">06 Real Madrid, </w:t>
      </w:r>
      <w:r w:rsidR="002D5BF1">
        <w:t>10 Amity Island</w:t>
      </w:r>
      <w:r w:rsidR="0081174E">
        <w:t xml:space="preserve">, </w:t>
      </w:r>
      <w:r w:rsidR="00C14BE0">
        <w:t>24 Bayled Up</w:t>
      </w:r>
      <w:r>
        <w:t xml:space="preserve">). Incidents with moderate potential environmental impact were detected in </w:t>
      </w:r>
      <w:r w:rsidR="004E7B23">
        <w:t xml:space="preserve">nine </w:t>
      </w:r>
      <w:r>
        <w:t>coupes (</w:t>
      </w:r>
      <w:r w:rsidR="00BF5140">
        <w:fldChar w:fldCharType="begin"/>
      </w:r>
      <w:r w:rsidR="00BF5140">
        <w:instrText xml:space="preserve"> REF _Ref120090619 \h </w:instrText>
      </w:r>
      <w:r w:rsidR="00BF5140">
        <w:fldChar w:fldCharType="separate"/>
      </w:r>
      <w:r w:rsidR="00130DCF" w:rsidRPr="009038E7">
        <w:t>Figure</w:t>
      </w:r>
      <w:r w:rsidR="00130DCF">
        <w:t> </w:t>
      </w:r>
      <w:r w:rsidR="00130DCF">
        <w:rPr>
          <w:noProof/>
        </w:rPr>
        <w:t>4</w:t>
      </w:r>
      <w:r w:rsidR="00130DCF">
        <w:noBreakHyphen/>
      </w:r>
      <w:r w:rsidR="00130DCF">
        <w:rPr>
          <w:noProof/>
        </w:rPr>
        <w:t>1</w:t>
      </w:r>
      <w:r w:rsidR="00BF5140">
        <w:fldChar w:fldCharType="end"/>
      </w:r>
      <w:r w:rsidR="00BF5140">
        <w:t>b</w:t>
      </w:r>
      <w:r>
        <w:t>). These incidents are discussed in greater detail in the following sections.</w:t>
      </w:r>
    </w:p>
    <w:p w14:paraId="65A5222A" w14:textId="3C44B583" w:rsidR="009340C0" w:rsidRDefault="009340C0" w:rsidP="009340C0">
      <w:pPr>
        <w:pStyle w:val="Heading2"/>
      </w:pPr>
      <w:bookmarkStart w:id="98" w:name="_Toc131178679"/>
      <w:r>
        <w:t>Environmental compliance theme</w:t>
      </w:r>
      <w:bookmarkEnd w:id="98"/>
    </w:p>
    <w:p w14:paraId="0B1C9C2C" w14:textId="77777777" w:rsidR="009340C0" w:rsidRDefault="009340C0" w:rsidP="009340C0">
      <w:pPr>
        <w:pStyle w:val="BodyText"/>
      </w:pPr>
      <w:r>
        <w:t xml:space="preserve">The environmental compliance theme included two main groups of compliance element and audit criteria, those relating to soils, and water and river health. </w:t>
      </w:r>
    </w:p>
    <w:p w14:paraId="63A00193" w14:textId="6F534C23" w:rsidR="009340C0" w:rsidRDefault="009340C0" w:rsidP="00F81381">
      <w:pPr>
        <w:pStyle w:val="Heading3"/>
      </w:pPr>
      <w:bookmarkStart w:id="99" w:name="_Ref120169264"/>
      <w:bookmarkStart w:id="100" w:name="_Toc131178680"/>
      <w:r>
        <w:t>Compliance elements related to the protection of forest soils</w:t>
      </w:r>
      <w:bookmarkEnd w:id="99"/>
      <w:bookmarkEnd w:id="100"/>
    </w:p>
    <w:p w14:paraId="0C694A15" w14:textId="1F5E8D67" w:rsidR="009340C0" w:rsidRDefault="009340C0" w:rsidP="009340C0">
      <w:pPr>
        <w:pStyle w:val="BodyText"/>
      </w:pPr>
      <w:r>
        <w:t>Compliance elements related to the protection of forest soils (</w:t>
      </w:r>
      <w:r w:rsidR="00534AEB">
        <w:fldChar w:fldCharType="begin"/>
      </w:r>
      <w:r w:rsidR="00534AEB">
        <w:instrText xml:space="preserve"> REF _Ref120092401 \r \h </w:instrText>
      </w:r>
      <w:r w:rsidR="00534AEB">
        <w:fldChar w:fldCharType="separate"/>
      </w:r>
      <w:r w:rsidR="00130DCF">
        <w:t>Appendix A</w:t>
      </w:r>
      <w:r w:rsidR="00534AEB">
        <w:fldChar w:fldCharType="end"/>
      </w:r>
      <w:r>
        <w:t xml:space="preserve">) </w:t>
      </w:r>
      <w:r w:rsidR="004E7B02">
        <w:t>focus on</w:t>
      </w:r>
      <w:r>
        <w:t xml:space="preserve"> the avoidance of erosion or mass soil movement, as well as </w:t>
      </w:r>
      <w:r w:rsidR="00771270">
        <w:t xml:space="preserve">on </w:t>
      </w:r>
      <w:r>
        <w:t xml:space="preserve">mitigating the risk of entry of sediments into waterways, should they be mobilised. The entry of mobilised sediments into waterways is primarily dealt with under the water and river health sub-theme (Section </w:t>
      </w:r>
      <w:r w:rsidR="00B16712">
        <w:fldChar w:fldCharType="begin"/>
      </w:r>
      <w:r w:rsidR="00B16712">
        <w:instrText xml:space="preserve"> REF _Ref120092460 \r \h </w:instrText>
      </w:r>
      <w:r w:rsidR="00B16712">
        <w:fldChar w:fldCharType="separate"/>
      </w:r>
      <w:r w:rsidR="00130DCF">
        <w:t>4.2.2</w:t>
      </w:r>
      <w:r w:rsidR="00B16712">
        <w:fldChar w:fldCharType="end"/>
      </w:r>
      <w:r>
        <w:t xml:space="preserve">). The </w:t>
      </w:r>
      <w:r w:rsidR="000D464C">
        <w:t xml:space="preserve">Code and MSPs seek to </w:t>
      </w:r>
      <w:r>
        <w:t>avoid erosion</w:t>
      </w:r>
      <w:r w:rsidR="005E6168">
        <w:t>,</w:t>
      </w:r>
      <w:r>
        <w:t xml:space="preserve"> </w:t>
      </w:r>
      <w:r w:rsidR="000D464C">
        <w:t xml:space="preserve">soil </w:t>
      </w:r>
      <w:r>
        <w:t xml:space="preserve">mass movement </w:t>
      </w:r>
      <w:r w:rsidR="005E6168">
        <w:t xml:space="preserve">and unrectified compaction </w:t>
      </w:r>
      <w:r>
        <w:t xml:space="preserve">of soils </w:t>
      </w:r>
      <w:r w:rsidR="005E6168">
        <w:t xml:space="preserve">by </w:t>
      </w:r>
      <w:r>
        <w:t>achieved:</w:t>
      </w:r>
    </w:p>
    <w:p w14:paraId="3E4BCDC3" w14:textId="0E5D4E52" w:rsidR="009340C0" w:rsidRDefault="009340C0" w:rsidP="00B16712">
      <w:pPr>
        <w:pStyle w:val="BulletLevel1"/>
      </w:pPr>
      <w:r>
        <w:t>Assessing and understanding soil erosion hazard within the coupe and adjusting planning and operations accordingly</w:t>
      </w:r>
    </w:p>
    <w:p w14:paraId="7D218C46" w14:textId="0357D77A" w:rsidR="009340C0" w:rsidRDefault="009340C0" w:rsidP="00B16712">
      <w:pPr>
        <w:pStyle w:val="BulletLevel1"/>
      </w:pPr>
      <w:r>
        <w:t xml:space="preserve">Not harvesting in excessively steep areas </w:t>
      </w:r>
    </w:p>
    <w:p w14:paraId="0B0F62DA" w14:textId="7B424686" w:rsidR="009340C0" w:rsidRDefault="009340C0" w:rsidP="00B16712">
      <w:pPr>
        <w:pStyle w:val="BulletLevel1"/>
      </w:pPr>
      <w:r>
        <w:t xml:space="preserve">Application of seasonal closures to coupes in water supply catchments to reduce the risk of </w:t>
      </w:r>
      <w:r w:rsidR="00F4605B">
        <w:t xml:space="preserve">harvesting or snigging machinery </w:t>
      </w:r>
      <w:r>
        <w:t>disturb</w:t>
      </w:r>
      <w:r w:rsidR="0090593F">
        <w:t>ing</w:t>
      </w:r>
      <w:r>
        <w:t xml:space="preserve"> wet soils</w:t>
      </w:r>
      <w:r w:rsidR="0090593F">
        <w:t>, leading to sediment mobilisation or soil compaction</w:t>
      </w:r>
    </w:p>
    <w:p w14:paraId="684FFDC4" w14:textId="1C4E78BE" w:rsidR="009340C0" w:rsidRDefault="009340C0" w:rsidP="00B16712">
      <w:pPr>
        <w:pStyle w:val="BulletLevel1"/>
      </w:pPr>
      <w:r>
        <w:t>Appropriate location, construction, maintenance, closure</w:t>
      </w:r>
      <w:r w:rsidR="0090593F">
        <w:t>, rehabilitation</w:t>
      </w:r>
      <w:r>
        <w:t xml:space="preserve"> and/or removal of </w:t>
      </w:r>
      <w:r w:rsidR="00B23F4F">
        <w:t xml:space="preserve">landings, </w:t>
      </w:r>
      <w:r>
        <w:t>in-coupe roads, road drainage and road or snig track waterway crossings.</w:t>
      </w:r>
    </w:p>
    <w:p w14:paraId="5FC7275C" w14:textId="047174A1" w:rsidR="009340C0" w:rsidRDefault="009340C0" w:rsidP="009340C0">
      <w:pPr>
        <w:pStyle w:val="BodyText"/>
      </w:pPr>
      <w:r>
        <w:t>A total of 3</w:t>
      </w:r>
      <w:r w:rsidR="00620827">
        <w:t>8</w:t>
      </w:r>
      <w:r>
        <w:t xml:space="preserve"> audit criteria were relevant to the protection of forest soils, </w:t>
      </w:r>
      <w:r w:rsidR="005B5FA3">
        <w:t>all</w:t>
      </w:r>
      <w:r>
        <w:t xml:space="preserve"> of which were applicable to </w:t>
      </w:r>
      <w:r w:rsidR="00980DA0">
        <w:t>at least one</w:t>
      </w:r>
      <w:r>
        <w:t xml:space="preserve"> of the target coupes. The average level of full conformance with applicable criteria was found to be 9</w:t>
      </w:r>
      <w:r w:rsidR="00E44E7F">
        <w:t>5</w:t>
      </w:r>
      <w:r>
        <w:t xml:space="preserve">%, with the level of conformance ranging between </w:t>
      </w:r>
      <w:r w:rsidR="00E44E7F">
        <w:t>7</w:t>
      </w:r>
      <w:r w:rsidR="00607605">
        <w:t>8</w:t>
      </w:r>
      <w:r>
        <w:t>% (</w:t>
      </w:r>
      <w:r w:rsidR="004013A4">
        <w:t>07 Lemon Lime</w:t>
      </w:r>
      <w:r>
        <w:t>) and 100% (</w:t>
      </w:r>
      <w:r w:rsidR="000239F9">
        <w:t xml:space="preserve">16 </w:t>
      </w:r>
      <w:r>
        <w:t xml:space="preserve">coupes; </w:t>
      </w:r>
      <w:r w:rsidR="002674A0">
        <w:fldChar w:fldCharType="begin"/>
      </w:r>
      <w:r w:rsidR="002674A0">
        <w:instrText xml:space="preserve"> REF _Ref120094301 \h </w:instrText>
      </w:r>
      <w:r w:rsidR="002674A0">
        <w:fldChar w:fldCharType="separate"/>
      </w:r>
      <w:r w:rsidR="00130DCF" w:rsidRPr="009038E7">
        <w:t>Figure</w:t>
      </w:r>
      <w:r w:rsidR="00130DCF">
        <w:t> </w:t>
      </w:r>
      <w:r w:rsidR="00130DCF">
        <w:rPr>
          <w:noProof/>
        </w:rPr>
        <w:t>4</w:t>
      </w:r>
      <w:r w:rsidR="00130DCF">
        <w:noBreakHyphen/>
      </w:r>
      <w:r w:rsidR="00130DCF">
        <w:rPr>
          <w:noProof/>
        </w:rPr>
        <w:t>2</w:t>
      </w:r>
      <w:r w:rsidR="002674A0">
        <w:fldChar w:fldCharType="end"/>
      </w:r>
      <w:r>
        <w:t xml:space="preserve">). The assessed environmental impact associated with non-conformances ranged between negligible and </w:t>
      </w:r>
      <w:r w:rsidR="003777D3">
        <w:t>major</w:t>
      </w:r>
      <w:r>
        <w:t xml:space="preserve">. </w:t>
      </w:r>
    </w:p>
    <w:p w14:paraId="763DE87C" w14:textId="10F29AC5" w:rsidR="009340C0" w:rsidRDefault="009340C0" w:rsidP="009340C0">
      <w:pPr>
        <w:pStyle w:val="BodyText"/>
      </w:pPr>
      <w:r>
        <w:t xml:space="preserve">Non-conformance incidents resulting in actual or potential environmental impacts on forest soils were identified </w:t>
      </w:r>
      <w:r w:rsidR="004B6B0B">
        <w:t>at</w:t>
      </w:r>
      <w:r>
        <w:t xml:space="preserve"> 1</w:t>
      </w:r>
      <w:r w:rsidR="003777D3">
        <w:t>6</w:t>
      </w:r>
      <w:r>
        <w:t xml:space="preserve"> coupes. The incidents with </w:t>
      </w:r>
      <w:r w:rsidR="00C443A2">
        <w:t>major</w:t>
      </w:r>
      <w:r>
        <w:t xml:space="preserve"> potential environmental impact </w:t>
      </w:r>
      <w:r w:rsidR="00144478">
        <w:t xml:space="preserve">all related to waterway crossings and the </w:t>
      </w:r>
      <w:r w:rsidR="002B4A6B">
        <w:t xml:space="preserve">(actual or potential) </w:t>
      </w:r>
      <w:r w:rsidR="00E07756">
        <w:t>mobilisation of sediment into</w:t>
      </w:r>
      <w:r w:rsidR="002B4A6B">
        <w:t xml:space="preserve"> permanent streams</w:t>
      </w:r>
      <w:r w:rsidR="00C53BBE">
        <w:t>, as follows</w:t>
      </w:r>
      <w:r>
        <w:t>:</w:t>
      </w:r>
    </w:p>
    <w:p w14:paraId="400CC4BF" w14:textId="39274BE0" w:rsidR="009340C0" w:rsidRDefault="005B16EC" w:rsidP="00F12EB8">
      <w:pPr>
        <w:pStyle w:val="BulletLevel1"/>
      </w:pPr>
      <w:r>
        <w:t xml:space="preserve">In-coupe road </w:t>
      </w:r>
      <w:r w:rsidR="008D092B">
        <w:t>s</w:t>
      </w:r>
      <w:r w:rsidR="00286A4A">
        <w:t xml:space="preserve">ediment </w:t>
      </w:r>
      <w:r>
        <w:t>al</w:t>
      </w:r>
      <w:r w:rsidR="00161812">
        <w:t xml:space="preserve">lowed to enter a permanent stream </w:t>
      </w:r>
      <w:r w:rsidR="002A5BDA">
        <w:t xml:space="preserve">by </w:t>
      </w:r>
      <w:r w:rsidR="00450295">
        <w:t>defects in drainage on a waterway crossing (</w:t>
      </w:r>
      <w:r w:rsidR="00144478">
        <w:t>24 Bayled Up</w:t>
      </w:r>
      <w:r w:rsidR="00CE4690">
        <w:t>)</w:t>
      </w:r>
    </w:p>
    <w:p w14:paraId="0B8A2501" w14:textId="6C1205E6" w:rsidR="00FB5E0F" w:rsidRDefault="008A0D0D" w:rsidP="00F12EB8">
      <w:pPr>
        <w:pStyle w:val="BulletLevel1"/>
      </w:pPr>
      <w:r>
        <w:t>Culvert on a snig track waterway crossing discharges</w:t>
      </w:r>
      <w:r w:rsidR="004E5EC5">
        <w:t xml:space="preserve"> </w:t>
      </w:r>
      <w:r w:rsidR="00F61AEC">
        <w:t xml:space="preserve">directly </w:t>
      </w:r>
      <w:r w:rsidR="004E5EC5">
        <w:t xml:space="preserve">onto the </w:t>
      </w:r>
      <w:r w:rsidR="00CF646F">
        <w:t>fill batter</w:t>
      </w:r>
      <w:r w:rsidR="00CA53D3">
        <w:t xml:space="preserve"> and has mobilised fine sediments into a permanent stream (06 Real Madrid)</w:t>
      </w:r>
    </w:p>
    <w:p w14:paraId="58953CA2" w14:textId="02E70CB8" w:rsidR="00C045AC" w:rsidRDefault="00E20E06" w:rsidP="00C045AC">
      <w:pPr>
        <w:pStyle w:val="BodyText"/>
      </w:pPr>
      <w:bookmarkStart w:id="101" w:name="_Hlk120173374"/>
      <w:r>
        <w:t>Non-conformance</w:t>
      </w:r>
      <w:r w:rsidR="00E523FD">
        <w:t xml:space="preserve"> incidents on a further </w:t>
      </w:r>
      <w:r w:rsidR="00D611EB">
        <w:t>six</w:t>
      </w:r>
      <w:r w:rsidR="00D923AE">
        <w:t xml:space="preserve"> </w:t>
      </w:r>
      <w:r w:rsidR="00E523FD">
        <w:t>coupes (</w:t>
      </w:r>
      <w:r w:rsidR="0089298E">
        <w:t>02 Dragonfly</w:t>
      </w:r>
      <w:r w:rsidR="0052158F">
        <w:t xml:space="preserve">, </w:t>
      </w:r>
      <w:r w:rsidR="00D923AE">
        <w:t xml:space="preserve">07 Lemon Lime, </w:t>
      </w:r>
      <w:r w:rsidR="00B46DCF">
        <w:t xml:space="preserve">13 Jandles, </w:t>
      </w:r>
      <w:r w:rsidR="0052158F">
        <w:t>16 Sheik, 18 South Buck, 19 Rossignol</w:t>
      </w:r>
      <w:r w:rsidR="00BE6FAF">
        <w:t>;</w:t>
      </w:r>
      <w:r w:rsidR="00312B4F">
        <w:t xml:space="preserve"> </w:t>
      </w:r>
      <w:r w:rsidR="00312B4F">
        <w:fldChar w:fldCharType="begin"/>
      </w:r>
      <w:r w:rsidR="00312B4F">
        <w:instrText xml:space="preserve"> REF _Ref120094301 \h </w:instrText>
      </w:r>
      <w:r w:rsidR="00312B4F">
        <w:fldChar w:fldCharType="separate"/>
      </w:r>
      <w:r w:rsidR="00130DCF" w:rsidRPr="009038E7">
        <w:t>Figure</w:t>
      </w:r>
      <w:r w:rsidR="00130DCF">
        <w:t> </w:t>
      </w:r>
      <w:r w:rsidR="00130DCF">
        <w:rPr>
          <w:noProof/>
        </w:rPr>
        <w:t>4</w:t>
      </w:r>
      <w:r w:rsidR="00130DCF">
        <w:noBreakHyphen/>
      </w:r>
      <w:r w:rsidR="00130DCF">
        <w:rPr>
          <w:noProof/>
        </w:rPr>
        <w:t>2</w:t>
      </w:r>
      <w:r w:rsidR="00312B4F">
        <w:fldChar w:fldCharType="end"/>
      </w:r>
      <w:r w:rsidR="00312B4F">
        <w:t xml:space="preserve">) </w:t>
      </w:r>
      <w:r w:rsidR="00B57B91">
        <w:t xml:space="preserve">were assessed to have moderate potential environmental impact. All related </w:t>
      </w:r>
      <w:r w:rsidR="00780725">
        <w:t xml:space="preserve">to defects in </w:t>
      </w:r>
      <w:r w:rsidR="000C2C36">
        <w:t xml:space="preserve">in-coupe road </w:t>
      </w:r>
      <w:r w:rsidR="00780725">
        <w:t xml:space="preserve">waterway crossing construction </w:t>
      </w:r>
      <w:r w:rsidR="000C2C36">
        <w:t>(</w:t>
      </w:r>
      <w:r w:rsidR="009062C1">
        <w:t>02 Dragonfly</w:t>
      </w:r>
      <w:r w:rsidR="000C2C36">
        <w:t xml:space="preserve">, </w:t>
      </w:r>
      <w:r w:rsidR="005716A3">
        <w:t xml:space="preserve">07 Lemon Lime, </w:t>
      </w:r>
      <w:r w:rsidR="000C2C36">
        <w:t>18 South Buck, 19 Rossignol</w:t>
      </w:r>
      <w:r w:rsidR="00DF298C">
        <w:t>)</w:t>
      </w:r>
      <w:r w:rsidR="000C2C36">
        <w:t xml:space="preserve"> </w:t>
      </w:r>
      <w:r w:rsidR="00780725">
        <w:t>or</w:t>
      </w:r>
      <w:r w:rsidR="00DF298C">
        <w:t xml:space="preserve"> snig track crossing</w:t>
      </w:r>
      <w:r w:rsidR="00780725">
        <w:t xml:space="preserve"> </w:t>
      </w:r>
      <w:r w:rsidR="00EF712E">
        <w:t xml:space="preserve">defects </w:t>
      </w:r>
      <w:r w:rsidR="00DF298C">
        <w:t>(</w:t>
      </w:r>
      <w:r w:rsidR="00EF712E">
        <w:t>13 Jandles</w:t>
      </w:r>
      <w:r w:rsidR="00261899">
        <w:t xml:space="preserve">, </w:t>
      </w:r>
      <w:r w:rsidR="00DF298C">
        <w:t xml:space="preserve">16 Sheik) </w:t>
      </w:r>
      <w:r w:rsidR="00F31E55">
        <w:t xml:space="preserve">with potential to mobilise sediments into temporary </w:t>
      </w:r>
      <w:r w:rsidR="00DF298C">
        <w:t>streams.</w:t>
      </w:r>
      <w:r w:rsidR="00D77D0E">
        <w:t xml:space="preserve"> </w:t>
      </w:r>
      <w:r w:rsidR="005716A3">
        <w:t xml:space="preserve">Poor management of road drainage at 07 Lemon Lime led to discharge of water over the </w:t>
      </w:r>
      <w:r w:rsidR="0016276A">
        <w:t>waterway crossing fill batter and f</w:t>
      </w:r>
      <w:r w:rsidR="00C045AC">
        <w:t>ailure of geotextile</w:t>
      </w:r>
      <w:r w:rsidR="00E815F9">
        <w:t xml:space="preserve"> (on the downstream side of the crossing)</w:t>
      </w:r>
      <w:r w:rsidR="00C045AC">
        <w:t xml:space="preserve">, leading to erosion and mobilisation of sediment into a </w:t>
      </w:r>
      <w:r w:rsidR="0016276A">
        <w:t>temporary</w:t>
      </w:r>
      <w:r w:rsidR="00C045AC">
        <w:t xml:space="preserve"> stream</w:t>
      </w:r>
      <w:r w:rsidR="0016276A">
        <w:t>.</w:t>
      </w:r>
      <w:r w:rsidR="00E815F9" w:rsidRPr="00E815F9">
        <w:t xml:space="preserve"> </w:t>
      </w:r>
      <w:r w:rsidR="00E815F9">
        <w:t xml:space="preserve">These are also discussed in Section </w:t>
      </w:r>
      <w:r w:rsidR="00E815F9">
        <w:fldChar w:fldCharType="begin"/>
      </w:r>
      <w:r w:rsidR="00E815F9">
        <w:instrText xml:space="preserve"> REF _Ref120092460 \r \h </w:instrText>
      </w:r>
      <w:r w:rsidR="00E815F9">
        <w:fldChar w:fldCharType="separate"/>
      </w:r>
      <w:r w:rsidR="00130DCF">
        <w:t>4.2.2</w:t>
      </w:r>
      <w:r w:rsidR="00E815F9">
        <w:fldChar w:fldCharType="end"/>
      </w:r>
      <w:r w:rsidR="00E815F9">
        <w:t>.</w:t>
      </w:r>
    </w:p>
    <w:p w14:paraId="57A0AB2F" w14:textId="05AFA89C" w:rsidR="00D923AE" w:rsidRDefault="00D923AE" w:rsidP="00D923AE">
      <w:pPr>
        <w:pStyle w:val="BodyText"/>
      </w:pPr>
      <w:r>
        <w:t xml:space="preserve">Non-conformance incidents relating to the protection of forest soils at 02 Dragonfly and 07 Lemon Lime are shown in </w:t>
      </w:r>
      <w:r>
        <w:fldChar w:fldCharType="begin"/>
      </w:r>
      <w:r>
        <w:instrText xml:space="preserve"> REF _Ref120168090 \h </w:instrText>
      </w:r>
      <w:r>
        <w:fldChar w:fldCharType="separate"/>
      </w:r>
      <w:r w:rsidR="00130DCF" w:rsidRPr="009038E7">
        <w:t>Figure</w:t>
      </w:r>
      <w:r w:rsidR="00130DCF">
        <w:t> </w:t>
      </w:r>
      <w:r w:rsidR="00130DCF">
        <w:rPr>
          <w:noProof/>
        </w:rPr>
        <w:t>4</w:t>
      </w:r>
      <w:r w:rsidR="00130DCF">
        <w:noBreakHyphen/>
      </w:r>
      <w:r w:rsidR="00130DCF">
        <w:rPr>
          <w:noProof/>
        </w:rPr>
        <w:t>3</w:t>
      </w:r>
      <w:r>
        <w:fldChar w:fldCharType="end"/>
      </w:r>
      <w:r>
        <w:t xml:space="preserve"> and </w:t>
      </w:r>
      <w:r>
        <w:fldChar w:fldCharType="begin"/>
      </w:r>
      <w:r>
        <w:instrText xml:space="preserve"> REF _Ref120168093 \h </w:instrText>
      </w:r>
      <w:r>
        <w:fldChar w:fldCharType="separate"/>
      </w:r>
      <w:r w:rsidR="00130DCF" w:rsidRPr="009038E7">
        <w:t>Figure</w:t>
      </w:r>
      <w:r w:rsidR="00130DCF">
        <w:t> </w:t>
      </w:r>
      <w:r w:rsidR="00130DCF">
        <w:rPr>
          <w:noProof/>
        </w:rPr>
        <w:t>4</w:t>
      </w:r>
      <w:r w:rsidR="00130DCF">
        <w:noBreakHyphen/>
      </w:r>
      <w:r w:rsidR="00130DCF">
        <w:rPr>
          <w:noProof/>
        </w:rPr>
        <w:t>4</w:t>
      </w:r>
      <w:r>
        <w:fldChar w:fldCharType="end"/>
      </w:r>
      <w:r>
        <w:t>, respectively.</w:t>
      </w:r>
    </w:p>
    <w:p w14:paraId="071DFBAE" w14:textId="7043FA53" w:rsidR="004D65FF" w:rsidRDefault="004D65FF" w:rsidP="00326E5A">
      <w:pPr>
        <w:pStyle w:val="BodyText"/>
      </w:pPr>
    </w:p>
    <w:bookmarkEnd w:id="101"/>
    <w:p w14:paraId="68669649" w14:textId="4185F454" w:rsidR="009340C0" w:rsidRDefault="00EE565A" w:rsidP="009340C0">
      <w:pPr>
        <w:pStyle w:val="BodyText"/>
      </w:pPr>
      <w:r>
        <w:rPr>
          <w:noProof/>
        </w:rPr>
        <w:lastRenderedPageBreak/>
        <w:drawing>
          <wp:inline distT="0" distB="0" distL="0" distR="0" wp14:anchorId="03B1756B" wp14:editId="63EDCB55">
            <wp:extent cx="6096000" cy="1860268"/>
            <wp:effectExtent l="0" t="0" r="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l="2414" t="12881"/>
                    <a:stretch/>
                  </pic:blipFill>
                  <pic:spPr bwMode="auto">
                    <a:xfrm>
                      <a:off x="0" y="0"/>
                      <a:ext cx="6106977" cy="1863618"/>
                    </a:xfrm>
                    <a:prstGeom prst="rect">
                      <a:avLst/>
                    </a:prstGeom>
                    <a:noFill/>
                    <a:ln>
                      <a:noFill/>
                    </a:ln>
                    <a:extLst>
                      <a:ext uri="{53640926-AAD7-44D8-BBD7-CCE9431645EC}">
                        <a14:shadowObscured xmlns:a14="http://schemas.microsoft.com/office/drawing/2010/main"/>
                      </a:ext>
                    </a:extLst>
                  </pic:spPr>
                </pic:pic>
              </a:graphicData>
            </a:graphic>
          </wp:inline>
        </w:drawing>
      </w:r>
    </w:p>
    <w:p w14:paraId="42A052D9" w14:textId="74C8BD49" w:rsidR="009340C0" w:rsidRPr="004D738C" w:rsidRDefault="009340C0" w:rsidP="00AA1978">
      <w:pPr>
        <w:pStyle w:val="TableText"/>
      </w:pPr>
      <w:r w:rsidRPr="004D738C">
        <w:t>a) Level of conformance with audit criteria. Conformance definitions (</w:t>
      </w:r>
      <w:r w:rsidR="00606E67" w:rsidRPr="00606E67">
        <w:t>Fully conforms</w:t>
      </w:r>
      <w:r w:rsidR="00606E67">
        <w:t xml:space="preserve"> [full], </w:t>
      </w:r>
      <w:r w:rsidR="00606E67" w:rsidRPr="00606E67">
        <w:t xml:space="preserve">Non-conforming with no environmental impact </w:t>
      </w:r>
      <w:r w:rsidR="00CF7FF5">
        <w:t>[</w:t>
      </w:r>
      <w:r w:rsidR="00256AB9">
        <w:t>N</w:t>
      </w:r>
      <w:r w:rsidR="00CF7FF5">
        <w:t>EI</w:t>
      </w:r>
      <w:r w:rsidR="00676C70">
        <w:t>], N</w:t>
      </w:r>
      <w:r w:rsidR="00606E67" w:rsidRPr="00606E67">
        <w:t>on-conforming with environmental impact</w:t>
      </w:r>
      <w:r w:rsidR="00E97603">
        <w:t xml:space="preserve"> [EI</w:t>
      </w:r>
      <w:r w:rsidR="003D4A8B">
        <w:t>])</w:t>
      </w:r>
      <w:r w:rsidRPr="004D738C">
        <w:t xml:space="preserve"> as per </w:t>
      </w:r>
      <w:r w:rsidR="005067AF" w:rsidRPr="00A44D4D">
        <w:fldChar w:fldCharType="begin"/>
      </w:r>
      <w:r w:rsidR="005067AF" w:rsidRPr="00A44D4D">
        <w:instrText xml:space="preserve"> REF _Ref120088545 \h </w:instrText>
      </w:r>
      <w:r w:rsidR="00A44D4D">
        <w:instrText xml:space="preserve"> \* MERGEFORMAT </w:instrText>
      </w:r>
      <w:r w:rsidR="005067AF" w:rsidRPr="00A44D4D">
        <w:fldChar w:fldCharType="separate"/>
      </w:r>
      <w:r w:rsidR="00130DCF" w:rsidRPr="009038E7">
        <w:t>Table</w:t>
      </w:r>
      <w:r w:rsidR="00130DCF">
        <w:t> 3-3</w:t>
      </w:r>
      <w:r w:rsidR="005067AF" w:rsidRPr="00A44D4D">
        <w:fldChar w:fldCharType="end"/>
      </w:r>
      <w:r w:rsidRPr="004D738C">
        <w:t>.</w:t>
      </w:r>
    </w:p>
    <w:p w14:paraId="32F44353" w14:textId="53BF0D20" w:rsidR="009340C0" w:rsidRDefault="003D1F13" w:rsidP="009340C0">
      <w:pPr>
        <w:pStyle w:val="BodyText"/>
      </w:pPr>
      <w:r>
        <w:rPr>
          <w:noProof/>
        </w:rPr>
        <w:drawing>
          <wp:inline distT="0" distB="0" distL="0" distR="0" wp14:anchorId="446C5D1E" wp14:editId="120C9EFA">
            <wp:extent cx="6115050" cy="1490681"/>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l="2134" t="16027"/>
                    <a:stretch/>
                  </pic:blipFill>
                  <pic:spPr bwMode="auto">
                    <a:xfrm>
                      <a:off x="0" y="0"/>
                      <a:ext cx="6133949" cy="1495288"/>
                    </a:xfrm>
                    <a:prstGeom prst="rect">
                      <a:avLst/>
                    </a:prstGeom>
                    <a:noFill/>
                    <a:ln>
                      <a:noFill/>
                    </a:ln>
                    <a:extLst>
                      <a:ext uri="{53640926-AAD7-44D8-BBD7-CCE9431645EC}">
                        <a14:shadowObscured xmlns:a14="http://schemas.microsoft.com/office/drawing/2010/main"/>
                      </a:ext>
                    </a:extLst>
                  </pic:spPr>
                </pic:pic>
              </a:graphicData>
            </a:graphic>
          </wp:inline>
        </w:drawing>
      </w:r>
    </w:p>
    <w:p w14:paraId="123F31CE" w14:textId="77777777" w:rsidR="009340C0" w:rsidRPr="00BC6203" w:rsidRDefault="009340C0" w:rsidP="0023030C">
      <w:pPr>
        <w:pStyle w:val="TableText"/>
      </w:pPr>
      <w:r w:rsidRPr="00BC6203">
        <w:t>b) Number of compliance criteria with assessable environmental impact and the assessed level of impact for each instance of non-conformance.</w:t>
      </w:r>
    </w:p>
    <w:p w14:paraId="6E9F7F98" w14:textId="579A6330" w:rsidR="00BC6203" w:rsidRDefault="00BC6203" w:rsidP="003D4A8B">
      <w:pPr>
        <w:pStyle w:val="FigureCaption"/>
      </w:pPr>
      <w:bookmarkStart w:id="102" w:name="_Ref120094301"/>
      <w:bookmarkStart w:id="103" w:name="_Toc131178754"/>
      <w:r w:rsidRPr="009038E7">
        <w:t>Figure</w:t>
      </w:r>
      <w:r>
        <w:t> </w:t>
      </w:r>
      <w:fldSimple w:instr=" STYLEREF 1 \s ">
        <w:r w:rsidR="00130DCF">
          <w:rPr>
            <w:noProof/>
          </w:rPr>
          <w:t>4</w:t>
        </w:r>
      </w:fldSimple>
      <w:r w:rsidR="0039100E">
        <w:noBreakHyphen/>
      </w:r>
      <w:fldSimple w:instr=" SEQ Figure \* ARABIC \s 1 ">
        <w:r w:rsidR="00130DCF">
          <w:rPr>
            <w:noProof/>
          </w:rPr>
          <w:t>2</w:t>
        </w:r>
      </w:fldSimple>
      <w:bookmarkEnd w:id="102"/>
      <w:r>
        <w:rPr>
          <w:noProof/>
        </w:rPr>
        <w:t>.</w:t>
      </w:r>
      <w:r w:rsidRPr="009038E7">
        <w:t xml:space="preserve"> </w:t>
      </w:r>
      <w:r>
        <w:t xml:space="preserve">Compliance findings and assessed environmental impact for instances of non-conformance for criteria applicable to the protection of forest soils.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03"/>
    </w:p>
    <w:p w14:paraId="2D27E4CB" w14:textId="77777777" w:rsidR="001E7EDE" w:rsidRPr="001E7EDE" w:rsidRDefault="001E7EDE" w:rsidP="001E7EDE">
      <w:pPr>
        <w:pStyle w:val="BodyText"/>
      </w:pPr>
    </w:p>
    <w:p w14:paraId="5A67A195" w14:textId="443E19B4" w:rsidR="0019337C" w:rsidRDefault="0030210A" w:rsidP="0019337C">
      <w:pPr>
        <w:pStyle w:val="BodyText"/>
      </w:pPr>
      <w:r>
        <w:rPr>
          <w:noProof/>
        </w:rPr>
        <w:drawing>
          <wp:inline distT="0" distB="0" distL="0" distR="0" wp14:anchorId="40F81AFE" wp14:editId="17690BDE">
            <wp:extent cx="6041390" cy="20009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82293" cy="2014491"/>
                    </a:xfrm>
                    <a:prstGeom prst="rect">
                      <a:avLst/>
                    </a:prstGeom>
                    <a:noFill/>
                  </pic:spPr>
                </pic:pic>
              </a:graphicData>
            </a:graphic>
          </wp:inline>
        </w:drawing>
      </w:r>
    </w:p>
    <w:p w14:paraId="4B7482AE" w14:textId="689A71EE" w:rsidR="0019337C" w:rsidRDefault="00D953AB" w:rsidP="00B06C02">
      <w:pPr>
        <w:pStyle w:val="TableText"/>
      </w:pPr>
      <w:r>
        <w:t>R</w:t>
      </w:r>
      <w:r w:rsidR="00562E2D">
        <w:t xml:space="preserve">unoff </w:t>
      </w:r>
      <w:r w:rsidR="0098134C">
        <w:t>along</w:t>
      </w:r>
      <w:r w:rsidR="00562E2D">
        <w:t xml:space="preserve"> the in-coupe road as allowed to </w:t>
      </w:r>
      <w:r w:rsidR="005760AD">
        <w:t>pond on the “deck” of the crossing</w:t>
      </w:r>
      <w:r w:rsidR="00AE5E85">
        <w:t xml:space="preserve"> and has washed sediment </w:t>
      </w:r>
      <w:r w:rsidR="0098134C">
        <w:t xml:space="preserve">embedded in </w:t>
      </w:r>
      <w:r w:rsidR="00CE35B5">
        <w:t>t</w:t>
      </w:r>
      <w:r w:rsidR="0098134C">
        <w:t xml:space="preserve">he log crossing </w:t>
      </w:r>
      <w:r w:rsidR="000E2F44">
        <w:t>into the permanent stream</w:t>
      </w:r>
      <w:r w:rsidR="00347399">
        <w:t>.</w:t>
      </w:r>
    </w:p>
    <w:p w14:paraId="34D2FE62" w14:textId="2E3FE427" w:rsidR="00C07632" w:rsidRDefault="00C07632" w:rsidP="00A01429">
      <w:pPr>
        <w:pStyle w:val="FigureCaption"/>
        <w:spacing w:after="120"/>
      </w:pPr>
      <w:bookmarkStart w:id="104" w:name="_Ref120168090"/>
      <w:bookmarkStart w:id="105" w:name="_Toc131178755"/>
      <w:r w:rsidRPr="009038E7">
        <w:t>Figure</w:t>
      </w:r>
      <w:r>
        <w:t> </w:t>
      </w:r>
      <w:fldSimple w:instr=" STYLEREF 1 \s ">
        <w:r w:rsidR="00130DCF">
          <w:rPr>
            <w:noProof/>
          </w:rPr>
          <w:t>4</w:t>
        </w:r>
      </w:fldSimple>
      <w:r w:rsidR="0039100E">
        <w:noBreakHyphen/>
      </w:r>
      <w:fldSimple w:instr=" SEQ Figure \* ARABIC \s 1 ">
        <w:r w:rsidR="00130DCF">
          <w:rPr>
            <w:noProof/>
          </w:rPr>
          <w:t>3</w:t>
        </w:r>
      </w:fldSimple>
      <w:bookmarkEnd w:id="104"/>
      <w:r>
        <w:rPr>
          <w:noProof/>
        </w:rPr>
        <w:t>.</w:t>
      </w:r>
      <w:r w:rsidRPr="009038E7">
        <w:t xml:space="preserve"> </w:t>
      </w:r>
      <w:r w:rsidR="00875DCE">
        <w:t xml:space="preserve">Defects on waterway crossing </w:t>
      </w:r>
      <w:r w:rsidR="00082FE9">
        <w:t>at</w:t>
      </w:r>
      <w:r w:rsidR="00875DCE">
        <w:t xml:space="preserve"> 02 Dragonfly</w:t>
      </w:r>
      <w:r w:rsidR="00880A32">
        <w:t xml:space="preserve"> leading to mobilisation of sediment into permanent strea</w:t>
      </w:r>
      <w:r w:rsidR="00A01429">
        <w:t>m.</w:t>
      </w:r>
      <w:bookmarkEnd w:id="105"/>
    </w:p>
    <w:p w14:paraId="3668CAF7" w14:textId="79B38260" w:rsidR="00C07632" w:rsidRDefault="00EC2BC7" w:rsidP="00B06C02">
      <w:pPr>
        <w:pStyle w:val="TableText"/>
      </w:pPr>
      <w:r>
        <w:rPr>
          <w:noProof/>
        </w:rPr>
        <w:lastRenderedPageBreak/>
        <w:drawing>
          <wp:inline distT="0" distB="0" distL="0" distR="0" wp14:anchorId="74E3100D" wp14:editId="59EAFA09">
            <wp:extent cx="6141720" cy="20407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70312" cy="2050300"/>
                    </a:xfrm>
                    <a:prstGeom prst="rect">
                      <a:avLst/>
                    </a:prstGeom>
                    <a:noFill/>
                  </pic:spPr>
                </pic:pic>
              </a:graphicData>
            </a:graphic>
          </wp:inline>
        </w:drawing>
      </w:r>
    </w:p>
    <w:tbl>
      <w:tblPr>
        <w:tblStyle w:val="JacobsTable1accentprimarythemes"/>
        <w:tblW w:w="9639" w:type="dxa"/>
        <w:tblBorders>
          <w:top w:val="none" w:sz="0" w:space="0" w:color="auto"/>
          <w:bottom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820"/>
        <w:gridCol w:w="4819"/>
      </w:tblGrid>
      <w:tr w:rsidR="0040645A" w14:paraId="6C984979" w14:textId="77777777" w:rsidTr="00C31A7B">
        <w:trPr>
          <w:cnfStyle w:val="100000000000" w:firstRow="1" w:lastRow="0" w:firstColumn="0" w:lastColumn="0" w:oddVBand="0" w:evenVBand="0" w:oddHBand="0" w:evenHBand="0" w:firstRowFirstColumn="0" w:firstRowLastColumn="0" w:lastRowFirstColumn="0" w:lastRowLastColumn="0"/>
        </w:trPr>
        <w:tc>
          <w:tcPr>
            <w:tcW w:w="4820" w:type="dxa"/>
            <w:shd w:val="clear" w:color="auto" w:fill="FFFFFF" w:themeFill="background1"/>
          </w:tcPr>
          <w:p w14:paraId="233132AB" w14:textId="3F49390F" w:rsidR="0040645A" w:rsidRDefault="001E4E0A" w:rsidP="00B06C02">
            <w:pPr>
              <w:pStyle w:val="TableText"/>
            </w:pPr>
            <w:r>
              <w:rPr>
                <w:color w:val="auto"/>
              </w:rPr>
              <w:t>Inappropriate informal</w:t>
            </w:r>
            <w:r w:rsidRPr="0040645A">
              <w:rPr>
                <w:color w:val="auto"/>
              </w:rPr>
              <w:t xml:space="preserve"> </w:t>
            </w:r>
            <w:r w:rsidR="0040645A" w:rsidRPr="0040645A">
              <w:rPr>
                <w:color w:val="auto"/>
              </w:rPr>
              <w:t>drainage</w:t>
            </w:r>
            <w:r w:rsidR="0040645A">
              <w:rPr>
                <w:color w:val="auto"/>
              </w:rPr>
              <w:t xml:space="preserve"> on </w:t>
            </w:r>
            <w:r>
              <w:rPr>
                <w:color w:val="auto"/>
              </w:rPr>
              <w:t xml:space="preserve">this </w:t>
            </w:r>
            <w:r w:rsidR="0040645A">
              <w:rPr>
                <w:color w:val="auto"/>
              </w:rPr>
              <w:t xml:space="preserve">waterway crossing diverts </w:t>
            </w:r>
            <w:r w:rsidR="00347399">
              <w:rPr>
                <w:color w:val="auto"/>
              </w:rPr>
              <w:t xml:space="preserve">some </w:t>
            </w:r>
            <w:r w:rsidR="0040645A">
              <w:rPr>
                <w:color w:val="auto"/>
              </w:rPr>
              <w:t xml:space="preserve">drainage </w:t>
            </w:r>
            <w:r w:rsidR="00347399">
              <w:rPr>
                <w:color w:val="auto"/>
              </w:rPr>
              <w:t xml:space="preserve">along the in-coupe road </w:t>
            </w:r>
            <w:r w:rsidR="0040645A">
              <w:rPr>
                <w:color w:val="auto"/>
              </w:rPr>
              <w:t xml:space="preserve">directly into </w:t>
            </w:r>
            <w:r w:rsidR="00301F36">
              <w:rPr>
                <w:color w:val="auto"/>
              </w:rPr>
              <w:t xml:space="preserve">temporary </w:t>
            </w:r>
            <w:r w:rsidR="00347399">
              <w:rPr>
                <w:color w:val="auto"/>
              </w:rPr>
              <w:t xml:space="preserve">stream </w:t>
            </w:r>
            <w:r w:rsidR="00301F36">
              <w:rPr>
                <w:color w:val="auto"/>
              </w:rPr>
              <w:t>at</w:t>
            </w:r>
            <w:r w:rsidR="00347399">
              <w:rPr>
                <w:color w:val="auto"/>
              </w:rPr>
              <w:t xml:space="preserve"> the </w:t>
            </w:r>
            <w:r w:rsidR="0040645A">
              <w:rPr>
                <w:color w:val="auto"/>
              </w:rPr>
              <w:t>waterway crossing</w:t>
            </w:r>
            <w:r w:rsidR="00347399">
              <w:rPr>
                <w:color w:val="auto"/>
              </w:rPr>
              <w:t>.</w:t>
            </w:r>
          </w:p>
        </w:tc>
        <w:tc>
          <w:tcPr>
            <w:tcW w:w="4819" w:type="dxa"/>
            <w:shd w:val="clear" w:color="auto" w:fill="FFFFFF" w:themeFill="background1"/>
          </w:tcPr>
          <w:p w14:paraId="31718F6E" w14:textId="08793FF4" w:rsidR="0040645A" w:rsidRDefault="00301F36" w:rsidP="00B06C02">
            <w:pPr>
              <w:pStyle w:val="TableText"/>
            </w:pPr>
            <w:r>
              <w:rPr>
                <w:color w:val="auto"/>
              </w:rPr>
              <w:t xml:space="preserve">Road drainage across the fill batter has resulted in failure of the </w:t>
            </w:r>
            <w:r w:rsidR="0095189C">
              <w:rPr>
                <w:color w:val="auto"/>
              </w:rPr>
              <w:t>ge</w:t>
            </w:r>
            <w:r w:rsidR="008C2F64" w:rsidRPr="008C2F64">
              <w:rPr>
                <w:color w:val="auto"/>
              </w:rPr>
              <w:t xml:space="preserve">otextile on </w:t>
            </w:r>
            <w:r w:rsidR="0095189C">
              <w:rPr>
                <w:color w:val="auto"/>
              </w:rPr>
              <w:t xml:space="preserve">the </w:t>
            </w:r>
            <w:r w:rsidR="008C2F64">
              <w:rPr>
                <w:color w:val="auto"/>
              </w:rPr>
              <w:t>waterway crossing</w:t>
            </w:r>
            <w:r w:rsidR="00E6606C">
              <w:rPr>
                <w:color w:val="auto"/>
              </w:rPr>
              <w:t>, allowing</w:t>
            </w:r>
            <w:r w:rsidR="008C2F64">
              <w:rPr>
                <w:color w:val="auto"/>
              </w:rPr>
              <w:t xml:space="preserve"> </w:t>
            </w:r>
            <w:r w:rsidR="00D953AB">
              <w:rPr>
                <w:color w:val="auto"/>
              </w:rPr>
              <w:t xml:space="preserve">large sections </w:t>
            </w:r>
            <w:r w:rsidR="00E6606C">
              <w:rPr>
                <w:color w:val="auto"/>
              </w:rPr>
              <w:t>to</w:t>
            </w:r>
            <w:r w:rsidR="00D953AB">
              <w:rPr>
                <w:color w:val="auto"/>
              </w:rPr>
              <w:t xml:space="preserve"> collapse and carr</w:t>
            </w:r>
            <w:r w:rsidR="00E6606C">
              <w:rPr>
                <w:color w:val="auto"/>
              </w:rPr>
              <w:t>y</w:t>
            </w:r>
            <w:r w:rsidR="00D953AB">
              <w:rPr>
                <w:color w:val="auto"/>
              </w:rPr>
              <w:t xml:space="preserve"> sediment into the </w:t>
            </w:r>
            <w:r w:rsidR="0095189C">
              <w:rPr>
                <w:color w:val="auto"/>
              </w:rPr>
              <w:t xml:space="preserve">temporary </w:t>
            </w:r>
            <w:r w:rsidR="00D953AB">
              <w:rPr>
                <w:color w:val="auto"/>
              </w:rPr>
              <w:t>stream</w:t>
            </w:r>
            <w:r w:rsidR="00AB46D7">
              <w:rPr>
                <w:color w:val="auto"/>
              </w:rPr>
              <w:t>. Sediment deposition was observable up to 10 m from the crossing.</w:t>
            </w:r>
          </w:p>
        </w:tc>
      </w:tr>
    </w:tbl>
    <w:p w14:paraId="2B138356" w14:textId="2B10D741" w:rsidR="00DE2FD6" w:rsidRDefault="00DE2FD6" w:rsidP="008B2FE1">
      <w:pPr>
        <w:pStyle w:val="FigureCaption"/>
      </w:pPr>
      <w:bookmarkStart w:id="106" w:name="_Ref120168093"/>
      <w:bookmarkStart w:id="107" w:name="_Toc131178756"/>
      <w:r w:rsidRPr="009038E7">
        <w:t>Figure</w:t>
      </w:r>
      <w:r>
        <w:t> </w:t>
      </w:r>
      <w:fldSimple w:instr=" STYLEREF 1 \s ">
        <w:r w:rsidR="00130DCF">
          <w:rPr>
            <w:noProof/>
          </w:rPr>
          <w:t>4</w:t>
        </w:r>
      </w:fldSimple>
      <w:r w:rsidR="0039100E">
        <w:noBreakHyphen/>
      </w:r>
      <w:fldSimple w:instr=" SEQ Figure \* ARABIC \s 1 ">
        <w:r w:rsidR="00130DCF">
          <w:rPr>
            <w:noProof/>
          </w:rPr>
          <w:t>4</w:t>
        </w:r>
      </w:fldSimple>
      <w:bookmarkEnd w:id="106"/>
      <w:r>
        <w:rPr>
          <w:noProof/>
        </w:rPr>
        <w:t>.</w:t>
      </w:r>
      <w:r w:rsidRPr="009038E7">
        <w:t xml:space="preserve"> </w:t>
      </w:r>
      <w:r w:rsidR="0033419F">
        <w:t xml:space="preserve">Defects on waterway crossing </w:t>
      </w:r>
      <w:r w:rsidR="00082FE9">
        <w:t xml:space="preserve">at </w:t>
      </w:r>
      <w:r w:rsidR="00DB29E9">
        <w:t>07 Lemon Lime</w:t>
      </w:r>
      <w:r w:rsidR="001E7EDE">
        <w:t xml:space="preserve"> leading to mobilisation of road and fill batter sediment into a </w:t>
      </w:r>
      <w:r w:rsidR="00CB0AB3">
        <w:t xml:space="preserve">temporary </w:t>
      </w:r>
      <w:r w:rsidR="001E7EDE">
        <w:t>stream</w:t>
      </w:r>
      <w:bookmarkEnd w:id="107"/>
    </w:p>
    <w:p w14:paraId="7BC22D77" w14:textId="6B491DC6" w:rsidR="009340C0" w:rsidRDefault="009340C0" w:rsidP="00B16712">
      <w:pPr>
        <w:pStyle w:val="Heading3"/>
      </w:pPr>
      <w:bookmarkStart w:id="108" w:name="_Toc131178681"/>
      <w:bookmarkStart w:id="109" w:name="_Ref120092460"/>
      <w:bookmarkStart w:id="110" w:name="_Toc131178682"/>
      <w:bookmarkEnd w:id="108"/>
      <w:r>
        <w:t>Compliance elements related to the protection of water flows, water quality and river health</w:t>
      </w:r>
      <w:bookmarkEnd w:id="109"/>
      <w:bookmarkEnd w:id="110"/>
    </w:p>
    <w:p w14:paraId="63571914" w14:textId="0ED3E6FD" w:rsidR="009340C0" w:rsidRDefault="009340C0" w:rsidP="009340C0">
      <w:pPr>
        <w:pStyle w:val="BodyText"/>
      </w:pPr>
      <w:r>
        <w:t>Compliance elements relevant to this theme (</w:t>
      </w:r>
      <w:r w:rsidR="00E44AEA">
        <w:fldChar w:fldCharType="begin"/>
      </w:r>
      <w:r w:rsidR="00E44AEA">
        <w:instrText xml:space="preserve"> REF _Ref120168206 \r \h </w:instrText>
      </w:r>
      <w:r w:rsidR="00E44AEA">
        <w:fldChar w:fldCharType="separate"/>
      </w:r>
      <w:r w:rsidR="00130DCF">
        <w:t>Appendix A</w:t>
      </w:r>
      <w:r w:rsidR="00E44AEA">
        <w:fldChar w:fldCharType="end"/>
      </w:r>
      <w:r>
        <w:t>) seek to protect water flows, water quality and river health by:</w:t>
      </w:r>
    </w:p>
    <w:p w14:paraId="1F69EF02" w14:textId="66BFC291" w:rsidR="009340C0" w:rsidRDefault="009340C0" w:rsidP="00E44AEA">
      <w:pPr>
        <w:pStyle w:val="BulletLevel1"/>
      </w:pPr>
      <w:r>
        <w:t>Classifying waterways present in the coupe, applying at least the minimum width of filters and/or buffers required and excluding harvesting activities and/or machinery from those areas</w:t>
      </w:r>
    </w:p>
    <w:p w14:paraId="3E02D1EE" w14:textId="585AC3C0" w:rsidR="009340C0" w:rsidRDefault="009340C0" w:rsidP="00E44AEA">
      <w:pPr>
        <w:pStyle w:val="BulletLevel1"/>
      </w:pPr>
      <w:r>
        <w:t xml:space="preserve">Application of seasonal closures to reduce the risk of sediment mobilisation </w:t>
      </w:r>
      <w:r w:rsidR="00B1411E">
        <w:t xml:space="preserve">and soil compaction </w:t>
      </w:r>
      <w:r>
        <w:t>during wet weather in water supply catchments</w:t>
      </w:r>
    </w:p>
    <w:p w14:paraId="0D3C65C4" w14:textId="3580823A" w:rsidR="009340C0" w:rsidRDefault="009340C0" w:rsidP="00E44AEA">
      <w:pPr>
        <w:pStyle w:val="BulletLevel1"/>
      </w:pPr>
      <w:r>
        <w:t>Appropriate design, construction and maintenance of in-coupe roads, road drainage and waterway crossings</w:t>
      </w:r>
    </w:p>
    <w:p w14:paraId="6118BC8F" w14:textId="58D78CC5" w:rsidR="009340C0" w:rsidRDefault="009340C0" w:rsidP="00E44AEA">
      <w:pPr>
        <w:pStyle w:val="BulletLevel1"/>
      </w:pPr>
      <w:r>
        <w:t>Applying appropriate methods to remove and rehabilitate waterway crossings following the completion of timber harvesting and regeneration activities.</w:t>
      </w:r>
    </w:p>
    <w:p w14:paraId="0D06A82C" w14:textId="00C1AB1F" w:rsidR="009340C0" w:rsidRDefault="009340C0" w:rsidP="009340C0">
      <w:pPr>
        <w:pStyle w:val="BodyText"/>
      </w:pPr>
      <w:r>
        <w:t>Many of the compliance requirements (and criteria) are also applicable to the protection of forest soils</w:t>
      </w:r>
      <w:r w:rsidR="00F53DD4">
        <w:t>, conservation of aquatic biodiversity</w:t>
      </w:r>
      <w:r>
        <w:t xml:space="preserve"> and to the management of impacts from construction of in-coupe roads and snig or boundary tracks. A total of 6</w:t>
      </w:r>
      <w:r w:rsidR="00E14660">
        <w:t>1</w:t>
      </w:r>
      <w:r>
        <w:t xml:space="preserve"> audit criteria were relevant to this theme, </w:t>
      </w:r>
      <w:r w:rsidR="00A12358">
        <w:t>three</w:t>
      </w:r>
      <w:r>
        <w:t xml:space="preserve"> of which were not applicable to any of the audit coupes. </w:t>
      </w:r>
    </w:p>
    <w:p w14:paraId="3FC0F2A8" w14:textId="73C709D3" w:rsidR="0084669A" w:rsidRDefault="009340C0" w:rsidP="009340C0">
      <w:pPr>
        <w:pStyle w:val="BodyText"/>
      </w:pPr>
      <w:r>
        <w:t>The average level of full conformance with applicable criteria was found to be 9</w:t>
      </w:r>
      <w:r w:rsidR="005C39ED">
        <w:t>4</w:t>
      </w:r>
      <w:r>
        <w:t xml:space="preserve">%, with the level of conformance ranging between </w:t>
      </w:r>
      <w:r w:rsidR="00413F92">
        <w:t>67</w:t>
      </w:r>
      <w:r>
        <w:t>% (2</w:t>
      </w:r>
      <w:r w:rsidR="001522D9">
        <w:t>9</w:t>
      </w:r>
      <w:r>
        <w:t xml:space="preserve"> </w:t>
      </w:r>
      <w:r w:rsidR="001522D9">
        <w:t>Pinball Wizard</w:t>
      </w:r>
      <w:r>
        <w:t xml:space="preserve">) and 100% (17 coupes). </w:t>
      </w:r>
      <w:r w:rsidR="00003AD2">
        <w:t>The low level of conformance for 29 Pinball Wizard related to a single incident where part of a</w:t>
      </w:r>
      <w:r w:rsidR="00DB7964">
        <w:t>n intended 20 m buffer on a temporary stream was harvested (EIA rating of moderate).</w:t>
      </w:r>
    </w:p>
    <w:p w14:paraId="78F1E4BB" w14:textId="57534EA1" w:rsidR="00AE4A48" w:rsidRDefault="00AE4A48" w:rsidP="00AE4A48">
      <w:pPr>
        <w:pStyle w:val="BodyText"/>
      </w:pPr>
      <w:r>
        <w:t>The assessed potential environmental impact associated with non-conformances ranged between negligible and major (</w:t>
      </w:r>
      <w:r>
        <w:fldChar w:fldCharType="begin"/>
      </w:r>
      <w:r>
        <w:instrText xml:space="preserve"> REF _Ref120168929 \h </w:instrText>
      </w:r>
      <w:r>
        <w:fldChar w:fldCharType="separate"/>
      </w:r>
      <w:r w:rsidR="00130DCF" w:rsidRPr="009038E7">
        <w:t>Figure</w:t>
      </w:r>
      <w:r w:rsidR="00130DCF">
        <w:t> </w:t>
      </w:r>
      <w:r w:rsidR="00130DCF">
        <w:rPr>
          <w:noProof/>
        </w:rPr>
        <w:t>4</w:t>
      </w:r>
      <w:r w:rsidR="00130DCF">
        <w:noBreakHyphen/>
      </w:r>
      <w:r w:rsidR="00130DCF">
        <w:rPr>
          <w:noProof/>
        </w:rPr>
        <w:t>5</w:t>
      </w:r>
      <w:r>
        <w:fldChar w:fldCharType="end"/>
      </w:r>
      <w:r>
        <w:t xml:space="preserve">). Non-conformances which were assessed to have major potential environmental impact were identified at </w:t>
      </w:r>
      <w:r w:rsidR="006268B9">
        <w:t>two</w:t>
      </w:r>
      <w:r w:rsidR="00505F48">
        <w:t xml:space="preserve"> </w:t>
      </w:r>
      <w:r>
        <w:t>coupes (06 Real Madrid, 24 Bayled Up). The</w:t>
      </w:r>
      <w:r w:rsidR="00A94915">
        <w:t>se</w:t>
      </w:r>
      <w:r>
        <w:t xml:space="preserve"> incidents were </w:t>
      </w:r>
      <w:r w:rsidR="00553B9B">
        <w:t xml:space="preserve">also applicable to </w:t>
      </w:r>
      <w:r>
        <w:t xml:space="preserve">forest soils (Section </w:t>
      </w:r>
      <w:r>
        <w:fldChar w:fldCharType="begin"/>
      </w:r>
      <w:r>
        <w:instrText xml:space="preserve"> REF _Ref120169264 \r \h </w:instrText>
      </w:r>
      <w:r>
        <w:fldChar w:fldCharType="separate"/>
      </w:r>
      <w:r w:rsidR="00130DCF">
        <w:t>4.2.1</w:t>
      </w:r>
      <w:r>
        <w:fldChar w:fldCharType="end"/>
      </w:r>
      <w:r>
        <w:t>) and related to in-coupe road or snig track waterway crossings</w:t>
      </w:r>
      <w:r w:rsidR="0060058E">
        <w:t xml:space="preserve"> on permanent streams</w:t>
      </w:r>
      <w:r>
        <w:t xml:space="preserve">. </w:t>
      </w:r>
      <w:r>
        <w:fldChar w:fldCharType="begin"/>
      </w:r>
      <w:r>
        <w:instrText xml:space="preserve"> REF _Ref120169700 \h </w:instrText>
      </w:r>
      <w:r>
        <w:fldChar w:fldCharType="separate"/>
      </w:r>
      <w:r w:rsidR="00130DCF" w:rsidRPr="009038E7">
        <w:t>Figure</w:t>
      </w:r>
      <w:r w:rsidR="00130DCF">
        <w:t> </w:t>
      </w:r>
      <w:r w:rsidR="00130DCF">
        <w:rPr>
          <w:noProof/>
        </w:rPr>
        <w:t>4</w:t>
      </w:r>
      <w:r w:rsidR="00130DCF">
        <w:noBreakHyphen/>
      </w:r>
      <w:r w:rsidR="00130DCF">
        <w:rPr>
          <w:noProof/>
        </w:rPr>
        <w:t>6</w:t>
      </w:r>
      <w:r>
        <w:fldChar w:fldCharType="end"/>
      </w:r>
      <w:r>
        <w:t xml:space="preserve"> shows a further example where deficiencies in waterway crossing drainage have allowed fill batter sediment to be mobilised into a permanent stream (24 Bayled Up).</w:t>
      </w:r>
    </w:p>
    <w:p w14:paraId="146C1689" w14:textId="1D29C6F9" w:rsidR="002E2AF6" w:rsidRDefault="0002445A" w:rsidP="0002445A">
      <w:pPr>
        <w:pStyle w:val="BodyText"/>
      </w:pPr>
      <w:r>
        <w:t xml:space="preserve">Non-conformance incidents on a further </w:t>
      </w:r>
      <w:r w:rsidR="00244678">
        <w:t>eight</w:t>
      </w:r>
      <w:r w:rsidR="00E840AC">
        <w:t xml:space="preserve"> </w:t>
      </w:r>
      <w:r>
        <w:t>coupes (</w:t>
      </w:r>
      <w:r w:rsidR="00244678">
        <w:t>02 Dragonfly</w:t>
      </w:r>
      <w:r>
        <w:t xml:space="preserve">, </w:t>
      </w:r>
      <w:r w:rsidR="00505F48">
        <w:t xml:space="preserve">07 Lemon Lime, </w:t>
      </w:r>
      <w:r>
        <w:t xml:space="preserve">16 Sheik, 18 South Buck, 19 Rossignol, 21 Dow Jones, 29 Pinball Wizard; </w:t>
      </w:r>
      <w:r>
        <w:fldChar w:fldCharType="begin"/>
      </w:r>
      <w:r>
        <w:instrText xml:space="preserve"> REF _Ref120168929 \h </w:instrText>
      </w:r>
      <w:r>
        <w:fldChar w:fldCharType="separate"/>
      </w:r>
      <w:r w:rsidR="00130DCF" w:rsidRPr="009038E7">
        <w:t>Figure</w:t>
      </w:r>
      <w:r w:rsidR="00130DCF">
        <w:t> </w:t>
      </w:r>
      <w:r w:rsidR="00130DCF">
        <w:rPr>
          <w:noProof/>
        </w:rPr>
        <w:t>4</w:t>
      </w:r>
      <w:r w:rsidR="00130DCF">
        <w:noBreakHyphen/>
      </w:r>
      <w:r w:rsidR="00130DCF">
        <w:rPr>
          <w:noProof/>
        </w:rPr>
        <w:t>5</w:t>
      </w:r>
      <w:r>
        <w:fldChar w:fldCharType="end"/>
      </w:r>
      <w:r>
        <w:t xml:space="preserve">) were assessed to have moderate potential environmental impact. </w:t>
      </w:r>
      <w:r w:rsidR="00D513B2">
        <w:t xml:space="preserve">With the exception of 29 Pinball Wizard, the incidents related to </w:t>
      </w:r>
      <w:r w:rsidR="002E2AF6">
        <w:t xml:space="preserve">waterway crossing </w:t>
      </w:r>
      <w:r>
        <w:t>defects</w:t>
      </w:r>
      <w:r w:rsidR="002E2AF6">
        <w:t>. Details of the non-conformance incidents with moderate potential environmental impact are as follows:</w:t>
      </w:r>
    </w:p>
    <w:p w14:paraId="512E4D66" w14:textId="172C8842" w:rsidR="00C05173" w:rsidRDefault="00E6047B" w:rsidP="00E20B70">
      <w:pPr>
        <w:pStyle w:val="BulletLevel1"/>
      </w:pPr>
      <w:r>
        <w:lastRenderedPageBreak/>
        <w:t>Mobilisation of sediment across the fill batter of a waterway crossing (</w:t>
      </w:r>
      <w:r w:rsidR="00DF55A7">
        <w:t>02 Dragonfly</w:t>
      </w:r>
      <w:r w:rsidR="00EA26BA">
        <w:t>,</w:t>
      </w:r>
      <w:r w:rsidR="00DF55A7">
        <w:t xml:space="preserve"> </w:t>
      </w:r>
      <w:r>
        <w:t>07 Lemon Lime</w:t>
      </w:r>
      <w:r w:rsidR="00DF55A7">
        <w:t xml:space="preserve"> -</w:t>
      </w:r>
      <w:r>
        <w:t xml:space="preserve"> </w:t>
      </w:r>
      <w:r>
        <w:fldChar w:fldCharType="begin"/>
      </w:r>
      <w:r>
        <w:instrText xml:space="preserve"> REF _Ref120168093 \h </w:instrText>
      </w:r>
      <w:r>
        <w:fldChar w:fldCharType="separate"/>
      </w:r>
      <w:r w:rsidR="00130DCF" w:rsidRPr="009038E7">
        <w:t>Figure</w:t>
      </w:r>
      <w:r w:rsidR="00130DCF">
        <w:t> </w:t>
      </w:r>
      <w:r w:rsidR="00130DCF">
        <w:rPr>
          <w:noProof/>
        </w:rPr>
        <w:t>4</w:t>
      </w:r>
      <w:r w:rsidR="00130DCF">
        <w:noBreakHyphen/>
      </w:r>
      <w:r w:rsidR="00130DCF">
        <w:rPr>
          <w:noProof/>
        </w:rPr>
        <w:t>4</w:t>
      </w:r>
      <w:r>
        <w:fldChar w:fldCharType="end"/>
      </w:r>
      <w:r>
        <w:t>)</w:t>
      </w:r>
    </w:p>
    <w:p w14:paraId="2E572A23" w14:textId="534320BB" w:rsidR="0002445A" w:rsidRDefault="00E20B70" w:rsidP="00E20B70">
      <w:pPr>
        <w:pStyle w:val="BulletLevel1"/>
      </w:pPr>
      <w:r>
        <w:t xml:space="preserve">Outlet of waterway crossing culvert above downstream bed of </w:t>
      </w:r>
      <w:r w:rsidR="00AC4EAA">
        <w:t>temporary stream</w:t>
      </w:r>
      <w:r w:rsidR="00760D5A">
        <w:t xml:space="preserve"> (</w:t>
      </w:r>
      <w:r w:rsidR="00F61C6B">
        <w:t>07 Lemon Lime</w:t>
      </w:r>
      <w:r w:rsidR="00EA26BA">
        <w:t>,</w:t>
      </w:r>
      <w:r w:rsidR="00760D5A">
        <w:t xml:space="preserve"> </w:t>
      </w:r>
      <w:r w:rsidR="00CD1A7A">
        <w:t xml:space="preserve">18 South Buck, </w:t>
      </w:r>
      <w:r w:rsidR="00760D5A">
        <w:t xml:space="preserve">19 Rossignol), with potential to block aquatic fauna passage (if relevant) </w:t>
      </w:r>
      <w:r w:rsidR="00675242">
        <w:t xml:space="preserve">and/or create an erosion point </w:t>
      </w:r>
      <w:r w:rsidR="00AC4EAA">
        <w:t xml:space="preserve">that would mobilise sediment </w:t>
      </w:r>
      <w:r w:rsidR="00675242">
        <w:t xml:space="preserve">during </w:t>
      </w:r>
      <w:r w:rsidR="00AC4EAA">
        <w:t>flow events (</w:t>
      </w:r>
      <w:r w:rsidR="00507FCA">
        <w:fldChar w:fldCharType="begin"/>
      </w:r>
      <w:r w:rsidR="00507FCA">
        <w:instrText xml:space="preserve"> REF _Ref120174798 \h </w:instrText>
      </w:r>
      <w:r w:rsidR="00507FCA">
        <w:fldChar w:fldCharType="separate"/>
      </w:r>
      <w:r w:rsidR="00130DCF" w:rsidRPr="009038E7">
        <w:t>Figure</w:t>
      </w:r>
      <w:r w:rsidR="00130DCF">
        <w:t> </w:t>
      </w:r>
      <w:r w:rsidR="00130DCF">
        <w:rPr>
          <w:noProof/>
        </w:rPr>
        <w:t>4</w:t>
      </w:r>
      <w:r w:rsidR="00130DCF">
        <w:noBreakHyphen/>
      </w:r>
      <w:r w:rsidR="00130DCF">
        <w:rPr>
          <w:noProof/>
        </w:rPr>
        <w:t>7</w:t>
      </w:r>
      <w:r w:rsidR="00507FCA">
        <w:fldChar w:fldCharType="end"/>
      </w:r>
      <w:r w:rsidR="00AC4EAA">
        <w:t>).</w:t>
      </w:r>
    </w:p>
    <w:p w14:paraId="69692701" w14:textId="4678102D" w:rsidR="00626896" w:rsidRDefault="008D25F6" w:rsidP="00E20B70">
      <w:pPr>
        <w:pStyle w:val="BulletLevel1"/>
      </w:pPr>
      <w:r>
        <w:t xml:space="preserve">Lengths of in-coupe road </w:t>
      </w:r>
      <w:r w:rsidR="00A91318">
        <w:t xml:space="preserve">much greater than 20 m draining </w:t>
      </w:r>
      <w:r>
        <w:t xml:space="preserve">directly into </w:t>
      </w:r>
      <w:r w:rsidR="00A91318">
        <w:t xml:space="preserve">a </w:t>
      </w:r>
      <w:r w:rsidR="00954139">
        <w:t xml:space="preserve">temporary stream </w:t>
      </w:r>
      <w:r w:rsidR="00A91318">
        <w:t>waterway crossing</w:t>
      </w:r>
      <w:r w:rsidR="00E84E32">
        <w:t xml:space="preserve"> (18 South Buck</w:t>
      </w:r>
      <w:r w:rsidR="00645785">
        <w:t xml:space="preserve">; </w:t>
      </w:r>
      <w:r w:rsidR="00645785">
        <w:fldChar w:fldCharType="begin"/>
      </w:r>
      <w:r w:rsidR="00645785">
        <w:instrText xml:space="preserve"> REF _Ref120175326 \h </w:instrText>
      </w:r>
      <w:r w:rsidR="00645785">
        <w:fldChar w:fldCharType="separate"/>
      </w:r>
      <w:r w:rsidR="00130DCF" w:rsidRPr="009038E7">
        <w:t>Figure</w:t>
      </w:r>
      <w:r w:rsidR="00130DCF">
        <w:t> </w:t>
      </w:r>
      <w:r w:rsidR="00130DCF">
        <w:rPr>
          <w:noProof/>
        </w:rPr>
        <w:t>4</w:t>
      </w:r>
      <w:r w:rsidR="00130DCF">
        <w:noBreakHyphen/>
      </w:r>
      <w:r w:rsidR="00130DCF">
        <w:rPr>
          <w:noProof/>
        </w:rPr>
        <w:t>8</w:t>
      </w:r>
      <w:r w:rsidR="00645785">
        <w:fldChar w:fldCharType="end"/>
      </w:r>
      <w:r w:rsidR="00954139">
        <w:t>) or drainage line waterway crossing in a fire salvage coupe (</w:t>
      </w:r>
      <w:r w:rsidR="00E84E32">
        <w:t>21 Dow Jones)</w:t>
      </w:r>
      <w:r w:rsidR="00954139">
        <w:t>.</w:t>
      </w:r>
    </w:p>
    <w:p w14:paraId="040C8D0C" w14:textId="5059884B" w:rsidR="00AC4EAA" w:rsidRDefault="00626896" w:rsidP="00E20B70">
      <w:pPr>
        <w:pStyle w:val="BulletLevel1"/>
      </w:pPr>
      <w:r>
        <w:t xml:space="preserve">Snig track </w:t>
      </w:r>
      <w:r w:rsidR="00030BCA">
        <w:t xml:space="preserve">crossing </w:t>
      </w:r>
      <w:r>
        <w:t>rehabilit</w:t>
      </w:r>
      <w:r w:rsidR="001A3F4D">
        <w:t xml:space="preserve">ation </w:t>
      </w:r>
      <w:r w:rsidR="00030BCA">
        <w:t>(16 Sheik) has resulted in sediment being mobilised into a temporary stream.</w:t>
      </w:r>
    </w:p>
    <w:p w14:paraId="4BA13ABC" w14:textId="5B5D5DAA" w:rsidR="009340C0" w:rsidRDefault="00EA0FB5" w:rsidP="009340C0">
      <w:pPr>
        <w:pStyle w:val="BodyText"/>
      </w:pPr>
      <w:r>
        <w:rPr>
          <w:noProof/>
        </w:rPr>
        <w:drawing>
          <wp:inline distT="0" distB="0" distL="0" distR="0" wp14:anchorId="75A81C01" wp14:editId="3137CFDA">
            <wp:extent cx="6067425" cy="1860614"/>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a:extLst>
                        <a:ext uri="{28A0092B-C50C-407E-A947-70E740481C1C}">
                          <a14:useLocalDpi xmlns:a14="http://schemas.microsoft.com/office/drawing/2010/main" val="0"/>
                        </a:ext>
                      </a:extLst>
                    </a:blip>
                    <a:srcRect l="2273" t="12083"/>
                    <a:stretch/>
                  </pic:blipFill>
                  <pic:spPr bwMode="auto">
                    <a:xfrm>
                      <a:off x="0" y="0"/>
                      <a:ext cx="6074508" cy="1862786"/>
                    </a:xfrm>
                    <a:prstGeom prst="rect">
                      <a:avLst/>
                    </a:prstGeom>
                    <a:noFill/>
                    <a:ln>
                      <a:noFill/>
                    </a:ln>
                    <a:extLst>
                      <a:ext uri="{53640926-AAD7-44D8-BBD7-CCE9431645EC}">
                        <a14:shadowObscured xmlns:a14="http://schemas.microsoft.com/office/drawing/2010/main"/>
                      </a:ext>
                    </a:extLst>
                  </pic:spPr>
                </pic:pic>
              </a:graphicData>
            </a:graphic>
          </wp:inline>
        </w:drawing>
      </w:r>
    </w:p>
    <w:p w14:paraId="033D58D3" w14:textId="695A681B" w:rsidR="006F556D" w:rsidRPr="004D738C" w:rsidRDefault="006F556D" w:rsidP="006F556D">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485433">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414E10FB" w14:textId="332498E6" w:rsidR="009340C0" w:rsidRDefault="00EA0FB5" w:rsidP="009340C0">
      <w:pPr>
        <w:pStyle w:val="BodyText"/>
      </w:pPr>
      <w:r>
        <w:rPr>
          <w:noProof/>
        </w:rPr>
        <w:drawing>
          <wp:inline distT="0" distB="0" distL="0" distR="0" wp14:anchorId="42097C30" wp14:editId="79527093">
            <wp:extent cx="6086475" cy="1554823"/>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l="2275" t="12897"/>
                    <a:stretch/>
                  </pic:blipFill>
                  <pic:spPr bwMode="auto">
                    <a:xfrm>
                      <a:off x="0" y="0"/>
                      <a:ext cx="6106980" cy="1560061"/>
                    </a:xfrm>
                    <a:prstGeom prst="rect">
                      <a:avLst/>
                    </a:prstGeom>
                    <a:noFill/>
                    <a:ln>
                      <a:noFill/>
                    </a:ln>
                    <a:extLst>
                      <a:ext uri="{53640926-AAD7-44D8-BBD7-CCE9431645EC}">
                        <a14:shadowObscured xmlns:a14="http://schemas.microsoft.com/office/drawing/2010/main"/>
                      </a:ext>
                    </a:extLst>
                  </pic:spPr>
                </pic:pic>
              </a:graphicData>
            </a:graphic>
          </wp:inline>
        </w:drawing>
      </w:r>
    </w:p>
    <w:p w14:paraId="46508137" w14:textId="77777777" w:rsidR="006F556D" w:rsidRPr="00BC6203" w:rsidRDefault="006F556D" w:rsidP="006F556D">
      <w:pPr>
        <w:pStyle w:val="TableText"/>
      </w:pPr>
      <w:r w:rsidRPr="00BC6203">
        <w:t>b) Number of compliance criteria with assessable environmental impact and the assessed level of impact for each instance of non-conformance.</w:t>
      </w:r>
    </w:p>
    <w:p w14:paraId="4C638B91" w14:textId="2F79C4E1" w:rsidR="00F2335F" w:rsidRDefault="00F2335F" w:rsidP="00F2335F">
      <w:pPr>
        <w:pStyle w:val="FigureCaption"/>
      </w:pPr>
      <w:bookmarkStart w:id="111" w:name="_Ref120168929"/>
      <w:bookmarkStart w:id="112" w:name="_Toc131178757"/>
      <w:r w:rsidRPr="009038E7">
        <w:t>Figure</w:t>
      </w:r>
      <w:r>
        <w:t> </w:t>
      </w:r>
      <w:fldSimple w:instr=" STYLEREF 1 \s ">
        <w:r w:rsidR="00130DCF">
          <w:rPr>
            <w:noProof/>
          </w:rPr>
          <w:t>4</w:t>
        </w:r>
      </w:fldSimple>
      <w:r w:rsidR="0039100E">
        <w:noBreakHyphen/>
      </w:r>
      <w:fldSimple w:instr=" SEQ Figure \* ARABIC \s 1 ">
        <w:r w:rsidR="00130DCF">
          <w:rPr>
            <w:noProof/>
          </w:rPr>
          <w:t>5</w:t>
        </w:r>
      </w:fldSimple>
      <w:bookmarkEnd w:id="111"/>
      <w:r>
        <w:rPr>
          <w:noProof/>
        </w:rPr>
        <w:t>.</w:t>
      </w:r>
      <w:r w:rsidRPr="009038E7">
        <w:t xml:space="preserve"> </w:t>
      </w:r>
      <w:r>
        <w:t xml:space="preserve">Compliance findings and assessed environmental impact for instances of non-conformance for criteria applicable to the protection of water quality, flows and river health.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12"/>
    </w:p>
    <w:p w14:paraId="05B9A069" w14:textId="1839AC43" w:rsidR="00D42A8B" w:rsidRDefault="00616306" w:rsidP="009340C0">
      <w:pPr>
        <w:pStyle w:val="BodyText"/>
      </w:pPr>
      <w:r>
        <w:rPr>
          <w:noProof/>
        </w:rPr>
        <w:drawing>
          <wp:inline distT="0" distB="0" distL="0" distR="0" wp14:anchorId="0FA909D3" wp14:editId="5D579936">
            <wp:extent cx="6134100" cy="18910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62048" cy="1899643"/>
                    </a:xfrm>
                    <a:prstGeom prst="rect">
                      <a:avLst/>
                    </a:prstGeom>
                    <a:noFill/>
                  </pic:spPr>
                </pic:pic>
              </a:graphicData>
            </a:graphic>
          </wp:inline>
        </w:drawing>
      </w:r>
    </w:p>
    <w:p w14:paraId="00B41291" w14:textId="0E91F0D1" w:rsidR="00D42A8B" w:rsidRDefault="00D42A8B" w:rsidP="00602323">
      <w:pPr>
        <w:pStyle w:val="FigureCaption"/>
      </w:pPr>
      <w:bookmarkStart w:id="113" w:name="_Ref120169700"/>
      <w:bookmarkStart w:id="114" w:name="_Toc131178758"/>
      <w:r w:rsidRPr="009038E7">
        <w:t>Figure</w:t>
      </w:r>
      <w:r>
        <w:t> </w:t>
      </w:r>
      <w:fldSimple w:instr=" STYLEREF 1 \s ">
        <w:r w:rsidR="00130DCF">
          <w:rPr>
            <w:noProof/>
          </w:rPr>
          <w:t>4</w:t>
        </w:r>
      </w:fldSimple>
      <w:r w:rsidR="0039100E">
        <w:noBreakHyphen/>
      </w:r>
      <w:fldSimple w:instr=" SEQ Figure \* ARABIC \s 1 ">
        <w:r w:rsidR="00130DCF">
          <w:rPr>
            <w:noProof/>
          </w:rPr>
          <w:t>6</w:t>
        </w:r>
      </w:fldSimple>
      <w:bookmarkEnd w:id="113"/>
      <w:r>
        <w:rPr>
          <w:noProof/>
        </w:rPr>
        <w:t>.</w:t>
      </w:r>
      <w:r w:rsidRPr="009038E7">
        <w:t xml:space="preserve"> </w:t>
      </w:r>
      <w:r w:rsidR="00616306">
        <w:t xml:space="preserve">In-coupe road drainage onto the waterway crossing </w:t>
      </w:r>
      <w:r w:rsidR="00220A35">
        <w:t xml:space="preserve">on the approach to 24 Bayled Up is allowed to drain directly across the fill batter and has </w:t>
      </w:r>
      <w:r w:rsidR="007A7AD3">
        <w:t>mobilised batter sediments into the permanent stream.</w:t>
      </w:r>
      <w:bookmarkEnd w:id="114"/>
    </w:p>
    <w:p w14:paraId="62CCA3D1" w14:textId="33B77253" w:rsidR="00AE4A48" w:rsidRDefault="00470156" w:rsidP="00AE4A48">
      <w:pPr>
        <w:pStyle w:val="BodyText"/>
      </w:pPr>
      <w:r>
        <w:rPr>
          <w:noProof/>
        </w:rPr>
        <w:lastRenderedPageBreak/>
        <w:drawing>
          <wp:inline distT="0" distB="0" distL="0" distR="0" wp14:anchorId="3525FFFD" wp14:editId="76DC009E">
            <wp:extent cx="6103620" cy="24768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4313" cy="2485275"/>
                    </a:xfrm>
                    <a:prstGeom prst="rect">
                      <a:avLst/>
                    </a:prstGeom>
                    <a:noFill/>
                  </pic:spPr>
                </pic:pic>
              </a:graphicData>
            </a:graphic>
          </wp:inline>
        </w:drawing>
      </w:r>
    </w:p>
    <w:p w14:paraId="55A06B71" w14:textId="780840B1" w:rsidR="00C94047" w:rsidRDefault="00C94047" w:rsidP="00602323">
      <w:pPr>
        <w:pStyle w:val="FigureCaption"/>
      </w:pPr>
      <w:bookmarkStart w:id="115" w:name="_Ref120174798"/>
      <w:bookmarkStart w:id="116" w:name="_Toc131178759"/>
      <w:r w:rsidRPr="009038E7">
        <w:t>Figure</w:t>
      </w:r>
      <w:r>
        <w:t> </w:t>
      </w:r>
      <w:fldSimple w:instr=" STYLEREF 1 \s ">
        <w:r w:rsidR="00130DCF">
          <w:rPr>
            <w:noProof/>
          </w:rPr>
          <w:t>4</w:t>
        </w:r>
      </w:fldSimple>
      <w:r w:rsidR="0039100E">
        <w:noBreakHyphen/>
      </w:r>
      <w:fldSimple w:instr=" SEQ Figure \* ARABIC \s 1 ">
        <w:r w:rsidR="00130DCF">
          <w:rPr>
            <w:noProof/>
          </w:rPr>
          <w:t>7</w:t>
        </w:r>
      </w:fldSimple>
      <w:bookmarkEnd w:id="115"/>
      <w:r>
        <w:rPr>
          <w:noProof/>
        </w:rPr>
        <w:t>.</w:t>
      </w:r>
      <w:r w:rsidRPr="009038E7">
        <w:t xml:space="preserve"> </w:t>
      </w:r>
      <w:r w:rsidR="008B277A">
        <w:t xml:space="preserve">Examples of outlets of waterway crossing culverts being elevated above the downstream </w:t>
      </w:r>
      <w:r w:rsidR="005325C3">
        <w:t>bed</w:t>
      </w:r>
      <w:r w:rsidR="00331DC3">
        <w:t xml:space="preserve"> of temporary stream</w:t>
      </w:r>
      <w:r w:rsidR="005325C3">
        <w:t xml:space="preserve">, potentially </w:t>
      </w:r>
      <w:r w:rsidR="00331DC3">
        <w:t xml:space="preserve">blocking aquatic fauna movement and </w:t>
      </w:r>
      <w:r w:rsidR="005325C3">
        <w:t>contributing to erosion and sediment mobilisation</w:t>
      </w:r>
      <w:r w:rsidR="00331DC3">
        <w:t>.</w:t>
      </w:r>
      <w:bookmarkEnd w:id="116"/>
    </w:p>
    <w:p w14:paraId="1D4D7B36" w14:textId="2EE54958" w:rsidR="00C94047" w:rsidRDefault="009525AB" w:rsidP="00AE4A48">
      <w:pPr>
        <w:pStyle w:val="BodyText"/>
      </w:pPr>
      <w:r>
        <w:rPr>
          <w:noProof/>
        </w:rPr>
        <w:drawing>
          <wp:inline distT="0" distB="0" distL="0" distR="0" wp14:anchorId="75B68E12" wp14:editId="1E4AD8D2">
            <wp:extent cx="6163945" cy="2312238"/>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83258" cy="2319483"/>
                    </a:xfrm>
                    <a:prstGeom prst="rect">
                      <a:avLst/>
                    </a:prstGeom>
                    <a:noFill/>
                  </pic:spPr>
                </pic:pic>
              </a:graphicData>
            </a:graphic>
          </wp:inline>
        </w:drawing>
      </w:r>
    </w:p>
    <w:p w14:paraId="60030AD3" w14:textId="58A7E170" w:rsidR="009525AB" w:rsidRDefault="009525AB" w:rsidP="00602323">
      <w:pPr>
        <w:pStyle w:val="FigureCaption"/>
      </w:pPr>
      <w:bookmarkStart w:id="117" w:name="_Ref120175326"/>
      <w:bookmarkStart w:id="118" w:name="_Toc131178760"/>
      <w:r w:rsidRPr="009038E7">
        <w:t>Figure</w:t>
      </w:r>
      <w:r>
        <w:t> </w:t>
      </w:r>
      <w:fldSimple w:instr=" STYLEREF 1 \s ">
        <w:r w:rsidR="00130DCF">
          <w:rPr>
            <w:noProof/>
          </w:rPr>
          <w:t>4</w:t>
        </w:r>
      </w:fldSimple>
      <w:r w:rsidR="0039100E">
        <w:noBreakHyphen/>
      </w:r>
      <w:fldSimple w:instr=" SEQ Figure \* ARABIC \s 1 ">
        <w:r w:rsidR="00130DCF">
          <w:rPr>
            <w:noProof/>
          </w:rPr>
          <w:t>8</w:t>
        </w:r>
      </w:fldSimple>
      <w:bookmarkEnd w:id="117"/>
      <w:r>
        <w:rPr>
          <w:noProof/>
        </w:rPr>
        <w:t>.</w:t>
      </w:r>
      <w:r w:rsidRPr="009038E7">
        <w:t xml:space="preserve"> </w:t>
      </w:r>
      <w:r w:rsidR="00AC5AA3">
        <w:t xml:space="preserve">Drainage along the in-coupe road at 18 South Buck runs </w:t>
      </w:r>
      <w:r w:rsidR="005C25A2">
        <w:t>for significantly greater than 20 m into a temporary stream</w:t>
      </w:r>
      <w:r w:rsidR="00213B30">
        <w:t xml:space="preserve"> (highlighted by yellow arrows)</w:t>
      </w:r>
      <w:r w:rsidR="005C25A2">
        <w:t xml:space="preserve">. Photograph on the </w:t>
      </w:r>
      <w:r w:rsidR="00696855">
        <w:t>right shows evidence of sediment deposition.</w:t>
      </w:r>
      <w:bookmarkEnd w:id="118"/>
    </w:p>
    <w:p w14:paraId="4F289DCD" w14:textId="2F4CC461" w:rsidR="00506F26" w:rsidRDefault="00506F26" w:rsidP="00506F26">
      <w:pPr>
        <w:pStyle w:val="Heading2"/>
      </w:pPr>
      <w:bookmarkStart w:id="119" w:name="_Ref120265522"/>
      <w:bookmarkStart w:id="120" w:name="_Toc131178683"/>
      <w:r>
        <w:t>Conservation of biodiversity</w:t>
      </w:r>
      <w:bookmarkEnd w:id="119"/>
      <w:bookmarkEnd w:id="120"/>
    </w:p>
    <w:p w14:paraId="643A9577" w14:textId="75159B10" w:rsidR="00506F26" w:rsidRDefault="00506F26" w:rsidP="00506F26">
      <w:pPr>
        <w:pStyle w:val="BodyText"/>
      </w:pPr>
      <w:r>
        <w:t>C</w:t>
      </w:r>
      <w:r w:rsidR="00AA06DE">
        <w:t>ode and MSP c</w:t>
      </w:r>
      <w:r>
        <w:t>ompliance elements relevant to this theme (Appendix A) seek to protect biodiversity values by:</w:t>
      </w:r>
    </w:p>
    <w:p w14:paraId="3684E7D3" w14:textId="4D6137AE" w:rsidR="00506F26" w:rsidRDefault="00506F26" w:rsidP="0049344C">
      <w:pPr>
        <w:pStyle w:val="BulletLevel1"/>
      </w:pPr>
      <w:r>
        <w:t>Retaining trees and understorey elements within the gross coupe and/or harvested area, including old growth elements and trees with or with potential to form hollows</w:t>
      </w:r>
    </w:p>
    <w:p w14:paraId="23BE4B37" w14:textId="507AFEF2" w:rsidR="00506F26" w:rsidRDefault="00506F26" w:rsidP="0049344C">
      <w:pPr>
        <w:pStyle w:val="BulletLevel1"/>
      </w:pPr>
      <w:r>
        <w:t>Preventing harvesting activities, roading and regeneration burning from taking place within and/or adjacent to sensitive vegetation communities (e.g., heathlands, montane riparian thickets, rainforest stands) and other retained vegetation within the coupe</w:t>
      </w:r>
    </w:p>
    <w:p w14:paraId="56585459" w14:textId="5F1FC3B7" w:rsidR="00506F26" w:rsidRDefault="00506F26" w:rsidP="0049344C">
      <w:pPr>
        <w:pStyle w:val="BulletLevel1"/>
      </w:pPr>
      <w:r>
        <w:t xml:space="preserve">Identifying listed, threatened species of native flora and fauna which have been recorded within or adjacent to the coupe and applying the management measures prescribed by the MSPs </w:t>
      </w:r>
    </w:p>
    <w:p w14:paraId="15A8AC3B" w14:textId="02DD1E29" w:rsidR="00506F26" w:rsidRDefault="00506F26" w:rsidP="0049344C">
      <w:pPr>
        <w:pStyle w:val="BulletLevel1"/>
      </w:pPr>
      <w:r>
        <w:t>Not harvesting in (or otherwise disturbing) Special Protection Zones (SPZ) established to protect important native fauna habitats (</w:t>
      </w:r>
      <w:r w:rsidR="00CE35B5">
        <w:t>e.g.,</w:t>
      </w:r>
      <w:r>
        <w:t xml:space="preserve"> for Leadbeater’s Possum, Long-footed Potoroo, Owls)</w:t>
      </w:r>
    </w:p>
    <w:p w14:paraId="02E41B5E" w14:textId="00B83938" w:rsidR="00506F26" w:rsidRDefault="00506F26" w:rsidP="0049344C">
      <w:pPr>
        <w:pStyle w:val="BulletLevel1"/>
      </w:pPr>
      <w:r>
        <w:t>Maintaining passage for fish or other aquatic fauna along permanent streams</w:t>
      </w:r>
    </w:p>
    <w:p w14:paraId="03FAA704" w14:textId="2F270CE0" w:rsidR="00506F26" w:rsidRDefault="00506F26" w:rsidP="0049344C">
      <w:pPr>
        <w:pStyle w:val="BulletLevel1"/>
      </w:pPr>
      <w:r>
        <w:t>Protecting water quality from sediment movement to waterways from in-coupe roads, snig tracks and other coupe infrastructure</w:t>
      </w:r>
    </w:p>
    <w:p w14:paraId="41E5EAF8" w14:textId="292ADF41" w:rsidR="00506F26" w:rsidRDefault="00506F26" w:rsidP="00265696">
      <w:pPr>
        <w:pStyle w:val="BulletLevel1"/>
      </w:pPr>
      <w:r>
        <w:t>Managing the risk of entry or spread of weeds and soil-borne or other plant diseases.</w:t>
      </w:r>
    </w:p>
    <w:p w14:paraId="2C740480" w14:textId="43F485BE" w:rsidR="00506F26" w:rsidRDefault="00506F26" w:rsidP="00506F26">
      <w:pPr>
        <w:pStyle w:val="BodyText"/>
      </w:pPr>
      <w:r>
        <w:lastRenderedPageBreak/>
        <w:t xml:space="preserve">A total of 64 audit criteria are relevant to the protection of biodiversity values, of which 14 were not applicable to any of the selected coupes. The average level of full conformance with applicable criteria was found to be </w:t>
      </w:r>
      <w:r w:rsidR="009C6B2A">
        <w:t>96</w:t>
      </w:r>
      <w:r>
        <w:t xml:space="preserve">%, with the level of full conformance ranging between </w:t>
      </w:r>
      <w:r w:rsidR="009C6B2A">
        <w:t>85</w:t>
      </w:r>
      <w:r>
        <w:t>% (</w:t>
      </w:r>
      <w:r w:rsidR="009C6B2A">
        <w:t xml:space="preserve">06 Real Madrid, 07 Lemon Lime, </w:t>
      </w:r>
      <w:r w:rsidR="00EA5F50">
        <w:t>10 Amity Island</w:t>
      </w:r>
      <w:r>
        <w:t xml:space="preserve">) and 100% (18 coupes; </w:t>
      </w:r>
      <w:r w:rsidR="00EC57D8">
        <w:fldChar w:fldCharType="begin"/>
      </w:r>
      <w:r w:rsidR="00EC57D8">
        <w:instrText xml:space="preserve"> REF _Ref120170891 \h </w:instrText>
      </w:r>
      <w:r w:rsidR="00EC57D8">
        <w:fldChar w:fldCharType="separate"/>
      </w:r>
      <w:r w:rsidR="00130DCF" w:rsidRPr="009038E7">
        <w:t>Figure</w:t>
      </w:r>
      <w:r w:rsidR="00130DCF">
        <w:t> </w:t>
      </w:r>
      <w:r w:rsidR="00130DCF">
        <w:rPr>
          <w:noProof/>
        </w:rPr>
        <w:t>4</w:t>
      </w:r>
      <w:r w:rsidR="00130DCF">
        <w:noBreakHyphen/>
      </w:r>
      <w:r w:rsidR="00130DCF">
        <w:rPr>
          <w:noProof/>
        </w:rPr>
        <w:t>9</w:t>
      </w:r>
      <w:r w:rsidR="00EC57D8">
        <w:fldChar w:fldCharType="end"/>
      </w:r>
      <w:r>
        <w:t xml:space="preserve">). </w:t>
      </w:r>
    </w:p>
    <w:p w14:paraId="79DD79F0" w14:textId="073D3C9A" w:rsidR="00506F26" w:rsidRDefault="00A54973" w:rsidP="00506F26">
      <w:pPr>
        <w:pStyle w:val="BodyText"/>
      </w:pPr>
      <w:r>
        <w:rPr>
          <w:noProof/>
        </w:rPr>
        <w:drawing>
          <wp:inline distT="0" distB="0" distL="0" distR="0" wp14:anchorId="45E8C850" wp14:editId="305C1BC6">
            <wp:extent cx="6096000" cy="1840124"/>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2130" t="13333"/>
                    <a:stretch/>
                  </pic:blipFill>
                  <pic:spPr bwMode="auto">
                    <a:xfrm>
                      <a:off x="0" y="0"/>
                      <a:ext cx="6116678" cy="1846366"/>
                    </a:xfrm>
                    <a:prstGeom prst="rect">
                      <a:avLst/>
                    </a:prstGeom>
                    <a:noFill/>
                    <a:ln>
                      <a:noFill/>
                    </a:ln>
                    <a:extLst>
                      <a:ext uri="{53640926-AAD7-44D8-BBD7-CCE9431645EC}">
                        <a14:shadowObscured xmlns:a14="http://schemas.microsoft.com/office/drawing/2010/main"/>
                      </a:ext>
                    </a:extLst>
                  </pic:spPr>
                </pic:pic>
              </a:graphicData>
            </a:graphic>
          </wp:inline>
        </w:drawing>
      </w:r>
    </w:p>
    <w:p w14:paraId="18CF97BE" w14:textId="06F7FDD8" w:rsidR="00455ADB" w:rsidRPr="004D738C" w:rsidRDefault="00455ADB" w:rsidP="00455ADB">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[NEI],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2F1677E9" w14:textId="0627ED21" w:rsidR="00506F26" w:rsidRDefault="00F522DD" w:rsidP="00506F26">
      <w:pPr>
        <w:pStyle w:val="BodyText"/>
      </w:pPr>
      <w:r>
        <w:rPr>
          <w:noProof/>
        </w:rPr>
        <w:drawing>
          <wp:inline distT="0" distB="0" distL="0" distR="0" wp14:anchorId="16D768EE" wp14:editId="7732DC5C">
            <wp:extent cx="6124575" cy="1535592"/>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l="2132" t="14385"/>
                    <a:stretch/>
                  </pic:blipFill>
                  <pic:spPr bwMode="auto">
                    <a:xfrm>
                      <a:off x="0" y="0"/>
                      <a:ext cx="6147722" cy="1541396"/>
                    </a:xfrm>
                    <a:prstGeom prst="rect">
                      <a:avLst/>
                    </a:prstGeom>
                    <a:noFill/>
                    <a:ln>
                      <a:noFill/>
                    </a:ln>
                    <a:extLst>
                      <a:ext uri="{53640926-AAD7-44D8-BBD7-CCE9431645EC}">
                        <a14:shadowObscured xmlns:a14="http://schemas.microsoft.com/office/drawing/2010/main"/>
                      </a:ext>
                    </a:extLst>
                  </pic:spPr>
                </pic:pic>
              </a:graphicData>
            </a:graphic>
          </wp:inline>
        </w:drawing>
      </w:r>
    </w:p>
    <w:p w14:paraId="66D55A8D" w14:textId="77777777" w:rsidR="00506F26" w:rsidRDefault="00506F26" w:rsidP="00455ADB">
      <w:pPr>
        <w:pStyle w:val="TableText"/>
      </w:pPr>
      <w:r>
        <w:t>b) Number of compliance criteria with assessable environmental impact and the assessed level of impact for each instance of non-conformance.</w:t>
      </w:r>
    </w:p>
    <w:p w14:paraId="72E80F33" w14:textId="202B2350" w:rsidR="00455ADB" w:rsidRDefault="00455ADB" w:rsidP="00602323">
      <w:pPr>
        <w:pStyle w:val="FigureCaption"/>
      </w:pPr>
      <w:bookmarkStart w:id="121" w:name="_Ref120170891"/>
      <w:bookmarkStart w:id="122" w:name="_Toc131178761"/>
      <w:r w:rsidRPr="009038E7">
        <w:t>Figure</w:t>
      </w:r>
      <w:r>
        <w:t> </w:t>
      </w:r>
      <w:fldSimple w:instr=" STYLEREF 1 \s ">
        <w:r w:rsidR="00130DCF">
          <w:rPr>
            <w:noProof/>
          </w:rPr>
          <w:t>4</w:t>
        </w:r>
      </w:fldSimple>
      <w:r w:rsidR="0039100E">
        <w:noBreakHyphen/>
      </w:r>
      <w:fldSimple w:instr=" SEQ Figure \* ARABIC \s 1 ">
        <w:r w:rsidR="00130DCF">
          <w:rPr>
            <w:noProof/>
          </w:rPr>
          <w:t>9</w:t>
        </w:r>
      </w:fldSimple>
      <w:bookmarkEnd w:id="121"/>
      <w:r>
        <w:rPr>
          <w:noProof/>
        </w:rPr>
        <w:t>.</w:t>
      </w:r>
      <w:r w:rsidRPr="009038E7">
        <w:t xml:space="preserve"> </w:t>
      </w:r>
      <w:r>
        <w:t>Compliance findings and assessed environmental impact for instances of non-conformance for criteria applicable to the protection of biodiversity values.</w:t>
      </w:r>
      <w:r w:rsidRPr="00455ADB">
        <w:t xml:space="preserve"> </w:t>
      </w:r>
      <w:r>
        <w:t xml:space="preserve">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22"/>
    </w:p>
    <w:p w14:paraId="1A76AB46" w14:textId="5EC00A3F" w:rsidR="000600E6" w:rsidRDefault="00506F26" w:rsidP="00506F26">
      <w:pPr>
        <w:pStyle w:val="BodyText"/>
      </w:pPr>
      <w:r>
        <w:t xml:space="preserve">Biodiversity-related non-conformances with </w:t>
      </w:r>
      <w:r w:rsidR="00E76E84">
        <w:t xml:space="preserve">potential </w:t>
      </w:r>
      <w:r>
        <w:t xml:space="preserve">environmental impact were observed </w:t>
      </w:r>
      <w:r w:rsidR="000F7BE8">
        <w:t xml:space="preserve">at </w:t>
      </w:r>
      <w:r w:rsidR="001C4EFF">
        <w:t xml:space="preserve">14 </w:t>
      </w:r>
      <w:r>
        <w:t xml:space="preserve">of the coupes. The assessed environmental impact ranged between </w:t>
      </w:r>
      <w:r w:rsidR="002B3D91">
        <w:t xml:space="preserve">minor </w:t>
      </w:r>
      <w:r>
        <w:t>and major (</w:t>
      </w:r>
      <w:r w:rsidR="00FA7BAF">
        <w:fldChar w:fldCharType="begin"/>
      </w:r>
      <w:r w:rsidR="00FA7BAF">
        <w:instrText xml:space="preserve"> REF _Ref120170891 \h </w:instrText>
      </w:r>
      <w:r w:rsidR="00FA7BAF">
        <w:fldChar w:fldCharType="separate"/>
      </w:r>
      <w:r w:rsidR="00130DCF" w:rsidRPr="009038E7">
        <w:t>Figure</w:t>
      </w:r>
      <w:r w:rsidR="00130DCF">
        <w:t> </w:t>
      </w:r>
      <w:r w:rsidR="00130DCF">
        <w:rPr>
          <w:noProof/>
        </w:rPr>
        <w:t>4</w:t>
      </w:r>
      <w:r w:rsidR="00130DCF">
        <w:noBreakHyphen/>
      </w:r>
      <w:r w:rsidR="00130DCF">
        <w:rPr>
          <w:noProof/>
        </w:rPr>
        <w:t>9</w:t>
      </w:r>
      <w:r w:rsidR="00FA7BAF">
        <w:fldChar w:fldCharType="end"/>
      </w:r>
      <w:r>
        <w:t xml:space="preserve">). </w:t>
      </w:r>
      <w:r w:rsidR="00981C2C">
        <w:t>N</w:t>
      </w:r>
      <w:r>
        <w:t>on-conformance incident</w:t>
      </w:r>
      <w:r w:rsidR="00981C2C">
        <w:t xml:space="preserve">s with major potential </w:t>
      </w:r>
      <w:r>
        <w:t>environmental impact</w:t>
      </w:r>
      <w:r w:rsidR="00981C2C">
        <w:t xml:space="preserve"> were observed </w:t>
      </w:r>
      <w:r w:rsidR="003C6AE0">
        <w:t xml:space="preserve">at </w:t>
      </w:r>
      <w:r w:rsidR="00DE5962">
        <w:t>three</w:t>
      </w:r>
      <w:r w:rsidR="003D08F6">
        <w:t xml:space="preserve"> </w:t>
      </w:r>
      <w:r w:rsidR="009A3617">
        <w:t>coupes (06 Real Madrid, 10 Amity Island, 24 Bayled Up)</w:t>
      </w:r>
      <w:r>
        <w:t xml:space="preserve">. </w:t>
      </w:r>
      <w:r w:rsidR="00931D99">
        <w:t>I</w:t>
      </w:r>
      <w:r w:rsidR="00B242EB">
        <w:t xml:space="preserve">ncidents </w:t>
      </w:r>
      <w:r w:rsidR="00931D99">
        <w:t xml:space="preserve">at 06 Real Madrid and 24 Bayled Up </w:t>
      </w:r>
      <w:r w:rsidR="00B242EB">
        <w:t>were associated with waterway crossings and related to potential impacts on aquatic biodive</w:t>
      </w:r>
      <w:r w:rsidR="000600E6">
        <w:t>r</w:t>
      </w:r>
      <w:r w:rsidR="00B242EB">
        <w:t>sity</w:t>
      </w:r>
      <w:r>
        <w:t>.</w:t>
      </w:r>
      <w:r w:rsidR="00843AEF">
        <w:t xml:space="preserve"> These have been discussed in Sections </w:t>
      </w:r>
      <w:r w:rsidR="00843AEF">
        <w:fldChar w:fldCharType="begin"/>
      </w:r>
      <w:r w:rsidR="00843AEF">
        <w:instrText xml:space="preserve"> REF _Ref120169264 \r \h </w:instrText>
      </w:r>
      <w:r w:rsidR="00843AEF">
        <w:fldChar w:fldCharType="separate"/>
      </w:r>
      <w:r w:rsidR="00130DCF">
        <w:t>4.2.1</w:t>
      </w:r>
      <w:r w:rsidR="00843AEF">
        <w:fldChar w:fldCharType="end"/>
      </w:r>
      <w:r w:rsidR="004D319B">
        <w:t xml:space="preserve">and </w:t>
      </w:r>
      <w:r w:rsidR="00843AEF">
        <w:fldChar w:fldCharType="begin"/>
      </w:r>
      <w:r w:rsidR="00843AEF">
        <w:instrText xml:space="preserve"> REF _Ref120092460 \r \h </w:instrText>
      </w:r>
      <w:r w:rsidR="00843AEF">
        <w:fldChar w:fldCharType="separate"/>
      </w:r>
      <w:r w:rsidR="00130DCF">
        <w:t>4.2.2</w:t>
      </w:r>
      <w:r w:rsidR="00843AEF">
        <w:fldChar w:fldCharType="end"/>
      </w:r>
      <w:r w:rsidR="004D319B">
        <w:t>.</w:t>
      </w:r>
    </w:p>
    <w:p w14:paraId="6AAA38F2" w14:textId="5645F757" w:rsidR="00506F26" w:rsidRDefault="008A6868" w:rsidP="00506F26">
      <w:pPr>
        <w:pStyle w:val="BodyText"/>
      </w:pPr>
      <w:r>
        <w:t xml:space="preserve">The </w:t>
      </w:r>
      <w:r w:rsidR="000600E6">
        <w:t xml:space="preserve">non-conformance incident at 10 Amity Island </w:t>
      </w:r>
      <w:r>
        <w:t xml:space="preserve">with </w:t>
      </w:r>
      <w:r w:rsidR="000600E6">
        <w:t>major potential environmental impac</w:t>
      </w:r>
      <w:r>
        <w:t xml:space="preserve">t </w:t>
      </w:r>
      <w:r w:rsidR="00DF3348">
        <w:t xml:space="preserve">involved </w:t>
      </w:r>
      <w:r w:rsidR="0053599D">
        <w:t xml:space="preserve">apparent </w:t>
      </w:r>
      <w:r w:rsidR="00474906">
        <w:t>incursion</w:t>
      </w:r>
      <w:r w:rsidR="001D1FF2">
        <w:t>s</w:t>
      </w:r>
      <w:r w:rsidR="00474906">
        <w:t xml:space="preserve"> of </w:t>
      </w:r>
      <w:r w:rsidR="00DF3348">
        <w:t xml:space="preserve">harvesting </w:t>
      </w:r>
      <w:r w:rsidR="00935032">
        <w:t xml:space="preserve">disturbance </w:t>
      </w:r>
      <w:r w:rsidR="00474906">
        <w:t>into</w:t>
      </w:r>
      <w:r w:rsidR="001D1FF2">
        <w:t xml:space="preserve"> two </w:t>
      </w:r>
      <w:r w:rsidR="00530718">
        <w:t>small section</w:t>
      </w:r>
      <w:r w:rsidR="00705EC7">
        <w:t>s</w:t>
      </w:r>
      <w:r w:rsidR="00530718">
        <w:t xml:space="preserve"> of Leadbeaters Possum SPZ</w:t>
      </w:r>
      <w:r w:rsidR="002F5AAB">
        <w:t xml:space="preserve"> (</w:t>
      </w:r>
      <w:r w:rsidR="00474906">
        <w:fldChar w:fldCharType="begin"/>
      </w:r>
      <w:r w:rsidR="00474906">
        <w:instrText xml:space="preserve"> REF _Ref120260763 \h </w:instrText>
      </w:r>
      <w:r w:rsidR="00474906">
        <w:fldChar w:fldCharType="separate"/>
      </w:r>
      <w:r w:rsidR="00130DCF" w:rsidRPr="009038E7">
        <w:t>Figure</w:t>
      </w:r>
      <w:r w:rsidR="00130DCF">
        <w:t> </w:t>
      </w:r>
      <w:r w:rsidR="00130DCF">
        <w:rPr>
          <w:noProof/>
        </w:rPr>
        <w:t>4</w:t>
      </w:r>
      <w:r w:rsidR="00130DCF">
        <w:noBreakHyphen/>
      </w:r>
      <w:r w:rsidR="00130DCF">
        <w:rPr>
          <w:noProof/>
        </w:rPr>
        <w:t>10</w:t>
      </w:r>
      <w:r w:rsidR="00474906">
        <w:fldChar w:fldCharType="end"/>
      </w:r>
      <w:r w:rsidR="002F5AAB">
        <w:t>)</w:t>
      </w:r>
      <w:r w:rsidR="00DC4A13">
        <w:t>.</w:t>
      </w:r>
      <w:r w:rsidR="00474906">
        <w:t xml:space="preserve"> </w:t>
      </w:r>
      <w:r w:rsidR="001D1FF2">
        <w:t xml:space="preserve">The incursions were both less than </w:t>
      </w:r>
      <w:r w:rsidR="00CF47F8">
        <w:t xml:space="preserve">5 </w:t>
      </w:r>
      <w:r w:rsidR="001D1FF2">
        <w:t xml:space="preserve">m and (based on the audit team’s GPS track log) affected less than </w:t>
      </w:r>
      <w:r w:rsidR="00FF4871">
        <w:t>3</w:t>
      </w:r>
      <w:r w:rsidR="001D1FF2">
        <w:t>0 m</w:t>
      </w:r>
      <w:r w:rsidR="001D1FF2">
        <w:rPr>
          <w:vertAlign w:val="superscript"/>
        </w:rPr>
        <w:t>2</w:t>
      </w:r>
      <w:r w:rsidR="001D1FF2">
        <w:t xml:space="preserve"> of the SPZ</w:t>
      </w:r>
      <w:r w:rsidR="0010323B">
        <w:t xml:space="preserve"> (&lt;0.03%)</w:t>
      </w:r>
      <w:r w:rsidR="001D1FF2">
        <w:t xml:space="preserve">. </w:t>
      </w:r>
      <w:r w:rsidR="00367093">
        <w:t xml:space="preserve">From the track log and satellite imagery, it appears that one tree may have been removed. </w:t>
      </w:r>
      <w:r w:rsidR="00474906">
        <w:t xml:space="preserve">VicForests </w:t>
      </w:r>
      <w:r w:rsidR="00A04A28">
        <w:t xml:space="preserve">believe this to be </w:t>
      </w:r>
      <w:r w:rsidR="00D41B8D">
        <w:t xml:space="preserve">the result of </w:t>
      </w:r>
      <w:r w:rsidR="00A04A28">
        <w:t xml:space="preserve">a GPS error and </w:t>
      </w:r>
      <w:r w:rsidR="00474906">
        <w:t>is understood to have self-reported this</w:t>
      </w:r>
      <w:r w:rsidR="001D1FF2">
        <w:t xml:space="preserve"> incident</w:t>
      </w:r>
      <w:r w:rsidR="00474906">
        <w:t xml:space="preserve"> to </w:t>
      </w:r>
      <w:r w:rsidR="00A04A28">
        <w:t>DEECA</w:t>
      </w:r>
      <w:r w:rsidR="00474906">
        <w:t>.</w:t>
      </w:r>
    </w:p>
    <w:p w14:paraId="5C38E899" w14:textId="756343E3" w:rsidR="001D1FF2" w:rsidRDefault="001D1FF2" w:rsidP="00506F26">
      <w:pPr>
        <w:pStyle w:val="BodyText"/>
      </w:pPr>
      <w:r>
        <w:t xml:space="preserve">Incidents with moderate potential environmental impact on biodiversity values were observed at six coupes (01 Turnbuckle, </w:t>
      </w:r>
      <w:r w:rsidR="007D3C06">
        <w:t xml:space="preserve">02 Dragonfly, </w:t>
      </w:r>
      <w:r w:rsidR="00A04A28">
        <w:t>07 Lemon L</w:t>
      </w:r>
      <w:r w:rsidR="0074028B">
        <w:t>i</w:t>
      </w:r>
      <w:r w:rsidR="00A04A28">
        <w:t>me</w:t>
      </w:r>
      <w:r>
        <w:t xml:space="preserve">, </w:t>
      </w:r>
      <w:r w:rsidR="007D3C06">
        <w:t xml:space="preserve">13 Jandles, </w:t>
      </w:r>
      <w:r>
        <w:t xml:space="preserve">16 Sheik, 18 South Buck, 19 Rossignol, 29 Pinball Wizard). With the exception of 01 Turnbuckle, these were associated with waterway crossings </w:t>
      </w:r>
      <w:r w:rsidR="00771493">
        <w:t xml:space="preserve">or were otherwise </w:t>
      </w:r>
      <w:r>
        <w:t>related to potential impacts on aquatic biodiversity</w:t>
      </w:r>
      <w:r w:rsidR="005F1EB4">
        <w:t xml:space="preserve"> (see discussion in Section </w:t>
      </w:r>
      <w:r w:rsidR="005F1EB4">
        <w:fldChar w:fldCharType="begin"/>
      </w:r>
      <w:r w:rsidR="005F1EB4">
        <w:instrText xml:space="preserve"> REF _Ref120092460 \r \h </w:instrText>
      </w:r>
      <w:r w:rsidR="005F1EB4">
        <w:fldChar w:fldCharType="separate"/>
      </w:r>
      <w:r w:rsidR="00130DCF">
        <w:t>4.2.2</w:t>
      </w:r>
      <w:r w:rsidR="005F1EB4">
        <w:fldChar w:fldCharType="end"/>
      </w:r>
      <w:r w:rsidR="005F1EB4">
        <w:t>)</w:t>
      </w:r>
      <w:r>
        <w:t xml:space="preserve">. </w:t>
      </w:r>
      <w:r w:rsidR="0074028B">
        <w:t>The i</w:t>
      </w:r>
      <w:r>
        <w:t xml:space="preserve">ncident with moderate potential environmental impact at 01 Turnbuckle </w:t>
      </w:r>
      <w:r w:rsidR="005F1EB4">
        <w:t>(</w:t>
      </w:r>
      <w:r w:rsidR="005F1EB4">
        <w:fldChar w:fldCharType="begin"/>
      </w:r>
      <w:r w:rsidR="005F1EB4">
        <w:instrText xml:space="preserve"> REF _Ref120262246 \h </w:instrText>
      </w:r>
      <w:r w:rsidR="005F1EB4">
        <w:fldChar w:fldCharType="separate"/>
      </w:r>
      <w:r w:rsidR="00130DCF" w:rsidRPr="009038E7">
        <w:t>Figure</w:t>
      </w:r>
      <w:r w:rsidR="00130DCF">
        <w:t> </w:t>
      </w:r>
      <w:r w:rsidR="00130DCF">
        <w:rPr>
          <w:noProof/>
        </w:rPr>
        <w:t>4</w:t>
      </w:r>
      <w:r w:rsidR="00130DCF">
        <w:noBreakHyphen/>
      </w:r>
      <w:r w:rsidR="00130DCF">
        <w:rPr>
          <w:noProof/>
        </w:rPr>
        <w:t>11</w:t>
      </w:r>
      <w:r w:rsidR="005F1EB4">
        <w:fldChar w:fldCharType="end"/>
      </w:r>
      <w:r w:rsidR="005F1EB4">
        <w:t xml:space="preserve">) </w:t>
      </w:r>
      <w:r w:rsidR="0074028B">
        <w:t xml:space="preserve">was </w:t>
      </w:r>
      <w:r>
        <w:t xml:space="preserve">associated with incursions of the regeneration burn into retained vegetation </w:t>
      </w:r>
      <w:r w:rsidR="00434E36">
        <w:t xml:space="preserve">patches located </w:t>
      </w:r>
      <w:r>
        <w:t xml:space="preserve">within the gross coupe area. </w:t>
      </w:r>
    </w:p>
    <w:p w14:paraId="0F1E66BB" w14:textId="28A91DE5" w:rsidR="00474906" w:rsidRDefault="00474906" w:rsidP="00506F26">
      <w:pPr>
        <w:pStyle w:val="BodyText"/>
      </w:pPr>
      <w:r>
        <w:rPr>
          <w:noProof/>
        </w:rPr>
        <w:lastRenderedPageBreak/>
        <w:drawing>
          <wp:inline distT="0" distB="0" distL="0" distR="0" wp14:anchorId="47E1C439" wp14:editId="3FFD8A3A">
            <wp:extent cx="6341110" cy="4886622"/>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48016" cy="4891944"/>
                    </a:xfrm>
                    <a:prstGeom prst="rect">
                      <a:avLst/>
                    </a:prstGeom>
                    <a:noFill/>
                  </pic:spPr>
                </pic:pic>
              </a:graphicData>
            </a:graphic>
          </wp:inline>
        </w:drawing>
      </w:r>
    </w:p>
    <w:p w14:paraId="15CBD219" w14:textId="28EF0291" w:rsidR="00474906" w:rsidRDefault="00474906" w:rsidP="00602323">
      <w:pPr>
        <w:pStyle w:val="FigureCaption"/>
      </w:pPr>
      <w:bookmarkStart w:id="123" w:name="_Ref120260763"/>
      <w:bookmarkStart w:id="124" w:name="_Toc131178762"/>
      <w:r w:rsidRPr="009038E7">
        <w:t>Figure</w:t>
      </w:r>
      <w:r>
        <w:t> </w:t>
      </w:r>
      <w:fldSimple w:instr=" STYLEREF 1 \s ">
        <w:r w:rsidR="00130DCF">
          <w:rPr>
            <w:noProof/>
          </w:rPr>
          <w:t>4</w:t>
        </w:r>
      </w:fldSimple>
      <w:r w:rsidR="0039100E">
        <w:noBreakHyphen/>
      </w:r>
      <w:fldSimple w:instr=" SEQ Figure \* ARABIC \s 1 ">
        <w:r w:rsidR="00130DCF">
          <w:rPr>
            <w:noProof/>
          </w:rPr>
          <w:t>10</w:t>
        </w:r>
      </w:fldSimple>
      <w:bookmarkEnd w:id="123"/>
      <w:r>
        <w:rPr>
          <w:noProof/>
        </w:rPr>
        <w:t>.</w:t>
      </w:r>
      <w:r w:rsidRPr="009038E7">
        <w:t xml:space="preserve"> </w:t>
      </w:r>
      <w:r>
        <w:t>Incursion of harvesting into Leadbeaters Possum SPZ at 10 Amity Island</w:t>
      </w:r>
      <w:bookmarkEnd w:id="124"/>
    </w:p>
    <w:p w14:paraId="5FDF980F" w14:textId="7C45CB15" w:rsidR="00310F05" w:rsidRDefault="005F1EB4" w:rsidP="00506F26">
      <w:pPr>
        <w:pStyle w:val="BodyText"/>
      </w:pPr>
      <w:r>
        <w:rPr>
          <w:noProof/>
        </w:rPr>
        <w:drawing>
          <wp:inline distT="0" distB="0" distL="0" distR="0" wp14:anchorId="34914262" wp14:editId="146FC07A">
            <wp:extent cx="6142990" cy="235849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68199" cy="2368175"/>
                    </a:xfrm>
                    <a:prstGeom prst="rect">
                      <a:avLst/>
                    </a:prstGeom>
                    <a:noFill/>
                  </pic:spPr>
                </pic:pic>
              </a:graphicData>
            </a:graphic>
          </wp:inline>
        </w:drawing>
      </w:r>
    </w:p>
    <w:p w14:paraId="40CA76D4" w14:textId="6F49C984" w:rsidR="005F1EB4" w:rsidRDefault="005F1EB4" w:rsidP="00602323">
      <w:pPr>
        <w:pStyle w:val="FigureCaption"/>
      </w:pPr>
      <w:bookmarkStart w:id="125" w:name="_Ref120262246"/>
      <w:bookmarkStart w:id="126" w:name="_Toc131178763"/>
      <w:r w:rsidRPr="009038E7">
        <w:t>Figure</w:t>
      </w:r>
      <w:r>
        <w:t> </w:t>
      </w:r>
      <w:fldSimple w:instr=" STYLEREF 1 \s ">
        <w:r w:rsidR="00130DCF">
          <w:rPr>
            <w:noProof/>
          </w:rPr>
          <w:t>4</w:t>
        </w:r>
      </w:fldSimple>
      <w:r w:rsidR="0039100E">
        <w:noBreakHyphen/>
      </w:r>
      <w:fldSimple w:instr=" SEQ Figure \* ARABIC \s 1 ">
        <w:r w:rsidR="00130DCF">
          <w:rPr>
            <w:noProof/>
          </w:rPr>
          <w:t>11</w:t>
        </w:r>
      </w:fldSimple>
      <w:bookmarkEnd w:id="125"/>
      <w:r>
        <w:rPr>
          <w:noProof/>
        </w:rPr>
        <w:t>.</w:t>
      </w:r>
      <w:r w:rsidRPr="009038E7">
        <w:t xml:space="preserve"> </w:t>
      </w:r>
      <w:r>
        <w:t xml:space="preserve">Incursion of regeneration burn at 01 Turnbuckle into retained vegetation patches. The regeneration burn did not scorch the crowns of retained </w:t>
      </w:r>
      <w:r w:rsidR="00CE35B5">
        <w:t>trees but</w:t>
      </w:r>
      <w:r>
        <w:t xml:space="preserve"> destroy retained understorey vegetation.</w:t>
      </w:r>
      <w:bookmarkEnd w:id="126"/>
    </w:p>
    <w:p w14:paraId="199C81D9" w14:textId="6344E5EA" w:rsidR="005F1EB4" w:rsidRDefault="005F1EB4" w:rsidP="005F1EB4">
      <w:pPr>
        <w:pStyle w:val="Heading2"/>
      </w:pPr>
      <w:bookmarkStart w:id="127" w:name="_Toc131178684"/>
      <w:r>
        <w:t>Operational planning and record-keeping</w:t>
      </w:r>
      <w:bookmarkEnd w:id="127"/>
    </w:p>
    <w:p w14:paraId="242E196E" w14:textId="667B9DF7" w:rsidR="005F1EB4" w:rsidRDefault="005F1EB4" w:rsidP="005F1EB4">
      <w:pPr>
        <w:pStyle w:val="BodyText"/>
      </w:pPr>
      <w:r>
        <w:t xml:space="preserve">Compliance elements considered under this theme are concerned with the development of the FCP in conformance with the Code and MSPs and the consistency of coupe operations with that plan. The </w:t>
      </w:r>
      <w:r>
        <w:lastRenderedPageBreak/>
        <w:t xml:space="preserve">compliance elements seek to protect soil, water and biodiversity values from risks associated with poorly planned </w:t>
      </w:r>
      <w:r w:rsidR="00EE4478">
        <w:t xml:space="preserve">or </w:t>
      </w:r>
      <w:r>
        <w:t>executed harvesting, roading and regeneration operations. Ninety-two audit criteria were identified (</w:t>
      </w:r>
      <w:r>
        <w:fldChar w:fldCharType="begin"/>
      </w:r>
      <w:r>
        <w:instrText xml:space="preserve"> REF _Ref120262457 \r \h </w:instrText>
      </w:r>
      <w:r>
        <w:fldChar w:fldCharType="separate"/>
      </w:r>
      <w:r w:rsidR="00130DCF">
        <w:t>Appendix A</w:t>
      </w:r>
      <w:r>
        <w:fldChar w:fldCharType="end"/>
      </w:r>
      <w:r>
        <w:t>), with 13 of these found not to apply to any of the audited coupes.</w:t>
      </w:r>
    </w:p>
    <w:p w14:paraId="7B42F91A" w14:textId="40B55AB5" w:rsidR="000E2F53" w:rsidRDefault="005F1EB4" w:rsidP="005F1EB4">
      <w:pPr>
        <w:pStyle w:val="BodyText"/>
      </w:pPr>
      <w:r>
        <w:t>The average level of full conformance with applicable criteria was found to be 9</w:t>
      </w:r>
      <w:r w:rsidR="00484963">
        <w:t>7</w:t>
      </w:r>
      <w:r>
        <w:t xml:space="preserve">%, with the level of full conformance ranging between </w:t>
      </w:r>
      <w:r w:rsidR="000E2F53">
        <w:t>8</w:t>
      </w:r>
      <w:r w:rsidR="00F465AD">
        <w:t>9</w:t>
      </w:r>
      <w:r>
        <w:t>% (</w:t>
      </w:r>
      <w:r w:rsidR="000E2F53">
        <w:t>24 Bayled Up</w:t>
      </w:r>
      <w:r>
        <w:t>) and 100% (</w:t>
      </w:r>
      <w:r w:rsidR="000E2F53">
        <w:t>17</w:t>
      </w:r>
      <w:r>
        <w:t xml:space="preserve"> coupes; </w:t>
      </w:r>
      <w:r w:rsidR="00604ADA">
        <w:fldChar w:fldCharType="begin"/>
      </w:r>
      <w:r w:rsidR="00604ADA">
        <w:instrText xml:space="preserve"> REF _Ref120263208 \h </w:instrText>
      </w:r>
      <w:r w:rsidR="00604ADA">
        <w:fldChar w:fldCharType="separate"/>
      </w:r>
      <w:r w:rsidR="00130DCF" w:rsidRPr="009038E7">
        <w:t>Figure</w:t>
      </w:r>
      <w:r w:rsidR="00130DCF">
        <w:t> </w:t>
      </w:r>
      <w:r w:rsidR="00130DCF">
        <w:rPr>
          <w:noProof/>
        </w:rPr>
        <w:t>4</w:t>
      </w:r>
      <w:r w:rsidR="00130DCF">
        <w:noBreakHyphen/>
      </w:r>
      <w:r w:rsidR="00130DCF">
        <w:rPr>
          <w:noProof/>
        </w:rPr>
        <w:t>12</w:t>
      </w:r>
      <w:r w:rsidR="00604ADA">
        <w:fldChar w:fldCharType="end"/>
      </w:r>
      <w:r>
        <w:t xml:space="preserve">). </w:t>
      </w:r>
      <w:r w:rsidR="000E2F53">
        <w:t>N</w:t>
      </w:r>
      <w:r>
        <w:t>on-conformance incident</w:t>
      </w:r>
      <w:r w:rsidR="0073381B">
        <w:t>s</w:t>
      </w:r>
      <w:r>
        <w:t xml:space="preserve"> with major potential environmental impact </w:t>
      </w:r>
      <w:r w:rsidR="000E2F53">
        <w:t xml:space="preserve">were observed at </w:t>
      </w:r>
      <w:r w:rsidR="00A6672F">
        <w:t>three</w:t>
      </w:r>
      <w:r w:rsidR="00A63E82">
        <w:t xml:space="preserve"> </w:t>
      </w:r>
      <w:r w:rsidR="000E2F53">
        <w:t>coupes (06 Real Madrid, 10 Amity Island, 24 Bayled Up)</w:t>
      </w:r>
      <w:r>
        <w:t xml:space="preserve">. Incidents with moderate potential environmental impact were observed at a further </w:t>
      </w:r>
      <w:r w:rsidR="0044266C">
        <w:t>eight</w:t>
      </w:r>
      <w:r w:rsidR="00241707">
        <w:t xml:space="preserve"> </w:t>
      </w:r>
      <w:r>
        <w:t>coupes (</w:t>
      </w:r>
      <w:r w:rsidR="00604ADA">
        <w:fldChar w:fldCharType="begin"/>
      </w:r>
      <w:r w:rsidR="00604ADA">
        <w:instrText xml:space="preserve"> REF _Ref120263208 \h </w:instrText>
      </w:r>
      <w:r w:rsidR="00604ADA">
        <w:fldChar w:fldCharType="separate"/>
      </w:r>
      <w:r w:rsidR="00130DCF" w:rsidRPr="009038E7">
        <w:t>Figure</w:t>
      </w:r>
      <w:r w:rsidR="00130DCF">
        <w:t> </w:t>
      </w:r>
      <w:r w:rsidR="00130DCF">
        <w:rPr>
          <w:noProof/>
        </w:rPr>
        <w:t>4</w:t>
      </w:r>
      <w:r w:rsidR="00130DCF">
        <w:noBreakHyphen/>
      </w:r>
      <w:r w:rsidR="00130DCF">
        <w:rPr>
          <w:noProof/>
        </w:rPr>
        <w:t>12</w:t>
      </w:r>
      <w:r w:rsidR="00604ADA">
        <w:fldChar w:fldCharType="end"/>
      </w:r>
      <w:r>
        <w:t xml:space="preserve">). </w:t>
      </w:r>
      <w:r w:rsidR="000E2F53">
        <w:t>In all cases, the issue underpinning the non-conformance was that coupe planning was not executed correctly</w:t>
      </w:r>
      <w:r w:rsidR="00244BE2">
        <w:t xml:space="preserve"> rather than being deficient</w:t>
      </w:r>
      <w:r w:rsidR="000E2F53">
        <w:t>.</w:t>
      </w:r>
    </w:p>
    <w:p w14:paraId="17926243" w14:textId="485D64DD" w:rsidR="005F1EB4" w:rsidRDefault="000E2F53" w:rsidP="005F1EB4">
      <w:pPr>
        <w:pStyle w:val="BodyText"/>
      </w:pPr>
      <w:r>
        <w:t>I</w:t>
      </w:r>
      <w:r w:rsidR="005F1EB4">
        <w:t xml:space="preserve">ncidents resulting in assessed potential environmental impact of moderate or major </w:t>
      </w:r>
      <w:r>
        <w:t xml:space="preserve">have all been discussed previously (see Sections </w:t>
      </w:r>
      <w:r>
        <w:fldChar w:fldCharType="begin"/>
      </w:r>
      <w:r>
        <w:instrText xml:space="preserve"> REF _Ref120169264 \r \h </w:instrText>
      </w:r>
      <w:r>
        <w:fldChar w:fldCharType="separate"/>
      </w:r>
      <w:r w:rsidR="00130DCF">
        <w:t>4.2.1</w:t>
      </w:r>
      <w:r>
        <w:fldChar w:fldCharType="end"/>
      </w:r>
      <w:r>
        <w:t xml:space="preserve">, </w:t>
      </w:r>
      <w:r>
        <w:fldChar w:fldCharType="begin"/>
      </w:r>
      <w:r>
        <w:instrText xml:space="preserve"> REF _Ref120092460 \r \h </w:instrText>
      </w:r>
      <w:r>
        <w:fldChar w:fldCharType="separate"/>
      </w:r>
      <w:r w:rsidR="00130DCF">
        <w:t>4.2.2</w:t>
      </w:r>
      <w:r>
        <w:fldChar w:fldCharType="end"/>
      </w:r>
      <w:r>
        <w:t xml:space="preserve"> and </w:t>
      </w:r>
      <w:r>
        <w:fldChar w:fldCharType="begin"/>
      </w:r>
      <w:r>
        <w:instrText xml:space="preserve"> REF _Ref120265522 \r \h </w:instrText>
      </w:r>
      <w:r>
        <w:fldChar w:fldCharType="separate"/>
      </w:r>
      <w:r w:rsidR="00130DCF">
        <w:t>4.3</w:t>
      </w:r>
      <w:r>
        <w:fldChar w:fldCharType="end"/>
      </w:r>
      <w:r>
        <w:t>) and relate to defective in-coupe road or snig track waterway crossings, incursion of harvesting activity into an SPZ and incursion of</w:t>
      </w:r>
      <w:r w:rsidR="006E56A7">
        <w:t xml:space="preserve"> a</w:t>
      </w:r>
      <w:r>
        <w:t xml:space="preserve"> regeneration burn into retained </w:t>
      </w:r>
      <w:r w:rsidR="006E56A7">
        <w:t>habitat patches</w:t>
      </w:r>
      <w:r>
        <w:t>.</w:t>
      </w:r>
    </w:p>
    <w:p w14:paraId="5DDB365A" w14:textId="5231368A" w:rsidR="000E2F53" w:rsidRDefault="00712711" w:rsidP="005F1EB4">
      <w:pPr>
        <w:pStyle w:val="BodyText"/>
      </w:pPr>
      <w:r>
        <w:rPr>
          <w:noProof/>
        </w:rPr>
        <w:drawing>
          <wp:inline distT="0" distB="0" distL="0" distR="0" wp14:anchorId="3B0BF48E" wp14:editId="2C4418B8">
            <wp:extent cx="6134100" cy="1819637"/>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1847" t="14584"/>
                    <a:stretch/>
                  </pic:blipFill>
                  <pic:spPr bwMode="auto">
                    <a:xfrm>
                      <a:off x="0" y="0"/>
                      <a:ext cx="6149273" cy="1824138"/>
                    </a:xfrm>
                    <a:prstGeom prst="rect">
                      <a:avLst/>
                    </a:prstGeom>
                    <a:noFill/>
                    <a:ln>
                      <a:noFill/>
                    </a:ln>
                    <a:extLst>
                      <a:ext uri="{53640926-AAD7-44D8-BBD7-CCE9431645EC}">
                        <a14:shadowObscured xmlns:a14="http://schemas.microsoft.com/office/drawing/2010/main"/>
                      </a:ext>
                    </a:extLst>
                  </pic:spPr>
                </pic:pic>
              </a:graphicData>
            </a:graphic>
          </wp:inline>
        </w:drawing>
      </w:r>
    </w:p>
    <w:p w14:paraId="3A718B7F" w14:textId="5653EACE" w:rsidR="005F1EB4" w:rsidRPr="004D738C" w:rsidRDefault="005F1EB4" w:rsidP="005F1EB4">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C2295D">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64F2A666" w14:textId="33F1B8F9" w:rsidR="005F1EB4" w:rsidRDefault="00461126" w:rsidP="005F1EB4">
      <w:pPr>
        <w:pStyle w:val="BodyText"/>
      </w:pPr>
      <w:r>
        <w:rPr>
          <w:noProof/>
        </w:rPr>
        <w:drawing>
          <wp:inline distT="0" distB="0" distL="0" distR="0" wp14:anchorId="26580A94" wp14:editId="72EE97F7">
            <wp:extent cx="6048375" cy="149370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l="2559" t="16315"/>
                    <a:stretch/>
                  </pic:blipFill>
                  <pic:spPr bwMode="auto">
                    <a:xfrm>
                      <a:off x="0" y="0"/>
                      <a:ext cx="6059670" cy="1496498"/>
                    </a:xfrm>
                    <a:prstGeom prst="rect">
                      <a:avLst/>
                    </a:prstGeom>
                    <a:noFill/>
                    <a:ln>
                      <a:noFill/>
                    </a:ln>
                    <a:extLst>
                      <a:ext uri="{53640926-AAD7-44D8-BBD7-CCE9431645EC}">
                        <a14:shadowObscured xmlns:a14="http://schemas.microsoft.com/office/drawing/2010/main"/>
                      </a:ext>
                    </a:extLst>
                  </pic:spPr>
                </pic:pic>
              </a:graphicData>
            </a:graphic>
          </wp:inline>
        </w:drawing>
      </w:r>
    </w:p>
    <w:p w14:paraId="317C6443" w14:textId="77777777" w:rsidR="005F1EB4" w:rsidRDefault="005F1EB4" w:rsidP="005F1EB4">
      <w:pPr>
        <w:pStyle w:val="TableText"/>
      </w:pPr>
      <w:r>
        <w:t>b) Number of compliance criteria with assessable environmental impact and the assessed level of impact for each instance of non-conformance.</w:t>
      </w:r>
    </w:p>
    <w:p w14:paraId="6D3D3DC0" w14:textId="27FAFA71" w:rsidR="005F1EB4" w:rsidRDefault="005F1EB4" w:rsidP="00602323">
      <w:pPr>
        <w:pStyle w:val="FigureCaption"/>
      </w:pPr>
      <w:bookmarkStart w:id="128" w:name="_Ref120263208"/>
      <w:bookmarkStart w:id="129" w:name="_Toc131178764"/>
      <w:r w:rsidRPr="009038E7">
        <w:t>Figure</w:t>
      </w:r>
      <w:r>
        <w:t> </w:t>
      </w:r>
      <w:fldSimple w:instr=" STYLEREF 1 \s ">
        <w:r w:rsidR="00130DCF">
          <w:rPr>
            <w:noProof/>
          </w:rPr>
          <w:t>4</w:t>
        </w:r>
      </w:fldSimple>
      <w:r w:rsidR="0039100E">
        <w:noBreakHyphen/>
      </w:r>
      <w:fldSimple w:instr=" SEQ Figure \* ARABIC \s 1 ">
        <w:r w:rsidR="00130DCF">
          <w:rPr>
            <w:noProof/>
          </w:rPr>
          <w:t>12</w:t>
        </w:r>
      </w:fldSimple>
      <w:bookmarkEnd w:id="128"/>
      <w:r>
        <w:rPr>
          <w:noProof/>
        </w:rPr>
        <w:t>.</w:t>
      </w:r>
      <w:r w:rsidRPr="009038E7">
        <w:t xml:space="preserve"> </w:t>
      </w:r>
      <w:r>
        <w:t xml:space="preserve">Compliance findings and assessed environmental impact for instances of non-conformance for criteria applicable to coupe planning and management.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29"/>
    </w:p>
    <w:p w14:paraId="5F47D0ED" w14:textId="5604619E" w:rsidR="000E2F53" w:rsidRDefault="000E2F53" w:rsidP="000E2F53">
      <w:pPr>
        <w:pStyle w:val="BodyText"/>
      </w:pPr>
      <w:r>
        <w:t>Instances where coupe planning was inconsistent with specific Code or MSP requirements but did not directly result in an incident with potential environmental impact</w:t>
      </w:r>
      <w:r w:rsidR="00244BE2">
        <w:t xml:space="preserve"> were few in this audit</w:t>
      </w:r>
      <w:r>
        <w:t xml:space="preserve">. </w:t>
      </w:r>
    </w:p>
    <w:p w14:paraId="39E30259" w14:textId="77E8AC7D" w:rsidR="00244BE2" w:rsidRDefault="00244BE2" w:rsidP="00244BE2">
      <w:pPr>
        <w:pStyle w:val="Heading2"/>
      </w:pPr>
      <w:bookmarkStart w:id="130" w:name="_Toc131178685"/>
      <w:r>
        <w:t>Coupe infrastructure for harvesting operations</w:t>
      </w:r>
      <w:bookmarkEnd w:id="130"/>
    </w:p>
    <w:p w14:paraId="54DDDC62" w14:textId="77777777" w:rsidR="00244BE2" w:rsidRDefault="00244BE2" w:rsidP="00244BE2">
      <w:pPr>
        <w:pStyle w:val="BodyText"/>
      </w:pPr>
      <w:r>
        <w:t xml:space="preserve">The coupe infrastructure theme includes four main groups of compliance element and audit criteria. The first three relate to in-coupe roading (design, construction, maintenance and closure) and the fourth relates to other forms of coupe infrastructure, including landings and snig and boundary tracks. </w:t>
      </w:r>
    </w:p>
    <w:p w14:paraId="5E5C8373" w14:textId="4E6E6C16" w:rsidR="00244BE2" w:rsidRDefault="00494A92" w:rsidP="00244BE2">
      <w:pPr>
        <w:pStyle w:val="BodyText"/>
      </w:pPr>
      <w:r>
        <w:t>Thirteen</w:t>
      </w:r>
      <w:r w:rsidR="00244BE2">
        <w:t xml:space="preserve"> of the audit coupes had</w:t>
      </w:r>
      <w:r>
        <w:t xml:space="preserve"> either</w:t>
      </w:r>
      <w:r w:rsidR="00244BE2">
        <w:t xml:space="preserve"> no in-coupe road or only very short lengths of in-coupe road </w:t>
      </w:r>
      <w:r w:rsidR="004E30A6">
        <w:t xml:space="preserve">(significantly less </w:t>
      </w:r>
      <w:r w:rsidR="00D87B9F">
        <w:t xml:space="preserve">than </w:t>
      </w:r>
      <w:r w:rsidR="00244BE2">
        <w:t>50m) and were not assessed against the three in-coupe roading sub-themes.</w:t>
      </w:r>
    </w:p>
    <w:p w14:paraId="1E2BC98B" w14:textId="0E2D9DEA" w:rsidR="00244BE2" w:rsidRDefault="00244BE2" w:rsidP="00494A92">
      <w:pPr>
        <w:pStyle w:val="Heading3"/>
      </w:pPr>
      <w:bookmarkStart w:id="131" w:name="_Toc131178686"/>
      <w:r>
        <w:lastRenderedPageBreak/>
        <w:t>Compliance elements related to in-coupe road and waterway crossing design</w:t>
      </w:r>
      <w:bookmarkEnd w:id="131"/>
      <w:r>
        <w:t xml:space="preserve"> </w:t>
      </w:r>
    </w:p>
    <w:p w14:paraId="10DF8927" w14:textId="1442BAA9" w:rsidR="00244BE2" w:rsidRDefault="00244BE2" w:rsidP="00244BE2">
      <w:pPr>
        <w:pStyle w:val="BodyText"/>
      </w:pPr>
      <w:r>
        <w:t>The 1</w:t>
      </w:r>
      <w:r w:rsidR="00494A92">
        <w:t>3</w:t>
      </w:r>
      <w:r>
        <w:t xml:space="preserve"> compliance elements relevant to this theme (</w:t>
      </w:r>
      <w:r w:rsidR="00494A92">
        <w:fldChar w:fldCharType="begin"/>
      </w:r>
      <w:r w:rsidR="00494A92">
        <w:instrText xml:space="preserve"> REF _Ref120269017 \r \h </w:instrText>
      </w:r>
      <w:r w:rsidR="00494A92">
        <w:fldChar w:fldCharType="separate"/>
      </w:r>
      <w:r w:rsidR="00130DCF">
        <w:t>Appendix A</w:t>
      </w:r>
      <w:r w:rsidR="00494A92">
        <w:fldChar w:fldCharType="end"/>
      </w:r>
      <w:r>
        <w:t xml:space="preserve">) seek to ensure that appropriate design protects soil and water values from risks associated with the construction of fill batters for roads, waterway crossings and road drainage structures. Design is intended to ensure the stability of roads and road embankments, safe passage of high flow events through crossings and culverts and to prevent erosion of roads and crossings and associated sediment generation. </w:t>
      </w:r>
      <w:r w:rsidR="00494A92">
        <w:t>One</w:t>
      </w:r>
      <w:r>
        <w:t xml:space="preserve"> of the criteria were not applicable to any of the audited coupes. This sub-theme was not applicable to coupes that had no in-coupe road or only a minimal length (</w:t>
      </w:r>
      <w:r w:rsidR="00563197">
        <w:t>&lt;</w:t>
      </w:r>
      <w:r>
        <w:t>50 m).</w:t>
      </w:r>
    </w:p>
    <w:p w14:paraId="6A9D64B9" w14:textId="7EE60C0B" w:rsidR="00244BE2" w:rsidRDefault="00244BE2" w:rsidP="006534C1">
      <w:pPr>
        <w:pStyle w:val="BodyText"/>
      </w:pPr>
      <w:r>
        <w:t xml:space="preserve">The average level of full conformance with applicable criteria was found to be </w:t>
      </w:r>
      <w:r w:rsidR="00494A92">
        <w:t>96</w:t>
      </w:r>
      <w:r>
        <w:t xml:space="preserve">%, with the level of full conformance ranging between </w:t>
      </w:r>
      <w:r w:rsidR="00494A92">
        <w:t>78</w:t>
      </w:r>
      <w:r>
        <w:t>% (</w:t>
      </w:r>
      <w:r w:rsidR="00494A92">
        <w:t>07 Lemon Lime</w:t>
      </w:r>
      <w:r>
        <w:t>) and 100% (</w:t>
      </w:r>
      <w:r w:rsidR="00494A92">
        <w:t xml:space="preserve">12 </w:t>
      </w:r>
      <w:r>
        <w:t>coupes;</w:t>
      </w:r>
      <w:r w:rsidR="001B452A">
        <w:t xml:space="preserve"> </w:t>
      </w:r>
      <w:r w:rsidR="001B452A">
        <w:fldChar w:fldCharType="begin"/>
      </w:r>
      <w:r w:rsidR="001B452A">
        <w:instrText xml:space="preserve"> REF _Ref130447092 \h </w:instrText>
      </w:r>
      <w:r w:rsidR="001B452A">
        <w:fldChar w:fldCharType="separate"/>
      </w:r>
      <w:r w:rsidR="00130DCF" w:rsidRPr="009038E7">
        <w:t>Figure</w:t>
      </w:r>
      <w:r w:rsidR="00130DCF">
        <w:t> </w:t>
      </w:r>
      <w:r w:rsidR="00130DCF">
        <w:rPr>
          <w:noProof/>
        </w:rPr>
        <w:t>4</w:t>
      </w:r>
      <w:r w:rsidR="00130DCF">
        <w:noBreakHyphen/>
      </w:r>
      <w:r w:rsidR="00130DCF">
        <w:rPr>
          <w:noProof/>
        </w:rPr>
        <w:t>13</w:t>
      </w:r>
      <w:r w:rsidR="001B452A">
        <w:fldChar w:fldCharType="end"/>
      </w:r>
      <w:r>
        <w:t xml:space="preserve">). Non-conformance incidents assessed to have </w:t>
      </w:r>
      <w:r w:rsidR="00A7465A">
        <w:t>major</w:t>
      </w:r>
      <w:r>
        <w:t xml:space="preserve"> potential environmental impact were observed at </w:t>
      </w:r>
      <w:r w:rsidR="00B37F9A">
        <w:t>one</w:t>
      </w:r>
      <w:r w:rsidR="00CE5D1A">
        <w:t xml:space="preserve"> </w:t>
      </w:r>
      <w:r>
        <w:t>coupe (</w:t>
      </w:r>
      <w:r w:rsidR="00A7465A">
        <w:t>24 Bayled Up</w:t>
      </w:r>
      <w:r>
        <w:t xml:space="preserve">; </w:t>
      </w:r>
      <w:r w:rsidR="00425A16">
        <w:fldChar w:fldCharType="begin"/>
      </w:r>
      <w:r w:rsidR="00425A16">
        <w:instrText xml:space="preserve"> REF _Ref130447092 \h </w:instrText>
      </w:r>
      <w:r w:rsidR="00425A16">
        <w:fldChar w:fldCharType="separate"/>
      </w:r>
      <w:r w:rsidR="00130DCF" w:rsidRPr="009038E7">
        <w:t>Figure</w:t>
      </w:r>
      <w:r w:rsidR="00130DCF">
        <w:t> </w:t>
      </w:r>
      <w:r w:rsidR="00130DCF">
        <w:rPr>
          <w:noProof/>
        </w:rPr>
        <w:t>4</w:t>
      </w:r>
      <w:r w:rsidR="00130DCF">
        <w:noBreakHyphen/>
      </w:r>
      <w:r w:rsidR="00130DCF">
        <w:rPr>
          <w:noProof/>
        </w:rPr>
        <w:t>13</w:t>
      </w:r>
      <w:r w:rsidR="00425A16">
        <w:fldChar w:fldCharType="end"/>
      </w:r>
      <w:r>
        <w:t xml:space="preserve">). </w:t>
      </w:r>
      <w:r w:rsidR="006534C1">
        <w:t>I</w:t>
      </w:r>
      <w:r w:rsidR="00A7465A">
        <w:t>ncident</w:t>
      </w:r>
      <w:r w:rsidR="00B37F9A">
        <w:t>s</w:t>
      </w:r>
      <w:r w:rsidR="00A7465A">
        <w:t xml:space="preserve"> with moderate potential environmental impact </w:t>
      </w:r>
      <w:r w:rsidR="006534C1">
        <w:t xml:space="preserve">were </w:t>
      </w:r>
      <w:r w:rsidR="00A7465A">
        <w:t xml:space="preserve">observed at </w:t>
      </w:r>
      <w:r w:rsidR="00B37F9A">
        <w:t xml:space="preserve">02 Dragonfly, </w:t>
      </w:r>
      <w:r w:rsidR="006534C1">
        <w:t xml:space="preserve">07 Lemon Lime and </w:t>
      </w:r>
      <w:r w:rsidR="00A7465A">
        <w:t xml:space="preserve">18 South Buck. Each of these incidents relates to the design and construction of waterway crossings and </w:t>
      </w:r>
      <w:r w:rsidR="00912CA5">
        <w:t xml:space="preserve">all </w:t>
      </w:r>
      <w:r w:rsidR="00A7465A">
        <w:t xml:space="preserve">have been discussed in Sections </w:t>
      </w:r>
      <w:r w:rsidR="00A7465A">
        <w:fldChar w:fldCharType="begin"/>
      </w:r>
      <w:r w:rsidR="00A7465A">
        <w:instrText xml:space="preserve"> REF _Ref120169264 \r \h </w:instrText>
      </w:r>
      <w:r w:rsidR="00A7465A">
        <w:fldChar w:fldCharType="separate"/>
      </w:r>
      <w:r w:rsidR="00130DCF">
        <w:t>4.2.1</w:t>
      </w:r>
      <w:r w:rsidR="00A7465A">
        <w:fldChar w:fldCharType="end"/>
      </w:r>
      <w:r w:rsidR="00A7465A">
        <w:t xml:space="preserve">and </w:t>
      </w:r>
      <w:r w:rsidR="00A7465A">
        <w:fldChar w:fldCharType="begin"/>
      </w:r>
      <w:r w:rsidR="00A7465A">
        <w:instrText xml:space="preserve"> REF _Ref120092460 \r \h </w:instrText>
      </w:r>
      <w:r w:rsidR="00A7465A">
        <w:fldChar w:fldCharType="separate"/>
      </w:r>
      <w:r w:rsidR="00130DCF">
        <w:t>4.2.2</w:t>
      </w:r>
      <w:r w:rsidR="00A7465A">
        <w:fldChar w:fldCharType="end"/>
      </w:r>
      <w:r w:rsidR="00A7465A">
        <w:t>. The key issues include:</w:t>
      </w:r>
    </w:p>
    <w:p w14:paraId="49E3696D" w14:textId="0CC28D6C" w:rsidR="00A7465A" w:rsidRDefault="00A7465A" w:rsidP="00A7465A">
      <w:pPr>
        <w:pStyle w:val="BulletLevel1"/>
      </w:pPr>
      <w:r>
        <w:t>Road drainage not being intercepted and diverted into or through a sump, intact vegetation or silt trap prior to discharge into a waterway.</w:t>
      </w:r>
    </w:p>
    <w:p w14:paraId="1EB832B7" w14:textId="40EFCF91" w:rsidR="00A7465A" w:rsidRDefault="00A7465A" w:rsidP="00A7465A">
      <w:pPr>
        <w:pStyle w:val="BulletLevel1"/>
      </w:pPr>
      <w:r>
        <w:t xml:space="preserve">Elevation of </w:t>
      </w:r>
      <w:r w:rsidR="00236AB9">
        <w:t xml:space="preserve">a waterway crossing outlet above the downstream bed of the waterway. </w:t>
      </w:r>
    </w:p>
    <w:p w14:paraId="73B95AD4" w14:textId="4AFAC318" w:rsidR="00236AB9" w:rsidRDefault="00236AB9" w:rsidP="00A7465A">
      <w:pPr>
        <w:pStyle w:val="BulletLevel1"/>
      </w:pPr>
      <w:r>
        <w:t xml:space="preserve">Road drainage on the waterway crossing being “managed” in a way that allows it to mobilise fill batter sediments into the waterway. </w:t>
      </w:r>
    </w:p>
    <w:p w14:paraId="45B6FF4C" w14:textId="63237162" w:rsidR="00244BE2" w:rsidRDefault="00164E3E" w:rsidP="00244BE2">
      <w:pPr>
        <w:pStyle w:val="BodyText"/>
      </w:pPr>
      <w:r>
        <w:rPr>
          <w:noProof/>
        </w:rPr>
        <w:drawing>
          <wp:inline distT="0" distB="0" distL="0" distR="0" wp14:anchorId="63DAD49F" wp14:editId="380FAC5D">
            <wp:extent cx="6124575" cy="186304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a:extLst>
                        <a:ext uri="{28A0092B-C50C-407E-A947-70E740481C1C}">
                          <a14:useLocalDpi xmlns:a14="http://schemas.microsoft.com/office/drawing/2010/main" val="0"/>
                        </a:ext>
                      </a:extLst>
                    </a:blip>
                    <a:srcRect l="2414" t="12917"/>
                    <a:stretch/>
                  </pic:blipFill>
                  <pic:spPr bwMode="auto">
                    <a:xfrm>
                      <a:off x="0" y="0"/>
                      <a:ext cx="6147992" cy="1870168"/>
                    </a:xfrm>
                    <a:prstGeom prst="rect">
                      <a:avLst/>
                    </a:prstGeom>
                    <a:noFill/>
                    <a:ln>
                      <a:noFill/>
                    </a:ln>
                    <a:extLst>
                      <a:ext uri="{53640926-AAD7-44D8-BBD7-CCE9431645EC}">
                        <a14:shadowObscured xmlns:a14="http://schemas.microsoft.com/office/drawing/2010/main"/>
                      </a:ext>
                    </a:extLst>
                  </pic:spPr>
                </pic:pic>
              </a:graphicData>
            </a:graphic>
          </wp:inline>
        </w:drawing>
      </w:r>
    </w:p>
    <w:p w14:paraId="04DA0C62" w14:textId="55CDE190" w:rsidR="00494A92" w:rsidRPr="004D738C" w:rsidRDefault="00494A92" w:rsidP="00494A92">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1F46C1">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6B138845" w14:textId="1EC8CDE6" w:rsidR="00244BE2" w:rsidRDefault="00A03927" w:rsidP="00244BE2">
      <w:pPr>
        <w:pStyle w:val="BodyText"/>
      </w:pPr>
      <w:r>
        <w:rPr>
          <w:noProof/>
        </w:rPr>
        <w:drawing>
          <wp:inline distT="0" distB="0" distL="0" distR="0" wp14:anchorId="527F61E7" wp14:editId="0E30F7E8">
            <wp:extent cx="6076950" cy="147442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l="1990" t="17304"/>
                    <a:stretch/>
                  </pic:blipFill>
                  <pic:spPr bwMode="auto">
                    <a:xfrm>
                      <a:off x="0" y="0"/>
                      <a:ext cx="6104625" cy="1481144"/>
                    </a:xfrm>
                    <a:prstGeom prst="rect">
                      <a:avLst/>
                    </a:prstGeom>
                    <a:noFill/>
                    <a:ln>
                      <a:noFill/>
                    </a:ln>
                    <a:extLst>
                      <a:ext uri="{53640926-AAD7-44D8-BBD7-CCE9431645EC}">
                        <a14:shadowObscured xmlns:a14="http://schemas.microsoft.com/office/drawing/2010/main"/>
                      </a:ext>
                    </a:extLst>
                  </pic:spPr>
                </pic:pic>
              </a:graphicData>
            </a:graphic>
          </wp:inline>
        </w:drawing>
      </w:r>
    </w:p>
    <w:p w14:paraId="58155774" w14:textId="0086222E" w:rsidR="00A7465A" w:rsidRDefault="00A7465A" w:rsidP="00A7465A">
      <w:pPr>
        <w:pStyle w:val="TableText"/>
      </w:pPr>
      <w:bookmarkStart w:id="132" w:name="_Ref120269166"/>
      <w:r>
        <w:t>b) Number of compliance criteria with assessable environmental impact and the assessed level of impact for each instance of non-conformance.</w:t>
      </w:r>
    </w:p>
    <w:p w14:paraId="1486F861" w14:textId="6535E587" w:rsidR="00494A92" w:rsidRDefault="00494A92" w:rsidP="00602323">
      <w:pPr>
        <w:pStyle w:val="FigureCaption"/>
      </w:pPr>
      <w:bookmarkStart w:id="133" w:name="_Ref130447092"/>
      <w:bookmarkStart w:id="134" w:name="_Toc131178765"/>
      <w:r w:rsidRPr="009038E7">
        <w:t>Figure</w:t>
      </w:r>
      <w:r>
        <w:t> </w:t>
      </w:r>
      <w:fldSimple w:instr=" STYLEREF 1 \s ">
        <w:r w:rsidR="00130DCF">
          <w:rPr>
            <w:noProof/>
          </w:rPr>
          <w:t>4</w:t>
        </w:r>
      </w:fldSimple>
      <w:r w:rsidR="0039100E">
        <w:noBreakHyphen/>
      </w:r>
      <w:fldSimple w:instr=" SEQ Figure \* ARABIC \s 1 ">
        <w:r w:rsidR="00130DCF">
          <w:rPr>
            <w:noProof/>
          </w:rPr>
          <w:t>13</w:t>
        </w:r>
      </w:fldSimple>
      <w:bookmarkEnd w:id="132"/>
      <w:bookmarkEnd w:id="133"/>
      <w:r>
        <w:rPr>
          <w:noProof/>
        </w:rPr>
        <w:t>.</w:t>
      </w:r>
      <w:r w:rsidRPr="009038E7">
        <w:t xml:space="preserve"> </w:t>
      </w:r>
      <w:r w:rsidR="00A7465A">
        <w:t xml:space="preserve">Compliance findings and assessed environmental impact for instances of non-conformance for criteria applicable to the road design. The x-axis refers to the coupe numbers, as per </w:t>
      </w:r>
      <w:r w:rsidR="00A7465A">
        <w:fldChar w:fldCharType="begin"/>
      </w:r>
      <w:r w:rsidR="00A7465A">
        <w:instrText xml:space="preserve"> REF _Ref119928572 \h </w:instrText>
      </w:r>
      <w:r w:rsidR="00A7465A">
        <w:fldChar w:fldCharType="separate"/>
      </w:r>
      <w:r w:rsidR="00130DCF" w:rsidRPr="009038E7">
        <w:t>Table</w:t>
      </w:r>
      <w:r w:rsidR="00130DCF">
        <w:t> </w:t>
      </w:r>
      <w:r w:rsidR="00130DCF">
        <w:rPr>
          <w:noProof/>
        </w:rPr>
        <w:t>3-1</w:t>
      </w:r>
      <w:r w:rsidR="00A7465A">
        <w:fldChar w:fldCharType="end"/>
      </w:r>
      <w:r w:rsidR="00A7465A">
        <w:t>.</w:t>
      </w:r>
      <w:bookmarkEnd w:id="134"/>
    </w:p>
    <w:p w14:paraId="65629405" w14:textId="01F3D0E6" w:rsidR="00244BE2" w:rsidRDefault="00244BE2" w:rsidP="00550A7E">
      <w:pPr>
        <w:pStyle w:val="Heading3"/>
      </w:pPr>
      <w:bookmarkStart w:id="135" w:name="_Ref120285777"/>
      <w:bookmarkStart w:id="136" w:name="_Toc131178687"/>
      <w:r>
        <w:t>Compliance elements related to in-coupe road and waterway crossing construction</w:t>
      </w:r>
      <w:bookmarkEnd w:id="135"/>
      <w:bookmarkEnd w:id="136"/>
      <w:r>
        <w:t xml:space="preserve"> </w:t>
      </w:r>
    </w:p>
    <w:p w14:paraId="11D56E11" w14:textId="00440A76" w:rsidR="00244BE2" w:rsidRDefault="00244BE2" w:rsidP="00244BE2">
      <w:pPr>
        <w:pStyle w:val="BodyText"/>
      </w:pPr>
      <w:r>
        <w:t>The 4</w:t>
      </w:r>
      <w:r w:rsidR="00DE19D1">
        <w:t>4</w:t>
      </w:r>
      <w:r>
        <w:t xml:space="preserve"> compliance elements relevant to this theme (</w:t>
      </w:r>
      <w:r w:rsidR="00DE19D1">
        <w:fldChar w:fldCharType="begin"/>
      </w:r>
      <w:r w:rsidR="00DE19D1">
        <w:instrText xml:space="preserve"> REF _Ref120274383 \r \h </w:instrText>
      </w:r>
      <w:r w:rsidR="00DE19D1">
        <w:fldChar w:fldCharType="separate"/>
      </w:r>
      <w:r w:rsidR="00130DCF">
        <w:t>Appendix A</w:t>
      </w:r>
      <w:r w:rsidR="00DE19D1">
        <w:fldChar w:fldCharType="end"/>
      </w:r>
      <w:r>
        <w:t>)</w:t>
      </w:r>
      <w:r w:rsidR="00DE19D1">
        <w:t xml:space="preserve"> </w:t>
      </w:r>
      <w:r>
        <w:t xml:space="preserve">largely seek to protect soil and water values from impacts associated with road drainage and the construction of road embankments and waterway </w:t>
      </w:r>
      <w:r>
        <w:lastRenderedPageBreak/>
        <w:t xml:space="preserve">crossings. </w:t>
      </w:r>
      <w:r w:rsidR="00DE19D1">
        <w:t>Five</w:t>
      </w:r>
      <w:r>
        <w:t xml:space="preserve"> of these compliance elements were found to not be applicable to any of the audit coupes. This sub-theme was not applicable to the coupes that had no in-coupe road or only a minimal length (</w:t>
      </w:r>
      <w:r w:rsidR="00563197">
        <w:t>&lt;</w:t>
      </w:r>
      <w:r>
        <w:t>50 m).</w:t>
      </w:r>
    </w:p>
    <w:p w14:paraId="43EC4B61" w14:textId="498DD7DB" w:rsidR="00244BE2" w:rsidRDefault="00244BE2" w:rsidP="00244BE2">
      <w:pPr>
        <w:pStyle w:val="BodyText"/>
      </w:pPr>
      <w:r>
        <w:t xml:space="preserve">The average level of full conformance with applicable criteria was found to be </w:t>
      </w:r>
      <w:r w:rsidR="00DE19D1">
        <w:t>9</w:t>
      </w:r>
      <w:r w:rsidR="001D2B4A">
        <w:t>3</w:t>
      </w:r>
      <w:r>
        <w:t xml:space="preserve">%, with the level of conformance ranging between </w:t>
      </w:r>
      <w:r w:rsidR="00DE19D1">
        <w:t>66</w:t>
      </w:r>
      <w:r>
        <w:t>% (</w:t>
      </w:r>
      <w:r w:rsidR="00DE19D1">
        <w:t>07 Lemon Lime</w:t>
      </w:r>
      <w:r>
        <w:t>) and 100% (</w:t>
      </w:r>
      <w:r w:rsidR="00DE19D1">
        <w:t>8 coupes</w:t>
      </w:r>
      <w:r>
        <w:t xml:space="preserve">; </w:t>
      </w:r>
      <w:r w:rsidR="00DE19D1">
        <w:fldChar w:fldCharType="begin"/>
      </w:r>
      <w:r w:rsidR="00DE19D1">
        <w:instrText xml:space="preserve"> REF _Ref120274690 \h </w:instrText>
      </w:r>
      <w:r w:rsidR="00DE19D1">
        <w:fldChar w:fldCharType="separate"/>
      </w:r>
      <w:r w:rsidR="00130DCF" w:rsidRPr="009038E7">
        <w:t>Figure</w:t>
      </w:r>
      <w:r w:rsidR="00130DCF">
        <w:t> </w:t>
      </w:r>
      <w:r w:rsidR="00130DCF">
        <w:rPr>
          <w:noProof/>
        </w:rPr>
        <w:t>4</w:t>
      </w:r>
      <w:r w:rsidR="00130DCF">
        <w:noBreakHyphen/>
      </w:r>
      <w:r w:rsidR="00130DCF">
        <w:rPr>
          <w:noProof/>
        </w:rPr>
        <w:t>14</w:t>
      </w:r>
      <w:r w:rsidR="00DE19D1">
        <w:fldChar w:fldCharType="end"/>
      </w:r>
      <w:r>
        <w:t xml:space="preserve">). Non-conformances with potential environmental impact were identified in </w:t>
      </w:r>
      <w:r w:rsidR="00DE19D1">
        <w:t>nine</w:t>
      </w:r>
      <w:r>
        <w:t xml:space="preserve"> coupes, with incidents ranging in severity of potential environmental impact from negligible to </w:t>
      </w:r>
      <w:r w:rsidR="00DE19D1">
        <w:t>major</w:t>
      </w:r>
      <w:r>
        <w:t xml:space="preserve">. </w:t>
      </w:r>
    </w:p>
    <w:p w14:paraId="5B14B3D5" w14:textId="73DCC9EE" w:rsidR="00244BE2" w:rsidRDefault="00244BE2" w:rsidP="00244BE2">
      <w:pPr>
        <w:pStyle w:val="BodyText"/>
      </w:pPr>
      <w:r>
        <w:t xml:space="preserve">The non-conformance incidents giving rise to </w:t>
      </w:r>
      <w:r w:rsidR="00DE19D1">
        <w:t>major and moderate</w:t>
      </w:r>
      <w:r>
        <w:t xml:space="preserve"> potential environmental impact (</w:t>
      </w:r>
      <w:r w:rsidR="00DE19D1">
        <w:t xml:space="preserve">24 Bayled Up and </w:t>
      </w:r>
      <w:r w:rsidR="004D35C9">
        <w:t xml:space="preserve">02 Dragonfly, </w:t>
      </w:r>
      <w:r w:rsidR="00FB07B2">
        <w:t xml:space="preserve">07 Lemon Lime, </w:t>
      </w:r>
      <w:r w:rsidR="00DE19D1">
        <w:t>18 South Buck, 19 Rossignol, 21 Dow Jones, respectively</w:t>
      </w:r>
      <w:r>
        <w:t xml:space="preserve">) all </w:t>
      </w:r>
      <w:r w:rsidR="00DE19D1">
        <w:t xml:space="preserve">relate to the construction of waterway crossings and have </w:t>
      </w:r>
      <w:r>
        <w:t>been described previously (Section</w:t>
      </w:r>
      <w:r w:rsidR="00DE19D1">
        <w:t>s</w:t>
      </w:r>
      <w:r>
        <w:t xml:space="preserve"> </w:t>
      </w:r>
      <w:r w:rsidR="00DE19D1">
        <w:fldChar w:fldCharType="begin"/>
      </w:r>
      <w:r w:rsidR="00DE19D1">
        <w:instrText xml:space="preserve"> REF _Ref120169264 \r \h </w:instrText>
      </w:r>
      <w:r w:rsidR="00DE19D1">
        <w:fldChar w:fldCharType="separate"/>
      </w:r>
      <w:r w:rsidR="00130DCF">
        <w:t>4.2.1</w:t>
      </w:r>
      <w:r w:rsidR="00DE19D1">
        <w:fldChar w:fldCharType="end"/>
      </w:r>
      <w:r w:rsidR="00DE19D1">
        <w:t xml:space="preserve">, </w:t>
      </w:r>
      <w:r w:rsidR="00DE19D1">
        <w:fldChar w:fldCharType="begin"/>
      </w:r>
      <w:r w:rsidR="00DE19D1">
        <w:instrText xml:space="preserve"> REF _Ref120092460 \r \h </w:instrText>
      </w:r>
      <w:r w:rsidR="00DE19D1">
        <w:fldChar w:fldCharType="separate"/>
      </w:r>
      <w:r w:rsidR="00130DCF">
        <w:t>4.2.2</w:t>
      </w:r>
      <w:r w:rsidR="00DE19D1">
        <w:fldChar w:fldCharType="end"/>
      </w:r>
      <w:r>
        <w:t>).</w:t>
      </w:r>
    </w:p>
    <w:p w14:paraId="4443EC4A" w14:textId="67CAAB78" w:rsidR="00244BE2" w:rsidRDefault="007B0847" w:rsidP="00244BE2">
      <w:pPr>
        <w:pStyle w:val="BodyText"/>
      </w:pPr>
      <w:r>
        <w:rPr>
          <w:noProof/>
        </w:rPr>
        <w:drawing>
          <wp:inline distT="0" distB="0" distL="0" distR="0" wp14:anchorId="6011694C" wp14:editId="1EF6D0BB">
            <wp:extent cx="6086475" cy="1839919"/>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a:extLst>
                        <a:ext uri="{28A0092B-C50C-407E-A947-70E740481C1C}">
                          <a14:useLocalDpi xmlns:a14="http://schemas.microsoft.com/office/drawing/2010/main" val="0"/>
                        </a:ext>
                      </a:extLst>
                    </a:blip>
                    <a:srcRect l="2273" t="13333"/>
                    <a:stretch/>
                  </pic:blipFill>
                  <pic:spPr bwMode="auto">
                    <a:xfrm>
                      <a:off x="0" y="0"/>
                      <a:ext cx="6105622" cy="1845707"/>
                    </a:xfrm>
                    <a:prstGeom prst="rect">
                      <a:avLst/>
                    </a:prstGeom>
                    <a:noFill/>
                    <a:ln>
                      <a:noFill/>
                    </a:ln>
                    <a:extLst>
                      <a:ext uri="{53640926-AAD7-44D8-BBD7-CCE9431645EC}">
                        <a14:shadowObscured xmlns:a14="http://schemas.microsoft.com/office/drawing/2010/main"/>
                      </a:ext>
                    </a:extLst>
                  </pic:spPr>
                </pic:pic>
              </a:graphicData>
            </a:graphic>
          </wp:inline>
        </w:drawing>
      </w:r>
    </w:p>
    <w:p w14:paraId="3943DE5A" w14:textId="1A7B7A91" w:rsidR="00DE19D1" w:rsidRPr="004D738C" w:rsidRDefault="00DE19D1" w:rsidP="00DE19D1">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A73DE2">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5056460C" w14:textId="154DE553" w:rsidR="00244BE2" w:rsidRDefault="005715E9" w:rsidP="00244BE2">
      <w:pPr>
        <w:pStyle w:val="BodyText"/>
      </w:pPr>
      <w:r>
        <w:rPr>
          <w:noProof/>
        </w:rPr>
        <w:drawing>
          <wp:inline distT="0" distB="0" distL="0" distR="0" wp14:anchorId="252EEA5C" wp14:editId="753890F5">
            <wp:extent cx="6115050" cy="152802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l="1421" t="14338"/>
                    <a:stretch/>
                  </pic:blipFill>
                  <pic:spPr bwMode="auto">
                    <a:xfrm>
                      <a:off x="0" y="0"/>
                      <a:ext cx="6138219" cy="1533817"/>
                    </a:xfrm>
                    <a:prstGeom prst="rect">
                      <a:avLst/>
                    </a:prstGeom>
                    <a:noFill/>
                    <a:ln>
                      <a:noFill/>
                    </a:ln>
                    <a:extLst>
                      <a:ext uri="{53640926-AAD7-44D8-BBD7-CCE9431645EC}">
                        <a14:shadowObscured xmlns:a14="http://schemas.microsoft.com/office/drawing/2010/main"/>
                      </a:ext>
                    </a:extLst>
                  </pic:spPr>
                </pic:pic>
              </a:graphicData>
            </a:graphic>
          </wp:inline>
        </w:drawing>
      </w:r>
    </w:p>
    <w:p w14:paraId="491CB79F" w14:textId="77777777" w:rsidR="00DE19D1" w:rsidRDefault="00DE19D1" w:rsidP="00DE19D1">
      <w:pPr>
        <w:pStyle w:val="TableText"/>
      </w:pPr>
      <w:r>
        <w:t>b) Number of compliance criteria with assessable environmental impact and the assessed level of impact for each instance of non-conformance.</w:t>
      </w:r>
    </w:p>
    <w:p w14:paraId="7B2A676A" w14:textId="7EF83A37" w:rsidR="00DE19D1" w:rsidRDefault="00DE19D1" w:rsidP="00602323">
      <w:pPr>
        <w:pStyle w:val="FigureCaption"/>
      </w:pPr>
      <w:bookmarkStart w:id="137" w:name="_Ref120274690"/>
      <w:bookmarkStart w:id="138" w:name="_Toc131178766"/>
      <w:r w:rsidRPr="009038E7">
        <w:t>Figure</w:t>
      </w:r>
      <w:r>
        <w:t> </w:t>
      </w:r>
      <w:fldSimple w:instr=" STYLEREF 1 \s ">
        <w:r w:rsidR="00130DCF">
          <w:rPr>
            <w:noProof/>
          </w:rPr>
          <w:t>4</w:t>
        </w:r>
      </w:fldSimple>
      <w:r w:rsidR="0039100E">
        <w:noBreakHyphen/>
      </w:r>
      <w:fldSimple w:instr=" SEQ Figure \* ARABIC \s 1 ">
        <w:r w:rsidR="00130DCF">
          <w:rPr>
            <w:noProof/>
          </w:rPr>
          <w:t>14</w:t>
        </w:r>
      </w:fldSimple>
      <w:bookmarkEnd w:id="137"/>
      <w:r>
        <w:rPr>
          <w:noProof/>
        </w:rPr>
        <w:t>.</w:t>
      </w:r>
      <w:r w:rsidRPr="009038E7">
        <w:t xml:space="preserve"> </w:t>
      </w:r>
      <w:r>
        <w:t xml:space="preserve">Compliance findings and assessed environmental impact for instances of non-conformance for criteria applicable to road construction.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38"/>
    </w:p>
    <w:p w14:paraId="59676AB2" w14:textId="48165EA5" w:rsidR="00244BE2" w:rsidRDefault="00244BE2" w:rsidP="00173A43">
      <w:pPr>
        <w:pStyle w:val="Heading3"/>
      </w:pPr>
      <w:bookmarkStart w:id="139" w:name="_Toc131178688"/>
      <w:r>
        <w:t>Compliance elements related to in-coupe road and waterway crossing maintenance and closure</w:t>
      </w:r>
      <w:bookmarkEnd w:id="139"/>
    </w:p>
    <w:p w14:paraId="6F750C06" w14:textId="535AC560" w:rsidR="00244BE2" w:rsidRDefault="00244BE2" w:rsidP="00244BE2">
      <w:pPr>
        <w:pStyle w:val="BodyText"/>
      </w:pPr>
      <w:r>
        <w:t xml:space="preserve">Only </w:t>
      </w:r>
      <w:r w:rsidR="00173A43">
        <w:t>nine</w:t>
      </w:r>
      <w:r>
        <w:t xml:space="preserve"> compliance criteria relevant to road maintenance or closure were considered in this audit (</w:t>
      </w:r>
      <w:r w:rsidR="00173A43">
        <w:fldChar w:fldCharType="begin"/>
      </w:r>
      <w:r w:rsidR="00173A43">
        <w:instrText xml:space="preserve"> REF _Ref120275222 \r \h </w:instrText>
      </w:r>
      <w:r w:rsidR="00173A43">
        <w:fldChar w:fldCharType="separate"/>
      </w:r>
      <w:r w:rsidR="00130DCF">
        <w:t>Appendix A</w:t>
      </w:r>
      <w:r w:rsidR="00173A43">
        <w:fldChar w:fldCharType="end"/>
      </w:r>
      <w:r>
        <w:t xml:space="preserve">), of which </w:t>
      </w:r>
      <w:r w:rsidR="00173A43">
        <w:t xml:space="preserve">all but one </w:t>
      </w:r>
      <w:r w:rsidR="00CE35B5">
        <w:t>was</w:t>
      </w:r>
      <w:r>
        <w:t xml:space="preserve"> applicable to at least one coupe. Like compliance elements for road design and construction, they are largely concerned with protecting soil and water values from risks associated with the use of in-coupe roads, their closure following the completion of harvesting operations and the removal of any waterway crossings. </w:t>
      </w:r>
    </w:p>
    <w:p w14:paraId="785B2874" w14:textId="77EE8429" w:rsidR="00244BE2" w:rsidRDefault="00244BE2" w:rsidP="00244BE2">
      <w:pPr>
        <w:pStyle w:val="BodyText"/>
      </w:pPr>
      <w:r>
        <w:t xml:space="preserve">The average level of full conformance with applicable criteria was found to be </w:t>
      </w:r>
      <w:r w:rsidR="00A42499">
        <w:t>9</w:t>
      </w:r>
      <w:r w:rsidR="0027318F">
        <w:t>9</w:t>
      </w:r>
      <w:r>
        <w:t xml:space="preserve">%, with the level of conformance ranging between </w:t>
      </w:r>
      <w:r w:rsidR="00A42499">
        <w:t>75</w:t>
      </w:r>
      <w:r>
        <w:t>% (</w:t>
      </w:r>
      <w:r w:rsidR="00A42499">
        <w:t>09 Quinn</w:t>
      </w:r>
      <w:r>
        <w:t>) and 100% (1</w:t>
      </w:r>
      <w:r w:rsidR="0027318F">
        <w:t>6</w:t>
      </w:r>
      <w:r>
        <w:t xml:space="preserve"> coupes; </w:t>
      </w:r>
      <w:r w:rsidR="00A42499">
        <w:fldChar w:fldCharType="begin"/>
      </w:r>
      <w:r w:rsidR="00A42499">
        <w:instrText xml:space="preserve"> REF _Ref120278363 \h </w:instrText>
      </w:r>
      <w:r w:rsidR="00A42499">
        <w:fldChar w:fldCharType="separate"/>
      </w:r>
      <w:r w:rsidR="00130DCF" w:rsidRPr="009038E7">
        <w:t>Figure</w:t>
      </w:r>
      <w:r w:rsidR="00130DCF">
        <w:t> </w:t>
      </w:r>
      <w:r w:rsidR="00130DCF">
        <w:rPr>
          <w:noProof/>
        </w:rPr>
        <w:t>4</w:t>
      </w:r>
      <w:r w:rsidR="00130DCF">
        <w:noBreakHyphen/>
      </w:r>
      <w:r w:rsidR="00130DCF">
        <w:rPr>
          <w:noProof/>
        </w:rPr>
        <w:t>15</w:t>
      </w:r>
      <w:r w:rsidR="00A42499">
        <w:fldChar w:fldCharType="end"/>
      </w:r>
      <w:r>
        <w:t xml:space="preserve">). Non-conformance incidents with potential environmental impact </w:t>
      </w:r>
      <w:r w:rsidR="0027318F">
        <w:t xml:space="preserve">were only recorded at 09 Quinn. Potential environmental impact of this incident (removal and non-reinstatement of a barrier to coupe entry) was assessed to be negligible. </w:t>
      </w:r>
      <w:r>
        <w:t xml:space="preserve"> </w:t>
      </w:r>
    </w:p>
    <w:p w14:paraId="45EC2EF3" w14:textId="77777777" w:rsidR="00634A5C" w:rsidRDefault="00634A5C" w:rsidP="00244BE2">
      <w:pPr>
        <w:pStyle w:val="BodyText"/>
      </w:pPr>
    </w:p>
    <w:p w14:paraId="1B73C799" w14:textId="487AC57F" w:rsidR="00244BE2" w:rsidRDefault="00477183" w:rsidP="00244BE2">
      <w:pPr>
        <w:pStyle w:val="BodyText"/>
      </w:pPr>
      <w:r>
        <w:rPr>
          <w:noProof/>
        </w:rPr>
        <w:lastRenderedPageBreak/>
        <w:drawing>
          <wp:inline distT="0" distB="0" distL="0" distR="0" wp14:anchorId="14896FD7" wp14:editId="4BBFB2A3">
            <wp:extent cx="6076950" cy="18696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a:extLst>
                        <a:ext uri="{28A0092B-C50C-407E-A947-70E740481C1C}">
                          <a14:useLocalDpi xmlns:a14="http://schemas.microsoft.com/office/drawing/2010/main" val="0"/>
                        </a:ext>
                      </a:extLst>
                    </a:blip>
                    <a:srcRect l="2130" t="11667"/>
                    <a:stretch/>
                  </pic:blipFill>
                  <pic:spPr bwMode="auto">
                    <a:xfrm>
                      <a:off x="0" y="0"/>
                      <a:ext cx="6111511" cy="1880283"/>
                    </a:xfrm>
                    <a:prstGeom prst="rect">
                      <a:avLst/>
                    </a:prstGeom>
                    <a:noFill/>
                    <a:ln>
                      <a:noFill/>
                    </a:ln>
                    <a:extLst>
                      <a:ext uri="{53640926-AAD7-44D8-BBD7-CCE9431645EC}">
                        <a14:shadowObscured xmlns:a14="http://schemas.microsoft.com/office/drawing/2010/main"/>
                      </a:ext>
                    </a:extLst>
                  </pic:spPr>
                </pic:pic>
              </a:graphicData>
            </a:graphic>
          </wp:inline>
        </w:drawing>
      </w:r>
    </w:p>
    <w:p w14:paraId="29EDBF46" w14:textId="7C3E2C39" w:rsidR="00A42499" w:rsidRPr="004D738C" w:rsidRDefault="00A42499" w:rsidP="00A42499">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F2538C">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675FA44B" w14:textId="3E569A10" w:rsidR="00244BE2" w:rsidRDefault="00F2538C" w:rsidP="00244BE2">
      <w:pPr>
        <w:pStyle w:val="BodyText"/>
      </w:pPr>
      <w:r>
        <w:rPr>
          <w:noProof/>
        </w:rPr>
        <w:drawing>
          <wp:inline distT="0" distB="0" distL="0" distR="0" wp14:anchorId="20636E23" wp14:editId="4AC05EA3">
            <wp:extent cx="6076950" cy="151038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a:extLst>
                        <a:ext uri="{28A0092B-C50C-407E-A947-70E740481C1C}">
                          <a14:useLocalDpi xmlns:a14="http://schemas.microsoft.com/office/drawing/2010/main" val="0"/>
                        </a:ext>
                      </a:extLst>
                    </a:blip>
                    <a:srcRect l="2417" t="15377"/>
                    <a:stretch/>
                  </pic:blipFill>
                  <pic:spPr bwMode="auto">
                    <a:xfrm>
                      <a:off x="0" y="0"/>
                      <a:ext cx="6109672" cy="1518517"/>
                    </a:xfrm>
                    <a:prstGeom prst="rect">
                      <a:avLst/>
                    </a:prstGeom>
                    <a:noFill/>
                    <a:ln>
                      <a:noFill/>
                    </a:ln>
                    <a:extLst>
                      <a:ext uri="{53640926-AAD7-44D8-BBD7-CCE9431645EC}">
                        <a14:shadowObscured xmlns:a14="http://schemas.microsoft.com/office/drawing/2010/main"/>
                      </a:ext>
                    </a:extLst>
                  </pic:spPr>
                </pic:pic>
              </a:graphicData>
            </a:graphic>
          </wp:inline>
        </w:drawing>
      </w:r>
    </w:p>
    <w:p w14:paraId="2405D232" w14:textId="720D7223" w:rsidR="00A42499" w:rsidRDefault="00A42499" w:rsidP="00A42499">
      <w:pPr>
        <w:pStyle w:val="TableText"/>
      </w:pPr>
      <w:r>
        <w:t>b) Number of compliance criteria with assessable environmental impact and the assessed level of impact for each instance of non-conformance.</w:t>
      </w:r>
    </w:p>
    <w:p w14:paraId="64077482" w14:textId="0E2F33A8" w:rsidR="00A42499" w:rsidRDefault="00A42499" w:rsidP="00602323">
      <w:pPr>
        <w:pStyle w:val="FigureCaption"/>
      </w:pPr>
      <w:bookmarkStart w:id="140" w:name="_Ref120278363"/>
      <w:bookmarkStart w:id="141" w:name="_Toc131178767"/>
      <w:r w:rsidRPr="009038E7">
        <w:t>Figure</w:t>
      </w:r>
      <w:r>
        <w:t> </w:t>
      </w:r>
      <w:fldSimple w:instr=" STYLEREF 1 \s ">
        <w:r w:rsidR="00130DCF">
          <w:rPr>
            <w:noProof/>
          </w:rPr>
          <w:t>4</w:t>
        </w:r>
      </w:fldSimple>
      <w:r w:rsidR="0039100E">
        <w:noBreakHyphen/>
      </w:r>
      <w:fldSimple w:instr=" SEQ Figure \* ARABIC \s 1 ">
        <w:r w:rsidR="00130DCF">
          <w:rPr>
            <w:noProof/>
          </w:rPr>
          <w:t>15</w:t>
        </w:r>
      </w:fldSimple>
      <w:bookmarkEnd w:id="140"/>
      <w:r>
        <w:rPr>
          <w:noProof/>
        </w:rPr>
        <w:t>.</w:t>
      </w:r>
      <w:r w:rsidRPr="009038E7">
        <w:t xml:space="preserve"> </w:t>
      </w:r>
      <w:r>
        <w:t xml:space="preserve">Compliance findings and assessed environmental impact for instances of non-conformance for criteria applicable to road maintenance and closure.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41"/>
    </w:p>
    <w:p w14:paraId="726E8EA5" w14:textId="2ACF3046" w:rsidR="00244BE2" w:rsidRDefault="00244BE2" w:rsidP="0027318F">
      <w:pPr>
        <w:pStyle w:val="Heading3"/>
      </w:pPr>
      <w:bookmarkStart w:id="142" w:name="_Toc131178689"/>
      <w:r>
        <w:t>Compliance elements related to non-road infrastructure compliance theme</w:t>
      </w:r>
      <w:bookmarkEnd w:id="142"/>
    </w:p>
    <w:p w14:paraId="16634163" w14:textId="3B1070A2" w:rsidR="00244BE2" w:rsidRDefault="00244BE2" w:rsidP="00244BE2">
      <w:pPr>
        <w:pStyle w:val="BodyText"/>
      </w:pPr>
      <w:r>
        <w:t xml:space="preserve">Compliance elements considered under the non-road infrastructure sub-theme have a similar function to those for in-coupe roading, in that they seek to protect soil and water values from risks associated with the construction, use and rehabilitation of snig tracks, boundary tracks and landings. </w:t>
      </w:r>
      <w:r w:rsidR="0027318F">
        <w:t>Fifty-</w:t>
      </w:r>
      <w:r w:rsidR="005D471F">
        <w:t>four</w:t>
      </w:r>
      <w:r>
        <w:t xml:space="preserve"> audit criteria were identified, with all of these applying to at least one of the audited coupes. </w:t>
      </w:r>
    </w:p>
    <w:p w14:paraId="38193DB7" w14:textId="2CD50FC3" w:rsidR="00203284" w:rsidRDefault="00244BE2" w:rsidP="00244BE2">
      <w:pPr>
        <w:pStyle w:val="BodyText"/>
      </w:pPr>
      <w:r>
        <w:t>The average level of full conformance with applicable criteria was found to be 9</w:t>
      </w:r>
      <w:r w:rsidR="009A61BF">
        <w:t>6</w:t>
      </w:r>
      <w:r>
        <w:t xml:space="preserve">%, with the level of full conformance ranging between </w:t>
      </w:r>
      <w:r w:rsidR="0027318F">
        <w:t>81</w:t>
      </w:r>
      <w:r>
        <w:t xml:space="preserve">% (06 </w:t>
      </w:r>
      <w:r w:rsidR="0027318F">
        <w:t>Real Madrid</w:t>
      </w:r>
      <w:r>
        <w:t>) and 100% (1</w:t>
      </w:r>
      <w:r w:rsidR="006F4DA6">
        <w:t>5</w:t>
      </w:r>
      <w:r>
        <w:t xml:space="preserve"> coupes; </w:t>
      </w:r>
      <w:r w:rsidR="005D471F">
        <w:fldChar w:fldCharType="begin"/>
      </w:r>
      <w:r w:rsidR="005D471F">
        <w:instrText xml:space="preserve"> REF _Ref120282514 \h </w:instrText>
      </w:r>
      <w:r w:rsidR="005D471F">
        <w:fldChar w:fldCharType="separate"/>
      </w:r>
      <w:r w:rsidR="00130DCF" w:rsidRPr="009038E7">
        <w:t>Figure</w:t>
      </w:r>
      <w:r w:rsidR="00130DCF">
        <w:t> </w:t>
      </w:r>
      <w:r w:rsidR="00130DCF">
        <w:rPr>
          <w:noProof/>
        </w:rPr>
        <w:t>4</w:t>
      </w:r>
      <w:r w:rsidR="00130DCF">
        <w:noBreakHyphen/>
      </w:r>
      <w:r w:rsidR="00130DCF">
        <w:rPr>
          <w:noProof/>
        </w:rPr>
        <w:t>16</w:t>
      </w:r>
      <w:r w:rsidR="005D471F">
        <w:fldChar w:fldCharType="end"/>
      </w:r>
      <w:r>
        <w:t xml:space="preserve">). Non-conformance incidents with potential environmental impact were observed </w:t>
      </w:r>
      <w:r w:rsidR="00203284">
        <w:t xml:space="preserve">at </w:t>
      </w:r>
      <w:r w:rsidR="0098067C">
        <w:t xml:space="preserve">15 </w:t>
      </w:r>
      <w:r>
        <w:t xml:space="preserve">coupes, with the assessed level of potential environmental impact ranging to </w:t>
      </w:r>
      <w:r w:rsidR="00203284">
        <w:t>major</w:t>
      </w:r>
      <w:r>
        <w:t xml:space="preserve">. </w:t>
      </w:r>
    </w:p>
    <w:p w14:paraId="78D026BD" w14:textId="54D806AD" w:rsidR="00244BE2" w:rsidRDefault="009A61BF" w:rsidP="00244BE2">
      <w:pPr>
        <w:pStyle w:val="BodyText"/>
      </w:pPr>
      <w:r>
        <w:t>I</w:t>
      </w:r>
      <w:r w:rsidR="00203284">
        <w:t>ncident</w:t>
      </w:r>
      <w:r>
        <w:t xml:space="preserve">s </w:t>
      </w:r>
      <w:r w:rsidR="00203284">
        <w:t>assessed to have major</w:t>
      </w:r>
      <w:r>
        <w:t xml:space="preserve"> and moderate</w:t>
      </w:r>
      <w:r w:rsidR="00203284">
        <w:t xml:space="preserve"> potential environmental impact were observed at 06 Real Madrid</w:t>
      </w:r>
      <w:r w:rsidR="008037A5">
        <w:t>,</w:t>
      </w:r>
      <w:r w:rsidR="00E43DB3">
        <w:t xml:space="preserve"> </w:t>
      </w:r>
      <w:r w:rsidR="00F97CFB">
        <w:t xml:space="preserve">13 Jandles and </w:t>
      </w:r>
      <w:r w:rsidR="00203284">
        <w:t>16 Sheik</w:t>
      </w:r>
      <w:r w:rsidR="008037A5">
        <w:t xml:space="preserve"> (</w:t>
      </w:r>
      <w:r w:rsidR="00004F9B">
        <w:fldChar w:fldCharType="begin"/>
      </w:r>
      <w:r w:rsidR="00004F9B">
        <w:instrText xml:space="preserve"> REF _Ref120282514 \h </w:instrText>
      </w:r>
      <w:r w:rsidR="00004F9B">
        <w:fldChar w:fldCharType="separate"/>
      </w:r>
      <w:r w:rsidR="00130DCF" w:rsidRPr="009038E7">
        <w:t>Figure</w:t>
      </w:r>
      <w:r w:rsidR="00130DCF">
        <w:t> </w:t>
      </w:r>
      <w:r w:rsidR="00130DCF">
        <w:rPr>
          <w:noProof/>
        </w:rPr>
        <w:t>4</w:t>
      </w:r>
      <w:r w:rsidR="00130DCF">
        <w:noBreakHyphen/>
      </w:r>
      <w:r w:rsidR="00130DCF">
        <w:rPr>
          <w:noProof/>
        </w:rPr>
        <w:t>16</w:t>
      </w:r>
      <w:r w:rsidR="00004F9B">
        <w:fldChar w:fldCharType="end"/>
      </w:r>
      <w:r w:rsidR="00004F9B">
        <w:t>)</w:t>
      </w:r>
      <w:r w:rsidR="00203284">
        <w:t xml:space="preserve">. </w:t>
      </w:r>
      <w:r>
        <w:t xml:space="preserve">These </w:t>
      </w:r>
      <w:r w:rsidR="00244BE2">
        <w:t>related to:</w:t>
      </w:r>
    </w:p>
    <w:p w14:paraId="07EDAD7A" w14:textId="4FE747CD" w:rsidR="00667E56" w:rsidRDefault="00093BC3" w:rsidP="00667E56">
      <w:pPr>
        <w:pStyle w:val="BulletLevel1"/>
      </w:pPr>
      <w:r>
        <w:t xml:space="preserve">A culvert in the snig track waterway crossing at 06 Real Madrid </w:t>
      </w:r>
      <w:r w:rsidR="009A61BF">
        <w:t xml:space="preserve">(major potential environmental impact) </w:t>
      </w:r>
      <w:r>
        <w:t>discharges onto the fill batter, with water then running 1-2 m down to the elevation of the bed of the permanent stream. Sediment has been mobilised as a result, although at the time of audit, the batter slope seemed stable.</w:t>
      </w:r>
    </w:p>
    <w:p w14:paraId="3FDC879C" w14:textId="49EE020B" w:rsidR="006A5849" w:rsidRDefault="006A5849" w:rsidP="00667E56">
      <w:pPr>
        <w:pStyle w:val="BulletLevel1"/>
      </w:pPr>
      <w:r>
        <w:t xml:space="preserve">A snig track crossed the path of a temporary stream </w:t>
      </w:r>
      <w:r w:rsidR="00073109">
        <w:t xml:space="preserve">at 13 Jandles without any formal crossing structure, leading to </w:t>
      </w:r>
      <w:r w:rsidR="00710AE6">
        <w:t>soil disturbance and sediment movement</w:t>
      </w:r>
      <w:r w:rsidR="00014825">
        <w:t xml:space="preserve"> (</w:t>
      </w:r>
      <w:r w:rsidR="00014825">
        <w:fldChar w:fldCharType="begin"/>
      </w:r>
      <w:r w:rsidR="00014825">
        <w:instrText xml:space="preserve"> REF _Ref121036768 \h </w:instrText>
      </w:r>
      <w:r w:rsidR="00014825">
        <w:fldChar w:fldCharType="separate"/>
      </w:r>
      <w:r w:rsidR="00130DCF" w:rsidRPr="009038E7">
        <w:t>Figure</w:t>
      </w:r>
      <w:r w:rsidR="00130DCF">
        <w:t> </w:t>
      </w:r>
      <w:r w:rsidR="00130DCF">
        <w:rPr>
          <w:noProof/>
        </w:rPr>
        <w:t>5</w:t>
      </w:r>
      <w:r w:rsidR="00130DCF">
        <w:noBreakHyphen/>
      </w:r>
      <w:r w:rsidR="00130DCF">
        <w:rPr>
          <w:noProof/>
        </w:rPr>
        <w:t>2</w:t>
      </w:r>
      <w:r w:rsidR="00014825">
        <w:fldChar w:fldCharType="end"/>
      </w:r>
      <w:r w:rsidR="00014825">
        <w:t>)</w:t>
      </w:r>
      <w:r w:rsidR="00710AE6">
        <w:t>.</w:t>
      </w:r>
    </w:p>
    <w:p w14:paraId="1BE8CFC4" w14:textId="7B16641F" w:rsidR="006A5849" w:rsidRDefault="009A61BF">
      <w:pPr>
        <w:pStyle w:val="BulletLevel1"/>
      </w:pPr>
      <w:r>
        <w:t>Rehabilitation of the snig track waterway crossing at 16 Sheik has mobilised sediments into the temporary stream. Observations suggest coarse sediments from the crossing fill batter have moved up to 10 m from the crossing point.</w:t>
      </w:r>
    </w:p>
    <w:p w14:paraId="402F368B" w14:textId="5AA6F5C1" w:rsidR="00011C59" w:rsidRDefault="00994255" w:rsidP="00011C59">
      <w:pPr>
        <w:pStyle w:val="BodyText"/>
      </w:pPr>
      <w:r>
        <w:t>T</w:t>
      </w:r>
      <w:r w:rsidR="00011C59">
        <w:t xml:space="preserve">hese incidents were noted in Section </w:t>
      </w:r>
      <w:r w:rsidR="00011C59">
        <w:fldChar w:fldCharType="begin"/>
      </w:r>
      <w:r w:rsidR="00011C59">
        <w:instrText xml:space="preserve"> REF _Ref120092460 \r \h </w:instrText>
      </w:r>
      <w:r w:rsidR="00011C59">
        <w:fldChar w:fldCharType="separate"/>
      </w:r>
      <w:r w:rsidR="00130DCF">
        <w:t>4.2.2</w:t>
      </w:r>
      <w:r w:rsidR="00011C59">
        <w:fldChar w:fldCharType="end"/>
      </w:r>
      <w:r w:rsidR="00011C59">
        <w:t>.</w:t>
      </w:r>
    </w:p>
    <w:p w14:paraId="58A0445C" w14:textId="459D62DB" w:rsidR="00244BE2" w:rsidRDefault="00FA37D6" w:rsidP="00244BE2">
      <w:pPr>
        <w:pStyle w:val="BodyText"/>
      </w:pPr>
      <w:r>
        <w:rPr>
          <w:noProof/>
        </w:rPr>
        <w:lastRenderedPageBreak/>
        <w:drawing>
          <wp:inline distT="0" distB="0" distL="0" distR="0" wp14:anchorId="4F5FAAD1" wp14:editId="445CECC2">
            <wp:extent cx="6143625" cy="185095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5">
                      <a:extLst>
                        <a:ext uri="{28A0092B-C50C-407E-A947-70E740481C1C}">
                          <a14:useLocalDpi xmlns:a14="http://schemas.microsoft.com/office/drawing/2010/main" val="0"/>
                        </a:ext>
                      </a:extLst>
                    </a:blip>
                    <a:srcRect l="2414" t="13750"/>
                    <a:stretch/>
                  </pic:blipFill>
                  <pic:spPr bwMode="auto">
                    <a:xfrm>
                      <a:off x="0" y="0"/>
                      <a:ext cx="6161567" cy="1856362"/>
                    </a:xfrm>
                    <a:prstGeom prst="rect">
                      <a:avLst/>
                    </a:prstGeom>
                    <a:noFill/>
                    <a:ln>
                      <a:noFill/>
                    </a:ln>
                    <a:extLst>
                      <a:ext uri="{53640926-AAD7-44D8-BBD7-CCE9431645EC}">
                        <a14:shadowObscured xmlns:a14="http://schemas.microsoft.com/office/drawing/2010/main"/>
                      </a:ext>
                    </a:extLst>
                  </pic:spPr>
                </pic:pic>
              </a:graphicData>
            </a:graphic>
          </wp:inline>
        </w:drawing>
      </w:r>
    </w:p>
    <w:p w14:paraId="1F56F0BB" w14:textId="7D6AB193" w:rsidR="0027318F" w:rsidRPr="004D738C" w:rsidRDefault="0027318F" w:rsidP="0027318F">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C726A1">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0C4FF365" w14:textId="62CD0402" w:rsidR="00244BE2" w:rsidRDefault="00DA0A3F" w:rsidP="00244BE2">
      <w:pPr>
        <w:pStyle w:val="BodyText"/>
      </w:pPr>
      <w:r>
        <w:rPr>
          <w:noProof/>
        </w:rPr>
        <w:drawing>
          <wp:inline distT="0" distB="0" distL="0" distR="0" wp14:anchorId="225A074D" wp14:editId="5865587F">
            <wp:extent cx="6000750" cy="1482804"/>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6">
                      <a:extLst>
                        <a:ext uri="{28A0092B-C50C-407E-A947-70E740481C1C}">
                          <a14:useLocalDpi xmlns:a14="http://schemas.microsoft.com/office/drawing/2010/main" val="0"/>
                        </a:ext>
                      </a:extLst>
                    </a:blip>
                    <a:srcRect l="1848" t="15377"/>
                    <a:stretch/>
                  </pic:blipFill>
                  <pic:spPr bwMode="auto">
                    <a:xfrm>
                      <a:off x="0" y="0"/>
                      <a:ext cx="6024608" cy="1488699"/>
                    </a:xfrm>
                    <a:prstGeom prst="rect">
                      <a:avLst/>
                    </a:prstGeom>
                    <a:noFill/>
                    <a:ln>
                      <a:noFill/>
                    </a:ln>
                    <a:extLst>
                      <a:ext uri="{53640926-AAD7-44D8-BBD7-CCE9431645EC}">
                        <a14:shadowObscured xmlns:a14="http://schemas.microsoft.com/office/drawing/2010/main"/>
                      </a:ext>
                    </a:extLst>
                  </pic:spPr>
                </pic:pic>
              </a:graphicData>
            </a:graphic>
          </wp:inline>
        </w:drawing>
      </w:r>
    </w:p>
    <w:p w14:paraId="15D81E5B" w14:textId="77777777" w:rsidR="0027318F" w:rsidRDefault="0027318F" w:rsidP="0027318F">
      <w:pPr>
        <w:pStyle w:val="TableText"/>
      </w:pPr>
      <w:r>
        <w:t>b) Number of compliance criteria with assessable environmental impact and the assessed level of impact for each instance of non-conformance.</w:t>
      </w:r>
    </w:p>
    <w:p w14:paraId="7A1F7239" w14:textId="22D8F95B" w:rsidR="0027318F" w:rsidRDefault="0027318F" w:rsidP="00602323">
      <w:pPr>
        <w:pStyle w:val="FigureCaption"/>
      </w:pPr>
      <w:bookmarkStart w:id="143" w:name="_Ref120282514"/>
      <w:bookmarkStart w:id="144" w:name="_Toc131178768"/>
      <w:r w:rsidRPr="009038E7">
        <w:t>Figure</w:t>
      </w:r>
      <w:r>
        <w:t> </w:t>
      </w:r>
      <w:fldSimple w:instr=" STYLEREF 1 \s ">
        <w:r w:rsidR="00130DCF">
          <w:rPr>
            <w:noProof/>
          </w:rPr>
          <w:t>4</w:t>
        </w:r>
      </w:fldSimple>
      <w:r w:rsidR="0039100E">
        <w:noBreakHyphen/>
      </w:r>
      <w:fldSimple w:instr=" SEQ Figure \* ARABIC \s 1 ">
        <w:r w:rsidR="00130DCF">
          <w:rPr>
            <w:noProof/>
          </w:rPr>
          <w:t>16</w:t>
        </w:r>
      </w:fldSimple>
      <w:bookmarkEnd w:id="143"/>
      <w:r>
        <w:rPr>
          <w:noProof/>
        </w:rPr>
        <w:t>.</w:t>
      </w:r>
      <w:r w:rsidRPr="009038E7">
        <w:t xml:space="preserve"> </w:t>
      </w:r>
      <w:r>
        <w:t xml:space="preserve">Compliance findings and assessed environmental impact for instances of non-conformance for criteria applicable to coupe infrastructure. The x-axis refers to the coupe numbers, as per </w:t>
      </w:r>
      <w:r>
        <w:fldChar w:fldCharType="begin"/>
      </w:r>
      <w:r>
        <w:instrText xml:space="preserve"> REF _Ref119928572 \h </w:instrText>
      </w:r>
      <w:r>
        <w:fldChar w:fldCharType="separate"/>
      </w:r>
      <w:r w:rsidR="00130DCF" w:rsidRPr="009038E7">
        <w:t>Table</w:t>
      </w:r>
      <w:r w:rsidR="00130DCF">
        <w:t> </w:t>
      </w:r>
      <w:r w:rsidR="00130DCF">
        <w:rPr>
          <w:noProof/>
        </w:rPr>
        <w:t>3-1</w:t>
      </w:r>
      <w:r>
        <w:fldChar w:fldCharType="end"/>
      </w:r>
      <w:r>
        <w:t>.</w:t>
      </w:r>
      <w:bookmarkEnd w:id="144"/>
    </w:p>
    <w:p w14:paraId="7B8908FB" w14:textId="6EE4B5E4" w:rsidR="00011C59" w:rsidRDefault="00011C59" w:rsidP="00011C59">
      <w:pPr>
        <w:pStyle w:val="Heading1"/>
      </w:pPr>
      <w:bookmarkStart w:id="145" w:name="_Ref121249898"/>
      <w:bookmarkStart w:id="146" w:name="_Toc131178690"/>
      <w:r>
        <w:lastRenderedPageBreak/>
        <w:t>Discussion</w:t>
      </w:r>
      <w:bookmarkEnd w:id="145"/>
      <w:bookmarkEnd w:id="146"/>
    </w:p>
    <w:p w14:paraId="532A82B0" w14:textId="3B5CCBFF" w:rsidR="00011C59" w:rsidRDefault="00011C59" w:rsidP="00011C59">
      <w:pPr>
        <w:pStyle w:val="Heading2"/>
      </w:pPr>
      <w:bookmarkStart w:id="147" w:name="_Toc131178691"/>
      <w:r>
        <w:t>Overall audit findings</w:t>
      </w:r>
      <w:bookmarkEnd w:id="147"/>
    </w:p>
    <w:p w14:paraId="720ABB9E" w14:textId="74628B2D" w:rsidR="000006A9" w:rsidRPr="000006A9" w:rsidRDefault="000006A9" w:rsidP="000006A9">
      <w:pPr>
        <w:pStyle w:val="Heading3"/>
      </w:pPr>
      <w:bookmarkStart w:id="148" w:name="_Toc131178692"/>
      <w:r>
        <w:t>Conformance with audit criteria</w:t>
      </w:r>
      <w:r w:rsidR="000A1B5A">
        <w:t xml:space="preserve"> and potential environmental impact</w:t>
      </w:r>
      <w:bookmarkEnd w:id="148"/>
    </w:p>
    <w:p w14:paraId="20E488E9" w14:textId="77777777" w:rsidR="00011C59" w:rsidRDefault="00011C59" w:rsidP="00011C59">
      <w:pPr>
        <w:pStyle w:val="BodyText"/>
      </w:pPr>
      <w:r>
        <w:t>FAP audits are conducted to assess VicForests’ conformance with selected elements of the regulatory framework for timber harvesting activities in State forests, as well as any environmental risks posed by non-conformances. This section provides a summary of the audit’s overall findings in relation to these objectives.</w:t>
      </w:r>
    </w:p>
    <w:p w14:paraId="7A65067E" w14:textId="01BB3B1D" w:rsidR="00011C59" w:rsidRDefault="00011C59" w:rsidP="00011C59">
      <w:pPr>
        <w:pStyle w:val="BodyText"/>
      </w:pPr>
      <w:r>
        <w:t>The audit considered 32 coupes located in State forests distributed throughout eastern Victoria. Since coupe selection was weighted towards those with higher risk features (e.g., rainforest vegetation, waterway crossings, in-coupe roads, steeper slopes, more erodible soils), the findings of the audit are not necessarily statistically representative of VicForests’ operations overall.</w:t>
      </w:r>
    </w:p>
    <w:p w14:paraId="10B7044A" w14:textId="02BCD1DD" w:rsidR="00011C59" w:rsidRDefault="00011C59" w:rsidP="00011C59">
      <w:pPr>
        <w:pStyle w:val="BodyText"/>
      </w:pPr>
      <w:r>
        <w:t>The audit found that full conformance was achieved with 96% of applicable audit criteria overall (</w:t>
      </w:r>
      <w:r w:rsidR="007B64F0">
        <w:fldChar w:fldCharType="begin"/>
      </w:r>
      <w:r w:rsidR="007B64F0">
        <w:instrText xml:space="preserve"> REF _Ref120286362 \h </w:instrText>
      </w:r>
      <w:r w:rsidR="007B64F0">
        <w:fldChar w:fldCharType="separate"/>
      </w:r>
      <w:r w:rsidR="00130DCF" w:rsidRPr="009038E7">
        <w:t>Figure</w:t>
      </w:r>
      <w:r w:rsidR="00130DCF">
        <w:t> </w:t>
      </w:r>
      <w:r w:rsidR="00130DCF">
        <w:rPr>
          <w:noProof/>
        </w:rPr>
        <w:t>5</w:t>
      </w:r>
      <w:r w:rsidR="00130DCF">
        <w:noBreakHyphen/>
      </w:r>
      <w:r w:rsidR="00130DCF">
        <w:rPr>
          <w:noProof/>
        </w:rPr>
        <w:t>1</w:t>
      </w:r>
      <w:r w:rsidR="007B64F0">
        <w:fldChar w:fldCharType="end"/>
      </w:r>
      <w:r>
        <w:t xml:space="preserve">). The level of full conformance varied between compliance themes, ranging between </w:t>
      </w:r>
      <w:r w:rsidR="00476897">
        <w:t>93</w:t>
      </w:r>
      <w:r>
        <w:t>% (road construction) and 9</w:t>
      </w:r>
      <w:r w:rsidR="00276B9C">
        <w:t>9</w:t>
      </w:r>
      <w:r>
        <w:t xml:space="preserve">% (road maintenance and closure). Non-conformances with direct or potential environmental impact were associated with </w:t>
      </w:r>
      <w:r w:rsidR="004621A2">
        <w:t>4</w:t>
      </w:r>
      <w:r w:rsidR="00773476">
        <w:t>4</w:t>
      </w:r>
      <w:r w:rsidR="004621A2">
        <w:t xml:space="preserve"> </w:t>
      </w:r>
      <w:r>
        <w:t xml:space="preserve">unique incidents </w:t>
      </w:r>
      <w:r w:rsidR="005714FE">
        <w:t>at</w:t>
      </w:r>
      <w:r>
        <w:t xml:space="preserve"> 20 of the 32 coupes included in the audit. </w:t>
      </w:r>
    </w:p>
    <w:p w14:paraId="582C4FBE" w14:textId="1FCC2CE0" w:rsidR="00011C59" w:rsidRDefault="006D75DD" w:rsidP="00011C59">
      <w:pPr>
        <w:pStyle w:val="BodyText"/>
      </w:pPr>
      <w:r>
        <w:rPr>
          <w:noProof/>
        </w:rPr>
        <w:drawing>
          <wp:inline distT="0" distB="0" distL="0" distR="0" wp14:anchorId="5A811155" wp14:editId="0737380B">
            <wp:extent cx="6102350" cy="338328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2350" cy="3383280"/>
                    </a:xfrm>
                    <a:prstGeom prst="rect">
                      <a:avLst/>
                    </a:prstGeom>
                    <a:noFill/>
                  </pic:spPr>
                </pic:pic>
              </a:graphicData>
            </a:graphic>
          </wp:inline>
        </w:drawing>
      </w:r>
    </w:p>
    <w:p w14:paraId="36FC0317" w14:textId="40837E7D" w:rsidR="00011C59" w:rsidRDefault="00011C59" w:rsidP="00011C59">
      <w:pPr>
        <w:pStyle w:val="TableText"/>
      </w:pPr>
      <w:r>
        <w:t>% full conformance with applicable audit criteria overall and in each coupe audit theme</w:t>
      </w:r>
      <w:r w:rsidR="005714FE">
        <w:t xml:space="preserve"> and sub-theme</w:t>
      </w:r>
      <w:r>
        <w:t xml:space="preserve"> (left Y axis). % non-conformances </w:t>
      </w:r>
      <w:r w:rsidR="005714FE">
        <w:t>in each</w:t>
      </w:r>
      <w:r>
        <w:t xml:space="preserve"> </w:t>
      </w:r>
      <w:r w:rsidR="005714FE">
        <w:t xml:space="preserve">potential </w:t>
      </w:r>
      <w:r>
        <w:t xml:space="preserve">environmental impact </w:t>
      </w:r>
      <w:r w:rsidR="0030527E">
        <w:t xml:space="preserve">(EI) </w:t>
      </w:r>
      <w:r w:rsidR="005714FE">
        <w:t xml:space="preserve">class </w:t>
      </w:r>
      <w:r>
        <w:t>overall and for audit themes and sub-themes (right Y axis)</w:t>
      </w:r>
    </w:p>
    <w:p w14:paraId="0C49A55D" w14:textId="670C035D" w:rsidR="00011C59" w:rsidRDefault="00011C59" w:rsidP="00602323">
      <w:pPr>
        <w:pStyle w:val="FigureCaption"/>
      </w:pPr>
      <w:bookmarkStart w:id="149" w:name="_Ref120286362"/>
      <w:bookmarkStart w:id="150" w:name="_Toc131178769"/>
      <w:r w:rsidRPr="009038E7">
        <w:t>Figure</w:t>
      </w:r>
      <w:r>
        <w:t> </w:t>
      </w:r>
      <w:fldSimple w:instr=" STYLEREF 1 \s ">
        <w:r w:rsidR="00130DCF">
          <w:rPr>
            <w:noProof/>
          </w:rPr>
          <w:t>5</w:t>
        </w:r>
      </w:fldSimple>
      <w:r w:rsidR="0039100E">
        <w:noBreakHyphen/>
      </w:r>
      <w:fldSimple w:instr=" SEQ Figure \* ARABIC \s 1 ">
        <w:r w:rsidR="00130DCF">
          <w:rPr>
            <w:noProof/>
          </w:rPr>
          <w:t>1</w:t>
        </w:r>
      </w:fldSimple>
      <w:bookmarkEnd w:id="149"/>
      <w:r>
        <w:rPr>
          <w:noProof/>
        </w:rPr>
        <w:t>.</w:t>
      </w:r>
      <w:r w:rsidRPr="009038E7">
        <w:t xml:space="preserve"> </w:t>
      </w:r>
      <w:r>
        <w:t>Summary of overall audit findings for conformance with the regulatory framework for timber harvesting and related activities in State forests in Victoria.</w:t>
      </w:r>
      <w:bookmarkEnd w:id="150"/>
    </w:p>
    <w:p w14:paraId="52BF0270" w14:textId="11DB0FC1" w:rsidR="00011C59" w:rsidRDefault="00011C59" w:rsidP="00011C59">
      <w:pPr>
        <w:pStyle w:val="BodyText"/>
      </w:pPr>
      <w:r>
        <w:t>Instances of non-conformance with audit criteria were identified across all audit themes and sub-theme</w:t>
      </w:r>
      <w:r w:rsidR="005714FE">
        <w:t>s (</w:t>
      </w:r>
      <w:r w:rsidR="007B64F0">
        <w:fldChar w:fldCharType="begin"/>
      </w:r>
      <w:r w:rsidR="007B64F0">
        <w:instrText xml:space="preserve"> REF _Ref120286362 \h </w:instrText>
      </w:r>
      <w:r w:rsidR="007B64F0">
        <w:fldChar w:fldCharType="separate"/>
      </w:r>
      <w:r w:rsidR="00130DCF" w:rsidRPr="009038E7">
        <w:t>Figure</w:t>
      </w:r>
      <w:r w:rsidR="00130DCF">
        <w:t> </w:t>
      </w:r>
      <w:r w:rsidR="00130DCF">
        <w:rPr>
          <w:noProof/>
        </w:rPr>
        <w:t>5</w:t>
      </w:r>
      <w:r w:rsidR="00130DCF">
        <w:noBreakHyphen/>
      </w:r>
      <w:r w:rsidR="00130DCF">
        <w:rPr>
          <w:noProof/>
        </w:rPr>
        <w:t>1</w:t>
      </w:r>
      <w:r w:rsidR="007B64F0">
        <w:fldChar w:fldCharType="end"/>
      </w:r>
      <w:r w:rsidR="005714FE">
        <w:t>)</w:t>
      </w:r>
      <w:r>
        <w:t xml:space="preserve">. Non-conformances with potential environmental impact were most common (proportionally) in road construction, </w:t>
      </w:r>
      <w:r w:rsidR="007B64F0">
        <w:t xml:space="preserve">road design and </w:t>
      </w:r>
      <w:r>
        <w:t xml:space="preserve">water sub-themes. Overall, non-conformances with potential environmental impact were recorded for approximately 4% of applicable criteria. </w:t>
      </w:r>
    </w:p>
    <w:p w14:paraId="04CD696B" w14:textId="388BB07D" w:rsidR="00011C59" w:rsidRDefault="00011C59" w:rsidP="00011C59">
      <w:pPr>
        <w:pStyle w:val="BodyText"/>
      </w:pPr>
      <w:r>
        <w:t xml:space="preserve">Assessed environmental impact for non-conformances ranged between negligible and major. </w:t>
      </w:r>
      <w:r w:rsidR="0038718C">
        <w:t>Three</w:t>
      </w:r>
      <w:r w:rsidR="001E5D01">
        <w:t xml:space="preserve"> </w:t>
      </w:r>
      <w:r w:rsidR="007B64F0">
        <w:t>individual</w:t>
      </w:r>
      <w:r>
        <w:t xml:space="preserve"> non-conformance incident</w:t>
      </w:r>
      <w:r w:rsidR="007B64F0">
        <w:t>s</w:t>
      </w:r>
      <w:r>
        <w:t xml:space="preserve"> with major potential environmental impact </w:t>
      </w:r>
      <w:r w:rsidR="007B64F0">
        <w:t>were</w:t>
      </w:r>
      <w:r>
        <w:t xml:space="preserve"> </w:t>
      </w:r>
      <w:r w:rsidR="005714FE">
        <w:t xml:space="preserve">observed </w:t>
      </w:r>
      <w:r>
        <w:t>in the audit</w:t>
      </w:r>
      <w:r w:rsidR="007B64F0">
        <w:t>. These were observed at</w:t>
      </w:r>
      <w:r>
        <w:t xml:space="preserve"> </w:t>
      </w:r>
      <w:r w:rsidR="007B64F0">
        <w:t>06 Real Madrid, 10 Amity Island and 24 Bayled Up</w:t>
      </w:r>
      <w:r>
        <w:t xml:space="preserve">. </w:t>
      </w:r>
      <w:r w:rsidR="007B64F0">
        <w:t>I</w:t>
      </w:r>
      <w:r>
        <w:t>ncident</w:t>
      </w:r>
      <w:r w:rsidR="007B64F0">
        <w:t xml:space="preserve">s with major potential environmental impact were </w:t>
      </w:r>
      <w:r>
        <w:t xml:space="preserve">reported against </w:t>
      </w:r>
      <w:r w:rsidR="007B64F0">
        <w:t>all compliance themes and sub-themes apart from road maintenance and closure</w:t>
      </w:r>
      <w:r>
        <w:t xml:space="preserve"> (</w:t>
      </w:r>
      <w:r w:rsidR="007B64F0">
        <w:fldChar w:fldCharType="begin"/>
      </w:r>
      <w:r w:rsidR="007B64F0">
        <w:instrText xml:space="preserve"> REF _Ref120286362 \h </w:instrText>
      </w:r>
      <w:r w:rsidR="007B64F0">
        <w:fldChar w:fldCharType="separate"/>
      </w:r>
      <w:r w:rsidR="00130DCF" w:rsidRPr="009038E7">
        <w:t>Figure</w:t>
      </w:r>
      <w:r w:rsidR="00130DCF">
        <w:t> </w:t>
      </w:r>
      <w:r w:rsidR="00130DCF">
        <w:rPr>
          <w:noProof/>
        </w:rPr>
        <w:t>5</w:t>
      </w:r>
      <w:r w:rsidR="00130DCF">
        <w:noBreakHyphen/>
      </w:r>
      <w:r w:rsidR="00130DCF">
        <w:rPr>
          <w:noProof/>
        </w:rPr>
        <w:t>1</w:t>
      </w:r>
      <w:r w:rsidR="007B64F0">
        <w:fldChar w:fldCharType="end"/>
      </w:r>
      <w:r>
        <w:t xml:space="preserve">).   </w:t>
      </w:r>
    </w:p>
    <w:p w14:paraId="6C35C34C" w14:textId="5EC416B2" w:rsidR="000006A9" w:rsidRDefault="000006A9" w:rsidP="000006A9">
      <w:pPr>
        <w:pStyle w:val="Heading3"/>
      </w:pPr>
      <w:bookmarkStart w:id="151" w:name="_Toc131178693"/>
      <w:r>
        <w:lastRenderedPageBreak/>
        <w:t>Incidents resulting in non-conformances with audit criteria</w:t>
      </w:r>
      <w:bookmarkEnd w:id="151"/>
    </w:p>
    <w:p w14:paraId="23A782C8" w14:textId="61AC200B" w:rsidR="000006A9" w:rsidRDefault="00B41C6B" w:rsidP="000006A9">
      <w:pPr>
        <w:pStyle w:val="BodyText"/>
      </w:pPr>
      <w:r>
        <w:t>Forty-</w:t>
      </w:r>
      <w:r w:rsidR="00F51A3C">
        <w:t>four</w:t>
      </w:r>
      <w:r w:rsidR="005B1AFA">
        <w:t xml:space="preserve"> </w:t>
      </w:r>
      <w:r>
        <w:t xml:space="preserve">individual incidents that resulted in non-conformance assessments with audit criteria were observed overall in this year’s audit, of which </w:t>
      </w:r>
      <w:r w:rsidR="006160DB">
        <w:t>three</w:t>
      </w:r>
      <w:r w:rsidR="00BC62F5">
        <w:t xml:space="preserve"> </w:t>
      </w:r>
      <w:r>
        <w:t>were assessed to have major potential environmental impact (</w:t>
      </w:r>
      <w:r>
        <w:fldChar w:fldCharType="begin"/>
      </w:r>
      <w:r>
        <w:instrText xml:space="preserve"> REF _Ref120350032 \h </w:instrText>
      </w:r>
      <w:r>
        <w:fldChar w:fldCharType="separate"/>
      </w:r>
      <w:r w:rsidR="00130DCF" w:rsidRPr="009038E7">
        <w:t>Table</w:t>
      </w:r>
      <w:r w:rsidR="00130DCF">
        <w:t> </w:t>
      </w:r>
      <w:r w:rsidR="00130DCF">
        <w:rPr>
          <w:noProof/>
        </w:rPr>
        <w:t>5-2</w:t>
      </w:r>
      <w:r>
        <w:fldChar w:fldCharType="end"/>
      </w:r>
      <w:r>
        <w:t xml:space="preserve">). Each incident aligned with one or more of the audit themes or sub-themes. </w:t>
      </w:r>
      <w:r w:rsidR="00BF1006">
        <w:t>At least</w:t>
      </w:r>
      <w:r>
        <w:t xml:space="preserve"> half of the incidents had potential impacts on soil and water values or related to non-road coupe infrastructure (</w:t>
      </w:r>
      <w:r>
        <w:fldChar w:fldCharType="begin"/>
      </w:r>
      <w:r>
        <w:instrText xml:space="preserve"> REF _Ref120350032 \h </w:instrText>
      </w:r>
      <w:r>
        <w:fldChar w:fldCharType="separate"/>
      </w:r>
      <w:r w:rsidR="00130DCF" w:rsidRPr="009038E7">
        <w:t>Table</w:t>
      </w:r>
      <w:r w:rsidR="00130DCF">
        <w:t> </w:t>
      </w:r>
      <w:r w:rsidR="00130DCF">
        <w:rPr>
          <w:noProof/>
        </w:rPr>
        <w:t>5-2</w:t>
      </w:r>
      <w:r>
        <w:fldChar w:fldCharType="end"/>
      </w:r>
      <w:r>
        <w:t xml:space="preserve">). Of the </w:t>
      </w:r>
      <w:r w:rsidR="00CC705C">
        <w:t>three</w:t>
      </w:r>
      <w:r w:rsidR="00BF1006">
        <w:t xml:space="preserve"> </w:t>
      </w:r>
      <w:r>
        <w:t xml:space="preserve">incidents assessed to have major potential environmental impact, all had potential to affect </w:t>
      </w:r>
      <w:r w:rsidR="00D545F1">
        <w:t xml:space="preserve">either </w:t>
      </w:r>
      <w:r>
        <w:t xml:space="preserve">terrestrial or aquatic biodiversity values and </w:t>
      </w:r>
      <w:r w:rsidR="00CC705C">
        <w:t xml:space="preserve">two </w:t>
      </w:r>
      <w:r>
        <w:t>had potential to affect water quality</w:t>
      </w:r>
      <w:r w:rsidR="000A1B5A">
        <w:t>/riparian habitat and soils. They most</w:t>
      </w:r>
      <w:r w:rsidR="0055456E">
        <w:t>-</w:t>
      </w:r>
      <w:r w:rsidR="000A1B5A">
        <w:t>commonly resulted from issues related to design and construction of in-coupe road</w:t>
      </w:r>
      <w:r w:rsidR="003E2917">
        <w:t xml:space="preserve"> waterway crossing</w:t>
      </w:r>
      <w:r w:rsidR="000A1B5A">
        <w:t>s and mismatches between coupe planning and its implementation.</w:t>
      </w:r>
    </w:p>
    <w:p w14:paraId="6F3AFA48" w14:textId="45A5E6E9" w:rsidR="000006A9" w:rsidRDefault="000006A9" w:rsidP="00FB2E1B">
      <w:pPr>
        <w:pStyle w:val="TableCaption"/>
      </w:pPr>
      <w:bookmarkStart w:id="152" w:name="_Ref121201517"/>
      <w:bookmarkStart w:id="153" w:name="_Toc131178740"/>
      <w:r w:rsidRPr="009038E7">
        <w:t>Table</w:t>
      </w:r>
      <w:r>
        <w:t> </w:t>
      </w:r>
      <w:fldSimple w:instr=" STYLEREF 1 \s ">
        <w:r w:rsidR="00130DCF">
          <w:rPr>
            <w:noProof/>
          </w:rPr>
          <w:t>5</w:t>
        </w:r>
      </w:fldSimple>
      <w:r>
        <w:rPr>
          <w:noProof/>
        </w:rPr>
        <w:t>-</w:t>
      </w:r>
      <w:fldSimple w:instr=" SEQ Table \* ARABIC \s 1 ">
        <w:r w:rsidR="00130DCF">
          <w:rPr>
            <w:noProof/>
          </w:rPr>
          <w:t>1</w:t>
        </w:r>
      </w:fldSimple>
      <w:bookmarkEnd w:id="152"/>
      <w:r>
        <w:rPr>
          <w:noProof/>
        </w:rPr>
        <w:t>.</w:t>
      </w:r>
      <w:r w:rsidRPr="009038E7">
        <w:t xml:space="preserve"> </w:t>
      </w:r>
      <w:r>
        <w:t>Numbers of incidents resulting in non-conformances with audit criteria</w:t>
      </w:r>
      <w:bookmarkEnd w:id="153"/>
    </w:p>
    <w:tbl>
      <w:tblPr>
        <w:tblStyle w:val="JacobsTable1accentprimarythemes"/>
        <w:tblW w:w="0" w:type="auto"/>
        <w:tblLook w:val="04A0" w:firstRow="1" w:lastRow="0" w:firstColumn="1" w:lastColumn="0" w:noHBand="0" w:noVBand="1"/>
      </w:tblPr>
      <w:tblGrid>
        <w:gridCol w:w="2410"/>
        <w:gridCol w:w="2693"/>
        <w:gridCol w:w="2267"/>
        <w:gridCol w:w="2268"/>
      </w:tblGrid>
      <w:tr w:rsidR="000006A9" w14:paraId="52F9C1D4" w14:textId="77777777" w:rsidTr="000006A9">
        <w:trPr>
          <w:cnfStyle w:val="100000000000" w:firstRow="1" w:lastRow="0" w:firstColumn="0" w:lastColumn="0" w:oddVBand="0" w:evenVBand="0" w:oddHBand="0" w:evenHBand="0" w:firstRowFirstColumn="0" w:firstRowLastColumn="0" w:lastRowFirstColumn="0" w:lastRowLastColumn="0"/>
        </w:trPr>
        <w:tc>
          <w:tcPr>
            <w:tcW w:w="2410" w:type="dxa"/>
          </w:tcPr>
          <w:p w14:paraId="7F50CD4D" w14:textId="163B4014" w:rsidR="000006A9" w:rsidRDefault="000006A9" w:rsidP="000006A9">
            <w:pPr>
              <w:pStyle w:val="TableText"/>
            </w:pPr>
            <w:r>
              <w:t>Audit theme</w:t>
            </w:r>
          </w:p>
        </w:tc>
        <w:tc>
          <w:tcPr>
            <w:tcW w:w="2693" w:type="dxa"/>
          </w:tcPr>
          <w:p w14:paraId="59E104D2" w14:textId="23FDDF65" w:rsidR="000006A9" w:rsidRDefault="000006A9" w:rsidP="000006A9">
            <w:pPr>
              <w:pStyle w:val="TableText"/>
            </w:pPr>
            <w:r>
              <w:t>Sub-theme</w:t>
            </w:r>
          </w:p>
        </w:tc>
        <w:tc>
          <w:tcPr>
            <w:tcW w:w="2267" w:type="dxa"/>
          </w:tcPr>
          <w:p w14:paraId="2882E440" w14:textId="5772129A" w:rsidR="000006A9" w:rsidRPr="000A1B5A" w:rsidRDefault="000006A9" w:rsidP="000006A9">
            <w:pPr>
              <w:pStyle w:val="TableText"/>
              <w:jc w:val="center"/>
              <w:rPr>
                <w:vertAlign w:val="superscript"/>
              </w:rPr>
            </w:pPr>
            <w:r>
              <w:t># incidents</w:t>
            </w:r>
            <w:r w:rsidR="000A1B5A">
              <w:rPr>
                <w:vertAlign w:val="superscript"/>
              </w:rPr>
              <w:t>1</w:t>
            </w:r>
          </w:p>
        </w:tc>
        <w:tc>
          <w:tcPr>
            <w:tcW w:w="2268" w:type="dxa"/>
          </w:tcPr>
          <w:p w14:paraId="407B3DAC" w14:textId="4E40717D" w:rsidR="000006A9" w:rsidRPr="000A1B5A" w:rsidRDefault="000006A9" w:rsidP="000006A9">
            <w:pPr>
              <w:pStyle w:val="TableText"/>
              <w:jc w:val="center"/>
              <w:rPr>
                <w:vertAlign w:val="superscript"/>
              </w:rPr>
            </w:pPr>
            <w:r>
              <w:t># incidents with major potential environmental impact</w:t>
            </w:r>
            <w:r w:rsidR="000A1B5A">
              <w:rPr>
                <w:vertAlign w:val="superscript"/>
              </w:rPr>
              <w:t>1</w:t>
            </w:r>
          </w:p>
        </w:tc>
      </w:tr>
      <w:tr w:rsidR="000006A9" w14:paraId="3FEC2833" w14:textId="77777777" w:rsidTr="000006A9">
        <w:tc>
          <w:tcPr>
            <w:tcW w:w="2410" w:type="dxa"/>
          </w:tcPr>
          <w:p w14:paraId="528DD3C2" w14:textId="0E55FABE" w:rsidR="000006A9" w:rsidRDefault="000006A9" w:rsidP="000006A9">
            <w:pPr>
              <w:pStyle w:val="TableText"/>
            </w:pPr>
            <w:r>
              <w:t>Overall</w:t>
            </w:r>
          </w:p>
        </w:tc>
        <w:tc>
          <w:tcPr>
            <w:tcW w:w="2693" w:type="dxa"/>
          </w:tcPr>
          <w:p w14:paraId="260188FA" w14:textId="77777777" w:rsidR="000006A9" w:rsidRDefault="000006A9" w:rsidP="000006A9">
            <w:pPr>
              <w:pStyle w:val="TableText"/>
            </w:pPr>
          </w:p>
        </w:tc>
        <w:tc>
          <w:tcPr>
            <w:tcW w:w="2267" w:type="dxa"/>
          </w:tcPr>
          <w:p w14:paraId="23F0ADF2" w14:textId="69038721" w:rsidR="000006A9" w:rsidRDefault="000006A9" w:rsidP="000006A9">
            <w:pPr>
              <w:pStyle w:val="TableText"/>
              <w:jc w:val="center"/>
            </w:pPr>
            <w:r>
              <w:t>4</w:t>
            </w:r>
            <w:r w:rsidR="00DC6E05">
              <w:t>4</w:t>
            </w:r>
          </w:p>
        </w:tc>
        <w:tc>
          <w:tcPr>
            <w:tcW w:w="2268" w:type="dxa"/>
          </w:tcPr>
          <w:p w14:paraId="634DEF8F" w14:textId="600C6875" w:rsidR="00DC6E05" w:rsidRDefault="00DC6E05" w:rsidP="00DC6E05">
            <w:pPr>
              <w:pStyle w:val="TableText"/>
              <w:jc w:val="center"/>
            </w:pPr>
            <w:r>
              <w:t>3</w:t>
            </w:r>
          </w:p>
        </w:tc>
      </w:tr>
      <w:tr w:rsidR="000006A9" w14:paraId="68BF41C9" w14:textId="77777777" w:rsidTr="000006A9">
        <w:tc>
          <w:tcPr>
            <w:tcW w:w="2410" w:type="dxa"/>
          </w:tcPr>
          <w:p w14:paraId="321A219F" w14:textId="18F73543" w:rsidR="000006A9" w:rsidRDefault="00B41C6B" w:rsidP="000006A9">
            <w:pPr>
              <w:pStyle w:val="TableText"/>
            </w:pPr>
            <w:r>
              <w:t>Environment</w:t>
            </w:r>
          </w:p>
        </w:tc>
        <w:tc>
          <w:tcPr>
            <w:tcW w:w="2693" w:type="dxa"/>
          </w:tcPr>
          <w:p w14:paraId="2F889F37" w14:textId="3E405C1E" w:rsidR="000006A9" w:rsidRDefault="000006A9" w:rsidP="000006A9">
            <w:pPr>
              <w:pStyle w:val="TableText"/>
            </w:pPr>
            <w:r>
              <w:t>Soils</w:t>
            </w:r>
          </w:p>
        </w:tc>
        <w:tc>
          <w:tcPr>
            <w:tcW w:w="2267" w:type="dxa"/>
          </w:tcPr>
          <w:p w14:paraId="2750BB47" w14:textId="13A5B5FA" w:rsidR="000006A9" w:rsidRDefault="007B1930" w:rsidP="000006A9">
            <w:pPr>
              <w:pStyle w:val="TableText"/>
              <w:jc w:val="center"/>
            </w:pPr>
            <w:r>
              <w:t>31</w:t>
            </w:r>
          </w:p>
        </w:tc>
        <w:tc>
          <w:tcPr>
            <w:tcW w:w="2268" w:type="dxa"/>
          </w:tcPr>
          <w:p w14:paraId="5F2D5268" w14:textId="3CFBF7C6" w:rsidR="000006A9" w:rsidRDefault="007B1930" w:rsidP="000006A9">
            <w:pPr>
              <w:pStyle w:val="TableText"/>
              <w:jc w:val="center"/>
            </w:pPr>
            <w:r>
              <w:t>2</w:t>
            </w:r>
          </w:p>
        </w:tc>
      </w:tr>
      <w:tr w:rsidR="000006A9" w14:paraId="21518E02" w14:textId="77777777" w:rsidTr="00C31A7B">
        <w:tc>
          <w:tcPr>
            <w:tcW w:w="0" w:type="dxa"/>
            <w:tcBorders>
              <w:bottom w:val="single" w:sz="4" w:space="0" w:color="007D55" w:themeColor="accent1"/>
            </w:tcBorders>
          </w:tcPr>
          <w:p w14:paraId="0C4BAC57" w14:textId="77777777" w:rsidR="000006A9" w:rsidRDefault="000006A9" w:rsidP="000006A9">
            <w:pPr>
              <w:pStyle w:val="TableText"/>
            </w:pPr>
          </w:p>
        </w:tc>
        <w:tc>
          <w:tcPr>
            <w:tcW w:w="0" w:type="dxa"/>
            <w:tcBorders>
              <w:bottom w:val="single" w:sz="4" w:space="0" w:color="007D55" w:themeColor="accent1"/>
            </w:tcBorders>
          </w:tcPr>
          <w:p w14:paraId="4E1F43CC" w14:textId="3DA475E2" w:rsidR="000006A9" w:rsidRDefault="000006A9" w:rsidP="000006A9">
            <w:pPr>
              <w:pStyle w:val="TableText"/>
            </w:pPr>
            <w:r>
              <w:t>Water</w:t>
            </w:r>
          </w:p>
        </w:tc>
        <w:tc>
          <w:tcPr>
            <w:tcW w:w="0" w:type="dxa"/>
          </w:tcPr>
          <w:p w14:paraId="2078B9CF" w14:textId="78E6BE9B" w:rsidR="000006A9" w:rsidRDefault="002935D3" w:rsidP="000006A9">
            <w:pPr>
              <w:pStyle w:val="TableText"/>
              <w:jc w:val="center"/>
            </w:pPr>
            <w:r>
              <w:t>22</w:t>
            </w:r>
          </w:p>
        </w:tc>
        <w:tc>
          <w:tcPr>
            <w:tcW w:w="0" w:type="dxa"/>
          </w:tcPr>
          <w:p w14:paraId="527D05BA" w14:textId="61FA8BE3" w:rsidR="005F41F9" w:rsidRDefault="002935D3" w:rsidP="005F41F9">
            <w:pPr>
              <w:pStyle w:val="TableText"/>
              <w:jc w:val="center"/>
            </w:pPr>
            <w:r>
              <w:t>2</w:t>
            </w:r>
          </w:p>
        </w:tc>
      </w:tr>
      <w:tr w:rsidR="00B41C6B" w14:paraId="6708BFB8" w14:textId="77777777" w:rsidTr="00C31A7B">
        <w:tc>
          <w:tcPr>
            <w:tcW w:w="0" w:type="dxa"/>
            <w:tcBorders>
              <w:right w:val="nil"/>
            </w:tcBorders>
          </w:tcPr>
          <w:p w14:paraId="50C1A99C" w14:textId="0BA68D47" w:rsidR="00B41C6B" w:rsidRDefault="00B41C6B" w:rsidP="00B41C6B">
            <w:pPr>
              <w:pStyle w:val="TableText"/>
            </w:pPr>
            <w:r>
              <w:t>Biodiversity</w:t>
            </w:r>
          </w:p>
        </w:tc>
        <w:tc>
          <w:tcPr>
            <w:tcW w:w="0" w:type="dxa"/>
            <w:tcBorders>
              <w:left w:val="nil"/>
            </w:tcBorders>
          </w:tcPr>
          <w:p w14:paraId="30949911" w14:textId="77777777" w:rsidR="00B41C6B" w:rsidRDefault="00B41C6B" w:rsidP="00B41C6B">
            <w:pPr>
              <w:pStyle w:val="TableText"/>
            </w:pPr>
          </w:p>
        </w:tc>
        <w:tc>
          <w:tcPr>
            <w:tcW w:w="0" w:type="dxa"/>
          </w:tcPr>
          <w:p w14:paraId="4FC10162" w14:textId="1062B1B8" w:rsidR="00B41C6B" w:rsidRDefault="002935D3" w:rsidP="00B41C6B">
            <w:pPr>
              <w:pStyle w:val="TableText"/>
              <w:jc w:val="center"/>
            </w:pPr>
            <w:r>
              <w:t>15</w:t>
            </w:r>
          </w:p>
        </w:tc>
        <w:tc>
          <w:tcPr>
            <w:tcW w:w="0" w:type="dxa"/>
          </w:tcPr>
          <w:p w14:paraId="3A5EEF22" w14:textId="3E95C7F3" w:rsidR="00B41C6B" w:rsidRDefault="002935D3" w:rsidP="00B41C6B">
            <w:pPr>
              <w:pStyle w:val="TableText"/>
              <w:jc w:val="center"/>
            </w:pPr>
            <w:r>
              <w:t>3</w:t>
            </w:r>
          </w:p>
        </w:tc>
      </w:tr>
      <w:tr w:rsidR="00B41C6B" w14:paraId="3864B7B3" w14:textId="77777777" w:rsidTr="000006A9">
        <w:tc>
          <w:tcPr>
            <w:tcW w:w="2410" w:type="dxa"/>
          </w:tcPr>
          <w:p w14:paraId="7E2B7675" w14:textId="3724F752" w:rsidR="00B41C6B" w:rsidRDefault="00B41C6B" w:rsidP="00B41C6B">
            <w:pPr>
              <w:pStyle w:val="TableText"/>
            </w:pPr>
            <w:r>
              <w:t>Infrastructure</w:t>
            </w:r>
          </w:p>
        </w:tc>
        <w:tc>
          <w:tcPr>
            <w:tcW w:w="2693" w:type="dxa"/>
          </w:tcPr>
          <w:p w14:paraId="646C5000" w14:textId="570543FC" w:rsidR="00B41C6B" w:rsidRDefault="00B41C6B" w:rsidP="00B41C6B">
            <w:pPr>
              <w:pStyle w:val="TableText"/>
            </w:pPr>
            <w:r>
              <w:t>Road design</w:t>
            </w:r>
          </w:p>
        </w:tc>
        <w:tc>
          <w:tcPr>
            <w:tcW w:w="2267" w:type="dxa"/>
          </w:tcPr>
          <w:p w14:paraId="2A46069D" w14:textId="2802B660" w:rsidR="00B41C6B" w:rsidRDefault="00B41C6B" w:rsidP="00B41C6B">
            <w:pPr>
              <w:pStyle w:val="TableText"/>
              <w:jc w:val="center"/>
            </w:pPr>
            <w:r w:rsidRPr="0061540F">
              <w:t>7</w:t>
            </w:r>
          </w:p>
        </w:tc>
        <w:tc>
          <w:tcPr>
            <w:tcW w:w="2268" w:type="dxa"/>
          </w:tcPr>
          <w:p w14:paraId="5B787D1D" w14:textId="7C6265C4" w:rsidR="00B41C6B" w:rsidRDefault="002F2637" w:rsidP="00B41C6B">
            <w:pPr>
              <w:pStyle w:val="TableText"/>
              <w:jc w:val="center"/>
            </w:pPr>
            <w:r>
              <w:t>1</w:t>
            </w:r>
          </w:p>
        </w:tc>
      </w:tr>
      <w:tr w:rsidR="00B41C6B" w14:paraId="19FC4F92" w14:textId="77777777" w:rsidTr="000006A9">
        <w:tc>
          <w:tcPr>
            <w:tcW w:w="2410" w:type="dxa"/>
          </w:tcPr>
          <w:p w14:paraId="69411B94" w14:textId="77777777" w:rsidR="00B41C6B" w:rsidRDefault="00B41C6B" w:rsidP="00B41C6B">
            <w:pPr>
              <w:pStyle w:val="TableText"/>
            </w:pPr>
          </w:p>
        </w:tc>
        <w:tc>
          <w:tcPr>
            <w:tcW w:w="2693" w:type="dxa"/>
          </w:tcPr>
          <w:p w14:paraId="01CBF5A1" w14:textId="24A1F165" w:rsidR="00B41C6B" w:rsidRDefault="00B41C6B" w:rsidP="00B41C6B">
            <w:pPr>
              <w:pStyle w:val="TableText"/>
            </w:pPr>
            <w:r>
              <w:t>Road construction</w:t>
            </w:r>
          </w:p>
        </w:tc>
        <w:tc>
          <w:tcPr>
            <w:tcW w:w="2267" w:type="dxa"/>
          </w:tcPr>
          <w:p w14:paraId="089AD471" w14:textId="65E70949" w:rsidR="00B41C6B" w:rsidRDefault="002F2637" w:rsidP="00B41C6B">
            <w:pPr>
              <w:pStyle w:val="TableText"/>
              <w:jc w:val="center"/>
            </w:pPr>
            <w:r>
              <w:t>18</w:t>
            </w:r>
          </w:p>
        </w:tc>
        <w:tc>
          <w:tcPr>
            <w:tcW w:w="2268" w:type="dxa"/>
          </w:tcPr>
          <w:p w14:paraId="36D4BA50" w14:textId="48D3EAEB" w:rsidR="00B41C6B" w:rsidRDefault="002F2637" w:rsidP="00B41C6B">
            <w:pPr>
              <w:pStyle w:val="TableText"/>
              <w:jc w:val="center"/>
            </w:pPr>
            <w:r>
              <w:t>1</w:t>
            </w:r>
          </w:p>
        </w:tc>
      </w:tr>
      <w:tr w:rsidR="00B41C6B" w14:paraId="2D57DBF1" w14:textId="77777777" w:rsidTr="000006A9">
        <w:tc>
          <w:tcPr>
            <w:tcW w:w="2410" w:type="dxa"/>
          </w:tcPr>
          <w:p w14:paraId="48CDB166" w14:textId="77777777" w:rsidR="00B41C6B" w:rsidRDefault="00B41C6B" w:rsidP="00B41C6B">
            <w:pPr>
              <w:pStyle w:val="TableText"/>
            </w:pPr>
          </w:p>
        </w:tc>
        <w:tc>
          <w:tcPr>
            <w:tcW w:w="2693" w:type="dxa"/>
          </w:tcPr>
          <w:p w14:paraId="161B616F" w14:textId="3B07BDB9" w:rsidR="00B41C6B" w:rsidRDefault="00B41C6B" w:rsidP="00B41C6B">
            <w:pPr>
              <w:pStyle w:val="TableText"/>
            </w:pPr>
            <w:r>
              <w:t>Road maintenance &amp; closure</w:t>
            </w:r>
          </w:p>
        </w:tc>
        <w:tc>
          <w:tcPr>
            <w:tcW w:w="2267" w:type="dxa"/>
          </w:tcPr>
          <w:p w14:paraId="3375AED3" w14:textId="50E5CAED" w:rsidR="00B41C6B" w:rsidRDefault="00B41C6B" w:rsidP="00B41C6B">
            <w:pPr>
              <w:pStyle w:val="TableText"/>
              <w:jc w:val="center"/>
            </w:pPr>
            <w:r w:rsidRPr="0061540F">
              <w:t>1</w:t>
            </w:r>
          </w:p>
        </w:tc>
        <w:tc>
          <w:tcPr>
            <w:tcW w:w="2268" w:type="dxa"/>
          </w:tcPr>
          <w:p w14:paraId="44C0A3C7" w14:textId="1AA6B8D2" w:rsidR="00B41C6B" w:rsidRDefault="00B41C6B" w:rsidP="00B41C6B">
            <w:pPr>
              <w:pStyle w:val="TableText"/>
              <w:jc w:val="center"/>
            </w:pPr>
            <w:r w:rsidRPr="0061540F">
              <w:t>0</w:t>
            </w:r>
          </w:p>
        </w:tc>
      </w:tr>
      <w:tr w:rsidR="00B41C6B" w14:paraId="431175F4" w14:textId="77777777" w:rsidTr="00C31A7B">
        <w:tc>
          <w:tcPr>
            <w:tcW w:w="0" w:type="dxa"/>
            <w:tcBorders>
              <w:bottom w:val="single" w:sz="4" w:space="0" w:color="007D55" w:themeColor="accent1"/>
            </w:tcBorders>
          </w:tcPr>
          <w:p w14:paraId="3F491C8A" w14:textId="77777777" w:rsidR="00B41C6B" w:rsidRDefault="00B41C6B" w:rsidP="00B41C6B">
            <w:pPr>
              <w:pStyle w:val="TableText"/>
            </w:pPr>
          </w:p>
        </w:tc>
        <w:tc>
          <w:tcPr>
            <w:tcW w:w="0" w:type="dxa"/>
            <w:tcBorders>
              <w:bottom w:val="single" w:sz="4" w:space="0" w:color="007D55" w:themeColor="accent1"/>
            </w:tcBorders>
          </w:tcPr>
          <w:p w14:paraId="72D8A79B" w14:textId="79D29CCF" w:rsidR="00B41C6B" w:rsidRDefault="00B41C6B" w:rsidP="00B41C6B">
            <w:pPr>
              <w:pStyle w:val="TableText"/>
            </w:pPr>
            <w:r>
              <w:t>Non-road infrastructure</w:t>
            </w:r>
          </w:p>
        </w:tc>
        <w:tc>
          <w:tcPr>
            <w:tcW w:w="0" w:type="dxa"/>
          </w:tcPr>
          <w:p w14:paraId="7CA2DE77" w14:textId="54E85F4A" w:rsidR="00B41C6B" w:rsidRDefault="00E273F9" w:rsidP="00B41C6B">
            <w:pPr>
              <w:pStyle w:val="TableText"/>
              <w:jc w:val="center"/>
            </w:pPr>
            <w:r>
              <w:t>22</w:t>
            </w:r>
          </w:p>
        </w:tc>
        <w:tc>
          <w:tcPr>
            <w:tcW w:w="0" w:type="dxa"/>
          </w:tcPr>
          <w:p w14:paraId="0F3D707F" w14:textId="566424B3" w:rsidR="00B41C6B" w:rsidRDefault="00B41C6B" w:rsidP="00B41C6B">
            <w:pPr>
              <w:pStyle w:val="TableText"/>
              <w:jc w:val="center"/>
            </w:pPr>
            <w:r w:rsidRPr="0061540F">
              <w:t>1</w:t>
            </w:r>
          </w:p>
        </w:tc>
      </w:tr>
      <w:tr w:rsidR="00B41C6B" w14:paraId="571972E9" w14:textId="77777777" w:rsidTr="00C31A7B">
        <w:tc>
          <w:tcPr>
            <w:tcW w:w="0" w:type="dxa"/>
            <w:tcBorders>
              <w:right w:val="nil"/>
            </w:tcBorders>
          </w:tcPr>
          <w:p w14:paraId="4EBD0299" w14:textId="7A5A5CC1" w:rsidR="00B41C6B" w:rsidRDefault="00B41C6B" w:rsidP="00B41C6B">
            <w:pPr>
              <w:pStyle w:val="TableText"/>
            </w:pPr>
            <w:r>
              <w:t>Planning &amp; record keeping</w:t>
            </w:r>
          </w:p>
        </w:tc>
        <w:tc>
          <w:tcPr>
            <w:tcW w:w="0" w:type="dxa"/>
            <w:tcBorders>
              <w:left w:val="nil"/>
            </w:tcBorders>
          </w:tcPr>
          <w:p w14:paraId="4419817F" w14:textId="77777777" w:rsidR="00B41C6B" w:rsidRDefault="00B41C6B" w:rsidP="00B41C6B">
            <w:pPr>
              <w:pStyle w:val="TableText"/>
            </w:pPr>
          </w:p>
        </w:tc>
        <w:tc>
          <w:tcPr>
            <w:tcW w:w="0" w:type="dxa"/>
          </w:tcPr>
          <w:p w14:paraId="2189BDC7" w14:textId="1CA57423" w:rsidR="00B41C6B" w:rsidRDefault="00AE34E5" w:rsidP="00B41C6B">
            <w:pPr>
              <w:pStyle w:val="TableText"/>
              <w:jc w:val="center"/>
            </w:pPr>
            <w:r>
              <w:t>18</w:t>
            </w:r>
          </w:p>
        </w:tc>
        <w:tc>
          <w:tcPr>
            <w:tcW w:w="0" w:type="dxa"/>
          </w:tcPr>
          <w:p w14:paraId="3C425090" w14:textId="4CAF14D9" w:rsidR="00B41C6B" w:rsidRDefault="00AE34E5" w:rsidP="00B41C6B">
            <w:pPr>
              <w:pStyle w:val="TableText"/>
              <w:jc w:val="center"/>
            </w:pPr>
            <w:r>
              <w:t>3</w:t>
            </w:r>
          </w:p>
        </w:tc>
      </w:tr>
    </w:tbl>
    <w:p w14:paraId="7A1A4FAC" w14:textId="360FFE0D" w:rsidR="000006A9" w:rsidRDefault="000A1B5A" w:rsidP="000A1B5A">
      <w:pPr>
        <w:pStyle w:val="TableText"/>
      </w:pPr>
      <w:r>
        <w:t>Note:</w:t>
      </w:r>
    </w:p>
    <w:p w14:paraId="1E920A19" w14:textId="51F27B71" w:rsidR="000A1B5A" w:rsidRPr="000006A9" w:rsidRDefault="000A1B5A" w:rsidP="000A1B5A">
      <w:pPr>
        <w:pStyle w:val="TableNumber"/>
        <w:numPr>
          <w:ilvl w:val="0"/>
          <w:numId w:val="43"/>
        </w:numPr>
      </w:pPr>
      <w:r>
        <w:t>Incidents may align with multiple audit themes/sub-themes.</w:t>
      </w:r>
    </w:p>
    <w:p w14:paraId="5751E278" w14:textId="3C0D0B1E" w:rsidR="00011C59" w:rsidRDefault="005D1FD1" w:rsidP="00011C59">
      <w:pPr>
        <w:pStyle w:val="BodyText"/>
      </w:pPr>
      <w:r>
        <w:t>Th</w:t>
      </w:r>
      <w:r w:rsidR="000A2F8E">
        <w:t>irteen</w:t>
      </w:r>
      <w:r>
        <w:t xml:space="preserve"> </w:t>
      </w:r>
      <w:r w:rsidR="000A1B5A">
        <w:t>different</w:t>
      </w:r>
      <w:r w:rsidR="00011C59">
        <w:t xml:space="preserve"> </w:t>
      </w:r>
      <w:r w:rsidR="00CE35B5">
        <w:t xml:space="preserve">incident </w:t>
      </w:r>
      <w:r w:rsidR="00011C59">
        <w:t xml:space="preserve">types </w:t>
      </w:r>
      <w:r w:rsidR="00F6201E">
        <w:t xml:space="preserve">in this year’s audit </w:t>
      </w:r>
      <w:r w:rsidR="00011C59">
        <w:t>were found to result in non-conformances with potential environmental impact (</w:t>
      </w:r>
      <w:r w:rsidR="00965038">
        <w:fldChar w:fldCharType="begin"/>
      </w:r>
      <w:r w:rsidR="00965038">
        <w:instrText xml:space="preserve"> REF _Ref120350032 \h </w:instrText>
      </w:r>
      <w:r w:rsidR="00965038">
        <w:fldChar w:fldCharType="separate"/>
      </w:r>
      <w:r w:rsidR="00130DCF" w:rsidRPr="009038E7">
        <w:t>Table</w:t>
      </w:r>
      <w:r w:rsidR="00130DCF">
        <w:t> </w:t>
      </w:r>
      <w:r w:rsidR="00130DCF">
        <w:rPr>
          <w:noProof/>
        </w:rPr>
        <w:t>5-2</w:t>
      </w:r>
      <w:r w:rsidR="00965038">
        <w:fldChar w:fldCharType="end"/>
      </w:r>
      <w:r w:rsidR="00011C59">
        <w:t xml:space="preserve">). </w:t>
      </w:r>
      <w:r w:rsidR="00B6270B">
        <w:t xml:space="preserve">Two </w:t>
      </w:r>
      <w:r w:rsidR="00520C34">
        <w:t>types of incident</w:t>
      </w:r>
      <w:r w:rsidR="00011C59">
        <w:t xml:space="preserve"> </w:t>
      </w:r>
      <w:r w:rsidR="00965038">
        <w:t xml:space="preserve">were </w:t>
      </w:r>
      <w:r w:rsidR="0045097A">
        <w:t>found</w:t>
      </w:r>
      <w:r w:rsidR="00011C59">
        <w:t xml:space="preserve"> to have up to major potential environmental impact and </w:t>
      </w:r>
      <w:r w:rsidR="00B6270B">
        <w:t xml:space="preserve">three </w:t>
      </w:r>
      <w:r w:rsidR="00965038">
        <w:t>additional</w:t>
      </w:r>
      <w:r w:rsidR="00011C59">
        <w:t xml:space="preserve"> incident type</w:t>
      </w:r>
      <w:r w:rsidR="0045097A">
        <w:t>s</w:t>
      </w:r>
      <w:r w:rsidR="00011C59">
        <w:t xml:space="preserve"> </w:t>
      </w:r>
      <w:r w:rsidR="00965038">
        <w:t xml:space="preserve">was </w:t>
      </w:r>
      <w:r w:rsidR="0045097A">
        <w:t>found</w:t>
      </w:r>
      <w:r w:rsidR="00011C59">
        <w:t xml:space="preserve"> to have up to moderate potential environmental impact. </w:t>
      </w:r>
      <w:r w:rsidR="005714FE">
        <w:t>Potential e</w:t>
      </w:r>
      <w:r w:rsidR="00011C59">
        <w:t xml:space="preserve">nvironmental impact ratings for these incidents reflect the sensitivity of the locations at which the incidents occurred, </w:t>
      </w:r>
      <w:r w:rsidR="004A71AC">
        <w:t>and</w:t>
      </w:r>
      <w:r w:rsidR="00011C59">
        <w:t>, in some cases, the extent</w:t>
      </w:r>
      <w:r w:rsidR="00864C41">
        <w:t>,</w:t>
      </w:r>
      <w:r w:rsidR="00011C59">
        <w:t xml:space="preserve"> severity </w:t>
      </w:r>
      <w:r w:rsidR="00864C41">
        <w:t xml:space="preserve">and likely duration </w:t>
      </w:r>
      <w:r w:rsidR="00011C59">
        <w:t>of actual impact.</w:t>
      </w:r>
      <w:r w:rsidR="00520C34">
        <w:t xml:space="preserve"> Incidents with major potential environmental impact were </w:t>
      </w:r>
      <w:r w:rsidR="0045097A">
        <w:t xml:space="preserve">all </w:t>
      </w:r>
      <w:r w:rsidR="00520C34">
        <w:t>associated with permanent streams or SPZ.</w:t>
      </w:r>
    </w:p>
    <w:p w14:paraId="3B38E6E0" w14:textId="4D4F58AD" w:rsidR="0014475C" w:rsidRDefault="0014475C" w:rsidP="00602323">
      <w:pPr>
        <w:pStyle w:val="TableCaption"/>
      </w:pPr>
      <w:bookmarkStart w:id="154" w:name="_Ref120350032"/>
      <w:bookmarkStart w:id="155" w:name="_Ref121212878"/>
      <w:bookmarkStart w:id="156" w:name="_Toc131178741"/>
      <w:r w:rsidRPr="009038E7">
        <w:t>Table</w:t>
      </w:r>
      <w:r>
        <w:t> </w:t>
      </w:r>
      <w:fldSimple w:instr=" STYLEREF 1 \s ">
        <w:r w:rsidR="00130DCF">
          <w:rPr>
            <w:noProof/>
          </w:rPr>
          <w:t>5</w:t>
        </w:r>
      </w:fldSimple>
      <w:r>
        <w:rPr>
          <w:noProof/>
        </w:rPr>
        <w:t>-</w:t>
      </w:r>
      <w:fldSimple w:instr=" SEQ Table \* ARABIC \s 1 ">
        <w:r w:rsidR="00130DCF">
          <w:rPr>
            <w:noProof/>
          </w:rPr>
          <w:t>2</w:t>
        </w:r>
      </w:fldSimple>
      <w:bookmarkEnd w:id="154"/>
      <w:r>
        <w:rPr>
          <w:noProof/>
        </w:rPr>
        <w:t>.</w:t>
      </w:r>
      <w:r w:rsidRPr="009038E7">
        <w:t xml:space="preserve"> </w:t>
      </w:r>
      <w:r>
        <w:t>Types of incident resulting in non-conformances with the regulatory framework that have potential or actual environmental impact, including comparison with 2019-20 and 2020-21 FAP audits (Jacobs, 2020; Jacobs,202</w:t>
      </w:r>
      <w:r w:rsidR="00E2694E">
        <w:t>1</w:t>
      </w:r>
      <w:r>
        <w:t>)</w:t>
      </w:r>
      <w:bookmarkEnd w:id="155"/>
      <w:bookmarkEnd w:id="156"/>
    </w:p>
    <w:tbl>
      <w:tblPr>
        <w:tblStyle w:val="JacobsTable1accentprimarythemes"/>
        <w:tblW w:w="0" w:type="auto"/>
        <w:tblLayout w:type="fixed"/>
        <w:tblLook w:val="04A0" w:firstRow="1" w:lastRow="0" w:firstColumn="1" w:lastColumn="0" w:noHBand="0" w:noVBand="1"/>
      </w:tblPr>
      <w:tblGrid>
        <w:gridCol w:w="4111"/>
        <w:gridCol w:w="1105"/>
        <w:gridCol w:w="1105"/>
        <w:gridCol w:w="1106"/>
        <w:gridCol w:w="1105"/>
        <w:gridCol w:w="1106"/>
      </w:tblGrid>
      <w:tr w:rsidR="0014475C" w14:paraId="0CC86038" w14:textId="77777777" w:rsidTr="0014475C">
        <w:trPr>
          <w:cnfStyle w:val="100000000000" w:firstRow="1" w:lastRow="0" w:firstColumn="0" w:lastColumn="0" w:oddVBand="0" w:evenVBand="0" w:oddHBand="0" w:evenHBand="0" w:firstRowFirstColumn="0" w:firstRowLastColumn="0" w:lastRowFirstColumn="0" w:lastRowLastColumn="0"/>
        </w:trPr>
        <w:tc>
          <w:tcPr>
            <w:tcW w:w="4111" w:type="dxa"/>
            <w:vMerge w:val="restart"/>
          </w:tcPr>
          <w:p w14:paraId="5E976C9D" w14:textId="345A5CF8" w:rsidR="0014475C" w:rsidRDefault="0014475C" w:rsidP="0014475C">
            <w:pPr>
              <w:pStyle w:val="TableText"/>
            </w:pPr>
            <w:r>
              <w:t>Type of incident</w:t>
            </w:r>
          </w:p>
        </w:tc>
        <w:tc>
          <w:tcPr>
            <w:tcW w:w="3316" w:type="dxa"/>
            <w:gridSpan w:val="3"/>
          </w:tcPr>
          <w:p w14:paraId="37AC9B37" w14:textId="0E52DE2D" w:rsidR="0014475C" w:rsidRDefault="0014475C" w:rsidP="0014475C">
            <w:pPr>
              <w:pStyle w:val="TableText"/>
              <w:jc w:val="center"/>
            </w:pPr>
            <w:r>
              <w:t># incidents observed in FAP program</w:t>
            </w:r>
          </w:p>
        </w:tc>
        <w:tc>
          <w:tcPr>
            <w:tcW w:w="1105" w:type="dxa"/>
            <w:vMerge w:val="restart"/>
          </w:tcPr>
          <w:p w14:paraId="73CB5643" w14:textId="7081E213" w:rsidR="0014475C" w:rsidRDefault="0014475C" w:rsidP="0045097A">
            <w:pPr>
              <w:pStyle w:val="TableText"/>
              <w:jc w:val="center"/>
            </w:pPr>
            <w:r>
              <w:t>Maximum EI rating (20</w:t>
            </w:r>
            <w:r w:rsidR="00DC1E09">
              <w:t>21-</w:t>
            </w:r>
            <w:r>
              <w:t>22)</w:t>
            </w:r>
          </w:p>
        </w:tc>
        <w:tc>
          <w:tcPr>
            <w:tcW w:w="1106" w:type="dxa"/>
            <w:vMerge w:val="restart"/>
          </w:tcPr>
          <w:p w14:paraId="5AB92B8B" w14:textId="18C61C4C" w:rsidR="0014475C" w:rsidRDefault="0014475C" w:rsidP="0014475C">
            <w:pPr>
              <w:pStyle w:val="TableText"/>
            </w:pPr>
            <w:r>
              <w:t>Code (C) or MSP (M) reference</w:t>
            </w:r>
          </w:p>
        </w:tc>
      </w:tr>
      <w:tr w:rsidR="0014475C" w14:paraId="59744A68" w14:textId="77777777" w:rsidTr="0014475C">
        <w:tc>
          <w:tcPr>
            <w:tcW w:w="4111" w:type="dxa"/>
            <w:vMerge/>
          </w:tcPr>
          <w:p w14:paraId="4162FB4E" w14:textId="6391D76D" w:rsidR="0014475C" w:rsidRDefault="0014475C" w:rsidP="0014475C">
            <w:pPr>
              <w:pStyle w:val="TableText"/>
            </w:pPr>
          </w:p>
        </w:tc>
        <w:tc>
          <w:tcPr>
            <w:tcW w:w="1105" w:type="dxa"/>
          </w:tcPr>
          <w:p w14:paraId="0D4FA95E" w14:textId="114B1F74" w:rsidR="0014475C" w:rsidRDefault="0014475C" w:rsidP="0014475C">
            <w:pPr>
              <w:pStyle w:val="TableText"/>
              <w:jc w:val="center"/>
            </w:pPr>
            <w:r>
              <w:t>2019-20</w:t>
            </w:r>
          </w:p>
        </w:tc>
        <w:tc>
          <w:tcPr>
            <w:tcW w:w="1105" w:type="dxa"/>
          </w:tcPr>
          <w:p w14:paraId="4421404F" w14:textId="274F7715" w:rsidR="0014475C" w:rsidRDefault="0014475C" w:rsidP="0014475C">
            <w:pPr>
              <w:pStyle w:val="TableText"/>
              <w:jc w:val="center"/>
            </w:pPr>
            <w:r>
              <w:t>2020-21</w:t>
            </w:r>
          </w:p>
        </w:tc>
        <w:tc>
          <w:tcPr>
            <w:tcW w:w="1106" w:type="dxa"/>
          </w:tcPr>
          <w:p w14:paraId="4AACE347" w14:textId="759C2DEB" w:rsidR="0014475C" w:rsidRDefault="0014475C" w:rsidP="0014475C">
            <w:pPr>
              <w:pStyle w:val="TableText"/>
              <w:jc w:val="center"/>
            </w:pPr>
            <w:r>
              <w:t>2021-22</w:t>
            </w:r>
          </w:p>
        </w:tc>
        <w:tc>
          <w:tcPr>
            <w:tcW w:w="1105" w:type="dxa"/>
            <w:vMerge/>
          </w:tcPr>
          <w:p w14:paraId="6597E6B2" w14:textId="79CEA891" w:rsidR="0014475C" w:rsidRDefault="0014475C" w:rsidP="0045097A">
            <w:pPr>
              <w:pStyle w:val="TableText"/>
              <w:jc w:val="center"/>
            </w:pPr>
          </w:p>
        </w:tc>
        <w:tc>
          <w:tcPr>
            <w:tcW w:w="1106" w:type="dxa"/>
            <w:vMerge/>
          </w:tcPr>
          <w:p w14:paraId="0F7A1495" w14:textId="70597B51" w:rsidR="0014475C" w:rsidRDefault="0014475C" w:rsidP="0014475C">
            <w:pPr>
              <w:pStyle w:val="TableText"/>
            </w:pPr>
          </w:p>
        </w:tc>
      </w:tr>
      <w:tr w:rsidR="00965038" w14:paraId="26BBE32A" w14:textId="77777777" w:rsidTr="0014475C">
        <w:tc>
          <w:tcPr>
            <w:tcW w:w="4111" w:type="dxa"/>
          </w:tcPr>
          <w:p w14:paraId="4C9F2E98" w14:textId="7AC9F4EB" w:rsidR="00965038" w:rsidRDefault="00520C34" w:rsidP="00965038">
            <w:pPr>
              <w:pStyle w:val="TableNumber"/>
              <w:numPr>
                <w:ilvl w:val="0"/>
                <w:numId w:val="41"/>
              </w:numPr>
            </w:pPr>
            <w:r>
              <w:t>In-coupe road or snig track w</w:t>
            </w:r>
            <w:r w:rsidR="00965038">
              <w:t>aterway crossing design, construction and/or rehabilitation does not conform with the regulatory framework</w:t>
            </w:r>
            <w:r>
              <w:t>,</w:t>
            </w:r>
            <w:r w:rsidR="00965038">
              <w:t xml:space="preserve"> including culvert installation, management of road drainage in the vicinity of the crossing, rehabilitation of crossing.</w:t>
            </w:r>
          </w:p>
          <w:p w14:paraId="499813F8" w14:textId="11CB5171" w:rsidR="00965038" w:rsidRPr="00965038" w:rsidRDefault="00965038" w:rsidP="00965038">
            <w:pPr>
              <w:pStyle w:val="TableText"/>
              <w:rPr>
                <w:i/>
                <w:iCs/>
              </w:rPr>
            </w:pPr>
            <w:r w:rsidRPr="00965038">
              <w:rPr>
                <w:i/>
                <w:iCs/>
              </w:rPr>
              <w:t>Potential consequences: soil erosion, sediment deposition into waterways, impairment of aquatic habitat, reduced water quality.</w:t>
            </w:r>
          </w:p>
        </w:tc>
        <w:tc>
          <w:tcPr>
            <w:tcW w:w="1105" w:type="dxa"/>
          </w:tcPr>
          <w:p w14:paraId="6A42FFD6" w14:textId="40002435" w:rsidR="00965038" w:rsidRPr="003071A4" w:rsidRDefault="00965038" w:rsidP="00965038">
            <w:pPr>
              <w:pStyle w:val="TableText"/>
              <w:jc w:val="center"/>
            </w:pPr>
            <w:r w:rsidRPr="003071A4">
              <w:t>3</w:t>
            </w:r>
          </w:p>
        </w:tc>
        <w:tc>
          <w:tcPr>
            <w:tcW w:w="1105" w:type="dxa"/>
          </w:tcPr>
          <w:p w14:paraId="275DA06A" w14:textId="6079DC05" w:rsidR="00965038" w:rsidRPr="003071A4" w:rsidRDefault="00965038" w:rsidP="00965038">
            <w:pPr>
              <w:pStyle w:val="TableText"/>
              <w:jc w:val="center"/>
            </w:pPr>
            <w:r w:rsidRPr="003071A4">
              <w:t>4</w:t>
            </w:r>
          </w:p>
        </w:tc>
        <w:tc>
          <w:tcPr>
            <w:tcW w:w="1106" w:type="dxa"/>
          </w:tcPr>
          <w:p w14:paraId="4DDFDD05" w14:textId="15B4175B" w:rsidR="00965038" w:rsidRDefault="00965038" w:rsidP="00965038">
            <w:pPr>
              <w:pStyle w:val="TableText"/>
              <w:jc w:val="center"/>
            </w:pPr>
            <w:r>
              <w:t>1</w:t>
            </w:r>
            <w:r w:rsidR="0038004B">
              <w:t>2</w:t>
            </w:r>
          </w:p>
        </w:tc>
        <w:tc>
          <w:tcPr>
            <w:tcW w:w="1105" w:type="dxa"/>
          </w:tcPr>
          <w:p w14:paraId="202EF2D8" w14:textId="50DA7933" w:rsidR="00965038" w:rsidRDefault="00965038" w:rsidP="0045097A">
            <w:pPr>
              <w:pStyle w:val="TableText"/>
              <w:jc w:val="center"/>
            </w:pPr>
            <w:r>
              <w:t>Major</w:t>
            </w:r>
          </w:p>
        </w:tc>
        <w:tc>
          <w:tcPr>
            <w:tcW w:w="1106" w:type="dxa"/>
          </w:tcPr>
          <w:p w14:paraId="4426FCC5" w14:textId="68687EC1" w:rsidR="00965038" w:rsidRPr="00A0027A" w:rsidRDefault="00965038" w:rsidP="00965038">
            <w:pPr>
              <w:pStyle w:val="TableText"/>
            </w:pPr>
            <w:r w:rsidRPr="00A0027A">
              <w:t>C2.2.1.2/6/7/8/12, 2.4.2.9, 2.4.6.2, M6.2.5.5, 6.2.4.1/2/4/5.6</w:t>
            </w:r>
            <w:r>
              <w:t>, 8.1.5.6</w:t>
            </w:r>
          </w:p>
        </w:tc>
      </w:tr>
      <w:tr w:rsidR="00965038" w14:paraId="0354675B" w14:textId="77777777" w:rsidTr="0014475C">
        <w:tc>
          <w:tcPr>
            <w:tcW w:w="4111" w:type="dxa"/>
          </w:tcPr>
          <w:p w14:paraId="1B8415F9" w14:textId="680A1896" w:rsidR="00965038" w:rsidRPr="00554929" w:rsidRDefault="00965038" w:rsidP="00965038">
            <w:pPr>
              <w:pStyle w:val="TableNumber"/>
              <w:numPr>
                <w:ilvl w:val="0"/>
                <w:numId w:val="41"/>
              </w:numPr>
            </w:pPr>
            <w:r w:rsidRPr="00554929">
              <w:t>Spacing of effective drains along snig or boundary tracks exceed permitted value (from UP) based on recorded soil erosion hazard and slope.</w:t>
            </w:r>
            <w:r w:rsidRPr="00965038">
              <w:rPr>
                <w:vertAlign w:val="superscript"/>
              </w:rPr>
              <w:t>1</w:t>
            </w:r>
          </w:p>
          <w:p w14:paraId="5D574D0C" w14:textId="4F7D3D44" w:rsidR="00965038" w:rsidRPr="00554929" w:rsidRDefault="00965038" w:rsidP="00965038">
            <w:pPr>
              <w:pStyle w:val="TableText"/>
              <w:rPr>
                <w:i/>
                <w:iCs/>
              </w:rPr>
            </w:pPr>
            <w:r w:rsidRPr="00554929">
              <w:rPr>
                <w:i/>
                <w:iCs/>
              </w:rPr>
              <w:t>Potential consequences: soil erosion, sediment deposition into waterways, impairment of aquatic habitat, reduced water quality</w:t>
            </w:r>
          </w:p>
        </w:tc>
        <w:tc>
          <w:tcPr>
            <w:tcW w:w="1105" w:type="dxa"/>
          </w:tcPr>
          <w:p w14:paraId="7933BA52" w14:textId="4A80F8A4" w:rsidR="00965038" w:rsidRDefault="00965038" w:rsidP="00965038">
            <w:pPr>
              <w:pStyle w:val="TableText"/>
              <w:jc w:val="center"/>
            </w:pPr>
            <w:r w:rsidRPr="003071A4">
              <w:t>8</w:t>
            </w:r>
          </w:p>
        </w:tc>
        <w:tc>
          <w:tcPr>
            <w:tcW w:w="1105" w:type="dxa"/>
          </w:tcPr>
          <w:p w14:paraId="507FCA62" w14:textId="4696F084" w:rsidR="00965038" w:rsidRDefault="00965038" w:rsidP="00965038">
            <w:pPr>
              <w:pStyle w:val="TableText"/>
              <w:jc w:val="center"/>
            </w:pPr>
            <w:r w:rsidRPr="003071A4">
              <w:t>9</w:t>
            </w:r>
          </w:p>
        </w:tc>
        <w:tc>
          <w:tcPr>
            <w:tcW w:w="1106" w:type="dxa"/>
          </w:tcPr>
          <w:p w14:paraId="5183EF56" w14:textId="38F0A998" w:rsidR="00965038" w:rsidRDefault="002F01CC" w:rsidP="00965038">
            <w:pPr>
              <w:pStyle w:val="TableText"/>
              <w:jc w:val="center"/>
            </w:pPr>
            <w:r>
              <w:t>8</w:t>
            </w:r>
          </w:p>
        </w:tc>
        <w:tc>
          <w:tcPr>
            <w:tcW w:w="1105" w:type="dxa"/>
          </w:tcPr>
          <w:p w14:paraId="4D8198FF" w14:textId="159C5EC5" w:rsidR="00965038" w:rsidRDefault="00965038" w:rsidP="0045097A">
            <w:pPr>
              <w:pStyle w:val="TableText"/>
              <w:jc w:val="center"/>
            </w:pPr>
            <w:r>
              <w:t>Minor</w:t>
            </w:r>
          </w:p>
        </w:tc>
        <w:tc>
          <w:tcPr>
            <w:tcW w:w="1106" w:type="dxa"/>
          </w:tcPr>
          <w:p w14:paraId="7FD757E8" w14:textId="75199085" w:rsidR="00965038" w:rsidRPr="00554929" w:rsidRDefault="00965038" w:rsidP="00965038">
            <w:pPr>
              <w:pStyle w:val="TableText"/>
              <w:rPr>
                <w:sz w:val="16"/>
                <w:szCs w:val="18"/>
              </w:rPr>
            </w:pPr>
            <w:r w:rsidRPr="00A0027A">
              <w:t>C2.5.2.5</w:t>
            </w:r>
          </w:p>
        </w:tc>
      </w:tr>
      <w:tr w:rsidR="00965038" w14:paraId="212951B9" w14:textId="77777777" w:rsidTr="00FB2E1B">
        <w:tc>
          <w:tcPr>
            <w:tcW w:w="4111" w:type="dxa"/>
          </w:tcPr>
          <w:p w14:paraId="1490E7B5" w14:textId="305D5565" w:rsidR="00965038" w:rsidRDefault="00965038" w:rsidP="00965038">
            <w:pPr>
              <w:pStyle w:val="TableNumber"/>
            </w:pPr>
            <w:r w:rsidRPr="00554929">
              <w:lastRenderedPageBreak/>
              <w:t>Piles of slash, bark or other debris formed at landing in preparation for regeneration burning exceed prescriptions</w:t>
            </w:r>
            <w:r w:rsidR="00520C34">
              <w:t>.</w:t>
            </w:r>
          </w:p>
          <w:p w14:paraId="1615C101" w14:textId="77777777" w:rsidR="00965038" w:rsidRPr="00554929" w:rsidRDefault="00965038" w:rsidP="00965038">
            <w:pPr>
              <w:pStyle w:val="TableText"/>
              <w:rPr>
                <w:i/>
                <w:iCs/>
              </w:rPr>
            </w:pPr>
            <w:r w:rsidRPr="00554929">
              <w:rPr>
                <w:i/>
                <w:iCs/>
              </w:rPr>
              <w:t>Potential consequences: damage to soil structure and chemistry due to heat of fire, poor regeneration and seedling recruitment</w:t>
            </w:r>
          </w:p>
        </w:tc>
        <w:tc>
          <w:tcPr>
            <w:tcW w:w="1105" w:type="dxa"/>
          </w:tcPr>
          <w:p w14:paraId="5B9A0A52" w14:textId="77777777" w:rsidR="00965038" w:rsidRDefault="00965038" w:rsidP="00965038">
            <w:pPr>
              <w:pStyle w:val="TableText"/>
              <w:jc w:val="center"/>
            </w:pPr>
            <w:r w:rsidRPr="003071A4">
              <w:t>0</w:t>
            </w:r>
          </w:p>
        </w:tc>
        <w:tc>
          <w:tcPr>
            <w:tcW w:w="1105" w:type="dxa"/>
          </w:tcPr>
          <w:p w14:paraId="3F8AC627" w14:textId="77777777" w:rsidR="00965038" w:rsidRDefault="00965038" w:rsidP="00965038">
            <w:pPr>
              <w:pStyle w:val="TableText"/>
              <w:jc w:val="center"/>
            </w:pPr>
            <w:r w:rsidRPr="003071A4">
              <w:t>5</w:t>
            </w:r>
          </w:p>
        </w:tc>
        <w:tc>
          <w:tcPr>
            <w:tcW w:w="1106" w:type="dxa"/>
          </w:tcPr>
          <w:p w14:paraId="49E0A241" w14:textId="77777777" w:rsidR="00965038" w:rsidRDefault="00965038" w:rsidP="00965038">
            <w:pPr>
              <w:pStyle w:val="TableText"/>
              <w:jc w:val="center"/>
            </w:pPr>
            <w:r>
              <w:t>5</w:t>
            </w:r>
          </w:p>
        </w:tc>
        <w:tc>
          <w:tcPr>
            <w:tcW w:w="1105" w:type="dxa"/>
          </w:tcPr>
          <w:p w14:paraId="49BD7A85" w14:textId="77777777" w:rsidR="00965038" w:rsidRPr="004430BA" w:rsidRDefault="00965038" w:rsidP="0045097A">
            <w:pPr>
              <w:pStyle w:val="TableText"/>
              <w:jc w:val="center"/>
            </w:pPr>
            <w:r>
              <w:t>Minor</w:t>
            </w:r>
          </w:p>
        </w:tc>
        <w:tc>
          <w:tcPr>
            <w:tcW w:w="1106" w:type="dxa"/>
          </w:tcPr>
          <w:p w14:paraId="0512112B" w14:textId="77777777" w:rsidR="00965038" w:rsidRPr="00554929" w:rsidRDefault="00965038" w:rsidP="00965038">
            <w:pPr>
              <w:pStyle w:val="TableText"/>
              <w:rPr>
                <w:sz w:val="16"/>
                <w:szCs w:val="18"/>
              </w:rPr>
            </w:pPr>
            <w:r w:rsidRPr="00A0027A">
              <w:t>M7.2.4.2</w:t>
            </w:r>
          </w:p>
        </w:tc>
      </w:tr>
      <w:tr w:rsidR="00965038" w14:paraId="26CF3DA0" w14:textId="77777777" w:rsidTr="00FB2E1B">
        <w:tc>
          <w:tcPr>
            <w:tcW w:w="4111" w:type="dxa"/>
          </w:tcPr>
          <w:p w14:paraId="7DD651D1" w14:textId="418D44BB" w:rsidR="00965038" w:rsidRDefault="00965038" w:rsidP="00965038">
            <w:pPr>
              <w:pStyle w:val="TableNumber"/>
            </w:pPr>
            <w:r>
              <w:t>In-coupe road drainage structure spacing exceed permitted value based on recorded soil erosion hazard and slope. Slope of in-coupe road exceeds permitted range for soil erosion hazard.</w:t>
            </w:r>
            <w:r w:rsidRPr="00F64BD0">
              <w:rPr>
                <w:vertAlign w:val="superscript"/>
              </w:rPr>
              <w:t>1</w:t>
            </w:r>
          </w:p>
          <w:p w14:paraId="220DB9F6" w14:textId="77777777" w:rsidR="00965038" w:rsidRPr="00554929" w:rsidRDefault="00965038" w:rsidP="00965038">
            <w:pPr>
              <w:pStyle w:val="TableText"/>
              <w:rPr>
                <w:i/>
                <w:iCs/>
              </w:rPr>
            </w:pPr>
            <w:r w:rsidRPr="00554929">
              <w:rPr>
                <w:i/>
                <w:iCs/>
              </w:rPr>
              <w:t>Potential consequences: soil erosion, sediment deposition into waterways, impairment of aquatic habitat, reduced water quality</w:t>
            </w:r>
          </w:p>
        </w:tc>
        <w:tc>
          <w:tcPr>
            <w:tcW w:w="1105" w:type="dxa"/>
          </w:tcPr>
          <w:p w14:paraId="03A3CFBD" w14:textId="77777777" w:rsidR="00965038" w:rsidRDefault="00965038" w:rsidP="00965038">
            <w:pPr>
              <w:pStyle w:val="TableText"/>
              <w:jc w:val="center"/>
            </w:pPr>
            <w:r w:rsidRPr="003071A4">
              <w:t>5</w:t>
            </w:r>
          </w:p>
        </w:tc>
        <w:tc>
          <w:tcPr>
            <w:tcW w:w="1105" w:type="dxa"/>
          </w:tcPr>
          <w:p w14:paraId="3E653012" w14:textId="77777777" w:rsidR="00965038" w:rsidRDefault="00965038" w:rsidP="00965038">
            <w:pPr>
              <w:pStyle w:val="TableText"/>
              <w:jc w:val="center"/>
            </w:pPr>
            <w:r w:rsidRPr="003071A4">
              <w:t>4</w:t>
            </w:r>
          </w:p>
        </w:tc>
        <w:tc>
          <w:tcPr>
            <w:tcW w:w="1106" w:type="dxa"/>
          </w:tcPr>
          <w:p w14:paraId="4AF1F509" w14:textId="03A6F427" w:rsidR="00965038" w:rsidRDefault="002F01CC" w:rsidP="00965038">
            <w:pPr>
              <w:pStyle w:val="TableText"/>
              <w:jc w:val="center"/>
            </w:pPr>
            <w:r>
              <w:t>4</w:t>
            </w:r>
          </w:p>
        </w:tc>
        <w:tc>
          <w:tcPr>
            <w:tcW w:w="1105" w:type="dxa"/>
          </w:tcPr>
          <w:p w14:paraId="3F523396" w14:textId="77777777" w:rsidR="00965038" w:rsidRDefault="00965038" w:rsidP="0045097A">
            <w:pPr>
              <w:pStyle w:val="TableText"/>
              <w:jc w:val="center"/>
            </w:pPr>
            <w:r>
              <w:t>Minor</w:t>
            </w:r>
          </w:p>
        </w:tc>
        <w:tc>
          <w:tcPr>
            <w:tcW w:w="1106" w:type="dxa"/>
          </w:tcPr>
          <w:p w14:paraId="4F91C8C0" w14:textId="77777777" w:rsidR="00965038" w:rsidRPr="00554929" w:rsidRDefault="00965038" w:rsidP="00965038">
            <w:pPr>
              <w:pStyle w:val="TableText"/>
              <w:rPr>
                <w:sz w:val="16"/>
                <w:szCs w:val="18"/>
              </w:rPr>
            </w:pPr>
            <w:r w:rsidRPr="00A0027A">
              <w:t>C2.4.2.5, M6.2.4.1</w:t>
            </w:r>
          </w:p>
        </w:tc>
      </w:tr>
      <w:tr w:rsidR="00F805B4" w14:paraId="04165200" w14:textId="77777777" w:rsidTr="00FB2E1B">
        <w:tc>
          <w:tcPr>
            <w:tcW w:w="4111" w:type="dxa"/>
          </w:tcPr>
          <w:p w14:paraId="5BD51760" w14:textId="6ABC42AC" w:rsidR="00F805B4" w:rsidRDefault="00F805B4" w:rsidP="00FB2E1B">
            <w:pPr>
              <w:pStyle w:val="TableNumber"/>
            </w:pPr>
            <w:r>
              <w:t>Snig track construct</w:t>
            </w:r>
            <w:r w:rsidR="00520C34">
              <w:t>ed</w:t>
            </w:r>
            <w:r>
              <w:t xml:space="preserve"> through flow path of temporary stream or other wet area </w:t>
            </w:r>
            <w:r w:rsidR="00520C34">
              <w:t xml:space="preserve">that </w:t>
            </w:r>
            <w:r>
              <w:t>requir</w:t>
            </w:r>
            <w:r w:rsidR="00520C34">
              <w:t>ed</w:t>
            </w:r>
            <w:r>
              <w:t xml:space="preserve"> protection from machinery disturbance.</w:t>
            </w:r>
          </w:p>
          <w:p w14:paraId="18EE9BFD" w14:textId="77777777" w:rsidR="00F805B4" w:rsidRPr="00164D4B" w:rsidRDefault="00F805B4" w:rsidP="00FB2E1B">
            <w:pPr>
              <w:pStyle w:val="TableText"/>
              <w:rPr>
                <w:i/>
                <w:iCs/>
              </w:rPr>
            </w:pPr>
            <w:r>
              <w:rPr>
                <w:i/>
                <w:iCs/>
              </w:rPr>
              <w:t>Potential consequences: soil compaction, sediment mobilisation, reduced water quality, impairment of aquatic habitat.</w:t>
            </w:r>
          </w:p>
        </w:tc>
        <w:tc>
          <w:tcPr>
            <w:tcW w:w="1105" w:type="dxa"/>
          </w:tcPr>
          <w:p w14:paraId="14E2F1C9" w14:textId="77777777" w:rsidR="00F805B4" w:rsidRPr="003071A4" w:rsidRDefault="00F805B4" w:rsidP="00FB2E1B">
            <w:pPr>
              <w:pStyle w:val="TableText"/>
              <w:jc w:val="center"/>
            </w:pPr>
            <w:r>
              <w:t>0</w:t>
            </w:r>
          </w:p>
        </w:tc>
        <w:tc>
          <w:tcPr>
            <w:tcW w:w="1105" w:type="dxa"/>
          </w:tcPr>
          <w:p w14:paraId="61625A53" w14:textId="77777777" w:rsidR="00F805B4" w:rsidRPr="003071A4" w:rsidRDefault="00F805B4" w:rsidP="00FB2E1B">
            <w:pPr>
              <w:pStyle w:val="TableText"/>
              <w:jc w:val="center"/>
            </w:pPr>
            <w:r>
              <w:t>0</w:t>
            </w:r>
          </w:p>
        </w:tc>
        <w:tc>
          <w:tcPr>
            <w:tcW w:w="1106" w:type="dxa"/>
          </w:tcPr>
          <w:p w14:paraId="153005BC" w14:textId="36F13E08" w:rsidR="00F805B4" w:rsidRDefault="00AC41DD" w:rsidP="00FB2E1B">
            <w:pPr>
              <w:pStyle w:val="TableText"/>
              <w:jc w:val="center"/>
            </w:pPr>
            <w:r>
              <w:t>2</w:t>
            </w:r>
          </w:p>
        </w:tc>
        <w:tc>
          <w:tcPr>
            <w:tcW w:w="1105" w:type="dxa"/>
          </w:tcPr>
          <w:p w14:paraId="6E58C021" w14:textId="77777777" w:rsidR="00F805B4" w:rsidRDefault="00F805B4" w:rsidP="0045097A">
            <w:pPr>
              <w:pStyle w:val="TableText"/>
              <w:jc w:val="center"/>
            </w:pPr>
            <w:r>
              <w:t>Moderate</w:t>
            </w:r>
          </w:p>
        </w:tc>
        <w:tc>
          <w:tcPr>
            <w:tcW w:w="1106" w:type="dxa"/>
          </w:tcPr>
          <w:p w14:paraId="5DCFB317" w14:textId="77777777" w:rsidR="00F805B4" w:rsidRDefault="00F805B4" w:rsidP="00FB2E1B">
            <w:pPr>
              <w:pStyle w:val="TableText"/>
            </w:pPr>
            <w:r>
              <w:t xml:space="preserve">C2.2.1.2/3/8/15 </w:t>
            </w:r>
          </w:p>
        </w:tc>
      </w:tr>
      <w:tr w:rsidR="00965038" w14:paraId="7FA379C8" w14:textId="77777777" w:rsidTr="0014475C">
        <w:tc>
          <w:tcPr>
            <w:tcW w:w="4111" w:type="dxa"/>
          </w:tcPr>
          <w:p w14:paraId="55BB84CE" w14:textId="1A1A4ED4" w:rsidR="00965038" w:rsidRPr="00554929" w:rsidRDefault="00965038" w:rsidP="00965038">
            <w:pPr>
              <w:pStyle w:val="TableNumber"/>
            </w:pPr>
            <w:r w:rsidRPr="00554929">
              <w:t xml:space="preserve">Regeneration burn </w:t>
            </w:r>
            <w:r w:rsidR="00520C34">
              <w:t xml:space="preserve">has </w:t>
            </w:r>
            <w:r w:rsidRPr="00554929">
              <w:t>enter</w:t>
            </w:r>
            <w:r w:rsidR="00520C34">
              <w:t>ed</w:t>
            </w:r>
            <w:r w:rsidRPr="00554929">
              <w:t xml:space="preserve"> and/or affect</w:t>
            </w:r>
            <w:r w:rsidR="00520C34">
              <w:t>ed</w:t>
            </w:r>
            <w:r w:rsidRPr="00554929">
              <w:t xml:space="preserve"> exclusion areas within or adjacent to coupe and/or vegetation in exclusion</w:t>
            </w:r>
            <w:r w:rsidR="00520C34">
              <w:t xml:space="preserve"> areas/habitat patches</w:t>
            </w:r>
            <w:r w:rsidRPr="00554929">
              <w:t xml:space="preserve"> </w:t>
            </w:r>
            <w:r w:rsidR="00520C34">
              <w:t xml:space="preserve">has been </w:t>
            </w:r>
            <w:r w:rsidRPr="00554929">
              <w:t>damaged by regeneration or rough heap burn that remains within the planned burn boundary.</w:t>
            </w:r>
          </w:p>
          <w:p w14:paraId="580DBC23" w14:textId="7764839F" w:rsidR="00965038" w:rsidRPr="00554929" w:rsidRDefault="00965038" w:rsidP="00965038">
            <w:pPr>
              <w:pStyle w:val="TableText"/>
              <w:rPr>
                <w:i/>
                <w:iCs/>
              </w:rPr>
            </w:pPr>
            <w:r w:rsidRPr="00554929">
              <w:rPr>
                <w:i/>
                <w:iCs/>
              </w:rPr>
              <w:t>Potential consequences: soil erosion, sediment deposition into waterways, impairment of aquatic and terrestrial habitat, reduced water quality, loss of fire-sensitive biodiversity values</w:t>
            </w:r>
            <w:r>
              <w:rPr>
                <w:i/>
                <w:iCs/>
              </w:rPr>
              <w:t>.</w:t>
            </w:r>
          </w:p>
        </w:tc>
        <w:tc>
          <w:tcPr>
            <w:tcW w:w="1105" w:type="dxa"/>
          </w:tcPr>
          <w:p w14:paraId="21F77FC2" w14:textId="36F4E912" w:rsidR="00965038" w:rsidRDefault="00965038" w:rsidP="00965038">
            <w:pPr>
              <w:pStyle w:val="TableText"/>
              <w:jc w:val="center"/>
            </w:pPr>
            <w:r w:rsidRPr="003071A4">
              <w:t>2</w:t>
            </w:r>
          </w:p>
        </w:tc>
        <w:tc>
          <w:tcPr>
            <w:tcW w:w="1105" w:type="dxa"/>
          </w:tcPr>
          <w:p w14:paraId="2EECF551" w14:textId="08ABAC83" w:rsidR="00965038" w:rsidRDefault="00965038" w:rsidP="00965038">
            <w:pPr>
              <w:pStyle w:val="TableText"/>
              <w:jc w:val="center"/>
            </w:pPr>
            <w:r w:rsidRPr="003071A4">
              <w:t>6</w:t>
            </w:r>
          </w:p>
        </w:tc>
        <w:tc>
          <w:tcPr>
            <w:tcW w:w="1106" w:type="dxa"/>
          </w:tcPr>
          <w:p w14:paraId="538BF4F9" w14:textId="5FE585C8" w:rsidR="00965038" w:rsidRDefault="00801F57" w:rsidP="00965038">
            <w:pPr>
              <w:pStyle w:val="TableText"/>
              <w:jc w:val="center"/>
            </w:pPr>
            <w:r>
              <w:t>1</w:t>
            </w:r>
          </w:p>
        </w:tc>
        <w:tc>
          <w:tcPr>
            <w:tcW w:w="1105" w:type="dxa"/>
          </w:tcPr>
          <w:p w14:paraId="3B41D869" w14:textId="11DDE8AF" w:rsidR="00965038" w:rsidRDefault="00965038" w:rsidP="0045097A">
            <w:pPr>
              <w:pStyle w:val="TableText"/>
              <w:jc w:val="center"/>
            </w:pPr>
            <w:r>
              <w:t>Moderate</w:t>
            </w:r>
          </w:p>
        </w:tc>
        <w:tc>
          <w:tcPr>
            <w:tcW w:w="1106" w:type="dxa"/>
          </w:tcPr>
          <w:p w14:paraId="681819D2" w14:textId="16DF07E5" w:rsidR="00965038" w:rsidRPr="00554929" w:rsidRDefault="00965038" w:rsidP="00965038">
            <w:pPr>
              <w:pStyle w:val="TableText"/>
              <w:rPr>
                <w:sz w:val="16"/>
                <w:szCs w:val="18"/>
              </w:rPr>
            </w:pPr>
            <w:r w:rsidRPr="00A0027A">
              <w:t>C2.2.1.2, 2.2.2.4/5, 2.5.1.2, M4.1.4.5, 7.1.2.3</w:t>
            </w:r>
          </w:p>
        </w:tc>
      </w:tr>
      <w:tr w:rsidR="00965038" w14:paraId="721C0A66" w14:textId="77777777" w:rsidTr="0014475C">
        <w:tc>
          <w:tcPr>
            <w:tcW w:w="4111" w:type="dxa"/>
          </w:tcPr>
          <w:p w14:paraId="77EE7261" w14:textId="17AE87E2" w:rsidR="00965038" w:rsidRDefault="00965038" w:rsidP="00965038">
            <w:pPr>
              <w:pStyle w:val="TableNumber"/>
            </w:pPr>
            <w:r>
              <w:t xml:space="preserve">In-coupe road or landing cut or fill batter subject to mass movement and/or other form of erosion (as per Figure 5.2). </w:t>
            </w:r>
          </w:p>
          <w:p w14:paraId="7BA2A738" w14:textId="11A6DC97" w:rsidR="00965038" w:rsidRPr="00554929" w:rsidRDefault="00965038" w:rsidP="00965038">
            <w:pPr>
              <w:pStyle w:val="TableText"/>
              <w:rPr>
                <w:i/>
                <w:iCs/>
              </w:rPr>
            </w:pPr>
            <w:r w:rsidRPr="00554929">
              <w:rPr>
                <w:i/>
                <w:iCs/>
              </w:rPr>
              <w:t>Potential consequences: soil mass movement and erosion, water quality and aquatic biodiversity impairment, damage to regenerating forest.</w:t>
            </w:r>
          </w:p>
        </w:tc>
        <w:tc>
          <w:tcPr>
            <w:tcW w:w="1105" w:type="dxa"/>
          </w:tcPr>
          <w:p w14:paraId="29F5FEB0" w14:textId="72F40B19" w:rsidR="00965038" w:rsidRDefault="00965038" w:rsidP="00965038">
            <w:pPr>
              <w:pStyle w:val="TableText"/>
              <w:jc w:val="center"/>
            </w:pPr>
            <w:r w:rsidRPr="003071A4">
              <w:t>4</w:t>
            </w:r>
          </w:p>
        </w:tc>
        <w:tc>
          <w:tcPr>
            <w:tcW w:w="1105" w:type="dxa"/>
          </w:tcPr>
          <w:p w14:paraId="5D387CC7" w14:textId="0CE163B0" w:rsidR="00965038" w:rsidRDefault="00965038" w:rsidP="00965038">
            <w:pPr>
              <w:pStyle w:val="TableText"/>
              <w:jc w:val="center"/>
            </w:pPr>
            <w:r w:rsidRPr="003071A4">
              <w:t>4</w:t>
            </w:r>
          </w:p>
        </w:tc>
        <w:tc>
          <w:tcPr>
            <w:tcW w:w="1106" w:type="dxa"/>
          </w:tcPr>
          <w:p w14:paraId="5B17CC23" w14:textId="1AE16515" w:rsidR="00965038" w:rsidRDefault="00965038" w:rsidP="00965038">
            <w:pPr>
              <w:pStyle w:val="TableText"/>
              <w:jc w:val="center"/>
            </w:pPr>
            <w:r>
              <w:t>2</w:t>
            </w:r>
          </w:p>
        </w:tc>
        <w:tc>
          <w:tcPr>
            <w:tcW w:w="1105" w:type="dxa"/>
          </w:tcPr>
          <w:p w14:paraId="3AFF3F7E" w14:textId="034A3170" w:rsidR="00965038" w:rsidRDefault="001F64AA" w:rsidP="0045097A">
            <w:pPr>
              <w:pStyle w:val="TableText"/>
              <w:jc w:val="center"/>
            </w:pPr>
            <w:r>
              <w:t>Moderate</w:t>
            </w:r>
          </w:p>
        </w:tc>
        <w:tc>
          <w:tcPr>
            <w:tcW w:w="1106" w:type="dxa"/>
          </w:tcPr>
          <w:p w14:paraId="6D33AA60" w14:textId="7326D40D" w:rsidR="00965038" w:rsidRPr="00554929" w:rsidRDefault="00965038" w:rsidP="00965038">
            <w:pPr>
              <w:pStyle w:val="TableText"/>
              <w:rPr>
                <w:sz w:val="16"/>
                <w:szCs w:val="18"/>
              </w:rPr>
            </w:pPr>
            <w:r w:rsidRPr="00A0027A">
              <w:t>C2.2.1.2/14/15, 2.4.3.3, M6.2.2.3</w:t>
            </w:r>
          </w:p>
        </w:tc>
      </w:tr>
      <w:tr w:rsidR="00965038" w14:paraId="055EEE7D" w14:textId="77777777" w:rsidTr="0014475C">
        <w:tc>
          <w:tcPr>
            <w:tcW w:w="4111" w:type="dxa"/>
          </w:tcPr>
          <w:p w14:paraId="0A1AE1F2" w14:textId="17A2A4F7" w:rsidR="00965038" w:rsidRDefault="00965038" w:rsidP="00965038">
            <w:pPr>
              <w:pStyle w:val="TableNumber"/>
            </w:pPr>
            <w:r>
              <w:t>Machinery entry into SPZ or other exclusion areas within or adjacent to coupe, including for unauthorised harvesting or construction of boundary or regeneration burning tracks.</w:t>
            </w:r>
          </w:p>
          <w:p w14:paraId="38C7F00E" w14:textId="6F094246" w:rsidR="00965038" w:rsidRPr="00554929" w:rsidRDefault="00965038" w:rsidP="00965038">
            <w:pPr>
              <w:pStyle w:val="TableText"/>
              <w:rPr>
                <w:i/>
                <w:iCs/>
              </w:rPr>
            </w:pPr>
            <w:r w:rsidRPr="00554929">
              <w:rPr>
                <w:i/>
                <w:iCs/>
              </w:rPr>
              <w:t>Potential consequences: soil compaction/disturbance, reduction in habitat values</w:t>
            </w:r>
            <w:r>
              <w:rPr>
                <w:i/>
                <w:iCs/>
              </w:rPr>
              <w:t>.</w:t>
            </w:r>
          </w:p>
        </w:tc>
        <w:tc>
          <w:tcPr>
            <w:tcW w:w="1105" w:type="dxa"/>
          </w:tcPr>
          <w:p w14:paraId="69510C72" w14:textId="24DAF9EF" w:rsidR="00965038" w:rsidRDefault="00965038" w:rsidP="00965038">
            <w:pPr>
              <w:pStyle w:val="TableText"/>
              <w:jc w:val="center"/>
            </w:pPr>
            <w:r w:rsidRPr="003071A4">
              <w:t>0</w:t>
            </w:r>
          </w:p>
        </w:tc>
        <w:tc>
          <w:tcPr>
            <w:tcW w:w="1105" w:type="dxa"/>
          </w:tcPr>
          <w:p w14:paraId="65575691" w14:textId="10AB29CB" w:rsidR="00965038" w:rsidRDefault="00965038" w:rsidP="00965038">
            <w:pPr>
              <w:pStyle w:val="TableText"/>
              <w:jc w:val="center"/>
            </w:pPr>
            <w:r w:rsidRPr="003071A4">
              <w:t>2</w:t>
            </w:r>
          </w:p>
        </w:tc>
        <w:tc>
          <w:tcPr>
            <w:tcW w:w="1106" w:type="dxa"/>
          </w:tcPr>
          <w:p w14:paraId="62A0DAC1" w14:textId="393E4F4E" w:rsidR="00965038" w:rsidRDefault="00965038" w:rsidP="00965038">
            <w:pPr>
              <w:pStyle w:val="TableText"/>
              <w:jc w:val="center"/>
            </w:pPr>
            <w:r>
              <w:t>2</w:t>
            </w:r>
          </w:p>
        </w:tc>
        <w:tc>
          <w:tcPr>
            <w:tcW w:w="1105" w:type="dxa"/>
          </w:tcPr>
          <w:p w14:paraId="4FF51566" w14:textId="13B0A11A" w:rsidR="00965038" w:rsidRDefault="00965038" w:rsidP="0045097A">
            <w:pPr>
              <w:pStyle w:val="TableText"/>
              <w:jc w:val="center"/>
            </w:pPr>
            <w:r>
              <w:t>Major</w:t>
            </w:r>
          </w:p>
        </w:tc>
        <w:tc>
          <w:tcPr>
            <w:tcW w:w="1106" w:type="dxa"/>
          </w:tcPr>
          <w:p w14:paraId="0842CA7E" w14:textId="6648C254" w:rsidR="00965038" w:rsidRPr="00554929" w:rsidRDefault="00965038" w:rsidP="00965038">
            <w:pPr>
              <w:pStyle w:val="TableText"/>
              <w:rPr>
                <w:sz w:val="16"/>
                <w:szCs w:val="18"/>
              </w:rPr>
            </w:pPr>
            <w:r w:rsidRPr="00A0027A">
              <w:t>C2.2.1.2/5, 2.5.1.2, M3.5.1.1, 4.2.1.1, 7.1.2.1, P4.3.1.1</w:t>
            </w:r>
          </w:p>
        </w:tc>
      </w:tr>
      <w:tr w:rsidR="00965038" w14:paraId="26E6E564" w14:textId="77777777" w:rsidTr="00FB2E1B">
        <w:tc>
          <w:tcPr>
            <w:tcW w:w="4111" w:type="dxa"/>
          </w:tcPr>
          <w:p w14:paraId="4026B27B" w14:textId="77777777" w:rsidR="00965038" w:rsidRDefault="00965038" w:rsidP="00965038">
            <w:pPr>
              <w:pStyle w:val="TableNumber"/>
            </w:pPr>
            <w:r>
              <w:t>Bark placed on uncorded snig track.</w:t>
            </w:r>
          </w:p>
          <w:p w14:paraId="2799F958" w14:textId="77777777" w:rsidR="00965038" w:rsidRPr="00C007B2" w:rsidRDefault="00965038" w:rsidP="00965038">
            <w:pPr>
              <w:pStyle w:val="TableText"/>
              <w:rPr>
                <w:i/>
                <w:iCs/>
              </w:rPr>
            </w:pPr>
            <w:r>
              <w:rPr>
                <w:i/>
                <w:iCs/>
              </w:rPr>
              <w:t>Potential consequences: impairment of regeneration, soil erosion.</w:t>
            </w:r>
          </w:p>
        </w:tc>
        <w:tc>
          <w:tcPr>
            <w:tcW w:w="1105" w:type="dxa"/>
          </w:tcPr>
          <w:p w14:paraId="58FF6495" w14:textId="654269A1" w:rsidR="00965038" w:rsidRPr="003071A4" w:rsidRDefault="00F805B4" w:rsidP="00965038">
            <w:pPr>
              <w:pStyle w:val="TableText"/>
              <w:jc w:val="center"/>
            </w:pPr>
            <w:r>
              <w:t>0</w:t>
            </w:r>
          </w:p>
        </w:tc>
        <w:tc>
          <w:tcPr>
            <w:tcW w:w="1105" w:type="dxa"/>
          </w:tcPr>
          <w:p w14:paraId="58C28A22" w14:textId="3FDB27CB" w:rsidR="00965038" w:rsidRPr="003071A4" w:rsidRDefault="00F805B4" w:rsidP="00965038">
            <w:pPr>
              <w:pStyle w:val="TableText"/>
              <w:jc w:val="center"/>
            </w:pPr>
            <w:r>
              <w:t>0</w:t>
            </w:r>
          </w:p>
        </w:tc>
        <w:tc>
          <w:tcPr>
            <w:tcW w:w="1106" w:type="dxa"/>
          </w:tcPr>
          <w:p w14:paraId="3A3A2AAB" w14:textId="77777777" w:rsidR="00965038" w:rsidRDefault="00965038" w:rsidP="00965038">
            <w:pPr>
              <w:pStyle w:val="TableText"/>
              <w:jc w:val="center"/>
            </w:pPr>
            <w:r>
              <w:t>2</w:t>
            </w:r>
          </w:p>
        </w:tc>
        <w:tc>
          <w:tcPr>
            <w:tcW w:w="1105" w:type="dxa"/>
          </w:tcPr>
          <w:p w14:paraId="6483C6AC" w14:textId="77777777" w:rsidR="00965038" w:rsidRDefault="00965038" w:rsidP="0045097A">
            <w:pPr>
              <w:pStyle w:val="TableText"/>
              <w:jc w:val="center"/>
            </w:pPr>
            <w:r>
              <w:t>Negligible</w:t>
            </w:r>
          </w:p>
        </w:tc>
        <w:tc>
          <w:tcPr>
            <w:tcW w:w="1106" w:type="dxa"/>
          </w:tcPr>
          <w:p w14:paraId="2E69AB8C" w14:textId="77777777" w:rsidR="00965038" w:rsidRPr="00A0027A" w:rsidRDefault="00965038" w:rsidP="00965038">
            <w:pPr>
              <w:pStyle w:val="TableText"/>
            </w:pPr>
            <w:r>
              <w:t>M7.2.1.2</w:t>
            </w:r>
          </w:p>
        </w:tc>
      </w:tr>
      <w:tr w:rsidR="00965038" w14:paraId="192A9165" w14:textId="77777777" w:rsidTr="00FB2E1B">
        <w:tc>
          <w:tcPr>
            <w:tcW w:w="4111" w:type="dxa"/>
          </w:tcPr>
          <w:p w14:paraId="6D130A3C" w14:textId="77777777" w:rsidR="00965038" w:rsidRDefault="00965038" w:rsidP="00965038">
            <w:pPr>
              <w:pStyle w:val="TableNumber"/>
            </w:pPr>
            <w:r>
              <w:t>Controls for management of runoff and sediment from coupe to forest road drainage system and external waterways insufficient to prevent sediment movement.</w:t>
            </w:r>
          </w:p>
          <w:p w14:paraId="0E7C7F2F" w14:textId="77777777" w:rsidR="00965038" w:rsidRPr="00554929" w:rsidRDefault="00965038" w:rsidP="00965038">
            <w:pPr>
              <w:pStyle w:val="TableText"/>
              <w:rPr>
                <w:i/>
                <w:iCs/>
              </w:rPr>
            </w:pPr>
            <w:r w:rsidRPr="00554929">
              <w:rPr>
                <w:i/>
                <w:iCs/>
              </w:rPr>
              <w:t>Potential consequences: soil erosion, sediment deposition into waterways, impairment of aquatic habitat, reduced water quality.</w:t>
            </w:r>
          </w:p>
        </w:tc>
        <w:tc>
          <w:tcPr>
            <w:tcW w:w="1105" w:type="dxa"/>
          </w:tcPr>
          <w:p w14:paraId="5927EA64" w14:textId="77777777" w:rsidR="00965038" w:rsidRDefault="00965038" w:rsidP="00965038">
            <w:pPr>
              <w:pStyle w:val="TableText"/>
              <w:jc w:val="center"/>
            </w:pPr>
            <w:r w:rsidRPr="003071A4">
              <w:t>0</w:t>
            </w:r>
          </w:p>
        </w:tc>
        <w:tc>
          <w:tcPr>
            <w:tcW w:w="1105" w:type="dxa"/>
          </w:tcPr>
          <w:p w14:paraId="6B57E0A2" w14:textId="77777777" w:rsidR="00965038" w:rsidRDefault="00965038" w:rsidP="00965038">
            <w:pPr>
              <w:pStyle w:val="TableText"/>
              <w:jc w:val="center"/>
            </w:pPr>
            <w:r w:rsidRPr="003071A4">
              <w:t>1</w:t>
            </w:r>
          </w:p>
        </w:tc>
        <w:tc>
          <w:tcPr>
            <w:tcW w:w="1106" w:type="dxa"/>
          </w:tcPr>
          <w:p w14:paraId="25518CAE" w14:textId="77777777" w:rsidR="00965038" w:rsidRDefault="00965038" w:rsidP="00965038">
            <w:pPr>
              <w:pStyle w:val="TableText"/>
              <w:jc w:val="center"/>
            </w:pPr>
            <w:r>
              <w:t>1</w:t>
            </w:r>
          </w:p>
        </w:tc>
        <w:tc>
          <w:tcPr>
            <w:tcW w:w="1105" w:type="dxa"/>
          </w:tcPr>
          <w:p w14:paraId="448EC35B" w14:textId="77777777" w:rsidR="00965038" w:rsidRDefault="00965038" w:rsidP="0045097A">
            <w:pPr>
              <w:pStyle w:val="TableText"/>
              <w:jc w:val="center"/>
            </w:pPr>
            <w:r>
              <w:t>Minor</w:t>
            </w:r>
          </w:p>
        </w:tc>
        <w:tc>
          <w:tcPr>
            <w:tcW w:w="1106" w:type="dxa"/>
          </w:tcPr>
          <w:p w14:paraId="33E95339" w14:textId="77777777" w:rsidR="00965038" w:rsidRPr="00554929" w:rsidRDefault="00965038" w:rsidP="00965038">
            <w:pPr>
              <w:pStyle w:val="TableText"/>
              <w:rPr>
                <w:sz w:val="16"/>
                <w:szCs w:val="18"/>
              </w:rPr>
            </w:pPr>
            <w:r w:rsidRPr="00A0027A">
              <w:t xml:space="preserve">C2.2.1.2/3/14, </w:t>
            </w:r>
            <w:r>
              <w:t xml:space="preserve">2.2.4.1, </w:t>
            </w:r>
            <w:r w:rsidRPr="00A0027A">
              <w:t>2.5.1.1</w:t>
            </w:r>
          </w:p>
        </w:tc>
      </w:tr>
      <w:tr w:rsidR="00F805B4" w14:paraId="45B3B67B" w14:textId="77777777" w:rsidTr="00FB2E1B">
        <w:tc>
          <w:tcPr>
            <w:tcW w:w="4111" w:type="dxa"/>
          </w:tcPr>
          <w:p w14:paraId="3AF41A2D" w14:textId="77777777" w:rsidR="00F805B4" w:rsidRDefault="00F805B4" w:rsidP="00F805B4">
            <w:pPr>
              <w:pStyle w:val="TableNumber"/>
            </w:pPr>
            <w:r>
              <w:t>Barrier to entry to coupe removed and not reinstated following regeneration activities.</w:t>
            </w:r>
          </w:p>
          <w:p w14:paraId="419D022B" w14:textId="77777777" w:rsidR="00F805B4" w:rsidRPr="002E39A3" w:rsidRDefault="00F805B4" w:rsidP="00F805B4">
            <w:pPr>
              <w:pStyle w:val="TableText"/>
              <w:rPr>
                <w:i/>
                <w:iCs/>
              </w:rPr>
            </w:pPr>
            <w:r w:rsidRPr="002E39A3">
              <w:rPr>
                <w:i/>
                <w:iCs/>
              </w:rPr>
              <w:lastRenderedPageBreak/>
              <w:t>Potential consequences</w:t>
            </w:r>
            <w:r>
              <w:rPr>
                <w:i/>
                <w:iCs/>
              </w:rPr>
              <w:t>: soil compaction and erosion, impairment of regeneration.</w:t>
            </w:r>
          </w:p>
        </w:tc>
        <w:tc>
          <w:tcPr>
            <w:tcW w:w="1105" w:type="dxa"/>
          </w:tcPr>
          <w:p w14:paraId="3F6912F3" w14:textId="255EDCB1" w:rsidR="00F805B4" w:rsidRPr="003071A4" w:rsidRDefault="00F805B4" w:rsidP="00F805B4">
            <w:pPr>
              <w:pStyle w:val="TableText"/>
              <w:jc w:val="center"/>
            </w:pPr>
            <w:r>
              <w:lastRenderedPageBreak/>
              <w:t>0</w:t>
            </w:r>
          </w:p>
        </w:tc>
        <w:tc>
          <w:tcPr>
            <w:tcW w:w="1105" w:type="dxa"/>
          </w:tcPr>
          <w:p w14:paraId="3D08BA43" w14:textId="43452D0B" w:rsidR="00F805B4" w:rsidRPr="003071A4" w:rsidRDefault="00F805B4" w:rsidP="00F805B4">
            <w:pPr>
              <w:pStyle w:val="TableText"/>
              <w:jc w:val="center"/>
            </w:pPr>
            <w:r>
              <w:t>0</w:t>
            </w:r>
          </w:p>
        </w:tc>
        <w:tc>
          <w:tcPr>
            <w:tcW w:w="1106" w:type="dxa"/>
          </w:tcPr>
          <w:p w14:paraId="12DE68D8" w14:textId="77777777" w:rsidR="00F805B4" w:rsidRDefault="00F805B4" w:rsidP="00F805B4">
            <w:pPr>
              <w:pStyle w:val="TableText"/>
              <w:jc w:val="center"/>
            </w:pPr>
            <w:r>
              <w:t>1</w:t>
            </w:r>
          </w:p>
        </w:tc>
        <w:tc>
          <w:tcPr>
            <w:tcW w:w="1105" w:type="dxa"/>
          </w:tcPr>
          <w:p w14:paraId="7968EB66" w14:textId="77777777" w:rsidR="00F805B4" w:rsidRDefault="00F805B4" w:rsidP="0045097A">
            <w:pPr>
              <w:pStyle w:val="TableText"/>
              <w:jc w:val="center"/>
            </w:pPr>
            <w:r>
              <w:t>Negligible</w:t>
            </w:r>
          </w:p>
        </w:tc>
        <w:tc>
          <w:tcPr>
            <w:tcW w:w="1106" w:type="dxa"/>
          </w:tcPr>
          <w:p w14:paraId="491BAC74" w14:textId="77777777" w:rsidR="00F805B4" w:rsidRDefault="00F805B4" w:rsidP="00F805B4">
            <w:pPr>
              <w:pStyle w:val="TableText"/>
            </w:pPr>
            <w:r>
              <w:t>M6.4.1.3</w:t>
            </w:r>
          </w:p>
        </w:tc>
      </w:tr>
      <w:tr w:rsidR="00F805B4" w14:paraId="2E297DDB" w14:textId="77777777" w:rsidTr="0014475C">
        <w:tc>
          <w:tcPr>
            <w:tcW w:w="4111" w:type="dxa"/>
          </w:tcPr>
          <w:p w14:paraId="00654D89" w14:textId="77777777" w:rsidR="00F805B4" w:rsidRDefault="00F805B4" w:rsidP="00F805B4">
            <w:pPr>
              <w:pStyle w:val="TableNumber"/>
            </w:pPr>
            <w:r>
              <w:t>Damage to snig track by traffic following initial rehabilitation.</w:t>
            </w:r>
          </w:p>
          <w:p w14:paraId="25EFD30E" w14:textId="495C2F73" w:rsidR="00F805B4" w:rsidRPr="00554929" w:rsidRDefault="00F805B4" w:rsidP="00F805B4">
            <w:pPr>
              <w:pStyle w:val="TableText"/>
              <w:rPr>
                <w:i/>
                <w:iCs/>
              </w:rPr>
            </w:pPr>
            <w:r>
              <w:rPr>
                <w:i/>
                <w:iCs/>
              </w:rPr>
              <w:t>Potential consequences: soil erosion, sediment mobilisation.</w:t>
            </w:r>
          </w:p>
        </w:tc>
        <w:tc>
          <w:tcPr>
            <w:tcW w:w="1105" w:type="dxa"/>
          </w:tcPr>
          <w:p w14:paraId="7C8088EA" w14:textId="4FDDE86B" w:rsidR="00F805B4" w:rsidRDefault="00F805B4" w:rsidP="00F805B4">
            <w:pPr>
              <w:pStyle w:val="TableText"/>
              <w:jc w:val="center"/>
            </w:pPr>
            <w:r>
              <w:t>0</w:t>
            </w:r>
          </w:p>
        </w:tc>
        <w:tc>
          <w:tcPr>
            <w:tcW w:w="1105" w:type="dxa"/>
          </w:tcPr>
          <w:p w14:paraId="6A116820" w14:textId="0F2A4084" w:rsidR="00F805B4" w:rsidRDefault="00F805B4" w:rsidP="00F805B4">
            <w:pPr>
              <w:pStyle w:val="TableText"/>
              <w:jc w:val="center"/>
            </w:pPr>
            <w:r>
              <w:t>0</w:t>
            </w:r>
          </w:p>
        </w:tc>
        <w:tc>
          <w:tcPr>
            <w:tcW w:w="1106" w:type="dxa"/>
          </w:tcPr>
          <w:p w14:paraId="38D47BDA" w14:textId="00CC531A" w:rsidR="00F805B4" w:rsidRDefault="00F805B4" w:rsidP="00F805B4">
            <w:pPr>
              <w:pStyle w:val="TableText"/>
              <w:jc w:val="center"/>
            </w:pPr>
            <w:r>
              <w:t>1</w:t>
            </w:r>
          </w:p>
        </w:tc>
        <w:tc>
          <w:tcPr>
            <w:tcW w:w="1105" w:type="dxa"/>
          </w:tcPr>
          <w:p w14:paraId="4AA02712" w14:textId="399CC265" w:rsidR="00F805B4" w:rsidRDefault="00F805B4" w:rsidP="0045097A">
            <w:pPr>
              <w:pStyle w:val="TableText"/>
              <w:jc w:val="center"/>
            </w:pPr>
            <w:r>
              <w:t>Negligible</w:t>
            </w:r>
          </w:p>
        </w:tc>
        <w:tc>
          <w:tcPr>
            <w:tcW w:w="1106" w:type="dxa"/>
          </w:tcPr>
          <w:p w14:paraId="7D07C550" w14:textId="4FC02B07" w:rsidR="00F805B4" w:rsidRPr="00554929" w:rsidRDefault="00F805B4" w:rsidP="00F805B4">
            <w:pPr>
              <w:pStyle w:val="TableText"/>
              <w:rPr>
                <w:sz w:val="16"/>
                <w:szCs w:val="18"/>
              </w:rPr>
            </w:pPr>
            <w:r>
              <w:t>M7.2.2.1</w:t>
            </w:r>
          </w:p>
        </w:tc>
      </w:tr>
      <w:tr w:rsidR="00F805B4" w14:paraId="422FCCA2" w14:textId="77777777" w:rsidTr="0014475C">
        <w:tc>
          <w:tcPr>
            <w:tcW w:w="4111" w:type="dxa"/>
          </w:tcPr>
          <w:p w14:paraId="10D5FED2" w14:textId="77777777" w:rsidR="00F805B4" w:rsidRDefault="00F805B4" w:rsidP="00F805B4">
            <w:pPr>
              <w:pStyle w:val="TableNumber"/>
            </w:pPr>
            <w:r>
              <w:t>Compacted area near landing not ripped during landing rehabilitation.</w:t>
            </w:r>
          </w:p>
          <w:p w14:paraId="60620777" w14:textId="7C9D816C" w:rsidR="00F805B4" w:rsidRPr="00554929" w:rsidRDefault="00F805B4" w:rsidP="00F805B4">
            <w:pPr>
              <w:pStyle w:val="TableText"/>
              <w:rPr>
                <w:i/>
                <w:iCs/>
              </w:rPr>
            </w:pPr>
            <w:r>
              <w:rPr>
                <w:i/>
                <w:iCs/>
              </w:rPr>
              <w:t xml:space="preserve">Potential consequences: </w:t>
            </w:r>
            <w:r w:rsidRPr="00253AC3">
              <w:rPr>
                <w:i/>
                <w:iCs/>
              </w:rPr>
              <w:t>soil compaction, impairment of regeneration</w:t>
            </w:r>
          </w:p>
        </w:tc>
        <w:tc>
          <w:tcPr>
            <w:tcW w:w="1105" w:type="dxa"/>
          </w:tcPr>
          <w:p w14:paraId="2BC53FC4" w14:textId="62F9D427" w:rsidR="00F805B4" w:rsidRDefault="00F805B4" w:rsidP="00F805B4">
            <w:pPr>
              <w:pStyle w:val="TableText"/>
              <w:jc w:val="center"/>
            </w:pPr>
            <w:r>
              <w:t>0</w:t>
            </w:r>
          </w:p>
        </w:tc>
        <w:tc>
          <w:tcPr>
            <w:tcW w:w="1105" w:type="dxa"/>
          </w:tcPr>
          <w:p w14:paraId="492C0C62" w14:textId="254CD1F5" w:rsidR="00F805B4" w:rsidRDefault="00F805B4" w:rsidP="00F805B4">
            <w:pPr>
              <w:pStyle w:val="TableText"/>
              <w:jc w:val="center"/>
            </w:pPr>
            <w:r>
              <w:t>0</w:t>
            </w:r>
          </w:p>
        </w:tc>
        <w:tc>
          <w:tcPr>
            <w:tcW w:w="1106" w:type="dxa"/>
          </w:tcPr>
          <w:p w14:paraId="39E3DEB3" w14:textId="6BFDEEAD" w:rsidR="00F805B4" w:rsidRDefault="00F805B4" w:rsidP="00F805B4">
            <w:pPr>
              <w:pStyle w:val="TableText"/>
              <w:jc w:val="center"/>
            </w:pPr>
            <w:r>
              <w:t>1</w:t>
            </w:r>
          </w:p>
        </w:tc>
        <w:tc>
          <w:tcPr>
            <w:tcW w:w="1105" w:type="dxa"/>
          </w:tcPr>
          <w:p w14:paraId="75E33D5C" w14:textId="07BA49BA" w:rsidR="00F805B4" w:rsidRDefault="00F805B4" w:rsidP="0045097A">
            <w:pPr>
              <w:pStyle w:val="TableText"/>
              <w:jc w:val="center"/>
            </w:pPr>
            <w:r>
              <w:t>Minor</w:t>
            </w:r>
          </w:p>
        </w:tc>
        <w:tc>
          <w:tcPr>
            <w:tcW w:w="1106" w:type="dxa"/>
          </w:tcPr>
          <w:p w14:paraId="29B5E570" w14:textId="110AFBE9" w:rsidR="00F805B4" w:rsidRPr="00554929" w:rsidRDefault="00F805B4" w:rsidP="00F805B4">
            <w:pPr>
              <w:pStyle w:val="TableText"/>
              <w:rPr>
                <w:sz w:val="16"/>
                <w:szCs w:val="18"/>
              </w:rPr>
            </w:pPr>
            <w:r>
              <w:t>M7.2.2.6</w:t>
            </w:r>
          </w:p>
        </w:tc>
      </w:tr>
      <w:tr w:rsidR="00965038" w14:paraId="60E0ADE2" w14:textId="77777777" w:rsidTr="0014475C">
        <w:tc>
          <w:tcPr>
            <w:tcW w:w="4111" w:type="dxa"/>
          </w:tcPr>
          <w:p w14:paraId="2AD6D40F" w14:textId="77777777" w:rsidR="00965038" w:rsidRDefault="00965038" w:rsidP="00965038">
            <w:pPr>
              <w:pStyle w:val="TableNumber"/>
            </w:pPr>
            <w:r>
              <w:t>Rehabilitation of infrastructure (landing, snig track, in-coupe road) has contributed to soil mass movement and/or erosion.</w:t>
            </w:r>
          </w:p>
          <w:p w14:paraId="0EA98C48" w14:textId="601A4525" w:rsidR="00965038" w:rsidRPr="00554929" w:rsidRDefault="00965038" w:rsidP="00965038">
            <w:pPr>
              <w:pStyle w:val="TableText"/>
              <w:rPr>
                <w:i/>
                <w:iCs/>
              </w:rPr>
            </w:pPr>
            <w:r w:rsidRPr="00554929">
              <w:rPr>
                <w:i/>
                <w:iCs/>
              </w:rPr>
              <w:t>Potential consequences: soil erosion, sediment deposition into waterways, impairment of aquatic habitat, reduced water quality, loss of production from regenerating forest</w:t>
            </w:r>
            <w:r>
              <w:rPr>
                <w:i/>
                <w:iCs/>
              </w:rPr>
              <w:t>.</w:t>
            </w:r>
          </w:p>
        </w:tc>
        <w:tc>
          <w:tcPr>
            <w:tcW w:w="1105" w:type="dxa"/>
          </w:tcPr>
          <w:p w14:paraId="19774FE5" w14:textId="658134A7" w:rsidR="00965038" w:rsidRDefault="00965038" w:rsidP="00965038">
            <w:pPr>
              <w:pStyle w:val="TableText"/>
              <w:jc w:val="center"/>
            </w:pPr>
            <w:r w:rsidRPr="003071A4">
              <w:t>1</w:t>
            </w:r>
          </w:p>
        </w:tc>
        <w:tc>
          <w:tcPr>
            <w:tcW w:w="1105" w:type="dxa"/>
          </w:tcPr>
          <w:p w14:paraId="1140BE57" w14:textId="7E1745EC" w:rsidR="00965038" w:rsidRDefault="00965038" w:rsidP="00965038">
            <w:pPr>
              <w:pStyle w:val="TableText"/>
              <w:jc w:val="center"/>
            </w:pPr>
            <w:r w:rsidRPr="003071A4">
              <w:t>0</w:t>
            </w:r>
          </w:p>
        </w:tc>
        <w:tc>
          <w:tcPr>
            <w:tcW w:w="1106" w:type="dxa"/>
          </w:tcPr>
          <w:p w14:paraId="7BD2C148" w14:textId="463CAE0A" w:rsidR="00965038" w:rsidRDefault="00F805B4" w:rsidP="00965038">
            <w:pPr>
              <w:pStyle w:val="TableText"/>
              <w:jc w:val="center"/>
            </w:pPr>
            <w:r>
              <w:t>0</w:t>
            </w:r>
          </w:p>
        </w:tc>
        <w:tc>
          <w:tcPr>
            <w:tcW w:w="1105" w:type="dxa"/>
          </w:tcPr>
          <w:p w14:paraId="5F4DD167" w14:textId="77777777" w:rsidR="00965038" w:rsidRDefault="00965038" w:rsidP="0045097A">
            <w:pPr>
              <w:pStyle w:val="TableText"/>
              <w:jc w:val="center"/>
            </w:pPr>
          </w:p>
        </w:tc>
        <w:tc>
          <w:tcPr>
            <w:tcW w:w="1106" w:type="dxa"/>
          </w:tcPr>
          <w:p w14:paraId="47674C23" w14:textId="0E17BED1" w:rsidR="00965038" w:rsidRPr="00554929" w:rsidRDefault="00965038" w:rsidP="00965038">
            <w:pPr>
              <w:pStyle w:val="TableText"/>
              <w:rPr>
                <w:sz w:val="16"/>
                <w:szCs w:val="18"/>
              </w:rPr>
            </w:pPr>
            <w:r w:rsidRPr="00A0027A">
              <w:t>C2.2.1.2/12/14, 2.5.1.2, M6.4.1.2, 7.2.2.2</w:t>
            </w:r>
          </w:p>
        </w:tc>
      </w:tr>
      <w:tr w:rsidR="00965038" w14:paraId="13F5C0D8" w14:textId="77777777" w:rsidTr="0014475C">
        <w:tc>
          <w:tcPr>
            <w:tcW w:w="4111" w:type="dxa"/>
          </w:tcPr>
          <w:p w14:paraId="307FC048" w14:textId="77777777" w:rsidR="00965038" w:rsidRDefault="00965038" w:rsidP="00965038">
            <w:pPr>
              <w:pStyle w:val="TableNumber"/>
            </w:pPr>
            <w:r>
              <w:t>Tree felled into SPZ.</w:t>
            </w:r>
          </w:p>
          <w:p w14:paraId="267BA8C5" w14:textId="30005E31" w:rsidR="00965038" w:rsidRDefault="00965038" w:rsidP="00965038">
            <w:pPr>
              <w:pStyle w:val="TableText"/>
            </w:pPr>
            <w:r w:rsidRPr="00554929">
              <w:rPr>
                <w:i/>
                <w:iCs/>
              </w:rPr>
              <w:t>Potential consequences: minor damage to retained understorey vegetation</w:t>
            </w:r>
            <w:r>
              <w:t>.</w:t>
            </w:r>
          </w:p>
        </w:tc>
        <w:tc>
          <w:tcPr>
            <w:tcW w:w="1105" w:type="dxa"/>
          </w:tcPr>
          <w:p w14:paraId="71065618" w14:textId="52CC7EAD" w:rsidR="00965038" w:rsidRDefault="00965038" w:rsidP="00965038">
            <w:pPr>
              <w:pStyle w:val="TableText"/>
              <w:jc w:val="center"/>
            </w:pPr>
            <w:r w:rsidRPr="003071A4">
              <w:t>2</w:t>
            </w:r>
          </w:p>
        </w:tc>
        <w:tc>
          <w:tcPr>
            <w:tcW w:w="1105" w:type="dxa"/>
          </w:tcPr>
          <w:p w14:paraId="1B21D054" w14:textId="36F3F096" w:rsidR="00965038" w:rsidRDefault="00965038" w:rsidP="00965038">
            <w:pPr>
              <w:pStyle w:val="TableText"/>
              <w:jc w:val="center"/>
            </w:pPr>
            <w:r w:rsidRPr="003071A4">
              <w:t>0</w:t>
            </w:r>
          </w:p>
        </w:tc>
        <w:tc>
          <w:tcPr>
            <w:tcW w:w="1106" w:type="dxa"/>
          </w:tcPr>
          <w:p w14:paraId="7B41F8DC" w14:textId="20ED7E04" w:rsidR="00965038" w:rsidRDefault="00F805B4" w:rsidP="00965038">
            <w:pPr>
              <w:pStyle w:val="TableText"/>
              <w:jc w:val="center"/>
            </w:pPr>
            <w:r>
              <w:t>0</w:t>
            </w:r>
          </w:p>
        </w:tc>
        <w:tc>
          <w:tcPr>
            <w:tcW w:w="1105" w:type="dxa"/>
          </w:tcPr>
          <w:p w14:paraId="2CF501AA" w14:textId="77777777" w:rsidR="00965038" w:rsidRDefault="00965038" w:rsidP="0045097A">
            <w:pPr>
              <w:pStyle w:val="TableText"/>
              <w:jc w:val="center"/>
            </w:pPr>
          </w:p>
        </w:tc>
        <w:tc>
          <w:tcPr>
            <w:tcW w:w="1106" w:type="dxa"/>
          </w:tcPr>
          <w:p w14:paraId="4E4DA668" w14:textId="5FEFBB7D" w:rsidR="00965038" w:rsidRPr="00554929" w:rsidRDefault="00965038" w:rsidP="00965038">
            <w:pPr>
              <w:pStyle w:val="TableText"/>
              <w:rPr>
                <w:sz w:val="16"/>
                <w:szCs w:val="18"/>
              </w:rPr>
            </w:pPr>
            <w:r w:rsidRPr="00A0027A">
              <w:t>C2.2.2.5, 2.1.5.2, M7.1.2.1</w:t>
            </w:r>
          </w:p>
        </w:tc>
      </w:tr>
      <w:tr w:rsidR="00965038" w14:paraId="38315071" w14:textId="77777777" w:rsidTr="0014475C">
        <w:tc>
          <w:tcPr>
            <w:tcW w:w="4111" w:type="dxa"/>
          </w:tcPr>
          <w:p w14:paraId="376EF4C5" w14:textId="77777777" w:rsidR="00965038" w:rsidRDefault="00965038" w:rsidP="00965038">
            <w:pPr>
              <w:pStyle w:val="TableNumber"/>
            </w:pPr>
            <w:r>
              <w:t>Excessive soil disturbance associated with a snig/ regeneration burning track located in an area at which surface and sub-surface water flows converge.</w:t>
            </w:r>
          </w:p>
          <w:p w14:paraId="55F3E8DF" w14:textId="36B0F8C4" w:rsidR="00965038" w:rsidRPr="00554929" w:rsidRDefault="00965038" w:rsidP="00965038">
            <w:pPr>
              <w:pStyle w:val="TableText"/>
              <w:rPr>
                <w:i/>
                <w:iCs/>
              </w:rPr>
            </w:pPr>
            <w:r w:rsidRPr="00554929">
              <w:rPr>
                <w:i/>
                <w:iCs/>
              </w:rPr>
              <w:t>Potential consequences: soil erosion, water quality impairment, impairment of regeneration.</w:t>
            </w:r>
          </w:p>
        </w:tc>
        <w:tc>
          <w:tcPr>
            <w:tcW w:w="1105" w:type="dxa"/>
          </w:tcPr>
          <w:p w14:paraId="09399B04" w14:textId="00024661" w:rsidR="00965038" w:rsidRDefault="00965038" w:rsidP="00965038">
            <w:pPr>
              <w:pStyle w:val="TableText"/>
              <w:jc w:val="center"/>
            </w:pPr>
            <w:r w:rsidRPr="003071A4">
              <w:t>1</w:t>
            </w:r>
          </w:p>
        </w:tc>
        <w:tc>
          <w:tcPr>
            <w:tcW w:w="1105" w:type="dxa"/>
          </w:tcPr>
          <w:p w14:paraId="01FCA06E" w14:textId="66F37118" w:rsidR="00965038" w:rsidRDefault="00965038" w:rsidP="00965038">
            <w:pPr>
              <w:pStyle w:val="TableText"/>
              <w:jc w:val="center"/>
            </w:pPr>
            <w:r w:rsidRPr="003071A4">
              <w:t>0</w:t>
            </w:r>
          </w:p>
        </w:tc>
        <w:tc>
          <w:tcPr>
            <w:tcW w:w="1106" w:type="dxa"/>
          </w:tcPr>
          <w:p w14:paraId="53A3435F" w14:textId="520824C3" w:rsidR="00965038" w:rsidRDefault="00F805B4" w:rsidP="00965038">
            <w:pPr>
              <w:pStyle w:val="TableText"/>
              <w:jc w:val="center"/>
            </w:pPr>
            <w:r>
              <w:t>0</w:t>
            </w:r>
          </w:p>
        </w:tc>
        <w:tc>
          <w:tcPr>
            <w:tcW w:w="1105" w:type="dxa"/>
          </w:tcPr>
          <w:p w14:paraId="395C822F" w14:textId="77777777" w:rsidR="00965038" w:rsidRDefault="00965038" w:rsidP="0045097A">
            <w:pPr>
              <w:pStyle w:val="TableText"/>
              <w:jc w:val="center"/>
            </w:pPr>
          </w:p>
        </w:tc>
        <w:tc>
          <w:tcPr>
            <w:tcW w:w="1106" w:type="dxa"/>
          </w:tcPr>
          <w:p w14:paraId="2CFB1A6B" w14:textId="7E5795FE" w:rsidR="00965038" w:rsidRPr="00554929" w:rsidRDefault="00965038" w:rsidP="00965038">
            <w:pPr>
              <w:pStyle w:val="TableText"/>
              <w:rPr>
                <w:sz w:val="16"/>
                <w:szCs w:val="18"/>
              </w:rPr>
            </w:pPr>
            <w:r w:rsidRPr="00A0027A">
              <w:t>C2.2.1.2</w:t>
            </w:r>
          </w:p>
        </w:tc>
      </w:tr>
    </w:tbl>
    <w:p w14:paraId="233E6B9A" w14:textId="0EE4EFD6" w:rsidR="005B4F12" w:rsidRDefault="005B4F12" w:rsidP="00DC1E09">
      <w:pPr>
        <w:pStyle w:val="TableText"/>
        <w:keepNext/>
      </w:pPr>
      <w:r>
        <w:t>Note:</w:t>
      </w:r>
    </w:p>
    <w:p w14:paraId="2CB2B542" w14:textId="730D481D" w:rsidR="005B4F12" w:rsidRDefault="005B4F12" w:rsidP="005B4F12">
      <w:pPr>
        <w:pStyle w:val="TableText"/>
      </w:pPr>
      <w:r>
        <w:t xml:space="preserve">1. </w:t>
      </w:r>
      <w:r w:rsidR="0045097A">
        <w:t>Some</w:t>
      </w:r>
      <w:r>
        <w:t xml:space="preserve"> incidents of drainage spacings along snig or boundary tracks and in-coupe roads exceeding permitted values given slope and recorded soil erosion hazard were found at coupes in which the recorded soil erosion hazard was incorrect and overstated the actual hazard. While drain spacing may have been appropriate to the actual erosion hazard rating, the management action did not appropriately respond to the level of risk suggested by coupe planning documentation and hence was considered to a non-conformance with potential environmental impact.</w:t>
      </w:r>
    </w:p>
    <w:p w14:paraId="51C1E6CC" w14:textId="70CD676A" w:rsidR="00F805B4" w:rsidRDefault="00F805B4" w:rsidP="00F805B4">
      <w:pPr>
        <w:pStyle w:val="BodyText"/>
      </w:pPr>
      <w:r>
        <w:fldChar w:fldCharType="begin"/>
      </w:r>
      <w:r>
        <w:instrText xml:space="preserve"> REF _Ref120350032 \h </w:instrText>
      </w:r>
      <w:r>
        <w:fldChar w:fldCharType="separate"/>
      </w:r>
      <w:r w:rsidR="00130DCF" w:rsidRPr="009038E7">
        <w:t>Table</w:t>
      </w:r>
      <w:r w:rsidR="00130DCF">
        <w:t> </w:t>
      </w:r>
      <w:r w:rsidR="00130DCF">
        <w:rPr>
          <w:noProof/>
        </w:rPr>
        <w:t>5-2</w:t>
      </w:r>
      <w:r>
        <w:fldChar w:fldCharType="end"/>
      </w:r>
      <w:r>
        <w:t xml:space="preserve"> also compares the types of incident detected in this audit with the types and frequency of incidents detected in the two previous FAP audits (Jacobs, 2020; 202</w:t>
      </w:r>
      <w:r w:rsidR="00E2694E">
        <w:t>1</w:t>
      </w:r>
      <w:r>
        <w:t xml:space="preserve">). </w:t>
      </w:r>
      <w:r w:rsidR="006213C2">
        <w:t xml:space="preserve">Eight </w:t>
      </w:r>
      <w:r>
        <w:t xml:space="preserve">of the </w:t>
      </w:r>
      <w:r w:rsidR="006213C2">
        <w:t xml:space="preserve">ten </w:t>
      </w:r>
      <w:r>
        <w:t>most common types of incident with potential environmental impact observed in this audit have been observed in at least one of the two previous audits</w:t>
      </w:r>
      <w:r w:rsidR="006213C2">
        <w:t xml:space="preserve"> and all but one of these has been observed multiple times</w:t>
      </w:r>
      <w:r>
        <w:t xml:space="preserve">. Those incident types include: </w:t>
      </w:r>
    </w:p>
    <w:p w14:paraId="4F8AE58E" w14:textId="61E28619" w:rsidR="00F805B4" w:rsidRDefault="007F65F5" w:rsidP="00F805B4">
      <w:pPr>
        <w:pStyle w:val="BulletLevel1"/>
      </w:pPr>
      <w:r>
        <w:t>Effective d</w:t>
      </w:r>
      <w:r w:rsidR="00F805B4">
        <w:t xml:space="preserve">rainage structure spacing on snig or boundary tracks and in-coupe roads </w:t>
      </w:r>
      <w:r>
        <w:t xml:space="preserve">exceeding </w:t>
      </w:r>
      <w:r w:rsidR="00CE6779">
        <w:t>MSP or UP prescriptions for slope and soil erosion hazard</w:t>
      </w:r>
    </w:p>
    <w:p w14:paraId="4D924BCF" w14:textId="77777777" w:rsidR="00F805B4" w:rsidRDefault="00F805B4" w:rsidP="00F805B4">
      <w:pPr>
        <w:pStyle w:val="BulletLevel1"/>
      </w:pPr>
      <w:r>
        <w:t>Inappropriately designed, constructed and/or rehabilitated waterway crossings</w:t>
      </w:r>
    </w:p>
    <w:p w14:paraId="6B88B65D" w14:textId="77777777" w:rsidR="00F805B4" w:rsidRDefault="00F805B4" w:rsidP="00F805B4">
      <w:pPr>
        <w:pStyle w:val="BulletLevel1"/>
      </w:pPr>
      <w:r>
        <w:t xml:space="preserve">Formation of excessively large piles of bark or slash at landings </w:t>
      </w:r>
    </w:p>
    <w:p w14:paraId="1C4E8BEE" w14:textId="77777777" w:rsidR="00F805B4" w:rsidRDefault="00F805B4" w:rsidP="00F805B4">
      <w:pPr>
        <w:pStyle w:val="BulletLevel1"/>
      </w:pPr>
      <w:r>
        <w:t xml:space="preserve">Incursion of regeneration burns into areas of retained vegetation, buffers or harvesting exclusion areas </w:t>
      </w:r>
    </w:p>
    <w:p w14:paraId="3493CEE1" w14:textId="3DB933E1" w:rsidR="00F805B4" w:rsidRDefault="00F805B4" w:rsidP="00F805B4">
      <w:pPr>
        <w:pStyle w:val="BulletLevel1"/>
      </w:pPr>
      <w:r>
        <w:t>Mass movement</w:t>
      </w:r>
      <w:r w:rsidR="00CE6779">
        <w:t xml:space="preserve"> and other forms of erosion</w:t>
      </w:r>
      <w:r>
        <w:t xml:space="preserve"> of in-coupe road, landing or snig track fill </w:t>
      </w:r>
      <w:r w:rsidR="0045097A">
        <w:t>or</w:t>
      </w:r>
      <w:r>
        <w:t xml:space="preserve"> cut batters</w:t>
      </w:r>
    </w:p>
    <w:p w14:paraId="6E239063" w14:textId="28FD16A5" w:rsidR="00F805B4" w:rsidRDefault="00F805B4" w:rsidP="00F805B4">
      <w:pPr>
        <w:pStyle w:val="BulletLevel1"/>
      </w:pPr>
      <w:r>
        <w:t xml:space="preserve">Machinery entry and/or harvesting in </w:t>
      </w:r>
      <w:r w:rsidR="00402D22">
        <w:t>SPZ, riparian buffers or other planned exclusion areas</w:t>
      </w:r>
    </w:p>
    <w:p w14:paraId="02E29F46" w14:textId="479E977E" w:rsidR="00244BE2" w:rsidRDefault="00F805B4" w:rsidP="00F805B4">
      <w:pPr>
        <w:pStyle w:val="BodyText"/>
      </w:pPr>
      <w:r>
        <w:t xml:space="preserve">Almost all incidents identified in </w:t>
      </w:r>
      <w:r w:rsidR="00402D22">
        <w:fldChar w:fldCharType="begin"/>
      </w:r>
      <w:r w:rsidR="00402D22">
        <w:instrText xml:space="preserve"> REF _Ref120350032 \h </w:instrText>
      </w:r>
      <w:r w:rsidR="00402D22">
        <w:fldChar w:fldCharType="separate"/>
      </w:r>
      <w:r w:rsidR="00130DCF" w:rsidRPr="009038E7">
        <w:t>Table</w:t>
      </w:r>
      <w:r w:rsidR="00130DCF">
        <w:t> </w:t>
      </w:r>
      <w:r w:rsidR="00130DCF">
        <w:rPr>
          <w:noProof/>
        </w:rPr>
        <w:t>5-2</w:t>
      </w:r>
      <w:r w:rsidR="00402D22">
        <w:fldChar w:fldCharType="end"/>
      </w:r>
      <w:r w:rsidR="00402D22">
        <w:t xml:space="preserve"> </w:t>
      </w:r>
      <w:r>
        <w:t>pose a risk to soil</w:t>
      </w:r>
      <w:r w:rsidR="00E12CD5">
        <w:t>,</w:t>
      </w:r>
      <w:r>
        <w:t xml:space="preserve"> water </w:t>
      </w:r>
      <w:r w:rsidR="00E12CD5">
        <w:t xml:space="preserve">and aquatic biodiversity </w:t>
      </w:r>
      <w:r>
        <w:t>values. Several threaten</w:t>
      </w:r>
      <w:r w:rsidR="005456BB">
        <w:t xml:space="preserve"> </w:t>
      </w:r>
      <w:r w:rsidR="00E12CD5">
        <w:t xml:space="preserve">terrestrial </w:t>
      </w:r>
      <w:r>
        <w:t>biodiversity values and some (e.g.</w:t>
      </w:r>
      <w:r w:rsidR="005456BB">
        <w:t>,</w:t>
      </w:r>
      <w:r>
        <w:t xml:space="preserve"> excessively large slash or bark piles</w:t>
      </w:r>
      <w:r w:rsidR="005456BB">
        <w:t>, bark on snig tracks,</w:t>
      </w:r>
      <w:r>
        <w:t xml:space="preserve"> in-coupe road or landing embankments experiencing mass soil movement) have capacity to affect the productive capacity of parts of the regenerating forest.</w:t>
      </w:r>
    </w:p>
    <w:p w14:paraId="3F51200D" w14:textId="1F4900D3" w:rsidR="005456BB" w:rsidRDefault="005456BB" w:rsidP="00F805B4">
      <w:pPr>
        <w:pStyle w:val="BodyText"/>
      </w:pPr>
      <w:r>
        <w:t>Several new types of incident were observed</w:t>
      </w:r>
      <w:r w:rsidR="00130620">
        <w:t xml:space="preserve"> in this audit</w:t>
      </w:r>
      <w:r>
        <w:t>. The most significant of these related to the construction of snig tracks through the courses of temporary streams or other wet areas that required protection from disturbance by harvesting machinery</w:t>
      </w:r>
      <w:r w:rsidR="0032540A">
        <w:t xml:space="preserve"> (</w:t>
      </w:r>
      <w:r w:rsidR="007F4EEA">
        <w:t xml:space="preserve">as per Code 2.2.1.2). The most significant of these incidents were observed at </w:t>
      </w:r>
      <w:r w:rsidR="0032540A">
        <w:t>05 Whitehorse and 13 Jandles</w:t>
      </w:r>
      <w:r w:rsidR="007F4EEA">
        <w:t xml:space="preserve"> (</w:t>
      </w:r>
      <w:r w:rsidR="007F4EEA">
        <w:fldChar w:fldCharType="begin"/>
      </w:r>
      <w:r w:rsidR="007F4EEA">
        <w:instrText xml:space="preserve"> REF _Ref121036768 \h </w:instrText>
      </w:r>
      <w:r w:rsidR="007F4EEA">
        <w:fldChar w:fldCharType="separate"/>
      </w:r>
      <w:r w:rsidR="00130DCF" w:rsidRPr="009038E7">
        <w:t>Figure</w:t>
      </w:r>
      <w:r w:rsidR="00130DCF">
        <w:t> </w:t>
      </w:r>
      <w:r w:rsidR="00130DCF">
        <w:rPr>
          <w:noProof/>
        </w:rPr>
        <w:t>5</w:t>
      </w:r>
      <w:r w:rsidR="00130DCF">
        <w:noBreakHyphen/>
      </w:r>
      <w:r w:rsidR="00130DCF">
        <w:rPr>
          <w:noProof/>
        </w:rPr>
        <w:t>2</w:t>
      </w:r>
      <w:r w:rsidR="007F4EEA">
        <w:fldChar w:fldCharType="end"/>
      </w:r>
      <w:r w:rsidR="0032540A">
        <w:t>)</w:t>
      </w:r>
      <w:r>
        <w:t xml:space="preserve">. </w:t>
      </w:r>
      <w:r w:rsidR="007F4EEA">
        <w:t xml:space="preserve">Snig tracks were constructed across naturally wet areas that were dry at the time of harvest. Heavy rain during winter and spring 2022 resulted in </w:t>
      </w:r>
      <w:r w:rsidR="007F4EEA">
        <w:lastRenderedPageBreak/>
        <w:t>water flowing across the tracks and mobilising sediment, highlighting that management actions in constructing the tracks were not appropriate to the potential water quality risk.</w:t>
      </w:r>
    </w:p>
    <w:p w14:paraId="3D0355FB" w14:textId="77777777" w:rsidR="00AF633E" w:rsidRDefault="00AF633E" w:rsidP="00F805B4">
      <w:pPr>
        <w:pStyle w:val="BodyText"/>
      </w:pPr>
    </w:p>
    <w:p w14:paraId="4991C421" w14:textId="229996D5" w:rsidR="00EA3AE4" w:rsidRDefault="00CA158C" w:rsidP="00C31A7B">
      <w:pPr>
        <w:pStyle w:val="TableText"/>
      </w:pPr>
      <w:r>
        <w:rPr>
          <w:noProof/>
        </w:rPr>
        <w:drawing>
          <wp:inline distT="0" distB="0" distL="0" distR="0" wp14:anchorId="334DD45C" wp14:editId="25378C43">
            <wp:extent cx="6105525" cy="217786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9988" cy="2183026"/>
                    </a:xfrm>
                    <a:prstGeom prst="rect">
                      <a:avLst/>
                    </a:prstGeom>
                    <a:noFill/>
                  </pic:spPr>
                </pic:pic>
              </a:graphicData>
            </a:graphic>
          </wp:inline>
        </w:drawing>
      </w:r>
    </w:p>
    <w:p w14:paraId="6CAB3B6A" w14:textId="109CF62B" w:rsidR="00CA158C" w:rsidRDefault="00CA158C" w:rsidP="00CA158C">
      <w:pPr>
        <w:pStyle w:val="TableText"/>
      </w:pPr>
      <w:r w:rsidRPr="00EA3AE4">
        <w:t>05 Whitehorse</w:t>
      </w:r>
      <w:r>
        <w:t xml:space="preserve">: Snig track constructed across naturally wet area in coupe. </w:t>
      </w:r>
      <w:r w:rsidR="0018772C">
        <w:t xml:space="preserve">Snow and rain </w:t>
      </w:r>
      <w:r>
        <w:t>during winter 2022 resulted in water flowing across the track and, at some points, mobilising sediment towards a waterway.in a Barred Galaxia catchment.</w:t>
      </w:r>
    </w:p>
    <w:p w14:paraId="7F5A58BB" w14:textId="7F20752E" w:rsidR="00CA158C" w:rsidRDefault="00DC7B3E" w:rsidP="00CA158C">
      <w:pPr>
        <w:pStyle w:val="TableText"/>
      </w:pPr>
      <w:r>
        <w:rPr>
          <w:noProof/>
        </w:rPr>
        <w:drawing>
          <wp:inline distT="0" distB="0" distL="0" distR="0" wp14:anchorId="0210E1C2" wp14:editId="50DA08FE">
            <wp:extent cx="6143625" cy="20042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58266" cy="2009052"/>
                    </a:xfrm>
                    <a:prstGeom prst="rect">
                      <a:avLst/>
                    </a:prstGeom>
                    <a:noFill/>
                  </pic:spPr>
                </pic:pic>
              </a:graphicData>
            </a:graphic>
          </wp:inline>
        </w:drawing>
      </w:r>
    </w:p>
    <w:p w14:paraId="36F0CFD3" w14:textId="11802B26" w:rsidR="00DC7B3E" w:rsidRDefault="00DC7B3E" w:rsidP="00C31A7B">
      <w:pPr>
        <w:pStyle w:val="TableText"/>
      </w:pPr>
      <w:r>
        <w:t>13 Jandles: Snig track constructed across the path of a temporary stream (to the right of the main photo). During the wet winter-spring of 2022, the temporary stream carried water, which drained onto and across the snig track</w:t>
      </w:r>
    </w:p>
    <w:p w14:paraId="652A71EC" w14:textId="54294D61" w:rsidR="00EA3AE4" w:rsidRDefault="00EA3AE4" w:rsidP="00FB2E1B">
      <w:pPr>
        <w:pStyle w:val="FigureCaption"/>
      </w:pPr>
      <w:bookmarkStart w:id="157" w:name="_Ref121036768"/>
      <w:bookmarkStart w:id="158" w:name="_Toc131178770"/>
      <w:r w:rsidRPr="009038E7">
        <w:t>Figure</w:t>
      </w:r>
      <w:r>
        <w:t> </w:t>
      </w:r>
      <w:fldSimple w:instr=" STYLEREF 1 \s ">
        <w:r w:rsidR="00130DCF">
          <w:rPr>
            <w:noProof/>
          </w:rPr>
          <w:t>5</w:t>
        </w:r>
      </w:fldSimple>
      <w:r w:rsidR="0039100E">
        <w:noBreakHyphen/>
      </w:r>
      <w:fldSimple w:instr=" SEQ Figure \* ARABIC \s 1 ">
        <w:r w:rsidR="00130DCF">
          <w:rPr>
            <w:noProof/>
          </w:rPr>
          <w:t>2</w:t>
        </w:r>
      </w:fldSimple>
      <w:bookmarkEnd w:id="157"/>
      <w:r>
        <w:rPr>
          <w:noProof/>
        </w:rPr>
        <w:t>.</w:t>
      </w:r>
      <w:r w:rsidRPr="009038E7">
        <w:t xml:space="preserve"> </w:t>
      </w:r>
      <w:r w:rsidR="006C74D6">
        <w:t>Examples</w:t>
      </w:r>
      <w:r w:rsidR="007F4EEA">
        <w:t xml:space="preserve"> where snig tracks have been constructed across wet areas in coupes (05 Whitehorse) or temporary streams (13 Jandles) that were most likely dry at the time. Subsequent wet conditions have resulted in water flowing across the tracks and mobilising sediment.</w:t>
      </w:r>
      <w:bookmarkEnd w:id="158"/>
      <w:r w:rsidR="007F4EEA">
        <w:t xml:space="preserve"> </w:t>
      </w:r>
    </w:p>
    <w:p w14:paraId="143E95AA" w14:textId="14E2B487" w:rsidR="005456BB" w:rsidRDefault="005456BB" w:rsidP="005456BB">
      <w:pPr>
        <w:pStyle w:val="Heading2"/>
      </w:pPr>
      <w:bookmarkStart w:id="159" w:name="_Toc131178694"/>
      <w:r>
        <w:t>Comparison with previous audits</w:t>
      </w:r>
      <w:bookmarkEnd w:id="159"/>
    </w:p>
    <w:p w14:paraId="400068AF" w14:textId="4D58F874" w:rsidR="005456BB" w:rsidRDefault="007F4EEA" w:rsidP="005456BB">
      <w:pPr>
        <w:pStyle w:val="BodyText"/>
      </w:pPr>
      <w:r>
        <w:t>C</w:t>
      </w:r>
      <w:r w:rsidR="005456BB">
        <w:t xml:space="preserve">oupe selection for the </w:t>
      </w:r>
      <w:r>
        <w:t xml:space="preserve">FAP </w:t>
      </w:r>
      <w:r w:rsidR="005456BB">
        <w:t xml:space="preserve">is risk-based, rather than randomised. This means that audit results are not </w:t>
      </w:r>
      <w:r>
        <w:t xml:space="preserve">necessarily </w:t>
      </w:r>
      <w:r w:rsidR="005456BB">
        <w:t xml:space="preserve">statistically representative of VicForests’ operations overall and may not be directly comparable between years. </w:t>
      </w:r>
      <w:r w:rsidR="0059655D">
        <w:t>Comparisons between past audits are further confounded by</w:t>
      </w:r>
      <w:r w:rsidR="00821D93">
        <w:t xml:space="preserve"> the modification of </w:t>
      </w:r>
      <w:r w:rsidR="0021755B">
        <w:t>aspects of the EIA tool and</w:t>
      </w:r>
      <w:r w:rsidR="0059655D">
        <w:t xml:space="preserve"> inclusion</w:t>
      </w:r>
      <w:r w:rsidR="005456BB">
        <w:t xml:space="preserve">, </w:t>
      </w:r>
      <w:r w:rsidR="0059655D">
        <w:t xml:space="preserve">in </w:t>
      </w:r>
      <w:r w:rsidR="005456BB">
        <w:t>the 2019-20 audit</w:t>
      </w:r>
      <w:r w:rsidR="0059655D">
        <w:t>, of</w:t>
      </w:r>
      <w:r w:rsidR="005456BB">
        <w:t xml:space="preserve"> 15 coupes from Western Victoria RFA region, which ha</w:t>
      </w:r>
      <w:r>
        <w:t>ve</w:t>
      </w:r>
      <w:r w:rsidR="005456BB">
        <w:t xml:space="preserve"> a different compliance profile to RFA regions in eastern Victoria (Jacobs, 2020b; as represented by coupes in the Central Highlands RFA region). </w:t>
      </w:r>
    </w:p>
    <w:p w14:paraId="6ABCD7D0" w14:textId="35AF7816" w:rsidR="005456BB" w:rsidRDefault="005456BB" w:rsidP="005456BB">
      <w:pPr>
        <w:pStyle w:val="BodyText"/>
      </w:pPr>
      <w:r>
        <w:t>However, since there has been a broadly consistent approach to coupe selection and compliance criteria for all audit sub-themes for audits going back to 2018-19 and for environmental, biodiversity and roading themes to 2017-18, there is some basis for comparison of audit results over time</w:t>
      </w:r>
      <w:r w:rsidR="0059655D">
        <w:t xml:space="preserve"> for coupes in the Central Highlands RFA region (</w:t>
      </w:r>
      <w:r w:rsidR="0059655D">
        <w:fldChar w:fldCharType="begin"/>
      </w:r>
      <w:r w:rsidR="0059655D">
        <w:instrText xml:space="preserve"> REF _Ref121113764 \h </w:instrText>
      </w:r>
      <w:r w:rsidR="0059655D">
        <w:fldChar w:fldCharType="separate"/>
      </w:r>
      <w:r w:rsidR="00130DCF" w:rsidRPr="009038E7">
        <w:t>Table</w:t>
      </w:r>
      <w:r w:rsidR="00130DCF">
        <w:t> </w:t>
      </w:r>
      <w:r w:rsidR="00130DCF">
        <w:rPr>
          <w:noProof/>
        </w:rPr>
        <w:t>5-3</w:t>
      </w:r>
      <w:r w:rsidR="0059655D">
        <w:fldChar w:fldCharType="end"/>
      </w:r>
      <w:r w:rsidR="0059655D">
        <w:t>)</w:t>
      </w:r>
      <w:r>
        <w:t xml:space="preserve">. </w:t>
      </w:r>
      <w:r w:rsidR="00B15A58">
        <w:fldChar w:fldCharType="begin"/>
      </w:r>
      <w:r w:rsidR="00B15A58">
        <w:instrText xml:space="preserve"> REF _Ref121114202 \h </w:instrText>
      </w:r>
      <w:r w:rsidR="00B15A58">
        <w:fldChar w:fldCharType="separate"/>
      </w:r>
      <w:r w:rsidR="00130DCF" w:rsidRPr="009038E7">
        <w:t>Table</w:t>
      </w:r>
      <w:r w:rsidR="00130DCF">
        <w:t> </w:t>
      </w:r>
      <w:r w:rsidR="00130DCF">
        <w:rPr>
          <w:noProof/>
        </w:rPr>
        <w:t>5-4</w:t>
      </w:r>
      <w:r w:rsidR="00B15A58">
        <w:fldChar w:fldCharType="end"/>
      </w:r>
      <w:r w:rsidR="00B15A58">
        <w:t xml:space="preserve"> </w:t>
      </w:r>
      <w:r>
        <w:t xml:space="preserve">provides a complementary analysis for all audit coupes in eastern Victoria, regardless of their distribution between </w:t>
      </w:r>
      <w:r w:rsidR="00B15A58">
        <w:t>the respective</w:t>
      </w:r>
      <w:r>
        <w:t xml:space="preserve"> RFA regions. </w:t>
      </w:r>
    </w:p>
    <w:p w14:paraId="69B04963" w14:textId="57D44BB2" w:rsidR="005456BB" w:rsidRDefault="005456BB" w:rsidP="005456BB">
      <w:pPr>
        <w:pStyle w:val="BodyText"/>
      </w:pPr>
      <w:r>
        <w:t xml:space="preserve">The overall level of full conformance for Central Highland RFA region coupes in </w:t>
      </w:r>
      <w:r w:rsidR="00EF0873">
        <w:t>this</w:t>
      </w:r>
      <w:r>
        <w:t xml:space="preserve"> audit was 9</w:t>
      </w:r>
      <w:r w:rsidR="00B15A58">
        <w:t>5</w:t>
      </w:r>
      <w:r>
        <w:t xml:space="preserve">%, compared with 83-94% in the </w:t>
      </w:r>
      <w:r w:rsidR="00B15A58">
        <w:t>four</w:t>
      </w:r>
      <w:r>
        <w:t xml:space="preserve"> preceding FAP audits. Performance in the most recent audit was </w:t>
      </w:r>
      <w:r w:rsidR="00B15A58">
        <w:t>equivalent to or greater</w:t>
      </w:r>
      <w:r>
        <w:t xml:space="preserve"> </w:t>
      </w:r>
      <w:r w:rsidR="00B15A58">
        <w:t xml:space="preserve">than the best previous full conformance rating for six of the eight audit </w:t>
      </w:r>
      <w:r>
        <w:t>themes</w:t>
      </w:r>
      <w:r w:rsidR="00B15A58">
        <w:t xml:space="preserve"> and </w:t>
      </w:r>
      <w:r>
        <w:lastRenderedPageBreak/>
        <w:t xml:space="preserve">sub-themes and </w:t>
      </w:r>
      <w:r w:rsidR="00B15A58">
        <w:t xml:space="preserve">slightly less than the highest previous full conformance rating for </w:t>
      </w:r>
      <w:r w:rsidR="00215D33">
        <w:t>biodiversity and road maintenance/closure (</w:t>
      </w:r>
      <w:r w:rsidR="00215D33">
        <w:fldChar w:fldCharType="begin"/>
      </w:r>
      <w:r w:rsidR="00215D33">
        <w:instrText xml:space="preserve"> REF _Ref121113764 \h </w:instrText>
      </w:r>
      <w:r w:rsidR="00215D33">
        <w:fldChar w:fldCharType="separate"/>
      </w:r>
      <w:r w:rsidR="00130DCF" w:rsidRPr="009038E7">
        <w:t>Table</w:t>
      </w:r>
      <w:r w:rsidR="00130DCF">
        <w:t> </w:t>
      </w:r>
      <w:r w:rsidR="00130DCF">
        <w:rPr>
          <w:noProof/>
        </w:rPr>
        <w:t>5-3</w:t>
      </w:r>
      <w:r w:rsidR="00215D33">
        <w:fldChar w:fldCharType="end"/>
      </w:r>
      <w:r w:rsidR="00215D33">
        <w:t>)</w:t>
      </w:r>
      <w:r>
        <w:t xml:space="preserve">. </w:t>
      </w:r>
    </w:p>
    <w:p w14:paraId="2AFC3A5A" w14:textId="649B63AE" w:rsidR="005456BB" w:rsidRDefault="005456BB" w:rsidP="005456BB">
      <w:pPr>
        <w:pStyle w:val="BodyText"/>
      </w:pPr>
      <w:r w:rsidDel="00522E45">
        <w:t xml:space="preserve">The count of non-conformances with potential environmental impact overall was </w:t>
      </w:r>
      <w:r w:rsidR="00215D33" w:rsidDel="00522E45">
        <w:t xml:space="preserve">greater </w:t>
      </w:r>
      <w:r w:rsidDel="00522E45">
        <w:t xml:space="preserve">in </w:t>
      </w:r>
      <w:r w:rsidR="00C17646">
        <w:t xml:space="preserve">the current audit </w:t>
      </w:r>
      <w:r w:rsidR="004B6764">
        <w:t>than</w:t>
      </w:r>
      <w:r w:rsidR="004B6764" w:rsidDel="00522E45">
        <w:t xml:space="preserve"> </w:t>
      </w:r>
      <w:r w:rsidR="00215D33" w:rsidDel="00522E45">
        <w:t xml:space="preserve">in </w:t>
      </w:r>
      <w:r w:rsidR="004B6764">
        <w:t>2020-21 and</w:t>
      </w:r>
      <w:r w:rsidR="00414C42">
        <w:t xml:space="preserve"> 2017-18</w:t>
      </w:r>
      <w:r w:rsidR="00215D33" w:rsidDel="00522E45">
        <w:t xml:space="preserve">. </w:t>
      </w:r>
      <w:r w:rsidDel="00522E45">
        <w:t xml:space="preserve">The number of </w:t>
      </w:r>
      <w:r w:rsidR="00215D33" w:rsidDel="00522E45">
        <w:t>non-conformances</w:t>
      </w:r>
      <w:r w:rsidDel="00522E45">
        <w:t xml:space="preserve"> with major potential environmental impact was greater than in </w:t>
      </w:r>
      <w:r w:rsidR="00215D33" w:rsidDel="00522E45">
        <w:t xml:space="preserve">previous recent audits, apart from </w:t>
      </w:r>
      <w:r w:rsidDel="00522E45">
        <w:t>2018-19</w:t>
      </w:r>
      <w:r w:rsidR="00215D33" w:rsidDel="00522E45">
        <w:t xml:space="preserve"> (21 non-conformances with major potential environmental impact in the current audit, compared with 6, 1 and 5, in 2020-21, 2019-20 and 2017-18, respectively; </w:t>
      </w:r>
      <w:r w:rsidR="00215D33" w:rsidDel="00522E45">
        <w:fldChar w:fldCharType="begin"/>
      </w:r>
      <w:r w:rsidR="00215D33" w:rsidDel="00522E45">
        <w:instrText xml:space="preserve"> REF _Ref121113764 \h </w:instrText>
      </w:r>
      <w:r w:rsidR="00215D33" w:rsidDel="00522E45">
        <w:fldChar w:fldCharType="separate"/>
      </w:r>
      <w:r w:rsidR="00130DCF" w:rsidRPr="009038E7">
        <w:t>Table</w:t>
      </w:r>
      <w:r w:rsidR="00130DCF">
        <w:t> </w:t>
      </w:r>
      <w:r w:rsidR="00130DCF">
        <w:rPr>
          <w:noProof/>
        </w:rPr>
        <w:t>5-3</w:t>
      </w:r>
      <w:r w:rsidR="00215D33" w:rsidDel="00522E45">
        <w:fldChar w:fldCharType="end"/>
      </w:r>
      <w:r w:rsidR="00215D33" w:rsidDel="00522E45">
        <w:t>)</w:t>
      </w:r>
      <w:r w:rsidDel="00522E45">
        <w:t xml:space="preserve">. </w:t>
      </w:r>
      <w:r w:rsidR="00215D33" w:rsidDel="00522E45">
        <w:t>The high incidence of non-conformances with major potential environmental impact in the current audit mainly reflects defects with in-coupe road waterway crossings (</w:t>
      </w:r>
      <w:r w:rsidR="00215D33" w:rsidDel="00522E45">
        <w:fldChar w:fldCharType="begin"/>
      </w:r>
      <w:r w:rsidR="00215D33" w:rsidDel="00522E45">
        <w:instrText xml:space="preserve"> REF _Ref121114202 \h </w:instrText>
      </w:r>
      <w:r w:rsidR="00215D33" w:rsidDel="00522E45">
        <w:fldChar w:fldCharType="separate"/>
      </w:r>
      <w:r w:rsidR="00130DCF" w:rsidRPr="009038E7">
        <w:t>Table</w:t>
      </w:r>
      <w:r w:rsidR="00130DCF">
        <w:t> </w:t>
      </w:r>
      <w:r w:rsidR="00130DCF">
        <w:rPr>
          <w:noProof/>
        </w:rPr>
        <w:t>5-4</w:t>
      </w:r>
      <w:r w:rsidR="00215D33" w:rsidDel="00522E45">
        <w:fldChar w:fldCharType="end"/>
      </w:r>
      <w:r w:rsidR="00215D33" w:rsidDel="00522E45">
        <w:t>).</w:t>
      </w:r>
    </w:p>
    <w:p w14:paraId="7E7FB83E" w14:textId="5AA1A7F0" w:rsidR="00D22B83" w:rsidRDefault="00D22B83" w:rsidP="00D22B83">
      <w:pPr>
        <w:pStyle w:val="BodyText"/>
      </w:pPr>
      <w:r>
        <w:t>When all audit coupes in eastern Victorian RFA regions are considered in the assessment (</w:t>
      </w:r>
      <w:r>
        <w:fldChar w:fldCharType="begin"/>
      </w:r>
      <w:r>
        <w:instrText xml:space="preserve"> REF _Ref121114202 \h </w:instrText>
      </w:r>
      <w:r>
        <w:fldChar w:fldCharType="separate"/>
      </w:r>
      <w:r w:rsidR="00130DCF" w:rsidRPr="009038E7">
        <w:t>Table</w:t>
      </w:r>
      <w:r w:rsidR="00130DCF">
        <w:t> </w:t>
      </w:r>
      <w:r w:rsidR="00130DCF">
        <w:rPr>
          <w:noProof/>
        </w:rPr>
        <w:t>5-4</w:t>
      </w:r>
      <w:r>
        <w:fldChar w:fldCharType="end"/>
      </w:r>
      <w:r>
        <w:t xml:space="preserve">), the percentage of full conformance with applicable audit criteria is better overall in 2021-22 than in the previous four audits and better for most of the audit themes and sub-themes. However, there was a much higher count of non-conformances with major potential environmental impact in the current audit (overall and for </w:t>
      </w:r>
      <w:r w:rsidR="0028033A">
        <w:t>several</w:t>
      </w:r>
      <w:r>
        <w:t xml:space="preserve"> theme</w:t>
      </w:r>
      <w:r w:rsidR="0028033A">
        <w:t>s</w:t>
      </w:r>
      <w:r>
        <w:t xml:space="preserve"> or sub-theme</w:t>
      </w:r>
      <w:r w:rsidR="0028033A">
        <w:t>s</w:t>
      </w:r>
      <w:r>
        <w:t xml:space="preserve">) than in the two previous audits. As noted, this mainly reflects defects with in-coupe road waterway crossings. </w:t>
      </w:r>
    </w:p>
    <w:p w14:paraId="6F321C27" w14:textId="77777777" w:rsidR="00D22B83" w:rsidDel="00522E45" w:rsidRDefault="00D22B83" w:rsidP="005456BB">
      <w:pPr>
        <w:pStyle w:val="BodyText"/>
      </w:pPr>
    </w:p>
    <w:p w14:paraId="548A7DF1" w14:textId="77777777" w:rsidR="004F0387" w:rsidRDefault="004F0387" w:rsidP="007A01C0">
      <w:pPr>
        <w:pStyle w:val="BodyText"/>
        <w:sectPr w:rsidR="004F0387" w:rsidSect="00B36A05">
          <w:headerReference w:type="even" r:id="rId80"/>
          <w:headerReference w:type="default" r:id="rId81"/>
          <w:footerReference w:type="even" r:id="rId82"/>
          <w:footerReference w:type="default" r:id="rId83"/>
          <w:headerReference w:type="first" r:id="rId84"/>
          <w:footerReference w:type="first" r:id="rId85"/>
          <w:pgSz w:w="11906" w:h="16838" w:code="9"/>
          <w:pgMar w:top="1134" w:right="1134" w:bottom="567" w:left="1134" w:header="567" w:footer="0" w:gutter="0"/>
          <w:cols w:space="720"/>
          <w:docGrid w:linePitch="360"/>
        </w:sectPr>
      </w:pPr>
    </w:p>
    <w:p w14:paraId="687A50E0" w14:textId="287A4515" w:rsidR="004F0387" w:rsidRDefault="004F0387" w:rsidP="00FB2E1B">
      <w:pPr>
        <w:pStyle w:val="TableCaption"/>
      </w:pPr>
      <w:bookmarkStart w:id="160" w:name="_Ref121113764"/>
      <w:bookmarkStart w:id="161" w:name="_Toc131178742"/>
      <w:r w:rsidRPr="009038E7">
        <w:lastRenderedPageBreak/>
        <w:t>Table</w:t>
      </w:r>
      <w:r>
        <w:t> </w:t>
      </w:r>
      <w:fldSimple w:instr=" STYLEREF 1 \s ">
        <w:r w:rsidR="00130DCF">
          <w:rPr>
            <w:noProof/>
          </w:rPr>
          <w:t>5</w:t>
        </w:r>
      </w:fldSimple>
      <w:r>
        <w:rPr>
          <w:noProof/>
        </w:rPr>
        <w:t>-</w:t>
      </w:r>
      <w:fldSimple w:instr=" SEQ Table \* ARABIC \s 1 ">
        <w:r w:rsidR="00130DCF">
          <w:rPr>
            <w:noProof/>
          </w:rPr>
          <w:t>3</w:t>
        </w:r>
      </w:fldSimple>
      <w:bookmarkEnd w:id="160"/>
      <w:r>
        <w:rPr>
          <w:noProof/>
        </w:rPr>
        <w:t>.</w:t>
      </w:r>
      <w:r w:rsidRPr="009038E7">
        <w:t xml:space="preserve"> </w:t>
      </w:r>
      <w:r w:rsidR="00392BA9">
        <w:t>Comparison of results for recent Forest Audit Program Audits</w:t>
      </w:r>
      <w:r w:rsidR="0059655D">
        <w:t>: Central Highlands RFA region coupes</w:t>
      </w:r>
      <w:r w:rsidR="005724F0">
        <w:t xml:space="preserve"> only</w:t>
      </w:r>
      <w:bookmarkEnd w:id="161"/>
    </w:p>
    <w:tbl>
      <w:tblPr>
        <w:tblStyle w:val="JacobsTable1accentprimarythemes"/>
        <w:tblW w:w="14601" w:type="dxa"/>
        <w:tblLook w:val="04A0" w:firstRow="1" w:lastRow="0" w:firstColumn="1" w:lastColumn="0" w:noHBand="0" w:noVBand="1"/>
      </w:tblPr>
      <w:tblGrid>
        <w:gridCol w:w="2268"/>
        <w:gridCol w:w="1233"/>
        <w:gridCol w:w="1233"/>
        <w:gridCol w:w="1233"/>
        <w:gridCol w:w="1234"/>
        <w:gridCol w:w="1233"/>
        <w:gridCol w:w="1233"/>
        <w:gridCol w:w="1234"/>
        <w:gridCol w:w="1233"/>
        <w:gridCol w:w="1233"/>
        <w:gridCol w:w="1234"/>
      </w:tblGrid>
      <w:tr w:rsidR="004F0387" w14:paraId="04BC55BC" w14:textId="45483247" w:rsidTr="004F0387">
        <w:trPr>
          <w:cnfStyle w:val="100000000000" w:firstRow="1" w:lastRow="0" w:firstColumn="0" w:lastColumn="0" w:oddVBand="0" w:evenVBand="0" w:oddHBand="0" w:evenHBand="0" w:firstRowFirstColumn="0" w:firstRowLastColumn="0" w:lastRowFirstColumn="0" w:lastRowLastColumn="0"/>
        </w:trPr>
        <w:tc>
          <w:tcPr>
            <w:tcW w:w="2268" w:type="dxa"/>
          </w:tcPr>
          <w:p w14:paraId="6DDDC57F" w14:textId="77777777" w:rsidR="004F0387" w:rsidRDefault="004F0387" w:rsidP="004F0387">
            <w:pPr>
              <w:pStyle w:val="TableText"/>
            </w:pPr>
          </w:p>
        </w:tc>
        <w:tc>
          <w:tcPr>
            <w:tcW w:w="6166" w:type="dxa"/>
            <w:gridSpan w:val="5"/>
          </w:tcPr>
          <w:p w14:paraId="483BFFFF" w14:textId="33CD6C9A" w:rsidR="004F0387" w:rsidRDefault="004F0387" w:rsidP="004F0387">
            <w:pPr>
              <w:pStyle w:val="TableText"/>
              <w:jc w:val="center"/>
            </w:pPr>
            <w:r>
              <w:t>% Full conformance with applicable audit criteria</w:t>
            </w:r>
          </w:p>
        </w:tc>
        <w:tc>
          <w:tcPr>
            <w:tcW w:w="6167" w:type="dxa"/>
            <w:gridSpan w:val="5"/>
          </w:tcPr>
          <w:p w14:paraId="7DBDB6D7" w14:textId="68F21D35" w:rsidR="004F0387" w:rsidRPr="004F0387" w:rsidRDefault="004F0387" w:rsidP="004F0387">
            <w:pPr>
              <w:pStyle w:val="TableText"/>
              <w:jc w:val="center"/>
              <w:rPr>
                <w:vertAlign w:val="superscript"/>
              </w:rPr>
            </w:pPr>
            <w:r>
              <w:t># Non-conformances with potential environmental impact | # Non-conformances with major potential environmental impact</w:t>
            </w:r>
            <w:r>
              <w:rPr>
                <w:vertAlign w:val="superscript"/>
              </w:rPr>
              <w:t>1</w:t>
            </w:r>
          </w:p>
        </w:tc>
      </w:tr>
      <w:tr w:rsidR="004F0387" w14:paraId="43DE530E" w14:textId="721C4944" w:rsidTr="004F0387">
        <w:tc>
          <w:tcPr>
            <w:tcW w:w="2268" w:type="dxa"/>
          </w:tcPr>
          <w:p w14:paraId="4831B755" w14:textId="2C0A47AB" w:rsidR="004F0387" w:rsidRPr="004F0387" w:rsidRDefault="004F0387" w:rsidP="004F0387">
            <w:pPr>
              <w:pStyle w:val="TableText"/>
            </w:pPr>
            <w:r w:rsidRPr="004F0387">
              <w:t># Central Highlands RFA region coupes</w:t>
            </w:r>
          </w:p>
        </w:tc>
        <w:tc>
          <w:tcPr>
            <w:tcW w:w="1233" w:type="dxa"/>
          </w:tcPr>
          <w:p w14:paraId="36530DE6" w14:textId="77777777" w:rsidR="004F0387" w:rsidRDefault="004F0387" w:rsidP="004F0387">
            <w:pPr>
              <w:pStyle w:val="TableText"/>
              <w:jc w:val="center"/>
            </w:pPr>
          </w:p>
        </w:tc>
        <w:tc>
          <w:tcPr>
            <w:tcW w:w="1233" w:type="dxa"/>
          </w:tcPr>
          <w:p w14:paraId="2B48F81D" w14:textId="77777777" w:rsidR="004F0387" w:rsidRDefault="004F0387" w:rsidP="004F0387">
            <w:pPr>
              <w:pStyle w:val="TableText"/>
              <w:jc w:val="center"/>
            </w:pPr>
          </w:p>
        </w:tc>
        <w:tc>
          <w:tcPr>
            <w:tcW w:w="1233" w:type="dxa"/>
          </w:tcPr>
          <w:p w14:paraId="296335EC" w14:textId="77777777" w:rsidR="004F0387" w:rsidRDefault="004F0387" w:rsidP="004F0387">
            <w:pPr>
              <w:pStyle w:val="TableText"/>
              <w:jc w:val="center"/>
            </w:pPr>
          </w:p>
        </w:tc>
        <w:tc>
          <w:tcPr>
            <w:tcW w:w="1234" w:type="dxa"/>
          </w:tcPr>
          <w:p w14:paraId="5E1859DA" w14:textId="77777777" w:rsidR="004F0387" w:rsidRDefault="004F0387" w:rsidP="004F0387">
            <w:pPr>
              <w:pStyle w:val="TableText"/>
              <w:jc w:val="center"/>
            </w:pPr>
          </w:p>
        </w:tc>
        <w:tc>
          <w:tcPr>
            <w:tcW w:w="1233" w:type="dxa"/>
          </w:tcPr>
          <w:p w14:paraId="673BE619" w14:textId="77777777" w:rsidR="004F0387" w:rsidRDefault="004F0387" w:rsidP="004F0387">
            <w:pPr>
              <w:pStyle w:val="TableText"/>
              <w:jc w:val="center"/>
            </w:pPr>
          </w:p>
        </w:tc>
        <w:tc>
          <w:tcPr>
            <w:tcW w:w="1233" w:type="dxa"/>
          </w:tcPr>
          <w:p w14:paraId="7FF7281E" w14:textId="69772A95" w:rsidR="004F0387" w:rsidRDefault="004F0387" w:rsidP="004F0387">
            <w:pPr>
              <w:pStyle w:val="TableText"/>
              <w:jc w:val="center"/>
            </w:pPr>
            <w:r w:rsidRPr="00A44BE2">
              <w:t>12</w:t>
            </w:r>
          </w:p>
        </w:tc>
        <w:tc>
          <w:tcPr>
            <w:tcW w:w="1234" w:type="dxa"/>
          </w:tcPr>
          <w:p w14:paraId="47CAFB56" w14:textId="1BA99655" w:rsidR="004F0387" w:rsidRDefault="004F0387" w:rsidP="004F0387">
            <w:pPr>
              <w:pStyle w:val="TableText"/>
              <w:jc w:val="center"/>
            </w:pPr>
            <w:r w:rsidRPr="00A44BE2">
              <w:t>14</w:t>
            </w:r>
          </w:p>
        </w:tc>
        <w:tc>
          <w:tcPr>
            <w:tcW w:w="1233" w:type="dxa"/>
          </w:tcPr>
          <w:p w14:paraId="5118F692" w14:textId="53F90C8D" w:rsidR="004F0387" w:rsidRDefault="004F0387" w:rsidP="004F0387">
            <w:pPr>
              <w:pStyle w:val="TableText"/>
              <w:jc w:val="center"/>
            </w:pPr>
            <w:r w:rsidRPr="00A44BE2">
              <w:t>15</w:t>
            </w:r>
          </w:p>
        </w:tc>
        <w:tc>
          <w:tcPr>
            <w:tcW w:w="1233" w:type="dxa"/>
          </w:tcPr>
          <w:p w14:paraId="45B82132" w14:textId="1463569D" w:rsidR="004F0387" w:rsidRDefault="004F0387" w:rsidP="004F0387">
            <w:pPr>
              <w:pStyle w:val="TableText"/>
              <w:jc w:val="center"/>
            </w:pPr>
            <w:r w:rsidRPr="00A44BE2">
              <w:t>12</w:t>
            </w:r>
          </w:p>
        </w:tc>
        <w:tc>
          <w:tcPr>
            <w:tcW w:w="1234" w:type="dxa"/>
          </w:tcPr>
          <w:p w14:paraId="4233BCF3" w14:textId="05C61A85" w:rsidR="00392BA9" w:rsidRDefault="00B64F92" w:rsidP="00392BA9">
            <w:pPr>
              <w:pStyle w:val="TableText"/>
              <w:jc w:val="center"/>
            </w:pPr>
            <w:r>
              <w:t>1</w:t>
            </w:r>
            <w:r w:rsidR="00392BA9">
              <w:t>4</w:t>
            </w:r>
          </w:p>
        </w:tc>
      </w:tr>
      <w:tr w:rsidR="004F0387" w14:paraId="15AFCCAB" w14:textId="55E48ADF" w:rsidTr="004F0387">
        <w:tc>
          <w:tcPr>
            <w:tcW w:w="2268" w:type="dxa"/>
          </w:tcPr>
          <w:p w14:paraId="43251C66" w14:textId="216C257E" w:rsidR="004F0387" w:rsidRPr="004F0387" w:rsidRDefault="004F0387" w:rsidP="004F0387">
            <w:pPr>
              <w:pStyle w:val="TableText"/>
            </w:pPr>
            <w:r w:rsidRPr="004F0387">
              <w:t>FAP compliance theme and sub-theme</w:t>
            </w:r>
          </w:p>
        </w:tc>
        <w:tc>
          <w:tcPr>
            <w:tcW w:w="1233" w:type="dxa"/>
          </w:tcPr>
          <w:p w14:paraId="01BF4682" w14:textId="68C79B76" w:rsidR="004F0387" w:rsidRDefault="004F0387" w:rsidP="004F0387">
            <w:pPr>
              <w:pStyle w:val="TableText"/>
              <w:jc w:val="center"/>
            </w:pPr>
            <w:r w:rsidRPr="0095721B">
              <w:t>2017-18</w:t>
            </w:r>
            <w:r w:rsidRPr="004F0387">
              <w:rPr>
                <w:vertAlign w:val="superscript"/>
              </w:rPr>
              <w:t>2</w:t>
            </w:r>
          </w:p>
        </w:tc>
        <w:tc>
          <w:tcPr>
            <w:tcW w:w="1233" w:type="dxa"/>
          </w:tcPr>
          <w:p w14:paraId="2200875A" w14:textId="4CA3FBAC" w:rsidR="004F0387" w:rsidRDefault="004F0387" w:rsidP="004F0387">
            <w:pPr>
              <w:pStyle w:val="TableText"/>
              <w:jc w:val="center"/>
            </w:pPr>
            <w:r w:rsidRPr="0095721B">
              <w:t>2018-19</w:t>
            </w:r>
            <w:r w:rsidRPr="004F0387">
              <w:rPr>
                <w:vertAlign w:val="superscript"/>
              </w:rPr>
              <w:t>3</w:t>
            </w:r>
          </w:p>
        </w:tc>
        <w:tc>
          <w:tcPr>
            <w:tcW w:w="1233" w:type="dxa"/>
          </w:tcPr>
          <w:p w14:paraId="09553BED" w14:textId="49FACE59" w:rsidR="004F0387" w:rsidRDefault="004F0387" w:rsidP="004F0387">
            <w:pPr>
              <w:pStyle w:val="TableText"/>
              <w:jc w:val="center"/>
            </w:pPr>
            <w:r w:rsidRPr="0095721B">
              <w:t>2019-20</w:t>
            </w:r>
            <w:r w:rsidRPr="004F0387">
              <w:rPr>
                <w:vertAlign w:val="superscript"/>
              </w:rPr>
              <w:t>4</w:t>
            </w:r>
          </w:p>
        </w:tc>
        <w:tc>
          <w:tcPr>
            <w:tcW w:w="1234" w:type="dxa"/>
          </w:tcPr>
          <w:p w14:paraId="25E8AE5E" w14:textId="2B5763C1" w:rsidR="004F0387" w:rsidRPr="004F0387" w:rsidRDefault="004F0387" w:rsidP="004F0387">
            <w:pPr>
              <w:pStyle w:val="TableText"/>
              <w:jc w:val="center"/>
              <w:rPr>
                <w:vertAlign w:val="superscript"/>
              </w:rPr>
            </w:pPr>
            <w:r w:rsidRPr="0095721B">
              <w:t>2020-21</w:t>
            </w:r>
            <w:r>
              <w:rPr>
                <w:vertAlign w:val="superscript"/>
              </w:rPr>
              <w:t>5</w:t>
            </w:r>
          </w:p>
        </w:tc>
        <w:tc>
          <w:tcPr>
            <w:tcW w:w="1233" w:type="dxa"/>
          </w:tcPr>
          <w:p w14:paraId="6A76199F" w14:textId="6641FD86" w:rsidR="004F0387" w:rsidRDefault="004F0387" w:rsidP="004F0387">
            <w:pPr>
              <w:pStyle w:val="TableText"/>
              <w:jc w:val="center"/>
            </w:pPr>
            <w:r>
              <w:t>2021-22</w:t>
            </w:r>
          </w:p>
        </w:tc>
        <w:tc>
          <w:tcPr>
            <w:tcW w:w="1233" w:type="dxa"/>
          </w:tcPr>
          <w:p w14:paraId="4FC1E1EC" w14:textId="41FE9343" w:rsidR="004F0387" w:rsidRDefault="004F0387" w:rsidP="004F0387">
            <w:pPr>
              <w:pStyle w:val="TableText"/>
              <w:jc w:val="center"/>
            </w:pPr>
            <w:r w:rsidRPr="00A44BE2">
              <w:t>2017-18</w:t>
            </w:r>
            <w:r w:rsidRPr="004F0387">
              <w:rPr>
                <w:vertAlign w:val="superscript"/>
              </w:rPr>
              <w:t>2</w:t>
            </w:r>
          </w:p>
        </w:tc>
        <w:tc>
          <w:tcPr>
            <w:tcW w:w="1234" w:type="dxa"/>
          </w:tcPr>
          <w:p w14:paraId="5C04E98F" w14:textId="5E643D17" w:rsidR="004F0387" w:rsidRDefault="004F0387" w:rsidP="004F0387">
            <w:pPr>
              <w:pStyle w:val="TableText"/>
              <w:jc w:val="center"/>
            </w:pPr>
            <w:r w:rsidRPr="00A44BE2">
              <w:t>2018-19</w:t>
            </w:r>
            <w:r w:rsidRPr="004F0387">
              <w:rPr>
                <w:vertAlign w:val="superscript"/>
              </w:rPr>
              <w:t>3</w:t>
            </w:r>
          </w:p>
        </w:tc>
        <w:tc>
          <w:tcPr>
            <w:tcW w:w="1233" w:type="dxa"/>
          </w:tcPr>
          <w:p w14:paraId="4380F016" w14:textId="46888DB2" w:rsidR="004F0387" w:rsidRDefault="004F0387" w:rsidP="004F0387">
            <w:pPr>
              <w:pStyle w:val="TableText"/>
              <w:jc w:val="center"/>
            </w:pPr>
            <w:r w:rsidRPr="00A44BE2">
              <w:t>2019-20</w:t>
            </w:r>
            <w:r w:rsidRPr="004F0387">
              <w:rPr>
                <w:vertAlign w:val="superscript"/>
              </w:rPr>
              <w:t>4</w:t>
            </w:r>
          </w:p>
        </w:tc>
        <w:tc>
          <w:tcPr>
            <w:tcW w:w="1233" w:type="dxa"/>
          </w:tcPr>
          <w:p w14:paraId="44874D5D" w14:textId="529AB35C" w:rsidR="004F0387" w:rsidRPr="004F0387" w:rsidRDefault="004F0387" w:rsidP="004F0387">
            <w:pPr>
              <w:pStyle w:val="TableText"/>
              <w:jc w:val="center"/>
              <w:rPr>
                <w:vertAlign w:val="superscript"/>
              </w:rPr>
            </w:pPr>
            <w:r w:rsidRPr="00A44BE2">
              <w:t>2020-21</w:t>
            </w:r>
            <w:r>
              <w:rPr>
                <w:vertAlign w:val="superscript"/>
              </w:rPr>
              <w:t>5</w:t>
            </w:r>
          </w:p>
        </w:tc>
        <w:tc>
          <w:tcPr>
            <w:tcW w:w="1234" w:type="dxa"/>
          </w:tcPr>
          <w:p w14:paraId="3BB069A0" w14:textId="2C7C03EE" w:rsidR="004F0387" w:rsidRDefault="004F0387" w:rsidP="004F0387">
            <w:pPr>
              <w:pStyle w:val="TableText"/>
              <w:jc w:val="center"/>
            </w:pPr>
            <w:r>
              <w:t>2021-22</w:t>
            </w:r>
          </w:p>
        </w:tc>
      </w:tr>
      <w:tr w:rsidR="004F0387" w14:paraId="6063E4FD" w14:textId="79D0E614" w:rsidTr="004F0387">
        <w:tc>
          <w:tcPr>
            <w:tcW w:w="2268" w:type="dxa"/>
          </w:tcPr>
          <w:p w14:paraId="144B7478" w14:textId="09AA1A73" w:rsidR="004F0387" w:rsidRDefault="004F0387" w:rsidP="004F0387">
            <w:pPr>
              <w:pStyle w:val="TableText"/>
            </w:pPr>
            <w:r w:rsidRPr="00A5705D">
              <w:t>Overall</w:t>
            </w:r>
            <w:r>
              <w:rPr>
                <w:vertAlign w:val="superscript"/>
              </w:rPr>
              <w:t>6</w:t>
            </w:r>
          </w:p>
        </w:tc>
        <w:tc>
          <w:tcPr>
            <w:tcW w:w="1233" w:type="dxa"/>
          </w:tcPr>
          <w:p w14:paraId="2DBFE9D9" w14:textId="4B2B3B76" w:rsidR="004F0387" w:rsidRDefault="004F0387" w:rsidP="004F0387">
            <w:pPr>
              <w:pStyle w:val="TableText"/>
              <w:jc w:val="center"/>
            </w:pPr>
            <w:r w:rsidRPr="0095721B">
              <w:t>90%</w:t>
            </w:r>
          </w:p>
        </w:tc>
        <w:tc>
          <w:tcPr>
            <w:tcW w:w="1233" w:type="dxa"/>
          </w:tcPr>
          <w:p w14:paraId="367B03E6" w14:textId="54950D96" w:rsidR="004F0387" w:rsidRDefault="004F0387" w:rsidP="004F0387">
            <w:pPr>
              <w:pStyle w:val="TableText"/>
              <w:jc w:val="center"/>
            </w:pPr>
            <w:r w:rsidRPr="0095721B">
              <w:t>83%</w:t>
            </w:r>
          </w:p>
        </w:tc>
        <w:tc>
          <w:tcPr>
            <w:tcW w:w="1233" w:type="dxa"/>
          </w:tcPr>
          <w:p w14:paraId="28514EC5" w14:textId="753706A9" w:rsidR="004F0387" w:rsidRDefault="004F0387" w:rsidP="004F0387">
            <w:pPr>
              <w:pStyle w:val="TableText"/>
              <w:jc w:val="center"/>
            </w:pPr>
            <w:r w:rsidRPr="0095721B">
              <w:t>94%</w:t>
            </w:r>
          </w:p>
        </w:tc>
        <w:tc>
          <w:tcPr>
            <w:tcW w:w="1234" w:type="dxa"/>
          </w:tcPr>
          <w:p w14:paraId="5247A898" w14:textId="5B07730F" w:rsidR="004F0387" w:rsidRDefault="004F0387" w:rsidP="004F0387">
            <w:pPr>
              <w:pStyle w:val="TableText"/>
              <w:jc w:val="center"/>
            </w:pPr>
            <w:r w:rsidRPr="0095721B">
              <w:t>93%</w:t>
            </w:r>
          </w:p>
        </w:tc>
        <w:tc>
          <w:tcPr>
            <w:tcW w:w="1233" w:type="dxa"/>
          </w:tcPr>
          <w:p w14:paraId="221B9E92" w14:textId="08C160C3" w:rsidR="004F0387" w:rsidRDefault="00B64F92" w:rsidP="004F0387">
            <w:pPr>
              <w:pStyle w:val="TableText"/>
              <w:jc w:val="center"/>
            </w:pPr>
            <w:r>
              <w:t>95%</w:t>
            </w:r>
          </w:p>
        </w:tc>
        <w:tc>
          <w:tcPr>
            <w:tcW w:w="1233" w:type="dxa"/>
          </w:tcPr>
          <w:p w14:paraId="189F083B" w14:textId="192FF599" w:rsidR="004F0387" w:rsidRDefault="004F0387" w:rsidP="004F0387">
            <w:pPr>
              <w:pStyle w:val="TableText"/>
              <w:jc w:val="center"/>
            </w:pPr>
            <w:r w:rsidRPr="00A44BE2">
              <w:t>24 | 5</w:t>
            </w:r>
          </w:p>
        </w:tc>
        <w:tc>
          <w:tcPr>
            <w:tcW w:w="1234" w:type="dxa"/>
          </w:tcPr>
          <w:p w14:paraId="280B73F6" w14:textId="791707E1" w:rsidR="004F0387" w:rsidRDefault="004F0387" w:rsidP="004F0387">
            <w:pPr>
              <w:pStyle w:val="TableText"/>
              <w:jc w:val="center"/>
            </w:pPr>
            <w:r w:rsidRPr="00A44BE2">
              <w:t>71 | 24</w:t>
            </w:r>
          </w:p>
        </w:tc>
        <w:tc>
          <w:tcPr>
            <w:tcW w:w="1233" w:type="dxa"/>
          </w:tcPr>
          <w:p w14:paraId="5A6C6481" w14:textId="0396342F" w:rsidR="004F0387" w:rsidRDefault="004F0387" w:rsidP="004F0387">
            <w:pPr>
              <w:pStyle w:val="TableText"/>
              <w:jc w:val="center"/>
            </w:pPr>
            <w:r w:rsidRPr="00A44BE2">
              <w:t>54 | 1</w:t>
            </w:r>
          </w:p>
        </w:tc>
        <w:tc>
          <w:tcPr>
            <w:tcW w:w="1233" w:type="dxa"/>
          </w:tcPr>
          <w:p w14:paraId="0B58954A" w14:textId="345CA2DA" w:rsidR="004F0387" w:rsidRDefault="004F0387" w:rsidP="004F0387">
            <w:pPr>
              <w:pStyle w:val="TableText"/>
              <w:jc w:val="center"/>
            </w:pPr>
            <w:r w:rsidRPr="00A44BE2">
              <w:t>41 | 6</w:t>
            </w:r>
          </w:p>
        </w:tc>
        <w:tc>
          <w:tcPr>
            <w:tcW w:w="1234" w:type="dxa"/>
          </w:tcPr>
          <w:p w14:paraId="5E178DFE" w14:textId="2C997990" w:rsidR="004F0387" w:rsidRDefault="0059655D" w:rsidP="004F0387">
            <w:pPr>
              <w:pStyle w:val="TableText"/>
              <w:jc w:val="center"/>
            </w:pPr>
            <w:r>
              <w:t>4</w:t>
            </w:r>
            <w:r w:rsidR="002D5868">
              <w:t>7</w:t>
            </w:r>
            <w:r>
              <w:t xml:space="preserve"> | </w:t>
            </w:r>
            <w:r w:rsidR="00816113">
              <w:t>1</w:t>
            </w:r>
            <w:r w:rsidR="00F62CB0">
              <w:t>1</w:t>
            </w:r>
          </w:p>
        </w:tc>
      </w:tr>
      <w:tr w:rsidR="004F0387" w14:paraId="43C4EC79" w14:textId="77777777" w:rsidTr="004F0387">
        <w:tc>
          <w:tcPr>
            <w:tcW w:w="2268" w:type="dxa"/>
          </w:tcPr>
          <w:p w14:paraId="15293184" w14:textId="58C495F1" w:rsidR="004F0387" w:rsidRDefault="004F0387" w:rsidP="004F0387">
            <w:pPr>
              <w:pStyle w:val="TableText"/>
            </w:pPr>
            <w:r w:rsidRPr="00A5705D">
              <w:t>Environment</w:t>
            </w:r>
          </w:p>
        </w:tc>
        <w:tc>
          <w:tcPr>
            <w:tcW w:w="1233" w:type="dxa"/>
          </w:tcPr>
          <w:p w14:paraId="685D486D" w14:textId="77777777" w:rsidR="004F0387" w:rsidRDefault="004F0387" w:rsidP="004F0387">
            <w:pPr>
              <w:pStyle w:val="TableText"/>
              <w:jc w:val="center"/>
            </w:pPr>
          </w:p>
        </w:tc>
        <w:tc>
          <w:tcPr>
            <w:tcW w:w="1233" w:type="dxa"/>
          </w:tcPr>
          <w:p w14:paraId="5DB075A2" w14:textId="77777777" w:rsidR="004F0387" w:rsidRDefault="004F0387" w:rsidP="004F0387">
            <w:pPr>
              <w:pStyle w:val="TableText"/>
              <w:jc w:val="center"/>
            </w:pPr>
          </w:p>
        </w:tc>
        <w:tc>
          <w:tcPr>
            <w:tcW w:w="1233" w:type="dxa"/>
          </w:tcPr>
          <w:p w14:paraId="559DA13D" w14:textId="77777777" w:rsidR="004F0387" w:rsidRDefault="004F0387" w:rsidP="004F0387">
            <w:pPr>
              <w:pStyle w:val="TableText"/>
              <w:jc w:val="center"/>
            </w:pPr>
          </w:p>
        </w:tc>
        <w:tc>
          <w:tcPr>
            <w:tcW w:w="1234" w:type="dxa"/>
          </w:tcPr>
          <w:p w14:paraId="1B3F95C0" w14:textId="77777777" w:rsidR="004F0387" w:rsidRDefault="004F0387" w:rsidP="004F0387">
            <w:pPr>
              <w:pStyle w:val="TableText"/>
              <w:jc w:val="center"/>
            </w:pPr>
          </w:p>
        </w:tc>
        <w:tc>
          <w:tcPr>
            <w:tcW w:w="1233" w:type="dxa"/>
          </w:tcPr>
          <w:p w14:paraId="7160B280" w14:textId="77777777" w:rsidR="004F0387" w:rsidRDefault="004F0387" w:rsidP="004F0387">
            <w:pPr>
              <w:pStyle w:val="TableText"/>
              <w:jc w:val="center"/>
            </w:pPr>
          </w:p>
        </w:tc>
        <w:tc>
          <w:tcPr>
            <w:tcW w:w="1233" w:type="dxa"/>
          </w:tcPr>
          <w:p w14:paraId="25ACCAD8" w14:textId="77777777" w:rsidR="004F0387" w:rsidRDefault="004F0387" w:rsidP="004F0387">
            <w:pPr>
              <w:pStyle w:val="TableText"/>
              <w:jc w:val="center"/>
            </w:pPr>
          </w:p>
        </w:tc>
        <w:tc>
          <w:tcPr>
            <w:tcW w:w="1234" w:type="dxa"/>
          </w:tcPr>
          <w:p w14:paraId="70EE7B23" w14:textId="77777777" w:rsidR="004F0387" w:rsidRDefault="004F0387" w:rsidP="004F0387">
            <w:pPr>
              <w:pStyle w:val="TableText"/>
              <w:jc w:val="center"/>
            </w:pPr>
          </w:p>
        </w:tc>
        <w:tc>
          <w:tcPr>
            <w:tcW w:w="1233" w:type="dxa"/>
          </w:tcPr>
          <w:p w14:paraId="07F6D02D" w14:textId="77777777" w:rsidR="004F0387" w:rsidRDefault="004F0387" w:rsidP="004F0387">
            <w:pPr>
              <w:pStyle w:val="TableText"/>
              <w:jc w:val="center"/>
            </w:pPr>
          </w:p>
        </w:tc>
        <w:tc>
          <w:tcPr>
            <w:tcW w:w="1233" w:type="dxa"/>
          </w:tcPr>
          <w:p w14:paraId="229CF58A" w14:textId="77777777" w:rsidR="004F0387" w:rsidRDefault="004F0387" w:rsidP="004F0387">
            <w:pPr>
              <w:pStyle w:val="TableText"/>
              <w:jc w:val="center"/>
            </w:pPr>
          </w:p>
        </w:tc>
        <w:tc>
          <w:tcPr>
            <w:tcW w:w="1234" w:type="dxa"/>
          </w:tcPr>
          <w:p w14:paraId="7A846288" w14:textId="77777777" w:rsidR="004F0387" w:rsidRDefault="004F0387" w:rsidP="004F0387">
            <w:pPr>
              <w:pStyle w:val="TableText"/>
              <w:jc w:val="center"/>
            </w:pPr>
          </w:p>
        </w:tc>
      </w:tr>
      <w:tr w:rsidR="004F0387" w14:paraId="264B29B3" w14:textId="77777777" w:rsidTr="004F0387">
        <w:tc>
          <w:tcPr>
            <w:tcW w:w="2268" w:type="dxa"/>
          </w:tcPr>
          <w:p w14:paraId="74B0BB8A" w14:textId="1D576941" w:rsidR="004F0387" w:rsidRDefault="004F0387" w:rsidP="004F0387">
            <w:pPr>
              <w:pStyle w:val="TableBullet"/>
            </w:pPr>
            <w:r>
              <w:t>Soils</w:t>
            </w:r>
          </w:p>
        </w:tc>
        <w:tc>
          <w:tcPr>
            <w:tcW w:w="1233" w:type="dxa"/>
          </w:tcPr>
          <w:p w14:paraId="3B179851" w14:textId="47D5F56B" w:rsidR="004F0387" w:rsidRDefault="004F0387" w:rsidP="004F0387">
            <w:pPr>
              <w:pStyle w:val="TableText"/>
              <w:jc w:val="center"/>
            </w:pPr>
            <w:r w:rsidRPr="0095721B">
              <w:t>90%</w:t>
            </w:r>
          </w:p>
        </w:tc>
        <w:tc>
          <w:tcPr>
            <w:tcW w:w="1233" w:type="dxa"/>
          </w:tcPr>
          <w:p w14:paraId="133B2695" w14:textId="7634E415" w:rsidR="004F0387" w:rsidRDefault="004F0387" w:rsidP="004F0387">
            <w:pPr>
              <w:pStyle w:val="TableText"/>
              <w:jc w:val="center"/>
            </w:pPr>
            <w:r w:rsidRPr="0095721B">
              <w:t>76%</w:t>
            </w:r>
          </w:p>
        </w:tc>
        <w:tc>
          <w:tcPr>
            <w:tcW w:w="1233" w:type="dxa"/>
          </w:tcPr>
          <w:p w14:paraId="5F43DCB9" w14:textId="661EEE24" w:rsidR="004F0387" w:rsidRDefault="004F0387" w:rsidP="004F0387">
            <w:pPr>
              <w:pStyle w:val="TableText"/>
              <w:jc w:val="center"/>
            </w:pPr>
            <w:r w:rsidRPr="0095721B">
              <w:t>93%</w:t>
            </w:r>
          </w:p>
        </w:tc>
        <w:tc>
          <w:tcPr>
            <w:tcW w:w="1234" w:type="dxa"/>
          </w:tcPr>
          <w:p w14:paraId="497780B2" w14:textId="4BA2C64D" w:rsidR="004F0387" w:rsidRDefault="004F0387" w:rsidP="004F0387">
            <w:pPr>
              <w:pStyle w:val="TableText"/>
              <w:jc w:val="center"/>
            </w:pPr>
            <w:r w:rsidRPr="0095721B">
              <w:t>91%</w:t>
            </w:r>
          </w:p>
        </w:tc>
        <w:tc>
          <w:tcPr>
            <w:tcW w:w="1233" w:type="dxa"/>
          </w:tcPr>
          <w:p w14:paraId="0890FE31" w14:textId="581BA17B" w:rsidR="004F0387" w:rsidRDefault="00B64F92" w:rsidP="00392BA9">
            <w:pPr>
              <w:pStyle w:val="TableText"/>
              <w:jc w:val="center"/>
            </w:pPr>
            <w:r>
              <w:t>9</w:t>
            </w:r>
            <w:r w:rsidR="00392BA9">
              <w:t>3</w:t>
            </w:r>
            <w:r>
              <w:t>%</w:t>
            </w:r>
          </w:p>
        </w:tc>
        <w:tc>
          <w:tcPr>
            <w:tcW w:w="1233" w:type="dxa"/>
          </w:tcPr>
          <w:p w14:paraId="3D7442E4" w14:textId="60E04C60" w:rsidR="004F0387" w:rsidRDefault="004F0387" w:rsidP="004F0387">
            <w:pPr>
              <w:pStyle w:val="TableText"/>
              <w:jc w:val="center"/>
            </w:pPr>
            <w:r w:rsidRPr="00A44BE2">
              <w:t>12 | 0</w:t>
            </w:r>
          </w:p>
        </w:tc>
        <w:tc>
          <w:tcPr>
            <w:tcW w:w="1234" w:type="dxa"/>
          </w:tcPr>
          <w:p w14:paraId="3036FB4C" w14:textId="17DEEE25" w:rsidR="004F0387" w:rsidRDefault="004F0387" w:rsidP="004F0387">
            <w:pPr>
              <w:pStyle w:val="TableText"/>
              <w:jc w:val="center"/>
            </w:pPr>
            <w:r w:rsidRPr="00A44BE2">
              <w:t>32 | 2</w:t>
            </w:r>
          </w:p>
        </w:tc>
        <w:tc>
          <w:tcPr>
            <w:tcW w:w="1233" w:type="dxa"/>
          </w:tcPr>
          <w:p w14:paraId="48535D9D" w14:textId="5E62D12A" w:rsidR="004F0387" w:rsidRDefault="004F0387" w:rsidP="004F0387">
            <w:pPr>
              <w:pStyle w:val="TableText"/>
              <w:jc w:val="center"/>
            </w:pPr>
            <w:r w:rsidRPr="00A44BE2">
              <w:t>24 | 0</w:t>
            </w:r>
          </w:p>
        </w:tc>
        <w:tc>
          <w:tcPr>
            <w:tcW w:w="1233" w:type="dxa"/>
          </w:tcPr>
          <w:p w14:paraId="413B230E" w14:textId="0FFF1C4A" w:rsidR="004F0387" w:rsidRDefault="004F0387" w:rsidP="004F0387">
            <w:pPr>
              <w:pStyle w:val="TableText"/>
              <w:jc w:val="center"/>
            </w:pPr>
            <w:r w:rsidRPr="00A44BE2">
              <w:t>18 | 0</w:t>
            </w:r>
          </w:p>
        </w:tc>
        <w:tc>
          <w:tcPr>
            <w:tcW w:w="1234" w:type="dxa"/>
          </w:tcPr>
          <w:p w14:paraId="14BCB3D2" w14:textId="2967E740" w:rsidR="004F0387" w:rsidRDefault="0059655D" w:rsidP="004F0387">
            <w:pPr>
              <w:pStyle w:val="TableText"/>
              <w:jc w:val="center"/>
            </w:pPr>
            <w:r>
              <w:t>17</w:t>
            </w:r>
            <w:r w:rsidR="00392BA9">
              <w:t xml:space="preserve"> | </w:t>
            </w:r>
            <w:r w:rsidR="00D745C5">
              <w:t>2</w:t>
            </w:r>
          </w:p>
        </w:tc>
      </w:tr>
      <w:tr w:rsidR="004F0387" w14:paraId="31A892A8" w14:textId="77777777" w:rsidTr="004F0387">
        <w:tc>
          <w:tcPr>
            <w:tcW w:w="2268" w:type="dxa"/>
          </w:tcPr>
          <w:p w14:paraId="2C8B8A86" w14:textId="128513D5" w:rsidR="004F0387" w:rsidRDefault="004F0387" w:rsidP="004F0387">
            <w:pPr>
              <w:pStyle w:val="TableBullet"/>
            </w:pPr>
            <w:r>
              <w:t>Water</w:t>
            </w:r>
          </w:p>
        </w:tc>
        <w:tc>
          <w:tcPr>
            <w:tcW w:w="1233" w:type="dxa"/>
          </w:tcPr>
          <w:p w14:paraId="004E1000" w14:textId="3E9E4F0A" w:rsidR="004F0387" w:rsidRDefault="004F0387" w:rsidP="004F0387">
            <w:pPr>
              <w:pStyle w:val="TableText"/>
              <w:jc w:val="center"/>
            </w:pPr>
            <w:r w:rsidRPr="0095721B">
              <w:t>90%</w:t>
            </w:r>
          </w:p>
        </w:tc>
        <w:tc>
          <w:tcPr>
            <w:tcW w:w="1233" w:type="dxa"/>
          </w:tcPr>
          <w:p w14:paraId="4DC870E5" w14:textId="5A4B0F05" w:rsidR="004F0387" w:rsidRDefault="004F0387" w:rsidP="004F0387">
            <w:pPr>
              <w:pStyle w:val="TableText"/>
              <w:jc w:val="center"/>
            </w:pPr>
            <w:r w:rsidRPr="0095721B">
              <w:t>84%</w:t>
            </w:r>
          </w:p>
        </w:tc>
        <w:tc>
          <w:tcPr>
            <w:tcW w:w="1233" w:type="dxa"/>
          </w:tcPr>
          <w:p w14:paraId="1D9FD112" w14:textId="0C8C0B3C" w:rsidR="004F0387" w:rsidRDefault="004F0387" w:rsidP="004F0387">
            <w:pPr>
              <w:pStyle w:val="TableText"/>
              <w:jc w:val="center"/>
            </w:pPr>
            <w:r w:rsidRPr="0095721B">
              <w:t>94%</w:t>
            </w:r>
          </w:p>
        </w:tc>
        <w:tc>
          <w:tcPr>
            <w:tcW w:w="1234" w:type="dxa"/>
          </w:tcPr>
          <w:p w14:paraId="1724532B" w14:textId="7397BD28" w:rsidR="004F0387" w:rsidRDefault="004F0387" w:rsidP="004F0387">
            <w:pPr>
              <w:pStyle w:val="TableText"/>
              <w:jc w:val="center"/>
            </w:pPr>
            <w:r w:rsidRPr="0095721B">
              <w:t>93%</w:t>
            </w:r>
          </w:p>
        </w:tc>
        <w:tc>
          <w:tcPr>
            <w:tcW w:w="1233" w:type="dxa"/>
          </w:tcPr>
          <w:p w14:paraId="679751DD" w14:textId="1370B9B9" w:rsidR="004F0387" w:rsidRDefault="00B64F92" w:rsidP="004F0387">
            <w:pPr>
              <w:pStyle w:val="TableText"/>
              <w:jc w:val="center"/>
            </w:pPr>
            <w:r>
              <w:t>9</w:t>
            </w:r>
            <w:r w:rsidR="0059655D">
              <w:t>4</w:t>
            </w:r>
            <w:r>
              <w:t>%</w:t>
            </w:r>
          </w:p>
        </w:tc>
        <w:tc>
          <w:tcPr>
            <w:tcW w:w="1233" w:type="dxa"/>
          </w:tcPr>
          <w:p w14:paraId="332C82CC" w14:textId="48ED092A" w:rsidR="004F0387" w:rsidRDefault="004F0387" w:rsidP="004F0387">
            <w:pPr>
              <w:pStyle w:val="TableText"/>
              <w:jc w:val="center"/>
            </w:pPr>
            <w:r w:rsidRPr="00A44BE2">
              <w:t>15 | 0</w:t>
            </w:r>
          </w:p>
        </w:tc>
        <w:tc>
          <w:tcPr>
            <w:tcW w:w="1234" w:type="dxa"/>
          </w:tcPr>
          <w:p w14:paraId="4DA29B15" w14:textId="488578A2" w:rsidR="004F0387" w:rsidRDefault="004F0387" w:rsidP="004F0387">
            <w:pPr>
              <w:pStyle w:val="TableText"/>
              <w:jc w:val="center"/>
            </w:pPr>
            <w:r w:rsidRPr="00A44BE2">
              <w:t>43 | 12</w:t>
            </w:r>
          </w:p>
        </w:tc>
        <w:tc>
          <w:tcPr>
            <w:tcW w:w="1233" w:type="dxa"/>
          </w:tcPr>
          <w:p w14:paraId="72245FB3" w14:textId="4371B9AA" w:rsidR="004F0387" w:rsidRDefault="004F0387" w:rsidP="004F0387">
            <w:pPr>
              <w:pStyle w:val="TableText"/>
              <w:jc w:val="center"/>
            </w:pPr>
            <w:r w:rsidRPr="00A44BE2">
              <w:t>15 | 0</w:t>
            </w:r>
          </w:p>
        </w:tc>
        <w:tc>
          <w:tcPr>
            <w:tcW w:w="1233" w:type="dxa"/>
          </w:tcPr>
          <w:p w14:paraId="78784584" w14:textId="7CEC8E4A" w:rsidR="004F0387" w:rsidRDefault="004F0387" w:rsidP="004F0387">
            <w:pPr>
              <w:pStyle w:val="TableText"/>
              <w:jc w:val="center"/>
            </w:pPr>
            <w:r w:rsidRPr="00A44BE2">
              <w:t>19 | 0</w:t>
            </w:r>
          </w:p>
        </w:tc>
        <w:tc>
          <w:tcPr>
            <w:tcW w:w="1234" w:type="dxa"/>
          </w:tcPr>
          <w:p w14:paraId="390FE3F2" w14:textId="764BC4E5" w:rsidR="004F0387" w:rsidRDefault="00765E98" w:rsidP="004F0387">
            <w:pPr>
              <w:pStyle w:val="TableText"/>
              <w:jc w:val="center"/>
            </w:pPr>
            <w:r>
              <w:t>2</w:t>
            </w:r>
            <w:r w:rsidR="00D745C5">
              <w:t>1</w:t>
            </w:r>
            <w:r>
              <w:t xml:space="preserve"> </w:t>
            </w:r>
            <w:r w:rsidR="0059655D">
              <w:t xml:space="preserve">| </w:t>
            </w:r>
            <w:r w:rsidR="00D745C5">
              <w:t>4</w:t>
            </w:r>
          </w:p>
        </w:tc>
      </w:tr>
      <w:tr w:rsidR="004F0387" w14:paraId="565AA431" w14:textId="77777777" w:rsidTr="004F0387">
        <w:tc>
          <w:tcPr>
            <w:tcW w:w="2268" w:type="dxa"/>
          </w:tcPr>
          <w:p w14:paraId="20373670" w14:textId="5EAAB00A" w:rsidR="004F0387" w:rsidRDefault="004F0387" w:rsidP="004F0387">
            <w:pPr>
              <w:pStyle w:val="TableText"/>
            </w:pPr>
            <w:r w:rsidRPr="00A5705D">
              <w:t>Biodiversity</w:t>
            </w:r>
          </w:p>
        </w:tc>
        <w:tc>
          <w:tcPr>
            <w:tcW w:w="1233" w:type="dxa"/>
          </w:tcPr>
          <w:p w14:paraId="01302DE0" w14:textId="1F40A8DC" w:rsidR="004F0387" w:rsidRDefault="004F0387" w:rsidP="004F0387">
            <w:pPr>
              <w:pStyle w:val="TableText"/>
              <w:jc w:val="center"/>
            </w:pPr>
            <w:r w:rsidRPr="0095721B">
              <w:t>90%</w:t>
            </w:r>
          </w:p>
        </w:tc>
        <w:tc>
          <w:tcPr>
            <w:tcW w:w="1233" w:type="dxa"/>
          </w:tcPr>
          <w:p w14:paraId="305C8CEB" w14:textId="0E9AC72F" w:rsidR="004F0387" w:rsidRDefault="004F0387" w:rsidP="004F0387">
            <w:pPr>
              <w:pStyle w:val="TableText"/>
              <w:jc w:val="center"/>
            </w:pPr>
            <w:r w:rsidRPr="0095721B">
              <w:t>81%</w:t>
            </w:r>
          </w:p>
        </w:tc>
        <w:tc>
          <w:tcPr>
            <w:tcW w:w="1233" w:type="dxa"/>
          </w:tcPr>
          <w:p w14:paraId="6996E318" w14:textId="62D7FF95" w:rsidR="004F0387" w:rsidRDefault="004F0387" w:rsidP="004F0387">
            <w:pPr>
              <w:pStyle w:val="TableText"/>
              <w:jc w:val="center"/>
            </w:pPr>
            <w:r w:rsidRPr="0095721B">
              <w:t>97%</w:t>
            </w:r>
          </w:p>
        </w:tc>
        <w:tc>
          <w:tcPr>
            <w:tcW w:w="1234" w:type="dxa"/>
          </w:tcPr>
          <w:p w14:paraId="5C92FF40" w14:textId="1374E919" w:rsidR="004F0387" w:rsidRDefault="004F0387" w:rsidP="004F0387">
            <w:pPr>
              <w:pStyle w:val="TableText"/>
              <w:jc w:val="center"/>
            </w:pPr>
            <w:r w:rsidRPr="0095721B">
              <w:t>93%</w:t>
            </w:r>
          </w:p>
        </w:tc>
        <w:tc>
          <w:tcPr>
            <w:tcW w:w="1233" w:type="dxa"/>
          </w:tcPr>
          <w:p w14:paraId="0E570F39" w14:textId="7CFCFC58" w:rsidR="004F0387" w:rsidRDefault="00B64F92" w:rsidP="004F0387">
            <w:pPr>
              <w:pStyle w:val="TableText"/>
              <w:jc w:val="center"/>
            </w:pPr>
            <w:r>
              <w:t>9</w:t>
            </w:r>
            <w:r w:rsidR="0059655D">
              <w:t>4</w:t>
            </w:r>
            <w:r>
              <w:t>%</w:t>
            </w:r>
          </w:p>
        </w:tc>
        <w:tc>
          <w:tcPr>
            <w:tcW w:w="1233" w:type="dxa"/>
          </w:tcPr>
          <w:p w14:paraId="3CEFB06F" w14:textId="1A1B9D6E" w:rsidR="004F0387" w:rsidRDefault="004F0387" w:rsidP="004F0387">
            <w:pPr>
              <w:pStyle w:val="TableText"/>
              <w:jc w:val="center"/>
            </w:pPr>
            <w:r w:rsidRPr="00A44BE2">
              <w:t>5 | 0</w:t>
            </w:r>
          </w:p>
        </w:tc>
        <w:tc>
          <w:tcPr>
            <w:tcW w:w="1234" w:type="dxa"/>
          </w:tcPr>
          <w:p w14:paraId="52506B0A" w14:textId="307331D8" w:rsidR="004F0387" w:rsidRDefault="004F0387" w:rsidP="004F0387">
            <w:pPr>
              <w:pStyle w:val="TableText"/>
              <w:jc w:val="center"/>
            </w:pPr>
            <w:r w:rsidRPr="00A44BE2">
              <w:t>17 | 13</w:t>
            </w:r>
          </w:p>
        </w:tc>
        <w:tc>
          <w:tcPr>
            <w:tcW w:w="1233" w:type="dxa"/>
          </w:tcPr>
          <w:p w14:paraId="72273ADE" w14:textId="4E4BFDBD" w:rsidR="004F0387" w:rsidRDefault="004F0387" w:rsidP="004F0387">
            <w:pPr>
              <w:pStyle w:val="TableText"/>
              <w:jc w:val="center"/>
            </w:pPr>
            <w:r w:rsidRPr="00A44BE2">
              <w:t>7 | 1</w:t>
            </w:r>
          </w:p>
        </w:tc>
        <w:tc>
          <w:tcPr>
            <w:tcW w:w="1233" w:type="dxa"/>
          </w:tcPr>
          <w:p w14:paraId="660A477D" w14:textId="5452266F" w:rsidR="004F0387" w:rsidRDefault="004F0387" w:rsidP="004F0387">
            <w:pPr>
              <w:pStyle w:val="TableText"/>
              <w:jc w:val="center"/>
            </w:pPr>
            <w:r w:rsidRPr="00A44BE2">
              <w:t>16 | 5</w:t>
            </w:r>
          </w:p>
        </w:tc>
        <w:tc>
          <w:tcPr>
            <w:tcW w:w="1234" w:type="dxa"/>
          </w:tcPr>
          <w:p w14:paraId="33657588" w14:textId="26336E00" w:rsidR="004F0387" w:rsidRDefault="0059655D" w:rsidP="004F0387">
            <w:pPr>
              <w:pStyle w:val="TableText"/>
              <w:jc w:val="center"/>
            </w:pPr>
            <w:r>
              <w:t>1</w:t>
            </w:r>
            <w:r w:rsidR="00765E98">
              <w:t>8</w:t>
            </w:r>
            <w:r>
              <w:t xml:space="preserve"> | </w:t>
            </w:r>
            <w:r w:rsidR="00CF5DD6">
              <w:t>7</w:t>
            </w:r>
          </w:p>
        </w:tc>
      </w:tr>
      <w:tr w:rsidR="004F0387" w14:paraId="0757CB7A" w14:textId="77777777" w:rsidTr="004F0387">
        <w:tc>
          <w:tcPr>
            <w:tcW w:w="2268" w:type="dxa"/>
          </w:tcPr>
          <w:p w14:paraId="6E59D812" w14:textId="55306365" w:rsidR="004F0387" w:rsidRDefault="004F0387" w:rsidP="004F0387">
            <w:pPr>
              <w:pStyle w:val="TableText"/>
            </w:pPr>
            <w:r w:rsidRPr="00A5705D">
              <w:t>Infrastructure</w:t>
            </w:r>
          </w:p>
        </w:tc>
        <w:tc>
          <w:tcPr>
            <w:tcW w:w="1233" w:type="dxa"/>
          </w:tcPr>
          <w:p w14:paraId="07C31671" w14:textId="77777777" w:rsidR="004F0387" w:rsidRDefault="004F0387" w:rsidP="004F0387">
            <w:pPr>
              <w:pStyle w:val="TableText"/>
              <w:jc w:val="center"/>
            </w:pPr>
          </w:p>
        </w:tc>
        <w:tc>
          <w:tcPr>
            <w:tcW w:w="1233" w:type="dxa"/>
          </w:tcPr>
          <w:p w14:paraId="62408FBE" w14:textId="77777777" w:rsidR="004F0387" w:rsidRDefault="004F0387" w:rsidP="004F0387">
            <w:pPr>
              <w:pStyle w:val="TableText"/>
              <w:jc w:val="center"/>
            </w:pPr>
          </w:p>
        </w:tc>
        <w:tc>
          <w:tcPr>
            <w:tcW w:w="1233" w:type="dxa"/>
          </w:tcPr>
          <w:p w14:paraId="61D749AF" w14:textId="77777777" w:rsidR="004F0387" w:rsidRDefault="004F0387" w:rsidP="004F0387">
            <w:pPr>
              <w:pStyle w:val="TableText"/>
              <w:jc w:val="center"/>
            </w:pPr>
          </w:p>
        </w:tc>
        <w:tc>
          <w:tcPr>
            <w:tcW w:w="1234" w:type="dxa"/>
          </w:tcPr>
          <w:p w14:paraId="1B329A5D" w14:textId="77777777" w:rsidR="004F0387" w:rsidRDefault="004F0387" w:rsidP="004F0387">
            <w:pPr>
              <w:pStyle w:val="TableText"/>
              <w:jc w:val="center"/>
            </w:pPr>
          </w:p>
        </w:tc>
        <w:tc>
          <w:tcPr>
            <w:tcW w:w="1233" w:type="dxa"/>
          </w:tcPr>
          <w:p w14:paraId="7F58A8D0" w14:textId="77777777" w:rsidR="004F0387" w:rsidRDefault="004F0387" w:rsidP="004F0387">
            <w:pPr>
              <w:pStyle w:val="TableText"/>
              <w:jc w:val="center"/>
            </w:pPr>
          </w:p>
        </w:tc>
        <w:tc>
          <w:tcPr>
            <w:tcW w:w="1233" w:type="dxa"/>
          </w:tcPr>
          <w:p w14:paraId="07513B43" w14:textId="77777777" w:rsidR="004F0387" w:rsidRDefault="004F0387" w:rsidP="004F0387">
            <w:pPr>
              <w:pStyle w:val="TableText"/>
              <w:jc w:val="center"/>
            </w:pPr>
          </w:p>
        </w:tc>
        <w:tc>
          <w:tcPr>
            <w:tcW w:w="1234" w:type="dxa"/>
          </w:tcPr>
          <w:p w14:paraId="525B2B04" w14:textId="77777777" w:rsidR="004F0387" w:rsidRDefault="004F0387" w:rsidP="004F0387">
            <w:pPr>
              <w:pStyle w:val="TableText"/>
              <w:jc w:val="center"/>
            </w:pPr>
          </w:p>
        </w:tc>
        <w:tc>
          <w:tcPr>
            <w:tcW w:w="1233" w:type="dxa"/>
          </w:tcPr>
          <w:p w14:paraId="0E8E22B4" w14:textId="77777777" w:rsidR="004F0387" w:rsidRDefault="004F0387" w:rsidP="004F0387">
            <w:pPr>
              <w:pStyle w:val="TableText"/>
              <w:jc w:val="center"/>
            </w:pPr>
          </w:p>
        </w:tc>
        <w:tc>
          <w:tcPr>
            <w:tcW w:w="1233" w:type="dxa"/>
          </w:tcPr>
          <w:p w14:paraId="7DD61C98" w14:textId="77777777" w:rsidR="004F0387" w:rsidRDefault="004F0387" w:rsidP="004F0387">
            <w:pPr>
              <w:pStyle w:val="TableText"/>
              <w:jc w:val="center"/>
            </w:pPr>
          </w:p>
        </w:tc>
        <w:tc>
          <w:tcPr>
            <w:tcW w:w="1234" w:type="dxa"/>
          </w:tcPr>
          <w:p w14:paraId="1A13DED2" w14:textId="77777777" w:rsidR="004F0387" w:rsidRDefault="004F0387" w:rsidP="004F0387">
            <w:pPr>
              <w:pStyle w:val="TableText"/>
              <w:jc w:val="center"/>
            </w:pPr>
          </w:p>
        </w:tc>
      </w:tr>
      <w:tr w:rsidR="004F0387" w14:paraId="7961695F" w14:textId="77777777" w:rsidTr="004F0387">
        <w:tc>
          <w:tcPr>
            <w:tcW w:w="2268" w:type="dxa"/>
          </w:tcPr>
          <w:p w14:paraId="4E25A8BD" w14:textId="477B52E0" w:rsidR="004F0387" w:rsidRDefault="004F0387" w:rsidP="004F0387">
            <w:pPr>
              <w:pStyle w:val="TableBullet"/>
            </w:pPr>
            <w:r>
              <w:t>Road design</w:t>
            </w:r>
          </w:p>
        </w:tc>
        <w:tc>
          <w:tcPr>
            <w:tcW w:w="1233" w:type="dxa"/>
          </w:tcPr>
          <w:p w14:paraId="15C734F4" w14:textId="071F2220" w:rsidR="004F0387" w:rsidRDefault="004F0387" w:rsidP="004F0387">
            <w:pPr>
              <w:pStyle w:val="TableText"/>
              <w:jc w:val="center"/>
            </w:pPr>
            <w:r w:rsidRPr="0095721B">
              <w:t>74%</w:t>
            </w:r>
          </w:p>
        </w:tc>
        <w:tc>
          <w:tcPr>
            <w:tcW w:w="1233" w:type="dxa"/>
          </w:tcPr>
          <w:p w14:paraId="16472366" w14:textId="506CE863" w:rsidR="004F0387" w:rsidRDefault="004F0387" w:rsidP="004F0387">
            <w:pPr>
              <w:pStyle w:val="TableText"/>
              <w:jc w:val="center"/>
            </w:pPr>
            <w:r w:rsidRPr="0095721B">
              <w:t>58%</w:t>
            </w:r>
          </w:p>
        </w:tc>
        <w:tc>
          <w:tcPr>
            <w:tcW w:w="1233" w:type="dxa"/>
          </w:tcPr>
          <w:p w14:paraId="4225C0B8" w14:textId="7D1BF1BB" w:rsidR="004F0387" w:rsidRDefault="004F0387" w:rsidP="004F0387">
            <w:pPr>
              <w:pStyle w:val="TableText"/>
              <w:jc w:val="center"/>
            </w:pPr>
            <w:r w:rsidRPr="0095721B">
              <w:t>81%</w:t>
            </w:r>
          </w:p>
        </w:tc>
        <w:tc>
          <w:tcPr>
            <w:tcW w:w="1234" w:type="dxa"/>
          </w:tcPr>
          <w:p w14:paraId="3D5F2351" w14:textId="341595FC" w:rsidR="004F0387" w:rsidRDefault="004F0387" w:rsidP="004F0387">
            <w:pPr>
              <w:pStyle w:val="TableText"/>
              <w:jc w:val="center"/>
            </w:pPr>
            <w:r w:rsidRPr="0095721B">
              <w:t>87%</w:t>
            </w:r>
          </w:p>
        </w:tc>
        <w:tc>
          <w:tcPr>
            <w:tcW w:w="1233" w:type="dxa"/>
          </w:tcPr>
          <w:p w14:paraId="05DAB76A" w14:textId="43FFEEBF" w:rsidR="004F0387" w:rsidRDefault="00B64F92" w:rsidP="004F0387">
            <w:pPr>
              <w:pStyle w:val="TableText"/>
              <w:jc w:val="center"/>
            </w:pPr>
            <w:r>
              <w:t>9</w:t>
            </w:r>
            <w:r w:rsidR="0059655D">
              <w:t>4</w:t>
            </w:r>
            <w:r>
              <w:t>%</w:t>
            </w:r>
          </w:p>
        </w:tc>
        <w:tc>
          <w:tcPr>
            <w:tcW w:w="1233" w:type="dxa"/>
          </w:tcPr>
          <w:p w14:paraId="32BB20F2" w14:textId="6E9943F1" w:rsidR="004F0387" w:rsidRDefault="004F0387" w:rsidP="004F0387">
            <w:pPr>
              <w:pStyle w:val="TableText"/>
              <w:jc w:val="center"/>
            </w:pPr>
            <w:r w:rsidRPr="00A44BE2">
              <w:t>2 | 0</w:t>
            </w:r>
          </w:p>
        </w:tc>
        <w:tc>
          <w:tcPr>
            <w:tcW w:w="1234" w:type="dxa"/>
          </w:tcPr>
          <w:p w14:paraId="4FEBA9AC" w14:textId="08D069AB" w:rsidR="004F0387" w:rsidRDefault="004F0387" w:rsidP="004F0387">
            <w:pPr>
              <w:pStyle w:val="TableText"/>
              <w:jc w:val="center"/>
            </w:pPr>
            <w:r w:rsidRPr="00A44BE2">
              <w:t>7 | 1</w:t>
            </w:r>
          </w:p>
        </w:tc>
        <w:tc>
          <w:tcPr>
            <w:tcW w:w="1233" w:type="dxa"/>
          </w:tcPr>
          <w:p w14:paraId="1ED90972" w14:textId="3E727500" w:rsidR="004F0387" w:rsidRDefault="004F0387" w:rsidP="004F0387">
            <w:pPr>
              <w:pStyle w:val="TableText"/>
              <w:jc w:val="center"/>
            </w:pPr>
            <w:r w:rsidRPr="00A44BE2">
              <w:t>7 | 0</w:t>
            </w:r>
          </w:p>
        </w:tc>
        <w:tc>
          <w:tcPr>
            <w:tcW w:w="1233" w:type="dxa"/>
          </w:tcPr>
          <w:p w14:paraId="074C2BB7" w14:textId="47FF5D76" w:rsidR="004F0387" w:rsidRDefault="004F0387" w:rsidP="004F0387">
            <w:pPr>
              <w:pStyle w:val="TableText"/>
              <w:jc w:val="center"/>
            </w:pPr>
            <w:r w:rsidRPr="00A44BE2">
              <w:t>1 | 0</w:t>
            </w:r>
          </w:p>
        </w:tc>
        <w:tc>
          <w:tcPr>
            <w:tcW w:w="1234" w:type="dxa"/>
          </w:tcPr>
          <w:p w14:paraId="1035C208" w14:textId="5A80B802" w:rsidR="004F0387" w:rsidRDefault="0059655D" w:rsidP="004F0387">
            <w:pPr>
              <w:pStyle w:val="TableText"/>
              <w:jc w:val="center"/>
            </w:pPr>
            <w:r>
              <w:t>4</w:t>
            </w:r>
            <w:r w:rsidR="00392BA9">
              <w:t xml:space="preserve"> | </w:t>
            </w:r>
            <w:r w:rsidR="00CF5DD6">
              <w:t>0</w:t>
            </w:r>
          </w:p>
        </w:tc>
      </w:tr>
      <w:tr w:rsidR="004F0387" w14:paraId="13CED54C" w14:textId="77777777" w:rsidTr="004F0387">
        <w:tc>
          <w:tcPr>
            <w:tcW w:w="2268" w:type="dxa"/>
          </w:tcPr>
          <w:p w14:paraId="3ADCD9E7" w14:textId="0212FF4E" w:rsidR="004F0387" w:rsidRDefault="004F0387" w:rsidP="004F0387">
            <w:pPr>
              <w:pStyle w:val="TableBullet"/>
            </w:pPr>
            <w:r>
              <w:t>Road construction</w:t>
            </w:r>
          </w:p>
        </w:tc>
        <w:tc>
          <w:tcPr>
            <w:tcW w:w="1233" w:type="dxa"/>
          </w:tcPr>
          <w:p w14:paraId="45A03CB9" w14:textId="3B27B28C" w:rsidR="004F0387" w:rsidRDefault="004F0387" w:rsidP="004F0387">
            <w:pPr>
              <w:pStyle w:val="TableText"/>
              <w:jc w:val="center"/>
            </w:pPr>
            <w:r w:rsidRPr="0095721B">
              <w:t>91%</w:t>
            </w:r>
          </w:p>
        </w:tc>
        <w:tc>
          <w:tcPr>
            <w:tcW w:w="1233" w:type="dxa"/>
          </w:tcPr>
          <w:p w14:paraId="2F465BD3" w14:textId="7CF98211" w:rsidR="004F0387" w:rsidRDefault="004F0387" w:rsidP="004F0387">
            <w:pPr>
              <w:pStyle w:val="TableText"/>
              <w:jc w:val="center"/>
            </w:pPr>
            <w:r w:rsidRPr="0095721B">
              <w:t>80%</w:t>
            </w:r>
          </w:p>
        </w:tc>
        <w:tc>
          <w:tcPr>
            <w:tcW w:w="1233" w:type="dxa"/>
          </w:tcPr>
          <w:p w14:paraId="393D8698" w14:textId="0AFFC4E2" w:rsidR="004F0387" w:rsidRDefault="004F0387" w:rsidP="004F0387">
            <w:pPr>
              <w:pStyle w:val="TableText"/>
              <w:jc w:val="center"/>
            </w:pPr>
            <w:r w:rsidRPr="0095721B">
              <w:t>85%</w:t>
            </w:r>
          </w:p>
        </w:tc>
        <w:tc>
          <w:tcPr>
            <w:tcW w:w="1234" w:type="dxa"/>
          </w:tcPr>
          <w:p w14:paraId="08614000" w14:textId="1130CB93" w:rsidR="004F0387" w:rsidRDefault="004F0387" w:rsidP="004F0387">
            <w:pPr>
              <w:pStyle w:val="TableText"/>
              <w:jc w:val="center"/>
            </w:pPr>
            <w:r w:rsidRPr="0095721B">
              <w:t>84%</w:t>
            </w:r>
          </w:p>
        </w:tc>
        <w:tc>
          <w:tcPr>
            <w:tcW w:w="1233" w:type="dxa"/>
          </w:tcPr>
          <w:p w14:paraId="15E0FE1E" w14:textId="138A6E0F" w:rsidR="004F0387" w:rsidRDefault="0059655D" w:rsidP="004F0387">
            <w:pPr>
              <w:pStyle w:val="TableText"/>
              <w:jc w:val="center"/>
            </w:pPr>
            <w:r>
              <w:t>92</w:t>
            </w:r>
            <w:r w:rsidR="00B64F92">
              <w:t>%</w:t>
            </w:r>
          </w:p>
        </w:tc>
        <w:tc>
          <w:tcPr>
            <w:tcW w:w="1233" w:type="dxa"/>
          </w:tcPr>
          <w:p w14:paraId="73818EA0" w14:textId="2AB15741" w:rsidR="004F0387" w:rsidRDefault="004F0387" w:rsidP="004F0387">
            <w:pPr>
              <w:pStyle w:val="TableText"/>
              <w:jc w:val="center"/>
            </w:pPr>
            <w:r w:rsidRPr="00A44BE2">
              <w:t>12 | 0</w:t>
            </w:r>
          </w:p>
        </w:tc>
        <w:tc>
          <w:tcPr>
            <w:tcW w:w="1234" w:type="dxa"/>
          </w:tcPr>
          <w:p w14:paraId="4C498623" w14:textId="706D14DA" w:rsidR="004F0387" w:rsidRDefault="004F0387" w:rsidP="004F0387">
            <w:pPr>
              <w:pStyle w:val="TableText"/>
              <w:jc w:val="center"/>
            </w:pPr>
            <w:r w:rsidRPr="00A44BE2">
              <w:t>24 | 5</w:t>
            </w:r>
          </w:p>
        </w:tc>
        <w:tc>
          <w:tcPr>
            <w:tcW w:w="1233" w:type="dxa"/>
          </w:tcPr>
          <w:p w14:paraId="3BABC9DA" w14:textId="23C5F0E6" w:rsidR="004F0387" w:rsidRDefault="004F0387" w:rsidP="004F0387">
            <w:pPr>
              <w:pStyle w:val="TableText"/>
              <w:jc w:val="center"/>
            </w:pPr>
            <w:r w:rsidRPr="00A44BE2">
              <w:t>29 | 0</w:t>
            </w:r>
          </w:p>
        </w:tc>
        <w:tc>
          <w:tcPr>
            <w:tcW w:w="1233" w:type="dxa"/>
          </w:tcPr>
          <w:p w14:paraId="486B8191" w14:textId="7BB76B36" w:rsidR="004F0387" w:rsidRDefault="004F0387" w:rsidP="004F0387">
            <w:pPr>
              <w:pStyle w:val="TableText"/>
              <w:jc w:val="center"/>
            </w:pPr>
            <w:r w:rsidRPr="00A44BE2">
              <w:t>11 | 0</w:t>
            </w:r>
          </w:p>
        </w:tc>
        <w:tc>
          <w:tcPr>
            <w:tcW w:w="1234" w:type="dxa"/>
          </w:tcPr>
          <w:p w14:paraId="5F567B8E" w14:textId="4289C5EF" w:rsidR="004F0387" w:rsidRDefault="00392BA9" w:rsidP="004F0387">
            <w:pPr>
              <w:pStyle w:val="TableText"/>
              <w:jc w:val="center"/>
            </w:pPr>
            <w:r>
              <w:t xml:space="preserve">16 | </w:t>
            </w:r>
            <w:r w:rsidR="00CF5DD6">
              <w:t>0</w:t>
            </w:r>
          </w:p>
        </w:tc>
      </w:tr>
      <w:tr w:rsidR="004F0387" w14:paraId="2D3D8971" w14:textId="77777777" w:rsidTr="004F0387">
        <w:tc>
          <w:tcPr>
            <w:tcW w:w="2268" w:type="dxa"/>
          </w:tcPr>
          <w:p w14:paraId="00D98EDE" w14:textId="22FD60B7" w:rsidR="004F0387" w:rsidRDefault="004F0387" w:rsidP="004F0387">
            <w:pPr>
              <w:pStyle w:val="TableBullet"/>
            </w:pPr>
            <w:r>
              <w:t>Road maintenance &amp; closure</w:t>
            </w:r>
          </w:p>
        </w:tc>
        <w:tc>
          <w:tcPr>
            <w:tcW w:w="1233" w:type="dxa"/>
          </w:tcPr>
          <w:p w14:paraId="354A8E5A" w14:textId="17FE8618" w:rsidR="004F0387" w:rsidRDefault="004F0387" w:rsidP="004F0387">
            <w:pPr>
              <w:pStyle w:val="TableText"/>
              <w:jc w:val="center"/>
            </w:pPr>
            <w:r w:rsidRPr="0095721B">
              <w:t>79%</w:t>
            </w:r>
          </w:p>
        </w:tc>
        <w:tc>
          <w:tcPr>
            <w:tcW w:w="1233" w:type="dxa"/>
          </w:tcPr>
          <w:p w14:paraId="0843D2EA" w14:textId="1A6B0955" w:rsidR="004F0387" w:rsidRDefault="004F0387" w:rsidP="004F0387">
            <w:pPr>
              <w:pStyle w:val="TableText"/>
              <w:jc w:val="center"/>
            </w:pPr>
            <w:r w:rsidRPr="0095721B">
              <w:t>85%</w:t>
            </w:r>
          </w:p>
        </w:tc>
        <w:tc>
          <w:tcPr>
            <w:tcW w:w="1233" w:type="dxa"/>
          </w:tcPr>
          <w:p w14:paraId="2CFF0D2C" w14:textId="1751C7B7" w:rsidR="004F0387" w:rsidRDefault="004F0387" w:rsidP="004F0387">
            <w:pPr>
              <w:pStyle w:val="TableText"/>
              <w:jc w:val="center"/>
            </w:pPr>
            <w:r w:rsidRPr="0095721B">
              <w:t>96%</w:t>
            </w:r>
          </w:p>
        </w:tc>
        <w:tc>
          <w:tcPr>
            <w:tcW w:w="1234" w:type="dxa"/>
          </w:tcPr>
          <w:p w14:paraId="4FA92EFB" w14:textId="3767760C" w:rsidR="004F0387" w:rsidRDefault="004F0387" w:rsidP="004F0387">
            <w:pPr>
              <w:pStyle w:val="TableText"/>
              <w:jc w:val="center"/>
            </w:pPr>
            <w:r w:rsidRPr="0095721B">
              <w:t>88%</w:t>
            </w:r>
          </w:p>
        </w:tc>
        <w:tc>
          <w:tcPr>
            <w:tcW w:w="1233" w:type="dxa"/>
          </w:tcPr>
          <w:p w14:paraId="287C3B26" w14:textId="3A7B2F3A" w:rsidR="004F0387" w:rsidRDefault="00B64F92" w:rsidP="004F0387">
            <w:pPr>
              <w:pStyle w:val="TableText"/>
              <w:jc w:val="center"/>
            </w:pPr>
            <w:r>
              <w:t>9</w:t>
            </w:r>
            <w:r w:rsidR="00CE0297">
              <w:t>6</w:t>
            </w:r>
            <w:r>
              <w:t>%</w:t>
            </w:r>
          </w:p>
        </w:tc>
        <w:tc>
          <w:tcPr>
            <w:tcW w:w="1233" w:type="dxa"/>
          </w:tcPr>
          <w:p w14:paraId="40F5E870" w14:textId="4698F7A5" w:rsidR="004F0387" w:rsidRDefault="004F0387" w:rsidP="004F0387">
            <w:pPr>
              <w:pStyle w:val="TableText"/>
              <w:jc w:val="center"/>
            </w:pPr>
            <w:r w:rsidRPr="00A44BE2">
              <w:t>3 | 0</w:t>
            </w:r>
          </w:p>
        </w:tc>
        <w:tc>
          <w:tcPr>
            <w:tcW w:w="1234" w:type="dxa"/>
          </w:tcPr>
          <w:p w14:paraId="34E2DD0A" w14:textId="756146AF" w:rsidR="004F0387" w:rsidRDefault="004F0387" w:rsidP="004F0387">
            <w:pPr>
              <w:pStyle w:val="TableText"/>
              <w:jc w:val="center"/>
            </w:pPr>
            <w:r w:rsidRPr="00A44BE2">
              <w:t>7 | 2</w:t>
            </w:r>
          </w:p>
        </w:tc>
        <w:tc>
          <w:tcPr>
            <w:tcW w:w="1233" w:type="dxa"/>
          </w:tcPr>
          <w:p w14:paraId="7E46A5FD" w14:textId="2FE1AE4C" w:rsidR="004F0387" w:rsidRDefault="004F0387" w:rsidP="004F0387">
            <w:pPr>
              <w:pStyle w:val="TableText"/>
              <w:jc w:val="center"/>
            </w:pPr>
            <w:r w:rsidRPr="00A44BE2">
              <w:t>0 | 0</w:t>
            </w:r>
          </w:p>
        </w:tc>
        <w:tc>
          <w:tcPr>
            <w:tcW w:w="1233" w:type="dxa"/>
          </w:tcPr>
          <w:p w14:paraId="775AE78C" w14:textId="7FE863DC" w:rsidR="004F0387" w:rsidRDefault="004F0387" w:rsidP="004F0387">
            <w:pPr>
              <w:pStyle w:val="TableText"/>
              <w:jc w:val="center"/>
            </w:pPr>
            <w:r w:rsidRPr="00A44BE2">
              <w:t>4 | 0</w:t>
            </w:r>
          </w:p>
        </w:tc>
        <w:tc>
          <w:tcPr>
            <w:tcW w:w="1234" w:type="dxa"/>
          </w:tcPr>
          <w:p w14:paraId="7571E3D0" w14:textId="42018824" w:rsidR="004F0387" w:rsidRDefault="0059655D" w:rsidP="004F0387">
            <w:pPr>
              <w:pStyle w:val="TableText"/>
              <w:jc w:val="center"/>
            </w:pPr>
            <w:r>
              <w:t>1 | 0</w:t>
            </w:r>
          </w:p>
        </w:tc>
      </w:tr>
      <w:tr w:rsidR="004F0387" w14:paraId="713908F3" w14:textId="77777777" w:rsidTr="004F0387">
        <w:tc>
          <w:tcPr>
            <w:tcW w:w="2268" w:type="dxa"/>
          </w:tcPr>
          <w:p w14:paraId="2CCE76AA" w14:textId="4E3AC247" w:rsidR="004F0387" w:rsidRDefault="004F0387" w:rsidP="004F0387">
            <w:pPr>
              <w:pStyle w:val="TableBullet"/>
            </w:pPr>
            <w:r>
              <w:t>Non-road</w:t>
            </w:r>
            <w:r w:rsidR="00392BA9">
              <w:rPr>
                <w:vertAlign w:val="superscript"/>
              </w:rPr>
              <w:t>7</w:t>
            </w:r>
          </w:p>
        </w:tc>
        <w:tc>
          <w:tcPr>
            <w:tcW w:w="1233" w:type="dxa"/>
          </w:tcPr>
          <w:p w14:paraId="07AB1D98" w14:textId="1728778A" w:rsidR="004F0387" w:rsidRDefault="004F0387" w:rsidP="004F0387">
            <w:pPr>
              <w:pStyle w:val="TableText"/>
              <w:jc w:val="center"/>
            </w:pPr>
            <w:r w:rsidRPr="0095721B">
              <w:t>n/a</w:t>
            </w:r>
          </w:p>
        </w:tc>
        <w:tc>
          <w:tcPr>
            <w:tcW w:w="1233" w:type="dxa"/>
          </w:tcPr>
          <w:p w14:paraId="4A9B0EC9" w14:textId="067EA00F" w:rsidR="004F0387" w:rsidRDefault="004F0387" w:rsidP="004F0387">
            <w:pPr>
              <w:pStyle w:val="TableText"/>
              <w:jc w:val="center"/>
            </w:pPr>
            <w:r w:rsidRPr="0095721B">
              <w:t>88%</w:t>
            </w:r>
          </w:p>
        </w:tc>
        <w:tc>
          <w:tcPr>
            <w:tcW w:w="1233" w:type="dxa"/>
          </w:tcPr>
          <w:p w14:paraId="39930232" w14:textId="42CF1865" w:rsidR="004F0387" w:rsidRDefault="004F0387" w:rsidP="004F0387">
            <w:pPr>
              <w:pStyle w:val="TableText"/>
              <w:jc w:val="center"/>
            </w:pPr>
            <w:r w:rsidRPr="0095721B">
              <w:t>89%</w:t>
            </w:r>
          </w:p>
        </w:tc>
        <w:tc>
          <w:tcPr>
            <w:tcW w:w="1234" w:type="dxa"/>
          </w:tcPr>
          <w:p w14:paraId="57C81573" w14:textId="1DE7B655" w:rsidR="004F0387" w:rsidRDefault="004F0387" w:rsidP="004F0387">
            <w:pPr>
              <w:pStyle w:val="TableText"/>
              <w:jc w:val="center"/>
            </w:pPr>
            <w:r w:rsidRPr="0095721B">
              <w:t>93%</w:t>
            </w:r>
          </w:p>
        </w:tc>
        <w:tc>
          <w:tcPr>
            <w:tcW w:w="1233" w:type="dxa"/>
          </w:tcPr>
          <w:p w14:paraId="31EBBC16" w14:textId="25175DA2" w:rsidR="004F0387" w:rsidRDefault="00B64F92" w:rsidP="004F0387">
            <w:pPr>
              <w:pStyle w:val="TableText"/>
              <w:jc w:val="center"/>
            </w:pPr>
            <w:r>
              <w:t>9</w:t>
            </w:r>
            <w:r w:rsidR="0059655D">
              <w:t>5</w:t>
            </w:r>
            <w:r>
              <w:t>%</w:t>
            </w:r>
          </w:p>
        </w:tc>
        <w:tc>
          <w:tcPr>
            <w:tcW w:w="1233" w:type="dxa"/>
          </w:tcPr>
          <w:p w14:paraId="3B9B73A1" w14:textId="114BEF5A" w:rsidR="004F0387" w:rsidRDefault="004F0387" w:rsidP="004F0387">
            <w:pPr>
              <w:pStyle w:val="TableText"/>
              <w:jc w:val="center"/>
            </w:pPr>
            <w:r w:rsidRPr="00A44BE2">
              <w:t>n/a</w:t>
            </w:r>
          </w:p>
        </w:tc>
        <w:tc>
          <w:tcPr>
            <w:tcW w:w="1234" w:type="dxa"/>
          </w:tcPr>
          <w:p w14:paraId="55AFC6F2" w14:textId="292A100F" w:rsidR="004F0387" w:rsidRDefault="004F0387" w:rsidP="004F0387">
            <w:pPr>
              <w:pStyle w:val="TableText"/>
              <w:jc w:val="center"/>
            </w:pPr>
            <w:r w:rsidRPr="00A44BE2">
              <w:t>12 | 0</w:t>
            </w:r>
          </w:p>
        </w:tc>
        <w:tc>
          <w:tcPr>
            <w:tcW w:w="1233" w:type="dxa"/>
          </w:tcPr>
          <w:p w14:paraId="53701B7D" w14:textId="4DB6EA69" w:rsidR="004F0387" w:rsidRDefault="004F0387" w:rsidP="004F0387">
            <w:pPr>
              <w:pStyle w:val="TableText"/>
              <w:jc w:val="center"/>
            </w:pPr>
            <w:r w:rsidRPr="00A44BE2">
              <w:t>18 | 0</w:t>
            </w:r>
          </w:p>
        </w:tc>
        <w:tc>
          <w:tcPr>
            <w:tcW w:w="1233" w:type="dxa"/>
          </w:tcPr>
          <w:p w14:paraId="0EDB61A1" w14:textId="7D4BAB9D" w:rsidR="004F0387" w:rsidRDefault="004F0387" w:rsidP="004F0387">
            <w:pPr>
              <w:pStyle w:val="TableText"/>
              <w:jc w:val="center"/>
            </w:pPr>
            <w:r w:rsidRPr="00A44BE2">
              <w:t>14 | 0</w:t>
            </w:r>
          </w:p>
        </w:tc>
        <w:tc>
          <w:tcPr>
            <w:tcW w:w="1234" w:type="dxa"/>
          </w:tcPr>
          <w:p w14:paraId="113D2174" w14:textId="0FD03D81" w:rsidR="004F0387" w:rsidRDefault="00C07972" w:rsidP="004F0387">
            <w:pPr>
              <w:pStyle w:val="TableText"/>
              <w:jc w:val="center"/>
            </w:pPr>
            <w:r>
              <w:t>1</w:t>
            </w:r>
            <w:r w:rsidR="00FB3482">
              <w:t>5</w:t>
            </w:r>
            <w:r>
              <w:t xml:space="preserve"> </w:t>
            </w:r>
            <w:r w:rsidR="0059655D">
              <w:t>| 4</w:t>
            </w:r>
          </w:p>
        </w:tc>
      </w:tr>
      <w:tr w:rsidR="004F0387" w14:paraId="5E431222" w14:textId="77777777" w:rsidTr="004F0387">
        <w:tc>
          <w:tcPr>
            <w:tcW w:w="2268" w:type="dxa"/>
          </w:tcPr>
          <w:p w14:paraId="5D97AEBF" w14:textId="3F3C0F76" w:rsidR="004F0387" w:rsidRPr="00392BA9" w:rsidRDefault="004F0387" w:rsidP="004F0387">
            <w:pPr>
              <w:pStyle w:val="TableText"/>
              <w:rPr>
                <w:vertAlign w:val="superscript"/>
              </w:rPr>
            </w:pPr>
            <w:r>
              <w:t>Planning &amp; record keeping</w:t>
            </w:r>
            <w:r w:rsidR="00392BA9">
              <w:rPr>
                <w:vertAlign w:val="superscript"/>
              </w:rPr>
              <w:t>7</w:t>
            </w:r>
          </w:p>
        </w:tc>
        <w:tc>
          <w:tcPr>
            <w:tcW w:w="1233" w:type="dxa"/>
          </w:tcPr>
          <w:p w14:paraId="1F17C718" w14:textId="5D4A93F9" w:rsidR="004F0387" w:rsidRDefault="004F0387" w:rsidP="004F0387">
            <w:pPr>
              <w:pStyle w:val="TableText"/>
              <w:jc w:val="center"/>
            </w:pPr>
            <w:r w:rsidRPr="0095721B">
              <w:t>n/a</w:t>
            </w:r>
          </w:p>
        </w:tc>
        <w:tc>
          <w:tcPr>
            <w:tcW w:w="1233" w:type="dxa"/>
          </w:tcPr>
          <w:p w14:paraId="6E3D9C83" w14:textId="111BA109" w:rsidR="004F0387" w:rsidRDefault="004F0387" w:rsidP="004F0387">
            <w:pPr>
              <w:pStyle w:val="TableText"/>
              <w:jc w:val="center"/>
            </w:pPr>
            <w:r w:rsidRPr="0095721B">
              <w:t>90%</w:t>
            </w:r>
          </w:p>
        </w:tc>
        <w:tc>
          <w:tcPr>
            <w:tcW w:w="1233" w:type="dxa"/>
          </w:tcPr>
          <w:p w14:paraId="4CAA41A7" w14:textId="6BFD871F" w:rsidR="004F0387" w:rsidRDefault="004F0387" w:rsidP="004F0387">
            <w:pPr>
              <w:pStyle w:val="TableText"/>
              <w:jc w:val="center"/>
            </w:pPr>
            <w:r w:rsidRPr="0095721B">
              <w:t>94%</w:t>
            </w:r>
          </w:p>
        </w:tc>
        <w:tc>
          <w:tcPr>
            <w:tcW w:w="1234" w:type="dxa"/>
          </w:tcPr>
          <w:p w14:paraId="3AA58B72" w14:textId="78359A95" w:rsidR="004F0387" w:rsidRDefault="004F0387" w:rsidP="004F0387">
            <w:pPr>
              <w:pStyle w:val="TableText"/>
              <w:jc w:val="center"/>
            </w:pPr>
            <w:r w:rsidRPr="0095721B">
              <w:t>97%</w:t>
            </w:r>
          </w:p>
        </w:tc>
        <w:tc>
          <w:tcPr>
            <w:tcW w:w="1233" w:type="dxa"/>
          </w:tcPr>
          <w:p w14:paraId="7BE35DD7" w14:textId="387F89D9" w:rsidR="004F0387" w:rsidRDefault="00B64F92" w:rsidP="004F0387">
            <w:pPr>
              <w:pStyle w:val="TableText"/>
              <w:jc w:val="center"/>
            </w:pPr>
            <w:r>
              <w:t>9</w:t>
            </w:r>
            <w:r w:rsidR="0059655D">
              <w:t>8</w:t>
            </w:r>
            <w:r>
              <w:t>%</w:t>
            </w:r>
          </w:p>
        </w:tc>
        <w:tc>
          <w:tcPr>
            <w:tcW w:w="1233" w:type="dxa"/>
          </w:tcPr>
          <w:p w14:paraId="5C94019B" w14:textId="5B038E56" w:rsidR="004F0387" w:rsidRDefault="004F0387" w:rsidP="004F0387">
            <w:pPr>
              <w:pStyle w:val="TableText"/>
              <w:jc w:val="center"/>
            </w:pPr>
            <w:r w:rsidRPr="00A44BE2">
              <w:t>n/a</w:t>
            </w:r>
          </w:p>
        </w:tc>
        <w:tc>
          <w:tcPr>
            <w:tcW w:w="1234" w:type="dxa"/>
          </w:tcPr>
          <w:p w14:paraId="350E84EE" w14:textId="32784D17" w:rsidR="004F0387" w:rsidRDefault="004F0387" w:rsidP="004F0387">
            <w:pPr>
              <w:pStyle w:val="TableText"/>
              <w:jc w:val="center"/>
            </w:pPr>
            <w:r w:rsidRPr="00A44BE2">
              <w:t>11 | 6</w:t>
            </w:r>
          </w:p>
        </w:tc>
        <w:tc>
          <w:tcPr>
            <w:tcW w:w="1233" w:type="dxa"/>
          </w:tcPr>
          <w:p w14:paraId="090E6E57" w14:textId="4C3228A5" w:rsidR="004F0387" w:rsidRDefault="004F0387" w:rsidP="004F0387">
            <w:pPr>
              <w:pStyle w:val="TableText"/>
              <w:jc w:val="center"/>
            </w:pPr>
            <w:r w:rsidRPr="00A44BE2">
              <w:t>19 | 1</w:t>
            </w:r>
          </w:p>
        </w:tc>
        <w:tc>
          <w:tcPr>
            <w:tcW w:w="1233" w:type="dxa"/>
          </w:tcPr>
          <w:p w14:paraId="09ABA4D9" w14:textId="3B4E321C" w:rsidR="004F0387" w:rsidRDefault="004F0387" w:rsidP="004F0387">
            <w:pPr>
              <w:pStyle w:val="TableText"/>
              <w:jc w:val="center"/>
            </w:pPr>
            <w:r w:rsidRPr="00A44BE2">
              <w:t>5 | 2</w:t>
            </w:r>
          </w:p>
        </w:tc>
        <w:tc>
          <w:tcPr>
            <w:tcW w:w="1234" w:type="dxa"/>
          </w:tcPr>
          <w:p w14:paraId="18DFD6E0" w14:textId="2A336235" w:rsidR="004F0387" w:rsidRDefault="0059655D" w:rsidP="004F0387">
            <w:pPr>
              <w:pStyle w:val="TableText"/>
              <w:jc w:val="center"/>
            </w:pPr>
            <w:r>
              <w:t>1</w:t>
            </w:r>
            <w:r w:rsidR="00FB3482">
              <w:t>2</w:t>
            </w:r>
            <w:r>
              <w:t xml:space="preserve"> | </w:t>
            </w:r>
            <w:r w:rsidR="00FB3482">
              <w:t>5</w:t>
            </w:r>
          </w:p>
        </w:tc>
      </w:tr>
    </w:tbl>
    <w:p w14:paraId="507D5D0C" w14:textId="77777777" w:rsidR="004F0387" w:rsidRDefault="004F0387" w:rsidP="004F0387">
      <w:pPr>
        <w:pStyle w:val="TableText"/>
      </w:pPr>
      <w:r>
        <w:t>Notes:</w:t>
      </w:r>
    </w:p>
    <w:p w14:paraId="746766A7" w14:textId="14F6D16D" w:rsidR="004F0387" w:rsidRDefault="004F0387" w:rsidP="004F0387">
      <w:pPr>
        <w:pStyle w:val="TableNumber"/>
        <w:numPr>
          <w:ilvl w:val="0"/>
          <w:numId w:val="42"/>
        </w:numPr>
      </w:pPr>
      <w:r>
        <w:t>Note that individual incidents may give rise to non-conformances against more than one audit criterion.</w:t>
      </w:r>
    </w:p>
    <w:p w14:paraId="3DDA17F1" w14:textId="14FB65E0" w:rsidR="004F0387" w:rsidRDefault="004F0387" w:rsidP="004F0387">
      <w:pPr>
        <w:pStyle w:val="TableNumber"/>
      </w:pPr>
      <w:r>
        <w:t>Jacobs, 2019</w:t>
      </w:r>
    </w:p>
    <w:p w14:paraId="72D55B61" w14:textId="2CB57B63" w:rsidR="004F0387" w:rsidRDefault="004F0387" w:rsidP="004F0387">
      <w:pPr>
        <w:pStyle w:val="TableNumber"/>
      </w:pPr>
      <w:r>
        <w:t>Jacobs, 2020a</w:t>
      </w:r>
    </w:p>
    <w:p w14:paraId="7E1F887A" w14:textId="3B80F347" w:rsidR="004F0387" w:rsidRDefault="004F0387" w:rsidP="004F0387">
      <w:pPr>
        <w:pStyle w:val="TableNumber"/>
      </w:pPr>
      <w:r>
        <w:t>Jacobs, 2020b</w:t>
      </w:r>
    </w:p>
    <w:p w14:paraId="0E1E5B0D" w14:textId="5F4F9BCB" w:rsidR="00392BA9" w:rsidRDefault="00392BA9" w:rsidP="004F0387">
      <w:pPr>
        <w:pStyle w:val="TableNumber"/>
      </w:pPr>
      <w:r>
        <w:t>Jacobs, 202</w:t>
      </w:r>
      <w:r w:rsidR="00E2694E">
        <w:t>1</w:t>
      </w:r>
    </w:p>
    <w:p w14:paraId="1AC3B46C" w14:textId="0A0F7594" w:rsidR="004F0387" w:rsidRDefault="004F0387" w:rsidP="004F0387">
      <w:pPr>
        <w:pStyle w:val="TableNumber"/>
      </w:pPr>
      <w:r>
        <w:t>The overall assessment result for the 2017-18 audit is based on the environment, biodiversity and roading themes, whereas the overall assessments for all subsequent audits also include non-road infrastructure and planning and record keeping themes. Results for 2017-18 are therefore not directly comparable with those for subsequent audits.</w:t>
      </w:r>
    </w:p>
    <w:p w14:paraId="4FC5D89E" w14:textId="5B04A611" w:rsidR="004F0387" w:rsidRDefault="004F0387" w:rsidP="004F0387">
      <w:pPr>
        <w:pStyle w:val="TableNumber"/>
      </w:pPr>
      <w:r>
        <w:t>Non-road infrastructure and planning and record keeping themes were not within the scope of the 2017-18 audit.</w:t>
      </w:r>
    </w:p>
    <w:p w14:paraId="34259DAF" w14:textId="470675AE" w:rsidR="0059655D" w:rsidRDefault="0059655D" w:rsidP="0059655D">
      <w:pPr>
        <w:pStyle w:val="TableCaption"/>
      </w:pPr>
      <w:bookmarkStart w:id="162" w:name="_Ref121114202"/>
      <w:bookmarkStart w:id="163" w:name="_Toc131178743"/>
      <w:r w:rsidRPr="009038E7">
        <w:lastRenderedPageBreak/>
        <w:t>Table</w:t>
      </w:r>
      <w:r>
        <w:t> </w:t>
      </w:r>
      <w:fldSimple w:instr=" STYLEREF 1 \s ">
        <w:r w:rsidR="00130DCF">
          <w:rPr>
            <w:noProof/>
          </w:rPr>
          <w:t>5</w:t>
        </w:r>
      </w:fldSimple>
      <w:r>
        <w:rPr>
          <w:noProof/>
        </w:rPr>
        <w:t>-</w:t>
      </w:r>
      <w:fldSimple w:instr=" SEQ Table \* ARABIC \s 1 ">
        <w:r w:rsidR="00130DCF">
          <w:rPr>
            <w:noProof/>
          </w:rPr>
          <w:t>4</w:t>
        </w:r>
      </w:fldSimple>
      <w:bookmarkEnd w:id="162"/>
      <w:r>
        <w:rPr>
          <w:noProof/>
        </w:rPr>
        <w:t>.</w:t>
      </w:r>
      <w:r w:rsidRPr="009038E7">
        <w:t xml:space="preserve"> </w:t>
      </w:r>
      <w:r>
        <w:t>Comparison of results for recent Forest Audit Program Audits: all coupes in eastern Victorian RFA regions</w:t>
      </w:r>
      <w:bookmarkEnd w:id="163"/>
      <w:r>
        <w:t xml:space="preserve"> </w:t>
      </w:r>
    </w:p>
    <w:tbl>
      <w:tblPr>
        <w:tblStyle w:val="JacobsTable1accentprimarythemes"/>
        <w:tblW w:w="14601" w:type="dxa"/>
        <w:tblLook w:val="04A0" w:firstRow="1" w:lastRow="0" w:firstColumn="1" w:lastColumn="0" w:noHBand="0" w:noVBand="1"/>
      </w:tblPr>
      <w:tblGrid>
        <w:gridCol w:w="2268"/>
        <w:gridCol w:w="1233"/>
        <w:gridCol w:w="1233"/>
        <w:gridCol w:w="1233"/>
        <w:gridCol w:w="1234"/>
        <w:gridCol w:w="1233"/>
        <w:gridCol w:w="1233"/>
        <w:gridCol w:w="1234"/>
        <w:gridCol w:w="1233"/>
        <w:gridCol w:w="1233"/>
        <w:gridCol w:w="1234"/>
      </w:tblGrid>
      <w:tr w:rsidR="0059655D" w14:paraId="4AB03AE8" w14:textId="77777777" w:rsidTr="00FB2E1B">
        <w:trPr>
          <w:cnfStyle w:val="100000000000" w:firstRow="1" w:lastRow="0" w:firstColumn="0" w:lastColumn="0" w:oddVBand="0" w:evenVBand="0" w:oddHBand="0" w:evenHBand="0" w:firstRowFirstColumn="0" w:firstRowLastColumn="0" w:lastRowFirstColumn="0" w:lastRowLastColumn="0"/>
        </w:trPr>
        <w:tc>
          <w:tcPr>
            <w:tcW w:w="2268" w:type="dxa"/>
          </w:tcPr>
          <w:p w14:paraId="221F22C9" w14:textId="77777777" w:rsidR="0059655D" w:rsidRDefault="0059655D" w:rsidP="00FB2E1B">
            <w:pPr>
              <w:pStyle w:val="TableText"/>
            </w:pPr>
          </w:p>
        </w:tc>
        <w:tc>
          <w:tcPr>
            <w:tcW w:w="6166" w:type="dxa"/>
            <w:gridSpan w:val="5"/>
          </w:tcPr>
          <w:p w14:paraId="1F863530" w14:textId="77777777" w:rsidR="0059655D" w:rsidRDefault="0059655D" w:rsidP="00FB2E1B">
            <w:pPr>
              <w:pStyle w:val="TableText"/>
              <w:jc w:val="center"/>
            </w:pPr>
            <w:r>
              <w:t>% Full conformance with applicable audit criteria</w:t>
            </w:r>
          </w:p>
        </w:tc>
        <w:tc>
          <w:tcPr>
            <w:tcW w:w="6167" w:type="dxa"/>
            <w:gridSpan w:val="5"/>
          </w:tcPr>
          <w:p w14:paraId="7AB346CE" w14:textId="77777777" w:rsidR="0059655D" w:rsidRPr="004F0387" w:rsidRDefault="0059655D" w:rsidP="00FB2E1B">
            <w:pPr>
              <w:pStyle w:val="TableText"/>
              <w:jc w:val="center"/>
              <w:rPr>
                <w:vertAlign w:val="superscript"/>
              </w:rPr>
            </w:pPr>
            <w:r>
              <w:t># Non-conformances with potential environmental impact | # Non-conformances with major potential environmental impact</w:t>
            </w:r>
            <w:r>
              <w:rPr>
                <w:vertAlign w:val="superscript"/>
              </w:rPr>
              <w:t>1</w:t>
            </w:r>
          </w:p>
        </w:tc>
      </w:tr>
      <w:tr w:rsidR="0059655D" w14:paraId="65E10B7B" w14:textId="77777777" w:rsidTr="00FB2E1B">
        <w:tc>
          <w:tcPr>
            <w:tcW w:w="2268" w:type="dxa"/>
          </w:tcPr>
          <w:p w14:paraId="6A6773C1" w14:textId="77777777" w:rsidR="0059655D" w:rsidRPr="004F0387" w:rsidRDefault="0059655D" w:rsidP="00FB2E1B">
            <w:pPr>
              <w:pStyle w:val="TableText"/>
            </w:pPr>
            <w:r w:rsidRPr="004F0387">
              <w:t>FAP compliance theme and sub-theme</w:t>
            </w:r>
          </w:p>
        </w:tc>
        <w:tc>
          <w:tcPr>
            <w:tcW w:w="1233" w:type="dxa"/>
          </w:tcPr>
          <w:p w14:paraId="1DD0A169" w14:textId="77777777" w:rsidR="0059655D" w:rsidRDefault="0059655D" w:rsidP="00FB2E1B">
            <w:pPr>
              <w:pStyle w:val="TableText"/>
              <w:jc w:val="center"/>
            </w:pPr>
            <w:r w:rsidRPr="0095721B">
              <w:t>2017-18</w:t>
            </w:r>
            <w:r w:rsidRPr="004F0387">
              <w:rPr>
                <w:vertAlign w:val="superscript"/>
              </w:rPr>
              <w:t>2</w:t>
            </w:r>
          </w:p>
        </w:tc>
        <w:tc>
          <w:tcPr>
            <w:tcW w:w="1233" w:type="dxa"/>
          </w:tcPr>
          <w:p w14:paraId="67CCFB01" w14:textId="77777777" w:rsidR="0059655D" w:rsidRDefault="0059655D" w:rsidP="00FB2E1B">
            <w:pPr>
              <w:pStyle w:val="TableText"/>
              <w:jc w:val="center"/>
            </w:pPr>
            <w:r w:rsidRPr="0095721B">
              <w:t>2018-19</w:t>
            </w:r>
            <w:r w:rsidRPr="004F0387">
              <w:rPr>
                <w:vertAlign w:val="superscript"/>
              </w:rPr>
              <w:t>3</w:t>
            </w:r>
          </w:p>
        </w:tc>
        <w:tc>
          <w:tcPr>
            <w:tcW w:w="1233" w:type="dxa"/>
          </w:tcPr>
          <w:p w14:paraId="3DC6489A" w14:textId="77777777" w:rsidR="0059655D" w:rsidRDefault="0059655D" w:rsidP="00FB2E1B">
            <w:pPr>
              <w:pStyle w:val="TableText"/>
              <w:jc w:val="center"/>
            </w:pPr>
            <w:r w:rsidRPr="0095721B">
              <w:t>2019-20</w:t>
            </w:r>
            <w:r w:rsidRPr="004F0387">
              <w:rPr>
                <w:vertAlign w:val="superscript"/>
              </w:rPr>
              <w:t>4</w:t>
            </w:r>
          </w:p>
        </w:tc>
        <w:tc>
          <w:tcPr>
            <w:tcW w:w="1234" w:type="dxa"/>
          </w:tcPr>
          <w:p w14:paraId="7ADC23B8" w14:textId="77777777" w:rsidR="0059655D" w:rsidRPr="004F0387" w:rsidRDefault="0059655D" w:rsidP="00FB2E1B">
            <w:pPr>
              <w:pStyle w:val="TableText"/>
              <w:jc w:val="center"/>
              <w:rPr>
                <w:vertAlign w:val="superscript"/>
              </w:rPr>
            </w:pPr>
            <w:r w:rsidRPr="0095721B">
              <w:t>2020-21</w:t>
            </w:r>
            <w:r>
              <w:rPr>
                <w:vertAlign w:val="superscript"/>
              </w:rPr>
              <w:t>5</w:t>
            </w:r>
          </w:p>
        </w:tc>
        <w:tc>
          <w:tcPr>
            <w:tcW w:w="1233" w:type="dxa"/>
          </w:tcPr>
          <w:p w14:paraId="6A5339A2" w14:textId="77777777" w:rsidR="0059655D" w:rsidRDefault="0059655D" w:rsidP="00FB2E1B">
            <w:pPr>
              <w:pStyle w:val="TableText"/>
              <w:jc w:val="center"/>
            </w:pPr>
            <w:r>
              <w:t>2021-22</w:t>
            </w:r>
          </w:p>
        </w:tc>
        <w:tc>
          <w:tcPr>
            <w:tcW w:w="1233" w:type="dxa"/>
          </w:tcPr>
          <w:p w14:paraId="15D6FC5B" w14:textId="77777777" w:rsidR="0059655D" w:rsidRDefault="0059655D" w:rsidP="00FB2E1B">
            <w:pPr>
              <w:pStyle w:val="TableText"/>
              <w:jc w:val="center"/>
            </w:pPr>
            <w:r w:rsidRPr="00A44BE2">
              <w:t>2017-18</w:t>
            </w:r>
            <w:r w:rsidRPr="004F0387">
              <w:rPr>
                <w:vertAlign w:val="superscript"/>
              </w:rPr>
              <w:t>2</w:t>
            </w:r>
          </w:p>
        </w:tc>
        <w:tc>
          <w:tcPr>
            <w:tcW w:w="1234" w:type="dxa"/>
          </w:tcPr>
          <w:p w14:paraId="739BF63D" w14:textId="77777777" w:rsidR="0059655D" w:rsidRDefault="0059655D" w:rsidP="00FB2E1B">
            <w:pPr>
              <w:pStyle w:val="TableText"/>
              <w:jc w:val="center"/>
            </w:pPr>
            <w:r w:rsidRPr="00A44BE2">
              <w:t>2018-19</w:t>
            </w:r>
            <w:r w:rsidRPr="004F0387">
              <w:rPr>
                <w:vertAlign w:val="superscript"/>
              </w:rPr>
              <w:t>3</w:t>
            </w:r>
          </w:p>
        </w:tc>
        <w:tc>
          <w:tcPr>
            <w:tcW w:w="1233" w:type="dxa"/>
          </w:tcPr>
          <w:p w14:paraId="4142716E" w14:textId="77777777" w:rsidR="0059655D" w:rsidRDefault="0059655D" w:rsidP="00FB2E1B">
            <w:pPr>
              <w:pStyle w:val="TableText"/>
              <w:jc w:val="center"/>
            </w:pPr>
            <w:r w:rsidRPr="00A44BE2">
              <w:t>2019-20</w:t>
            </w:r>
            <w:r w:rsidRPr="004F0387">
              <w:rPr>
                <w:vertAlign w:val="superscript"/>
              </w:rPr>
              <w:t>4</w:t>
            </w:r>
          </w:p>
        </w:tc>
        <w:tc>
          <w:tcPr>
            <w:tcW w:w="1233" w:type="dxa"/>
          </w:tcPr>
          <w:p w14:paraId="2D0658C3" w14:textId="77777777" w:rsidR="0059655D" w:rsidRPr="004F0387" w:rsidRDefault="0059655D" w:rsidP="00FB2E1B">
            <w:pPr>
              <w:pStyle w:val="TableText"/>
              <w:jc w:val="center"/>
              <w:rPr>
                <w:vertAlign w:val="superscript"/>
              </w:rPr>
            </w:pPr>
            <w:r w:rsidRPr="00A44BE2">
              <w:t>2020-21</w:t>
            </w:r>
            <w:r>
              <w:rPr>
                <w:vertAlign w:val="superscript"/>
              </w:rPr>
              <w:t>5</w:t>
            </w:r>
          </w:p>
        </w:tc>
        <w:tc>
          <w:tcPr>
            <w:tcW w:w="1234" w:type="dxa"/>
          </w:tcPr>
          <w:p w14:paraId="6787F579" w14:textId="55DCBA56" w:rsidR="0059655D" w:rsidRPr="00C31A7B" w:rsidRDefault="0059655D" w:rsidP="00FB2E1B">
            <w:pPr>
              <w:pStyle w:val="TableText"/>
              <w:jc w:val="center"/>
              <w:rPr>
                <w:vertAlign w:val="superscript"/>
              </w:rPr>
            </w:pPr>
            <w:r>
              <w:t>2021-22</w:t>
            </w:r>
            <w:r w:rsidR="00502ABD">
              <w:rPr>
                <w:vertAlign w:val="superscript"/>
              </w:rPr>
              <w:t>8</w:t>
            </w:r>
          </w:p>
        </w:tc>
      </w:tr>
      <w:tr w:rsidR="00B15A58" w14:paraId="69F3F4C2" w14:textId="77777777" w:rsidTr="00FB2E1B">
        <w:tc>
          <w:tcPr>
            <w:tcW w:w="2268" w:type="dxa"/>
          </w:tcPr>
          <w:p w14:paraId="05825670" w14:textId="77777777" w:rsidR="00B15A58" w:rsidRDefault="00B15A58" w:rsidP="00B15A58">
            <w:pPr>
              <w:pStyle w:val="TableText"/>
            </w:pPr>
            <w:r w:rsidRPr="00A5705D">
              <w:t>Overall</w:t>
            </w:r>
            <w:r>
              <w:rPr>
                <w:vertAlign w:val="superscript"/>
              </w:rPr>
              <w:t>6</w:t>
            </w:r>
          </w:p>
        </w:tc>
        <w:tc>
          <w:tcPr>
            <w:tcW w:w="1233" w:type="dxa"/>
          </w:tcPr>
          <w:p w14:paraId="743AB79D" w14:textId="0CBB539D" w:rsidR="00B15A58" w:rsidRDefault="00B15A58" w:rsidP="00B15A58">
            <w:pPr>
              <w:pStyle w:val="TableText"/>
              <w:jc w:val="center"/>
            </w:pPr>
            <w:r w:rsidRPr="00107C14">
              <w:t>91%</w:t>
            </w:r>
          </w:p>
        </w:tc>
        <w:tc>
          <w:tcPr>
            <w:tcW w:w="1233" w:type="dxa"/>
          </w:tcPr>
          <w:p w14:paraId="0BA2F355" w14:textId="13122FCE" w:rsidR="00B15A58" w:rsidRDefault="00B15A58" w:rsidP="00B15A58">
            <w:pPr>
              <w:pStyle w:val="TableText"/>
              <w:jc w:val="center"/>
            </w:pPr>
            <w:r w:rsidRPr="00107C14">
              <w:t>84%</w:t>
            </w:r>
          </w:p>
        </w:tc>
        <w:tc>
          <w:tcPr>
            <w:tcW w:w="1233" w:type="dxa"/>
          </w:tcPr>
          <w:p w14:paraId="055DA992" w14:textId="68B81E0D" w:rsidR="00B15A58" w:rsidRDefault="00B15A58" w:rsidP="00B15A58">
            <w:pPr>
              <w:pStyle w:val="TableText"/>
              <w:jc w:val="center"/>
            </w:pPr>
            <w:r w:rsidRPr="00107C14">
              <w:t>94%</w:t>
            </w:r>
          </w:p>
        </w:tc>
        <w:tc>
          <w:tcPr>
            <w:tcW w:w="1234" w:type="dxa"/>
          </w:tcPr>
          <w:p w14:paraId="753F0786" w14:textId="2DE708CD" w:rsidR="00B15A58" w:rsidRDefault="00B15A58" w:rsidP="00B15A58">
            <w:pPr>
              <w:pStyle w:val="TableText"/>
              <w:jc w:val="center"/>
            </w:pPr>
            <w:r w:rsidRPr="00107C14">
              <w:t>94%</w:t>
            </w:r>
          </w:p>
        </w:tc>
        <w:tc>
          <w:tcPr>
            <w:tcW w:w="1233" w:type="dxa"/>
          </w:tcPr>
          <w:p w14:paraId="0E109672" w14:textId="211E405F" w:rsidR="00B15A58" w:rsidRDefault="00B15A58" w:rsidP="00B15A58">
            <w:pPr>
              <w:pStyle w:val="TableText"/>
              <w:jc w:val="center"/>
            </w:pPr>
            <w:r>
              <w:t>9</w:t>
            </w:r>
            <w:r w:rsidR="003F2E37">
              <w:t>6</w:t>
            </w:r>
            <w:r>
              <w:t>%</w:t>
            </w:r>
          </w:p>
        </w:tc>
        <w:tc>
          <w:tcPr>
            <w:tcW w:w="1233" w:type="dxa"/>
          </w:tcPr>
          <w:p w14:paraId="2D684325" w14:textId="18661E83" w:rsidR="00B15A58" w:rsidRDefault="00B15A58" w:rsidP="00B15A58">
            <w:pPr>
              <w:pStyle w:val="TableText"/>
              <w:jc w:val="center"/>
            </w:pPr>
            <w:r w:rsidRPr="002A353E">
              <w:t>44 | 4</w:t>
            </w:r>
          </w:p>
        </w:tc>
        <w:tc>
          <w:tcPr>
            <w:tcW w:w="1234" w:type="dxa"/>
          </w:tcPr>
          <w:p w14:paraId="13E4B0F8" w14:textId="31C56115" w:rsidR="00B15A58" w:rsidRDefault="00B15A58" w:rsidP="00B15A58">
            <w:pPr>
              <w:pStyle w:val="TableText"/>
              <w:jc w:val="center"/>
            </w:pPr>
            <w:r w:rsidRPr="002A353E">
              <w:t>156 | 31</w:t>
            </w:r>
          </w:p>
        </w:tc>
        <w:tc>
          <w:tcPr>
            <w:tcW w:w="1233" w:type="dxa"/>
          </w:tcPr>
          <w:p w14:paraId="4765DB5B" w14:textId="76D82D62" w:rsidR="00B15A58" w:rsidRDefault="00B15A58" w:rsidP="00B15A58">
            <w:pPr>
              <w:pStyle w:val="TableText"/>
              <w:jc w:val="center"/>
            </w:pPr>
            <w:r w:rsidRPr="002A353E">
              <w:t>54 | 1</w:t>
            </w:r>
          </w:p>
        </w:tc>
        <w:tc>
          <w:tcPr>
            <w:tcW w:w="1233" w:type="dxa"/>
          </w:tcPr>
          <w:p w14:paraId="299D13EB" w14:textId="0806C82E" w:rsidR="00B15A58" w:rsidRDefault="00B15A58" w:rsidP="00B15A58">
            <w:pPr>
              <w:pStyle w:val="TableText"/>
              <w:jc w:val="center"/>
            </w:pPr>
            <w:r w:rsidRPr="002A353E">
              <w:t>81 | 6</w:t>
            </w:r>
          </w:p>
        </w:tc>
        <w:tc>
          <w:tcPr>
            <w:tcW w:w="1234" w:type="dxa"/>
          </w:tcPr>
          <w:p w14:paraId="0A11DA64" w14:textId="2EA4DAC2" w:rsidR="00B15A58" w:rsidRDefault="000F4D2A" w:rsidP="00B15A58">
            <w:pPr>
              <w:pStyle w:val="TableText"/>
              <w:jc w:val="center"/>
            </w:pPr>
            <w:r>
              <w:t xml:space="preserve">106 </w:t>
            </w:r>
            <w:r w:rsidR="00B15A58">
              <w:t xml:space="preserve">| </w:t>
            </w:r>
            <w:r>
              <w:t>2</w:t>
            </w:r>
            <w:r w:rsidR="00FC6D19">
              <w:t>1</w:t>
            </w:r>
          </w:p>
        </w:tc>
      </w:tr>
      <w:tr w:rsidR="00B15A58" w14:paraId="669B569E" w14:textId="77777777" w:rsidTr="00FB2E1B">
        <w:tc>
          <w:tcPr>
            <w:tcW w:w="2268" w:type="dxa"/>
          </w:tcPr>
          <w:p w14:paraId="4F01ACCA" w14:textId="77777777" w:rsidR="00B15A58" w:rsidRDefault="00B15A58" w:rsidP="00B15A58">
            <w:pPr>
              <w:pStyle w:val="TableText"/>
            </w:pPr>
            <w:r w:rsidRPr="00A5705D">
              <w:t>Environment</w:t>
            </w:r>
          </w:p>
        </w:tc>
        <w:tc>
          <w:tcPr>
            <w:tcW w:w="1233" w:type="dxa"/>
          </w:tcPr>
          <w:p w14:paraId="0E4E93F5" w14:textId="77777777" w:rsidR="00B15A58" w:rsidRDefault="00B15A58" w:rsidP="00B15A58">
            <w:pPr>
              <w:pStyle w:val="TableText"/>
              <w:jc w:val="center"/>
            </w:pPr>
          </w:p>
        </w:tc>
        <w:tc>
          <w:tcPr>
            <w:tcW w:w="1233" w:type="dxa"/>
          </w:tcPr>
          <w:p w14:paraId="778ED7EC" w14:textId="77777777" w:rsidR="00B15A58" w:rsidRDefault="00B15A58" w:rsidP="00B15A58">
            <w:pPr>
              <w:pStyle w:val="TableText"/>
              <w:jc w:val="center"/>
            </w:pPr>
          </w:p>
        </w:tc>
        <w:tc>
          <w:tcPr>
            <w:tcW w:w="1233" w:type="dxa"/>
          </w:tcPr>
          <w:p w14:paraId="3DFE623C" w14:textId="77777777" w:rsidR="00B15A58" w:rsidRDefault="00B15A58" w:rsidP="00B15A58">
            <w:pPr>
              <w:pStyle w:val="TableText"/>
              <w:jc w:val="center"/>
            </w:pPr>
          </w:p>
        </w:tc>
        <w:tc>
          <w:tcPr>
            <w:tcW w:w="1234" w:type="dxa"/>
          </w:tcPr>
          <w:p w14:paraId="630B680B" w14:textId="77777777" w:rsidR="00B15A58" w:rsidRDefault="00B15A58" w:rsidP="00B15A58">
            <w:pPr>
              <w:pStyle w:val="TableText"/>
              <w:jc w:val="center"/>
            </w:pPr>
          </w:p>
        </w:tc>
        <w:tc>
          <w:tcPr>
            <w:tcW w:w="1233" w:type="dxa"/>
          </w:tcPr>
          <w:p w14:paraId="47A35C71" w14:textId="77777777" w:rsidR="00B15A58" w:rsidRDefault="00B15A58" w:rsidP="00B15A58">
            <w:pPr>
              <w:pStyle w:val="TableText"/>
              <w:jc w:val="center"/>
            </w:pPr>
          </w:p>
        </w:tc>
        <w:tc>
          <w:tcPr>
            <w:tcW w:w="1233" w:type="dxa"/>
          </w:tcPr>
          <w:p w14:paraId="611E2AD9" w14:textId="77777777" w:rsidR="00B15A58" w:rsidRDefault="00B15A58" w:rsidP="00B15A58">
            <w:pPr>
              <w:pStyle w:val="TableText"/>
              <w:jc w:val="center"/>
            </w:pPr>
          </w:p>
        </w:tc>
        <w:tc>
          <w:tcPr>
            <w:tcW w:w="1234" w:type="dxa"/>
          </w:tcPr>
          <w:p w14:paraId="5D5EB1D4" w14:textId="77777777" w:rsidR="00B15A58" w:rsidRDefault="00B15A58" w:rsidP="00B15A58">
            <w:pPr>
              <w:pStyle w:val="TableText"/>
              <w:jc w:val="center"/>
            </w:pPr>
          </w:p>
        </w:tc>
        <w:tc>
          <w:tcPr>
            <w:tcW w:w="1233" w:type="dxa"/>
          </w:tcPr>
          <w:p w14:paraId="14D8FA8B" w14:textId="77777777" w:rsidR="00B15A58" w:rsidRDefault="00B15A58" w:rsidP="00B15A58">
            <w:pPr>
              <w:pStyle w:val="TableText"/>
              <w:jc w:val="center"/>
            </w:pPr>
          </w:p>
        </w:tc>
        <w:tc>
          <w:tcPr>
            <w:tcW w:w="1233" w:type="dxa"/>
          </w:tcPr>
          <w:p w14:paraId="631068E1" w14:textId="77777777" w:rsidR="00B15A58" w:rsidRDefault="00B15A58" w:rsidP="00B15A58">
            <w:pPr>
              <w:pStyle w:val="TableText"/>
              <w:jc w:val="center"/>
            </w:pPr>
          </w:p>
        </w:tc>
        <w:tc>
          <w:tcPr>
            <w:tcW w:w="1234" w:type="dxa"/>
          </w:tcPr>
          <w:p w14:paraId="07947D66" w14:textId="77777777" w:rsidR="00B15A58" w:rsidRDefault="00B15A58" w:rsidP="00B15A58">
            <w:pPr>
              <w:pStyle w:val="TableText"/>
              <w:jc w:val="center"/>
            </w:pPr>
          </w:p>
        </w:tc>
      </w:tr>
      <w:tr w:rsidR="00B15A58" w14:paraId="74BFA547" w14:textId="77777777" w:rsidTr="00FB2E1B">
        <w:tc>
          <w:tcPr>
            <w:tcW w:w="2268" w:type="dxa"/>
          </w:tcPr>
          <w:p w14:paraId="7056DDD0" w14:textId="77777777" w:rsidR="00B15A58" w:rsidRDefault="00B15A58" w:rsidP="00B15A58">
            <w:pPr>
              <w:pStyle w:val="TableBullet"/>
            </w:pPr>
            <w:r>
              <w:t>Soils</w:t>
            </w:r>
          </w:p>
        </w:tc>
        <w:tc>
          <w:tcPr>
            <w:tcW w:w="1233" w:type="dxa"/>
          </w:tcPr>
          <w:p w14:paraId="4F885C6A" w14:textId="01B005BA" w:rsidR="00B15A58" w:rsidRDefault="00B15A58" w:rsidP="00B15A58">
            <w:pPr>
              <w:pStyle w:val="TableText"/>
              <w:jc w:val="center"/>
            </w:pPr>
            <w:r w:rsidRPr="00107C14">
              <w:t>87%</w:t>
            </w:r>
          </w:p>
        </w:tc>
        <w:tc>
          <w:tcPr>
            <w:tcW w:w="1233" w:type="dxa"/>
          </w:tcPr>
          <w:p w14:paraId="3D4E1F0E" w14:textId="7ED9852C" w:rsidR="00B15A58" w:rsidRDefault="00B15A58" w:rsidP="00B15A58">
            <w:pPr>
              <w:pStyle w:val="TableText"/>
              <w:jc w:val="center"/>
            </w:pPr>
            <w:r w:rsidRPr="00107C14">
              <w:t>74%</w:t>
            </w:r>
          </w:p>
        </w:tc>
        <w:tc>
          <w:tcPr>
            <w:tcW w:w="1233" w:type="dxa"/>
          </w:tcPr>
          <w:p w14:paraId="790A400A" w14:textId="41C8AA1F" w:rsidR="00B15A58" w:rsidRDefault="00B15A58" w:rsidP="00B15A58">
            <w:pPr>
              <w:pStyle w:val="TableText"/>
              <w:jc w:val="center"/>
            </w:pPr>
            <w:r w:rsidRPr="00107C14">
              <w:t>93%</w:t>
            </w:r>
          </w:p>
        </w:tc>
        <w:tc>
          <w:tcPr>
            <w:tcW w:w="1234" w:type="dxa"/>
          </w:tcPr>
          <w:p w14:paraId="1947A550" w14:textId="2CB9C415" w:rsidR="00B15A58" w:rsidRDefault="00B15A58" w:rsidP="00B15A58">
            <w:pPr>
              <w:pStyle w:val="TableText"/>
              <w:jc w:val="center"/>
            </w:pPr>
            <w:r w:rsidRPr="00107C14">
              <w:t>92%</w:t>
            </w:r>
          </w:p>
        </w:tc>
        <w:tc>
          <w:tcPr>
            <w:tcW w:w="1233" w:type="dxa"/>
          </w:tcPr>
          <w:p w14:paraId="6C9DB445" w14:textId="4FC3DC06" w:rsidR="00B15A58" w:rsidRDefault="00B15A58" w:rsidP="00B15A58">
            <w:pPr>
              <w:pStyle w:val="TableText"/>
              <w:jc w:val="center"/>
            </w:pPr>
            <w:r>
              <w:t>95%</w:t>
            </w:r>
          </w:p>
        </w:tc>
        <w:tc>
          <w:tcPr>
            <w:tcW w:w="1233" w:type="dxa"/>
          </w:tcPr>
          <w:p w14:paraId="79199C78" w14:textId="5F0576E5" w:rsidR="00B15A58" w:rsidRDefault="00B15A58" w:rsidP="00B15A58">
            <w:pPr>
              <w:pStyle w:val="TableText"/>
              <w:jc w:val="center"/>
            </w:pPr>
            <w:r w:rsidRPr="002A353E">
              <w:t>25 | 2</w:t>
            </w:r>
          </w:p>
        </w:tc>
        <w:tc>
          <w:tcPr>
            <w:tcW w:w="1234" w:type="dxa"/>
          </w:tcPr>
          <w:p w14:paraId="6694ACE4" w14:textId="2B6A0D84" w:rsidR="00B15A58" w:rsidRDefault="00B15A58" w:rsidP="00B15A58">
            <w:pPr>
              <w:pStyle w:val="TableText"/>
              <w:jc w:val="center"/>
            </w:pPr>
            <w:r w:rsidRPr="002A353E">
              <w:t>76 | 2</w:t>
            </w:r>
          </w:p>
        </w:tc>
        <w:tc>
          <w:tcPr>
            <w:tcW w:w="1233" w:type="dxa"/>
          </w:tcPr>
          <w:p w14:paraId="70B9860F" w14:textId="60F184A0" w:rsidR="00B15A58" w:rsidRDefault="00B15A58" w:rsidP="00B15A58">
            <w:pPr>
              <w:pStyle w:val="TableText"/>
              <w:jc w:val="center"/>
            </w:pPr>
            <w:r w:rsidRPr="002A353E">
              <w:t>24 | 0</w:t>
            </w:r>
          </w:p>
        </w:tc>
        <w:tc>
          <w:tcPr>
            <w:tcW w:w="1233" w:type="dxa"/>
          </w:tcPr>
          <w:p w14:paraId="1858E87C" w14:textId="5A74384F" w:rsidR="00B15A58" w:rsidRDefault="00B15A58" w:rsidP="00B15A58">
            <w:pPr>
              <w:pStyle w:val="TableText"/>
              <w:jc w:val="center"/>
            </w:pPr>
            <w:r w:rsidRPr="002A353E">
              <w:t>40 | 0</w:t>
            </w:r>
          </w:p>
        </w:tc>
        <w:tc>
          <w:tcPr>
            <w:tcW w:w="1234" w:type="dxa"/>
          </w:tcPr>
          <w:p w14:paraId="25DB9A6A" w14:textId="2CD3DA11" w:rsidR="00B15A58" w:rsidRDefault="00B15A58" w:rsidP="00B15A58">
            <w:pPr>
              <w:pStyle w:val="TableText"/>
              <w:jc w:val="center"/>
            </w:pPr>
            <w:r>
              <w:t xml:space="preserve">32 | </w:t>
            </w:r>
            <w:r w:rsidR="002B3FC7">
              <w:t>4</w:t>
            </w:r>
          </w:p>
        </w:tc>
      </w:tr>
      <w:tr w:rsidR="00B15A58" w14:paraId="495EDD98" w14:textId="77777777" w:rsidTr="00FB2E1B">
        <w:tc>
          <w:tcPr>
            <w:tcW w:w="2268" w:type="dxa"/>
          </w:tcPr>
          <w:p w14:paraId="77348DA6" w14:textId="77777777" w:rsidR="00B15A58" w:rsidRDefault="00B15A58" w:rsidP="00B15A58">
            <w:pPr>
              <w:pStyle w:val="TableBullet"/>
            </w:pPr>
            <w:r>
              <w:t>Water</w:t>
            </w:r>
          </w:p>
        </w:tc>
        <w:tc>
          <w:tcPr>
            <w:tcW w:w="1233" w:type="dxa"/>
          </w:tcPr>
          <w:p w14:paraId="362B190F" w14:textId="4D6EAA40" w:rsidR="00B15A58" w:rsidRDefault="00B15A58" w:rsidP="00B15A58">
            <w:pPr>
              <w:pStyle w:val="TableText"/>
              <w:jc w:val="center"/>
            </w:pPr>
            <w:r w:rsidRPr="00107C14">
              <w:t>90%</w:t>
            </w:r>
          </w:p>
        </w:tc>
        <w:tc>
          <w:tcPr>
            <w:tcW w:w="1233" w:type="dxa"/>
          </w:tcPr>
          <w:p w14:paraId="2E6D22C0" w14:textId="1DD2BA7A" w:rsidR="00B15A58" w:rsidRDefault="00B15A58" w:rsidP="00B15A58">
            <w:pPr>
              <w:pStyle w:val="TableText"/>
              <w:jc w:val="center"/>
            </w:pPr>
            <w:r w:rsidRPr="00107C14">
              <w:t>81%</w:t>
            </w:r>
          </w:p>
        </w:tc>
        <w:tc>
          <w:tcPr>
            <w:tcW w:w="1233" w:type="dxa"/>
          </w:tcPr>
          <w:p w14:paraId="2BDAF279" w14:textId="53D34D01" w:rsidR="00B15A58" w:rsidRDefault="00B15A58" w:rsidP="00B15A58">
            <w:pPr>
              <w:pStyle w:val="TableText"/>
              <w:jc w:val="center"/>
            </w:pPr>
            <w:r w:rsidRPr="00107C14">
              <w:t>94%</w:t>
            </w:r>
          </w:p>
        </w:tc>
        <w:tc>
          <w:tcPr>
            <w:tcW w:w="1234" w:type="dxa"/>
          </w:tcPr>
          <w:p w14:paraId="0994D3D1" w14:textId="1FE19953" w:rsidR="00B15A58" w:rsidRDefault="00B15A58" w:rsidP="00B15A58">
            <w:pPr>
              <w:pStyle w:val="TableText"/>
              <w:jc w:val="center"/>
            </w:pPr>
            <w:r w:rsidRPr="00107C14">
              <w:t>91%</w:t>
            </w:r>
          </w:p>
        </w:tc>
        <w:tc>
          <w:tcPr>
            <w:tcW w:w="1233" w:type="dxa"/>
          </w:tcPr>
          <w:p w14:paraId="2D8EB3D2" w14:textId="56617699" w:rsidR="00B15A58" w:rsidRDefault="003F2E37" w:rsidP="00B15A58">
            <w:pPr>
              <w:pStyle w:val="TableText"/>
              <w:jc w:val="center"/>
            </w:pPr>
            <w:r>
              <w:t>94</w:t>
            </w:r>
            <w:r w:rsidR="00B15A58">
              <w:t>%</w:t>
            </w:r>
          </w:p>
        </w:tc>
        <w:tc>
          <w:tcPr>
            <w:tcW w:w="1233" w:type="dxa"/>
          </w:tcPr>
          <w:p w14:paraId="56955049" w14:textId="3BC53A48" w:rsidR="00B15A58" w:rsidRDefault="00B15A58" w:rsidP="00B15A58">
            <w:pPr>
              <w:pStyle w:val="TableText"/>
              <w:jc w:val="center"/>
            </w:pPr>
            <w:r w:rsidRPr="002A353E">
              <w:t>29 | 4</w:t>
            </w:r>
          </w:p>
        </w:tc>
        <w:tc>
          <w:tcPr>
            <w:tcW w:w="1234" w:type="dxa"/>
          </w:tcPr>
          <w:p w14:paraId="3935E7EC" w14:textId="45AA7DAB" w:rsidR="00B15A58" w:rsidRDefault="00B15A58" w:rsidP="00B15A58">
            <w:pPr>
              <w:pStyle w:val="TableText"/>
              <w:jc w:val="center"/>
            </w:pPr>
            <w:r w:rsidRPr="002A353E">
              <w:t>103 | 16</w:t>
            </w:r>
          </w:p>
        </w:tc>
        <w:tc>
          <w:tcPr>
            <w:tcW w:w="1233" w:type="dxa"/>
          </w:tcPr>
          <w:p w14:paraId="640F15AF" w14:textId="041E33D5" w:rsidR="00B15A58" w:rsidRDefault="00B15A58" w:rsidP="00B15A58">
            <w:pPr>
              <w:pStyle w:val="TableText"/>
              <w:jc w:val="center"/>
            </w:pPr>
            <w:r w:rsidRPr="002A353E">
              <w:t>15 | 0</w:t>
            </w:r>
          </w:p>
        </w:tc>
        <w:tc>
          <w:tcPr>
            <w:tcW w:w="1233" w:type="dxa"/>
          </w:tcPr>
          <w:p w14:paraId="31BFC952" w14:textId="30563BA9" w:rsidR="00B15A58" w:rsidRDefault="00B15A58" w:rsidP="00B15A58">
            <w:pPr>
              <w:pStyle w:val="TableText"/>
              <w:jc w:val="center"/>
            </w:pPr>
            <w:r w:rsidRPr="002A353E">
              <w:t>51 | 0</w:t>
            </w:r>
          </w:p>
        </w:tc>
        <w:tc>
          <w:tcPr>
            <w:tcW w:w="1234" w:type="dxa"/>
          </w:tcPr>
          <w:p w14:paraId="259B141A" w14:textId="4076AF43" w:rsidR="00B15A58" w:rsidRDefault="00B15A58" w:rsidP="00B15A58">
            <w:pPr>
              <w:pStyle w:val="TableText"/>
              <w:jc w:val="center"/>
            </w:pPr>
            <w:r>
              <w:t>5</w:t>
            </w:r>
            <w:r w:rsidR="002B3FC7">
              <w:t>7</w:t>
            </w:r>
            <w:r>
              <w:t xml:space="preserve"> | </w:t>
            </w:r>
            <w:r w:rsidR="000F4D2A">
              <w:t>1</w:t>
            </w:r>
            <w:r w:rsidR="002B3FC7">
              <w:t>1</w:t>
            </w:r>
          </w:p>
        </w:tc>
      </w:tr>
      <w:tr w:rsidR="00B15A58" w14:paraId="6C9E710C" w14:textId="77777777" w:rsidTr="00FB2E1B">
        <w:tc>
          <w:tcPr>
            <w:tcW w:w="2268" w:type="dxa"/>
          </w:tcPr>
          <w:p w14:paraId="5767FA3E" w14:textId="77777777" w:rsidR="00B15A58" w:rsidRDefault="00B15A58" w:rsidP="00B15A58">
            <w:pPr>
              <w:pStyle w:val="TableText"/>
            </w:pPr>
            <w:r w:rsidRPr="00A5705D">
              <w:t>Biodiversity</w:t>
            </w:r>
          </w:p>
        </w:tc>
        <w:tc>
          <w:tcPr>
            <w:tcW w:w="1233" w:type="dxa"/>
          </w:tcPr>
          <w:p w14:paraId="4AF7F730" w14:textId="6E12AD30" w:rsidR="00B15A58" w:rsidRDefault="00B15A58" w:rsidP="00B15A58">
            <w:pPr>
              <w:pStyle w:val="TableText"/>
              <w:jc w:val="center"/>
            </w:pPr>
            <w:r w:rsidRPr="00107C14">
              <w:t>92%</w:t>
            </w:r>
          </w:p>
        </w:tc>
        <w:tc>
          <w:tcPr>
            <w:tcW w:w="1233" w:type="dxa"/>
          </w:tcPr>
          <w:p w14:paraId="25D2BE09" w14:textId="39B6CC3D" w:rsidR="00B15A58" w:rsidRDefault="00B15A58" w:rsidP="00B15A58">
            <w:pPr>
              <w:pStyle w:val="TableText"/>
              <w:jc w:val="center"/>
            </w:pPr>
            <w:r w:rsidRPr="00107C14">
              <w:t>84%</w:t>
            </w:r>
          </w:p>
        </w:tc>
        <w:tc>
          <w:tcPr>
            <w:tcW w:w="1233" w:type="dxa"/>
          </w:tcPr>
          <w:p w14:paraId="20D131B1" w14:textId="305312FD" w:rsidR="00B15A58" w:rsidRDefault="00B15A58" w:rsidP="00B15A58">
            <w:pPr>
              <w:pStyle w:val="TableText"/>
              <w:jc w:val="center"/>
            </w:pPr>
            <w:r w:rsidRPr="00107C14">
              <w:t>97%</w:t>
            </w:r>
          </w:p>
        </w:tc>
        <w:tc>
          <w:tcPr>
            <w:tcW w:w="1234" w:type="dxa"/>
          </w:tcPr>
          <w:p w14:paraId="146C25A6" w14:textId="39D027C2" w:rsidR="00B15A58" w:rsidRDefault="00B15A58" w:rsidP="00B15A58">
            <w:pPr>
              <w:pStyle w:val="TableText"/>
              <w:jc w:val="center"/>
            </w:pPr>
            <w:r w:rsidRPr="00107C14">
              <w:t>95%</w:t>
            </w:r>
          </w:p>
        </w:tc>
        <w:tc>
          <w:tcPr>
            <w:tcW w:w="1233" w:type="dxa"/>
          </w:tcPr>
          <w:p w14:paraId="13ED1CB0" w14:textId="242E7A54" w:rsidR="00B15A58" w:rsidRDefault="00B15A58" w:rsidP="00B15A58">
            <w:pPr>
              <w:pStyle w:val="TableText"/>
              <w:jc w:val="center"/>
            </w:pPr>
            <w:r>
              <w:t>9</w:t>
            </w:r>
            <w:r w:rsidR="00350A06">
              <w:t>6</w:t>
            </w:r>
            <w:r>
              <w:t>%</w:t>
            </w:r>
          </w:p>
        </w:tc>
        <w:tc>
          <w:tcPr>
            <w:tcW w:w="1233" w:type="dxa"/>
          </w:tcPr>
          <w:p w14:paraId="0A723514" w14:textId="42789767" w:rsidR="00B15A58" w:rsidRDefault="00B15A58" w:rsidP="00B15A58">
            <w:pPr>
              <w:pStyle w:val="TableText"/>
              <w:jc w:val="center"/>
            </w:pPr>
            <w:r w:rsidRPr="002A353E">
              <w:t>5 | 0</w:t>
            </w:r>
          </w:p>
        </w:tc>
        <w:tc>
          <w:tcPr>
            <w:tcW w:w="1234" w:type="dxa"/>
          </w:tcPr>
          <w:p w14:paraId="5A6AE906" w14:textId="097C3CB8" w:rsidR="00B15A58" w:rsidRDefault="00B15A58" w:rsidP="00B15A58">
            <w:pPr>
              <w:pStyle w:val="TableText"/>
              <w:jc w:val="center"/>
            </w:pPr>
            <w:r w:rsidRPr="002A353E">
              <w:t>23 | 18</w:t>
            </w:r>
          </w:p>
        </w:tc>
        <w:tc>
          <w:tcPr>
            <w:tcW w:w="1233" w:type="dxa"/>
          </w:tcPr>
          <w:p w14:paraId="527A8430" w14:textId="635FD52A" w:rsidR="00B15A58" w:rsidRDefault="00B15A58" w:rsidP="00B15A58">
            <w:pPr>
              <w:pStyle w:val="TableText"/>
              <w:jc w:val="center"/>
            </w:pPr>
            <w:r w:rsidRPr="002A353E">
              <w:t>7 | 1</w:t>
            </w:r>
          </w:p>
        </w:tc>
        <w:tc>
          <w:tcPr>
            <w:tcW w:w="1233" w:type="dxa"/>
          </w:tcPr>
          <w:p w14:paraId="412E0CB0" w14:textId="7C9D20BF" w:rsidR="00B15A58" w:rsidRDefault="00B15A58" w:rsidP="00B15A58">
            <w:pPr>
              <w:pStyle w:val="TableText"/>
              <w:jc w:val="center"/>
            </w:pPr>
            <w:r w:rsidRPr="002A353E">
              <w:t>28 | 5</w:t>
            </w:r>
          </w:p>
        </w:tc>
        <w:tc>
          <w:tcPr>
            <w:tcW w:w="1234" w:type="dxa"/>
          </w:tcPr>
          <w:p w14:paraId="1EA9A151" w14:textId="2DB5F14A" w:rsidR="00B15A58" w:rsidRDefault="00096C90" w:rsidP="00B15A58">
            <w:pPr>
              <w:pStyle w:val="TableText"/>
              <w:jc w:val="center"/>
            </w:pPr>
            <w:r>
              <w:t xml:space="preserve">34 </w:t>
            </w:r>
            <w:r w:rsidR="00B15A58">
              <w:t xml:space="preserve">| </w:t>
            </w:r>
            <w:r>
              <w:t>1</w:t>
            </w:r>
            <w:r w:rsidR="002B3FC7">
              <w:t>1</w:t>
            </w:r>
          </w:p>
        </w:tc>
      </w:tr>
      <w:tr w:rsidR="00B15A58" w14:paraId="09FEF7F0" w14:textId="77777777" w:rsidTr="00FB2E1B">
        <w:tc>
          <w:tcPr>
            <w:tcW w:w="2268" w:type="dxa"/>
          </w:tcPr>
          <w:p w14:paraId="1563C449" w14:textId="77777777" w:rsidR="00B15A58" w:rsidRDefault="00B15A58" w:rsidP="00B15A58">
            <w:pPr>
              <w:pStyle w:val="TableText"/>
            </w:pPr>
            <w:r w:rsidRPr="00A5705D">
              <w:t>Infrastructure</w:t>
            </w:r>
          </w:p>
        </w:tc>
        <w:tc>
          <w:tcPr>
            <w:tcW w:w="1233" w:type="dxa"/>
          </w:tcPr>
          <w:p w14:paraId="2F6DDFCA" w14:textId="77777777" w:rsidR="00B15A58" w:rsidRDefault="00B15A58" w:rsidP="00B15A58">
            <w:pPr>
              <w:pStyle w:val="TableText"/>
              <w:jc w:val="center"/>
            </w:pPr>
          </w:p>
        </w:tc>
        <w:tc>
          <w:tcPr>
            <w:tcW w:w="1233" w:type="dxa"/>
          </w:tcPr>
          <w:p w14:paraId="252F15DC" w14:textId="77777777" w:rsidR="00B15A58" w:rsidRDefault="00B15A58" w:rsidP="00B15A58">
            <w:pPr>
              <w:pStyle w:val="TableText"/>
              <w:jc w:val="center"/>
            </w:pPr>
          </w:p>
        </w:tc>
        <w:tc>
          <w:tcPr>
            <w:tcW w:w="1233" w:type="dxa"/>
          </w:tcPr>
          <w:p w14:paraId="1A666BB8" w14:textId="77777777" w:rsidR="00B15A58" w:rsidRDefault="00B15A58" w:rsidP="00B15A58">
            <w:pPr>
              <w:pStyle w:val="TableText"/>
              <w:jc w:val="center"/>
            </w:pPr>
          </w:p>
        </w:tc>
        <w:tc>
          <w:tcPr>
            <w:tcW w:w="1234" w:type="dxa"/>
          </w:tcPr>
          <w:p w14:paraId="663F40AB" w14:textId="77777777" w:rsidR="00B15A58" w:rsidRDefault="00B15A58" w:rsidP="00B15A58">
            <w:pPr>
              <w:pStyle w:val="TableText"/>
              <w:jc w:val="center"/>
            </w:pPr>
          </w:p>
        </w:tc>
        <w:tc>
          <w:tcPr>
            <w:tcW w:w="1233" w:type="dxa"/>
          </w:tcPr>
          <w:p w14:paraId="23A0BD42" w14:textId="77777777" w:rsidR="00B15A58" w:rsidRDefault="00B15A58" w:rsidP="00B15A58">
            <w:pPr>
              <w:pStyle w:val="TableText"/>
              <w:jc w:val="center"/>
            </w:pPr>
          </w:p>
        </w:tc>
        <w:tc>
          <w:tcPr>
            <w:tcW w:w="1233" w:type="dxa"/>
          </w:tcPr>
          <w:p w14:paraId="68895E59" w14:textId="77777777" w:rsidR="00B15A58" w:rsidRDefault="00B15A58" w:rsidP="00B15A58">
            <w:pPr>
              <w:pStyle w:val="TableText"/>
              <w:jc w:val="center"/>
            </w:pPr>
          </w:p>
        </w:tc>
        <w:tc>
          <w:tcPr>
            <w:tcW w:w="1234" w:type="dxa"/>
          </w:tcPr>
          <w:p w14:paraId="78F56035" w14:textId="77777777" w:rsidR="00B15A58" w:rsidRDefault="00B15A58" w:rsidP="00B15A58">
            <w:pPr>
              <w:pStyle w:val="TableText"/>
              <w:jc w:val="center"/>
            </w:pPr>
          </w:p>
        </w:tc>
        <w:tc>
          <w:tcPr>
            <w:tcW w:w="1233" w:type="dxa"/>
          </w:tcPr>
          <w:p w14:paraId="7878D653" w14:textId="77777777" w:rsidR="00B15A58" w:rsidRDefault="00B15A58" w:rsidP="00B15A58">
            <w:pPr>
              <w:pStyle w:val="TableText"/>
              <w:jc w:val="center"/>
            </w:pPr>
          </w:p>
        </w:tc>
        <w:tc>
          <w:tcPr>
            <w:tcW w:w="1233" w:type="dxa"/>
          </w:tcPr>
          <w:p w14:paraId="4EC31EC5" w14:textId="77777777" w:rsidR="00B15A58" w:rsidRDefault="00B15A58" w:rsidP="00B15A58">
            <w:pPr>
              <w:pStyle w:val="TableText"/>
              <w:jc w:val="center"/>
            </w:pPr>
          </w:p>
        </w:tc>
        <w:tc>
          <w:tcPr>
            <w:tcW w:w="1234" w:type="dxa"/>
          </w:tcPr>
          <w:p w14:paraId="2E8045B5" w14:textId="77777777" w:rsidR="00B15A58" w:rsidRDefault="00B15A58" w:rsidP="00B15A58">
            <w:pPr>
              <w:pStyle w:val="TableText"/>
              <w:jc w:val="center"/>
            </w:pPr>
          </w:p>
        </w:tc>
      </w:tr>
      <w:tr w:rsidR="00B15A58" w14:paraId="4B383595" w14:textId="77777777" w:rsidTr="00FB2E1B">
        <w:tc>
          <w:tcPr>
            <w:tcW w:w="2268" w:type="dxa"/>
          </w:tcPr>
          <w:p w14:paraId="157A7B18" w14:textId="77777777" w:rsidR="00B15A58" w:rsidRDefault="00B15A58" w:rsidP="00B15A58">
            <w:pPr>
              <w:pStyle w:val="TableBullet"/>
            </w:pPr>
            <w:r>
              <w:t>Road design</w:t>
            </w:r>
          </w:p>
        </w:tc>
        <w:tc>
          <w:tcPr>
            <w:tcW w:w="1233" w:type="dxa"/>
          </w:tcPr>
          <w:p w14:paraId="16D11772" w14:textId="5B649DCE" w:rsidR="00B15A58" w:rsidRDefault="00B15A58" w:rsidP="00B15A58">
            <w:pPr>
              <w:pStyle w:val="TableText"/>
              <w:jc w:val="center"/>
            </w:pPr>
            <w:r w:rsidRPr="00107C14">
              <w:t>81%</w:t>
            </w:r>
          </w:p>
        </w:tc>
        <w:tc>
          <w:tcPr>
            <w:tcW w:w="1233" w:type="dxa"/>
          </w:tcPr>
          <w:p w14:paraId="6E7D2E14" w14:textId="2668CE28" w:rsidR="00B15A58" w:rsidRDefault="00B15A58" w:rsidP="00B15A58">
            <w:pPr>
              <w:pStyle w:val="TableText"/>
              <w:jc w:val="center"/>
            </w:pPr>
            <w:r w:rsidRPr="00107C14">
              <w:t>67%</w:t>
            </w:r>
          </w:p>
        </w:tc>
        <w:tc>
          <w:tcPr>
            <w:tcW w:w="1233" w:type="dxa"/>
          </w:tcPr>
          <w:p w14:paraId="535DA1E9" w14:textId="72869C2E" w:rsidR="00B15A58" w:rsidRDefault="00B15A58" w:rsidP="00B15A58">
            <w:pPr>
              <w:pStyle w:val="TableText"/>
              <w:jc w:val="center"/>
            </w:pPr>
            <w:r w:rsidRPr="00107C14">
              <w:t>81%</w:t>
            </w:r>
          </w:p>
        </w:tc>
        <w:tc>
          <w:tcPr>
            <w:tcW w:w="1234" w:type="dxa"/>
          </w:tcPr>
          <w:p w14:paraId="4A19502B" w14:textId="134133A9" w:rsidR="00B15A58" w:rsidRDefault="00B15A58" w:rsidP="00B15A58">
            <w:pPr>
              <w:pStyle w:val="TableText"/>
              <w:jc w:val="center"/>
            </w:pPr>
            <w:r w:rsidRPr="00107C14">
              <w:t>89%</w:t>
            </w:r>
          </w:p>
        </w:tc>
        <w:tc>
          <w:tcPr>
            <w:tcW w:w="1233" w:type="dxa"/>
          </w:tcPr>
          <w:p w14:paraId="48256A5F" w14:textId="37F661D9" w:rsidR="00B15A58" w:rsidRDefault="00B15A58" w:rsidP="00B15A58">
            <w:pPr>
              <w:pStyle w:val="TableText"/>
              <w:jc w:val="center"/>
            </w:pPr>
            <w:r>
              <w:t>9</w:t>
            </w:r>
            <w:r w:rsidR="00350A06">
              <w:t>6</w:t>
            </w:r>
            <w:r>
              <w:t>%</w:t>
            </w:r>
          </w:p>
        </w:tc>
        <w:tc>
          <w:tcPr>
            <w:tcW w:w="1233" w:type="dxa"/>
          </w:tcPr>
          <w:p w14:paraId="5E6E95CD" w14:textId="5F41D0F2" w:rsidR="00B15A58" w:rsidRDefault="00B15A58" w:rsidP="00B15A58">
            <w:pPr>
              <w:pStyle w:val="TableText"/>
              <w:jc w:val="center"/>
            </w:pPr>
            <w:r w:rsidRPr="002A353E">
              <w:t>5 | 0</w:t>
            </w:r>
          </w:p>
        </w:tc>
        <w:tc>
          <w:tcPr>
            <w:tcW w:w="1234" w:type="dxa"/>
          </w:tcPr>
          <w:p w14:paraId="5375CAC3" w14:textId="594922BD" w:rsidR="00B15A58" w:rsidRDefault="00B15A58" w:rsidP="00B15A58">
            <w:pPr>
              <w:pStyle w:val="TableText"/>
              <w:jc w:val="center"/>
            </w:pPr>
            <w:r w:rsidRPr="002A353E">
              <w:t>12 | 1</w:t>
            </w:r>
          </w:p>
        </w:tc>
        <w:tc>
          <w:tcPr>
            <w:tcW w:w="1233" w:type="dxa"/>
          </w:tcPr>
          <w:p w14:paraId="68F08D41" w14:textId="0E16D7AC" w:rsidR="00B15A58" w:rsidRDefault="00B15A58" w:rsidP="00B15A58">
            <w:pPr>
              <w:pStyle w:val="TableText"/>
              <w:jc w:val="center"/>
            </w:pPr>
            <w:r w:rsidRPr="002A353E">
              <w:t>7 | 0</w:t>
            </w:r>
          </w:p>
        </w:tc>
        <w:tc>
          <w:tcPr>
            <w:tcW w:w="1233" w:type="dxa"/>
          </w:tcPr>
          <w:p w14:paraId="6F67DE76" w14:textId="05805F63" w:rsidR="00B15A58" w:rsidRDefault="00B15A58" w:rsidP="00B15A58">
            <w:pPr>
              <w:pStyle w:val="TableText"/>
              <w:jc w:val="center"/>
            </w:pPr>
            <w:r w:rsidRPr="002A353E">
              <w:t>4 | 0</w:t>
            </w:r>
          </w:p>
        </w:tc>
        <w:tc>
          <w:tcPr>
            <w:tcW w:w="1234" w:type="dxa"/>
          </w:tcPr>
          <w:p w14:paraId="7ECE4BA0" w14:textId="6CE3F8CC" w:rsidR="00B15A58" w:rsidRDefault="00B15A58" w:rsidP="00B15A58">
            <w:pPr>
              <w:pStyle w:val="TableText"/>
              <w:jc w:val="center"/>
            </w:pPr>
            <w:r>
              <w:t xml:space="preserve">8 | </w:t>
            </w:r>
            <w:r w:rsidR="002B3FC7">
              <w:t>2</w:t>
            </w:r>
          </w:p>
        </w:tc>
      </w:tr>
      <w:tr w:rsidR="00B15A58" w14:paraId="01109F9C" w14:textId="77777777" w:rsidTr="00FB2E1B">
        <w:tc>
          <w:tcPr>
            <w:tcW w:w="2268" w:type="dxa"/>
          </w:tcPr>
          <w:p w14:paraId="466C63BB" w14:textId="77777777" w:rsidR="00B15A58" w:rsidRDefault="00B15A58" w:rsidP="00B15A58">
            <w:pPr>
              <w:pStyle w:val="TableBullet"/>
            </w:pPr>
            <w:r>
              <w:t>Road construction</w:t>
            </w:r>
          </w:p>
        </w:tc>
        <w:tc>
          <w:tcPr>
            <w:tcW w:w="1233" w:type="dxa"/>
          </w:tcPr>
          <w:p w14:paraId="473AC52A" w14:textId="6CEAFC76" w:rsidR="00B15A58" w:rsidRDefault="00B15A58" w:rsidP="00B15A58">
            <w:pPr>
              <w:pStyle w:val="TableText"/>
              <w:jc w:val="center"/>
            </w:pPr>
            <w:r w:rsidRPr="00107C14">
              <w:t>92%</w:t>
            </w:r>
          </w:p>
        </w:tc>
        <w:tc>
          <w:tcPr>
            <w:tcW w:w="1233" w:type="dxa"/>
          </w:tcPr>
          <w:p w14:paraId="34AAB9FE" w14:textId="07F75080" w:rsidR="00B15A58" w:rsidRDefault="00B15A58" w:rsidP="00B15A58">
            <w:pPr>
              <w:pStyle w:val="TableText"/>
              <w:jc w:val="center"/>
            </w:pPr>
            <w:r w:rsidRPr="00107C14">
              <w:t>81%</w:t>
            </w:r>
          </w:p>
        </w:tc>
        <w:tc>
          <w:tcPr>
            <w:tcW w:w="1233" w:type="dxa"/>
          </w:tcPr>
          <w:p w14:paraId="14AE2808" w14:textId="36E10736" w:rsidR="00B15A58" w:rsidRDefault="00B15A58" w:rsidP="00B15A58">
            <w:pPr>
              <w:pStyle w:val="TableText"/>
              <w:jc w:val="center"/>
            </w:pPr>
            <w:r w:rsidRPr="00107C14">
              <w:t>85%</w:t>
            </w:r>
          </w:p>
        </w:tc>
        <w:tc>
          <w:tcPr>
            <w:tcW w:w="1234" w:type="dxa"/>
          </w:tcPr>
          <w:p w14:paraId="78427DD0" w14:textId="7DA759B3" w:rsidR="00B15A58" w:rsidRDefault="00B15A58" w:rsidP="00B15A58">
            <w:pPr>
              <w:pStyle w:val="TableText"/>
              <w:jc w:val="center"/>
            </w:pPr>
            <w:r w:rsidRPr="00107C14">
              <w:t>86%</w:t>
            </w:r>
          </w:p>
        </w:tc>
        <w:tc>
          <w:tcPr>
            <w:tcW w:w="1233" w:type="dxa"/>
          </w:tcPr>
          <w:p w14:paraId="29E19CA2" w14:textId="00CCACCA" w:rsidR="00B15A58" w:rsidRDefault="00350A06" w:rsidP="00B15A58">
            <w:pPr>
              <w:pStyle w:val="TableText"/>
              <w:jc w:val="center"/>
            </w:pPr>
            <w:r>
              <w:t>92</w:t>
            </w:r>
            <w:r w:rsidR="00B15A58">
              <w:t>%</w:t>
            </w:r>
          </w:p>
        </w:tc>
        <w:tc>
          <w:tcPr>
            <w:tcW w:w="1233" w:type="dxa"/>
          </w:tcPr>
          <w:p w14:paraId="4F42C74C" w14:textId="016DF33B" w:rsidR="00B15A58" w:rsidRDefault="00B15A58" w:rsidP="00B15A58">
            <w:pPr>
              <w:pStyle w:val="TableText"/>
              <w:jc w:val="center"/>
            </w:pPr>
            <w:r w:rsidRPr="002A353E">
              <w:t>23 | 0</w:t>
            </w:r>
          </w:p>
        </w:tc>
        <w:tc>
          <w:tcPr>
            <w:tcW w:w="1234" w:type="dxa"/>
          </w:tcPr>
          <w:p w14:paraId="4FE47D49" w14:textId="3B623E87" w:rsidR="00B15A58" w:rsidRDefault="00B15A58" w:rsidP="00B15A58">
            <w:pPr>
              <w:pStyle w:val="TableText"/>
              <w:jc w:val="center"/>
            </w:pPr>
            <w:r w:rsidRPr="002A353E">
              <w:t>53 | 5</w:t>
            </w:r>
          </w:p>
        </w:tc>
        <w:tc>
          <w:tcPr>
            <w:tcW w:w="1233" w:type="dxa"/>
          </w:tcPr>
          <w:p w14:paraId="0BA728B9" w14:textId="4889A7FB" w:rsidR="00B15A58" w:rsidRDefault="00B15A58" w:rsidP="00B15A58">
            <w:pPr>
              <w:pStyle w:val="TableText"/>
              <w:jc w:val="center"/>
            </w:pPr>
            <w:r w:rsidRPr="002A353E">
              <w:t>29 | 0</w:t>
            </w:r>
          </w:p>
        </w:tc>
        <w:tc>
          <w:tcPr>
            <w:tcW w:w="1233" w:type="dxa"/>
          </w:tcPr>
          <w:p w14:paraId="26D1F476" w14:textId="2840C848" w:rsidR="00B15A58" w:rsidRDefault="00B15A58" w:rsidP="00B15A58">
            <w:pPr>
              <w:pStyle w:val="TableText"/>
              <w:jc w:val="center"/>
            </w:pPr>
            <w:r w:rsidRPr="002A353E">
              <w:t>25 | 0</w:t>
            </w:r>
          </w:p>
        </w:tc>
        <w:tc>
          <w:tcPr>
            <w:tcW w:w="1234" w:type="dxa"/>
          </w:tcPr>
          <w:p w14:paraId="5F9C0FA2" w14:textId="78B8D7A4" w:rsidR="00B15A58" w:rsidRDefault="002B3FC7" w:rsidP="00B15A58">
            <w:pPr>
              <w:pStyle w:val="TableText"/>
              <w:jc w:val="center"/>
            </w:pPr>
            <w:r>
              <w:t>38</w:t>
            </w:r>
            <w:r w:rsidR="00B15A58">
              <w:t xml:space="preserve"> | </w:t>
            </w:r>
            <w:r>
              <w:t>6</w:t>
            </w:r>
          </w:p>
        </w:tc>
      </w:tr>
      <w:tr w:rsidR="00B15A58" w14:paraId="0705B67E" w14:textId="77777777" w:rsidTr="00FB2E1B">
        <w:tc>
          <w:tcPr>
            <w:tcW w:w="2268" w:type="dxa"/>
          </w:tcPr>
          <w:p w14:paraId="75C7CA68" w14:textId="77777777" w:rsidR="00B15A58" w:rsidRDefault="00B15A58" w:rsidP="00B15A58">
            <w:pPr>
              <w:pStyle w:val="TableBullet"/>
            </w:pPr>
            <w:r>
              <w:t>Road maintenance &amp; closure</w:t>
            </w:r>
          </w:p>
        </w:tc>
        <w:tc>
          <w:tcPr>
            <w:tcW w:w="1233" w:type="dxa"/>
          </w:tcPr>
          <w:p w14:paraId="0CACF477" w14:textId="7F2FA336" w:rsidR="00B15A58" w:rsidRDefault="00B15A58" w:rsidP="00B15A58">
            <w:pPr>
              <w:pStyle w:val="TableText"/>
              <w:jc w:val="center"/>
            </w:pPr>
            <w:r w:rsidRPr="00107C14">
              <w:t>71%</w:t>
            </w:r>
          </w:p>
        </w:tc>
        <w:tc>
          <w:tcPr>
            <w:tcW w:w="1233" w:type="dxa"/>
          </w:tcPr>
          <w:p w14:paraId="622B41D6" w14:textId="35825CB1" w:rsidR="00B15A58" w:rsidRDefault="00B15A58" w:rsidP="00B15A58">
            <w:pPr>
              <w:pStyle w:val="TableText"/>
              <w:jc w:val="center"/>
            </w:pPr>
            <w:r w:rsidRPr="00107C14">
              <w:t>83%</w:t>
            </w:r>
          </w:p>
        </w:tc>
        <w:tc>
          <w:tcPr>
            <w:tcW w:w="1233" w:type="dxa"/>
          </w:tcPr>
          <w:p w14:paraId="308988F5" w14:textId="366D6CAC" w:rsidR="00B15A58" w:rsidRDefault="00B15A58" w:rsidP="00B15A58">
            <w:pPr>
              <w:pStyle w:val="TableText"/>
              <w:jc w:val="center"/>
            </w:pPr>
            <w:r w:rsidRPr="00107C14">
              <w:t>96%</w:t>
            </w:r>
          </w:p>
        </w:tc>
        <w:tc>
          <w:tcPr>
            <w:tcW w:w="1234" w:type="dxa"/>
          </w:tcPr>
          <w:p w14:paraId="2757ED28" w14:textId="4C2E11D5" w:rsidR="00B15A58" w:rsidRDefault="00B15A58" w:rsidP="00B15A58">
            <w:pPr>
              <w:pStyle w:val="TableText"/>
              <w:jc w:val="center"/>
            </w:pPr>
            <w:r w:rsidRPr="00107C14">
              <w:t>88%</w:t>
            </w:r>
          </w:p>
        </w:tc>
        <w:tc>
          <w:tcPr>
            <w:tcW w:w="1233" w:type="dxa"/>
          </w:tcPr>
          <w:p w14:paraId="7331DC50" w14:textId="66359800" w:rsidR="00B15A58" w:rsidRDefault="00C32F4D" w:rsidP="00B15A58">
            <w:pPr>
              <w:pStyle w:val="TableText"/>
              <w:jc w:val="center"/>
            </w:pPr>
            <w:r>
              <w:t>99</w:t>
            </w:r>
            <w:r w:rsidR="00B15A58">
              <w:t>%</w:t>
            </w:r>
          </w:p>
        </w:tc>
        <w:tc>
          <w:tcPr>
            <w:tcW w:w="1233" w:type="dxa"/>
          </w:tcPr>
          <w:p w14:paraId="5ADDDF86" w14:textId="1BB9C4B9" w:rsidR="00B15A58" w:rsidRDefault="00B15A58" w:rsidP="00B15A58">
            <w:pPr>
              <w:pStyle w:val="TableText"/>
              <w:jc w:val="center"/>
            </w:pPr>
            <w:r w:rsidRPr="002A353E">
              <w:t>6 | 0</w:t>
            </w:r>
          </w:p>
        </w:tc>
        <w:tc>
          <w:tcPr>
            <w:tcW w:w="1234" w:type="dxa"/>
          </w:tcPr>
          <w:p w14:paraId="0CD4F844" w14:textId="244133A3" w:rsidR="00B15A58" w:rsidRDefault="00B15A58" w:rsidP="00B15A58">
            <w:pPr>
              <w:pStyle w:val="TableText"/>
              <w:jc w:val="center"/>
            </w:pPr>
            <w:r w:rsidRPr="002A353E">
              <w:t>14 | 2</w:t>
            </w:r>
          </w:p>
        </w:tc>
        <w:tc>
          <w:tcPr>
            <w:tcW w:w="1233" w:type="dxa"/>
          </w:tcPr>
          <w:p w14:paraId="61450159" w14:textId="25D0CE36" w:rsidR="00B15A58" w:rsidRDefault="00B15A58" w:rsidP="00B15A58">
            <w:pPr>
              <w:pStyle w:val="TableText"/>
              <w:jc w:val="center"/>
            </w:pPr>
            <w:r w:rsidRPr="002A353E">
              <w:t>0 | 0</w:t>
            </w:r>
          </w:p>
        </w:tc>
        <w:tc>
          <w:tcPr>
            <w:tcW w:w="1233" w:type="dxa"/>
          </w:tcPr>
          <w:p w14:paraId="2F519976" w14:textId="13B95C88" w:rsidR="00B15A58" w:rsidRDefault="00B15A58" w:rsidP="00B15A58">
            <w:pPr>
              <w:pStyle w:val="TableText"/>
              <w:jc w:val="center"/>
            </w:pPr>
            <w:r w:rsidRPr="002A353E">
              <w:t>11 | 0</w:t>
            </w:r>
          </w:p>
        </w:tc>
        <w:tc>
          <w:tcPr>
            <w:tcW w:w="1234" w:type="dxa"/>
          </w:tcPr>
          <w:p w14:paraId="68790D72" w14:textId="77777777" w:rsidR="00B15A58" w:rsidRDefault="00B15A58" w:rsidP="00B15A58">
            <w:pPr>
              <w:pStyle w:val="TableText"/>
              <w:jc w:val="center"/>
            </w:pPr>
            <w:r>
              <w:t>1 | 0</w:t>
            </w:r>
          </w:p>
        </w:tc>
      </w:tr>
      <w:tr w:rsidR="00B15A58" w14:paraId="5191BF08" w14:textId="77777777" w:rsidTr="00FB2E1B">
        <w:tc>
          <w:tcPr>
            <w:tcW w:w="2268" w:type="dxa"/>
          </w:tcPr>
          <w:p w14:paraId="0136BEB8" w14:textId="77777777" w:rsidR="00B15A58" w:rsidRDefault="00B15A58" w:rsidP="00B15A58">
            <w:pPr>
              <w:pStyle w:val="TableBullet"/>
            </w:pPr>
            <w:r>
              <w:t>Non-road</w:t>
            </w:r>
            <w:r>
              <w:rPr>
                <w:vertAlign w:val="superscript"/>
              </w:rPr>
              <w:t>7</w:t>
            </w:r>
          </w:p>
        </w:tc>
        <w:tc>
          <w:tcPr>
            <w:tcW w:w="1233" w:type="dxa"/>
          </w:tcPr>
          <w:p w14:paraId="2C3F3C23" w14:textId="2323AAF0" w:rsidR="00B15A58" w:rsidRDefault="00B15A58" w:rsidP="00B15A58">
            <w:pPr>
              <w:pStyle w:val="TableText"/>
              <w:jc w:val="center"/>
            </w:pPr>
            <w:r w:rsidRPr="00107C14">
              <w:t>n/a</w:t>
            </w:r>
          </w:p>
        </w:tc>
        <w:tc>
          <w:tcPr>
            <w:tcW w:w="1233" w:type="dxa"/>
          </w:tcPr>
          <w:p w14:paraId="10F2D366" w14:textId="7952C7BE" w:rsidR="00B15A58" w:rsidRDefault="00B15A58" w:rsidP="00B15A58">
            <w:pPr>
              <w:pStyle w:val="TableText"/>
              <w:jc w:val="center"/>
            </w:pPr>
            <w:r w:rsidRPr="00107C14">
              <w:t>84%</w:t>
            </w:r>
          </w:p>
        </w:tc>
        <w:tc>
          <w:tcPr>
            <w:tcW w:w="1233" w:type="dxa"/>
          </w:tcPr>
          <w:p w14:paraId="4EA4B660" w14:textId="771FECBF" w:rsidR="00B15A58" w:rsidRDefault="00B15A58" w:rsidP="00B15A58">
            <w:pPr>
              <w:pStyle w:val="TableText"/>
              <w:jc w:val="center"/>
            </w:pPr>
            <w:r w:rsidRPr="00107C14">
              <w:t>89%</w:t>
            </w:r>
          </w:p>
        </w:tc>
        <w:tc>
          <w:tcPr>
            <w:tcW w:w="1234" w:type="dxa"/>
          </w:tcPr>
          <w:p w14:paraId="1FF5598E" w14:textId="51542231" w:rsidR="00B15A58" w:rsidRDefault="00B15A58" w:rsidP="00B15A58">
            <w:pPr>
              <w:pStyle w:val="TableText"/>
              <w:jc w:val="center"/>
            </w:pPr>
            <w:r w:rsidRPr="00107C14">
              <w:t>95%</w:t>
            </w:r>
          </w:p>
        </w:tc>
        <w:tc>
          <w:tcPr>
            <w:tcW w:w="1233" w:type="dxa"/>
          </w:tcPr>
          <w:p w14:paraId="2279621F" w14:textId="2FC59406" w:rsidR="00B15A58" w:rsidRDefault="00B15A58" w:rsidP="00B15A58">
            <w:pPr>
              <w:pStyle w:val="TableText"/>
              <w:jc w:val="center"/>
            </w:pPr>
            <w:r>
              <w:t>96%</w:t>
            </w:r>
          </w:p>
        </w:tc>
        <w:tc>
          <w:tcPr>
            <w:tcW w:w="1233" w:type="dxa"/>
          </w:tcPr>
          <w:p w14:paraId="25B60852" w14:textId="586C721A" w:rsidR="00B15A58" w:rsidRDefault="00B15A58" w:rsidP="00B15A58">
            <w:pPr>
              <w:pStyle w:val="TableText"/>
              <w:jc w:val="center"/>
            </w:pPr>
            <w:r w:rsidRPr="002A353E">
              <w:t>n/a</w:t>
            </w:r>
          </w:p>
        </w:tc>
        <w:tc>
          <w:tcPr>
            <w:tcW w:w="1234" w:type="dxa"/>
          </w:tcPr>
          <w:p w14:paraId="5369E916" w14:textId="7763AC5D" w:rsidR="00B15A58" w:rsidRDefault="00B15A58" w:rsidP="00B15A58">
            <w:pPr>
              <w:pStyle w:val="TableText"/>
              <w:jc w:val="center"/>
            </w:pPr>
            <w:r w:rsidRPr="002A353E">
              <w:t>42 | 0</w:t>
            </w:r>
          </w:p>
        </w:tc>
        <w:tc>
          <w:tcPr>
            <w:tcW w:w="1233" w:type="dxa"/>
          </w:tcPr>
          <w:p w14:paraId="211FCCC8" w14:textId="169789FE" w:rsidR="00B15A58" w:rsidRDefault="00B15A58" w:rsidP="00B15A58">
            <w:pPr>
              <w:pStyle w:val="TableText"/>
              <w:jc w:val="center"/>
            </w:pPr>
            <w:r w:rsidRPr="002A353E">
              <w:t>18 | 0</w:t>
            </w:r>
          </w:p>
        </w:tc>
        <w:tc>
          <w:tcPr>
            <w:tcW w:w="1233" w:type="dxa"/>
          </w:tcPr>
          <w:p w14:paraId="5BFFDBB0" w14:textId="5C77BF38" w:rsidR="00B15A58" w:rsidRDefault="00B15A58" w:rsidP="00B15A58">
            <w:pPr>
              <w:pStyle w:val="TableText"/>
              <w:jc w:val="center"/>
            </w:pPr>
            <w:r w:rsidRPr="002A353E">
              <w:t>25 | 0</w:t>
            </w:r>
          </w:p>
        </w:tc>
        <w:tc>
          <w:tcPr>
            <w:tcW w:w="1234" w:type="dxa"/>
          </w:tcPr>
          <w:p w14:paraId="019BD046" w14:textId="13A19104" w:rsidR="00B15A58" w:rsidRDefault="00096C90" w:rsidP="00B15A58">
            <w:pPr>
              <w:pStyle w:val="TableText"/>
              <w:jc w:val="center"/>
            </w:pPr>
            <w:r>
              <w:t>3</w:t>
            </w:r>
            <w:r w:rsidR="006C0DDA">
              <w:t>4</w:t>
            </w:r>
            <w:r>
              <w:t xml:space="preserve"> </w:t>
            </w:r>
            <w:r w:rsidR="00B15A58">
              <w:t>| 4</w:t>
            </w:r>
          </w:p>
        </w:tc>
      </w:tr>
      <w:tr w:rsidR="00B15A58" w14:paraId="3C916F2E" w14:textId="77777777" w:rsidTr="00FB2E1B">
        <w:tc>
          <w:tcPr>
            <w:tcW w:w="2268" w:type="dxa"/>
          </w:tcPr>
          <w:p w14:paraId="5F5A7930" w14:textId="77777777" w:rsidR="00B15A58" w:rsidRPr="00392BA9" w:rsidRDefault="00B15A58" w:rsidP="00B15A58">
            <w:pPr>
              <w:pStyle w:val="TableText"/>
              <w:rPr>
                <w:vertAlign w:val="superscript"/>
              </w:rPr>
            </w:pPr>
            <w:r>
              <w:t>Planning &amp; record keeping</w:t>
            </w:r>
            <w:r>
              <w:rPr>
                <w:vertAlign w:val="superscript"/>
              </w:rPr>
              <w:t>7</w:t>
            </w:r>
          </w:p>
        </w:tc>
        <w:tc>
          <w:tcPr>
            <w:tcW w:w="1233" w:type="dxa"/>
          </w:tcPr>
          <w:p w14:paraId="2CE7FF3B" w14:textId="484B7458" w:rsidR="00B15A58" w:rsidRDefault="00B15A58" w:rsidP="00B15A58">
            <w:pPr>
              <w:pStyle w:val="TableText"/>
              <w:jc w:val="center"/>
            </w:pPr>
            <w:r w:rsidRPr="00107C14">
              <w:t>n/a</w:t>
            </w:r>
          </w:p>
        </w:tc>
        <w:tc>
          <w:tcPr>
            <w:tcW w:w="1233" w:type="dxa"/>
          </w:tcPr>
          <w:p w14:paraId="5B373746" w14:textId="538E9EBE" w:rsidR="00B15A58" w:rsidRDefault="00B15A58" w:rsidP="00B15A58">
            <w:pPr>
              <w:pStyle w:val="TableText"/>
              <w:jc w:val="center"/>
            </w:pPr>
            <w:r w:rsidRPr="00107C14">
              <w:t>92%</w:t>
            </w:r>
          </w:p>
        </w:tc>
        <w:tc>
          <w:tcPr>
            <w:tcW w:w="1233" w:type="dxa"/>
          </w:tcPr>
          <w:p w14:paraId="70506526" w14:textId="64F3D153" w:rsidR="00B15A58" w:rsidRDefault="00B15A58" w:rsidP="00B15A58">
            <w:pPr>
              <w:pStyle w:val="TableText"/>
              <w:jc w:val="center"/>
            </w:pPr>
            <w:r w:rsidRPr="00107C14">
              <w:t>94%</w:t>
            </w:r>
          </w:p>
        </w:tc>
        <w:tc>
          <w:tcPr>
            <w:tcW w:w="1234" w:type="dxa"/>
          </w:tcPr>
          <w:p w14:paraId="57455226" w14:textId="690B5366" w:rsidR="00B15A58" w:rsidRDefault="00B15A58" w:rsidP="00B15A58">
            <w:pPr>
              <w:pStyle w:val="TableText"/>
              <w:jc w:val="center"/>
            </w:pPr>
            <w:r w:rsidRPr="00107C14">
              <w:t>97%</w:t>
            </w:r>
          </w:p>
        </w:tc>
        <w:tc>
          <w:tcPr>
            <w:tcW w:w="1233" w:type="dxa"/>
          </w:tcPr>
          <w:p w14:paraId="196D52A6" w14:textId="384511C2" w:rsidR="00B15A58" w:rsidRDefault="00C32F4D" w:rsidP="00B15A58">
            <w:pPr>
              <w:pStyle w:val="TableText"/>
              <w:jc w:val="center"/>
            </w:pPr>
            <w:r>
              <w:t>98</w:t>
            </w:r>
            <w:r w:rsidR="00B15A58">
              <w:t>%</w:t>
            </w:r>
          </w:p>
        </w:tc>
        <w:tc>
          <w:tcPr>
            <w:tcW w:w="1233" w:type="dxa"/>
          </w:tcPr>
          <w:p w14:paraId="120871CA" w14:textId="1D68E9D7" w:rsidR="00B15A58" w:rsidRDefault="00B15A58" w:rsidP="00B15A58">
            <w:pPr>
              <w:pStyle w:val="TableText"/>
              <w:jc w:val="center"/>
            </w:pPr>
            <w:r w:rsidRPr="002A353E">
              <w:t>n/a</w:t>
            </w:r>
          </w:p>
        </w:tc>
        <w:tc>
          <w:tcPr>
            <w:tcW w:w="1234" w:type="dxa"/>
          </w:tcPr>
          <w:p w14:paraId="690210CC" w14:textId="0C328255" w:rsidR="00B15A58" w:rsidRDefault="00B15A58" w:rsidP="00B15A58">
            <w:pPr>
              <w:pStyle w:val="TableText"/>
              <w:jc w:val="center"/>
            </w:pPr>
            <w:r w:rsidRPr="002A353E">
              <w:t>19 | 10</w:t>
            </w:r>
          </w:p>
        </w:tc>
        <w:tc>
          <w:tcPr>
            <w:tcW w:w="1233" w:type="dxa"/>
          </w:tcPr>
          <w:p w14:paraId="0F4B47B7" w14:textId="16F32737" w:rsidR="00B15A58" w:rsidRDefault="00B15A58" w:rsidP="00B15A58">
            <w:pPr>
              <w:pStyle w:val="TableText"/>
              <w:jc w:val="center"/>
            </w:pPr>
            <w:r w:rsidRPr="002A353E">
              <w:t>19 | 1</w:t>
            </w:r>
          </w:p>
        </w:tc>
        <w:tc>
          <w:tcPr>
            <w:tcW w:w="1233" w:type="dxa"/>
          </w:tcPr>
          <w:p w14:paraId="560AF6A5" w14:textId="2FC43FB6" w:rsidR="00B15A58" w:rsidRDefault="00B15A58" w:rsidP="00B15A58">
            <w:pPr>
              <w:pStyle w:val="TableText"/>
              <w:jc w:val="center"/>
            </w:pPr>
            <w:r w:rsidRPr="002A353E">
              <w:t>13 | 2</w:t>
            </w:r>
          </w:p>
        </w:tc>
        <w:tc>
          <w:tcPr>
            <w:tcW w:w="1234" w:type="dxa"/>
          </w:tcPr>
          <w:p w14:paraId="7DA4F67F" w14:textId="11BEA359" w:rsidR="00B15A58" w:rsidRDefault="00096C90" w:rsidP="00B15A58">
            <w:pPr>
              <w:pStyle w:val="TableText"/>
              <w:jc w:val="center"/>
            </w:pPr>
            <w:r>
              <w:t>3</w:t>
            </w:r>
            <w:r w:rsidR="006C0DDA">
              <w:t>3</w:t>
            </w:r>
            <w:r>
              <w:t xml:space="preserve"> </w:t>
            </w:r>
            <w:r w:rsidR="00B15A58">
              <w:t xml:space="preserve">| </w:t>
            </w:r>
            <w:r>
              <w:t>1</w:t>
            </w:r>
            <w:r w:rsidR="006C0DDA">
              <w:t>0</w:t>
            </w:r>
          </w:p>
        </w:tc>
      </w:tr>
    </w:tbl>
    <w:p w14:paraId="32631A18" w14:textId="23D7FB99" w:rsidR="0059655D" w:rsidRDefault="0059655D" w:rsidP="0059655D">
      <w:pPr>
        <w:pStyle w:val="TableText"/>
      </w:pPr>
      <w:r>
        <w:t>Notes</w:t>
      </w:r>
      <w:r w:rsidR="00B15A58">
        <w:t xml:space="preserve"> </w:t>
      </w:r>
      <w:r w:rsidR="00502ABD">
        <w:t xml:space="preserve">1-7 </w:t>
      </w:r>
      <w:r w:rsidR="00B15A58">
        <w:t xml:space="preserve">as per </w:t>
      </w:r>
      <w:r w:rsidR="00B15A58">
        <w:fldChar w:fldCharType="begin"/>
      </w:r>
      <w:r w:rsidR="00B15A58">
        <w:instrText xml:space="preserve"> REF _Ref121113764 \h </w:instrText>
      </w:r>
      <w:r w:rsidR="00B15A58">
        <w:fldChar w:fldCharType="separate"/>
      </w:r>
      <w:r w:rsidR="00130DCF" w:rsidRPr="009038E7">
        <w:t>Table</w:t>
      </w:r>
      <w:r w:rsidR="00130DCF">
        <w:t> </w:t>
      </w:r>
      <w:r w:rsidR="00130DCF">
        <w:rPr>
          <w:noProof/>
        </w:rPr>
        <w:t>5-3</w:t>
      </w:r>
      <w:r w:rsidR="00B15A58">
        <w:fldChar w:fldCharType="end"/>
      </w:r>
    </w:p>
    <w:p w14:paraId="353CF825" w14:textId="2AA880DA" w:rsidR="00502ABD" w:rsidRDefault="00502ABD" w:rsidP="00C31A7B">
      <w:pPr>
        <w:pStyle w:val="TableNumber"/>
      </w:pPr>
      <w:r>
        <w:t>The 2021-22 audit included 32 coupes, whereas all previous audits included 30 coupes.</w:t>
      </w:r>
    </w:p>
    <w:p w14:paraId="106CC998" w14:textId="77777777" w:rsidR="004F0387" w:rsidRDefault="004F0387" w:rsidP="00FB2E1B">
      <w:pPr>
        <w:pStyle w:val="BodyText"/>
      </w:pPr>
    </w:p>
    <w:p w14:paraId="741404C8" w14:textId="77777777" w:rsidR="004F0387" w:rsidRDefault="004F0387" w:rsidP="00FB2E1B">
      <w:pPr>
        <w:sectPr w:rsidR="004F0387" w:rsidSect="00FB2E1B">
          <w:headerReference w:type="even" r:id="rId86"/>
          <w:headerReference w:type="default" r:id="rId87"/>
          <w:footerReference w:type="even" r:id="rId88"/>
          <w:footerReference w:type="default" r:id="rId89"/>
          <w:headerReference w:type="first" r:id="rId90"/>
          <w:footerReference w:type="first" r:id="rId91"/>
          <w:pgSz w:w="16838" w:h="11906" w:orient="landscape" w:code="9"/>
          <w:pgMar w:top="1134" w:right="1134" w:bottom="567" w:left="1134" w:header="567" w:footer="0" w:gutter="0"/>
          <w:cols w:space="720"/>
          <w:docGrid w:linePitch="360"/>
        </w:sectPr>
      </w:pPr>
    </w:p>
    <w:p w14:paraId="0216A1D6" w14:textId="1B153AEE" w:rsidR="000A1B5A" w:rsidRDefault="000A1B5A" w:rsidP="000A1B5A">
      <w:pPr>
        <w:pStyle w:val="Heading2"/>
      </w:pPr>
      <w:bookmarkStart w:id="164" w:name="_Toc131178695"/>
      <w:bookmarkStart w:id="165" w:name="_Toc131178696"/>
      <w:bookmarkStart w:id="166" w:name="_Toc131178697"/>
      <w:bookmarkEnd w:id="164"/>
      <w:bookmarkEnd w:id="165"/>
      <w:r>
        <w:lastRenderedPageBreak/>
        <w:t>Fire salvage harvesting</w:t>
      </w:r>
      <w:bookmarkEnd w:id="166"/>
    </w:p>
    <w:p w14:paraId="394B5134" w14:textId="3CB0BD16" w:rsidR="000A1B5A" w:rsidRDefault="000A1B5A" w:rsidP="000A1B5A">
      <w:pPr>
        <w:pStyle w:val="BodyText"/>
      </w:pPr>
      <w:r>
        <w:t>This and the previous audit included coupes harvested under</w:t>
      </w:r>
      <w:r w:rsidR="0012141F">
        <w:t xml:space="preserve"> MSP</w:t>
      </w:r>
      <w:r>
        <w:t xml:space="preserve"> fire salvage provisions (MSP Section 8). Fire salvage prescriptions prioritise harvesting of more severely burnt forests, enable harvesting (in Ash forests) to be conducted in larger coupes and provide additional protections to regenerating understorey</w:t>
      </w:r>
      <w:r w:rsidR="00303AAC">
        <w:t>, soils</w:t>
      </w:r>
      <w:r>
        <w:t xml:space="preserve"> and water quality. F</w:t>
      </w:r>
      <w:r w:rsidR="0069196A">
        <w:t>ifteen f</w:t>
      </w:r>
      <w:r>
        <w:t xml:space="preserve">ire salvage coupes were </w:t>
      </w:r>
      <w:r w:rsidR="0069196A">
        <w:t>included in the audit</w:t>
      </w:r>
      <w:r w:rsidR="00303AAC">
        <w:t>.</w:t>
      </w:r>
      <w:r w:rsidR="0069196A">
        <w:t xml:space="preserve"> </w:t>
      </w:r>
      <w:r w:rsidR="00303AAC">
        <w:t>T</w:t>
      </w:r>
      <w:r w:rsidR="0069196A">
        <w:t xml:space="preserve">hese were </w:t>
      </w:r>
      <w:r>
        <w:t>located in East Gippsland</w:t>
      </w:r>
      <w:r w:rsidR="0069196A">
        <w:t xml:space="preserve"> (7 coupes)</w:t>
      </w:r>
      <w:r>
        <w:t>, Tambo</w:t>
      </w:r>
      <w:r w:rsidR="0069196A">
        <w:t xml:space="preserve"> (</w:t>
      </w:r>
      <w:r w:rsidR="007D6257">
        <w:t>1</w:t>
      </w:r>
      <w:r w:rsidR="0069196A">
        <w:t xml:space="preserve"> coupe)</w:t>
      </w:r>
      <w:r>
        <w:t xml:space="preserve"> and North East </w:t>
      </w:r>
      <w:r w:rsidR="0069196A">
        <w:t xml:space="preserve">(7 </w:t>
      </w:r>
      <w:r w:rsidR="00303AAC">
        <w:t>coupes</w:t>
      </w:r>
      <w:r w:rsidR="0069196A">
        <w:t xml:space="preserve">) </w:t>
      </w:r>
      <w:r>
        <w:t xml:space="preserve">FMAs and all </w:t>
      </w:r>
      <w:r w:rsidR="00303AAC">
        <w:t>were affected by</w:t>
      </w:r>
      <w:r>
        <w:t xml:space="preserve"> fires </w:t>
      </w:r>
      <w:r w:rsidR="00303AAC">
        <w:t>during</w:t>
      </w:r>
      <w:r>
        <w:t xml:space="preserve"> the summer of 2019-20.</w:t>
      </w:r>
      <w:r w:rsidR="0069196A">
        <w:t xml:space="preserve"> </w:t>
      </w:r>
      <w:r w:rsidR="00303AAC">
        <w:t xml:space="preserve">A summary of the results of conformance with fire salvage prescriptions for these coupes is given in </w:t>
      </w:r>
      <w:r w:rsidR="00303AAC">
        <w:fldChar w:fldCharType="begin"/>
      </w:r>
      <w:r w:rsidR="00303AAC">
        <w:instrText xml:space="preserve"> REF _Ref121127315 \h </w:instrText>
      </w:r>
      <w:r w:rsidR="00303AAC">
        <w:fldChar w:fldCharType="separate"/>
      </w:r>
      <w:r w:rsidR="00130DCF" w:rsidRPr="009038E7">
        <w:t>Figure</w:t>
      </w:r>
      <w:r w:rsidR="00130DCF">
        <w:t> </w:t>
      </w:r>
      <w:r w:rsidR="00130DCF">
        <w:rPr>
          <w:noProof/>
        </w:rPr>
        <w:t>5</w:t>
      </w:r>
      <w:r w:rsidR="00130DCF">
        <w:noBreakHyphen/>
      </w:r>
      <w:r w:rsidR="00130DCF">
        <w:rPr>
          <w:noProof/>
        </w:rPr>
        <w:t>3</w:t>
      </w:r>
      <w:r w:rsidR="00303AAC">
        <w:fldChar w:fldCharType="end"/>
      </w:r>
      <w:r w:rsidR="00472494">
        <w:t>.</w:t>
      </w:r>
    </w:p>
    <w:p w14:paraId="224E7672" w14:textId="08F10ABD" w:rsidR="00303AAC" w:rsidRDefault="006C4F17" w:rsidP="000A1B5A">
      <w:pPr>
        <w:pStyle w:val="BodyText"/>
      </w:pPr>
      <w:r>
        <w:rPr>
          <w:noProof/>
        </w:rPr>
        <w:drawing>
          <wp:inline distT="0" distB="0" distL="0" distR="0" wp14:anchorId="69763867" wp14:editId="47FDFFD5">
            <wp:extent cx="6113721" cy="1846847"/>
            <wp:effectExtent l="0" t="0" r="1905"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2378" t="13488"/>
                    <a:stretch/>
                  </pic:blipFill>
                  <pic:spPr bwMode="auto">
                    <a:xfrm>
                      <a:off x="0" y="0"/>
                      <a:ext cx="6136523" cy="1853735"/>
                    </a:xfrm>
                    <a:prstGeom prst="rect">
                      <a:avLst/>
                    </a:prstGeom>
                    <a:noFill/>
                    <a:ln>
                      <a:noFill/>
                    </a:ln>
                    <a:extLst>
                      <a:ext uri="{53640926-AAD7-44D8-BBD7-CCE9431645EC}">
                        <a14:shadowObscured xmlns:a14="http://schemas.microsoft.com/office/drawing/2010/main"/>
                      </a:ext>
                    </a:extLst>
                  </pic:spPr>
                </pic:pic>
              </a:graphicData>
            </a:graphic>
          </wp:inline>
        </w:drawing>
      </w:r>
    </w:p>
    <w:p w14:paraId="277C8A22" w14:textId="6AB4E87A" w:rsidR="00303AAC" w:rsidRPr="004D738C" w:rsidRDefault="00303AAC" w:rsidP="00303AAC">
      <w:pPr>
        <w:pStyle w:val="TableText"/>
      </w:pPr>
      <w:r w:rsidRPr="004D738C">
        <w:t>a) Level of conformance with audit criteria. Conformance definitions (</w:t>
      </w:r>
      <w:r w:rsidRPr="00606E67">
        <w:t>Fully conforms</w:t>
      </w:r>
      <w:r>
        <w:t xml:space="preserve"> [full], </w:t>
      </w:r>
      <w:r w:rsidRPr="00606E67">
        <w:t xml:space="preserve">Non-conforming with no environmental impact </w:t>
      </w:r>
      <w:r>
        <w:t>[</w:t>
      </w:r>
      <w:r w:rsidR="00C77008">
        <w:t>N</w:t>
      </w:r>
      <w:r>
        <w:t>EI], N</w:t>
      </w:r>
      <w:r w:rsidRPr="00606E67">
        <w:t>on-conforming with environmental impact</w:t>
      </w:r>
      <w:r>
        <w:t xml:space="preserve"> [EI])</w:t>
      </w:r>
      <w:r w:rsidRPr="004D738C">
        <w:t xml:space="preserve"> as per </w:t>
      </w:r>
      <w:r w:rsidRPr="00A44D4D">
        <w:fldChar w:fldCharType="begin"/>
      </w:r>
      <w:r w:rsidRPr="00A44D4D">
        <w:instrText xml:space="preserve"> REF _Ref120088545 \h </w:instrText>
      </w:r>
      <w:r>
        <w:instrText xml:space="preserve"> \* MERGEFORMAT </w:instrText>
      </w:r>
      <w:r w:rsidRPr="00A44D4D">
        <w:fldChar w:fldCharType="separate"/>
      </w:r>
      <w:r w:rsidR="00130DCF" w:rsidRPr="009038E7">
        <w:t>Table</w:t>
      </w:r>
      <w:r w:rsidR="00130DCF">
        <w:t> 3-3</w:t>
      </w:r>
      <w:r w:rsidRPr="00A44D4D">
        <w:fldChar w:fldCharType="end"/>
      </w:r>
      <w:r w:rsidRPr="004D738C">
        <w:t>.</w:t>
      </w:r>
    </w:p>
    <w:p w14:paraId="6FCC0E92" w14:textId="7C22207F" w:rsidR="00303AAC" w:rsidRDefault="00472494" w:rsidP="00303AAC">
      <w:pPr>
        <w:pStyle w:val="BodyText"/>
      </w:pPr>
      <w:r>
        <w:rPr>
          <w:noProof/>
        </w:rPr>
        <w:drawing>
          <wp:inline distT="0" distB="0" distL="0" distR="0" wp14:anchorId="21482342" wp14:editId="6000713B">
            <wp:extent cx="6134100" cy="14506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l="1424" t="15377" r="1110" b="4265"/>
                    <a:stretch/>
                  </pic:blipFill>
                  <pic:spPr bwMode="auto">
                    <a:xfrm>
                      <a:off x="0" y="0"/>
                      <a:ext cx="6148324" cy="1454056"/>
                    </a:xfrm>
                    <a:prstGeom prst="rect">
                      <a:avLst/>
                    </a:prstGeom>
                    <a:noFill/>
                    <a:ln>
                      <a:noFill/>
                    </a:ln>
                    <a:extLst>
                      <a:ext uri="{53640926-AAD7-44D8-BBD7-CCE9431645EC}">
                        <a14:shadowObscured xmlns:a14="http://schemas.microsoft.com/office/drawing/2010/main"/>
                      </a:ext>
                    </a:extLst>
                  </pic:spPr>
                </pic:pic>
              </a:graphicData>
            </a:graphic>
          </wp:inline>
        </w:drawing>
      </w:r>
    </w:p>
    <w:p w14:paraId="0257D72D" w14:textId="77777777" w:rsidR="00303AAC" w:rsidRDefault="00303AAC" w:rsidP="00303AAC">
      <w:pPr>
        <w:pStyle w:val="TableText"/>
      </w:pPr>
      <w:r>
        <w:t>b) Number of compliance criteria with assessable environmental impact and the assessed level of impact for each instance of non-conformance.</w:t>
      </w:r>
    </w:p>
    <w:p w14:paraId="0C48EBFC" w14:textId="36A3B9C5" w:rsidR="00303AAC" w:rsidRDefault="00303AAC" w:rsidP="00FB2E1B">
      <w:pPr>
        <w:pStyle w:val="FigureCaption"/>
      </w:pPr>
      <w:bookmarkStart w:id="167" w:name="_Ref121127315"/>
      <w:bookmarkStart w:id="168" w:name="_Toc131178771"/>
      <w:r w:rsidRPr="009038E7">
        <w:t>Figure</w:t>
      </w:r>
      <w:r>
        <w:t> </w:t>
      </w:r>
      <w:fldSimple w:instr=" STYLEREF 1 \s ">
        <w:r w:rsidR="00130DCF">
          <w:rPr>
            <w:noProof/>
          </w:rPr>
          <w:t>5</w:t>
        </w:r>
      </w:fldSimple>
      <w:r w:rsidR="0039100E">
        <w:noBreakHyphen/>
      </w:r>
      <w:fldSimple w:instr=" SEQ Figure \* ARABIC \s 1 ">
        <w:r w:rsidR="00130DCF">
          <w:rPr>
            <w:noProof/>
          </w:rPr>
          <w:t>3</w:t>
        </w:r>
      </w:fldSimple>
      <w:bookmarkEnd w:id="167"/>
      <w:r>
        <w:rPr>
          <w:noProof/>
        </w:rPr>
        <w:t>.</w:t>
      </w:r>
      <w:r w:rsidRPr="009038E7">
        <w:t xml:space="preserve"> </w:t>
      </w:r>
      <w:r>
        <w:t>Compliance findings and assessed environmental impact for instances of non-conformance for fire salvage prescription criteria. The x-axis refers to the coupe numbers, as per Table 3-1.</w:t>
      </w:r>
      <w:r w:rsidR="00472494">
        <w:t xml:space="preserve"> </w:t>
      </w:r>
      <w:r w:rsidR="008C4715">
        <w:t>Fifteen</w:t>
      </w:r>
      <w:r w:rsidR="00472494">
        <w:t xml:space="preserve"> of the 32 coupes included in the audit were subject to fire salvage prescriptions.</w:t>
      </w:r>
      <w:bookmarkEnd w:id="168"/>
    </w:p>
    <w:p w14:paraId="5F08EDE1" w14:textId="1D28FE15" w:rsidR="00303AAC" w:rsidRDefault="00472494" w:rsidP="000A1B5A">
      <w:pPr>
        <w:pStyle w:val="BodyText"/>
      </w:pPr>
      <w:r>
        <w:t>The average level of full conformance with applicable fire salvage prescriptions was 96%</w:t>
      </w:r>
      <w:r w:rsidR="00E75C79">
        <w:t>, which is similar to the overall level of full conformance for all aspects of the regulatory framework</w:t>
      </w:r>
      <w:r>
        <w:t xml:space="preserve">. </w:t>
      </w:r>
      <w:r w:rsidR="00E75C79">
        <w:t xml:space="preserve">The level of full conformance ranged between 82% (21 Dow Jones) and 100% (10 coupes). </w:t>
      </w:r>
      <w:r>
        <w:t>Non-conformances with potential environmental impact were observed at five of the 15 fire salvage coupes, with the assessed level of impact being either minor or moderat</w:t>
      </w:r>
      <w:r w:rsidR="004A7CFE">
        <w:t>e</w:t>
      </w:r>
      <w:r>
        <w:t xml:space="preserve"> (</w:t>
      </w:r>
      <w:r>
        <w:fldChar w:fldCharType="begin"/>
      </w:r>
      <w:r>
        <w:instrText xml:space="preserve"> REF _Ref121127315 \h </w:instrText>
      </w:r>
      <w:r>
        <w:fldChar w:fldCharType="separate"/>
      </w:r>
      <w:r w:rsidR="00130DCF" w:rsidRPr="009038E7">
        <w:t>Figure</w:t>
      </w:r>
      <w:r w:rsidR="00130DCF">
        <w:t> </w:t>
      </w:r>
      <w:r w:rsidR="00130DCF">
        <w:rPr>
          <w:noProof/>
        </w:rPr>
        <w:t>5</w:t>
      </w:r>
      <w:r w:rsidR="00130DCF">
        <w:noBreakHyphen/>
      </w:r>
      <w:r w:rsidR="00130DCF">
        <w:rPr>
          <w:noProof/>
        </w:rPr>
        <w:t>3</w:t>
      </w:r>
      <w:r>
        <w:fldChar w:fldCharType="end"/>
      </w:r>
      <w:r>
        <w:t xml:space="preserve">). </w:t>
      </w:r>
    </w:p>
    <w:p w14:paraId="36CE9865" w14:textId="516775AC" w:rsidR="004A7CFE" w:rsidRDefault="004A7CFE" w:rsidP="000A1B5A">
      <w:pPr>
        <w:pStyle w:val="BodyText"/>
      </w:pPr>
      <w:r>
        <w:t>Non-conformances with fire salvage prescriptions resulted from seven individual incidents on five of the 15 coupes. Four of these related to excessive spacing between effective drainage structures on snig tracks (three incidents) or the in-coupe road (one incident). Two incidents related to waterway crossings and one incident involved harvesting in the planned riparian buffer (29 Pinball Wizard)</w:t>
      </w:r>
      <w:r w:rsidR="009E752C">
        <w:t>.</w:t>
      </w:r>
    </w:p>
    <w:p w14:paraId="091A315D" w14:textId="3522E20D" w:rsidR="00C52245" w:rsidRDefault="00C52245" w:rsidP="000A1B5A">
      <w:pPr>
        <w:pStyle w:val="BodyText"/>
      </w:pPr>
      <w:r>
        <w:t>One of the water</w:t>
      </w:r>
      <w:r w:rsidR="00F54FF5">
        <w:t>way crossing incidents (21 Dow Jones) relate</w:t>
      </w:r>
      <w:r w:rsidR="00393DF2">
        <w:t>s</w:t>
      </w:r>
      <w:r w:rsidR="00F54FF5">
        <w:t xml:space="preserve"> to the crossing of a drainage line by the in-coupe road. The crossing did not have drainage structures to take water away from the waterway at 20-40 m from the crossing point. As the crossing was of a drainage line, this would ordinarily </w:t>
      </w:r>
      <w:r w:rsidR="00134FE6">
        <w:t xml:space="preserve">not </w:t>
      </w:r>
      <w:r w:rsidR="00F54FF5">
        <w:t xml:space="preserve">be </w:t>
      </w:r>
      <w:r w:rsidR="00134FE6">
        <w:t>in</w:t>
      </w:r>
      <w:r w:rsidR="00F54FF5">
        <w:t>consistent with the MSPs. However</w:t>
      </w:r>
      <w:r w:rsidR="00E75C79">
        <w:t>,</w:t>
      </w:r>
      <w:r w:rsidR="00F54FF5">
        <w:t xml:space="preserve"> under salvage harvesting prescriptions (MSP 8.1.5.6), i</w:t>
      </w:r>
      <w:r w:rsidR="00F54FF5" w:rsidRPr="00F54FF5">
        <w:t>n restricted access and special water supply catchments a drainage structure</w:t>
      </w:r>
      <w:r w:rsidR="00F54FF5">
        <w:t xml:space="preserve"> must be located “</w:t>
      </w:r>
      <w:r w:rsidR="00F54FF5" w:rsidRPr="00F54FF5">
        <w:t xml:space="preserve">between 20 m to 40 m upslope of where a </w:t>
      </w:r>
      <w:r w:rsidR="00F54FF5" w:rsidRPr="00F54FF5">
        <w:lastRenderedPageBreak/>
        <w:t>road or vehicle route crosses any waterway</w:t>
      </w:r>
      <w:r w:rsidR="00F54FF5">
        <w:t>”</w:t>
      </w:r>
      <w:r w:rsidR="00F54FF5" w:rsidRPr="00F54FF5">
        <w:t>.</w:t>
      </w:r>
      <w:r w:rsidR="00F54FF5">
        <w:t xml:space="preserve"> As such, the drainage interception structures are required in advance of waterway crossings on drainage lines, as well as temporary and permanent streams. </w:t>
      </w:r>
    </w:p>
    <w:p w14:paraId="7D34106F" w14:textId="70D221FF" w:rsidR="00C52245" w:rsidRDefault="00E75C79" w:rsidP="000A1B5A">
      <w:pPr>
        <w:pStyle w:val="BodyText"/>
      </w:pPr>
      <w:r>
        <w:t xml:space="preserve">Discussion with VicForests staff accompanying some of the audits of fire salvage coupes highlighted ambiguity </w:t>
      </w:r>
      <w:r w:rsidR="00E62D0C">
        <w:t xml:space="preserve">in </w:t>
      </w:r>
      <w:r>
        <w:t xml:space="preserve">appropriate drain spacing on in-coupe roads and snig tracks. </w:t>
      </w:r>
      <w:r w:rsidR="00070E46">
        <w:t>As per MSP 8.1.5.4, buffer and filter widths in salvage coupes assume high or very high water quality risk, regardless of the actual soil conditions. On this basis VicForests staff typically assume that soil erosion hazard is also set to high and that drain spacings on in-coupe roads and snig and boundary tracks reflect their slope and high soil erosion hazard. This is not explicitly required by MSP 8.1.5.5, which requires that “</w:t>
      </w:r>
      <w:r w:rsidR="00070E46" w:rsidRPr="00070E46">
        <w:t xml:space="preserve">drainage structures for all coupe and haulage infrastructure </w:t>
      </w:r>
      <w:r w:rsidR="00070E46">
        <w:t>(</w:t>
      </w:r>
      <w:r w:rsidR="00AA23AD">
        <w:t xml:space="preserve">are </w:t>
      </w:r>
      <w:r w:rsidR="00070E46">
        <w:t xml:space="preserve">installed) </w:t>
      </w:r>
      <w:r w:rsidR="00070E46" w:rsidRPr="00070E46">
        <w:t>at an appropriate frequency to mitigate increased risks to water quality due to potential sediment loads associated with water flow in the fire affected terrain</w:t>
      </w:r>
      <w:r w:rsidR="00070E46">
        <w:t xml:space="preserve">”. Assuming soil erosion hazard is high is </w:t>
      </w:r>
      <w:r w:rsidR="00DC47D3">
        <w:t>a</w:t>
      </w:r>
      <w:r w:rsidR="00070E46">
        <w:t xml:space="preserve"> precautionary response to the risk posed by infrastructure to water quality, </w:t>
      </w:r>
      <w:r w:rsidR="00DC47D3">
        <w:t>as t</w:t>
      </w:r>
      <w:r w:rsidR="00C31A5A">
        <w:t xml:space="preserve">he areas onto which road or track drainage is disposed </w:t>
      </w:r>
      <w:r w:rsidR="008D127F">
        <w:t>are</w:t>
      </w:r>
      <w:r w:rsidR="00C31A5A">
        <w:t xml:space="preserve"> likely less able to infiltrate </w:t>
      </w:r>
      <w:r w:rsidR="008D1CCE">
        <w:t>it. However</w:t>
      </w:r>
      <w:r w:rsidR="00BF738B">
        <w:t>,</w:t>
      </w:r>
      <w:r w:rsidR="008D1CCE">
        <w:t xml:space="preserve"> the conditions on the roads and tracks themselves are not necessarily different to </w:t>
      </w:r>
      <w:r w:rsidR="00F145B9">
        <w:t>those in unburnt areas.</w:t>
      </w:r>
      <w:r w:rsidR="00070E46">
        <w:t xml:space="preserve"> </w:t>
      </w:r>
    </w:p>
    <w:p w14:paraId="1A2DB900" w14:textId="77777777" w:rsidR="00D2429A" w:rsidRDefault="00D2429A" w:rsidP="000A1B5A">
      <w:pPr>
        <w:pStyle w:val="BodyText"/>
      </w:pPr>
    </w:p>
    <w:tbl>
      <w:tblPr>
        <w:tblStyle w:val="JacobsTable1accentprimarythemes"/>
        <w:tblW w:w="0" w:type="auto"/>
        <w:tblLook w:val="04A0" w:firstRow="1" w:lastRow="0" w:firstColumn="1" w:lastColumn="0" w:noHBand="0" w:noVBand="1"/>
      </w:tblPr>
      <w:tblGrid>
        <w:gridCol w:w="9638"/>
      </w:tblGrid>
      <w:tr w:rsidR="006D42FA" w14:paraId="6A8C3973" w14:textId="77777777" w:rsidTr="006D42FA">
        <w:trPr>
          <w:cnfStyle w:val="100000000000" w:firstRow="1" w:lastRow="0" w:firstColumn="0" w:lastColumn="0" w:oddVBand="0" w:evenVBand="0" w:oddHBand="0" w:evenHBand="0" w:firstRowFirstColumn="0" w:firstRowLastColumn="0" w:lastRowFirstColumn="0" w:lastRowLastColumn="0"/>
        </w:trPr>
        <w:tc>
          <w:tcPr>
            <w:tcW w:w="9638" w:type="dxa"/>
          </w:tcPr>
          <w:p w14:paraId="6B3EFD67" w14:textId="3516DF98" w:rsidR="006D42FA" w:rsidRDefault="006D42FA" w:rsidP="006D42FA">
            <w:pPr>
              <w:pStyle w:val="TableText"/>
            </w:pPr>
            <w:r>
              <w:t>Recommendation D-01: Moderate priority</w:t>
            </w:r>
          </w:p>
        </w:tc>
      </w:tr>
      <w:tr w:rsidR="006D42FA" w14:paraId="22AB5212" w14:textId="77777777" w:rsidTr="006D42FA">
        <w:tc>
          <w:tcPr>
            <w:tcW w:w="9638" w:type="dxa"/>
          </w:tcPr>
          <w:p w14:paraId="2084D34F" w14:textId="29DC3D7D" w:rsidR="006D42FA" w:rsidRDefault="006D42FA" w:rsidP="006D42FA">
            <w:pPr>
              <w:pStyle w:val="TableText"/>
            </w:pPr>
            <w:r>
              <w:t xml:space="preserve">That </w:t>
            </w:r>
            <w:r w:rsidR="00500DFF">
              <w:t xml:space="preserve">DEECA </w:t>
            </w:r>
            <w:r>
              <w:t>review MSP fire salvage prescriptions and explicitly define how soil erosion hazard is to be treated in fire salvage coupes</w:t>
            </w:r>
            <w:r w:rsidR="006E5EA9">
              <w:t>, including for spacings between drainage structures on in-coupe roads and snig or boundary tracks</w:t>
            </w:r>
            <w:r>
              <w:t>.</w:t>
            </w:r>
          </w:p>
        </w:tc>
      </w:tr>
    </w:tbl>
    <w:p w14:paraId="28CF652C" w14:textId="08ABF031" w:rsidR="004F0387" w:rsidRDefault="00B849D0" w:rsidP="00B849D0">
      <w:pPr>
        <w:pStyle w:val="Heading2"/>
      </w:pPr>
      <w:bookmarkStart w:id="169" w:name="_Ref121199964"/>
      <w:bookmarkStart w:id="170" w:name="_Toc131178698"/>
      <w:r>
        <w:t>Precautionary principle</w:t>
      </w:r>
      <w:bookmarkEnd w:id="169"/>
      <w:bookmarkEnd w:id="170"/>
    </w:p>
    <w:p w14:paraId="247DD215" w14:textId="77777777" w:rsidR="00121AF8" w:rsidRDefault="00121AF8" w:rsidP="00121AF8">
      <w:pPr>
        <w:pStyle w:val="BodyText"/>
      </w:pPr>
      <w:r>
        <w:t xml:space="preserve">The Code 2.2.2.2 states, </w:t>
      </w:r>
    </w:p>
    <w:p w14:paraId="09F1304C" w14:textId="77777777" w:rsidR="00121AF8" w:rsidRPr="006D42FA" w:rsidRDefault="00121AF8" w:rsidP="00121AF8">
      <w:pPr>
        <w:pStyle w:val="BodyText1Number"/>
        <w:numPr>
          <w:ilvl w:val="0"/>
          <w:numId w:val="0"/>
        </w:numPr>
        <w:ind w:left="357"/>
        <w:rPr>
          <w:i/>
          <w:iCs/>
        </w:rPr>
      </w:pPr>
      <w:r w:rsidRPr="006D42FA">
        <w:rPr>
          <w:i/>
          <w:iCs/>
        </w:rPr>
        <w:t>The precautionary principle must be applied to the conservation of biodiversity values.  The application of the precautionary principle will be consistent with relevant monitoring and research that has improved the understanding of the effects of forest management on forest ecology and conservation values</w:t>
      </w:r>
      <w:r>
        <w:rPr>
          <w:i/>
          <w:iCs/>
        </w:rPr>
        <w:t>.</w:t>
      </w:r>
    </w:p>
    <w:p w14:paraId="4AC5E5AF" w14:textId="707EA0BE" w:rsidR="00121AF8" w:rsidRDefault="00121AF8" w:rsidP="00B849D0">
      <w:pPr>
        <w:pStyle w:val="BodyText"/>
      </w:pPr>
      <w:r>
        <w:t xml:space="preserve">The Code’s glossary defines “precautionary principle” to mean </w:t>
      </w:r>
      <w:r w:rsidRPr="00121AF8">
        <w:t>that if there are threats of serious or irreversible environmental damage, lack of full scientific certainty should not be used as a reason for postponing measures to prevent environmental degradation</w:t>
      </w:r>
      <w:r>
        <w:t xml:space="preserve">. </w:t>
      </w:r>
      <w:r w:rsidR="002E13C8">
        <w:t>In his findings on Environment East Gippsland Inc v VicForests, Osborn (2010) identified requirement</w:t>
      </w:r>
      <w:r w:rsidR="00FF37C2">
        <w:t>s</w:t>
      </w:r>
      <w:r w:rsidR="002E13C8">
        <w:t xml:space="preserve"> to consider on-going monitoring and research</w:t>
      </w:r>
      <w:r w:rsidR="00FF37C2">
        <w:t xml:space="preserve"> and the advice of relevant experts at all stages of planning and operations. This was coupled with a requirement to modify coupe size and dispersal in the landscape, as appropriate. Osborn (2010), drawing on legal precedent, also found that the precautionary principle was triggered where there was a threat of serious or irreversible environmental damage and there is the requisite degree of scientific uncertainty.</w:t>
      </w:r>
    </w:p>
    <w:p w14:paraId="1EF836A9" w14:textId="630826D0" w:rsidR="006D42FA" w:rsidRDefault="006D42FA" w:rsidP="00B849D0">
      <w:pPr>
        <w:pStyle w:val="BodyText"/>
      </w:pPr>
      <w:r>
        <w:t xml:space="preserve">The specification for the 2022 Forest Audit Program included a request to consider compliance measures under the precautionary principle for audit coupes in East Gippsland FMA. </w:t>
      </w:r>
      <w:r w:rsidR="00121AF8">
        <w:t>It listed species to be considered and posed four questions, as follows:</w:t>
      </w:r>
    </w:p>
    <w:p w14:paraId="31BD4D09" w14:textId="77777777" w:rsidR="00121AF8" w:rsidRDefault="00121AF8" w:rsidP="00121AF8">
      <w:pPr>
        <w:pStyle w:val="BodyText1Number"/>
        <w:ind w:left="360" w:hanging="360"/>
      </w:pPr>
      <w:r>
        <w:t xml:space="preserve">To what extent where pre-harvest flora and fauna surveys undertaken at each coupe? </w:t>
      </w:r>
    </w:p>
    <w:p w14:paraId="46412F8E" w14:textId="55D43C37" w:rsidR="00121AF8" w:rsidRDefault="00121AF8" w:rsidP="00121AF8">
      <w:pPr>
        <w:pStyle w:val="BodyText1Number"/>
        <w:ind w:left="360" w:hanging="360"/>
      </w:pPr>
      <w:r>
        <w:t xml:space="preserve">Where habitat distribution modelling indicates that a coupe is likely to contain habitat for species of concern to what extent was that species considered by VicForests in pre-harvest surveys or coupe planning? </w:t>
      </w:r>
    </w:p>
    <w:p w14:paraId="4DCA39E5" w14:textId="77777777" w:rsidR="00121AF8" w:rsidRDefault="00121AF8" w:rsidP="00121AF8">
      <w:pPr>
        <w:pStyle w:val="BodyText1Number"/>
        <w:ind w:left="360" w:hanging="360"/>
      </w:pPr>
      <w:r>
        <w:t xml:space="preserve">Where pre-harvest surveys were undertaken who did them? Forest Protection Survey Program (FPSP), VicForests staff, or a third-party contractor? </w:t>
      </w:r>
    </w:p>
    <w:p w14:paraId="6C4B091C" w14:textId="58FEC472" w:rsidR="00121AF8" w:rsidRDefault="00121AF8" w:rsidP="00121AF8">
      <w:pPr>
        <w:pStyle w:val="BodyText1Number"/>
        <w:ind w:left="360" w:hanging="360"/>
      </w:pPr>
      <w:r>
        <w:t xml:space="preserve">Where a species was identified (or presumed to be present) was/were suitable protection(s) put in place?  </w:t>
      </w:r>
    </w:p>
    <w:p w14:paraId="1C8E71CB" w14:textId="191A6D64" w:rsidR="00473DBC" w:rsidRDefault="003D51D9" w:rsidP="007A01C0">
      <w:pPr>
        <w:pStyle w:val="BodyText"/>
      </w:pPr>
      <w:r>
        <w:t xml:space="preserve">Application of these questions to the eight East Gippsland FMA coupes is summarised in </w:t>
      </w:r>
      <w:r w:rsidR="000A061B">
        <w:fldChar w:fldCharType="begin"/>
      </w:r>
      <w:r w:rsidR="000A061B">
        <w:instrText xml:space="preserve"> REF _Ref121192563 \h </w:instrText>
      </w:r>
      <w:r w:rsidR="000A061B">
        <w:fldChar w:fldCharType="separate"/>
      </w:r>
      <w:r w:rsidR="00130DCF" w:rsidRPr="009038E7">
        <w:t>Table</w:t>
      </w:r>
      <w:r w:rsidR="00130DCF">
        <w:t> </w:t>
      </w:r>
      <w:r w:rsidR="00130DCF">
        <w:rPr>
          <w:noProof/>
        </w:rPr>
        <w:t>5-5</w:t>
      </w:r>
      <w:r w:rsidR="000A061B">
        <w:fldChar w:fldCharType="end"/>
      </w:r>
      <w:r w:rsidR="00473DBC">
        <w:t xml:space="preserve"> and below</w:t>
      </w:r>
      <w:r w:rsidR="000A061B">
        <w:t>.</w:t>
      </w:r>
    </w:p>
    <w:p w14:paraId="624D0C66" w14:textId="09037764" w:rsidR="00473DBC" w:rsidRDefault="00473DBC" w:rsidP="00473DBC">
      <w:pPr>
        <w:pStyle w:val="Heading3"/>
      </w:pPr>
      <w:bookmarkStart w:id="171" w:name="_Toc131178699"/>
      <w:r>
        <w:t>Preharvest flora and fauna surveys</w:t>
      </w:r>
      <w:bookmarkEnd w:id="171"/>
    </w:p>
    <w:p w14:paraId="35AFA5BF" w14:textId="46C8A0EB" w:rsidR="003B69C4" w:rsidRDefault="003B69C4" w:rsidP="007A01C0">
      <w:pPr>
        <w:pStyle w:val="BodyText"/>
      </w:pPr>
      <w:r>
        <w:t xml:space="preserve">Digital FCPs prepared by VicForests for each of the eight East Gippsland coupes lists observations of threatened species recorded within and/or within 500 m of the coupe. In most cases these were </w:t>
      </w:r>
      <w:r w:rsidR="00BC2EE9">
        <w:t xml:space="preserve">apparently </w:t>
      </w:r>
      <w:r>
        <w:t xml:space="preserve">from Victorian Biodiversity Atlas (VBA) records or VicForests observations (particularly the calls of large owls were heard within or near the coupe). The FCPs noted that preharvest surveys conducted under </w:t>
      </w:r>
      <w:r w:rsidR="009E6D57">
        <w:t>DEECA’s (then DELWP’s)</w:t>
      </w:r>
      <w:r w:rsidR="009607F8">
        <w:t xml:space="preserve"> </w:t>
      </w:r>
      <w:r>
        <w:t>Forest Protection Survey Program (FPSP) were undertaken for just two of the coupes (25 Lior, 30 Plastic Moon</w:t>
      </w:r>
      <w:r w:rsidR="00BC2EE9">
        <w:t xml:space="preserve">; </w:t>
      </w:r>
      <w:r w:rsidR="00BC2EE9">
        <w:fldChar w:fldCharType="begin"/>
      </w:r>
      <w:r w:rsidR="00BC2EE9">
        <w:instrText xml:space="preserve"> REF _Ref121192563 \h </w:instrText>
      </w:r>
      <w:r w:rsidR="00BC2EE9">
        <w:fldChar w:fldCharType="separate"/>
      </w:r>
      <w:r w:rsidR="00130DCF" w:rsidRPr="009038E7">
        <w:t>Table</w:t>
      </w:r>
      <w:r w:rsidR="00130DCF">
        <w:t> </w:t>
      </w:r>
      <w:r w:rsidR="00130DCF">
        <w:rPr>
          <w:noProof/>
        </w:rPr>
        <w:t>5-5</w:t>
      </w:r>
      <w:r w:rsidR="00BC2EE9">
        <w:fldChar w:fldCharType="end"/>
      </w:r>
      <w:r>
        <w:t xml:space="preserve">). </w:t>
      </w:r>
      <w:r w:rsidR="00A276CC">
        <w:t xml:space="preserve">The plans for these coupes report species that were identified and not those that </w:t>
      </w:r>
      <w:r w:rsidR="00A276CC">
        <w:lastRenderedPageBreak/>
        <w:t>were searched for. It is not apparent from FCP records that any surveys were specifically conducted by VicForests to identify the presence of threatened species or their habitat.</w:t>
      </w:r>
    </w:p>
    <w:p w14:paraId="4CF36DBF" w14:textId="16B7E164" w:rsidR="00A276CC" w:rsidRDefault="00A276CC" w:rsidP="007A01C0">
      <w:pPr>
        <w:pStyle w:val="BodyText"/>
      </w:pPr>
      <w:r>
        <w:t>Locations of threatened species records</w:t>
      </w:r>
      <w:r w:rsidR="008C72F2">
        <w:t xml:space="preserve"> (from prior VBA observations or FPSP surveys)</w:t>
      </w:r>
      <w:r>
        <w:t xml:space="preserve"> are typically shown in the Operations Maps prepared by VicForests and provided to contractors</w:t>
      </w:r>
      <w:r w:rsidR="008C72F2">
        <w:t>.</w:t>
      </w:r>
      <w:r>
        <w:t xml:space="preserve"> </w:t>
      </w:r>
    </w:p>
    <w:p w14:paraId="193C7754" w14:textId="7727BFDF" w:rsidR="00B849D0" w:rsidRDefault="003B69C4" w:rsidP="007A01C0">
      <w:pPr>
        <w:pStyle w:val="BodyText"/>
      </w:pPr>
      <w:r>
        <w:t xml:space="preserve">Seven of the eight East Gippsland coupes (all but 25 Lior) were </w:t>
      </w:r>
      <w:r w:rsidR="00BC2EE9">
        <w:t xml:space="preserve">extensively </w:t>
      </w:r>
      <w:r>
        <w:t>affected by the 2019-20 bushfires and harvested under</w:t>
      </w:r>
      <w:r w:rsidR="00BC2EE9">
        <w:t xml:space="preserve"> fire salvage prescriptions. In that context, pre-harvest surveys</w:t>
      </w:r>
      <w:r w:rsidR="00A276CC">
        <w:t xml:space="preserve"> in those coupes</w:t>
      </w:r>
      <w:r w:rsidR="00BC2EE9">
        <w:t xml:space="preserve"> </w:t>
      </w:r>
      <w:r w:rsidR="00A276CC">
        <w:t>would likely</w:t>
      </w:r>
      <w:r w:rsidR="00BC2EE9">
        <w:t xml:space="preserve"> have been inappropriate, due both to the effects of the fires </w:t>
      </w:r>
      <w:r w:rsidR="006D6DF7">
        <w:t xml:space="preserve">on fauna and flora </w:t>
      </w:r>
      <w:r w:rsidR="00BC2EE9">
        <w:t>and safety concerns</w:t>
      </w:r>
      <w:r w:rsidR="0067505A">
        <w:t xml:space="preserve"> for </w:t>
      </w:r>
      <w:r w:rsidR="002C245B">
        <w:t>those conducting the surveys</w:t>
      </w:r>
      <w:r w:rsidR="00BC2EE9">
        <w:t xml:space="preserve">. </w:t>
      </w:r>
    </w:p>
    <w:p w14:paraId="2B4948AE" w14:textId="78E7C9E1" w:rsidR="00BC2EE9" w:rsidRDefault="00BC2EE9" w:rsidP="00BC2EE9">
      <w:pPr>
        <w:pStyle w:val="Heading3"/>
      </w:pPr>
      <w:bookmarkStart w:id="172" w:name="_Toc131178700"/>
      <w:r>
        <w:t>Application of habitat distribution models</w:t>
      </w:r>
      <w:bookmarkEnd w:id="172"/>
    </w:p>
    <w:p w14:paraId="6F38A722" w14:textId="3E2FD13D" w:rsidR="00BC2EE9" w:rsidRDefault="00BC2EE9" w:rsidP="00BC2EE9">
      <w:pPr>
        <w:pStyle w:val="BodyText"/>
      </w:pPr>
      <w:r>
        <w:t xml:space="preserve">Digital FCPs for all eight coupes record extensive use of habitat distribution models (HDM; see </w:t>
      </w:r>
      <w:r>
        <w:fldChar w:fldCharType="begin"/>
      </w:r>
      <w:r>
        <w:instrText xml:space="preserve"> REF _Ref121192563 \h </w:instrText>
      </w:r>
      <w:r>
        <w:fldChar w:fldCharType="separate"/>
      </w:r>
      <w:r w:rsidR="00130DCF" w:rsidRPr="009038E7">
        <w:t>Table</w:t>
      </w:r>
      <w:r w:rsidR="00130DCF">
        <w:t> </w:t>
      </w:r>
      <w:r w:rsidR="00130DCF">
        <w:rPr>
          <w:noProof/>
        </w:rPr>
        <w:t>5-5</w:t>
      </w:r>
      <w:r>
        <w:fldChar w:fldCharType="end"/>
      </w:r>
      <w:r>
        <w:t>)</w:t>
      </w:r>
      <w:r w:rsidR="00A276CC">
        <w:t xml:space="preserve"> to identify threatened flora and fauna species that may be present on the coupe (or may have been, but for the effect of the 2019-20 bushfires) and demonstrate application of the precautionary principle</w:t>
      </w:r>
      <w:r>
        <w:t xml:space="preserve">. The FCPs appear to only record the use of HDM where the coupe intersects modelled habitat and hence do not necessarily reflect </w:t>
      </w:r>
      <w:r w:rsidR="00A276CC">
        <w:t xml:space="preserve">either </w:t>
      </w:r>
      <w:r>
        <w:t>the full effort to identify whether threatened flora and fauna may be present</w:t>
      </w:r>
      <w:r w:rsidR="00A276CC">
        <w:t xml:space="preserve"> or to apply the precautionary principle.</w:t>
      </w:r>
    </w:p>
    <w:p w14:paraId="6067764A" w14:textId="49DD5BC2" w:rsidR="00A276CC" w:rsidRDefault="00A276CC" w:rsidP="00A276CC">
      <w:pPr>
        <w:pStyle w:val="Heading3"/>
      </w:pPr>
      <w:bookmarkStart w:id="173" w:name="_Toc131178701"/>
      <w:r>
        <w:t>Management responses</w:t>
      </w:r>
      <w:bookmarkEnd w:id="173"/>
    </w:p>
    <w:p w14:paraId="4C15EE6D" w14:textId="484F11E5" w:rsidR="00A276CC" w:rsidRDefault="008C72F2" w:rsidP="00A276CC">
      <w:pPr>
        <w:pStyle w:val="BodyText"/>
      </w:pPr>
      <w:r>
        <w:t>Section 4 of the digital FCPs includes the outcomes of values checking applicable to the coupe and specifies how any values present are to be managed. Part 4 of the values checking section addresses biodiversity values and includes details on threatened ecological vegetation communities (e.g., rainforest, MRT), threatened flora and fauna species and the presence of large or giant trees.</w:t>
      </w:r>
    </w:p>
    <w:p w14:paraId="1C6E56FC" w14:textId="73325912" w:rsidR="008C72F2" w:rsidRDefault="008C72F2" w:rsidP="00A276CC">
      <w:pPr>
        <w:pStyle w:val="BodyText"/>
      </w:pPr>
      <w:r>
        <w:t xml:space="preserve">Specific management responses are provided for each threatened species record and where HDMs indicate the likely presence of a threatened species. These responses (see </w:t>
      </w:r>
      <w:r>
        <w:fldChar w:fldCharType="begin"/>
      </w:r>
      <w:r>
        <w:instrText xml:space="preserve"> REF _Ref121192563 \h </w:instrText>
      </w:r>
      <w:r>
        <w:fldChar w:fldCharType="separate"/>
      </w:r>
      <w:r w:rsidR="00130DCF" w:rsidRPr="009038E7">
        <w:t>Table</w:t>
      </w:r>
      <w:r w:rsidR="00130DCF">
        <w:t> </w:t>
      </w:r>
      <w:r w:rsidR="00130DCF">
        <w:rPr>
          <w:noProof/>
        </w:rPr>
        <w:t>5-5</w:t>
      </w:r>
      <w:r>
        <w:fldChar w:fldCharType="end"/>
      </w:r>
      <w:r>
        <w:t>) for the eight East Gippsland coupes fell into several categories:</w:t>
      </w:r>
    </w:p>
    <w:p w14:paraId="7030378F" w14:textId="6B382E64" w:rsidR="008C72F2" w:rsidRPr="00CA5DF3" w:rsidRDefault="008C72F2" w:rsidP="008C72F2">
      <w:pPr>
        <w:pStyle w:val="BulletLevel1"/>
        <w:rPr>
          <w:i/>
          <w:iCs/>
        </w:rPr>
      </w:pPr>
      <w:r w:rsidRPr="008C72F2">
        <w:rPr>
          <w:i/>
          <w:iCs/>
        </w:rPr>
        <w:t xml:space="preserve">Riparian buffers and reserves: </w:t>
      </w:r>
      <w:r>
        <w:t xml:space="preserve">these were provided in all cases where </w:t>
      </w:r>
      <w:r w:rsidR="00CA5DF3">
        <w:t>species using waterways (e.g., Long-footed Potoroo (LFP), large frogs, crayfish, galaxids) were identified in records or habitat models. Buffer widths were based on either LFP prescriptions or fire salvage prescriptions for catchments in where galaxids are present.</w:t>
      </w:r>
    </w:p>
    <w:p w14:paraId="22DBFFF8" w14:textId="14FCD1A5" w:rsidR="00CA5DF3" w:rsidRPr="00CA5DF3" w:rsidRDefault="00CA5DF3" w:rsidP="008C72F2">
      <w:pPr>
        <w:pStyle w:val="BulletLevel1"/>
        <w:rPr>
          <w:i/>
          <w:iCs/>
        </w:rPr>
      </w:pPr>
      <w:r>
        <w:rPr>
          <w:i/>
          <w:iCs/>
        </w:rPr>
        <w:t xml:space="preserve">Silvicultural regime: </w:t>
      </w:r>
      <w:r>
        <w:t xml:space="preserve">all coupes were managed under VicForests adaptive silviculture for variable retention 1 system. This involves retention of habitat patches and at least 10 retained trees per hectare. In several of the coupes, 40% of the pre-harvest basal area was to be retained. These management actions </w:t>
      </w:r>
      <w:r w:rsidR="00D2429A">
        <w:t>appear to have been</w:t>
      </w:r>
      <w:r>
        <w:t xml:space="preserve"> consider</w:t>
      </w:r>
      <w:r w:rsidR="00D2429A">
        <w:t xml:space="preserve">ed </w:t>
      </w:r>
      <w:r w:rsidR="00E92C05">
        <w:t>appropriate for the</w:t>
      </w:r>
      <w:r w:rsidR="00D2429A">
        <w:t xml:space="preserve"> protection of a wide range of threatened species, including gliders, large owls and threatened flora.</w:t>
      </w:r>
    </w:p>
    <w:p w14:paraId="12B4C5CB" w14:textId="31CED2E2" w:rsidR="00CA5DF3" w:rsidRPr="008C72F2" w:rsidRDefault="00CA5DF3" w:rsidP="008C72F2">
      <w:pPr>
        <w:pStyle w:val="BulletLevel1"/>
        <w:rPr>
          <w:i/>
          <w:iCs/>
        </w:rPr>
      </w:pPr>
      <w:r>
        <w:rPr>
          <w:i/>
          <w:iCs/>
        </w:rPr>
        <w:t xml:space="preserve">Creation of SPZ/SMZ: </w:t>
      </w:r>
      <w:r>
        <w:t>these would be created if nesting or roosting sites for large owls were identified. While the FCP included provision for these, no nesting or roosting sites were identified within the coupes and so no new SPZ or SMZ were created.</w:t>
      </w:r>
    </w:p>
    <w:p w14:paraId="4CC18747" w14:textId="21456E11" w:rsidR="00A276CC" w:rsidRDefault="00CA5DF3" w:rsidP="00A276CC">
      <w:pPr>
        <w:pStyle w:val="BodyText"/>
      </w:pPr>
      <w:r>
        <w:t xml:space="preserve">Observations during the field audits </w:t>
      </w:r>
      <w:r w:rsidR="00D2429A">
        <w:t>indicate that the proposed protection measures were put in place. In some cases, it was proposed that retained habitat be surrounded by mineral earth fire breaks to protect them from any effects of regeneration burning. While mineral earth breaks were present in some instances, these were not generally applicable due to the effects of the 2019-20 bushfires.</w:t>
      </w:r>
    </w:p>
    <w:p w14:paraId="7F9C3E6A" w14:textId="4FC3012F" w:rsidR="00D2429A" w:rsidDel="00574A74" w:rsidRDefault="00D2429A" w:rsidP="00D2429A">
      <w:pPr>
        <w:pStyle w:val="Heading3"/>
      </w:pPr>
      <w:bookmarkStart w:id="174" w:name="_Toc131178702"/>
      <w:r w:rsidDel="00574A74">
        <w:t>Application of precautionary principle</w:t>
      </w:r>
      <w:bookmarkEnd w:id="174"/>
    </w:p>
    <w:p w14:paraId="768CFE5C" w14:textId="1F4102AA" w:rsidR="00D2429A" w:rsidRDefault="00D2429A" w:rsidP="00D2429A">
      <w:pPr>
        <w:pStyle w:val="BodyText"/>
      </w:pPr>
      <w:r w:rsidDel="00574A74">
        <w:t xml:space="preserve">The analysis provided above and in </w:t>
      </w:r>
      <w:r w:rsidDel="00574A74">
        <w:fldChar w:fldCharType="begin"/>
      </w:r>
      <w:r w:rsidDel="00574A74">
        <w:instrText xml:space="preserve"> REF _Ref121192563 \h </w:instrText>
      </w:r>
      <w:r w:rsidDel="00574A74">
        <w:fldChar w:fldCharType="separate"/>
      </w:r>
      <w:r w:rsidR="00130DCF" w:rsidRPr="009038E7">
        <w:t>Table</w:t>
      </w:r>
      <w:r w:rsidR="00130DCF">
        <w:t> </w:t>
      </w:r>
      <w:r w:rsidR="00130DCF">
        <w:rPr>
          <w:noProof/>
        </w:rPr>
        <w:t>5-5</w:t>
      </w:r>
      <w:r w:rsidDel="00574A74">
        <w:fldChar w:fldCharType="end"/>
      </w:r>
      <w:r w:rsidDel="00574A74">
        <w:t xml:space="preserve"> demonstrates the application of the precautionary principle to VicForests operations in East Gippsland. Direct observations and </w:t>
      </w:r>
      <w:r w:rsidR="001B02C3" w:rsidDel="00574A74">
        <w:t xml:space="preserve">a wide suite of </w:t>
      </w:r>
      <w:r w:rsidDel="00574A74">
        <w:t xml:space="preserve">habitat models were used to identify threatened species that may be present within the coupe and specific management responses were proposed. </w:t>
      </w:r>
      <w:r w:rsidR="001B02C3" w:rsidDel="00574A74">
        <w:t>M</w:t>
      </w:r>
      <w:r w:rsidDel="00574A74">
        <w:t xml:space="preserve">anagement </w:t>
      </w:r>
      <w:r w:rsidR="001B02C3" w:rsidDel="00574A74">
        <w:t xml:space="preserve">of the coupe </w:t>
      </w:r>
      <w:r w:rsidDel="00574A74">
        <w:t>respon</w:t>
      </w:r>
      <w:r w:rsidR="001B02C3" w:rsidDel="00574A74">
        <w:t xml:space="preserve">ds to the risks posed by timber harvesting to threatened species that may be present, by </w:t>
      </w:r>
      <w:r w:rsidDel="00574A74">
        <w:t>creati</w:t>
      </w:r>
      <w:r w:rsidR="001B02C3" w:rsidDel="00574A74">
        <w:t>ng</w:t>
      </w:r>
      <w:r w:rsidDel="00574A74">
        <w:t xml:space="preserve"> harvesting exclusion areas (riparian reserves and buffers, habitat patches) </w:t>
      </w:r>
      <w:r w:rsidR="001B02C3" w:rsidDel="00574A74">
        <w:t xml:space="preserve">and modifying harvesting practice (by retaining potential habitat trees and high levels of basal area). </w:t>
      </w:r>
    </w:p>
    <w:p w14:paraId="6B0F62F0" w14:textId="77777777" w:rsidR="009A2B03" w:rsidRDefault="009A2B03" w:rsidP="009A2B03">
      <w:pPr>
        <w:pStyle w:val="BodyText"/>
      </w:pPr>
      <w:r>
        <w:t>It is beyond the scope of the audit to assess the efficacy of the management actions.</w:t>
      </w:r>
    </w:p>
    <w:p w14:paraId="749B6CC3" w14:textId="77777777" w:rsidR="009A2B03" w:rsidRPr="00D2429A" w:rsidDel="00574A74" w:rsidRDefault="009A2B03" w:rsidP="00D2429A">
      <w:pPr>
        <w:pStyle w:val="BodyText"/>
      </w:pPr>
    </w:p>
    <w:p w14:paraId="26718869" w14:textId="77777777" w:rsidR="003D51D9" w:rsidRDefault="003D51D9" w:rsidP="007A01C0">
      <w:pPr>
        <w:pStyle w:val="BodyText"/>
        <w:sectPr w:rsidR="003D51D9" w:rsidSect="00B36A05">
          <w:headerReference w:type="even" r:id="rId94"/>
          <w:headerReference w:type="default" r:id="rId95"/>
          <w:footerReference w:type="even" r:id="rId96"/>
          <w:footerReference w:type="default" r:id="rId97"/>
          <w:headerReference w:type="first" r:id="rId98"/>
          <w:footerReference w:type="first" r:id="rId99"/>
          <w:pgSz w:w="11906" w:h="16838" w:code="9"/>
          <w:pgMar w:top="1134" w:right="1134" w:bottom="567" w:left="1134" w:header="567" w:footer="0" w:gutter="0"/>
          <w:cols w:space="720"/>
          <w:docGrid w:linePitch="360"/>
        </w:sectPr>
      </w:pPr>
    </w:p>
    <w:p w14:paraId="06F0D7C1" w14:textId="147503A8" w:rsidR="003D51D9" w:rsidRDefault="003D51D9" w:rsidP="003D51D9">
      <w:pPr>
        <w:pStyle w:val="TableCaption"/>
      </w:pPr>
      <w:bookmarkStart w:id="175" w:name="_Ref121192563"/>
      <w:bookmarkStart w:id="176" w:name="_Toc131178744"/>
      <w:r w:rsidRPr="009038E7">
        <w:lastRenderedPageBreak/>
        <w:t>Table</w:t>
      </w:r>
      <w:r>
        <w:t> </w:t>
      </w:r>
      <w:fldSimple w:instr=" STYLEREF 1 \s ">
        <w:r w:rsidR="00130DCF">
          <w:rPr>
            <w:noProof/>
          </w:rPr>
          <w:t>5</w:t>
        </w:r>
      </w:fldSimple>
      <w:r>
        <w:rPr>
          <w:noProof/>
        </w:rPr>
        <w:t>-</w:t>
      </w:r>
      <w:fldSimple w:instr=" SEQ Table \* ARABIC \s 1 ">
        <w:r w:rsidR="00130DCF">
          <w:rPr>
            <w:noProof/>
          </w:rPr>
          <w:t>5</w:t>
        </w:r>
      </w:fldSimple>
      <w:bookmarkEnd w:id="175"/>
      <w:r>
        <w:rPr>
          <w:noProof/>
        </w:rPr>
        <w:t>.</w:t>
      </w:r>
      <w:r w:rsidRPr="009038E7">
        <w:t xml:space="preserve"> </w:t>
      </w:r>
      <w:r>
        <w:t>Application of precautionary principle to coupes in East Gippsland FMA</w:t>
      </w:r>
      <w:bookmarkEnd w:id="176"/>
    </w:p>
    <w:tbl>
      <w:tblPr>
        <w:tblStyle w:val="JacobsTable1accentprimarythemes"/>
        <w:tblW w:w="14601" w:type="dxa"/>
        <w:tblLook w:val="04A0" w:firstRow="1" w:lastRow="0" w:firstColumn="1" w:lastColumn="0" w:noHBand="0" w:noVBand="1"/>
      </w:tblPr>
      <w:tblGrid>
        <w:gridCol w:w="1701"/>
        <w:gridCol w:w="2835"/>
        <w:gridCol w:w="3119"/>
        <w:gridCol w:w="2268"/>
        <w:gridCol w:w="4678"/>
      </w:tblGrid>
      <w:tr w:rsidR="001076CF" w14:paraId="36DC90A3" w14:textId="77777777" w:rsidTr="00B65779">
        <w:trPr>
          <w:cnfStyle w:val="100000000000" w:firstRow="1" w:lastRow="0" w:firstColumn="0" w:lastColumn="0" w:oddVBand="0" w:evenVBand="0" w:oddHBand="0" w:evenHBand="0" w:firstRowFirstColumn="0" w:firstRowLastColumn="0" w:lastRowFirstColumn="0" w:lastRowLastColumn="0"/>
        </w:trPr>
        <w:tc>
          <w:tcPr>
            <w:tcW w:w="1701" w:type="dxa"/>
          </w:tcPr>
          <w:p w14:paraId="6091C454" w14:textId="77777777" w:rsidR="003D51D9" w:rsidRDefault="003D51D9" w:rsidP="00FB2E1B">
            <w:pPr>
              <w:pStyle w:val="TableText"/>
            </w:pPr>
            <w:r>
              <w:t>Coupe</w:t>
            </w:r>
          </w:p>
        </w:tc>
        <w:tc>
          <w:tcPr>
            <w:tcW w:w="2835" w:type="dxa"/>
          </w:tcPr>
          <w:p w14:paraId="5325B3B7" w14:textId="3DC9F931" w:rsidR="003D51D9" w:rsidRDefault="003D51D9" w:rsidP="00FB2E1B">
            <w:pPr>
              <w:pStyle w:val="TableText"/>
            </w:pPr>
            <w:r>
              <w:t>Pre-harvest flora and fauna survey</w:t>
            </w:r>
            <w:r w:rsidR="00F54FFC">
              <w:t xml:space="preserve"> observations</w:t>
            </w:r>
          </w:p>
        </w:tc>
        <w:tc>
          <w:tcPr>
            <w:tcW w:w="3119" w:type="dxa"/>
          </w:tcPr>
          <w:p w14:paraId="686C4E37" w14:textId="059CFD82" w:rsidR="003D51D9" w:rsidRDefault="00F54FFC" w:rsidP="00FB2E1B">
            <w:pPr>
              <w:pStyle w:val="TableText"/>
            </w:pPr>
            <w:r>
              <w:t>H</w:t>
            </w:r>
            <w:r w:rsidR="003D51D9">
              <w:t>abitat distribution model</w:t>
            </w:r>
            <w:r>
              <w:t xml:space="preserve"> species identified</w:t>
            </w:r>
          </w:p>
        </w:tc>
        <w:tc>
          <w:tcPr>
            <w:tcW w:w="2268" w:type="dxa"/>
          </w:tcPr>
          <w:p w14:paraId="1E0192E9" w14:textId="77777777" w:rsidR="003D51D9" w:rsidRDefault="003D51D9" w:rsidP="00FB2E1B">
            <w:pPr>
              <w:pStyle w:val="TableText"/>
            </w:pPr>
            <w:r>
              <w:t>Survey entity</w:t>
            </w:r>
          </w:p>
        </w:tc>
        <w:tc>
          <w:tcPr>
            <w:tcW w:w="4678" w:type="dxa"/>
          </w:tcPr>
          <w:p w14:paraId="3D6DC2F2" w14:textId="60CA6C85" w:rsidR="003D51D9" w:rsidRDefault="003D51D9" w:rsidP="00FB2E1B">
            <w:pPr>
              <w:pStyle w:val="TableText"/>
            </w:pPr>
            <w:r>
              <w:t>Protection measures</w:t>
            </w:r>
            <w:r w:rsidR="00F54FFC">
              <w:t xml:space="preserve"> </w:t>
            </w:r>
            <w:r w:rsidR="001076CF">
              <w:t>proposed</w:t>
            </w:r>
          </w:p>
        </w:tc>
      </w:tr>
      <w:tr w:rsidR="001076CF" w14:paraId="393C5B6C" w14:textId="77777777" w:rsidTr="00B65779">
        <w:tc>
          <w:tcPr>
            <w:tcW w:w="1701" w:type="dxa"/>
            <w:vMerge w:val="restart"/>
          </w:tcPr>
          <w:p w14:paraId="46A58512" w14:textId="77777777" w:rsidR="001076CF" w:rsidRDefault="001076CF" w:rsidP="00FB2E1B">
            <w:pPr>
              <w:pStyle w:val="TableText"/>
            </w:pPr>
            <w:r>
              <w:t>25 Lior</w:t>
            </w:r>
          </w:p>
        </w:tc>
        <w:tc>
          <w:tcPr>
            <w:tcW w:w="2835" w:type="dxa"/>
          </w:tcPr>
          <w:p w14:paraId="04F3A3BA" w14:textId="591D969D" w:rsidR="001076CF" w:rsidRDefault="001076CF" w:rsidP="00FB2E1B">
            <w:pPr>
              <w:pStyle w:val="TableText"/>
            </w:pPr>
            <w:r>
              <w:t>Yellow-bellied Glider (YBG)</w:t>
            </w:r>
          </w:p>
          <w:p w14:paraId="56EEE4CB" w14:textId="1BA6263C" w:rsidR="001076CF" w:rsidRDefault="001076CF" w:rsidP="00FB2E1B">
            <w:pPr>
              <w:pStyle w:val="TableText"/>
            </w:pPr>
            <w:r>
              <w:t>Masked Owl (MO; heard within 500m of coupe)</w:t>
            </w:r>
          </w:p>
        </w:tc>
        <w:tc>
          <w:tcPr>
            <w:tcW w:w="3119" w:type="dxa"/>
          </w:tcPr>
          <w:p w14:paraId="25CC371C" w14:textId="44548B95" w:rsidR="001076CF" w:rsidRDefault="001076CF" w:rsidP="00FB2E1B">
            <w:pPr>
              <w:pStyle w:val="TableText"/>
            </w:pPr>
            <w:r>
              <w:t>YBG, Barred Galaxia (BGlx), Giant Burrowing Frog (GBF), Powerful Owl (PO), MO, Sooty Owl (S0), Glossy Black Cockatoo (GBC)</w:t>
            </w:r>
          </w:p>
        </w:tc>
        <w:tc>
          <w:tcPr>
            <w:tcW w:w="2268" w:type="dxa"/>
          </w:tcPr>
          <w:p w14:paraId="266AEE36" w14:textId="2BF934C2" w:rsidR="001076CF" w:rsidRDefault="001076CF" w:rsidP="00FB2E1B">
            <w:pPr>
              <w:pStyle w:val="TableText"/>
            </w:pPr>
            <w:r>
              <w:t>Forest Protection Survey Program (FPSP), VicForests</w:t>
            </w:r>
          </w:p>
        </w:tc>
        <w:tc>
          <w:tcPr>
            <w:tcW w:w="4678" w:type="dxa"/>
          </w:tcPr>
          <w:p w14:paraId="70781EE8" w14:textId="77777777" w:rsidR="001076CF" w:rsidRDefault="001076CF" w:rsidP="00FB2E1B">
            <w:pPr>
              <w:pStyle w:val="TableText"/>
            </w:pPr>
            <w:r>
              <w:t>Riparian buffer for YBG, BGlx, GBF</w:t>
            </w:r>
          </w:p>
          <w:p w14:paraId="05349EFB" w14:textId="7E068ED2" w:rsidR="001076CF" w:rsidRDefault="001076CF" w:rsidP="00FB2E1B">
            <w:pPr>
              <w:pStyle w:val="TableText"/>
            </w:pPr>
            <w:r>
              <w:t>Adaptive silviculture for variable retention 1</w:t>
            </w:r>
            <w:r w:rsidR="00C23D80">
              <w:t xml:space="preserve">, with 10 retained trees/ha </w:t>
            </w:r>
            <w:r>
              <w:t>and habitat patches with mineral earth fire breaks retained for YBG, PO, MO, SO, GBC</w:t>
            </w:r>
          </w:p>
          <w:p w14:paraId="6F415A91" w14:textId="5BFE030C" w:rsidR="001076CF" w:rsidRDefault="001076CF" w:rsidP="00FB2E1B">
            <w:pPr>
              <w:pStyle w:val="TableText"/>
            </w:pPr>
            <w:r>
              <w:t>SPZ and SMZ to be created if MO roosting or nesting site observed</w:t>
            </w:r>
          </w:p>
        </w:tc>
      </w:tr>
      <w:tr w:rsidR="001076CF" w14:paraId="4359B446" w14:textId="77777777" w:rsidTr="00745AEE">
        <w:tc>
          <w:tcPr>
            <w:tcW w:w="1701" w:type="dxa"/>
            <w:vMerge/>
          </w:tcPr>
          <w:p w14:paraId="32667C92" w14:textId="77777777" w:rsidR="001076CF" w:rsidRDefault="001076CF" w:rsidP="00FB2E1B">
            <w:pPr>
              <w:pStyle w:val="TableText"/>
            </w:pPr>
          </w:p>
        </w:tc>
        <w:tc>
          <w:tcPr>
            <w:tcW w:w="12900" w:type="dxa"/>
            <w:gridSpan w:val="4"/>
          </w:tcPr>
          <w:p w14:paraId="15AC5EB6" w14:textId="0881CB69" w:rsidR="001076CF" w:rsidRDefault="00B65779" w:rsidP="00FB2E1B">
            <w:pPr>
              <w:pStyle w:val="TableText"/>
            </w:pPr>
            <w:r>
              <w:t>Coupe observations</w:t>
            </w:r>
            <w:r w:rsidR="001076CF">
              <w:t>:</w:t>
            </w:r>
          </w:p>
          <w:p w14:paraId="18F32ED0" w14:textId="77777777" w:rsidR="001076CF" w:rsidRDefault="001076CF" w:rsidP="001076CF">
            <w:pPr>
              <w:pStyle w:val="TableBullet"/>
            </w:pPr>
            <w:r>
              <w:t>Protection measures in place. Mineral earth fire breaks established, but now partially regrown. No regeneration burning</w:t>
            </w:r>
          </w:p>
          <w:p w14:paraId="2E851A96" w14:textId="25093754" w:rsidR="003E2387" w:rsidRDefault="003E2387" w:rsidP="001076CF">
            <w:pPr>
              <w:pStyle w:val="TableBullet"/>
            </w:pPr>
            <w:r>
              <w:t>Not a fire salvage coupe</w:t>
            </w:r>
          </w:p>
        </w:tc>
      </w:tr>
      <w:tr w:rsidR="001076CF" w14:paraId="42FF1C0B" w14:textId="77777777" w:rsidTr="00B65779">
        <w:tc>
          <w:tcPr>
            <w:tcW w:w="1701" w:type="dxa"/>
            <w:vMerge w:val="restart"/>
          </w:tcPr>
          <w:p w14:paraId="5B8C03B1" w14:textId="67345ACD" w:rsidR="001076CF" w:rsidRDefault="001076CF" w:rsidP="001076CF">
            <w:pPr>
              <w:pStyle w:val="TableText"/>
            </w:pPr>
            <w:r>
              <w:t xml:space="preserve">26 Electromotive </w:t>
            </w:r>
          </w:p>
        </w:tc>
        <w:tc>
          <w:tcPr>
            <w:tcW w:w="2835" w:type="dxa"/>
          </w:tcPr>
          <w:p w14:paraId="0CA8C826" w14:textId="77777777" w:rsidR="00D25C09" w:rsidRDefault="00D25C09" w:rsidP="00D25C09">
            <w:pPr>
              <w:pStyle w:val="TableText"/>
            </w:pPr>
            <w:r>
              <w:t>YBG (VBA record)</w:t>
            </w:r>
          </w:p>
          <w:p w14:paraId="421303C4" w14:textId="77777777" w:rsidR="00D25C09" w:rsidRDefault="00D25C09" w:rsidP="00D25C09">
            <w:pPr>
              <w:pStyle w:val="TableText"/>
            </w:pPr>
            <w:r>
              <w:t>SO (heard within coupe)</w:t>
            </w:r>
          </w:p>
          <w:p w14:paraId="6E844540" w14:textId="77777777" w:rsidR="00D25C09" w:rsidRDefault="00D25C09" w:rsidP="00D25C09">
            <w:pPr>
              <w:pStyle w:val="TableText"/>
            </w:pPr>
            <w:r>
              <w:t>Long-footed Potoroo (LFP, VBA record)</w:t>
            </w:r>
          </w:p>
          <w:p w14:paraId="257685C1" w14:textId="63619A4A" w:rsidR="001076CF" w:rsidRDefault="00D25C09" w:rsidP="00D25C09">
            <w:pPr>
              <w:pStyle w:val="TableText"/>
            </w:pPr>
            <w:r>
              <w:t>Orbost Spiny Crayfish (OSC, VBA record)</w:t>
            </w:r>
          </w:p>
        </w:tc>
        <w:tc>
          <w:tcPr>
            <w:tcW w:w="3119" w:type="dxa"/>
          </w:tcPr>
          <w:p w14:paraId="4EF5F888" w14:textId="01870A74" w:rsidR="001076CF" w:rsidRDefault="00D25C09" w:rsidP="001076CF">
            <w:pPr>
              <w:pStyle w:val="TableText"/>
            </w:pPr>
            <w:r>
              <w:t xml:space="preserve">SO, Spot-tailed Quoll (STQ), Greater Glider (GG), YBG, </w:t>
            </w:r>
            <w:r w:rsidR="00C23D80">
              <w:t>LFP, GBF, Large Brown Tree Frog (LBTF), OSC, Smooth Geebung (SG)</w:t>
            </w:r>
          </w:p>
        </w:tc>
        <w:tc>
          <w:tcPr>
            <w:tcW w:w="2268" w:type="dxa"/>
          </w:tcPr>
          <w:p w14:paraId="4D4C54D1" w14:textId="7D59FEFB" w:rsidR="001076CF" w:rsidRDefault="001076CF" w:rsidP="001076CF">
            <w:pPr>
              <w:pStyle w:val="TableText"/>
            </w:pPr>
            <w:r>
              <w:t>VicForests</w:t>
            </w:r>
            <w:r w:rsidR="00D25C09">
              <w:t>, VBA records</w:t>
            </w:r>
          </w:p>
        </w:tc>
        <w:tc>
          <w:tcPr>
            <w:tcW w:w="4678" w:type="dxa"/>
          </w:tcPr>
          <w:p w14:paraId="00D1F0F9" w14:textId="49F709DA" w:rsidR="00D25C09" w:rsidRDefault="00D25C09" w:rsidP="00D25C09">
            <w:pPr>
              <w:pStyle w:val="TableText"/>
            </w:pPr>
            <w:r>
              <w:t>LFP, OSC</w:t>
            </w:r>
            <w:r w:rsidR="00C23D80">
              <w:t>, GBF, LBTF</w:t>
            </w:r>
            <w:r>
              <w:t xml:space="preserve"> reserve</w:t>
            </w:r>
            <w:r w:rsidR="00C23D80">
              <w:t>/buffer</w:t>
            </w:r>
            <w:r>
              <w:t xml:space="preserve"> along waterway</w:t>
            </w:r>
          </w:p>
          <w:p w14:paraId="18A88DF8" w14:textId="2098A0A8" w:rsidR="00D25C09" w:rsidRDefault="00D25C09" w:rsidP="00D25C09">
            <w:pPr>
              <w:pStyle w:val="TableText"/>
            </w:pPr>
            <w:r>
              <w:t>Adaptive silviculture for variable retention 1 and habitat patches with mineral earth fire breaks retained</w:t>
            </w:r>
            <w:r w:rsidR="00C23D80">
              <w:t>, 40% basal area retention</w:t>
            </w:r>
            <w:r>
              <w:t xml:space="preserve"> </w:t>
            </w:r>
            <w:r w:rsidR="00C23D80">
              <w:t xml:space="preserve">and 10 retained trees/ha </w:t>
            </w:r>
            <w:r>
              <w:t>for SO, STQ</w:t>
            </w:r>
            <w:r w:rsidR="00C23D80">
              <w:t>, GG, YBG, SG</w:t>
            </w:r>
          </w:p>
          <w:p w14:paraId="045EC6D9" w14:textId="155B2CDD" w:rsidR="001076CF" w:rsidRDefault="00D25C09" w:rsidP="00D25C09">
            <w:pPr>
              <w:pStyle w:val="TableText"/>
            </w:pPr>
            <w:r>
              <w:t>SPZ and SMZ to be created if SO roosting or nesting site observed</w:t>
            </w:r>
          </w:p>
        </w:tc>
      </w:tr>
      <w:tr w:rsidR="001076CF" w14:paraId="3FBBCF9F" w14:textId="77777777" w:rsidTr="00745AEE">
        <w:tc>
          <w:tcPr>
            <w:tcW w:w="1701" w:type="dxa"/>
            <w:vMerge/>
          </w:tcPr>
          <w:p w14:paraId="17AFF439" w14:textId="77777777" w:rsidR="001076CF" w:rsidRDefault="001076CF" w:rsidP="001076CF">
            <w:pPr>
              <w:pStyle w:val="TableText"/>
            </w:pPr>
          </w:p>
        </w:tc>
        <w:tc>
          <w:tcPr>
            <w:tcW w:w="12900" w:type="dxa"/>
            <w:gridSpan w:val="4"/>
          </w:tcPr>
          <w:p w14:paraId="34A1270B" w14:textId="0BDB9E19" w:rsidR="001076CF" w:rsidRDefault="00B65779" w:rsidP="001076CF">
            <w:pPr>
              <w:pStyle w:val="TableText"/>
            </w:pPr>
            <w:r>
              <w:t>Coupe observations</w:t>
            </w:r>
            <w:r w:rsidR="001076CF">
              <w:t>:</w:t>
            </w:r>
          </w:p>
          <w:p w14:paraId="67D3B461" w14:textId="3C3C1474" w:rsidR="001076CF" w:rsidRDefault="001076CF" w:rsidP="001076CF">
            <w:pPr>
              <w:pStyle w:val="TableBullet"/>
            </w:pPr>
            <w:r>
              <w:t>Protection measures</w:t>
            </w:r>
            <w:r w:rsidR="00C23D80">
              <w:t xml:space="preserve"> generally</w:t>
            </w:r>
            <w:r>
              <w:t xml:space="preserve"> in place. Mineral earth fire breaks </w:t>
            </w:r>
            <w:r w:rsidR="00C23D80">
              <w:t>not established or required in fire salvage coupe</w:t>
            </w:r>
          </w:p>
        </w:tc>
      </w:tr>
      <w:tr w:rsidR="00C23D80" w14:paraId="44931D9E" w14:textId="77777777" w:rsidTr="00B65779">
        <w:tc>
          <w:tcPr>
            <w:tcW w:w="1701" w:type="dxa"/>
            <w:vMerge w:val="restart"/>
          </w:tcPr>
          <w:p w14:paraId="6E6E2CF4" w14:textId="59329CF1" w:rsidR="00C23D80" w:rsidRDefault="00C23D80" w:rsidP="001076CF">
            <w:pPr>
              <w:pStyle w:val="TableText"/>
            </w:pPr>
            <w:r>
              <w:t>27 Grandfinal</w:t>
            </w:r>
          </w:p>
        </w:tc>
        <w:tc>
          <w:tcPr>
            <w:tcW w:w="2835" w:type="dxa"/>
          </w:tcPr>
          <w:p w14:paraId="756F8EE0" w14:textId="77777777" w:rsidR="00C23D80" w:rsidRDefault="00C23D80" w:rsidP="001076CF">
            <w:pPr>
              <w:pStyle w:val="TableText"/>
            </w:pPr>
            <w:r>
              <w:t>LFP (VBA record)</w:t>
            </w:r>
          </w:p>
          <w:p w14:paraId="13BF77A4" w14:textId="287BAF10" w:rsidR="00C23D80" w:rsidRDefault="00C23D80" w:rsidP="001076CF">
            <w:pPr>
              <w:pStyle w:val="TableText"/>
            </w:pPr>
            <w:r>
              <w:t>STQ (VBA record near coupe)</w:t>
            </w:r>
          </w:p>
        </w:tc>
        <w:tc>
          <w:tcPr>
            <w:tcW w:w="3119" w:type="dxa"/>
          </w:tcPr>
          <w:p w14:paraId="335D90BE" w14:textId="3F703E3D" w:rsidR="00C23D80" w:rsidRDefault="00C23D80" w:rsidP="001076CF">
            <w:pPr>
              <w:pStyle w:val="TableText"/>
            </w:pPr>
            <w:r>
              <w:t>PO</w:t>
            </w:r>
            <w:r w:rsidR="00170D0A">
              <w:t>, MO, SO, STQ, GG, YBG, GBF, OSC, SG</w:t>
            </w:r>
          </w:p>
        </w:tc>
        <w:tc>
          <w:tcPr>
            <w:tcW w:w="2268" w:type="dxa"/>
          </w:tcPr>
          <w:p w14:paraId="27868B69" w14:textId="0C87E47E" w:rsidR="00C23D80" w:rsidRDefault="00170D0A" w:rsidP="001076CF">
            <w:pPr>
              <w:pStyle w:val="TableText"/>
            </w:pPr>
            <w:r>
              <w:t>VBA records</w:t>
            </w:r>
          </w:p>
        </w:tc>
        <w:tc>
          <w:tcPr>
            <w:tcW w:w="4678" w:type="dxa"/>
          </w:tcPr>
          <w:p w14:paraId="196BB417" w14:textId="602762DE" w:rsidR="00C23D80" w:rsidRDefault="00C23D80" w:rsidP="00C23D80">
            <w:pPr>
              <w:pStyle w:val="TableText"/>
            </w:pPr>
            <w:r>
              <w:t xml:space="preserve">LFP, </w:t>
            </w:r>
            <w:r w:rsidRPr="00170D0A">
              <w:t>GBF</w:t>
            </w:r>
            <w:r w:rsidR="00170D0A">
              <w:t xml:space="preserve">, OSC </w:t>
            </w:r>
            <w:r>
              <w:t>reserve/buffer along waterway</w:t>
            </w:r>
          </w:p>
          <w:p w14:paraId="6F9F126F" w14:textId="50108A38" w:rsidR="00C23D80" w:rsidRDefault="00C23D80" w:rsidP="00C23D80">
            <w:pPr>
              <w:pStyle w:val="TableText"/>
            </w:pPr>
            <w:r>
              <w:t>Adaptive silviculture for variable retention 1 and habitat patches with mineral earth fire breaks retained</w:t>
            </w:r>
            <w:r w:rsidR="00170D0A">
              <w:t xml:space="preserve">, 40% basal area retention </w:t>
            </w:r>
            <w:r>
              <w:t>and 10 retained trees/ha for PO</w:t>
            </w:r>
            <w:r w:rsidR="00170D0A">
              <w:t>, MO, SO, STQ, GG, YBG</w:t>
            </w:r>
          </w:p>
        </w:tc>
      </w:tr>
      <w:tr w:rsidR="00C23D80" w14:paraId="6CC7D699" w14:textId="77777777" w:rsidTr="00745AEE">
        <w:tc>
          <w:tcPr>
            <w:tcW w:w="1701" w:type="dxa"/>
            <w:vMerge/>
          </w:tcPr>
          <w:p w14:paraId="64536BD6" w14:textId="77777777" w:rsidR="00C23D80" w:rsidRDefault="00C23D80" w:rsidP="001076CF">
            <w:pPr>
              <w:pStyle w:val="TableText"/>
            </w:pPr>
          </w:p>
        </w:tc>
        <w:tc>
          <w:tcPr>
            <w:tcW w:w="12900" w:type="dxa"/>
            <w:gridSpan w:val="4"/>
          </w:tcPr>
          <w:p w14:paraId="33E35646" w14:textId="34146F08" w:rsidR="00C23D80" w:rsidRDefault="00B65779" w:rsidP="001076CF">
            <w:pPr>
              <w:pStyle w:val="TableText"/>
            </w:pPr>
            <w:r>
              <w:t>Coupe observations</w:t>
            </w:r>
            <w:r w:rsidR="00C23D80">
              <w:t>:</w:t>
            </w:r>
          </w:p>
          <w:p w14:paraId="03479911" w14:textId="76E0A0E2" w:rsidR="00C23D80" w:rsidRDefault="00C23D80" w:rsidP="00C23D80">
            <w:pPr>
              <w:pStyle w:val="TableBullet"/>
            </w:pPr>
            <w:r>
              <w:t>Protection measures in place. Mineral earth fire breaks established, but now partially regrown. No regeneration burning</w:t>
            </w:r>
            <w:r w:rsidR="00170D0A">
              <w:t xml:space="preserve"> as fire salvage coupe</w:t>
            </w:r>
          </w:p>
        </w:tc>
      </w:tr>
      <w:tr w:rsidR="00170D0A" w14:paraId="1EB4DBB1" w14:textId="77777777" w:rsidTr="00B65779">
        <w:tc>
          <w:tcPr>
            <w:tcW w:w="1701" w:type="dxa"/>
            <w:vMerge w:val="restart"/>
          </w:tcPr>
          <w:p w14:paraId="711BD442" w14:textId="613ED136" w:rsidR="00170D0A" w:rsidRDefault="00170D0A" w:rsidP="00FB2E1B">
            <w:pPr>
              <w:pStyle w:val="TableText"/>
            </w:pPr>
            <w:r>
              <w:t>28 Scarface</w:t>
            </w:r>
          </w:p>
        </w:tc>
        <w:tc>
          <w:tcPr>
            <w:tcW w:w="2835" w:type="dxa"/>
          </w:tcPr>
          <w:p w14:paraId="5F1B5890" w14:textId="63FD13CF" w:rsidR="00170D0A" w:rsidRDefault="00170D0A" w:rsidP="00FB2E1B">
            <w:pPr>
              <w:pStyle w:val="TableText"/>
            </w:pPr>
            <w:r>
              <w:t>None completed due to fire impacts</w:t>
            </w:r>
          </w:p>
        </w:tc>
        <w:tc>
          <w:tcPr>
            <w:tcW w:w="3119" w:type="dxa"/>
          </w:tcPr>
          <w:p w14:paraId="37216C12" w14:textId="789D8F7C" w:rsidR="00170D0A" w:rsidRDefault="00170D0A" w:rsidP="00FB2E1B">
            <w:pPr>
              <w:pStyle w:val="TableText"/>
            </w:pPr>
            <w:r>
              <w:t xml:space="preserve">Upright </w:t>
            </w:r>
            <w:r w:rsidR="00CE35B5">
              <w:t>Pomaderris</w:t>
            </w:r>
            <w:r>
              <w:t xml:space="preserve"> (UPom), PO, SO</w:t>
            </w:r>
            <w:r w:rsidR="004C7437">
              <w:t>, STQ, GG, YBG, LFP, OSC</w:t>
            </w:r>
          </w:p>
        </w:tc>
        <w:tc>
          <w:tcPr>
            <w:tcW w:w="2268" w:type="dxa"/>
          </w:tcPr>
          <w:p w14:paraId="183BCDA0" w14:textId="1D553942" w:rsidR="00170D0A" w:rsidRDefault="00170D0A" w:rsidP="00FB2E1B">
            <w:pPr>
              <w:pStyle w:val="TableText"/>
            </w:pPr>
            <w:r>
              <w:t>N/a</w:t>
            </w:r>
          </w:p>
        </w:tc>
        <w:tc>
          <w:tcPr>
            <w:tcW w:w="4678" w:type="dxa"/>
          </w:tcPr>
          <w:p w14:paraId="54466C88" w14:textId="5F0DB172" w:rsidR="004C7437" w:rsidRDefault="004C7437" w:rsidP="00FB2E1B">
            <w:pPr>
              <w:pStyle w:val="TableText"/>
            </w:pPr>
            <w:r>
              <w:t>LFP, OSC riparian buffer</w:t>
            </w:r>
          </w:p>
          <w:p w14:paraId="0C547262" w14:textId="5D34614F" w:rsidR="00170D0A" w:rsidRDefault="00170D0A" w:rsidP="00FB2E1B">
            <w:pPr>
              <w:pStyle w:val="TableText"/>
            </w:pPr>
            <w:r>
              <w:t>Adaptive silviculture for variable retention 1 and habitat patches retained and 10 retained trees/ha for UPom, PO, SO</w:t>
            </w:r>
            <w:r w:rsidR="004C7437">
              <w:t>, STQ, GG, YBG</w:t>
            </w:r>
          </w:p>
        </w:tc>
      </w:tr>
      <w:tr w:rsidR="004C7437" w14:paraId="0976D4FC" w14:textId="77777777" w:rsidTr="00745AEE">
        <w:tc>
          <w:tcPr>
            <w:tcW w:w="1701" w:type="dxa"/>
            <w:vMerge/>
          </w:tcPr>
          <w:p w14:paraId="1B5CD0B9" w14:textId="77777777" w:rsidR="004C7437" w:rsidRDefault="004C7437" w:rsidP="004C7437">
            <w:pPr>
              <w:pStyle w:val="TableText"/>
            </w:pPr>
          </w:p>
        </w:tc>
        <w:tc>
          <w:tcPr>
            <w:tcW w:w="12900" w:type="dxa"/>
            <w:gridSpan w:val="4"/>
          </w:tcPr>
          <w:p w14:paraId="1E7A8124" w14:textId="4CC590B2" w:rsidR="004C7437" w:rsidRDefault="00B65779" w:rsidP="004C7437">
            <w:pPr>
              <w:pStyle w:val="TableText"/>
            </w:pPr>
            <w:r>
              <w:t>Coupe observations</w:t>
            </w:r>
            <w:r w:rsidR="004C7437">
              <w:t>:</w:t>
            </w:r>
          </w:p>
          <w:p w14:paraId="2A89F488" w14:textId="5CB913E6" w:rsidR="004C7437" w:rsidRDefault="004C7437" w:rsidP="004C7437">
            <w:pPr>
              <w:pStyle w:val="TableBullet"/>
            </w:pPr>
            <w:r>
              <w:t>Protection measures generally in place. Mineral earth fire breaks not established or required in fire salvage coupe</w:t>
            </w:r>
          </w:p>
        </w:tc>
      </w:tr>
      <w:tr w:rsidR="00170D0A" w14:paraId="164D22BA" w14:textId="77777777" w:rsidTr="00B65779">
        <w:tc>
          <w:tcPr>
            <w:tcW w:w="1701" w:type="dxa"/>
            <w:vMerge w:val="restart"/>
          </w:tcPr>
          <w:p w14:paraId="69731825" w14:textId="30F0B982" w:rsidR="00170D0A" w:rsidRDefault="004C7437" w:rsidP="00FB2E1B">
            <w:pPr>
              <w:pStyle w:val="TableText"/>
            </w:pPr>
            <w:r>
              <w:lastRenderedPageBreak/>
              <w:t>29</w:t>
            </w:r>
            <w:r w:rsidR="00DA6027">
              <w:t xml:space="preserve"> Pinball Wizard</w:t>
            </w:r>
          </w:p>
        </w:tc>
        <w:tc>
          <w:tcPr>
            <w:tcW w:w="2835" w:type="dxa"/>
          </w:tcPr>
          <w:p w14:paraId="5AB1641B" w14:textId="6CD75600" w:rsidR="00170D0A" w:rsidRDefault="00DA6027" w:rsidP="00FB2E1B">
            <w:pPr>
              <w:pStyle w:val="TableText"/>
            </w:pPr>
            <w:r>
              <w:t>YBG (VBA records)</w:t>
            </w:r>
          </w:p>
        </w:tc>
        <w:tc>
          <w:tcPr>
            <w:tcW w:w="3119" w:type="dxa"/>
          </w:tcPr>
          <w:p w14:paraId="625A58D1" w14:textId="74AFDB8F" w:rsidR="00170D0A" w:rsidRDefault="00745AEE" w:rsidP="00FB2E1B">
            <w:pPr>
              <w:pStyle w:val="TableText"/>
            </w:pPr>
            <w:r>
              <w:t>YBG</w:t>
            </w:r>
          </w:p>
        </w:tc>
        <w:tc>
          <w:tcPr>
            <w:tcW w:w="2268" w:type="dxa"/>
          </w:tcPr>
          <w:p w14:paraId="3F0E312D" w14:textId="65432D79" w:rsidR="00170D0A" w:rsidRDefault="00745AEE" w:rsidP="00FB2E1B">
            <w:pPr>
              <w:pStyle w:val="TableText"/>
            </w:pPr>
            <w:r>
              <w:t>VBA records</w:t>
            </w:r>
          </w:p>
        </w:tc>
        <w:tc>
          <w:tcPr>
            <w:tcW w:w="4678" w:type="dxa"/>
          </w:tcPr>
          <w:p w14:paraId="3E9994BA" w14:textId="6A20991F" w:rsidR="00170D0A" w:rsidRDefault="00DA6027" w:rsidP="00FB2E1B">
            <w:pPr>
              <w:pStyle w:val="TableText"/>
            </w:pPr>
            <w:r>
              <w:t>Adaptive silviculture for variable retention 1 and habitat patches with mineral earth fire breaks retained and 10 retained trees/ha for YBG</w:t>
            </w:r>
          </w:p>
          <w:p w14:paraId="66CE6031" w14:textId="5030FC4D" w:rsidR="00DA6027" w:rsidRDefault="00DA6027" w:rsidP="00FB2E1B">
            <w:pPr>
              <w:pStyle w:val="TableText"/>
            </w:pPr>
            <w:r>
              <w:t xml:space="preserve">Within THB section large hollow bearing trees retained </w:t>
            </w:r>
            <w:r w:rsidR="00745AEE">
              <w:t xml:space="preserve">for YBG </w:t>
            </w:r>
            <w:r>
              <w:t xml:space="preserve">unless </w:t>
            </w:r>
            <w:r w:rsidR="00745AEE">
              <w:t>un</w:t>
            </w:r>
            <w:r>
              <w:t xml:space="preserve">safe </w:t>
            </w:r>
          </w:p>
        </w:tc>
      </w:tr>
      <w:tr w:rsidR="00170D0A" w14:paraId="251881B9" w14:textId="77777777" w:rsidTr="00745AEE">
        <w:tc>
          <w:tcPr>
            <w:tcW w:w="1701" w:type="dxa"/>
            <w:vMerge/>
          </w:tcPr>
          <w:p w14:paraId="2839F4C4" w14:textId="77777777" w:rsidR="00170D0A" w:rsidRDefault="00170D0A" w:rsidP="00FB2E1B">
            <w:pPr>
              <w:pStyle w:val="TableText"/>
            </w:pPr>
          </w:p>
        </w:tc>
        <w:tc>
          <w:tcPr>
            <w:tcW w:w="12900" w:type="dxa"/>
            <w:gridSpan w:val="4"/>
          </w:tcPr>
          <w:p w14:paraId="526FC9B6" w14:textId="68DF23C2" w:rsidR="00170D0A" w:rsidRDefault="00B65779" w:rsidP="00FB2E1B">
            <w:pPr>
              <w:pStyle w:val="TableText"/>
            </w:pPr>
            <w:r>
              <w:t>Coupe observations</w:t>
            </w:r>
            <w:r w:rsidR="00170D0A">
              <w:t>:</w:t>
            </w:r>
          </w:p>
          <w:p w14:paraId="259A2209" w14:textId="255E9573" w:rsidR="00170D0A" w:rsidRDefault="00170D0A" w:rsidP="00FB2E1B">
            <w:pPr>
              <w:pStyle w:val="TableBullet"/>
            </w:pPr>
            <w:r>
              <w:t>Protection measures in place</w:t>
            </w:r>
          </w:p>
        </w:tc>
      </w:tr>
      <w:tr w:rsidR="00745AEE" w14:paraId="7210A153" w14:textId="77777777" w:rsidTr="00B65779">
        <w:tc>
          <w:tcPr>
            <w:tcW w:w="1701" w:type="dxa"/>
            <w:vMerge w:val="restart"/>
          </w:tcPr>
          <w:p w14:paraId="1327B17E" w14:textId="6D81A63A" w:rsidR="00745AEE" w:rsidRDefault="00745AEE" w:rsidP="00FB2E1B">
            <w:pPr>
              <w:pStyle w:val="TableText"/>
            </w:pPr>
            <w:r>
              <w:t>30 Plastic Moon</w:t>
            </w:r>
          </w:p>
        </w:tc>
        <w:tc>
          <w:tcPr>
            <w:tcW w:w="2835" w:type="dxa"/>
          </w:tcPr>
          <w:p w14:paraId="74D0F354" w14:textId="14EC0E26" w:rsidR="00745AEE" w:rsidRDefault="00745AEE" w:rsidP="00FB2E1B">
            <w:pPr>
              <w:pStyle w:val="TableText"/>
            </w:pPr>
            <w:r>
              <w:t>East Gippsland Spiny Crayfish (EGSC), SO</w:t>
            </w:r>
          </w:p>
        </w:tc>
        <w:tc>
          <w:tcPr>
            <w:tcW w:w="3119" w:type="dxa"/>
          </w:tcPr>
          <w:p w14:paraId="0F13E570" w14:textId="342BC8B3" w:rsidR="00745AEE" w:rsidRDefault="003650E6" w:rsidP="00FB2E1B">
            <w:pPr>
              <w:pStyle w:val="TableText"/>
            </w:pPr>
            <w:r>
              <w:t>PO, GG, YBG, LFP, GBF</w:t>
            </w:r>
            <w:r w:rsidR="004E013E">
              <w:t>, LBTF, EGSC</w:t>
            </w:r>
          </w:p>
        </w:tc>
        <w:tc>
          <w:tcPr>
            <w:tcW w:w="2268" w:type="dxa"/>
          </w:tcPr>
          <w:p w14:paraId="0955C059" w14:textId="7523650E" w:rsidR="00745AEE" w:rsidRDefault="00745AEE" w:rsidP="00FB2E1B">
            <w:pPr>
              <w:pStyle w:val="TableText"/>
            </w:pPr>
            <w:r>
              <w:t>FPSP</w:t>
            </w:r>
          </w:p>
        </w:tc>
        <w:tc>
          <w:tcPr>
            <w:tcW w:w="4678" w:type="dxa"/>
          </w:tcPr>
          <w:p w14:paraId="785A910A" w14:textId="471F0B26" w:rsidR="00745AEE" w:rsidRDefault="00745AEE" w:rsidP="00FB2E1B">
            <w:pPr>
              <w:pStyle w:val="TableText"/>
            </w:pPr>
            <w:r>
              <w:t>EGSC</w:t>
            </w:r>
            <w:r w:rsidR="003650E6">
              <w:t>, LFP, GBF</w:t>
            </w:r>
            <w:r w:rsidR="004E013E">
              <w:t>, LBTF</w:t>
            </w:r>
            <w:r>
              <w:t xml:space="preserve"> reserve/buffer along waterway</w:t>
            </w:r>
          </w:p>
          <w:p w14:paraId="179783F3" w14:textId="77777777" w:rsidR="00745AEE" w:rsidRDefault="00745AEE" w:rsidP="00FB2E1B">
            <w:pPr>
              <w:pStyle w:val="TableText"/>
            </w:pPr>
            <w:r>
              <w:t>SO Management Area within 400m of coupe</w:t>
            </w:r>
            <w:r w:rsidR="003650E6">
              <w:t>, SPZ/SMZ to be created if SO nesting or roosting sites identified</w:t>
            </w:r>
          </w:p>
          <w:p w14:paraId="35B168DC" w14:textId="025AB8A6" w:rsidR="003650E6" w:rsidRDefault="003650E6" w:rsidP="00FB2E1B">
            <w:pPr>
              <w:pStyle w:val="TableText"/>
            </w:pPr>
            <w:r>
              <w:t>Adaptive silviculture for variable retention 1 and habitat patches retained and 10 retained trees/ha for PO, GG, YBG. Mineral earth breaks constructed around habitat patches</w:t>
            </w:r>
          </w:p>
        </w:tc>
      </w:tr>
      <w:tr w:rsidR="00745AEE" w14:paraId="5B5AC50F" w14:textId="77777777" w:rsidTr="00FB2E1B">
        <w:tc>
          <w:tcPr>
            <w:tcW w:w="1701" w:type="dxa"/>
            <w:vMerge/>
          </w:tcPr>
          <w:p w14:paraId="0309F274" w14:textId="77777777" w:rsidR="00745AEE" w:rsidRDefault="00745AEE" w:rsidP="00FB2E1B">
            <w:pPr>
              <w:pStyle w:val="TableText"/>
            </w:pPr>
          </w:p>
        </w:tc>
        <w:tc>
          <w:tcPr>
            <w:tcW w:w="12900" w:type="dxa"/>
            <w:gridSpan w:val="4"/>
          </w:tcPr>
          <w:p w14:paraId="2E3A90A0" w14:textId="655F1556" w:rsidR="00D60869" w:rsidRDefault="00B65779" w:rsidP="00D60869">
            <w:pPr>
              <w:pStyle w:val="TableText"/>
            </w:pPr>
            <w:r>
              <w:t>Coupe observations</w:t>
            </w:r>
            <w:r w:rsidR="00D60869">
              <w:t>:</w:t>
            </w:r>
          </w:p>
          <w:p w14:paraId="357818C3" w14:textId="28FDDE01" w:rsidR="00745AEE" w:rsidRDefault="004E013E" w:rsidP="00FB2E1B">
            <w:pPr>
              <w:pStyle w:val="TableBullet"/>
            </w:pPr>
            <w:r>
              <w:t>Protection measures generally in place. Mineral earth fire breaks not established or required in fire salvage coupe</w:t>
            </w:r>
          </w:p>
        </w:tc>
      </w:tr>
      <w:tr w:rsidR="00745AEE" w14:paraId="1456D673" w14:textId="77777777" w:rsidTr="00B65779">
        <w:tc>
          <w:tcPr>
            <w:tcW w:w="1701" w:type="dxa"/>
            <w:vMerge w:val="restart"/>
          </w:tcPr>
          <w:p w14:paraId="4446B095" w14:textId="0DD132FA" w:rsidR="00745AEE" w:rsidRDefault="004E013E" w:rsidP="00FB2E1B">
            <w:pPr>
              <w:pStyle w:val="TableText"/>
            </w:pPr>
            <w:r>
              <w:t>31 Harkerscorner</w:t>
            </w:r>
          </w:p>
        </w:tc>
        <w:tc>
          <w:tcPr>
            <w:tcW w:w="2835" w:type="dxa"/>
          </w:tcPr>
          <w:p w14:paraId="61AFC43C" w14:textId="77777777" w:rsidR="00745AEE" w:rsidRDefault="004E013E" w:rsidP="00FB2E1B">
            <w:pPr>
              <w:pStyle w:val="TableText"/>
            </w:pPr>
            <w:r>
              <w:t>SO (heard within coupe)</w:t>
            </w:r>
          </w:p>
          <w:p w14:paraId="66F11FB0" w14:textId="1F39C5DD" w:rsidR="004E013E" w:rsidRDefault="004E013E" w:rsidP="00FB2E1B">
            <w:pPr>
              <w:pStyle w:val="TableText"/>
            </w:pPr>
            <w:r>
              <w:t>YBG (VBA records)</w:t>
            </w:r>
          </w:p>
        </w:tc>
        <w:tc>
          <w:tcPr>
            <w:tcW w:w="3119" w:type="dxa"/>
          </w:tcPr>
          <w:p w14:paraId="4B59A1CA" w14:textId="4F9689AC" w:rsidR="00745AEE" w:rsidRDefault="004E013E" w:rsidP="00FB2E1B">
            <w:pPr>
              <w:pStyle w:val="TableText"/>
            </w:pPr>
            <w:r>
              <w:t>PO, SO, STQ, GG, YBG,</w:t>
            </w:r>
            <w:r w:rsidR="00CE35B5">
              <w:t xml:space="preserve"> </w:t>
            </w:r>
            <w:r>
              <w:t>LFP, GBF, LBTF, EGSC</w:t>
            </w:r>
            <w:r w:rsidR="00D60869">
              <w:t>, SG, Elegant Daisy, (ED)</w:t>
            </w:r>
          </w:p>
        </w:tc>
        <w:tc>
          <w:tcPr>
            <w:tcW w:w="2268" w:type="dxa"/>
          </w:tcPr>
          <w:p w14:paraId="48A0B014" w14:textId="40575B35" w:rsidR="00745AEE" w:rsidRDefault="00180D68" w:rsidP="00FB2E1B">
            <w:pPr>
              <w:pStyle w:val="TableText"/>
            </w:pPr>
            <w:r>
              <w:t>VBA records</w:t>
            </w:r>
          </w:p>
        </w:tc>
        <w:tc>
          <w:tcPr>
            <w:tcW w:w="4678" w:type="dxa"/>
          </w:tcPr>
          <w:p w14:paraId="6309BFD9" w14:textId="42D3741B" w:rsidR="004E013E" w:rsidRDefault="004E013E" w:rsidP="004E013E">
            <w:pPr>
              <w:pStyle w:val="TableText"/>
            </w:pPr>
            <w:r>
              <w:t>LFP, GBF, LBTF</w:t>
            </w:r>
            <w:r w:rsidR="00D60869">
              <w:t>, EGSC</w:t>
            </w:r>
            <w:r>
              <w:t xml:space="preserve"> reserve/buffer along waterway</w:t>
            </w:r>
          </w:p>
          <w:p w14:paraId="13031C2D" w14:textId="77777777" w:rsidR="00745AEE" w:rsidRDefault="004E013E" w:rsidP="00FB2E1B">
            <w:pPr>
              <w:pStyle w:val="TableText"/>
            </w:pPr>
            <w:r>
              <w:t>SPZ and SMZ to be created if SO roosting or nesting site observed</w:t>
            </w:r>
          </w:p>
          <w:p w14:paraId="41AFE7A7" w14:textId="75ADD629" w:rsidR="004E013E" w:rsidRDefault="004E013E" w:rsidP="00FB2E1B">
            <w:pPr>
              <w:pStyle w:val="TableText"/>
            </w:pPr>
            <w:r>
              <w:t>Adaptive silviculture for variable retention 1 and habitat patches retained and 10 retained trees/ha for YBG, SO, PO</w:t>
            </w:r>
            <w:r w:rsidR="00D60869">
              <w:t>, SG, ED</w:t>
            </w:r>
            <w:r>
              <w:t xml:space="preserve">. </w:t>
            </w:r>
          </w:p>
        </w:tc>
      </w:tr>
      <w:tr w:rsidR="00745AEE" w14:paraId="500C95B4" w14:textId="77777777" w:rsidTr="00FB2E1B">
        <w:tc>
          <w:tcPr>
            <w:tcW w:w="1701" w:type="dxa"/>
            <w:vMerge/>
          </w:tcPr>
          <w:p w14:paraId="626DB904" w14:textId="77777777" w:rsidR="00745AEE" w:rsidRDefault="00745AEE" w:rsidP="00FB2E1B">
            <w:pPr>
              <w:pStyle w:val="TableText"/>
            </w:pPr>
          </w:p>
        </w:tc>
        <w:tc>
          <w:tcPr>
            <w:tcW w:w="12900" w:type="dxa"/>
            <w:gridSpan w:val="4"/>
          </w:tcPr>
          <w:p w14:paraId="63873C17" w14:textId="3B18D7DF" w:rsidR="00D60869" w:rsidRDefault="00B65779" w:rsidP="00D60869">
            <w:pPr>
              <w:pStyle w:val="TableText"/>
            </w:pPr>
            <w:r>
              <w:t>Coupe observations</w:t>
            </w:r>
            <w:r w:rsidR="00D60869">
              <w:t>:</w:t>
            </w:r>
          </w:p>
          <w:p w14:paraId="408882BE" w14:textId="56192575" w:rsidR="00745AEE" w:rsidRDefault="00D60869" w:rsidP="00D60869">
            <w:pPr>
              <w:pStyle w:val="TableBullet"/>
            </w:pPr>
            <w:r>
              <w:t>Protection measures in place</w:t>
            </w:r>
          </w:p>
        </w:tc>
      </w:tr>
      <w:tr w:rsidR="00745AEE" w14:paraId="3729A389" w14:textId="77777777" w:rsidTr="00B65779">
        <w:tc>
          <w:tcPr>
            <w:tcW w:w="1701" w:type="dxa"/>
            <w:vMerge w:val="restart"/>
          </w:tcPr>
          <w:p w14:paraId="0DD7FCB3" w14:textId="76A81448" w:rsidR="00745AEE" w:rsidRDefault="00D60869" w:rsidP="00FB2E1B">
            <w:pPr>
              <w:pStyle w:val="TableText"/>
            </w:pPr>
            <w:r>
              <w:t>32 Paw Print</w:t>
            </w:r>
          </w:p>
        </w:tc>
        <w:tc>
          <w:tcPr>
            <w:tcW w:w="2835" w:type="dxa"/>
          </w:tcPr>
          <w:p w14:paraId="46C35CC0" w14:textId="77777777" w:rsidR="00745AEE" w:rsidRDefault="00D60869" w:rsidP="00FB2E1B">
            <w:pPr>
              <w:pStyle w:val="TableText"/>
            </w:pPr>
            <w:r>
              <w:t>PO (heard within 500m of coupe)</w:t>
            </w:r>
          </w:p>
          <w:p w14:paraId="50B2FA72" w14:textId="77777777" w:rsidR="00D60869" w:rsidRDefault="00D60869" w:rsidP="00FB2E1B">
            <w:pPr>
              <w:pStyle w:val="TableText"/>
            </w:pPr>
            <w:r>
              <w:t>YBG (VBA record – within 500m of coupe)</w:t>
            </w:r>
          </w:p>
          <w:p w14:paraId="32061E7E" w14:textId="46551A89" w:rsidR="00180D68" w:rsidRDefault="00180D68" w:rsidP="00FB2E1B">
            <w:pPr>
              <w:pStyle w:val="TableText"/>
            </w:pPr>
            <w:r>
              <w:t>LFP site (VBA record)</w:t>
            </w:r>
          </w:p>
        </w:tc>
        <w:tc>
          <w:tcPr>
            <w:tcW w:w="3119" w:type="dxa"/>
          </w:tcPr>
          <w:p w14:paraId="2FCC9BD8" w14:textId="6686AC7B" w:rsidR="00745AEE" w:rsidRDefault="00D60869" w:rsidP="00FB2E1B">
            <w:pPr>
              <w:pStyle w:val="TableText"/>
            </w:pPr>
            <w:r>
              <w:t>SO, STQ, GG, YBG</w:t>
            </w:r>
            <w:r w:rsidR="00180D68">
              <w:t xml:space="preserve">, LFP, LBTF, EGSC, Forest Geebung (FG), Veined </w:t>
            </w:r>
            <w:r w:rsidR="00CE35B5">
              <w:t>Pomaderris</w:t>
            </w:r>
            <w:r w:rsidR="00180D68">
              <w:t xml:space="preserve"> (VP)</w:t>
            </w:r>
          </w:p>
        </w:tc>
        <w:tc>
          <w:tcPr>
            <w:tcW w:w="2268" w:type="dxa"/>
          </w:tcPr>
          <w:p w14:paraId="57837FAA" w14:textId="26D525D8" w:rsidR="00745AEE" w:rsidRDefault="00180D68" w:rsidP="00FB2E1B">
            <w:pPr>
              <w:pStyle w:val="TableText"/>
            </w:pPr>
            <w:r>
              <w:t>VBA records</w:t>
            </w:r>
          </w:p>
        </w:tc>
        <w:tc>
          <w:tcPr>
            <w:tcW w:w="4678" w:type="dxa"/>
          </w:tcPr>
          <w:p w14:paraId="3778AF58" w14:textId="06096885" w:rsidR="00D60869" w:rsidRDefault="00D60869" w:rsidP="00D60869">
            <w:pPr>
              <w:pStyle w:val="TableText"/>
            </w:pPr>
            <w:r>
              <w:t>SPZ and SMZ to be created if PO roosting or nesting site observed</w:t>
            </w:r>
          </w:p>
          <w:p w14:paraId="31FB6BF7" w14:textId="260812BA" w:rsidR="00180D68" w:rsidRDefault="00180D68" w:rsidP="00D60869">
            <w:pPr>
              <w:pStyle w:val="TableText"/>
            </w:pPr>
            <w:r>
              <w:t>LFP, LBTF, EGSC reserve/buffer along waterway</w:t>
            </w:r>
          </w:p>
          <w:p w14:paraId="35E1EC0E" w14:textId="5A19A077" w:rsidR="00745AEE" w:rsidRDefault="00D60869" w:rsidP="00FB2E1B">
            <w:pPr>
              <w:pStyle w:val="TableText"/>
            </w:pPr>
            <w:r>
              <w:t>Adaptive silviculture for variable retention 1 and habitat patches retained and 10 retained trees/ha for SO, STQ</w:t>
            </w:r>
            <w:r w:rsidR="00180D68">
              <w:t>, YBG, FG, VP</w:t>
            </w:r>
            <w:r>
              <w:t>. Large habitat tree incorporated into patch. Mineral earth fire break around retained patches. 40% basal area retained</w:t>
            </w:r>
            <w:r w:rsidR="00180D68">
              <w:t>.</w:t>
            </w:r>
          </w:p>
        </w:tc>
      </w:tr>
      <w:tr w:rsidR="00745AEE" w14:paraId="0B5D991A" w14:textId="77777777" w:rsidTr="00FB2E1B">
        <w:tc>
          <w:tcPr>
            <w:tcW w:w="1701" w:type="dxa"/>
            <w:vMerge/>
          </w:tcPr>
          <w:p w14:paraId="53739F6D" w14:textId="77777777" w:rsidR="00745AEE" w:rsidRDefault="00745AEE" w:rsidP="00FB2E1B">
            <w:pPr>
              <w:pStyle w:val="TableText"/>
            </w:pPr>
          </w:p>
        </w:tc>
        <w:tc>
          <w:tcPr>
            <w:tcW w:w="12900" w:type="dxa"/>
            <w:gridSpan w:val="4"/>
          </w:tcPr>
          <w:p w14:paraId="15B7FE94" w14:textId="7C4DA286" w:rsidR="00745AEE" w:rsidRDefault="00B65779" w:rsidP="00917E22">
            <w:pPr>
              <w:pStyle w:val="TableText"/>
              <w:keepNext/>
            </w:pPr>
            <w:r>
              <w:t>Coupe observations</w:t>
            </w:r>
            <w:r w:rsidR="00745AEE">
              <w:t>:</w:t>
            </w:r>
          </w:p>
          <w:p w14:paraId="4EAE2F68" w14:textId="50359688" w:rsidR="00745AEE" w:rsidRDefault="00745AEE" w:rsidP="00FB2E1B">
            <w:pPr>
              <w:pStyle w:val="TableBullet"/>
            </w:pPr>
            <w:r>
              <w:t>Protection measures in place</w:t>
            </w:r>
            <w:r w:rsidR="00180D68">
              <w:t>. Mineral earth fire breaks overgrown at time of audit, although not required in fire salvage coupe</w:t>
            </w:r>
          </w:p>
        </w:tc>
      </w:tr>
    </w:tbl>
    <w:p w14:paraId="136040AE" w14:textId="77777777" w:rsidR="003D51D9" w:rsidRDefault="003D51D9" w:rsidP="00FB2E1B">
      <w:pPr>
        <w:sectPr w:rsidR="003D51D9" w:rsidSect="00FB2E1B">
          <w:headerReference w:type="even" r:id="rId100"/>
          <w:headerReference w:type="default" r:id="rId101"/>
          <w:footerReference w:type="even" r:id="rId102"/>
          <w:footerReference w:type="default" r:id="rId103"/>
          <w:headerReference w:type="first" r:id="rId104"/>
          <w:footerReference w:type="first" r:id="rId105"/>
          <w:pgSz w:w="16838" w:h="11906" w:orient="landscape" w:code="9"/>
          <w:pgMar w:top="1134" w:right="1134" w:bottom="567" w:left="1134" w:header="567" w:footer="0" w:gutter="0"/>
          <w:cols w:space="720"/>
          <w:docGrid w:linePitch="360"/>
        </w:sectPr>
      </w:pPr>
    </w:p>
    <w:p w14:paraId="3F61316C" w14:textId="387AB4F9" w:rsidR="001B02C3" w:rsidRDefault="001B02C3" w:rsidP="007A01C0">
      <w:pPr>
        <w:pStyle w:val="BodyText"/>
      </w:pPr>
      <w:r>
        <w:lastRenderedPageBreak/>
        <w:t xml:space="preserve">There is a potential shortcoming in record-keeping in relation to the application of the precautionary principle in that the FCP only appears to only record the results of successful searches for threatened species using surveys and HDM. </w:t>
      </w:r>
      <w:r w:rsidR="00756BBB">
        <w:t>T</w:t>
      </w:r>
      <w:r>
        <w:t xml:space="preserve">his is </w:t>
      </w:r>
      <w:r w:rsidR="00756BBB">
        <w:t xml:space="preserve">considered </w:t>
      </w:r>
      <w:r>
        <w:t>appropriate for the FCP, given that it is directed towards management of coupe activities</w:t>
      </w:r>
      <w:r w:rsidR="00756BBB">
        <w:t xml:space="preserve"> and the protection of values that may be present. However, unless other records are retained of the full extent of searches using surveys and habitat modelling, full evidence of the application the precautionary principle may not be available.</w:t>
      </w:r>
    </w:p>
    <w:p w14:paraId="62019019" w14:textId="77777777" w:rsidR="00756BBB" w:rsidRDefault="00756BBB" w:rsidP="00756BBB">
      <w:pPr>
        <w:pStyle w:val="BodyText"/>
      </w:pPr>
    </w:p>
    <w:tbl>
      <w:tblPr>
        <w:tblStyle w:val="JacobsTable1accentprimarythemes"/>
        <w:tblW w:w="0" w:type="auto"/>
        <w:tblLook w:val="04A0" w:firstRow="1" w:lastRow="0" w:firstColumn="1" w:lastColumn="0" w:noHBand="0" w:noVBand="1"/>
      </w:tblPr>
      <w:tblGrid>
        <w:gridCol w:w="9638"/>
      </w:tblGrid>
      <w:tr w:rsidR="00756BBB" w14:paraId="740ED7D9" w14:textId="77777777" w:rsidTr="00FB2E1B">
        <w:trPr>
          <w:cnfStyle w:val="100000000000" w:firstRow="1" w:lastRow="0" w:firstColumn="0" w:lastColumn="0" w:oddVBand="0" w:evenVBand="0" w:oddHBand="0" w:evenHBand="0" w:firstRowFirstColumn="0" w:firstRowLastColumn="0" w:lastRowFirstColumn="0" w:lastRowLastColumn="0"/>
        </w:trPr>
        <w:tc>
          <w:tcPr>
            <w:tcW w:w="9638" w:type="dxa"/>
          </w:tcPr>
          <w:p w14:paraId="7101FB33" w14:textId="5A72E5CE" w:rsidR="00756BBB" w:rsidRDefault="00756BBB" w:rsidP="00FB2E1B">
            <w:pPr>
              <w:pStyle w:val="TableText"/>
            </w:pPr>
            <w:r>
              <w:t>Recommendation V-01: High priority</w:t>
            </w:r>
          </w:p>
        </w:tc>
      </w:tr>
      <w:tr w:rsidR="00756BBB" w14:paraId="38755980" w14:textId="77777777" w:rsidTr="00FB2E1B">
        <w:tc>
          <w:tcPr>
            <w:tcW w:w="9638" w:type="dxa"/>
          </w:tcPr>
          <w:p w14:paraId="787B97A4" w14:textId="2B57B7BB" w:rsidR="00756BBB" w:rsidRDefault="00756BBB" w:rsidP="00FB2E1B">
            <w:pPr>
              <w:pStyle w:val="TableText"/>
            </w:pPr>
            <w:r>
              <w:t>That VicForests retain records of the full search effort, using surveys and habitat modelling, to identify threatened species that may be present within a coupe or may be affected by nearby harvesting activities.</w:t>
            </w:r>
          </w:p>
        </w:tc>
      </w:tr>
    </w:tbl>
    <w:p w14:paraId="567D8800" w14:textId="54139CA8" w:rsidR="00756BBB" w:rsidRDefault="00756BBB" w:rsidP="00756BBB">
      <w:pPr>
        <w:pStyle w:val="Heading2"/>
      </w:pPr>
      <w:bookmarkStart w:id="177" w:name="_Toc131178703"/>
      <w:r>
        <w:t>Potential improvements in coupe planning, harvesting and rehabilitation practices</w:t>
      </w:r>
      <w:bookmarkEnd w:id="177"/>
    </w:p>
    <w:p w14:paraId="0F6DC681" w14:textId="3CB41B4C" w:rsidR="00756BBB" w:rsidRDefault="00B65779" w:rsidP="00756BBB">
      <w:pPr>
        <w:pStyle w:val="BodyText"/>
      </w:pPr>
      <w:r w:rsidRPr="00B65779">
        <w:t xml:space="preserve">Observations from the current audit and reflections on non-conformance incidents from previous audits suggests several potential areas for improvement in coupe planning, timber harvesting and coupe rehabilitation practices, as discussed </w:t>
      </w:r>
      <w:r>
        <w:t>below</w:t>
      </w:r>
      <w:r w:rsidRPr="00B65779">
        <w:t>.</w:t>
      </w:r>
      <w:r>
        <w:t xml:space="preserve"> Most of these issues have been considered in previous FAP audit reports prepared by this audit team (e.g., Jacobs 2018; 2019; 2020a; 2020b; 202</w:t>
      </w:r>
      <w:r w:rsidR="00E2694E">
        <w:t>1</w:t>
      </w:r>
      <w:r>
        <w:t>).</w:t>
      </w:r>
    </w:p>
    <w:p w14:paraId="46062647" w14:textId="0D59E43A" w:rsidR="00B65779" w:rsidRPr="00756BBB" w:rsidRDefault="00B65779" w:rsidP="00B65779">
      <w:pPr>
        <w:pStyle w:val="Heading3"/>
      </w:pPr>
      <w:bookmarkStart w:id="178" w:name="_Toc131178704"/>
      <w:r>
        <w:t>Coupe planning</w:t>
      </w:r>
      <w:bookmarkEnd w:id="178"/>
    </w:p>
    <w:p w14:paraId="6EE8A7D3" w14:textId="282577DA" w:rsidR="00C467A5" w:rsidRDefault="00C467A5" w:rsidP="00C467A5">
      <w:pPr>
        <w:pStyle w:val="BodyText"/>
      </w:pPr>
      <w:r>
        <w:t>As noted in our previous audit (Jacobs, 202</w:t>
      </w:r>
      <w:r w:rsidR="00E2694E">
        <w:t>1</w:t>
      </w:r>
      <w:r>
        <w:t xml:space="preserve">) coupe planning and its documentation by VicForests typically conforms well with Code and MSP requirements. Most planning-related non-conformance issues with potential environmental impact result from the operations not following what was planned, rather than any specific planning shortcomings. </w:t>
      </w:r>
    </w:p>
    <w:p w14:paraId="6E7B3E8A" w14:textId="19ABED08" w:rsidR="00C467A5" w:rsidRDefault="00C467A5" w:rsidP="00C467A5">
      <w:pPr>
        <w:pStyle w:val="BodyText"/>
      </w:pPr>
      <w:r>
        <w:t>Previous audits have commented on potential improvements in coupe planning practice, including the explicit mapping of waterway classification, inclusion of slope mapping in steeper areas within coupes and inclusion of geology maps for coupes in East Gippsland to confirm identification of granite-derived soils. While experience is variable across VicForests, these issues are generally addressed and coupe planning has continued to improve.</w:t>
      </w:r>
    </w:p>
    <w:p w14:paraId="2E1719F3" w14:textId="29F89108" w:rsidR="00C467A5" w:rsidRDefault="00C467A5" w:rsidP="00C467A5">
      <w:pPr>
        <w:pStyle w:val="BodyText"/>
      </w:pPr>
      <w:r>
        <w:t xml:space="preserve">Use of FPSP outcomes and </w:t>
      </w:r>
      <w:r w:rsidR="00116EFA">
        <w:t xml:space="preserve">HDM (as discussed in Section </w:t>
      </w:r>
      <w:r w:rsidR="00116EFA">
        <w:fldChar w:fldCharType="begin"/>
      </w:r>
      <w:r w:rsidR="00116EFA">
        <w:instrText xml:space="preserve"> REF _Ref121199964 \r \h </w:instrText>
      </w:r>
      <w:r w:rsidR="00116EFA">
        <w:fldChar w:fldCharType="separate"/>
      </w:r>
      <w:r w:rsidR="00130DCF">
        <w:t>5.4</w:t>
      </w:r>
      <w:r w:rsidR="00116EFA">
        <w:fldChar w:fldCharType="end"/>
      </w:r>
      <w:r w:rsidR="00116EFA">
        <w:t>) in coupe planning has strengthened the application of the precautionary principle in the protection of threatened ecological values</w:t>
      </w:r>
      <w:r w:rsidR="00A11249">
        <w:t xml:space="preserve"> and, improved planning for the protection of biodiversity values</w:t>
      </w:r>
      <w:r w:rsidR="00116EFA">
        <w:t>.</w:t>
      </w:r>
    </w:p>
    <w:p w14:paraId="67D3C6D4" w14:textId="09292E5B" w:rsidR="00A11249" w:rsidRDefault="00A11249" w:rsidP="00A11249">
      <w:pPr>
        <w:pStyle w:val="Heading3"/>
      </w:pPr>
      <w:bookmarkStart w:id="179" w:name="_Toc131178705"/>
      <w:r>
        <w:t>Design, construction and maintenance of waterway crossings</w:t>
      </w:r>
      <w:bookmarkEnd w:id="179"/>
    </w:p>
    <w:p w14:paraId="0D763632" w14:textId="48BB7BE1" w:rsidR="00C476AF" w:rsidRDefault="00A11249" w:rsidP="00A11249">
      <w:pPr>
        <w:pStyle w:val="BodyText"/>
      </w:pPr>
      <w:r>
        <w:t>FAP audits by this team have consistently identified deficiencies in the design, construction</w:t>
      </w:r>
      <w:r w:rsidR="00980926">
        <w:t>,</w:t>
      </w:r>
      <w:r>
        <w:t xml:space="preserve"> maintenance </w:t>
      </w:r>
      <w:r w:rsidR="00980926">
        <w:t xml:space="preserve">and/or rehabilitation </w:t>
      </w:r>
      <w:r>
        <w:t xml:space="preserve">of waterway crossings (see </w:t>
      </w:r>
      <w:r>
        <w:fldChar w:fldCharType="begin"/>
      </w:r>
      <w:r>
        <w:instrText xml:space="preserve"> REF _Ref120350032 \h </w:instrText>
      </w:r>
      <w:r>
        <w:fldChar w:fldCharType="separate"/>
      </w:r>
      <w:r w:rsidR="00130DCF" w:rsidRPr="009038E7">
        <w:t>Table</w:t>
      </w:r>
      <w:r w:rsidR="00130DCF">
        <w:t> </w:t>
      </w:r>
      <w:r w:rsidR="00130DCF">
        <w:rPr>
          <w:noProof/>
        </w:rPr>
        <w:t>5-2</w:t>
      </w:r>
      <w:r>
        <w:fldChar w:fldCharType="end"/>
      </w:r>
      <w:r>
        <w:t>).</w:t>
      </w:r>
      <w:r w:rsidR="00C476AF">
        <w:t xml:space="preserve"> </w:t>
      </w:r>
      <w:r w:rsidR="00975B85">
        <w:t xml:space="preserve">Defects in </w:t>
      </w:r>
      <w:r w:rsidR="00CC03A2">
        <w:t xml:space="preserve">in-coupe road and snig track </w:t>
      </w:r>
      <w:r w:rsidR="00975B85">
        <w:t>waterway crossing</w:t>
      </w:r>
      <w:r w:rsidR="00CC03A2">
        <w:t>s</w:t>
      </w:r>
      <w:r w:rsidR="00975B85">
        <w:t xml:space="preserve"> have been the most material issues </w:t>
      </w:r>
      <w:r w:rsidR="00CC03A2">
        <w:t>identified</w:t>
      </w:r>
      <w:r w:rsidR="00975B85">
        <w:t xml:space="preserve"> in many of our previous audits and have accounted for </w:t>
      </w:r>
      <w:r w:rsidR="00C476AF">
        <w:t>a large proportion</w:t>
      </w:r>
      <w:r w:rsidR="00975B85">
        <w:t xml:space="preserve"> of </w:t>
      </w:r>
      <w:r w:rsidR="00C476AF">
        <w:t xml:space="preserve">the </w:t>
      </w:r>
      <w:r w:rsidR="00975B85">
        <w:t>non-conformances with major potential environmental impact</w:t>
      </w:r>
      <w:r w:rsidR="00C476AF">
        <w:t xml:space="preserve"> that have been observed</w:t>
      </w:r>
      <w:r w:rsidR="00975B85">
        <w:t xml:space="preserve">. </w:t>
      </w:r>
      <w:r w:rsidR="00682085">
        <w:t>Only</w:t>
      </w:r>
      <w:r w:rsidR="00975B85">
        <w:t xml:space="preserve"> </w:t>
      </w:r>
      <w:r w:rsidR="00C476AF">
        <w:t xml:space="preserve">in </w:t>
      </w:r>
      <w:r w:rsidR="003D2529">
        <w:t xml:space="preserve">a few </w:t>
      </w:r>
      <w:r w:rsidR="00C476AF">
        <w:t xml:space="preserve">cases </w:t>
      </w:r>
      <w:r w:rsidR="000E0B2A">
        <w:t xml:space="preserve">has </w:t>
      </w:r>
      <w:r w:rsidR="00C476AF">
        <w:t>this reflect</w:t>
      </w:r>
      <w:r w:rsidR="000E0B2A">
        <w:t>ed</w:t>
      </w:r>
      <w:r w:rsidR="00C476AF">
        <w:t xml:space="preserve"> </w:t>
      </w:r>
      <w:r w:rsidR="00975B85">
        <w:t>the</w:t>
      </w:r>
      <w:r w:rsidR="00C476AF">
        <w:t xml:space="preserve"> level of actual environmental impact</w:t>
      </w:r>
      <w:r w:rsidR="00682085">
        <w:t>. However</w:t>
      </w:r>
      <w:r w:rsidR="00C476AF">
        <w:t>, it highlights the sensitivity of the locations at which the crossings are constructed and the need for carefully</w:t>
      </w:r>
      <w:r w:rsidR="00B900D8">
        <w:t xml:space="preserve"> </w:t>
      </w:r>
      <w:r w:rsidR="00C476AF">
        <w:t>considered design, sound construction and appropriate maintenance and rehabilitation.</w:t>
      </w:r>
    </w:p>
    <w:p w14:paraId="59725DD9" w14:textId="616629A8" w:rsidR="00CC03A2" w:rsidRDefault="008C7F1F" w:rsidP="00A11249">
      <w:pPr>
        <w:pStyle w:val="BodyText"/>
      </w:pPr>
      <w:r>
        <w:t>N</w:t>
      </w:r>
      <w:r w:rsidR="00C476AF">
        <w:t>on-conforming</w:t>
      </w:r>
      <w:r w:rsidR="00975B85">
        <w:t xml:space="preserve"> waterway crossing</w:t>
      </w:r>
      <w:r w:rsidR="00C476AF">
        <w:t>s</w:t>
      </w:r>
      <w:r w:rsidR="00975B85">
        <w:t xml:space="preserve"> </w:t>
      </w:r>
      <w:r>
        <w:t>were</w:t>
      </w:r>
      <w:r w:rsidR="00975B85">
        <w:t xml:space="preserve"> relatively </w:t>
      </w:r>
      <w:r>
        <w:t>infrequent</w:t>
      </w:r>
      <w:r w:rsidR="00975B85">
        <w:t xml:space="preserve"> in the two most recent audits, </w:t>
      </w:r>
      <w:r w:rsidR="00C476AF">
        <w:t xml:space="preserve">reflecting both reduced incidence of crossings and improving practice. </w:t>
      </w:r>
      <w:r w:rsidR="00682085">
        <w:t>W</w:t>
      </w:r>
      <w:r>
        <w:t xml:space="preserve">aterway crossings were </w:t>
      </w:r>
      <w:r w:rsidR="00682085">
        <w:t xml:space="preserve">considerably </w:t>
      </w:r>
      <w:r>
        <w:t>more common in this year’s audit</w:t>
      </w:r>
      <w:r>
        <w:rPr>
          <w:rStyle w:val="FootnoteReference"/>
        </w:rPr>
        <w:footnoteReference w:id="2"/>
      </w:r>
      <w:r>
        <w:t xml:space="preserve">, with 12 </w:t>
      </w:r>
      <w:r w:rsidR="00CC03A2">
        <w:t xml:space="preserve">of 32 </w:t>
      </w:r>
      <w:r>
        <w:t>coupes having either (or both) snig track or in-coupe road waterway crossings</w:t>
      </w:r>
      <w:r w:rsidR="001431A1">
        <w:t>,</w:t>
      </w:r>
      <w:r w:rsidR="00CC03A2">
        <w:t xml:space="preserve"> compared with just four of 30 coupes in </w:t>
      </w:r>
      <w:r>
        <w:t>2020-21</w:t>
      </w:r>
      <w:r w:rsidR="00CC03A2">
        <w:t>. Waterway crossing incidents were also the equal most common type of incident observed in the current audit and the main source of non-conformances with major potential environmental impact (</w:t>
      </w:r>
      <w:r w:rsidR="00CC03A2">
        <w:fldChar w:fldCharType="begin"/>
      </w:r>
      <w:r w:rsidR="00CC03A2">
        <w:instrText xml:space="preserve"> REF _Ref120350032 \h </w:instrText>
      </w:r>
      <w:r w:rsidR="00CC03A2">
        <w:fldChar w:fldCharType="separate"/>
      </w:r>
      <w:r w:rsidR="00130DCF" w:rsidRPr="009038E7">
        <w:t>Table</w:t>
      </w:r>
      <w:r w:rsidR="00130DCF">
        <w:t> </w:t>
      </w:r>
      <w:r w:rsidR="00130DCF">
        <w:rPr>
          <w:noProof/>
        </w:rPr>
        <w:t>5-2</w:t>
      </w:r>
      <w:r w:rsidR="00CC03A2">
        <w:fldChar w:fldCharType="end"/>
      </w:r>
      <w:r w:rsidR="0039100E">
        <w:t xml:space="preserve">). Examples of some of the deficiencies are provided in </w:t>
      </w:r>
      <w:r w:rsidR="00682085">
        <w:lastRenderedPageBreak/>
        <w:fldChar w:fldCharType="begin"/>
      </w:r>
      <w:r w:rsidR="00682085">
        <w:instrText xml:space="preserve"> REF _Ref120168090 \h </w:instrText>
      </w:r>
      <w:r w:rsidR="00682085">
        <w:fldChar w:fldCharType="separate"/>
      </w:r>
      <w:r w:rsidR="00130DCF" w:rsidRPr="009038E7">
        <w:t>Figure</w:t>
      </w:r>
      <w:r w:rsidR="00130DCF">
        <w:t> </w:t>
      </w:r>
      <w:r w:rsidR="00130DCF">
        <w:rPr>
          <w:noProof/>
        </w:rPr>
        <w:t>4</w:t>
      </w:r>
      <w:r w:rsidR="00130DCF">
        <w:noBreakHyphen/>
      </w:r>
      <w:r w:rsidR="00130DCF">
        <w:rPr>
          <w:noProof/>
        </w:rPr>
        <w:t>3</w:t>
      </w:r>
      <w:r w:rsidR="00682085">
        <w:fldChar w:fldCharType="end"/>
      </w:r>
      <w:r w:rsidR="0039100E">
        <w:t xml:space="preserve"> (02 Dragonfly), </w:t>
      </w:r>
      <w:r w:rsidR="00682085">
        <w:fldChar w:fldCharType="begin"/>
      </w:r>
      <w:r w:rsidR="00682085">
        <w:instrText xml:space="preserve"> REF _Ref120168093 \h </w:instrText>
      </w:r>
      <w:r w:rsidR="00682085">
        <w:fldChar w:fldCharType="separate"/>
      </w:r>
      <w:r w:rsidR="00130DCF" w:rsidRPr="009038E7">
        <w:t>Figure</w:t>
      </w:r>
      <w:r w:rsidR="00130DCF">
        <w:t> </w:t>
      </w:r>
      <w:r w:rsidR="00130DCF">
        <w:rPr>
          <w:noProof/>
        </w:rPr>
        <w:t>4</w:t>
      </w:r>
      <w:r w:rsidR="00130DCF">
        <w:noBreakHyphen/>
      </w:r>
      <w:r w:rsidR="00130DCF">
        <w:rPr>
          <w:noProof/>
        </w:rPr>
        <w:t>4</w:t>
      </w:r>
      <w:r w:rsidR="00682085">
        <w:fldChar w:fldCharType="end"/>
      </w:r>
      <w:r w:rsidR="0039100E">
        <w:t xml:space="preserve"> (07 Lemon Lime), </w:t>
      </w:r>
      <w:r w:rsidR="00682085">
        <w:fldChar w:fldCharType="begin"/>
      </w:r>
      <w:r w:rsidR="00682085">
        <w:instrText xml:space="preserve"> REF _Ref120169700 \h </w:instrText>
      </w:r>
      <w:r w:rsidR="00682085">
        <w:fldChar w:fldCharType="separate"/>
      </w:r>
      <w:r w:rsidR="00130DCF" w:rsidRPr="009038E7">
        <w:t>Figure</w:t>
      </w:r>
      <w:r w:rsidR="00130DCF">
        <w:t> </w:t>
      </w:r>
      <w:r w:rsidR="00130DCF">
        <w:rPr>
          <w:noProof/>
        </w:rPr>
        <w:t>4</w:t>
      </w:r>
      <w:r w:rsidR="00130DCF">
        <w:noBreakHyphen/>
      </w:r>
      <w:r w:rsidR="00130DCF">
        <w:rPr>
          <w:noProof/>
        </w:rPr>
        <w:t>6</w:t>
      </w:r>
      <w:r w:rsidR="00682085">
        <w:fldChar w:fldCharType="end"/>
      </w:r>
      <w:r w:rsidR="0039100E">
        <w:t xml:space="preserve"> (</w:t>
      </w:r>
      <w:r w:rsidR="007B5939">
        <w:t>24 Bayled Up)</w:t>
      </w:r>
      <w:r w:rsidR="0039100E">
        <w:t xml:space="preserve">, </w:t>
      </w:r>
      <w:r w:rsidR="00682085">
        <w:fldChar w:fldCharType="begin"/>
      </w:r>
      <w:r w:rsidR="00682085">
        <w:instrText xml:space="preserve"> REF _Ref120174798 \h </w:instrText>
      </w:r>
      <w:r w:rsidR="00682085">
        <w:fldChar w:fldCharType="separate"/>
      </w:r>
      <w:r w:rsidR="00130DCF" w:rsidRPr="009038E7">
        <w:t>Figure</w:t>
      </w:r>
      <w:r w:rsidR="00130DCF">
        <w:t> </w:t>
      </w:r>
      <w:r w:rsidR="00130DCF">
        <w:rPr>
          <w:noProof/>
        </w:rPr>
        <w:t>4</w:t>
      </w:r>
      <w:r w:rsidR="00130DCF">
        <w:noBreakHyphen/>
      </w:r>
      <w:r w:rsidR="00130DCF">
        <w:rPr>
          <w:noProof/>
        </w:rPr>
        <w:t>7</w:t>
      </w:r>
      <w:r w:rsidR="00682085">
        <w:fldChar w:fldCharType="end"/>
      </w:r>
      <w:r w:rsidR="0039100E">
        <w:t xml:space="preserve"> </w:t>
      </w:r>
      <w:r w:rsidR="007B5939">
        <w:t xml:space="preserve">(04 Sun Downies, 19 Rossignol) </w:t>
      </w:r>
      <w:r w:rsidR="0039100E">
        <w:t>and</w:t>
      </w:r>
      <w:r w:rsidR="00682085">
        <w:t xml:space="preserve"> </w:t>
      </w:r>
      <w:r w:rsidR="00682085">
        <w:fldChar w:fldCharType="begin"/>
      </w:r>
      <w:r w:rsidR="00682085">
        <w:instrText xml:space="preserve"> REF _Ref120175326 \h </w:instrText>
      </w:r>
      <w:r w:rsidR="00682085">
        <w:fldChar w:fldCharType="separate"/>
      </w:r>
      <w:r w:rsidR="00130DCF" w:rsidRPr="009038E7">
        <w:t>Figure</w:t>
      </w:r>
      <w:r w:rsidR="00130DCF">
        <w:t> </w:t>
      </w:r>
      <w:r w:rsidR="00130DCF">
        <w:rPr>
          <w:noProof/>
        </w:rPr>
        <w:t>4</w:t>
      </w:r>
      <w:r w:rsidR="00130DCF">
        <w:noBreakHyphen/>
      </w:r>
      <w:r w:rsidR="00130DCF">
        <w:rPr>
          <w:noProof/>
        </w:rPr>
        <w:t>8</w:t>
      </w:r>
      <w:r w:rsidR="00682085">
        <w:fldChar w:fldCharType="end"/>
      </w:r>
      <w:r w:rsidR="007B5939">
        <w:t xml:space="preserve"> (18 South Buck)</w:t>
      </w:r>
      <w:r w:rsidR="00CC03A2">
        <w:t xml:space="preserve">. </w:t>
      </w:r>
    </w:p>
    <w:p w14:paraId="74B20BD9" w14:textId="7A031E4A" w:rsidR="007B5939" w:rsidRDefault="007B5939" w:rsidP="00A11249">
      <w:pPr>
        <w:pStyle w:val="BodyText"/>
      </w:pPr>
      <w:r>
        <w:t>While there were multiple examples of defici</w:t>
      </w:r>
      <w:r w:rsidR="006F2FB6">
        <w:t>en</w:t>
      </w:r>
      <w:r>
        <w:t>t waterway crossing design and construction, examples of g</w:t>
      </w:r>
      <w:r w:rsidR="00A11249">
        <w:t>ood practice</w:t>
      </w:r>
      <w:r>
        <w:t xml:space="preserve"> </w:t>
      </w:r>
      <w:r w:rsidR="00A11249">
        <w:t xml:space="preserve">in waterway crossing </w:t>
      </w:r>
      <w:r>
        <w:t>design and construction</w:t>
      </w:r>
      <w:r w:rsidR="00D47E91" w:rsidRPr="00D47E91">
        <w:t xml:space="preserve"> </w:t>
      </w:r>
      <w:r w:rsidR="00D47E91">
        <w:t>were observed (</w:t>
      </w:r>
      <w:r w:rsidR="00D47E91">
        <w:fldChar w:fldCharType="begin"/>
      </w:r>
      <w:r w:rsidR="00D47E91">
        <w:instrText xml:space="preserve"> REF _Ref121207498 \h </w:instrText>
      </w:r>
      <w:r w:rsidR="00D47E91">
        <w:fldChar w:fldCharType="separate"/>
      </w:r>
      <w:r w:rsidR="00130DCF">
        <w:t xml:space="preserve">Figure </w:t>
      </w:r>
      <w:r w:rsidR="00130DCF">
        <w:rPr>
          <w:noProof/>
        </w:rPr>
        <w:t>5</w:t>
      </w:r>
      <w:r w:rsidR="00130DCF">
        <w:noBreakHyphen/>
      </w:r>
      <w:r w:rsidR="00130DCF">
        <w:rPr>
          <w:noProof/>
        </w:rPr>
        <w:t>4</w:t>
      </w:r>
      <w:r w:rsidR="00D47E91">
        <w:fldChar w:fldCharType="end"/>
      </w:r>
      <w:r w:rsidR="00D47E91">
        <w:t>; 02 Dragonfly, 19 Rossignol, 24 Bayled Up)</w:t>
      </w:r>
      <w:r>
        <w:t xml:space="preserve">. </w:t>
      </w:r>
      <w:r w:rsidR="00D47E91">
        <w:t xml:space="preserve">Some good practice examples were present on the crossings that also had significant defects. </w:t>
      </w:r>
    </w:p>
    <w:p w14:paraId="0FC06670" w14:textId="00392669" w:rsidR="0039100E" w:rsidRDefault="0086622B" w:rsidP="00A11249">
      <w:pPr>
        <w:pStyle w:val="BodyText"/>
      </w:pPr>
      <w:r>
        <w:rPr>
          <w:noProof/>
        </w:rPr>
        <w:drawing>
          <wp:inline distT="0" distB="0" distL="0" distR="0" wp14:anchorId="4D138D5A" wp14:editId="3C5F2131">
            <wp:extent cx="6626077" cy="4050665"/>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649804" cy="4065170"/>
                    </a:xfrm>
                    <a:prstGeom prst="rect">
                      <a:avLst/>
                    </a:prstGeom>
                    <a:noFill/>
                  </pic:spPr>
                </pic:pic>
              </a:graphicData>
            </a:graphic>
          </wp:inline>
        </w:drawing>
      </w:r>
    </w:p>
    <w:p w14:paraId="708CB511" w14:textId="2F337F11" w:rsidR="0039100E" w:rsidRDefault="0039100E" w:rsidP="0039100E">
      <w:pPr>
        <w:pStyle w:val="TableText"/>
      </w:pPr>
      <w:r>
        <w:t>The photographs highlight examples of good practice in waterway crossing design and construction, including: a) the use of sumps (02 Dragonfly) or b) silt traps (24 Bayled Up) to intercept water that cannot be readily diverted onto retained vegetation before entering the waterway, as well as the c) placement of waterway crossing culverts outlets at the downstream bed height (19 Rossignol, 24 Bayled Up).</w:t>
      </w:r>
    </w:p>
    <w:p w14:paraId="58F0FA88" w14:textId="43757E3A" w:rsidR="0039100E" w:rsidRDefault="0039100E" w:rsidP="0039100E">
      <w:pPr>
        <w:pStyle w:val="Caption"/>
      </w:pPr>
      <w:bookmarkStart w:id="180" w:name="_Ref121207498"/>
      <w:r>
        <w:t xml:space="preserve">Figure </w:t>
      </w:r>
      <w:fldSimple w:instr=" STYLEREF 1 \s ">
        <w:r w:rsidR="00130DCF">
          <w:rPr>
            <w:noProof/>
          </w:rPr>
          <w:t>5</w:t>
        </w:r>
      </w:fldSimple>
      <w:r>
        <w:noBreakHyphen/>
      </w:r>
      <w:fldSimple w:instr=" SEQ Figure \* ARABIC \s 1 ">
        <w:r w:rsidR="00130DCF">
          <w:rPr>
            <w:noProof/>
          </w:rPr>
          <w:t>4</w:t>
        </w:r>
      </w:fldSimple>
      <w:bookmarkEnd w:id="180"/>
      <w:r>
        <w:t>. Examples of good practice in waterway crossing construction</w:t>
      </w:r>
    </w:p>
    <w:p w14:paraId="2B22CAED" w14:textId="7B777323" w:rsidR="00D47E91" w:rsidRDefault="00D47E91" w:rsidP="00D47E91">
      <w:pPr>
        <w:pStyle w:val="Para0"/>
        <w:rPr>
          <w:lang w:val="en-AU"/>
        </w:rPr>
      </w:pPr>
      <w:r>
        <w:rPr>
          <w:lang w:val="en-AU"/>
        </w:rPr>
        <w:t>All of the rehabilitated crossings observed in this audit were for snig track crossings</w:t>
      </w:r>
      <w:r w:rsidR="00003FF2">
        <w:rPr>
          <w:lang w:val="en-AU"/>
        </w:rPr>
        <w:t>. These were mostly stable and undertaken appropriately</w:t>
      </w:r>
      <w:r w:rsidR="00DE0A08">
        <w:rPr>
          <w:lang w:val="en-AU"/>
        </w:rPr>
        <w:t xml:space="preserve"> (e.g., 07 Lemon Lime)</w:t>
      </w:r>
      <w:r w:rsidR="00003FF2">
        <w:rPr>
          <w:lang w:val="en-AU"/>
        </w:rPr>
        <w:t>, although in some cases (e.g.</w:t>
      </w:r>
      <w:r w:rsidR="00DE0A08">
        <w:rPr>
          <w:lang w:val="en-AU"/>
        </w:rPr>
        <w:t>,</w:t>
      </w:r>
      <w:r w:rsidR="00003FF2">
        <w:rPr>
          <w:lang w:val="en-AU"/>
        </w:rPr>
        <w:t xml:space="preserve"> 20 </w:t>
      </w:r>
      <w:r w:rsidR="00CE35B5">
        <w:rPr>
          <w:lang w:val="en-AU"/>
        </w:rPr>
        <w:t>Sheik</w:t>
      </w:r>
      <w:r w:rsidR="00003FF2">
        <w:rPr>
          <w:lang w:val="en-AU"/>
        </w:rPr>
        <w:t xml:space="preserve">), high water flows </w:t>
      </w:r>
      <w:r w:rsidR="00DE0A08">
        <w:rPr>
          <w:lang w:val="en-AU"/>
        </w:rPr>
        <w:t xml:space="preserve">due to rain and snow fall </w:t>
      </w:r>
      <w:r w:rsidR="00003FF2">
        <w:rPr>
          <w:lang w:val="en-AU"/>
        </w:rPr>
        <w:t>had mobilised some of the retained fill batter sediments into the waterway</w:t>
      </w:r>
      <w:r w:rsidR="00DE0A08">
        <w:rPr>
          <w:lang w:val="en-AU"/>
        </w:rPr>
        <w:t xml:space="preserve"> (</w:t>
      </w:r>
      <w:r w:rsidR="00DE0A08">
        <w:rPr>
          <w:lang w:val="en-AU"/>
        </w:rPr>
        <w:fldChar w:fldCharType="begin"/>
      </w:r>
      <w:r w:rsidR="00DE0A08">
        <w:rPr>
          <w:lang w:val="en-AU"/>
        </w:rPr>
        <w:instrText xml:space="preserve"> REF _Ref121209364 \h </w:instrText>
      </w:r>
      <w:r w:rsidR="00DE0A08">
        <w:rPr>
          <w:lang w:val="en-AU"/>
        </w:rPr>
      </w:r>
      <w:r w:rsidR="00DE0A08">
        <w:rPr>
          <w:lang w:val="en-AU"/>
        </w:rPr>
        <w:fldChar w:fldCharType="separate"/>
      </w:r>
      <w:r w:rsidR="00130DCF">
        <w:t xml:space="preserve">Figure </w:t>
      </w:r>
      <w:r w:rsidR="00130DCF">
        <w:rPr>
          <w:noProof/>
        </w:rPr>
        <w:t>5</w:t>
      </w:r>
      <w:r w:rsidR="00130DCF">
        <w:noBreakHyphen/>
      </w:r>
      <w:r w:rsidR="00130DCF">
        <w:rPr>
          <w:noProof/>
        </w:rPr>
        <w:t>5</w:t>
      </w:r>
      <w:r w:rsidR="00DE0A08">
        <w:rPr>
          <w:lang w:val="en-AU"/>
        </w:rPr>
        <w:fldChar w:fldCharType="end"/>
      </w:r>
      <w:r w:rsidR="00DE0A08">
        <w:rPr>
          <w:lang w:val="en-AU"/>
        </w:rPr>
        <w:t>)</w:t>
      </w:r>
      <w:r w:rsidR="00003FF2">
        <w:rPr>
          <w:lang w:val="en-AU"/>
        </w:rPr>
        <w:t>.</w:t>
      </w:r>
    </w:p>
    <w:p w14:paraId="1A7235ED" w14:textId="4FCE866B" w:rsidR="00DE0A08" w:rsidRDefault="00DE0A08" w:rsidP="00DE0A08">
      <w:pPr>
        <w:pStyle w:val="Para0"/>
        <w:rPr>
          <w:lang w:val="en-AU"/>
        </w:rPr>
      </w:pPr>
      <w:r>
        <w:rPr>
          <w:lang w:val="en-AU"/>
        </w:rPr>
        <w:t xml:space="preserve">In most of our recent audit reports, we have provided comments and recommendations regarding waterway crossing design, construction and rehabilitation. We suggest that these </w:t>
      </w:r>
      <w:r w:rsidR="00BF00E3">
        <w:rPr>
          <w:lang w:val="en-AU"/>
        </w:rPr>
        <w:t>(e.g., Jacobs, 2018; 2020a;2020b; 202</w:t>
      </w:r>
      <w:r w:rsidR="00E2694E">
        <w:rPr>
          <w:lang w:val="en-AU"/>
        </w:rPr>
        <w:t>1</w:t>
      </w:r>
      <w:r w:rsidR="00BF00E3">
        <w:rPr>
          <w:lang w:val="en-AU"/>
        </w:rPr>
        <w:t xml:space="preserve">) </w:t>
      </w:r>
      <w:r>
        <w:rPr>
          <w:lang w:val="en-AU"/>
        </w:rPr>
        <w:t xml:space="preserve">be revisited </w:t>
      </w:r>
      <w:r w:rsidR="00BF00E3">
        <w:rPr>
          <w:lang w:val="en-AU"/>
        </w:rPr>
        <w:t xml:space="preserve">and applied </w:t>
      </w:r>
      <w:r>
        <w:rPr>
          <w:lang w:val="en-AU"/>
        </w:rPr>
        <w:t xml:space="preserve">to improve the quality and consistency of VicForests practice in relation to waterway crossings. </w:t>
      </w:r>
      <w:r w:rsidRPr="00F54A2D">
        <w:rPr>
          <w:lang w:val="en-AU"/>
        </w:rPr>
        <w:t xml:space="preserve">VicForests developed new procedures and instructions for the planning, design and construction of in-coupe roads (O’Reilly, 2019). </w:t>
      </w:r>
      <w:r w:rsidR="00BF00E3">
        <w:rPr>
          <w:lang w:val="en-AU"/>
        </w:rPr>
        <w:t xml:space="preserve">While the instruction addresses waterway crossings, we </w:t>
      </w:r>
      <w:r w:rsidRPr="00F54A2D">
        <w:rPr>
          <w:lang w:val="en-AU"/>
        </w:rPr>
        <w:t>found no direct reference to these procedures in our review of coupe plans and are hence unsure of the extent to which this document has directly influenced VicForests’ crossing design or construction practices.</w:t>
      </w:r>
    </w:p>
    <w:p w14:paraId="36B902BD" w14:textId="77777777" w:rsidR="00AD763B" w:rsidRDefault="00AD763B" w:rsidP="00AD763B">
      <w:pPr>
        <w:pStyle w:val="BodyText"/>
      </w:pPr>
    </w:p>
    <w:tbl>
      <w:tblPr>
        <w:tblStyle w:val="JacobsTable1accentprimarythemes"/>
        <w:tblW w:w="0" w:type="auto"/>
        <w:tblLook w:val="04A0" w:firstRow="1" w:lastRow="0" w:firstColumn="1" w:lastColumn="0" w:noHBand="0" w:noVBand="1"/>
      </w:tblPr>
      <w:tblGrid>
        <w:gridCol w:w="9638"/>
      </w:tblGrid>
      <w:tr w:rsidR="00AD763B" w14:paraId="2225A4FE" w14:textId="77777777" w:rsidTr="00FB2E1B">
        <w:trPr>
          <w:cnfStyle w:val="100000000000" w:firstRow="1" w:lastRow="0" w:firstColumn="0" w:lastColumn="0" w:oddVBand="0" w:evenVBand="0" w:oddHBand="0" w:evenHBand="0" w:firstRowFirstColumn="0" w:firstRowLastColumn="0" w:lastRowFirstColumn="0" w:lastRowLastColumn="0"/>
        </w:trPr>
        <w:tc>
          <w:tcPr>
            <w:tcW w:w="9638" w:type="dxa"/>
          </w:tcPr>
          <w:p w14:paraId="72AAEBD1" w14:textId="49823824" w:rsidR="00AD763B" w:rsidRDefault="00AD763B" w:rsidP="00FB2E1B">
            <w:pPr>
              <w:pStyle w:val="TableText"/>
            </w:pPr>
            <w:r>
              <w:lastRenderedPageBreak/>
              <w:t>Recommendation V-02: High priority</w:t>
            </w:r>
          </w:p>
        </w:tc>
      </w:tr>
      <w:tr w:rsidR="00AD763B" w14:paraId="7D44DA5D" w14:textId="77777777" w:rsidTr="00FB2E1B">
        <w:tc>
          <w:tcPr>
            <w:tcW w:w="9638" w:type="dxa"/>
          </w:tcPr>
          <w:p w14:paraId="193765B0" w14:textId="2D29ED05" w:rsidR="00AD763B" w:rsidRDefault="00AD763B" w:rsidP="00FB2E1B">
            <w:pPr>
              <w:pStyle w:val="TableText"/>
            </w:pPr>
            <w:r>
              <w:t xml:space="preserve">That VicForests develop </w:t>
            </w:r>
            <w:r w:rsidR="00DA2197">
              <w:t xml:space="preserve">and implement an </w:t>
            </w:r>
            <w:r>
              <w:t>initiative to improve the quality and consistency of waterway crossing design, construction, maintenance and rehabilitation, addressing both in-coupe road and snig track crossings</w:t>
            </w:r>
            <w:r w:rsidR="00696250">
              <w:t>.</w:t>
            </w:r>
          </w:p>
        </w:tc>
      </w:tr>
    </w:tbl>
    <w:p w14:paraId="428C8233" w14:textId="56D9FC13" w:rsidR="00003FF2" w:rsidRDefault="00003FF2" w:rsidP="00DE0A08">
      <w:pPr>
        <w:pStyle w:val="TableText"/>
      </w:pPr>
      <w:r>
        <w:rPr>
          <w:noProof/>
        </w:rPr>
        <w:drawing>
          <wp:inline distT="0" distB="0" distL="0" distR="0" wp14:anchorId="159AFEE5" wp14:editId="410EF043">
            <wp:extent cx="6149340" cy="279207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57570" cy="2795807"/>
                    </a:xfrm>
                    <a:prstGeom prst="rect">
                      <a:avLst/>
                    </a:prstGeom>
                    <a:noFill/>
                  </pic:spPr>
                </pic:pic>
              </a:graphicData>
            </a:graphic>
          </wp:inline>
        </w:drawing>
      </w:r>
    </w:p>
    <w:p w14:paraId="03A84E2E" w14:textId="3DA87081" w:rsidR="00DE0A08" w:rsidRDefault="00DE0A08" w:rsidP="00DE0A08">
      <w:pPr>
        <w:pStyle w:val="TableText"/>
      </w:pPr>
      <w:r>
        <w:t xml:space="preserve">Recent heavy rain and snowfall has resulted in flows eroding fill batter sediments from the rehabilitated crossing used to extract logs from 16 </w:t>
      </w:r>
      <w:r w:rsidR="00CE35B5">
        <w:t>Sheik</w:t>
      </w:r>
      <w:r>
        <w:t>. The rehabilitated crossing in steep country at 07 Lemon Lime effectively intercepts flows along the track (inset) and despite recent heavy rain and snow fall has retained most of the sediment at the crossing location.</w:t>
      </w:r>
    </w:p>
    <w:p w14:paraId="7ADC9E34" w14:textId="63756FA0" w:rsidR="00DE0A08" w:rsidRDefault="00DE0A08" w:rsidP="00DE0A08">
      <w:pPr>
        <w:pStyle w:val="Caption"/>
      </w:pPr>
      <w:bookmarkStart w:id="181" w:name="_Ref121209364"/>
      <w:r>
        <w:t xml:space="preserve">Figure </w:t>
      </w:r>
      <w:fldSimple w:instr=" STYLEREF 1 \s ">
        <w:r w:rsidR="00130DCF">
          <w:rPr>
            <w:noProof/>
          </w:rPr>
          <w:t>5</w:t>
        </w:r>
      </w:fldSimple>
      <w:r>
        <w:noBreakHyphen/>
      </w:r>
      <w:fldSimple w:instr=" SEQ Figure \* ARABIC \s 1 ">
        <w:r w:rsidR="00130DCF">
          <w:rPr>
            <w:noProof/>
          </w:rPr>
          <w:t>5</w:t>
        </w:r>
      </w:fldSimple>
      <w:bookmarkEnd w:id="181"/>
      <w:r>
        <w:t>. Rehabilitated snig track crossings</w:t>
      </w:r>
    </w:p>
    <w:p w14:paraId="79EC601E" w14:textId="77777777" w:rsidR="00614935" w:rsidRDefault="00614935" w:rsidP="00614935">
      <w:pPr>
        <w:pStyle w:val="Heading3"/>
      </w:pPr>
      <w:bookmarkStart w:id="182" w:name="_Toc131178706"/>
      <w:r>
        <w:t>In-coupe road and snig track drainage</w:t>
      </w:r>
      <w:bookmarkEnd w:id="182"/>
    </w:p>
    <w:p w14:paraId="7C30676A" w14:textId="68F768F6" w:rsidR="00614935" w:rsidRPr="00BF00E3" w:rsidRDefault="00614935" w:rsidP="00614935">
      <w:pPr>
        <w:pStyle w:val="BodyText"/>
      </w:pPr>
      <w:r>
        <w:fldChar w:fldCharType="begin"/>
      </w:r>
      <w:r>
        <w:instrText xml:space="preserve"> REF _Ref120350032 \h </w:instrText>
      </w:r>
      <w:r>
        <w:fldChar w:fldCharType="separate"/>
      </w:r>
      <w:r w:rsidR="00130DCF" w:rsidRPr="009038E7">
        <w:t>Table</w:t>
      </w:r>
      <w:r w:rsidR="00130DCF">
        <w:t> </w:t>
      </w:r>
      <w:r w:rsidR="00130DCF">
        <w:rPr>
          <w:noProof/>
        </w:rPr>
        <w:t>5-2</w:t>
      </w:r>
      <w:r>
        <w:fldChar w:fldCharType="end"/>
      </w:r>
      <w:r>
        <w:t xml:space="preserve"> highlights that this and other recent audits have identified numerous instances where the spacing between effective drainage structures exceeds MSP or UP requirements (for in-coupe roads and snig/boundary tracks, respectively). These occur due to both the failure of drainage structures (often resulting from post-rehabilitation traffic) and failure to construct them at spacings appropriate to the slope and soil erosion hazard. These types of non-conformances typically have relatively low potential environmental impact (i.e., mostly negligible or minor), but are common. Most (apart damage resulting from post-rehabilitation traffic) could be identified during coupe monitoring and rectified relatively easily prior to machinery leaving the coupe. </w:t>
      </w:r>
    </w:p>
    <w:p w14:paraId="7387829B" w14:textId="2A9CB35F" w:rsidR="00003FF2" w:rsidRDefault="00AD763B" w:rsidP="00AD763B">
      <w:pPr>
        <w:pStyle w:val="Heading3"/>
      </w:pPr>
      <w:bookmarkStart w:id="183" w:name="_Ref131173404"/>
      <w:bookmarkStart w:id="184" w:name="_Toc131178707"/>
      <w:r>
        <w:t>Snig tracks through wet areas</w:t>
      </w:r>
      <w:bookmarkEnd w:id="183"/>
      <w:bookmarkEnd w:id="184"/>
    </w:p>
    <w:p w14:paraId="056C7716" w14:textId="3D16F4E1" w:rsidR="009C49B4" w:rsidRDefault="006C74D6" w:rsidP="00AD763B">
      <w:pPr>
        <w:pStyle w:val="BodyText"/>
      </w:pPr>
      <w:r>
        <w:t xml:space="preserve">The audit team observed several instances where snig tracks were constructed through naturally wet areas in coupes (e.g., 05 Whitehorse, 13 Jandles; </w:t>
      </w:r>
      <w:r>
        <w:fldChar w:fldCharType="begin"/>
      </w:r>
      <w:r>
        <w:instrText xml:space="preserve"> REF _Ref121036768 \h </w:instrText>
      </w:r>
      <w:r>
        <w:fldChar w:fldCharType="separate"/>
      </w:r>
      <w:r w:rsidR="00130DCF" w:rsidRPr="009038E7">
        <w:t>Figure</w:t>
      </w:r>
      <w:r w:rsidR="00130DCF">
        <w:t> </w:t>
      </w:r>
      <w:r w:rsidR="00130DCF">
        <w:rPr>
          <w:noProof/>
        </w:rPr>
        <w:t>5</w:t>
      </w:r>
      <w:r w:rsidR="00130DCF">
        <w:noBreakHyphen/>
      </w:r>
      <w:r w:rsidR="00130DCF">
        <w:rPr>
          <w:noProof/>
        </w:rPr>
        <w:t>2</w:t>
      </w:r>
      <w:r>
        <w:fldChar w:fldCharType="end"/>
      </w:r>
      <w:r>
        <w:t xml:space="preserve">) – that were </w:t>
      </w:r>
      <w:r w:rsidR="00793330">
        <w:t xml:space="preserve">reportedly </w:t>
      </w:r>
      <w:r>
        <w:t>dry at the time of construction. This was generally done to avoid construction of in-coupe roads and the significantly increased expense and level of disturbance they entail. While the audit team considered these decisions to be appropriate, experience suggests that</w:t>
      </w:r>
      <w:r w:rsidR="005E0ABF">
        <w:t xml:space="preserve"> placement,</w:t>
      </w:r>
      <w:r>
        <w:t xml:space="preserve"> design, construction and/or management of the tracks did not</w:t>
      </w:r>
      <w:r w:rsidR="001E00AD">
        <w:t xml:space="preserve"> always </w:t>
      </w:r>
      <w:r w:rsidR="008071D8">
        <w:t>appropriately</w:t>
      </w:r>
      <w:r>
        <w:t xml:space="preserve"> consider the amount of water that may pass through these areas during winter</w:t>
      </w:r>
      <w:r w:rsidR="006F19F8">
        <w:t xml:space="preserve">. </w:t>
      </w:r>
    </w:p>
    <w:p w14:paraId="0BB7F0C7" w14:textId="321564F7" w:rsidR="00AD763B" w:rsidRDefault="006F19F8" w:rsidP="00AD763B">
      <w:pPr>
        <w:pStyle w:val="BodyText"/>
      </w:pPr>
      <w:r>
        <w:t>At the time of audit, the track in 05 Whitehorse had multiple points of flow across it and the track in 13 Jan</w:t>
      </w:r>
      <w:r w:rsidR="00B01E99">
        <w:t>d</w:t>
      </w:r>
      <w:r>
        <w:t>les was found to cross the path of a temporary stream. The result was significant soil disturbance and mobilisation of sediment towards/into streams.</w:t>
      </w:r>
      <w:r w:rsidR="006C74D6">
        <w:t xml:space="preserve"> </w:t>
      </w:r>
    </w:p>
    <w:p w14:paraId="0C822264" w14:textId="77777777" w:rsidR="00EF16BC" w:rsidRDefault="002A1165" w:rsidP="00AD763B">
      <w:pPr>
        <w:pStyle w:val="BodyText"/>
      </w:pPr>
      <w:r>
        <w:t xml:space="preserve">It might be argued that the conditions immediately preceding the audit were exceptionally wet and that </w:t>
      </w:r>
      <w:r w:rsidR="0060542F">
        <w:t xml:space="preserve">the wet areas traversed by some </w:t>
      </w:r>
      <w:r>
        <w:t xml:space="preserve">snig tracks </w:t>
      </w:r>
      <w:r w:rsidR="0060542F">
        <w:t xml:space="preserve">were only wet because of anomalously high rainfall. </w:t>
      </w:r>
      <w:r w:rsidR="00BD2F98">
        <w:t xml:space="preserve">It might then be argued that </w:t>
      </w:r>
      <w:r w:rsidR="009D57D7">
        <w:t xml:space="preserve">the tracks would have been </w:t>
      </w:r>
      <w:r w:rsidR="00DD3203">
        <w:t xml:space="preserve">located appropriately under </w:t>
      </w:r>
      <w:r w:rsidR="00EF16BC">
        <w:t>“average” conditions.</w:t>
      </w:r>
    </w:p>
    <w:p w14:paraId="5F1299F9" w14:textId="2B1B28FE" w:rsidR="007B0C41" w:rsidRDefault="0060542F" w:rsidP="00AD763B">
      <w:pPr>
        <w:pStyle w:val="BodyText"/>
      </w:pPr>
      <w:r>
        <w:t>We tested this hypothesis by examining rainfall records for locations "near” target coupes (</w:t>
      </w:r>
      <w:r w:rsidR="0079116B">
        <w:fldChar w:fldCharType="begin"/>
      </w:r>
      <w:r w:rsidR="0079116B">
        <w:instrText xml:space="preserve"> REF _Ref130559049 \h </w:instrText>
      </w:r>
      <w:r w:rsidR="0079116B">
        <w:fldChar w:fldCharType="separate"/>
      </w:r>
      <w:r w:rsidR="00130DCF" w:rsidRPr="009038E7">
        <w:t>Figure</w:t>
      </w:r>
      <w:r w:rsidR="00130DCF">
        <w:t> </w:t>
      </w:r>
      <w:r w:rsidR="00130DCF">
        <w:rPr>
          <w:noProof/>
        </w:rPr>
        <w:t>5-6</w:t>
      </w:r>
      <w:r w:rsidR="0079116B">
        <w:fldChar w:fldCharType="end"/>
      </w:r>
      <w:r>
        <w:t>)</w:t>
      </w:r>
      <w:r w:rsidR="00F32E04">
        <w:t xml:space="preserve">. </w:t>
      </w:r>
      <w:r w:rsidR="00DF5D11">
        <w:t xml:space="preserve">At the time of </w:t>
      </w:r>
      <w:r w:rsidR="00B8795B">
        <w:t xml:space="preserve">audit, monthly rainfall was about average (hence cumulative anomaly curve was more or less flat) in all regions </w:t>
      </w:r>
      <w:r w:rsidR="00216B56">
        <w:t xml:space="preserve">but North </w:t>
      </w:r>
      <w:r w:rsidR="008202F1">
        <w:t>E</w:t>
      </w:r>
      <w:r w:rsidR="00216B56">
        <w:t xml:space="preserve">ast RFA region. </w:t>
      </w:r>
      <w:r w:rsidR="00D21793">
        <w:t>This suggests</w:t>
      </w:r>
      <w:r w:rsidR="00F84EFC">
        <w:t xml:space="preserve"> the run-off across the snig track in </w:t>
      </w:r>
      <w:r w:rsidR="00F4357C">
        <w:t xml:space="preserve">05 Whitehorse </w:t>
      </w:r>
      <w:r w:rsidR="007C4214">
        <w:t xml:space="preserve">might </w:t>
      </w:r>
      <w:r w:rsidR="007C4214">
        <w:lastRenderedPageBreak/>
        <w:t xml:space="preserve">be expected under </w:t>
      </w:r>
      <w:r w:rsidR="00B76AAD">
        <w:t xml:space="preserve">the </w:t>
      </w:r>
      <w:r w:rsidR="007C4214">
        <w:t>typical</w:t>
      </w:r>
      <w:r w:rsidR="00B76AAD">
        <w:t>ly wet winter c</w:t>
      </w:r>
      <w:r w:rsidR="007C4214">
        <w:t xml:space="preserve">onditions, whereas </w:t>
      </w:r>
      <w:r w:rsidR="002E60EF">
        <w:t xml:space="preserve">the situation observed at </w:t>
      </w:r>
      <w:r w:rsidR="00DE0DA8">
        <w:t xml:space="preserve">13 Jandles might reflect </w:t>
      </w:r>
      <w:r w:rsidR="0077117E">
        <w:t xml:space="preserve">unusually wet </w:t>
      </w:r>
      <w:r w:rsidR="00A11543">
        <w:t>conditions (</w:t>
      </w:r>
      <w:r w:rsidR="00C25CDD">
        <w:fldChar w:fldCharType="begin"/>
      </w:r>
      <w:r w:rsidR="00C25CDD">
        <w:instrText xml:space="preserve"> REF _Ref121036768 \h </w:instrText>
      </w:r>
      <w:r w:rsidR="00C25CDD">
        <w:fldChar w:fldCharType="separate"/>
      </w:r>
      <w:r w:rsidR="00130DCF" w:rsidRPr="009038E7">
        <w:t>Figure</w:t>
      </w:r>
      <w:r w:rsidR="00130DCF">
        <w:t> </w:t>
      </w:r>
      <w:r w:rsidR="00130DCF">
        <w:rPr>
          <w:noProof/>
        </w:rPr>
        <w:t>5</w:t>
      </w:r>
      <w:r w:rsidR="00130DCF">
        <w:noBreakHyphen/>
      </w:r>
      <w:r w:rsidR="00130DCF">
        <w:rPr>
          <w:noProof/>
        </w:rPr>
        <w:t>2</w:t>
      </w:r>
      <w:r w:rsidR="00C25CDD">
        <w:fldChar w:fldCharType="end"/>
      </w:r>
      <w:r w:rsidR="00A11543">
        <w:t>).</w:t>
      </w:r>
    </w:p>
    <w:p w14:paraId="4ADBF527" w14:textId="296E28F0" w:rsidR="0060542F" w:rsidRDefault="005A3274" w:rsidP="00AD763B">
      <w:pPr>
        <w:pStyle w:val="BodyText"/>
      </w:pPr>
      <w:r>
        <w:rPr>
          <w:noProof/>
        </w:rPr>
        <w:drawing>
          <wp:inline distT="0" distB="0" distL="0" distR="0" wp14:anchorId="2C293A6C" wp14:editId="3DB58B45">
            <wp:extent cx="6076950" cy="325863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4211" cy="3262525"/>
                    </a:xfrm>
                    <a:prstGeom prst="rect">
                      <a:avLst/>
                    </a:prstGeom>
                    <a:noFill/>
                  </pic:spPr>
                </pic:pic>
              </a:graphicData>
            </a:graphic>
          </wp:inline>
        </w:drawing>
      </w:r>
    </w:p>
    <w:p w14:paraId="200C0B64" w14:textId="77777777" w:rsidR="003258CB" w:rsidRDefault="00DF672D" w:rsidP="00DF672D">
      <w:pPr>
        <w:pStyle w:val="TableText"/>
      </w:pPr>
      <w:r>
        <w:t>Note</w:t>
      </w:r>
      <w:r w:rsidR="003258CB">
        <w:t>s</w:t>
      </w:r>
      <w:r>
        <w:t xml:space="preserve">: </w:t>
      </w:r>
    </w:p>
    <w:p w14:paraId="7E2D176B" w14:textId="07591C42" w:rsidR="00DF672D" w:rsidRDefault="00DF672D" w:rsidP="00DF672D">
      <w:pPr>
        <w:pStyle w:val="TableText"/>
      </w:pPr>
      <w:r>
        <w:t>Rainfall anomaly is the difference between long-term average monthly rainfall and the rainfall recorded in that month. The cumulative anomaly is the cumulative difference between actual and average monthly rainfall, with December 2018 as the starting p</w:t>
      </w:r>
      <w:r w:rsidR="003258CB">
        <w:t xml:space="preserve">oint. </w:t>
      </w:r>
      <w:r w:rsidR="00642EA0">
        <w:t>An upwards trending graph indicates cons</w:t>
      </w:r>
      <w:r w:rsidR="00D77CF3">
        <w:t xml:space="preserve">ecutive months of above average rainfall. </w:t>
      </w:r>
    </w:p>
    <w:p w14:paraId="7DA06055" w14:textId="1B7CC442" w:rsidR="00D77CF3" w:rsidRDefault="00D77CF3" w:rsidP="00C31A7B">
      <w:pPr>
        <w:pStyle w:val="TableText"/>
      </w:pPr>
      <w:r>
        <w:t xml:space="preserve">Data sourced from Bureau of Meteorology weather stations: </w:t>
      </w:r>
      <w:r w:rsidR="00CD101B">
        <w:t xml:space="preserve">088044 for Marysville, 088023 </w:t>
      </w:r>
      <w:r w:rsidR="00D70749">
        <w:t xml:space="preserve">for Eildon, 085292 for Noojee, 084093 for Orbost and </w:t>
      </w:r>
      <w:r w:rsidR="00BD5D2D">
        <w:t>072162 for Corryong.</w:t>
      </w:r>
    </w:p>
    <w:p w14:paraId="4D1EF792" w14:textId="51050597" w:rsidR="0060542F" w:rsidRDefault="0060542F">
      <w:pPr>
        <w:pStyle w:val="FigureCaption"/>
      </w:pPr>
      <w:bookmarkStart w:id="185" w:name="_Ref130559049"/>
      <w:bookmarkStart w:id="186" w:name="_Ref130559034"/>
      <w:bookmarkStart w:id="187" w:name="_Toc131178772"/>
      <w:r w:rsidRPr="009038E7">
        <w:t>Figure</w:t>
      </w:r>
      <w:r>
        <w:t> </w:t>
      </w:r>
      <w:fldSimple w:instr=" STYLEREF 1 \s ">
        <w:r w:rsidR="00130DCF">
          <w:rPr>
            <w:noProof/>
          </w:rPr>
          <w:t>5</w:t>
        </w:r>
      </w:fldSimple>
      <w:r>
        <w:rPr>
          <w:noProof/>
        </w:rPr>
        <w:t>-</w:t>
      </w:r>
      <w:fldSimple w:instr=" SEQ Figure \* ARABIC \s 1 ">
        <w:r w:rsidR="00130DCF">
          <w:rPr>
            <w:noProof/>
          </w:rPr>
          <w:t>6</w:t>
        </w:r>
      </w:fldSimple>
      <w:bookmarkEnd w:id="185"/>
      <w:r w:rsidRPr="009038E7">
        <w:t xml:space="preserve"> </w:t>
      </w:r>
      <w:bookmarkStart w:id="188" w:name="_Hlk54297564"/>
      <w:r w:rsidR="0079116B">
        <w:t>C</w:t>
      </w:r>
      <w:bookmarkEnd w:id="186"/>
      <w:bookmarkEnd w:id="188"/>
      <w:r w:rsidR="0079116B">
        <w:t xml:space="preserve">umulative </w:t>
      </w:r>
      <w:r w:rsidR="00DF672D">
        <w:t xml:space="preserve">monthly </w:t>
      </w:r>
      <w:r w:rsidR="0079116B">
        <w:t>rainfall anomalies for locations “near” coupes targeted for audit.</w:t>
      </w:r>
      <w:bookmarkEnd w:id="187"/>
      <w:r w:rsidR="0079116B">
        <w:t xml:space="preserve"> </w:t>
      </w:r>
    </w:p>
    <w:p w14:paraId="6A4255E3" w14:textId="1DBD5D45" w:rsidR="00A11543" w:rsidRDefault="00A11543" w:rsidP="00A11543">
      <w:pPr>
        <w:pStyle w:val="BodyText"/>
      </w:pPr>
      <w:r>
        <w:t>In placing snig tracks through naturally wet areas</w:t>
      </w:r>
      <w:r w:rsidR="008C18A1">
        <w:t xml:space="preserve"> (evident from landform, drainage line presence, vegetation)</w:t>
      </w:r>
      <w:r>
        <w:t xml:space="preserve">, VicForests and their contractors need to carefully consider potential overland and underground water flow paths, the possibility that the track will need to be used during/following wet weather and the resulting risk of soil disturbance. </w:t>
      </w:r>
      <w:r w:rsidR="006810A1">
        <w:t xml:space="preserve">Planning </w:t>
      </w:r>
      <w:r w:rsidR="00F74A18">
        <w:t>for</w:t>
      </w:r>
      <w:r w:rsidR="00BA0667">
        <w:t xml:space="preserve"> snig tracks constructed in such sensitive areas </w:t>
      </w:r>
      <w:r w:rsidR="00F74A18">
        <w:t xml:space="preserve">needs to consider </w:t>
      </w:r>
      <w:r w:rsidR="0076059D">
        <w:t>ho</w:t>
      </w:r>
      <w:r w:rsidR="009D3D05">
        <w:t>w to minimise soil disturbance and sediment mobilisation during wet periods</w:t>
      </w:r>
      <w:r w:rsidR="006A5731">
        <w:t>, including periods that are significantly wetter than average.</w:t>
      </w:r>
    </w:p>
    <w:p w14:paraId="6D2C9AF3" w14:textId="3C85C5DF" w:rsidR="006F19F8" w:rsidRDefault="008C2EB8" w:rsidP="006F19F8">
      <w:pPr>
        <w:pStyle w:val="Heading3"/>
      </w:pPr>
      <w:bookmarkStart w:id="189" w:name="_Toc131178708"/>
      <w:bookmarkStart w:id="190" w:name="_Toc131178709"/>
      <w:bookmarkEnd w:id="189"/>
      <w:r>
        <w:t>Landing rehabilitation</w:t>
      </w:r>
      <w:bookmarkEnd w:id="190"/>
    </w:p>
    <w:p w14:paraId="1F0733BB" w14:textId="262CB913" w:rsidR="006F4DAA" w:rsidRDefault="008C2EB8" w:rsidP="008C2EB8">
      <w:pPr>
        <w:pStyle w:val="BodyText"/>
      </w:pPr>
      <w:r>
        <w:t>In both this and the previous audit, there were five recorded incidents where bark and debris piles formed during rehabilitation of landings were significantly large</w:t>
      </w:r>
      <w:r w:rsidR="006F4DAA">
        <w:t>r</w:t>
      </w:r>
      <w:r>
        <w:t xml:space="preserve"> than the limits specified in the MSPs (7.</w:t>
      </w:r>
      <w:r w:rsidR="000E5C0D">
        <w:t>2.</w:t>
      </w:r>
      <w:r>
        <w:t>4.2</w:t>
      </w:r>
      <w:r w:rsidR="000E5C0D">
        <w:t>; 4 m</w:t>
      </w:r>
      <w:r w:rsidR="000E5C0D">
        <w:rPr>
          <w:vertAlign w:val="superscript"/>
        </w:rPr>
        <w:t xml:space="preserve">2 </w:t>
      </w:r>
      <w:r w:rsidR="000E5C0D" w:rsidRPr="000E5C0D">
        <w:t>ground area</w:t>
      </w:r>
      <w:r w:rsidR="000E5C0D">
        <w:t>, 10 m</w:t>
      </w:r>
      <w:r w:rsidR="000E5C0D">
        <w:rPr>
          <w:vertAlign w:val="superscript"/>
        </w:rPr>
        <w:t>3</w:t>
      </w:r>
      <w:r w:rsidR="000E5C0D">
        <w:t xml:space="preserve"> volume; </w:t>
      </w:r>
      <w:r w:rsidR="000E5C0D">
        <w:fldChar w:fldCharType="begin"/>
      </w:r>
      <w:r w:rsidR="000E5C0D">
        <w:instrText xml:space="preserve"> REF _Ref120350032 \h </w:instrText>
      </w:r>
      <w:r w:rsidR="000E5C0D">
        <w:fldChar w:fldCharType="separate"/>
      </w:r>
      <w:r w:rsidR="00130DCF" w:rsidRPr="009038E7">
        <w:t>Table</w:t>
      </w:r>
      <w:r w:rsidR="00130DCF">
        <w:t> </w:t>
      </w:r>
      <w:r w:rsidR="00130DCF">
        <w:rPr>
          <w:noProof/>
        </w:rPr>
        <w:t>5-2</w:t>
      </w:r>
      <w:r w:rsidR="000E5C0D">
        <w:fldChar w:fldCharType="end"/>
      </w:r>
      <w:r w:rsidR="000E5C0D">
        <w:t xml:space="preserve">). </w:t>
      </w:r>
      <w:r w:rsidR="006F4DAA">
        <w:t xml:space="preserve">If left unburnt, they occupy space within the regenerating coupe that might otherwise be occupied by trees or understory vegetation. While they occupy significant space in a concentrated area near landings, they occupy very little of the coupe overall and are typically assessed to have no more than minor potential environmental impact. </w:t>
      </w:r>
      <w:r w:rsidR="00777FB8">
        <w:fldChar w:fldCharType="begin"/>
      </w:r>
      <w:r w:rsidR="00777FB8">
        <w:instrText xml:space="preserve"> REF _Ref131161026 \h </w:instrText>
      </w:r>
      <w:r w:rsidR="00777FB8">
        <w:fldChar w:fldCharType="separate"/>
      </w:r>
      <w:r w:rsidR="00130DCF">
        <w:t xml:space="preserve">Figure </w:t>
      </w:r>
      <w:r w:rsidR="00130DCF">
        <w:rPr>
          <w:noProof/>
        </w:rPr>
        <w:t>5</w:t>
      </w:r>
      <w:r w:rsidR="00130DCF">
        <w:noBreakHyphen/>
      </w:r>
      <w:r w:rsidR="00130DCF">
        <w:rPr>
          <w:noProof/>
        </w:rPr>
        <w:t>7</w:t>
      </w:r>
      <w:r w:rsidR="00777FB8">
        <w:fldChar w:fldCharType="end"/>
      </w:r>
      <w:r w:rsidR="008A5A5C">
        <w:t xml:space="preserve"> provides examples of incidents of this type observed at 03 Gnu and 21 Dow Jones.</w:t>
      </w:r>
    </w:p>
    <w:p w14:paraId="63979BA1" w14:textId="3B76DB64" w:rsidR="008C2EB8" w:rsidRPr="006F4DAA" w:rsidRDefault="006F4DAA" w:rsidP="008C2EB8">
      <w:pPr>
        <w:pStyle w:val="BodyText"/>
      </w:pPr>
      <w:r>
        <w:t>It is not clear what the basis for the 4 m</w:t>
      </w:r>
      <w:r>
        <w:rPr>
          <w:vertAlign w:val="superscript"/>
        </w:rPr>
        <w:t xml:space="preserve">2 </w:t>
      </w:r>
      <w:r>
        <w:t>and</w:t>
      </w:r>
      <w:r w:rsidRPr="000E5C0D">
        <w:t xml:space="preserve"> </w:t>
      </w:r>
      <w:r>
        <w:t>10 m</w:t>
      </w:r>
      <w:r>
        <w:rPr>
          <w:vertAlign w:val="superscript"/>
        </w:rPr>
        <w:t>3</w:t>
      </w:r>
      <w:r>
        <w:t xml:space="preserve"> limits is. Our recommendation D-01 from the 2020-21 FAP audit proposed that </w:t>
      </w:r>
      <w:r w:rsidR="00815942">
        <w:t xml:space="preserve">DEECA </w:t>
      </w:r>
      <w:r>
        <w:t xml:space="preserve">review and reconsider the volume limit on slash piles, particularly for </w:t>
      </w:r>
      <w:r w:rsidR="0067528C">
        <w:t>rough heaping operations. That recommendation could be extended to ground area, as it</w:t>
      </w:r>
      <w:r w:rsidR="00CE35B5">
        <w:t xml:space="preserve"> i</w:t>
      </w:r>
      <w:r w:rsidR="0067528C">
        <w:t>s not clear that more smaller bark heaps are better than fewer larger heaps.</w:t>
      </w:r>
    </w:p>
    <w:p w14:paraId="445F6C87" w14:textId="2C4C3580" w:rsidR="006F4DAA" w:rsidRDefault="006F4DAA" w:rsidP="008C2EB8">
      <w:pPr>
        <w:pStyle w:val="BodyText"/>
      </w:pPr>
      <w:r>
        <w:t xml:space="preserve">VicForests reported that they were unable to burn these heaps during autumn 2022 (or undertake other regeneration burning activities) and hence unable to rectify any potential environmental impacts from their presence. </w:t>
      </w:r>
    </w:p>
    <w:p w14:paraId="5D9DB207" w14:textId="2FA1B989" w:rsidR="006F4DAA" w:rsidRPr="000E5C0D" w:rsidRDefault="006F4DAA" w:rsidP="008C2EB8">
      <w:pPr>
        <w:pStyle w:val="BodyText"/>
      </w:pPr>
      <w:r>
        <w:rPr>
          <w:noProof/>
        </w:rPr>
        <w:lastRenderedPageBreak/>
        <w:drawing>
          <wp:inline distT="0" distB="0" distL="0" distR="0" wp14:anchorId="0D323491" wp14:editId="67E825B8">
            <wp:extent cx="6096000" cy="2375361"/>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07559" cy="2379865"/>
                    </a:xfrm>
                    <a:prstGeom prst="rect">
                      <a:avLst/>
                    </a:prstGeom>
                    <a:noFill/>
                  </pic:spPr>
                </pic:pic>
              </a:graphicData>
            </a:graphic>
          </wp:inline>
        </w:drawing>
      </w:r>
    </w:p>
    <w:p w14:paraId="72E2019D" w14:textId="42F4FBD1" w:rsidR="006F4DAA" w:rsidRDefault="006F4DAA" w:rsidP="006F4DAA">
      <w:pPr>
        <w:pStyle w:val="Caption"/>
      </w:pPr>
      <w:bookmarkStart w:id="191" w:name="_Ref131161026"/>
      <w:r>
        <w:t xml:space="preserve">Figure </w:t>
      </w:r>
      <w:fldSimple w:instr=" STYLEREF 1 \s ">
        <w:r w:rsidR="00130DCF">
          <w:rPr>
            <w:noProof/>
          </w:rPr>
          <w:t>5</w:t>
        </w:r>
      </w:fldSimple>
      <w:r>
        <w:noBreakHyphen/>
      </w:r>
      <w:fldSimple w:instr=" SEQ Figure \* ARABIC \s 1 ">
        <w:r w:rsidR="00130DCF">
          <w:rPr>
            <w:noProof/>
          </w:rPr>
          <w:t>7</w:t>
        </w:r>
      </w:fldSimple>
      <w:bookmarkEnd w:id="191"/>
      <w:r>
        <w:t>. Excessively large piles of bark and other debris near landings (21 Dow Jones, left; 03 Gnu, right)</w:t>
      </w:r>
    </w:p>
    <w:p w14:paraId="020E2FD0" w14:textId="77777777" w:rsidR="0067528C" w:rsidRDefault="0067528C" w:rsidP="0067528C">
      <w:pPr>
        <w:pStyle w:val="BodyText"/>
      </w:pPr>
    </w:p>
    <w:tbl>
      <w:tblPr>
        <w:tblStyle w:val="JacobsTable1accentprimarythemes"/>
        <w:tblW w:w="0" w:type="auto"/>
        <w:tblLook w:val="04A0" w:firstRow="1" w:lastRow="0" w:firstColumn="1" w:lastColumn="0" w:noHBand="0" w:noVBand="1"/>
      </w:tblPr>
      <w:tblGrid>
        <w:gridCol w:w="9638"/>
      </w:tblGrid>
      <w:tr w:rsidR="0067528C" w14:paraId="240AFA04" w14:textId="77777777" w:rsidTr="00FB2E1B">
        <w:trPr>
          <w:cnfStyle w:val="100000000000" w:firstRow="1" w:lastRow="0" w:firstColumn="0" w:lastColumn="0" w:oddVBand="0" w:evenVBand="0" w:oddHBand="0" w:evenHBand="0" w:firstRowFirstColumn="0" w:firstRowLastColumn="0" w:lastRowFirstColumn="0" w:lastRowLastColumn="0"/>
        </w:trPr>
        <w:tc>
          <w:tcPr>
            <w:tcW w:w="9638" w:type="dxa"/>
          </w:tcPr>
          <w:p w14:paraId="754CF2C9" w14:textId="7BE5C513" w:rsidR="0067528C" w:rsidRDefault="0067528C" w:rsidP="00FB2E1B">
            <w:pPr>
              <w:pStyle w:val="TableText"/>
            </w:pPr>
            <w:r>
              <w:t>Recommendation D-02: Medium priority</w:t>
            </w:r>
          </w:p>
        </w:tc>
      </w:tr>
      <w:tr w:rsidR="0067528C" w14:paraId="58743FFD" w14:textId="77777777" w:rsidTr="00FB2E1B">
        <w:tc>
          <w:tcPr>
            <w:tcW w:w="9638" w:type="dxa"/>
          </w:tcPr>
          <w:p w14:paraId="542632B6" w14:textId="59CB6A56" w:rsidR="0067528C" w:rsidRDefault="0067528C" w:rsidP="00FB2E1B">
            <w:pPr>
              <w:pStyle w:val="TableText"/>
            </w:pPr>
            <w:r w:rsidRPr="0067528C">
              <w:t xml:space="preserve">That </w:t>
            </w:r>
            <w:r w:rsidR="00464ABF">
              <w:t>DEECA</w:t>
            </w:r>
            <w:r w:rsidR="00464ABF" w:rsidRPr="0067528C">
              <w:t xml:space="preserve"> </w:t>
            </w:r>
            <w:bookmarkStart w:id="192" w:name="_Hlk144472583"/>
            <w:r w:rsidRPr="0067528C">
              <w:t>review and reconsider</w:t>
            </w:r>
            <w:r>
              <w:t xml:space="preserve"> ground area and volumetric</w:t>
            </w:r>
            <w:r w:rsidRPr="0067528C">
              <w:t xml:space="preserve"> limits on </w:t>
            </w:r>
            <w:r>
              <w:t xml:space="preserve">bark and </w:t>
            </w:r>
            <w:r w:rsidRPr="0067528C">
              <w:t xml:space="preserve">slash piles (currently </w:t>
            </w:r>
            <w:r>
              <w:t>4 m</w:t>
            </w:r>
            <w:r w:rsidRPr="0067528C">
              <w:rPr>
                <w:vertAlign w:val="superscript"/>
              </w:rPr>
              <w:t>2</w:t>
            </w:r>
            <w:r>
              <w:t xml:space="preserve"> and </w:t>
            </w:r>
            <w:r w:rsidRPr="0067528C">
              <w:t>10 m</w:t>
            </w:r>
            <w:r w:rsidRPr="0067528C">
              <w:rPr>
                <w:vertAlign w:val="superscript"/>
              </w:rPr>
              <w:t>3</w:t>
            </w:r>
            <w:r>
              <w:rPr>
                <w:vertAlign w:val="superscript"/>
              </w:rPr>
              <w:t xml:space="preserve">, </w:t>
            </w:r>
            <w:r w:rsidRPr="0067528C">
              <w:t>respectively</w:t>
            </w:r>
            <w:bookmarkEnd w:id="192"/>
            <w:r>
              <w:t>;</w:t>
            </w:r>
            <w:r w:rsidRPr="0067528C">
              <w:t xml:space="preserve"> MSP 7.2.4.2).</w:t>
            </w:r>
          </w:p>
        </w:tc>
      </w:tr>
    </w:tbl>
    <w:p w14:paraId="5D760EA3" w14:textId="3FE93F99" w:rsidR="0067528C" w:rsidRDefault="0067528C" w:rsidP="0067528C">
      <w:pPr>
        <w:pStyle w:val="Heading2"/>
      </w:pPr>
      <w:bookmarkStart w:id="193" w:name="_Toc131178710"/>
      <w:r>
        <w:t>Potential improvements to the regulatory framework for timber harvesting</w:t>
      </w:r>
      <w:bookmarkEnd w:id="193"/>
    </w:p>
    <w:p w14:paraId="151C727C" w14:textId="77777777" w:rsidR="0067528C" w:rsidRDefault="0067528C" w:rsidP="0067528C">
      <w:pPr>
        <w:pStyle w:val="BodyText"/>
      </w:pPr>
      <w:r>
        <w:t>Comments on potential improvements in the regulatory framework for timber harvesting have been made in previous audit reports. Until recently, the regulatory framework for sustainable forest management (i.e., Code and MSPs) had not been revised and there was no specific opportunity to address these recommendations. This opportunity was provided in 2021, with DELWP undertaking revisions of both the Code and MSPs (DELWP 2021a,b). The update was intended to, “ensure they [the Code and MSP requirements] are clear, accurate and enforceable.”  The scope of the amendments was modest and focussed on clarifying definitions, roles, responsibilities, and obligations, as well as correcting administrative errors.</w:t>
      </w:r>
    </w:p>
    <w:p w14:paraId="2FF22068" w14:textId="71B5594F" w:rsidR="006F4DAA" w:rsidRDefault="0067528C" w:rsidP="0067528C">
      <w:pPr>
        <w:pStyle w:val="BodyText"/>
      </w:pPr>
      <w:r>
        <w:t xml:space="preserve">Table 5.4 in our 2020-21 FAP report provided an analysis of the status of previous recommendations with the recent Code and MSP amendments. </w:t>
      </w:r>
      <w:r w:rsidRPr="0067528C">
        <w:t>Only two of our recommendations have been addressed at all and one of these, regarding buffers for rainforest stands, has not been fully adopted</w:t>
      </w:r>
      <w:r>
        <w:t>. We endorse these earlier recommendations and our recommendation D-02 from the 2020-21 audit addressing the rainforest stand definition and the lack of prescriptions for snig and boundary track drainage spacing in the MSPs.</w:t>
      </w:r>
    </w:p>
    <w:p w14:paraId="01EEB013" w14:textId="48326B95" w:rsidR="00795ED0" w:rsidRDefault="00795ED0" w:rsidP="0067528C">
      <w:pPr>
        <w:pStyle w:val="BodyText"/>
      </w:pPr>
      <w:r>
        <w:t xml:space="preserve">The current audit included six coupes with snig track waterway crossings. Observations in these coupes suggest that the MSPs require more specific guidance on the construction and rehabilitation of snig track crossings. MSP 7.2.1.1 specifies that “crossing standards and procedures for roads also apply to snig track crossings”. </w:t>
      </w:r>
      <w:r w:rsidR="00FC5DBF">
        <w:t>While this may be</w:t>
      </w:r>
      <w:r>
        <w:t xml:space="preserve"> broadly appropriate for snig track crossings in their rehabilitated </w:t>
      </w:r>
      <w:r w:rsidR="00CE35B5">
        <w:t>state</w:t>
      </w:r>
      <w:r w:rsidR="00DC4C64">
        <w:t>, it</w:t>
      </w:r>
      <w:r w:rsidR="00CE35B5">
        <w:t xml:space="preserve"> </w:t>
      </w:r>
      <w:r>
        <w:t xml:space="preserve">does not address the unique circumstances of snig track crossings during period when they area in active use. </w:t>
      </w:r>
    </w:p>
    <w:p w14:paraId="553013A0" w14:textId="7F96AAFB" w:rsidR="0067528C" w:rsidRDefault="00795ED0" w:rsidP="0067528C">
      <w:pPr>
        <w:pStyle w:val="BodyText"/>
      </w:pPr>
      <w:r>
        <w:t xml:space="preserve">The requirement to have drainage that intersects run-off along the tracks is appropriate for in-coupe roads and rehabilitated snig track </w:t>
      </w:r>
      <w:r w:rsidR="00CE35B5">
        <w:t>crossings but</w:t>
      </w:r>
      <w:r>
        <w:t xml:space="preserve"> is likely unworkable in operating snig track crossings. Further, many snig track crossings are constructed with </w:t>
      </w:r>
      <w:r w:rsidR="003134B6">
        <w:t xml:space="preserve">a mix of soil and log fill, which must be removed during rehabilitation and potentially serves as a source of sediment. We therefore recommend that a review of snig track crossing “design”, operational and rehabilitation requirements </w:t>
      </w:r>
      <w:r w:rsidR="00B900D8">
        <w:t>is</w:t>
      </w:r>
      <w:r w:rsidR="003134B6">
        <w:t xml:space="preserve"> undertaken and new management prescriptions be developed to </w:t>
      </w:r>
      <w:r w:rsidR="00DD0F4D">
        <w:t xml:space="preserve">more effectively </w:t>
      </w:r>
      <w:r w:rsidR="00CE35B5">
        <w:t xml:space="preserve">control the risk </w:t>
      </w:r>
      <w:r w:rsidR="003134B6">
        <w:t xml:space="preserve">to water </w:t>
      </w:r>
      <w:r w:rsidR="00DD0F4D">
        <w:t xml:space="preserve">quality </w:t>
      </w:r>
      <w:r w:rsidR="003134B6">
        <w:t>and aquatic biodiversity values from this form of crossing.</w:t>
      </w:r>
    </w:p>
    <w:tbl>
      <w:tblPr>
        <w:tblStyle w:val="JacobsTable1accentprimarythemes"/>
        <w:tblW w:w="0" w:type="auto"/>
        <w:tblLook w:val="04A0" w:firstRow="1" w:lastRow="0" w:firstColumn="1" w:lastColumn="0" w:noHBand="0" w:noVBand="1"/>
      </w:tblPr>
      <w:tblGrid>
        <w:gridCol w:w="9638"/>
      </w:tblGrid>
      <w:tr w:rsidR="003134B6" w14:paraId="2AFEDC27" w14:textId="77777777" w:rsidTr="00FB2E1B">
        <w:trPr>
          <w:cnfStyle w:val="100000000000" w:firstRow="1" w:lastRow="0" w:firstColumn="0" w:lastColumn="0" w:oddVBand="0" w:evenVBand="0" w:oddHBand="0" w:evenHBand="0" w:firstRowFirstColumn="0" w:firstRowLastColumn="0" w:lastRowFirstColumn="0" w:lastRowLastColumn="0"/>
        </w:trPr>
        <w:tc>
          <w:tcPr>
            <w:tcW w:w="9638" w:type="dxa"/>
          </w:tcPr>
          <w:p w14:paraId="11ACBDED" w14:textId="142774FA" w:rsidR="003134B6" w:rsidRDefault="003134B6" w:rsidP="00FB2E1B">
            <w:pPr>
              <w:pStyle w:val="TableText"/>
            </w:pPr>
            <w:r>
              <w:t>Recommendation D-03: High priority</w:t>
            </w:r>
          </w:p>
        </w:tc>
      </w:tr>
      <w:tr w:rsidR="003134B6" w14:paraId="4631FFBE" w14:textId="77777777" w:rsidTr="00FB2E1B">
        <w:tc>
          <w:tcPr>
            <w:tcW w:w="9638" w:type="dxa"/>
          </w:tcPr>
          <w:p w14:paraId="0E50A0B5" w14:textId="3700DFC9" w:rsidR="003134B6" w:rsidRDefault="003134B6" w:rsidP="00FB2E1B">
            <w:pPr>
              <w:pStyle w:val="TableText"/>
            </w:pPr>
            <w:r w:rsidRPr="0067528C">
              <w:t xml:space="preserve">That </w:t>
            </w:r>
            <w:r w:rsidR="00464ABF">
              <w:t>DEECA</w:t>
            </w:r>
            <w:r w:rsidR="00464ABF" w:rsidRPr="0067528C">
              <w:t xml:space="preserve"> </w:t>
            </w:r>
            <w:r>
              <w:t>review snig track crossing “design”, operational and rehabilitation requirements and develop new and more tailored management prescriptions.</w:t>
            </w:r>
          </w:p>
        </w:tc>
      </w:tr>
    </w:tbl>
    <w:p w14:paraId="62800127" w14:textId="615590E8" w:rsidR="003134B6" w:rsidRDefault="003134B6" w:rsidP="003134B6">
      <w:pPr>
        <w:pStyle w:val="Heading2"/>
      </w:pPr>
      <w:bookmarkStart w:id="194" w:name="_Toc131178711"/>
      <w:r>
        <w:lastRenderedPageBreak/>
        <w:t>Improvements in the Forest Audit Program</w:t>
      </w:r>
      <w:bookmarkEnd w:id="194"/>
    </w:p>
    <w:p w14:paraId="2185641A" w14:textId="3795F1BE" w:rsidR="003134B6" w:rsidRDefault="003134B6" w:rsidP="003134B6">
      <w:pPr>
        <w:pStyle w:val="BodyText"/>
      </w:pPr>
      <w:r>
        <w:t>We have noted in several previous audit reports (e.g., Jacobs, 202</w:t>
      </w:r>
      <w:r w:rsidR="00E2694E">
        <w:t>1</w:t>
      </w:r>
      <w:r>
        <w:t xml:space="preserve">), that there are regular inconsistencies between the information on coupe conditions provided by VicForests to select audit targets and the actual state of coupes. Key issues, given the weightings used in audit target selection, are the presence of waterway crossings, presence of modelled rainforest within or directly adjacent to the coupe, length of in coupe road and coupe slope. </w:t>
      </w:r>
    </w:p>
    <w:p w14:paraId="68AFFCC7" w14:textId="63F33023" w:rsidR="003134B6" w:rsidRDefault="003134B6" w:rsidP="003134B6">
      <w:pPr>
        <w:pStyle w:val="BodyText"/>
      </w:pPr>
      <w:r>
        <w:t xml:space="preserve">Data reported in </w:t>
      </w:r>
      <w:r w:rsidR="00193631">
        <w:fldChar w:fldCharType="begin"/>
      </w:r>
      <w:r w:rsidR="00193631">
        <w:instrText xml:space="preserve"> REF _Ref119929353 \h </w:instrText>
      </w:r>
      <w:r w:rsidR="00193631">
        <w:fldChar w:fldCharType="separate"/>
      </w:r>
      <w:r w:rsidR="00130DCF" w:rsidRPr="009038E7">
        <w:t>Table</w:t>
      </w:r>
      <w:r w:rsidR="00130DCF">
        <w:t> </w:t>
      </w:r>
      <w:r w:rsidR="00130DCF">
        <w:rPr>
          <w:noProof/>
        </w:rPr>
        <w:t>3-2</w:t>
      </w:r>
      <w:r w:rsidR="00193631">
        <w:fldChar w:fldCharType="end"/>
      </w:r>
      <w:r w:rsidR="00193631">
        <w:t xml:space="preserve"> </w:t>
      </w:r>
      <w:r>
        <w:t>highlight deficiencies in the information base used to select coupes for inclusion in the audit.</w:t>
      </w:r>
      <w:r w:rsidR="00193631">
        <w:t xml:space="preserve"> </w:t>
      </w:r>
      <w:r>
        <w:t>The data reported by VicForests is understood to be based on the initial operational planning rather than the actual coupe operations. These can differ significantly, and in our experience those differences often result in reduced environmental risks associated with the harvesting activities (</w:t>
      </w:r>
      <w:r w:rsidR="00CE35B5">
        <w:t>e.g.,</w:t>
      </w:r>
      <w:r>
        <w:t xml:space="preserve"> by eliminating waterway crossings or shortening in-coupe road lengths). As data from planned coupe operations is not necessarily reflective of the risk posed by the actual operations, lower risk coupes may be prioritised for audit selection above higher risk coupes.</w:t>
      </w:r>
    </w:p>
    <w:p w14:paraId="4AB761A5" w14:textId="52BBDE56" w:rsidR="003134B6" w:rsidRDefault="003134B6" w:rsidP="003134B6">
      <w:pPr>
        <w:pStyle w:val="BodyText"/>
      </w:pPr>
      <w:r>
        <w:t>While this may result in the audit being more representative of VicForests’ operations overall, the intent of the audit is to focus activities on higher risk coupes.</w:t>
      </w:r>
      <w:r w:rsidR="00193631">
        <w:t xml:space="preserve"> Experience indicates that despite data deficiencies, the audit “effort” is still weighted towards higher risk coupes. However, our preference (as previously recommended) would be for the information to be provided on the coupe as implemented, rather than originally planned, that maximum slope is specified rather than average or typical slope and that the presence of modelled rainforest within the coupe rather than within 500 m of it is reported. </w:t>
      </w:r>
    </w:p>
    <w:p w14:paraId="73A1586D" w14:textId="77777777" w:rsidR="00193631" w:rsidRDefault="00193631" w:rsidP="003134B6">
      <w:pPr>
        <w:pStyle w:val="BodyText"/>
      </w:pPr>
    </w:p>
    <w:tbl>
      <w:tblPr>
        <w:tblStyle w:val="JacobsTable1accentprimarythemes"/>
        <w:tblW w:w="0" w:type="auto"/>
        <w:tblLook w:val="04A0" w:firstRow="1" w:lastRow="0" w:firstColumn="1" w:lastColumn="0" w:noHBand="0" w:noVBand="1"/>
      </w:tblPr>
      <w:tblGrid>
        <w:gridCol w:w="9638"/>
      </w:tblGrid>
      <w:tr w:rsidR="00193631" w14:paraId="20FB8142" w14:textId="77777777" w:rsidTr="00FB2E1B">
        <w:trPr>
          <w:cnfStyle w:val="100000000000" w:firstRow="1" w:lastRow="0" w:firstColumn="0" w:lastColumn="0" w:oddVBand="0" w:evenVBand="0" w:oddHBand="0" w:evenHBand="0" w:firstRowFirstColumn="0" w:firstRowLastColumn="0" w:lastRowFirstColumn="0" w:lastRowLastColumn="0"/>
        </w:trPr>
        <w:tc>
          <w:tcPr>
            <w:tcW w:w="9638" w:type="dxa"/>
          </w:tcPr>
          <w:p w14:paraId="375A5F01" w14:textId="64E1D68E" w:rsidR="00193631" w:rsidRDefault="00193631" w:rsidP="00FB2E1B">
            <w:pPr>
              <w:pStyle w:val="TableText"/>
            </w:pPr>
            <w:r>
              <w:t>Recommendation V-03: Medium priority</w:t>
            </w:r>
          </w:p>
        </w:tc>
      </w:tr>
      <w:tr w:rsidR="00193631" w14:paraId="1FD1338C" w14:textId="77777777" w:rsidTr="00FB2E1B">
        <w:tc>
          <w:tcPr>
            <w:tcW w:w="9638" w:type="dxa"/>
          </w:tcPr>
          <w:p w14:paraId="6B9A76EC" w14:textId="37760BE1" w:rsidR="00193631" w:rsidRDefault="00193631" w:rsidP="00FB2E1B">
            <w:pPr>
              <w:pStyle w:val="TableText"/>
            </w:pPr>
            <w:r w:rsidRPr="00F54A2D">
              <w:t xml:space="preserve">That the data VicForests’ provide </w:t>
            </w:r>
            <w:r>
              <w:t xml:space="preserve">to </w:t>
            </w:r>
            <w:r w:rsidR="003529A1">
              <w:t>DEECA</w:t>
            </w:r>
            <w:r w:rsidR="003529A1" w:rsidRPr="00F54A2D">
              <w:t xml:space="preserve"> </w:t>
            </w:r>
            <w:r w:rsidRPr="00F54A2D">
              <w:t xml:space="preserve">to assist in </w:t>
            </w:r>
            <w:r>
              <w:t>audit target</w:t>
            </w:r>
            <w:r w:rsidRPr="00F54A2D">
              <w:t xml:space="preserve"> selection is based on actual rather than planned</w:t>
            </w:r>
            <w:r>
              <w:t xml:space="preserve"> coupe conditions. Maximum coupe slope and the presence of modelled rainforest within the coupe rather than within 500 m of it are reported.</w:t>
            </w:r>
          </w:p>
        </w:tc>
      </w:tr>
    </w:tbl>
    <w:p w14:paraId="50D8B5BF" w14:textId="3DC1E6BD" w:rsidR="00193631" w:rsidRDefault="00193631" w:rsidP="00193631">
      <w:pPr>
        <w:pStyle w:val="Heading1"/>
      </w:pPr>
      <w:bookmarkStart w:id="195" w:name="_Ref121249912"/>
      <w:bookmarkStart w:id="196" w:name="_Toc131178712"/>
      <w:r>
        <w:lastRenderedPageBreak/>
        <w:t>Conclusions and recommendations</w:t>
      </w:r>
      <w:bookmarkEnd w:id="195"/>
      <w:bookmarkEnd w:id="196"/>
    </w:p>
    <w:p w14:paraId="5EB8C6B2" w14:textId="3BD85B5B" w:rsidR="00193631" w:rsidRDefault="00193631" w:rsidP="00193631">
      <w:pPr>
        <w:pStyle w:val="Heading2"/>
      </w:pPr>
      <w:bookmarkStart w:id="197" w:name="_Toc131178713"/>
      <w:r>
        <w:t>Conclusions</w:t>
      </w:r>
      <w:bookmarkEnd w:id="197"/>
    </w:p>
    <w:p w14:paraId="71AB9026" w14:textId="46B289D5" w:rsidR="00193631" w:rsidRDefault="00193631" w:rsidP="00193631">
      <w:pPr>
        <w:pStyle w:val="BodyText"/>
      </w:pPr>
      <w:r>
        <w:t xml:space="preserve">The objectives of the FAP are to assess </w:t>
      </w:r>
      <w:r w:rsidR="00B0424A">
        <w:t xml:space="preserve">the </w:t>
      </w:r>
      <w:r>
        <w:t xml:space="preserve">conformance </w:t>
      </w:r>
      <w:r w:rsidR="00B0424A">
        <w:t xml:space="preserve">of VicForests’ timber harvesting operations </w:t>
      </w:r>
      <w:r>
        <w:t xml:space="preserve">with the regulatory framework for timber harvesting activities in State forests and the environmental risks associated with any non-conformances. The 2022 FAP addressed Code and MSP mandatory compliance elements relating to four main themes: </w:t>
      </w:r>
    </w:p>
    <w:p w14:paraId="5DC5FAD0" w14:textId="7D8A1C24" w:rsidR="00193631" w:rsidRDefault="00193631" w:rsidP="00193631">
      <w:pPr>
        <w:pStyle w:val="BulletLevel1"/>
      </w:pPr>
      <w:r>
        <w:t xml:space="preserve">Protection of soil, water and river health values </w:t>
      </w:r>
    </w:p>
    <w:p w14:paraId="0F33E4E4" w14:textId="152E67F2" w:rsidR="00193631" w:rsidRDefault="00193631" w:rsidP="00193631">
      <w:pPr>
        <w:pStyle w:val="BulletLevel1"/>
      </w:pPr>
      <w:r>
        <w:t>Conservation of biodiversity</w:t>
      </w:r>
    </w:p>
    <w:p w14:paraId="54E0C4CF" w14:textId="7CC18B3B" w:rsidR="00193631" w:rsidRDefault="00193631" w:rsidP="00193631">
      <w:pPr>
        <w:pStyle w:val="BulletLevel1"/>
      </w:pPr>
      <w:r>
        <w:t>Operational planning and record-keeping</w:t>
      </w:r>
    </w:p>
    <w:p w14:paraId="4DEB2C10" w14:textId="3AB3727C" w:rsidR="00193631" w:rsidRDefault="00193631" w:rsidP="00193631">
      <w:pPr>
        <w:pStyle w:val="BulletLevel1"/>
      </w:pPr>
      <w:r>
        <w:t>Coupe infrastructure for timber harvesting operations.</w:t>
      </w:r>
    </w:p>
    <w:p w14:paraId="52064D1C" w14:textId="0E56377D" w:rsidR="00193631" w:rsidRDefault="00193631" w:rsidP="00193631">
      <w:pPr>
        <w:pStyle w:val="BodyText"/>
      </w:pPr>
      <w:r>
        <w:t>Conformance of coupe planning, harvesting and roading activities with the regulatory framework provided by the Code and MSPs was assessed for 3</w:t>
      </w:r>
      <w:r w:rsidR="007B1D90">
        <w:t>2</w:t>
      </w:r>
      <w:r>
        <w:t xml:space="preserve"> coupes distributed across the Central Highlands, </w:t>
      </w:r>
      <w:r w:rsidR="007B1D90">
        <w:t xml:space="preserve">East </w:t>
      </w:r>
      <w:r>
        <w:t>Gippsland</w:t>
      </w:r>
      <w:r w:rsidR="007B1D90">
        <w:t>, Gippsland and North East</w:t>
      </w:r>
      <w:r>
        <w:t xml:space="preserve"> RFA regions. The selection of coupes was risk-based, meaning that audit findings cannot be taken as being statistically representative of VicForests’ operations.</w:t>
      </w:r>
    </w:p>
    <w:p w14:paraId="56C90935" w14:textId="77777777" w:rsidR="00193631" w:rsidRDefault="00193631" w:rsidP="007B1D90">
      <w:pPr>
        <w:pStyle w:val="Headingunnumbered3"/>
      </w:pPr>
      <w:bookmarkStart w:id="198" w:name="_Toc131178714"/>
      <w:r>
        <w:t>Overall conformance findings</w:t>
      </w:r>
      <w:bookmarkEnd w:id="198"/>
      <w:r>
        <w:t xml:space="preserve"> </w:t>
      </w:r>
    </w:p>
    <w:p w14:paraId="79730E84" w14:textId="16C35F4B" w:rsidR="00193631" w:rsidRDefault="00193631" w:rsidP="00193631">
      <w:pPr>
        <w:pStyle w:val="BodyText"/>
      </w:pPr>
      <w:r>
        <w:t>A total of 1</w:t>
      </w:r>
      <w:r w:rsidR="00FA4F1C">
        <w:t>71</w:t>
      </w:r>
      <w:r>
        <w:t xml:space="preserve"> compliance criteria were identified from Code and related MSP prescriptions included within the audit scope. The applicability of and conformance with these criteria was assessed for each of the 3</w:t>
      </w:r>
      <w:r w:rsidR="00FA4F1C">
        <w:t>2</w:t>
      </w:r>
      <w:r>
        <w:t xml:space="preserve"> selected coupes during site inspections undertaken in </w:t>
      </w:r>
      <w:r w:rsidR="00FA4F1C">
        <w:t>June, July and October 2022</w:t>
      </w:r>
      <w:r>
        <w:t>.</w:t>
      </w:r>
    </w:p>
    <w:p w14:paraId="4E00DD1B" w14:textId="3742A9E6" w:rsidR="00193631" w:rsidRDefault="00193631" w:rsidP="00193631">
      <w:pPr>
        <w:pStyle w:val="BodyText"/>
      </w:pPr>
      <w:r>
        <w:t xml:space="preserve">The overall level of full conformance with applicable audit criteria </w:t>
      </w:r>
      <w:r w:rsidR="00DA7F9A">
        <w:t xml:space="preserve">across the 32 coupes </w:t>
      </w:r>
      <w:r>
        <w:t xml:space="preserve">ranged between </w:t>
      </w:r>
      <w:r w:rsidR="00FA4F1C">
        <w:t>8</w:t>
      </w:r>
      <w:r w:rsidR="00A02179">
        <w:t>7</w:t>
      </w:r>
      <w:r>
        <w:t>% and 100%, with the average being 9</w:t>
      </w:r>
      <w:r w:rsidR="00DA7F9A">
        <w:t>6</w:t>
      </w:r>
      <w:r>
        <w:t xml:space="preserve">%. Non-conformance incidents in </w:t>
      </w:r>
      <w:r w:rsidR="00DA7F9A">
        <w:t>20</w:t>
      </w:r>
      <w:r>
        <w:t xml:space="preserve"> of the </w:t>
      </w:r>
      <w:r w:rsidR="00DA7F9A">
        <w:t xml:space="preserve">32 </w:t>
      </w:r>
      <w:r>
        <w:t>coupes included in the audit were assessed to have potential for environmental impact. There was an average of 1.</w:t>
      </w:r>
      <w:r w:rsidR="00DA7F9A">
        <w:t>4</w:t>
      </w:r>
      <w:r>
        <w:t xml:space="preserve"> such incidents per coupe, with as many as </w:t>
      </w:r>
      <w:r w:rsidR="007B4893">
        <w:t xml:space="preserve">six </w:t>
      </w:r>
      <w:r>
        <w:t xml:space="preserve">incidents recorded. The assessed level of potential environmental impact associated with these incidents ranged </w:t>
      </w:r>
      <w:r w:rsidR="007B4893">
        <w:t>between negligible and</w:t>
      </w:r>
      <w:r>
        <w:t xml:space="preserve"> major</w:t>
      </w:r>
      <w:r w:rsidR="007B4893">
        <w:t>, with moderate being the most common rating</w:t>
      </w:r>
      <w:r>
        <w:t xml:space="preserve">. </w:t>
      </w:r>
    </w:p>
    <w:p w14:paraId="122F3817" w14:textId="77777777" w:rsidR="00193631" w:rsidRDefault="00193631" w:rsidP="00DA7F9A">
      <w:pPr>
        <w:pStyle w:val="Headingunnumbered3"/>
      </w:pPr>
      <w:bookmarkStart w:id="199" w:name="_Toc131178715"/>
      <w:r>
        <w:t>Protection of soil, water and river health values</w:t>
      </w:r>
      <w:bookmarkEnd w:id="199"/>
    </w:p>
    <w:p w14:paraId="388797AF" w14:textId="77777777" w:rsidR="00193631" w:rsidRDefault="00193631" w:rsidP="00193631">
      <w:pPr>
        <w:pStyle w:val="BodyText"/>
      </w:pPr>
      <w:r>
        <w:t>Environment-themed audit criteria were grouped into two sub-themes focusing on soil and water values. The main findings for each sub-theme were:</w:t>
      </w:r>
    </w:p>
    <w:p w14:paraId="44D2D96F" w14:textId="137C9CC5" w:rsidR="00193631" w:rsidRDefault="00193631" w:rsidP="00DA7F9A">
      <w:pPr>
        <w:pStyle w:val="BulletLevel1"/>
      </w:pPr>
      <w:r w:rsidRPr="00DA7F9A">
        <w:rPr>
          <w:i/>
          <w:iCs/>
        </w:rPr>
        <w:t>Protection of forest soils:</w:t>
      </w:r>
      <w:r>
        <w:t xml:space="preserve"> the level of full conformance with applicable criteria ranged between </w:t>
      </w:r>
      <w:r w:rsidR="00DA7F9A">
        <w:t>7</w:t>
      </w:r>
      <w:r w:rsidR="00FC59FD">
        <w:t>8</w:t>
      </w:r>
      <w:r>
        <w:t>% and 100%, with an average of 9</w:t>
      </w:r>
      <w:r w:rsidR="00DA7F9A">
        <w:t>5</w:t>
      </w:r>
      <w:r>
        <w:t xml:space="preserve">%. Non-conformance incidents at five coupes were assessed to have </w:t>
      </w:r>
      <w:r w:rsidR="00DA7F9A">
        <w:t>up to major</w:t>
      </w:r>
      <w:r>
        <w:t xml:space="preserve"> potential environmental impact. The main types of incident contributing to </w:t>
      </w:r>
      <w:r w:rsidR="00DA7F9A">
        <w:t>higher potential environmental impact</w:t>
      </w:r>
      <w:r>
        <w:t xml:space="preserve"> non-conformances </w:t>
      </w:r>
      <w:r w:rsidR="00DA7F9A">
        <w:t xml:space="preserve">all related to defective waterway crossings. </w:t>
      </w:r>
    </w:p>
    <w:p w14:paraId="60CA09EB" w14:textId="71B1DC91" w:rsidR="00193631" w:rsidRDefault="00193631" w:rsidP="00DA7F9A">
      <w:pPr>
        <w:pStyle w:val="BulletLevel1"/>
      </w:pPr>
      <w:r w:rsidRPr="00DA7F9A">
        <w:rPr>
          <w:i/>
          <w:iCs/>
        </w:rPr>
        <w:t>Protection of water flows, water quality and river health:</w:t>
      </w:r>
      <w:r>
        <w:t xml:space="preserve"> the level of full conformance with applicable criteria ranged between </w:t>
      </w:r>
      <w:r w:rsidR="00DA7F9A">
        <w:t>67</w:t>
      </w:r>
      <w:r>
        <w:t>% and 100%, with an average of 9</w:t>
      </w:r>
      <w:r w:rsidR="00DA7F9A">
        <w:t>4</w:t>
      </w:r>
      <w:r>
        <w:t xml:space="preserve">%. Non-conformance incidents were assessed to have </w:t>
      </w:r>
      <w:r w:rsidR="00DA7F9A">
        <w:t>up to major</w:t>
      </w:r>
      <w:r>
        <w:t xml:space="preserve"> potential environmental impact. </w:t>
      </w:r>
      <w:r w:rsidR="00DA7F9A">
        <w:t xml:space="preserve">As with audit criteria relating to forest soils, </w:t>
      </w:r>
      <w:r w:rsidR="000D5996">
        <w:t xml:space="preserve">both </w:t>
      </w:r>
      <w:r>
        <w:t>incident</w:t>
      </w:r>
      <w:r w:rsidR="00102B52">
        <w:t>s</w:t>
      </w:r>
      <w:r>
        <w:t xml:space="preserve"> contributing to </w:t>
      </w:r>
      <w:r w:rsidR="00DA7F9A">
        <w:t>major potential environmental impact</w:t>
      </w:r>
      <w:r>
        <w:t xml:space="preserve"> non-conformances </w:t>
      </w:r>
      <w:r w:rsidR="00DA7F9A">
        <w:t>related to defective waterway crossings</w:t>
      </w:r>
      <w:r>
        <w:t>:</w:t>
      </w:r>
    </w:p>
    <w:p w14:paraId="76520951" w14:textId="77777777" w:rsidR="00193631" w:rsidRDefault="00193631" w:rsidP="00DA7F9A">
      <w:pPr>
        <w:pStyle w:val="Headingunnumbered3"/>
      </w:pPr>
      <w:bookmarkStart w:id="200" w:name="_Toc131178716"/>
      <w:r>
        <w:t>Conservation of biodiversity</w:t>
      </w:r>
      <w:bookmarkEnd w:id="200"/>
    </w:p>
    <w:p w14:paraId="443C5898" w14:textId="52C8221B" w:rsidR="00193631" w:rsidRDefault="00193631" w:rsidP="00193631">
      <w:pPr>
        <w:pStyle w:val="BodyText"/>
      </w:pPr>
      <w:r>
        <w:t>The average level of full conformance with applicable biodiversity conservation criteria was 9</w:t>
      </w:r>
      <w:r w:rsidR="000D5996">
        <w:t>6</w:t>
      </w:r>
      <w:r>
        <w:t xml:space="preserve">%, with the range being </w:t>
      </w:r>
      <w:r w:rsidR="000D5996">
        <w:t>8</w:t>
      </w:r>
      <w:r>
        <w:t xml:space="preserve">5-100%. </w:t>
      </w:r>
      <w:r w:rsidR="00DA7F9A">
        <w:t xml:space="preserve">Multiple </w:t>
      </w:r>
      <w:r>
        <w:t>non-conformance incident</w:t>
      </w:r>
      <w:r w:rsidR="00DA7F9A">
        <w:t>s</w:t>
      </w:r>
      <w:r>
        <w:t xml:space="preserve"> </w:t>
      </w:r>
      <w:r w:rsidR="00DA7F9A">
        <w:t xml:space="preserve">were </w:t>
      </w:r>
      <w:r>
        <w:t xml:space="preserve">assessed to have major potential environmental impact </w:t>
      </w:r>
      <w:r w:rsidR="00DA7F9A">
        <w:t xml:space="preserve">for either aquatic or terrestrial biodiversity values. All of the former incidents related to defective waterway crossings and the one incident potentially affecting terrestrial biodiversity values resulted from the incursion of harvest activity into a small area of Leadbeaters Possum SPZ. </w:t>
      </w:r>
    </w:p>
    <w:p w14:paraId="776EB1D1" w14:textId="77777777" w:rsidR="00193631" w:rsidRDefault="00193631" w:rsidP="00DA7F9A">
      <w:pPr>
        <w:pStyle w:val="Headingunnumbered3"/>
      </w:pPr>
      <w:bookmarkStart w:id="201" w:name="_Toc131178717"/>
      <w:r>
        <w:t>Operational planning and record keeping</w:t>
      </w:r>
      <w:bookmarkEnd w:id="201"/>
    </w:p>
    <w:p w14:paraId="6CA8A439" w14:textId="14800712" w:rsidR="00193631" w:rsidRDefault="00193631" w:rsidP="00193631">
      <w:pPr>
        <w:pStyle w:val="BodyText"/>
      </w:pPr>
      <w:r>
        <w:t>The average level of full conformance with applicable criteria was 97%, with the level for individual coupes ranging between 8</w:t>
      </w:r>
      <w:r w:rsidR="004C211C">
        <w:t>9</w:t>
      </w:r>
      <w:r>
        <w:t xml:space="preserve">% and 100%. </w:t>
      </w:r>
      <w:r w:rsidR="00E64306">
        <w:t>N</w:t>
      </w:r>
      <w:r>
        <w:t>on-conformance incident</w:t>
      </w:r>
      <w:r w:rsidR="00E64306">
        <w:t xml:space="preserve">s with </w:t>
      </w:r>
      <w:r>
        <w:t xml:space="preserve">major potential environmental impact </w:t>
      </w:r>
      <w:r w:rsidR="00E64306">
        <w:t xml:space="preserve">were observed at </w:t>
      </w:r>
      <w:r w:rsidR="004C211C">
        <w:t xml:space="preserve">three </w:t>
      </w:r>
      <w:r w:rsidR="00E64306">
        <w:t xml:space="preserve">coupes, all of which were the result of coupe planning not being executed correctly, </w:t>
      </w:r>
      <w:r w:rsidR="00E64306">
        <w:lastRenderedPageBreak/>
        <w:t>rather than deficiencies in planning. Incidents with major and moderate environmental impact relate to defective in-coupe road or snig track waterway crossings, incursion of harvesting activity into an SPZ and incursion of regeneration burns into areas of retained vegetation.</w:t>
      </w:r>
    </w:p>
    <w:p w14:paraId="6EF06ED2" w14:textId="77777777" w:rsidR="00193631" w:rsidRDefault="00193631" w:rsidP="00E64306">
      <w:pPr>
        <w:pStyle w:val="Headingunnumbered3"/>
      </w:pPr>
      <w:bookmarkStart w:id="202" w:name="_Toc131178718"/>
      <w:r>
        <w:t>Coupe infrastructure for harvesting operations</w:t>
      </w:r>
      <w:bookmarkEnd w:id="202"/>
    </w:p>
    <w:p w14:paraId="18D86FC5" w14:textId="77777777" w:rsidR="00193631" w:rsidRDefault="00193631" w:rsidP="00193631">
      <w:pPr>
        <w:pStyle w:val="BodyText"/>
      </w:pPr>
      <w:r>
        <w:t>Infrastructure-themed audit criteria were grouped into four sub-themes focusing on design, construction, maintenance of in-coupe roads, as well as placement and construction of non-road coupe infrastructure such as landings and snig or boundary tracks. The main findings for each sub-theme were:</w:t>
      </w:r>
    </w:p>
    <w:p w14:paraId="4244873F" w14:textId="24E0860E" w:rsidR="00193631" w:rsidRDefault="00193631" w:rsidP="00E64306">
      <w:pPr>
        <w:pStyle w:val="BulletLevel1"/>
      </w:pPr>
      <w:r w:rsidRPr="00E64306">
        <w:rPr>
          <w:i/>
          <w:iCs/>
        </w:rPr>
        <w:t>Road design:</w:t>
      </w:r>
      <w:r>
        <w:t xml:space="preserve"> the level of full conformance with applicable criteria ranged between </w:t>
      </w:r>
      <w:r w:rsidR="00E64306">
        <w:t>78</w:t>
      </w:r>
      <w:r>
        <w:t xml:space="preserve">% and 100%, with the average being </w:t>
      </w:r>
      <w:r w:rsidR="00E64306">
        <w:t>96</w:t>
      </w:r>
      <w:r>
        <w:t xml:space="preserve">%. </w:t>
      </w:r>
      <w:r w:rsidR="006935D7">
        <w:t>A n</w:t>
      </w:r>
      <w:r>
        <w:t xml:space="preserve">on-conformance incident at </w:t>
      </w:r>
      <w:r w:rsidR="006935D7">
        <w:t xml:space="preserve">one </w:t>
      </w:r>
      <w:r>
        <w:t>coupe</w:t>
      </w:r>
      <w:r w:rsidR="006935D7">
        <w:t xml:space="preserve"> was</w:t>
      </w:r>
      <w:r>
        <w:t xml:space="preserve"> assessed to have </w:t>
      </w:r>
      <w:r w:rsidR="00E64306">
        <w:t>major</w:t>
      </w:r>
      <w:r>
        <w:t xml:space="preserve"> potential</w:t>
      </w:r>
      <w:r w:rsidR="00E64306">
        <w:t xml:space="preserve"> environmental</w:t>
      </w:r>
      <w:r>
        <w:t xml:space="preserve"> impact. Th</w:t>
      </w:r>
      <w:r w:rsidR="006935D7">
        <w:t xml:space="preserve">is </w:t>
      </w:r>
      <w:r>
        <w:t>related to</w:t>
      </w:r>
      <w:r w:rsidR="00E64306">
        <w:t xml:space="preserve"> defective waterway crossings.</w:t>
      </w:r>
    </w:p>
    <w:p w14:paraId="15E87439" w14:textId="36A14A67" w:rsidR="00E64306" w:rsidRDefault="00193631" w:rsidP="00E64306">
      <w:pPr>
        <w:pStyle w:val="BulletLevel1"/>
      </w:pPr>
      <w:r w:rsidRPr="00E64306">
        <w:rPr>
          <w:i/>
          <w:iCs/>
        </w:rPr>
        <w:t>Road construction:</w:t>
      </w:r>
      <w:r>
        <w:t xml:space="preserve"> the average level of full conformance with applicable criteria was </w:t>
      </w:r>
      <w:r w:rsidR="00E64306">
        <w:t>92</w:t>
      </w:r>
      <w:r>
        <w:t xml:space="preserve">%, with the level of conformance ranging between </w:t>
      </w:r>
      <w:r w:rsidR="00E64306">
        <w:t>66</w:t>
      </w:r>
      <w:r>
        <w:t xml:space="preserve">% and 100%. </w:t>
      </w:r>
      <w:r w:rsidR="000A07A4">
        <w:t xml:space="preserve">A non-conformance incident at one coupe </w:t>
      </w:r>
      <w:r w:rsidR="00505752">
        <w:t xml:space="preserve">(a defective waterway crossing) </w:t>
      </w:r>
      <w:r w:rsidR="000A07A4">
        <w:t>was assessed to have major potential environmental impact.</w:t>
      </w:r>
      <w:r>
        <w:t xml:space="preserve"> </w:t>
      </w:r>
    </w:p>
    <w:p w14:paraId="755BD44D" w14:textId="1F310E83" w:rsidR="00193631" w:rsidRDefault="00193631" w:rsidP="00E64306">
      <w:pPr>
        <w:pStyle w:val="BulletLevel1"/>
      </w:pPr>
      <w:r w:rsidRPr="00E64306">
        <w:rPr>
          <w:i/>
          <w:iCs/>
        </w:rPr>
        <w:t>Road maintenance and closure:</w:t>
      </w:r>
      <w:r>
        <w:t xml:space="preserve"> the average level of full conformance with applicable criteria was </w:t>
      </w:r>
      <w:r w:rsidR="00E64306">
        <w:t>99</w:t>
      </w:r>
      <w:r>
        <w:t xml:space="preserve">%, with the level of full compliance ranging between </w:t>
      </w:r>
      <w:r w:rsidR="00E64306">
        <w:t>75</w:t>
      </w:r>
      <w:r>
        <w:t xml:space="preserve">% and 100%. </w:t>
      </w:r>
      <w:r w:rsidR="00E64306">
        <w:t>Only one n</w:t>
      </w:r>
      <w:r>
        <w:t>on-conformance incident</w:t>
      </w:r>
      <w:r w:rsidR="00E64306">
        <w:t xml:space="preserve"> with potential </w:t>
      </w:r>
      <w:r>
        <w:t xml:space="preserve">environmental impact </w:t>
      </w:r>
      <w:r w:rsidR="00E64306">
        <w:t>was</w:t>
      </w:r>
      <w:r>
        <w:t xml:space="preserve"> observed</w:t>
      </w:r>
      <w:r w:rsidR="00E64306">
        <w:t>, with the potential impact assessed to be negligible</w:t>
      </w:r>
      <w:r>
        <w:t xml:space="preserve">. </w:t>
      </w:r>
    </w:p>
    <w:p w14:paraId="55AD3C28" w14:textId="35B6D871" w:rsidR="00193631" w:rsidRDefault="00193631" w:rsidP="00E64306">
      <w:pPr>
        <w:pStyle w:val="BulletLevel1"/>
      </w:pPr>
      <w:r w:rsidRPr="00E64306">
        <w:rPr>
          <w:i/>
          <w:iCs/>
        </w:rPr>
        <w:t>Non-road coupe infrastructure:</w:t>
      </w:r>
      <w:r>
        <w:t xml:space="preserve"> the average level of full conformance with applicable criteria was 9</w:t>
      </w:r>
      <w:r w:rsidR="00E64306">
        <w:t>6</w:t>
      </w:r>
      <w:r>
        <w:t xml:space="preserve">%, with the level of full conformance ranging between </w:t>
      </w:r>
      <w:r w:rsidR="00E64306">
        <w:t>81</w:t>
      </w:r>
      <w:r>
        <w:t xml:space="preserve">% and 100%. </w:t>
      </w:r>
      <w:r w:rsidR="00E64306">
        <w:t>A n</w:t>
      </w:r>
      <w:r>
        <w:t xml:space="preserve">on-conformance incident with </w:t>
      </w:r>
      <w:r w:rsidR="00E64306">
        <w:t>major</w:t>
      </w:r>
      <w:r>
        <w:t xml:space="preserve"> potential environmental impact </w:t>
      </w:r>
      <w:r w:rsidR="00E64306">
        <w:t>was</w:t>
      </w:r>
      <w:r>
        <w:t xml:space="preserve"> observed at </w:t>
      </w:r>
      <w:r w:rsidR="00E64306">
        <w:t>one</w:t>
      </w:r>
      <w:r>
        <w:t xml:space="preserve"> coupe. </w:t>
      </w:r>
      <w:r w:rsidR="00E64306">
        <w:t>This</w:t>
      </w:r>
      <w:r>
        <w:t xml:space="preserve"> involved</w:t>
      </w:r>
      <w:r w:rsidR="00E64306">
        <w:t xml:space="preserve"> a defective snig track waterway crossing. </w:t>
      </w:r>
    </w:p>
    <w:p w14:paraId="63919230" w14:textId="77777777" w:rsidR="00193631" w:rsidRDefault="00193631" w:rsidP="00E64306">
      <w:pPr>
        <w:pStyle w:val="Headingunnumbered3"/>
      </w:pPr>
      <w:bookmarkStart w:id="203" w:name="_Toc131178719"/>
      <w:r>
        <w:t>Comparison with previous audits</w:t>
      </w:r>
      <w:bookmarkEnd w:id="203"/>
    </w:p>
    <w:p w14:paraId="62A23678" w14:textId="52DD72A7" w:rsidR="00193631" w:rsidRDefault="00193631" w:rsidP="00193631">
      <w:pPr>
        <w:pStyle w:val="BodyText"/>
      </w:pPr>
      <w:r>
        <w:t xml:space="preserve">Coupe selection for the audit is risk-based, which means that audit results are not necessarily statistically representative of VicForests’ operations overall and audit results may not be directly comparable between years. Comparison of the results of this audit with previous audits is also confounded by </w:t>
      </w:r>
      <w:r w:rsidR="00D675C1">
        <w:t xml:space="preserve">changes in the EIA tool, </w:t>
      </w:r>
      <w:r>
        <w:t xml:space="preserve">inclusion of </w:t>
      </w:r>
      <w:r w:rsidR="00E64306">
        <w:t>slightly different suites of compliance element</w:t>
      </w:r>
      <w:r w:rsidR="0098113E">
        <w:t xml:space="preserve">, </w:t>
      </w:r>
      <w:r w:rsidR="00E64306">
        <w:t xml:space="preserve">and </w:t>
      </w:r>
      <w:r w:rsidR="00836F1E">
        <w:t xml:space="preserve">in the 2019-20 FAP audit, of </w:t>
      </w:r>
      <w:r>
        <w:t xml:space="preserve">15 less intensively harvested community forestry coupes from Western Victoria RFA region. However, </w:t>
      </w:r>
      <w:r w:rsidR="00836F1E">
        <w:t xml:space="preserve">the broad consistency of the target selection process, regulatory compliance elements and audit criteria mean that reasonable comparisons between audits are possible. </w:t>
      </w:r>
    </w:p>
    <w:p w14:paraId="04107D2D" w14:textId="435B9443" w:rsidR="00193631" w:rsidRDefault="00836F1E" w:rsidP="00193631">
      <w:pPr>
        <w:pStyle w:val="BodyText"/>
      </w:pPr>
      <w:r>
        <w:t xml:space="preserve">Considering only coupes in the </w:t>
      </w:r>
      <w:r w:rsidR="00193631">
        <w:t>Central Highland RFA region</w:t>
      </w:r>
      <w:r>
        <w:t>, which have been included in all five of the most recent audits, the overall level of full conformance is greater overall and for most compliance themes and sub-themes than in previous audits (95%, compared with 83-94%, overall). Despite this, the count of non-conformances with potential environmental impact and, particularly, with major potential environmental impact was greater in the current audit than in the two previous audits. This was the case overall and for almost all compliance themes and sub-themes.</w:t>
      </w:r>
    </w:p>
    <w:p w14:paraId="2B53A183" w14:textId="6D0BFFF9" w:rsidR="00836F1E" w:rsidRDefault="00836F1E" w:rsidP="00193631">
      <w:pPr>
        <w:pStyle w:val="BodyText"/>
      </w:pPr>
      <w:r>
        <w:t xml:space="preserve">The higher incidence of non-conformances with </w:t>
      </w:r>
      <w:r w:rsidR="003B2B01">
        <w:t xml:space="preserve">higher </w:t>
      </w:r>
      <w:r>
        <w:t>potential environmental impact</w:t>
      </w:r>
      <w:r w:rsidR="003B2B01">
        <w:t xml:space="preserve"> (i.e. moderate and major categories)</w:t>
      </w:r>
      <w:r>
        <w:t xml:space="preserve"> </w:t>
      </w:r>
      <w:r w:rsidR="003B2B01">
        <w:t xml:space="preserve">largely </w:t>
      </w:r>
      <w:r>
        <w:t>reflected repeated observations of defective in-coupe road and snig track waterway crossings.</w:t>
      </w:r>
    </w:p>
    <w:p w14:paraId="49EBEF21" w14:textId="77777777" w:rsidR="00193631" w:rsidRDefault="00193631" w:rsidP="00836F1E">
      <w:pPr>
        <w:pStyle w:val="Headingunnumbered3"/>
      </w:pPr>
      <w:bookmarkStart w:id="204" w:name="_Toc131178720"/>
      <w:r>
        <w:t>Fire salvage harvesting</w:t>
      </w:r>
      <w:bookmarkEnd w:id="204"/>
    </w:p>
    <w:p w14:paraId="5491FE1D" w14:textId="225221E7" w:rsidR="007D6257" w:rsidRDefault="00836F1E" w:rsidP="007D6257">
      <w:pPr>
        <w:pStyle w:val="BodyText"/>
      </w:pPr>
      <w:r w:rsidRPr="00836F1E">
        <w:t>Fifteen fire salvage coupes were included in the audit. These were located in East Gippsland</w:t>
      </w:r>
      <w:r>
        <w:t>,</w:t>
      </w:r>
      <w:r w:rsidRPr="00836F1E">
        <w:t xml:space="preserve"> Tambo and North East FMAs and all were affected by fires during the summer of 2019-20.</w:t>
      </w:r>
      <w:r w:rsidR="007D6257">
        <w:t xml:space="preserve"> The average level of full conformance with applicable fire salvage prescriptions was 96%, which is similar to the overall level of full conformance for all aspects of the regulatory framework. The level of full conformance ranged between 82% and 100%. Non-conformances with potential environmental impact were observed at five of the 15 fire salvage coupes, with the assessed level of impact being either minor or moderate. </w:t>
      </w:r>
    </w:p>
    <w:p w14:paraId="6A1A4B0F" w14:textId="4C7969E8" w:rsidR="00836F1E" w:rsidRDefault="007D6257" w:rsidP="007D6257">
      <w:pPr>
        <w:pStyle w:val="BodyText"/>
      </w:pPr>
      <w:r>
        <w:t xml:space="preserve">Non-conformances with fire salvage prescriptions resulted from seven individual incidents, relating to drainage structure spacing, waterway crossing construction and harvesting in a planned riparian buffer. </w:t>
      </w:r>
    </w:p>
    <w:p w14:paraId="1946BB4A" w14:textId="0CC04B5B" w:rsidR="00193631" w:rsidRDefault="007D6257" w:rsidP="007D6257">
      <w:pPr>
        <w:pStyle w:val="Headingunnumbered3"/>
      </w:pPr>
      <w:bookmarkStart w:id="205" w:name="_Toc131178721"/>
      <w:r>
        <w:t>Application of the precautionary principle</w:t>
      </w:r>
      <w:bookmarkEnd w:id="205"/>
    </w:p>
    <w:p w14:paraId="4817ACC3" w14:textId="21BF9492" w:rsidR="007D6257" w:rsidRDefault="007D6257" w:rsidP="007D6257">
      <w:pPr>
        <w:pStyle w:val="BodyText"/>
      </w:pPr>
      <w:r>
        <w:t xml:space="preserve">The specification for the 2022 Forest Audit Program included a request to consider compliance measures under the precautionary principle for audit coupes in East Gippsland FMA. The focus was on the information </w:t>
      </w:r>
      <w:r>
        <w:lastRenderedPageBreak/>
        <w:t>used to identify whether threatened flora or fauna may be present within or near the coupe and the extent to which planning and management of the operations responded to risks to these species from timber harvesting. The assessment was confounded somewhat by the 2019-20 bushfires</w:t>
      </w:r>
      <w:r w:rsidR="00C26597">
        <w:t>,</w:t>
      </w:r>
      <w:r>
        <w:t xml:space="preserve"> which limited opportunities for pre-harvest surveys of threatened species in seven of the eight East Gippsland coupes. Where available, species records and observations, as well as habitat </w:t>
      </w:r>
      <w:r w:rsidR="00842712">
        <w:t xml:space="preserve">distribution </w:t>
      </w:r>
      <w:r>
        <w:t xml:space="preserve">models were used to </w:t>
      </w:r>
      <w:r w:rsidR="00842712">
        <w:t>identify what threatened species might be present on the coupe. Digital FCPs specified a set of management actions responding to the requirements of each species, although these fell into two main categories: provision of riparian harvest exclusion areas for species occupying or moving through these parts of the forest and adoption of a silvicultural regime with high retention of “habitat” trees (to the extent available), residual basal area and undisturbed habitat patches.</w:t>
      </w:r>
    </w:p>
    <w:p w14:paraId="06FFC6AB" w14:textId="18A12F06" w:rsidR="007D6257" w:rsidRDefault="00842712" w:rsidP="00842712">
      <w:pPr>
        <w:pStyle w:val="Heading2"/>
      </w:pPr>
      <w:bookmarkStart w:id="206" w:name="_Toc131178722"/>
      <w:r>
        <w:t>Recommendations</w:t>
      </w:r>
      <w:bookmarkEnd w:id="206"/>
    </w:p>
    <w:p w14:paraId="367423D8" w14:textId="2AA8BE02" w:rsidR="00842712" w:rsidRDefault="00842712" w:rsidP="00842712">
      <w:pPr>
        <w:pStyle w:val="BodyText"/>
      </w:pPr>
      <w:r>
        <w:t xml:space="preserve">The findings of this audit have contributed to a series of recommendations for VicForests and </w:t>
      </w:r>
      <w:r w:rsidR="00793E73">
        <w:t>DEECA</w:t>
      </w:r>
      <w:r>
        <w:t xml:space="preserve">. Recommendations to VicForests regard potential improvements in coupe planning and timber harvesting practices and operation on the FAP. Recommendations for </w:t>
      </w:r>
      <w:r w:rsidR="00793E73">
        <w:t xml:space="preserve">DEECA </w:t>
      </w:r>
      <w:r>
        <w:t>concern the regulatory framework for timber harvesting.</w:t>
      </w:r>
    </w:p>
    <w:p w14:paraId="208FF17C" w14:textId="77777777" w:rsidR="00842712" w:rsidRDefault="00842712" w:rsidP="00842712">
      <w:pPr>
        <w:pStyle w:val="BodyText"/>
      </w:pPr>
      <w:r>
        <w:t xml:space="preserve">The priority given to recommendations reflects either the potential environmental impact associated with the aspect of harvesting practice and/or the urgency of any improvement to practice or the regulatory system. </w:t>
      </w:r>
    </w:p>
    <w:p w14:paraId="57AC709E" w14:textId="4D2FD79F" w:rsidR="00842712" w:rsidRPr="00842712" w:rsidRDefault="00842712" w:rsidP="00842712">
      <w:pPr>
        <w:pStyle w:val="Headingunnumbered3"/>
      </w:pPr>
      <w:bookmarkStart w:id="207" w:name="_Toc131178723"/>
      <w:r>
        <w:t>Recommendations for VicForests</w:t>
      </w:r>
      <w:bookmarkEnd w:id="207"/>
    </w:p>
    <w:tbl>
      <w:tblPr>
        <w:tblStyle w:val="JacobsTable1accentprimarythemes"/>
        <w:tblW w:w="0" w:type="auto"/>
        <w:tblLook w:val="04A0" w:firstRow="1" w:lastRow="0" w:firstColumn="1" w:lastColumn="0" w:noHBand="0" w:noVBand="1"/>
      </w:tblPr>
      <w:tblGrid>
        <w:gridCol w:w="3686"/>
        <w:gridCol w:w="5952"/>
      </w:tblGrid>
      <w:tr w:rsidR="00842712" w14:paraId="72D43DFE" w14:textId="77777777" w:rsidTr="00842712">
        <w:trPr>
          <w:cnfStyle w:val="100000000000" w:firstRow="1" w:lastRow="0" w:firstColumn="0" w:lastColumn="0" w:oddVBand="0" w:evenVBand="0" w:oddHBand="0" w:evenHBand="0" w:firstRowFirstColumn="0" w:firstRowLastColumn="0" w:lastRowFirstColumn="0" w:lastRowLastColumn="0"/>
        </w:trPr>
        <w:tc>
          <w:tcPr>
            <w:tcW w:w="3686" w:type="dxa"/>
          </w:tcPr>
          <w:p w14:paraId="7D3BEF78" w14:textId="4FA12E9F" w:rsidR="00842712" w:rsidRDefault="00842712" w:rsidP="00842712">
            <w:pPr>
              <w:pStyle w:val="TableText"/>
            </w:pPr>
            <w:r>
              <w:t>Recommendation</w:t>
            </w:r>
          </w:p>
        </w:tc>
        <w:tc>
          <w:tcPr>
            <w:tcW w:w="5952" w:type="dxa"/>
          </w:tcPr>
          <w:p w14:paraId="7F5ECC65" w14:textId="3A56EFB0" w:rsidR="00842712" w:rsidRDefault="00842712" w:rsidP="00842712">
            <w:pPr>
              <w:pStyle w:val="TableText"/>
            </w:pPr>
            <w:r>
              <w:t>Rationale</w:t>
            </w:r>
          </w:p>
        </w:tc>
      </w:tr>
      <w:tr w:rsidR="00842712" w14:paraId="3EE9E567" w14:textId="77777777" w:rsidTr="00842712">
        <w:tc>
          <w:tcPr>
            <w:tcW w:w="3686" w:type="dxa"/>
          </w:tcPr>
          <w:p w14:paraId="0CB2E686" w14:textId="77777777" w:rsidR="00842712" w:rsidRDefault="00842712" w:rsidP="00842712">
            <w:pPr>
              <w:pStyle w:val="TableText"/>
            </w:pPr>
            <w:r>
              <w:t>V-01 High priority</w:t>
            </w:r>
          </w:p>
          <w:p w14:paraId="535B2A7D" w14:textId="098E2540" w:rsidR="00842712" w:rsidRDefault="00842712" w:rsidP="00842712">
            <w:pPr>
              <w:pStyle w:val="TableText"/>
            </w:pPr>
            <w:r w:rsidRPr="00842712">
              <w:t>That VicForests retain records of the full search effort, using surveys and habitat modelling, to identify threatened species that may be present within a coupe or may be affected by nearby harvesting activities</w:t>
            </w:r>
            <w:r>
              <w:t>.</w:t>
            </w:r>
          </w:p>
        </w:tc>
        <w:tc>
          <w:tcPr>
            <w:tcW w:w="5952" w:type="dxa"/>
          </w:tcPr>
          <w:p w14:paraId="4F183582" w14:textId="77777777" w:rsidR="00842712" w:rsidRDefault="00842712" w:rsidP="00842712">
            <w:pPr>
              <w:pStyle w:val="TableText"/>
            </w:pPr>
          </w:p>
          <w:p w14:paraId="6B79E8EE" w14:textId="43D9F08D" w:rsidR="00842712" w:rsidRDefault="00842712" w:rsidP="00842712">
            <w:pPr>
              <w:pStyle w:val="TableText"/>
            </w:pPr>
            <w:r>
              <w:t>VicForests FCPs only include information on the values that are or are potentially present within or near the coupe and not all those searched for (physically and using HDMs). To demonstrate application of the precautionary principle, it is important that records are maintain of what was searched for as well as whether it was present or not.</w:t>
            </w:r>
          </w:p>
        </w:tc>
      </w:tr>
      <w:tr w:rsidR="00842712" w14:paraId="4B84D5D1" w14:textId="77777777" w:rsidTr="00842712">
        <w:tc>
          <w:tcPr>
            <w:tcW w:w="3686" w:type="dxa"/>
          </w:tcPr>
          <w:p w14:paraId="305FFDB1" w14:textId="77777777" w:rsidR="00842712" w:rsidRDefault="00696250" w:rsidP="00842712">
            <w:pPr>
              <w:pStyle w:val="TableText"/>
            </w:pPr>
            <w:r>
              <w:t>V-02 High priority</w:t>
            </w:r>
          </w:p>
          <w:p w14:paraId="71265FAD" w14:textId="268E2168" w:rsidR="00696250" w:rsidRDefault="00696250" w:rsidP="00842712">
            <w:pPr>
              <w:pStyle w:val="TableText"/>
            </w:pPr>
            <w:r w:rsidRPr="00696250">
              <w:t xml:space="preserve">That VicForests develop </w:t>
            </w:r>
            <w:r w:rsidR="0079094C">
              <w:t>and implement an</w:t>
            </w:r>
            <w:r w:rsidRPr="00696250">
              <w:t xml:space="preserve"> initiative to improve the quality and consistency of waterway crossing design, construction, maintenance and rehabilitation, addressing both in-coupe road and snig track crossings</w:t>
            </w:r>
            <w:r>
              <w:t>.</w:t>
            </w:r>
          </w:p>
        </w:tc>
        <w:tc>
          <w:tcPr>
            <w:tcW w:w="5952" w:type="dxa"/>
          </w:tcPr>
          <w:p w14:paraId="5E4A5AB6" w14:textId="77777777" w:rsidR="00842712" w:rsidRDefault="00842712" w:rsidP="00842712">
            <w:pPr>
              <w:pStyle w:val="TableText"/>
            </w:pPr>
          </w:p>
          <w:p w14:paraId="1ACE6182" w14:textId="77777777" w:rsidR="00696250" w:rsidRDefault="00696250" w:rsidP="00842712">
            <w:pPr>
              <w:pStyle w:val="TableText"/>
            </w:pPr>
            <w:r>
              <w:t xml:space="preserve">While there have been improvements in some aspects of the design, construction, maintenance and/or rehabilitation of in-coupe road and snig track waterway crossings, inconsistent and defective practice continues to be observed in the FAP. This is despite these issues being emphasised in multiple FAP audit reports. </w:t>
            </w:r>
          </w:p>
          <w:p w14:paraId="51BA94F6" w14:textId="77777777" w:rsidR="00517004" w:rsidRDefault="00696250" w:rsidP="00842712">
            <w:pPr>
              <w:pStyle w:val="TableText"/>
            </w:pPr>
            <w:r>
              <w:t>The recommendation seeks a process to drive internal cultural and practice change in VicForests to address this key on-going are</w:t>
            </w:r>
            <w:r w:rsidR="006E5654">
              <w:t>a</w:t>
            </w:r>
            <w:r>
              <w:t xml:space="preserve"> of </w:t>
            </w:r>
            <w:r w:rsidR="006E5654">
              <w:t xml:space="preserve">regulatory </w:t>
            </w:r>
            <w:r>
              <w:t>non-conformance</w:t>
            </w:r>
            <w:r w:rsidR="006E5654">
              <w:t>.</w:t>
            </w:r>
            <w:r w:rsidR="00AA5882">
              <w:t xml:space="preserve"> </w:t>
            </w:r>
          </w:p>
          <w:p w14:paraId="7D6F587B" w14:textId="6082F0E0" w:rsidR="0093250A" w:rsidRDefault="00517004" w:rsidP="00842712">
            <w:pPr>
              <w:pStyle w:val="TableText"/>
            </w:pPr>
            <w:r>
              <w:t xml:space="preserve">While details of the initiative are for VicForests to determine, the audit teams suggests that it </w:t>
            </w:r>
            <w:r w:rsidR="00265D54">
              <w:t xml:space="preserve">should address </w:t>
            </w:r>
            <w:r w:rsidR="00AB53C3">
              <w:t>each stage of the crossing life cycle</w:t>
            </w:r>
            <w:r>
              <w:t xml:space="preserve"> and </w:t>
            </w:r>
            <w:r w:rsidR="00AB53C3">
              <w:t>include</w:t>
            </w:r>
            <w:r w:rsidR="0093250A">
              <w:t>:</w:t>
            </w:r>
          </w:p>
          <w:p w14:paraId="0FD6A15F" w14:textId="128B1EB8" w:rsidR="0093250A" w:rsidRDefault="0093250A" w:rsidP="0093250A">
            <w:pPr>
              <w:pStyle w:val="TableBullet"/>
            </w:pPr>
            <w:r>
              <w:t>P</w:t>
            </w:r>
            <w:r w:rsidR="0049534B">
              <w:t xml:space="preserve">reparation of </w:t>
            </w:r>
            <w:r w:rsidR="009C51CF">
              <w:t>planning and</w:t>
            </w:r>
            <w:r w:rsidR="00AB53C3">
              <w:t xml:space="preserve"> </w:t>
            </w:r>
            <w:r w:rsidR="00117162">
              <w:t>design documentation</w:t>
            </w:r>
          </w:p>
          <w:p w14:paraId="6691546C" w14:textId="5641DE52" w:rsidR="00696250" w:rsidRDefault="0093250A" w:rsidP="0093250A">
            <w:pPr>
              <w:pStyle w:val="TableBullet"/>
            </w:pPr>
            <w:r>
              <w:t>S</w:t>
            </w:r>
            <w:r w:rsidR="0049534B">
              <w:t xml:space="preserve">trengthening of </w:t>
            </w:r>
            <w:r w:rsidR="00117162">
              <w:t>post-construction and post-rehabilitation</w:t>
            </w:r>
            <w:r w:rsidR="00573214">
              <w:t xml:space="preserve"> / coupe closure</w:t>
            </w:r>
            <w:r w:rsidR="00117162">
              <w:t xml:space="preserve"> monitoring and reporting</w:t>
            </w:r>
          </w:p>
          <w:p w14:paraId="68316F39" w14:textId="596171F6" w:rsidR="0093250A" w:rsidRDefault="0093250A" w:rsidP="00C31A7B">
            <w:pPr>
              <w:pStyle w:val="TableBullet"/>
            </w:pPr>
            <w:r>
              <w:t xml:space="preserve">Internal </w:t>
            </w:r>
            <w:r w:rsidR="00573214">
              <w:t xml:space="preserve">post-construction and post-rehabilitation/closure </w:t>
            </w:r>
            <w:r w:rsidR="00BD4398">
              <w:t>review processes.</w:t>
            </w:r>
          </w:p>
        </w:tc>
      </w:tr>
      <w:tr w:rsidR="00F62833" w14:paraId="4E3BAD91" w14:textId="77777777" w:rsidTr="00842712">
        <w:tc>
          <w:tcPr>
            <w:tcW w:w="3686" w:type="dxa"/>
          </w:tcPr>
          <w:p w14:paraId="23E79739" w14:textId="77777777" w:rsidR="00F62833" w:rsidRDefault="00F62833" w:rsidP="00842712">
            <w:pPr>
              <w:pStyle w:val="TableText"/>
            </w:pPr>
            <w:r>
              <w:t>V-03 Medium priority</w:t>
            </w:r>
          </w:p>
          <w:p w14:paraId="6B3FF242" w14:textId="58F3C0C4" w:rsidR="00F62833" w:rsidRDefault="00F62833" w:rsidP="00842712">
            <w:pPr>
              <w:pStyle w:val="TableText"/>
            </w:pPr>
            <w:r w:rsidRPr="00F62833">
              <w:t xml:space="preserve">That the data VicForests’ provide to </w:t>
            </w:r>
            <w:r w:rsidR="006D1277">
              <w:t>DEECA</w:t>
            </w:r>
            <w:r w:rsidR="006D1277" w:rsidRPr="00F62833">
              <w:t xml:space="preserve"> </w:t>
            </w:r>
            <w:r w:rsidRPr="00F62833">
              <w:t>to assist in audit target selection is based on actual rather than planned coupe conditions. Maximum coupe slope and the presence of modelled rainforest within the coupe rather than within 500 m of it are reported.</w:t>
            </w:r>
          </w:p>
        </w:tc>
        <w:tc>
          <w:tcPr>
            <w:tcW w:w="5952" w:type="dxa"/>
          </w:tcPr>
          <w:p w14:paraId="2B9C600A" w14:textId="77777777" w:rsidR="00F62833" w:rsidRDefault="00F62833" w:rsidP="00842712">
            <w:pPr>
              <w:pStyle w:val="TableText"/>
            </w:pPr>
          </w:p>
          <w:p w14:paraId="0F3DBB00" w14:textId="1BB66DB3" w:rsidR="00F62833" w:rsidRDefault="00F62833" w:rsidP="00842712">
            <w:pPr>
              <w:pStyle w:val="TableText"/>
            </w:pPr>
            <w:r w:rsidRPr="00F62833">
              <w:t xml:space="preserve">It has been noted in this and previous audits that there are often significant discrepancies between the data provided by VicForests to support audit </w:t>
            </w:r>
            <w:r>
              <w:t>target</w:t>
            </w:r>
            <w:r w:rsidRPr="00F62833">
              <w:t xml:space="preserve"> selection and the actual coupe conditions, particularly in relation to the presence/number of waterway crossings. This results in coupes being prioritised for selection in a risk-based process that do not have the higher risk features they were selected for and dilutes the effectiveness of the risk-based selection process.</w:t>
            </w:r>
          </w:p>
        </w:tc>
      </w:tr>
    </w:tbl>
    <w:p w14:paraId="0594BB1B" w14:textId="1A3701E3" w:rsidR="007D6257" w:rsidRPr="007D6257" w:rsidRDefault="00842712" w:rsidP="00BF7609">
      <w:pPr>
        <w:pStyle w:val="Headingunnumbered3"/>
        <w:pageBreakBefore/>
      </w:pPr>
      <w:bookmarkStart w:id="208" w:name="_Toc131178724"/>
      <w:r>
        <w:lastRenderedPageBreak/>
        <w:t xml:space="preserve">Recommendations for </w:t>
      </w:r>
      <w:r w:rsidR="006D1277">
        <w:t>DEECA</w:t>
      </w:r>
      <w:bookmarkEnd w:id="208"/>
    </w:p>
    <w:tbl>
      <w:tblPr>
        <w:tblStyle w:val="JacobsTable1accentprimarythemes"/>
        <w:tblW w:w="0" w:type="auto"/>
        <w:tblLook w:val="04A0" w:firstRow="1" w:lastRow="0" w:firstColumn="1" w:lastColumn="0" w:noHBand="0" w:noVBand="1"/>
      </w:tblPr>
      <w:tblGrid>
        <w:gridCol w:w="3686"/>
        <w:gridCol w:w="5952"/>
      </w:tblGrid>
      <w:tr w:rsidR="00842712" w14:paraId="7D2477EB" w14:textId="77777777" w:rsidTr="00FB2E1B">
        <w:trPr>
          <w:cnfStyle w:val="100000000000" w:firstRow="1" w:lastRow="0" w:firstColumn="0" w:lastColumn="0" w:oddVBand="0" w:evenVBand="0" w:oddHBand="0" w:evenHBand="0" w:firstRowFirstColumn="0" w:firstRowLastColumn="0" w:lastRowFirstColumn="0" w:lastRowLastColumn="0"/>
        </w:trPr>
        <w:tc>
          <w:tcPr>
            <w:tcW w:w="3686" w:type="dxa"/>
          </w:tcPr>
          <w:p w14:paraId="3265C279" w14:textId="77777777" w:rsidR="00842712" w:rsidRDefault="00842712" w:rsidP="00FB2E1B">
            <w:pPr>
              <w:pStyle w:val="TableText"/>
            </w:pPr>
            <w:r>
              <w:t>Recommendation</w:t>
            </w:r>
          </w:p>
        </w:tc>
        <w:tc>
          <w:tcPr>
            <w:tcW w:w="5952" w:type="dxa"/>
          </w:tcPr>
          <w:p w14:paraId="04E26AB6" w14:textId="77777777" w:rsidR="00842712" w:rsidRDefault="00842712" w:rsidP="00FB2E1B">
            <w:pPr>
              <w:pStyle w:val="TableText"/>
            </w:pPr>
            <w:r>
              <w:t>Rationale</w:t>
            </w:r>
          </w:p>
        </w:tc>
      </w:tr>
      <w:tr w:rsidR="00842712" w14:paraId="3235EC67" w14:textId="77777777" w:rsidTr="00FB2E1B">
        <w:tc>
          <w:tcPr>
            <w:tcW w:w="3686" w:type="dxa"/>
          </w:tcPr>
          <w:p w14:paraId="74BB827B" w14:textId="77777777" w:rsidR="00842712" w:rsidRDefault="00842712" w:rsidP="00FB2E1B">
            <w:pPr>
              <w:pStyle w:val="TableText"/>
            </w:pPr>
            <w:r>
              <w:t>D-01 Moderate priority</w:t>
            </w:r>
          </w:p>
          <w:p w14:paraId="19A68AA7" w14:textId="6C433EA0" w:rsidR="00842712" w:rsidRDefault="00842712" w:rsidP="00FB2E1B">
            <w:pPr>
              <w:pStyle w:val="TableText"/>
            </w:pPr>
            <w:r>
              <w:t xml:space="preserve">That </w:t>
            </w:r>
            <w:r w:rsidR="006D1277">
              <w:t xml:space="preserve">DEECA </w:t>
            </w:r>
            <w:r>
              <w:t>review MSP fire salvage prescriptions and explicitly define how soil erosion hazard is to be treated in fire salvage coupes.</w:t>
            </w:r>
          </w:p>
        </w:tc>
        <w:tc>
          <w:tcPr>
            <w:tcW w:w="5952" w:type="dxa"/>
          </w:tcPr>
          <w:p w14:paraId="15B2DD5B" w14:textId="77777777" w:rsidR="00842712" w:rsidRDefault="00842712" w:rsidP="00FB2E1B">
            <w:pPr>
              <w:pStyle w:val="TableText"/>
            </w:pPr>
          </w:p>
          <w:p w14:paraId="21576E79" w14:textId="746C4CF3" w:rsidR="00842712" w:rsidRDefault="00842712" w:rsidP="00FB2E1B">
            <w:pPr>
              <w:pStyle w:val="TableText"/>
            </w:pPr>
            <w:r>
              <w:t xml:space="preserve">While fire salvage prescriptions are explicit about the assigning of high or very high water quality hazard to affected coupe, they are ambiguous about how soil erosion hazard is to be considered. </w:t>
            </w:r>
            <w:r w:rsidR="00696250">
              <w:t>At present VicForests typically assumes that soil erosion hazard is high, in line with the adjustment of water quality hazard, but this may not be necessary when establishing the spacing of drainage structures on in-coupe roads and snig tracks.</w:t>
            </w:r>
          </w:p>
        </w:tc>
      </w:tr>
      <w:tr w:rsidR="00696250" w14:paraId="407EFE23" w14:textId="77777777" w:rsidTr="00FB2E1B">
        <w:tc>
          <w:tcPr>
            <w:tcW w:w="3686" w:type="dxa"/>
          </w:tcPr>
          <w:p w14:paraId="7E256246" w14:textId="77777777" w:rsidR="00696250" w:rsidRDefault="006E5654" w:rsidP="00F62833">
            <w:pPr>
              <w:pStyle w:val="TableText"/>
              <w:keepNext/>
            </w:pPr>
            <w:r>
              <w:t xml:space="preserve">D-02 </w:t>
            </w:r>
            <w:r w:rsidR="00F62833">
              <w:t>Medium priority</w:t>
            </w:r>
          </w:p>
          <w:p w14:paraId="32C7680B" w14:textId="6AC67F5A" w:rsidR="00F62833" w:rsidRDefault="00F62833" w:rsidP="00FB2E1B">
            <w:pPr>
              <w:pStyle w:val="TableText"/>
            </w:pPr>
            <w:r w:rsidRPr="00F62833">
              <w:t xml:space="preserve">That </w:t>
            </w:r>
            <w:r w:rsidR="004F5F86">
              <w:t>DEECA</w:t>
            </w:r>
            <w:r w:rsidR="004F5F86" w:rsidRPr="00F62833">
              <w:t xml:space="preserve"> </w:t>
            </w:r>
            <w:r w:rsidRPr="00F62833">
              <w:t>review and reconsider ground area and volumetric limits on bark and slash piles (currently 4 m</w:t>
            </w:r>
            <w:r w:rsidRPr="00F62833">
              <w:rPr>
                <w:vertAlign w:val="superscript"/>
              </w:rPr>
              <w:t>2</w:t>
            </w:r>
            <w:r w:rsidRPr="00F62833">
              <w:t xml:space="preserve"> and 10 m</w:t>
            </w:r>
            <w:r w:rsidRPr="00F62833">
              <w:rPr>
                <w:vertAlign w:val="superscript"/>
              </w:rPr>
              <w:t>3</w:t>
            </w:r>
            <w:r w:rsidRPr="00F62833">
              <w:t>, respectively; MSP 7.2.4.2).</w:t>
            </w:r>
          </w:p>
        </w:tc>
        <w:tc>
          <w:tcPr>
            <w:tcW w:w="5952" w:type="dxa"/>
          </w:tcPr>
          <w:p w14:paraId="3FF91AC6" w14:textId="77777777" w:rsidR="00696250" w:rsidRDefault="00696250" w:rsidP="00FB2E1B">
            <w:pPr>
              <w:pStyle w:val="TableText"/>
            </w:pPr>
          </w:p>
          <w:p w14:paraId="37932BB7" w14:textId="77777777" w:rsidR="00F62833" w:rsidRDefault="00F62833" w:rsidP="00FB2E1B">
            <w:pPr>
              <w:pStyle w:val="TableText"/>
            </w:pPr>
            <w:r>
              <w:t>It is not clear that there is an objective basis for</w:t>
            </w:r>
            <w:r w:rsidRPr="00F62833">
              <w:t xml:space="preserve"> the limits on the </w:t>
            </w:r>
            <w:r>
              <w:t>ground area and volume</w:t>
            </w:r>
            <w:r w:rsidRPr="00F62833">
              <w:t xml:space="preserve"> of bark and slash piles (MSP 7.2.4.2)</w:t>
            </w:r>
            <w:r>
              <w:t>. While they</w:t>
            </w:r>
            <w:r w:rsidRPr="00F62833">
              <w:t xml:space="preserve"> may be appropriate in the context of landings, it is not clear that they are workable for rough heaping operations. The latter typically form windrows with much greater volume than allowed by MSP 7.2.4.2. </w:t>
            </w:r>
          </w:p>
          <w:p w14:paraId="26EF2C30" w14:textId="2EBA0C13" w:rsidR="00F62833" w:rsidRDefault="00F62833" w:rsidP="00FB2E1B">
            <w:pPr>
              <w:pStyle w:val="TableText"/>
            </w:pPr>
            <w:r>
              <w:t>The recommendation seeks to determine the appropriateness of the ground area and size limits and the contexts in which they may be applied. Management prescriptions could be modified following the review.</w:t>
            </w:r>
          </w:p>
        </w:tc>
      </w:tr>
      <w:tr w:rsidR="00F62833" w14:paraId="1CECCDCE" w14:textId="77777777" w:rsidTr="00FB2E1B">
        <w:tc>
          <w:tcPr>
            <w:tcW w:w="3686" w:type="dxa"/>
          </w:tcPr>
          <w:p w14:paraId="22E9BF71" w14:textId="77777777" w:rsidR="00F62833" w:rsidRDefault="00F62833" w:rsidP="00FB2E1B">
            <w:pPr>
              <w:pStyle w:val="TableText"/>
            </w:pPr>
            <w:r>
              <w:t>D-03 High priority</w:t>
            </w:r>
          </w:p>
          <w:p w14:paraId="35A88A22" w14:textId="5C108A04" w:rsidR="00F62833" w:rsidRDefault="00F62833" w:rsidP="00FB2E1B">
            <w:pPr>
              <w:pStyle w:val="TableText"/>
            </w:pPr>
            <w:r w:rsidRPr="0067528C">
              <w:t xml:space="preserve">That </w:t>
            </w:r>
            <w:r w:rsidR="004B00D1">
              <w:t>DEECA</w:t>
            </w:r>
            <w:r w:rsidR="004B00D1" w:rsidRPr="0067528C">
              <w:t xml:space="preserve"> </w:t>
            </w:r>
            <w:r>
              <w:t>review snig track crossing “design”, operational and rehabilitation requirements and develop new and more tailored management prescriptions.</w:t>
            </w:r>
          </w:p>
        </w:tc>
        <w:tc>
          <w:tcPr>
            <w:tcW w:w="5952" w:type="dxa"/>
          </w:tcPr>
          <w:p w14:paraId="196883AC" w14:textId="77777777" w:rsidR="00F62833" w:rsidRDefault="00F62833" w:rsidP="00FB2E1B">
            <w:pPr>
              <w:pStyle w:val="TableText"/>
            </w:pPr>
          </w:p>
          <w:p w14:paraId="1DC80176" w14:textId="015677F1" w:rsidR="00F62833" w:rsidRDefault="00F62833" w:rsidP="00FB2E1B">
            <w:pPr>
              <w:pStyle w:val="TableText"/>
            </w:pPr>
            <w:r>
              <w:t>Current prescriptions for snig track waterway crossings refer to those for in-coupe road crossings and do not account for the different methods of construction, patterns of usage and landscape contexts in which they are typically located. This recommendation seeks to define a basis for more tailored and appropriate prescriptions for snig track crossings.</w:t>
            </w:r>
          </w:p>
        </w:tc>
      </w:tr>
    </w:tbl>
    <w:p w14:paraId="14D4E977" w14:textId="4C8B9598" w:rsidR="007D6257" w:rsidRDefault="00F62833" w:rsidP="00F62833">
      <w:pPr>
        <w:pStyle w:val="Heading1"/>
      </w:pPr>
      <w:bookmarkStart w:id="209" w:name="_Toc131178725"/>
      <w:r>
        <w:lastRenderedPageBreak/>
        <w:t>References</w:t>
      </w:r>
      <w:bookmarkEnd w:id="209"/>
    </w:p>
    <w:p w14:paraId="2880B972" w14:textId="77777777" w:rsidR="00F62833" w:rsidRDefault="00F62833" w:rsidP="00F62833">
      <w:pPr>
        <w:pStyle w:val="BodyText"/>
      </w:pPr>
      <w:r>
        <w:t>Department of Environment, Land, Water and Planning [DELWP] 2019. Regulating timber harvesting in State forests under the Allocation Order. Statement of Regulatory Intent. DELWP.</w:t>
      </w:r>
    </w:p>
    <w:p w14:paraId="6D571DCF" w14:textId="77777777" w:rsidR="00F62833" w:rsidRDefault="00F62833" w:rsidP="00F62833">
      <w:pPr>
        <w:pStyle w:val="BodyText"/>
      </w:pPr>
      <w:r>
        <w:t>DELWP 2021a. Code of practice for timber production 2014 (as amended November 2021). DELWP.</w:t>
      </w:r>
    </w:p>
    <w:p w14:paraId="421F6E68" w14:textId="77777777" w:rsidR="00F62833" w:rsidRDefault="00F62833" w:rsidP="00F62833">
      <w:pPr>
        <w:pStyle w:val="BodyText"/>
      </w:pPr>
      <w:r>
        <w:t>DELWP 2021b. Management standards and procedures for timber harvesting operations in Victoria’s State forests 2021. DELWP.</w:t>
      </w:r>
    </w:p>
    <w:p w14:paraId="687BC739" w14:textId="77777777" w:rsidR="00F62833" w:rsidRDefault="00F62833" w:rsidP="00F62833">
      <w:pPr>
        <w:pStyle w:val="BodyText"/>
      </w:pPr>
      <w:r>
        <w:t>Department of Sustainability and Environment [DSE] 2006. Sustainability charter for Victoria’s State forests. DSE.</w:t>
      </w:r>
    </w:p>
    <w:p w14:paraId="6F96D54F" w14:textId="77777777" w:rsidR="00F62833" w:rsidRDefault="00F62833" w:rsidP="00F62833">
      <w:pPr>
        <w:pStyle w:val="BodyText"/>
      </w:pPr>
      <w:r>
        <w:t>Jacobs 2016. Forest Audit Program 2015: Audit of in-coupe roads. Environmental audit of the construction and maintenance of in-coupe roads. IS112500-010.Report to DELWP. March 2016.</w:t>
      </w:r>
    </w:p>
    <w:p w14:paraId="08821E5B" w14:textId="77777777" w:rsidR="00F62833" w:rsidRDefault="00F62833" w:rsidP="00F62833">
      <w:pPr>
        <w:pStyle w:val="BodyText"/>
      </w:pPr>
      <w:r>
        <w:t>Jacobs 2018. Audit of timber harvesting and forest regeneration in State forests in eastern Victoria. Report on the 2016-17 Forest Audit Program. IS206000-P2-001. Report to DELWP. April 2018.</w:t>
      </w:r>
    </w:p>
    <w:p w14:paraId="02D336D8" w14:textId="77777777" w:rsidR="00F62833" w:rsidRDefault="00F62833" w:rsidP="00F62833">
      <w:pPr>
        <w:pStyle w:val="BodyText"/>
      </w:pPr>
      <w:r>
        <w:t>Jacobs 2019. Audit of timber harvesting operations in Victoria’s State forests. Report on the 2017-18 Forest Audit Program. IS247800-RP-002. Report to DELWP. July 2019.</w:t>
      </w:r>
    </w:p>
    <w:p w14:paraId="7BEBAF44" w14:textId="77777777" w:rsidR="00F62833" w:rsidRDefault="00F62833" w:rsidP="00F62833">
      <w:pPr>
        <w:pStyle w:val="BodyText"/>
      </w:pPr>
      <w:r>
        <w:t>Jacobs 2020a. Audit of timber harvesting operations in Victoria’s State forests. Report of the 2018-19 Forest Audit Program. IS284400-RP-002. Report to DELWP. February 2020.</w:t>
      </w:r>
    </w:p>
    <w:p w14:paraId="1BAFC9C1" w14:textId="77777777" w:rsidR="00F62833" w:rsidRDefault="00F62833" w:rsidP="00F62833">
      <w:pPr>
        <w:pStyle w:val="BodyText"/>
      </w:pPr>
      <w:r>
        <w:t>Jacobs 2020b. Audit of timber harvesting operations in Victoria’s State forests. Report of the 2019-20 Forest Audit Program 2019-20. IS326300-03. Report to DELWP. October 2020.</w:t>
      </w:r>
    </w:p>
    <w:p w14:paraId="4F8942C3" w14:textId="4891C9EE" w:rsidR="00F62833" w:rsidRDefault="00F62833" w:rsidP="00F62833">
      <w:pPr>
        <w:pStyle w:val="BodyText"/>
      </w:pPr>
      <w:r>
        <w:t>Jacobs 202</w:t>
      </w:r>
      <w:r w:rsidR="00E2694E">
        <w:t>1</w:t>
      </w:r>
      <w:r>
        <w:t xml:space="preserve">. </w:t>
      </w:r>
      <w:r w:rsidR="00E2694E">
        <w:t>Audit of timber harvesting operations in Victoria’s State forests. Report of the 2020-21 Forest Audit Program. IS37900-03. Report to DELWP. December 2021</w:t>
      </w:r>
      <w:r>
        <w:t>.</w:t>
      </w:r>
    </w:p>
    <w:p w14:paraId="257661CD" w14:textId="77777777" w:rsidR="00F62833" w:rsidRDefault="00F62833" w:rsidP="00F62833">
      <w:pPr>
        <w:pStyle w:val="BodyText"/>
      </w:pPr>
      <w:r>
        <w:t>O’Reilly 2019. Road design, construction and maintenance instruction. Version 1.1. Report to VicForests. September 2019.</w:t>
      </w:r>
    </w:p>
    <w:p w14:paraId="4992BB61" w14:textId="77777777" w:rsidR="00F62833" w:rsidRDefault="00F62833" w:rsidP="00F62833">
      <w:pPr>
        <w:pStyle w:val="BodyText"/>
      </w:pPr>
      <w:r>
        <w:t>VicForests 2018. Utilisation procedures for all commercial harvesting and haulage managed by VicForests. VicForests.</w:t>
      </w:r>
    </w:p>
    <w:p w14:paraId="1D2B6423" w14:textId="77777777" w:rsidR="00F62833" w:rsidRDefault="00F62833" w:rsidP="00F62833">
      <w:pPr>
        <w:pStyle w:val="Headingunnumbered3"/>
      </w:pPr>
      <w:bookmarkStart w:id="210" w:name="_Toc131178726"/>
      <w:r>
        <w:t>Spatial data sources:</w:t>
      </w:r>
      <w:bookmarkEnd w:id="210"/>
    </w:p>
    <w:p w14:paraId="24AD5BC6" w14:textId="18A1BB16" w:rsidR="00F62833" w:rsidRDefault="00F62833" w:rsidP="00F62833">
      <w:pPr>
        <w:pStyle w:val="BulletLevel1"/>
      </w:pPr>
      <w:r>
        <w:t>Victorian government: www.data.vic.gov.au</w:t>
      </w:r>
    </w:p>
    <w:p w14:paraId="21F6B4DF" w14:textId="11FE8CD7" w:rsidR="00F62833" w:rsidRPr="00F62833" w:rsidRDefault="00F62833" w:rsidP="00F62833">
      <w:pPr>
        <w:pStyle w:val="BulletLevel1"/>
      </w:pPr>
      <w:r>
        <w:t>ESRI</w:t>
      </w:r>
    </w:p>
    <w:p w14:paraId="2A92056E" w14:textId="77777777" w:rsidR="005606A0" w:rsidRDefault="005606A0" w:rsidP="005606A0">
      <w:pPr>
        <w:pStyle w:val="Headingunnumbered1"/>
        <w:pageBreakBefore/>
      </w:pPr>
      <w:bookmarkStart w:id="211" w:name="_Toc131178727"/>
      <w:r>
        <w:lastRenderedPageBreak/>
        <w:t>Limitation statement</w:t>
      </w:r>
      <w:bookmarkEnd w:id="211"/>
    </w:p>
    <w:p w14:paraId="3EE705FB" w14:textId="6DD31764" w:rsidR="005606A0" w:rsidRDefault="005606A0" w:rsidP="005606A0">
      <w:pPr>
        <w:pStyle w:val="BodyText"/>
      </w:pPr>
      <w:r>
        <w:t>The purpose of this report and the associated services performed by Jacobs was to conduct an environmental audit of timber harvesting operations in Victorian State forests. The work has been undertaken in accordance with the scope of services set out in the contract between Jacobs and the Department of</w:t>
      </w:r>
      <w:r w:rsidR="004B00D1">
        <w:t xml:space="preserve"> Energy, </w:t>
      </w:r>
      <w:r>
        <w:t>Environment</w:t>
      </w:r>
      <w:r w:rsidR="004B00D1">
        <w:t xml:space="preserve"> and Climate Action </w:t>
      </w:r>
      <w:r>
        <w:t>(</w:t>
      </w:r>
      <w:r w:rsidR="004B00D1">
        <w:t>DEECA</w:t>
      </w:r>
      <w:r>
        <w:t xml:space="preserve">). </w:t>
      </w:r>
    </w:p>
    <w:p w14:paraId="3FDD50CA" w14:textId="563537D6" w:rsidR="005606A0" w:rsidRDefault="005606A0" w:rsidP="005606A0">
      <w:pPr>
        <w:pStyle w:val="BodyText"/>
      </w:pPr>
      <w:r>
        <w:t xml:space="preserve">Jacobs derived the data in this report from field observations and information sourced from </w:t>
      </w:r>
      <w:r w:rsidR="006E5F4E">
        <w:t>DEECA</w:t>
      </w:r>
      <w:r>
        <w:t xml:space="preserve">, VicForests and/or available in the public domain at the time or times outlined in this report. The passage of time, manifestation of latent conditions or impacts of future events may require further examination of the project and subsequent data analysis, and re-evaluation of the data, findings, observations and conclusions expressed in this report. </w:t>
      </w:r>
    </w:p>
    <w:p w14:paraId="287130B9" w14:textId="77777777" w:rsidR="005606A0" w:rsidRDefault="005606A0" w:rsidP="005606A0">
      <w:pPr>
        <w:pStyle w:val="BodyText"/>
      </w:pPr>
      <w:r>
        <w:t>Jacobs has prepared this report in accordance with the usual care and thoroughness of the consulting profession, for the sole purpose described above and by reference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1966ECCC" w14:textId="77777777" w:rsidR="005606A0" w:rsidRDefault="005606A0" w:rsidP="005606A0">
      <w:pPr>
        <w:pStyle w:val="BodyText"/>
      </w:pPr>
      <w:r>
        <w:t>This report should be read in full and no excerpts are to be taken as representative of the findings.  No responsibility is accepted by Jacobs for use of any part of this report in any other context.</w:t>
      </w:r>
    </w:p>
    <w:p w14:paraId="482B6319" w14:textId="2774B6E8" w:rsidR="00F62833" w:rsidRDefault="005606A0" w:rsidP="005606A0">
      <w:pPr>
        <w:pStyle w:val="BodyText"/>
      </w:pPr>
      <w:r>
        <w:t xml:space="preserve">This report has been prepared on behalf of, and for the exclusive use of </w:t>
      </w:r>
      <w:r w:rsidR="006E5F4E">
        <w:t xml:space="preserve">DEECA </w:t>
      </w:r>
      <w:r>
        <w:t xml:space="preserve">and is subject to, and issued in accordance with, the provisions of the contract between Jacobs and </w:t>
      </w:r>
      <w:r w:rsidR="006E5F4E">
        <w:t>DEECA</w:t>
      </w:r>
      <w:r>
        <w:t>. Jacobs accepts no liability or responsibility whatsoever for, or in respect of, any use of, or reliance upon, this report by any third party.</w:t>
      </w:r>
    </w:p>
    <w:p w14:paraId="7DADCBF2" w14:textId="77777777" w:rsidR="005606A0" w:rsidRDefault="005606A0" w:rsidP="003134B6">
      <w:pPr>
        <w:pStyle w:val="BodyText"/>
      </w:pPr>
    </w:p>
    <w:p w14:paraId="4028EFD7" w14:textId="2E02793F" w:rsidR="006F4DAA" w:rsidRDefault="006F4DAA" w:rsidP="00383136">
      <w:pPr>
        <w:pStyle w:val="BodyText"/>
        <w:sectPr w:rsidR="006F4DAA" w:rsidSect="00B36A05">
          <w:headerReference w:type="even" r:id="rId110"/>
          <w:headerReference w:type="default" r:id="rId111"/>
          <w:footerReference w:type="even" r:id="rId112"/>
          <w:footerReference w:type="default" r:id="rId113"/>
          <w:headerReference w:type="first" r:id="rId114"/>
          <w:footerReference w:type="first" r:id="rId115"/>
          <w:pgSz w:w="11906" w:h="16838" w:code="9"/>
          <w:pgMar w:top="1134" w:right="1134" w:bottom="567" w:left="1134" w:header="567" w:footer="0" w:gutter="0"/>
          <w:cols w:space="720"/>
          <w:docGrid w:linePitch="360"/>
        </w:sectPr>
      </w:pPr>
    </w:p>
    <w:p w14:paraId="7D85D4FB" w14:textId="23C0EDF1" w:rsidR="007C2BF8" w:rsidRDefault="009657F8" w:rsidP="002F3483">
      <w:pPr>
        <w:pStyle w:val="Heading9"/>
      </w:pPr>
      <w:bookmarkStart w:id="212" w:name="_Toc70933344"/>
      <w:bookmarkStart w:id="213" w:name="_Toc89265664"/>
      <w:bookmarkStart w:id="214" w:name="_Toc89455709"/>
      <w:bookmarkStart w:id="215" w:name="_Ref119997714"/>
      <w:bookmarkStart w:id="216" w:name="_Ref120090041"/>
      <w:bookmarkStart w:id="217" w:name="_Ref120090139"/>
      <w:bookmarkStart w:id="218" w:name="_Ref120092401"/>
      <w:bookmarkStart w:id="219" w:name="_Ref120168206"/>
      <w:bookmarkStart w:id="220" w:name="_Ref120262457"/>
      <w:bookmarkStart w:id="221" w:name="_Ref120269017"/>
      <w:bookmarkStart w:id="222" w:name="_Ref120274383"/>
      <w:bookmarkStart w:id="223" w:name="_Ref120275222"/>
      <w:bookmarkStart w:id="224" w:name="_Ref131151052"/>
      <w:bookmarkStart w:id="225" w:name="_Ref131151069"/>
      <w:bookmarkStart w:id="226" w:name="_Ref131174657"/>
      <w:bookmarkStart w:id="227" w:name="_Toc131178728"/>
      <w:r>
        <w:lastRenderedPageBreak/>
        <w:t>Audit compliance elements</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tbl>
      <w:tblPr>
        <w:tblStyle w:val="TableGrid"/>
        <w:tblW w:w="5000" w:type="pct"/>
        <w:tblLook w:val="04A0" w:firstRow="1" w:lastRow="0" w:firstColumn="1" w:lastColumn="0" w:noHBand="0" w:noVBand="1"/>
      </w:tblPr>
      <w:tblGrid>
        <w:gridCol w:w="1427"/>
        <w:gridCol w:w="755"/>
        <w:gridCol w:w="5328"/>
        <w:gridCol w:w="1113"/>
        <w:gridCol w:w="1005"/>
      </w:tblGrid>
      <w:tr w:rsidR="00FB1D26" w:rsidRPr="00A31BE0" w14:paraId="2AA40B71" w14:textId="77777777" w:rsidTr="00CE35B5">
        <w:trPr>
          <w:trHeight w:val="397"/>
          <w:tblHeader/>
        </w:trPr>
        <w:tc>
          <w:tcPr>
            <w:tcW w:w="741" w:type="pct"/>
            <w:vAlign w:val="center"/>
          </w:tcPr>
          <w:p w14:paraId="0DC5C00D" w14:textId="77777777" w:rsidR="00FB1D26" w:rsidRPr="005251D3" w:rsidRDefault="00FB1D26" w:rsidP="008B019C">
            <w:pPr>
              <w:rPr>
                <w:rFonts w:ascii="Jacobs Chronos" w:hAnsi="Jacobs Chronos" w:cs="Jacobs Chronos"/>
                <w:b/>
                <w:bCs/>
                <w:sz w:val="16"/>
                <w:szCs w:val="16"/>
              </w:rPr>
            </w:pPr>
            <w:r w:rsidRPr="005251D3">
              <w:rPr>
                <w:rFonts w:ascii="Jacobs Chronos" w:hAnsi="Jacobs Chronos" w:cs="Jacobs Chronos"/>
                <w:b/>
                <w:bCs/>
                <w:sz w:val="16"/>
                <w:szCs w:val="16"/>
              </w:rPr>
              <w:t>Source</w:t>
            </w:r>
          </w:p>
        </w:tc>
        <w:tc>
          <w:tcPr>
            <w:tcW w:w="392" w:type="pct"/>
            <w:vAlign w:val="center"/>
          </w:tcPr>
          <w:p w14:paraId="766574A8" w14:textId="77777777" w:rsidR="00FB1D26" w:rsidRPr="005251D3" w:rsidRDefault="00FB1D26" w:rsidP="008B019C">
            <w:pPr>
              <w:rPr>
                <w:rFonts w:ascii="Jacobs Chronos" w:hAnsi="Jacobs Chronos" w:cs="Jacobs Chronos"/>
                <w:b/>
                <w:bCs/>
                <w:sz w:val="16"/>
                <w:szCs w:val="16"/>
              </w:rPr>
            </w:pPr>
            <w:r w:rsidRPr="005251D3">
              <w:rPr>
                <w:rFonts w:ascii="Jacobs Chronos" w:hAnsi="Jacobs Chronos" w:cs="Jacobs Chronos"/>
                <w:b/>
                <w:bCs/>
                <w:sz w:val="16"/>
                <w:szCs w:val="16"/>
              </w:rPr>
              <w:t>#</w:t>
            </w:r>
          </w:p>
        </w:tc>
        <w:tc>
          <w:tcPr>
            <w:tcW w:w="2767" w:type="pct"/>
            <w:vAlign w:val="center"/>
          </w:tcPr>
          <w:p w14:paraId="2D394B3E" w14:textId="77777777" w:rsidR="00FB1D26" w:rsidRPr="005251D3" w:rsidRDefault="00FB1D26" w:rsidP="008B019C">
            <w:pPr>
              <w:rPr>
                <w:rFonts w:ascii="Jacobs Chronos" w:hAnsi="Jacobs Chronos" w:cs="Jacobs Chronos"/>
                <w:b/>
                <w:bCs/>
                <w:sz w:val="16"/>
                <w:szCs w:val="16"/>
              </w:rPr>
            </w:pPr>
            <w:r w:rsidRPr="005251D3">
              <w:rPr>
                <w:rFonts w:ascii="Jacobs Chronos" w:hAnsi="Jacobs Chronos" w:cs="Jacobs Chronos"/>
                <w:b/>
                <w:bCs/>
                <w:sz w:val="16"/>
                <w:szCs w:val="16"/>
              </w:rPr>
              <w:t>Code compliance elements and audit compliance questions</w:t>
            </w:r>
          </w:p>
        </w:tc>
        <w:tc>
          <w:tcPr>
            <w:tcW w:w="578" w:type="pct"/>
            <w:vAlign w:val="center"/>
          </w:tcPr>
          <w:p w14:paraId="0A0846E5" w14:textId="77777777" w:rsidR="00FB1D26" w:rsidRPr="005251D3" w:rsidRDefault="00FB1D26" w:rsidP="008B019C">
            <w:pPr>
              <w:rPr>
                <w:rFonts w:ascii="Jacobs Chronos" w:hAnsi="Jacobs Chronos" w:cs="Jacobs Chronos"/>
                <w:b/>
                <w:bCs/>
                <w:sz w:val="16"/>
                <w:szCs w:val="16"/>
              </w:rPr>
            </w:pPr>
            <w:r w:rsidRPr="005251D3">
              <w:rPr>
                <w:rFonts w:ascii="Jacobs Chronos" w:hAnsi="Jacobs Chronos" w:cs="Jacobs Chronos"/>
                <w:b/>
                <w:bCs/>
                <w:sz w:val="16"/>
                <w:szCs w:val="16"/>
              </w:rPr>
              <w:t>Theme</w:t>
            </w:r>
          </w:p>
        </w:tc>
        <w:tc>
          <w:tcPr>
            <w:tcW w:w="522" w:type="pct"/>
            <w:vAlign w:val="center"/>
          </w:tcPr>
          <w:p w14:paraId="7A946999" w14:textId="77777777" w:rsidR="00FB1D26" w:rsidRPr="005251D3" w:rsidRDefault="00FB1D26" w:rsidP="00C31A7B">
            <w:pPr>
              <w:jc w:val="center"/>
              <w:rPr>
                <w:rFonts w:ascii="Jacobs Chronos" w:hAnsi="Jacobs Chronos" w:cs="Jacobs Chronos"/>
                <w:b/>
                <w:bCs/>
                <w:sz w:val="16"/>
                <w:szCs w:val="16"/>
              </w:rPr>
            </w:pPr>
            <w:r w:rsidRPr="005251D3">
              <w:rPr>
                <w:rFonts w:ascii="Jacobs Chronos" w:hAnsi="Jacobs Chronos" w:cs="Jacobs Chronos"/>
                <w:b/>
                <w:bCs/>
                <w:sz w:val="16"/>
                <w:szCs w:val="16"/>
              </w:rPr>
              <w:t>% Full</w:t>
            </w:r>
          </w:p>
        </w:tc>
      </w:tr>
      <w:tr w:rsidR="00FB1D26" w:rsidRPr="00A31BE0" w14:paraId="3E03A163" w14:textId="77777777" w:rsidTr="00E81409">
        <w:trPr>
          <w:trHeight w:val="397"/>
        </w:trPr>
        <w:tc>
          <w:tcPr>
            <w:tcW w:w="741" w:type="pct"/>
            <w:shd w:val="clear" w:color="auto" w:fill="A9D08E"/>
          </w:tcPr>
          <w:p w14:paraId="7257C77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2C8B084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6CC9578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 Environmental Values in State forests</w:t>
            </w:r>
          </w:p>
        </w:tc>
        <w:tc>
          <w:tcPr>
            <w:tcW w:w="578" w:type="pct"/>
            <w:shd w:val="clear" w:color="auto" w:fill="FFFFFF" w:themeFill="background1"/>
          </w:tcPr>
          <w:p w14:paraId="033061D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2262FC6" w14:textId="77777777" w:rsidR="00FB1D26" w:rsidRPr="00A31BE0" w:rsidRDefault="00FB1D26" w:rsidP="00C31A7B">
            <w:pPr>
              <w:jc w:val="center"/>
              <w:rPr>
                <w:rFonts w:ascii="Jacobs Chronos" w:hAnsi="Jacobs Chronos" w:cs="Jacobs Chronos"/>
                <w:sz w:val="16"/>
                <w:szCs w:val="16"/>
              </w:rPr>
            </w:pPr>
          </w:p>
        </w:tc>
      </w:tr>
      <w:tr w:rsidR="00FB1D26" w:rsidRPr="00A31BE0" w14:paraId="6600D46E" w14:textId="77777777" w:rsidTr="00E81409">
        <w:trPr>
          <w:trHeight w:val="397"/>
        </w:trPr>
        <w:tc>
          <w:tcPr>
            <w:tcW w:w="741" w:type="pct"/>
            <w:shd w:val="clear" w:color="auto" w:fill="A9D08E"/>
          </w:tcPr>
          <w:p w14:paraId="2C53377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0F82DA2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29F78D1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 Water Quality, River Health and Soil Protection</w:t>
            </w:r>
          </w:p>
        </w:tc>
        <w:tc>
          <w:tcPr>
            <w:tcW w:w="578" w:type="pct"/>
            <w:shd w:val="clear" w:color="auto" w:fill="FFFFFF" w:themeFill="background1"/>
          </w:tcPr>
          <w:p w14:paraId="18EC886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53A3B46" w14:textId="77777777" w:rsidR="00FB1D26" w:rsidRPr="00A31BE0" w:rsidRDefault="00FB1D26" w:rsidP="00C31A7B">
            <w:pPr>
              <w:jc w:val="center"/>
              <w:rPr>
                <w:rFonts w:ascii="Jacobs Chronos" w:hAnsi="Jacobs Chronos" w:cs="Jacobs Chronos"/>
                <w:sz w:val="16"/>
                <w:szCs w:val="16"/>
              </w:rPr>
            </w:pPr>
          </w:p>
        </w:tc>
      </w:tr>
      <w:tr w:rsidR="00FB1D26" w:rsidRPr="00A31BE0" w14:paraId="1F295241" w14:textId="77777777" w:rsidTr="00E81409">
        <w:trPr>
          <w:trHeight w:val="397"/>
        </w:trPr>
        <w:tc>
          <w:tcPr>
            <w:tcW w:w="741" w:type="pct"/>
            <w:shd w:val="clear" w:color="auto" w:fill="FCE4D6"/>
          </w:tcPr>
          <w:p w14:paraId="48E25E4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F48576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054D394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2.2.1.1 Planning and management of timber harvesting operations must comply with relevant water quality, river health and soil protection measures specified within the Management Standards and Procedures.</w:t>
            </w:r>
          </w:p>
        </w:tc>
        <w:tc>
          <w:tcPr>
            <w:tcW w:w="578" w:type="pct"/>
            <w:shd w:val="clear" w:color="auto" w:fill="FFFFFF" w:themeFill="background1"/>
          </w:tcPr>
          <w:p w14:paraId="7E9AF0C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9139434" w14:textId="77777777" w:rsidR="00FB1D26" w:rsidRPr="00A31BE0" w:rsidRDefault="00FB1D26" w:rsidP="00C31A7B">
            <w:pPr>
              <w:jc w:val="center"/>
              <w:rPr>
                <w:rFonts w:ascii="Jacobs Chronos" w:hAnsi="Jacobs Chronos" w:cs="Jacobs Chronos"/>
                <w:sz w:val="16"/>
                <w:szCs w:val="16"/>
              </w:rPr>
            </w:pPr>
          </w:p>
        </w:tc>
      </w:tr>
      <w:tr w:rsidR="00FB1D26" w:rsidRPr="00A31BE0" w14:paraId="0CCC0453" w14:textId="77777777" w:rsidTr="00E81409">
        <w:trPr>
          <w:trHeight w:val="397"/>
        </w:trPr>
        <w:tc>
          <w:tcPr>
            <w:tcW w:w="741" w:type="pct"/>
            <w:shd w:val="clear" w:color="auto" w:fill="FFF2CC"/>
          </w:tcPr>
          <w:p w14:paraId="0F45466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FAABF7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481626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3.1.1.1 Use the following categories when determining buffer (B) and filter (F) widths for waterways within and immediately adjacent to each coupe. Aids to the identification of each class of waterway are provided in the Code Glossary. (a) Permanent streams, pools and wetlands. (b) Temporary streams. c) Drainage lines. </w:t>
            </w:r>
          </w:p>
        </w:tc>
        <w:tc>
          <w:tcPr>
            <w:tcW w:w="578" w:type="pct"/>
            <w:shd w:val="clear" w:color="auto" w:fill="FFFFFF" w:themeFill="background1"/>
          </w:tcPr>
          <w:p w14:paraId="72A9A9AA"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1DED631" w14:textId="77777777" w:rsidR="00FB1D26" w:rsidRPr="00A31BE0" w:rsidRDefault="00FB1D26" w:rsidP="00C31A7B">
            <w:pPr>
              <w:jc w:val="center"/>
              <w:rPr>
                <w:rFonts w:ascii="Jacobs Chronos" w:hAnsi="Jacobs Chronos" w:cs="Jacobs Chronos"/>
                <w:sz w:val="16"/>
                <w:szCs w:val="16"/>
              </w:rPr>
            </w:pPr>
          </w:p>
        </w:tc>
      </w:tr>
      <w:tr w:rsidR="00FB1D26" w:rsidRPr="00A31BE0" w14:paraId="496C1CDF" w14:textId="77777777" w:rsidTr="00E81409">
        <w:trPr>
          <w:trHeight w:val="397"/>
        </w:trPr>
        <w:tc>
          <w:tcPr>
            <w:tcW w:w="741" w:type="pct"/>
          </w:tcPr>
          <w:p w14:paraId="09CE94A2" w14:textId="77777777" w:rsidR="00FB1D26" w:rsidRPr="00A31BE0" w:rsidRDefault="00FB1D26" w:rsidP="00E81409">
            <w:pPr>
              <w:rPr>
                <w:rFonts w:ascii="Jacobs Chronos" w:hAnsi="Jacobs Chronos" w:cs="Jacobs Chronos"/>
                <w:sz w:val="16"/>
                <w:szCs w:val="16"/>
              </w:rPr>
            </w:pPr>
          </w:p>
        </w:tc>
        <w:tc>
          <w:tcPr>
            <w:tcW w:w="392" w:type="pct"/>
          </w:tcPr>
          <w:p w14:paraId="5528D25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w:t>
            </w:r>
          </w:p>
        </w:tc>
        <w:tc>
          <w:tcPr>
            <w:tcW w:w="2767" w:type="pct"/>
          </w:tcPr>
          <w:p w14:paraId="1A19EBA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the categories prescribed in the MSPs been used in classifying waterways present on the coupe?</w:t>
            </w:r>
          </w:p>
        </w:tc>
        <w:tc>
          <w:tcPr>
            <w:tcW w:w="578" w:type="pct"/>
            <w:shd w:val="clear" w:color="auto" w:fill="FFFFFF" w:themeFill="background1"/>
          </w:tcPr>
          <w:p w14:paraId="6F7271A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147E3962"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285AC15" w14:textId="77777777" w:rsidTr="00E81409">
        <w:trPr>
          <w:trHeight w:val="397"/>
        </w:trPr>
        <w:tc>
          <w:tcPr>
            <w:tcW w:w="741" w:type="pct"/>
          </w:tcPr>
          <w:p w14:paraId="539C80A9" w14:textId="77777777" w:rsidR="00FB1D26" w:rsidRPr="00A31BE0" w:rsidRDefault="00FB1D26" w:rsidP="00E81409">
            <w:pPr>
              <w:rPr>
                <w:rFonts w:ascii="Jacobs Chronos" w:hAnsi="Jacobs Chronos" w:cs="Jacobs Chronos"/>
                <w:sz w:val="16"/>
                <w:szCs w:val="16"/>
              </w:rPr>
            </w:pPr>
          </w:p>
        </w:tc>
        <w:tc>
          <w:tcPr>
            <w:tcW w:w="392" w:type="pct"/>
          </w:tcPr>
          <w:p w14:paraId="3600B19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1.02</w:t>
            </w:r>
          </w:p>
        </w:tc>
        <w:tc>
          <w:tcPr>
            <w:tcW w:w="2767" w:type="pct"/>
          </w:tcPr>
          <w:p w14:paraId="53A960F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Are the classification assessed to have been applied correctly?</w:t>
            </w:r>
          </w:p>
        </w:tc>
        <w:tc>
          <w:tcPr>
            <w:tcW w:w="578" w:type="pct"/>
            <w:shd w:val="clear" w:color="auto" w:fill="FFFFFF" w:themeFill="background1"/>
          </w:tcPr>
          <w:p w14:paraId="23F9DAA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4345A98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97</w:t>
            </w:r>
          </w:p>
        </w:tc>
      </w:tr>
      <w:tr w:rsidR="00FB1D26" w:rsidRPr="00A31BE0" w14:paraId="489C76CD" w14:textId="77777777" w:rsidTr="00E81409">
        <w:trPr>
          <w:trHeight w:val="397"/>
        </w:trPr>
        <w:tc>
          <w:tcPr>
            <w:tcW w:w="741" w:type="pct"/>
            <w:shd w:val="clear" w:color="auto" w:fill="FFF2CC"/>
          </w:tcPr>
          <w:p w14:paraId="3D278E2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1843C1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90114D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3.2.1.1 Conduct field assessments to determine the soil erosion hazard and soil permeability classifications for an area proposed for any soil disturbing timber harvesting operations as follows (3.2.1.2-3.2.1.11, Table 8). </w:t>
            </w:r>
          </w:p>
        </w:tc>
        <w:tc>
          <w:tcPr>
            <w:tcW w:w="578" w:type="pct"/>
            <w:shd w:val="clear" w:color="auto" w:fill="FFFFFF" w:themeFill="background1"/>
          </w:tcPr>
          <w:p w14:paraId="798A676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DAEDE8C" w14:textId="77777777" w:rsidR="00FB1D26" w:rsidRPr="00A31BE0" w:rsidRDefault="00FB1D26" w:rsidP="00C31A7B">
            <w:pPr>
              <w:jc w:val="center"/>
              <w:rPr>
                <w:rFonts w:ascii="Jacobs Chronos" w:hAnsi="Jacobs Chronos" w:cs="Jacobs Chronos"/>
                <w:sz w:val="16"/>
                <w:szCs w:val="16"/>
              </w:rPr>
            </w:pPr>
          </w:p>
        </w:tc>
      </w:tr>
      <w:tr w:rsidR="00FB1D26" w:rsidRPr="00A31BE0" w14:paraId="49946BD8" w14:textId="77777777" w:rsidTr="00E81409">
        <w:trPr>
          <w:trHeight w:val="397"/>
        </w:trPr>
        <w:tc>
          <w:tcPr>
            <w:tcW w:w="741" w:type="pct"/>
          </w:tcPr>
          <w:p w14:paraId="35867D6D" w14:textId="77777777" w:rsidR="00FB1D26" w:rsidRPr="00A31BE0" w:rsidRDefault="00FB1D26" w:rsidP="00E81409">
            <w:pPr>
              <w:rPr>
                <w:rFonts w:ascii="Jacobs Chronos" w:hAnsi="Jacobs Chronos" w:cs="Jacobs Chronos"/>
                <w:sz w:val="16"/>
                <w:szCs w:val="16"/>
              </w:rPr>
            </w:pPr>
          </w:p>
        </w:tc>
        <w:tc>
          <w:tcPr>
            <w:tcW w:w="392" w:type="pct"/>
          </w:tcPr>
          <w:p w14:paraId="0386881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2.01</w:t>
            </w:r>
          </w:p>
        </w:tc>
        <w:tc>
          <w:tcPr>
            <w:tcW w:w="2767" w:type="pct"/>
          </w:tcPr>
          <w:p w14:paraId="5B202E8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soil erosion hazard and soil permeability been assessed using the method prescribed in the MSPs?</w:t>
            </w:r>
          </w:p>
        </w:tc>
        <w:tc>
          <w:tcPr>
            <w:tcW w:w="578" w:type="pct"/>
            <w:shd w:val="clear" w:color="auto" w:fill="FFFFFF" w:themeFill="background1"/>
          </w:tcPr>
          <w:p w14:paraId="7CA6C0A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P</w:t>
            </w:r>
          </w:p>
        </w:tc>
        <w:tc>
          <w:tcPr>
            <w:tcW w:w="522" w:type="pct"/>
            <w:shd w:val="clear" w:color="auto" w:fill="FFFFFF" w:themeFill="background1"/>
          </w:tcPr>
          <w:p w14:paraId="24396996"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387CB59E" w14:textId="77777777" w:rsidTr="00E81409">
        <w:trPr>
          <w:trHeight w:val="397"/>
        </w:trPr>
        <w:tc>
          <w:tcPr>
            <w:tcW w:w="741" w:type="pct"/>
          </w:tcPr>
          <w:p w14:paraId="5DFA1AD4" w14:textId="77777777" w:rsidR="00FB1D26" w:rsidRPr="00A31BE0" w:rsidRDefault="00FB1D26" w:rsidP="00E81409">
            <w:pPr>
              <w:rPr>
                <w:rFonts w:ascii="Jacobs Chronos" w:hAnsi="Jacobs Chronos" w:cs="Jacobs Chronos"/>
                <w:sz w:val="16"/>
                <w:szCs w:val="16"/>
              </w:rPr>
            </w:pPr>
          </w:p>
        </w:tc>
        <w:tc>
          <w:tcPr>
            <w:tcW w:w="392" w:type="pct"/>
          </w:tcPr>
          <w:p w14:paraId="5EE41D4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2.02</w:t>
            </w:r>
          </w:p>
        </w:tc>
        <w:tc>
          <w:tcPr>
            <w:tcW w:w="2767" w:type="pct"/>
          </w:tcPr>
          <w:p w14:paraId="70449DC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the methodology been followed correctly?</w:t>
            </w:r>
          </w:p>
        </w:tc>
        <w:tc>
          <w:tcPr>
            <w:tcW w:w="578" w:type="pct"/>
            <w:shd w:val="clear" w:color="auto" w:fill="FFFFFF" w:themeFill="background1"/>
          </w:tcPr>
          <w:p w14:paraId="136521A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P</w:t>
            </w:r>
          </w:p>
        </w:tc>
        <w:tc>
          <w:tcPr>
            <w:tcW w:w="522" w:type="pct"/>
            <w:shd w:val="clear" w:color="auto" w:fill="FFFFFF" w:themeFill="background1"/>
          </w:tcPr>
          <w:p w14:paraId="29C9A99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099179AF" w14:textId="77777777" w:rsidTr="00E81409">
        <w:trPr>
          <w:trHeight w:val="397"/>
        </w:trPr>
        <w:tc>
          <w:tcPr>
            <w:tcW w:w="741" w:type="pct"/>
          </w:tcPr>
          <w:p w14:paraId="2350301D" w14:textId="77777777" w:rsidR="00FB1D26" w:rsidRPr="00A31BE0" w:rsidRDefault="00FB1D26" w:rsidP="00E81409">
            <w:pPr>
              <w:rPr>
                <w:rFonts w:ascii="Jacobs Chronos" w:hAnsi="Jacobs Chronos" w:cs="Jacobs Chronos"/>
                <w:sz w:val="16"/>
                <w:szCs w:val="16"/>
              </w:rPr>
            </w:pPr>
          </w:p>
        </w:tc>
        <w:tc>
          <w:tcPr>
            <w:tcW w:w="392" w:type="pct"/>
          </w:tcPr>
          <w:p w14:paraId="5652877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37241CF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3.2.1.2 Collect soil profile samples that reflect the variety of soils represented within the coupe.  </w:t>
            </w:r>
          </w:p>
        </w:tc>
        <w:tc>
          <w:tcPr>
            <w:tcW w:w="578" w:type="pct"/>
            <w:shd w:val="clear" w:color="auto" w:fill="FFFFFF" w:themeFill="background1"/>
          </w:tcPr>
          <w:p w14:paraId="7F786B7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9C0EEAF" w14:textId="77777777" w:rsidR="00FB1D26" w:rsidRPr="00A31BE0" w:rsidRDefault="00FB1D26" w:rsidP="00C31A7B">
            <w:pPr>
              <w:jc w:val="center"/>
              <w:rPr>
                <w:rFonts w:ascii="Jacobs Chronos" w:hAnsi="Jacobs Chronos" w:cs="Jacobs Chronos"/>
                <w:sz w:val="16"/>
                <w:szCs w:val="16"/>
              </w:rPr>
            </w:pPr>
          </w:p>
        </w:tc>
      </w:tr>
      <w:tr w:rsidR="00FB1D26" w:rsidRPr="00A31BE0" w14:paraId="1C48C6F2" w14:textId="77777777" w:rsidTr="00E81409">
        <w:trPr>
          <w:trHeight w:val="397"/>
        </w:trPr>
        <w:tc>
          <w:tcPr>
            <w:tcW w:w="741" w:type="pct"/>
          </w:tcPr>
          <w:p w14:paraId="2CF5D457" w14:textId="77777777" w:rsidR="00FB1D26" w:rsidRPr="00A31BE0" w:rsidRDefault="00FB1D26" w:rsidP="00E81409">
            <w:pPr>
              <w:rPr>
                <w:rFonts w:ascii="Jacobs Chronos" w:hAnsi="Jacobs Chronos" w:cs="Jacobs Chronos"/>
                <w:sz w:val="16"/>
                <w:szCs w:val="16"/>
              </w:rPr>
            </w:pPr>
          </w:p>
        </w:tc>
        <w:tc>
          <w:tcPr>
            <w:tcW w:w="392" w:type="pct"/>
          </w:tcPr>
          <w:p w14:paraId="6DDFD60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2.03</w:t>
            </w:r>
          </w:p>
        </w:tc>
        <w:tc>
          <w:tcPr>
            <w:tcW w:w="2767" w:type="pct"/>
          </w:tcPr>
          <w:p w14:paraId="3F23F017" w14:textId="2A7D0005"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If there are significant changes in soil and/or vegetation types within the coupe, </w:t>
            </w:r>
            <w:r w:rsidR="00CE35B5" w:rsidRPr="00A31BE0">
              <w:rPr>
                <w:rFonts w:ascii="Jacobs Chronos" w:hAnsi="Jacobs Chronos" w:cs="Jacobs Chronos"/>
                <w:sz w:val="16"/>
                <w:szCs w:val="16"/>
              </w:rPr>
              <w:t>ITAO have</w:t>
            </w:r>
            <w:r w:rsidRPr="00A31BE0">
              <w:rPr>
                <w:rFonts w:ascii="Jacobs Chronos" w:hAnsi="Jacobs Chronos" w:cs="Jacobs Chronos"/>
                <w:sz w:val="16"/>
                <w:szCs w:val="16"/>
              </w:rPr>
              <w:t xml:space="preserve"> an adequate number of soil profile samples been taken to assess soil erosion hazard for the coupe?</w:t>
            </w:r>
          </w:p>
        </w:tc>
        <w:tc>
          <w:tcPr>
            <w:tcW w:w="578" w:type="pct"/>
            <w:shd w:val="clear" w:color="auto" w:fill="FFFFFF" w:themeFill="background1"/>
          </w:tcPr>
          <w:p w14:paraId="60BE78E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P</w:t>
            </w:r>
          </w:p>
        </w:tc>
        <w:tc>
          <w:tcPr>
            <w:tcW w:w="522" w:type="pct"/>
            <w:shd w:val="clear" w:color="auto" w:fill="FFFFFF" w:themeFill="background1"/>
          </w:tcPr>
          <w:p w14:paraId="0630E18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69B446A" w14:textId="77777777" w:rsidTr="00E81409">
        <w:trPr>
          <w:trHeight w:val="397"/>
        </w:trPr>
        <w:tc>
          <w:tcPr>
            <w:tcW w:w="741" w:type="pct"/>
            <w:shd w:val="clear" w:color="auto" w:fill="FFF2CC"/>
          </w:tcPr>
          <w:p w14:paraId="2F04EFA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B6ACD4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B52276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3.3.1.1 Apply appropriate protection to class of waterway as outlined in MSP Table 9. </w:t>
            </w:r>
          </w:p>
        </w:tc>
        <w:tc>
          <w:tcPr>
            <w:tcW w:w="578" w:type="pct"/>
            <w:shd w:val="clear" w:color="auto" w:fill="FFFFFF" w:themeFill="background1"/>
          </w:tcPr>
          <w:p w14:paraId="19BEC27C"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637D2B5" w14:textId="77777777" w:rsidR="00FB1D26" w:rsidRPr="00A31BE0" w:rsidRDefault="00FB1D26" w:rsidP="00C31A7B">
            <w:pPr>
              <w:jc w:val="center"/>
              <w:rPr>
                <w:rFonts w:ascii="Jacobs Chronos" w:hAnsi="Jacobs Chronos" w:cs="Jacobs Chronos"/>
                <w:sz w:val="16"/>
                <w:szCs w:val="16"/>
              </w:rPr>
            </w:pPr>
          </w:p>
        </w:tc>
      </w:tr>
      <w:tr w:rsidR="00FB1D26" w:rsidRPr="00A31BE0" w14:paraId="5FC463C9" w14:textId="77777777" w:rsidTr="00E81409">
        <w:trPr>
          <w:trHeight w:val="397"/>
        </w:trPr>
        <w:tc>
          <w:tcPr>
            <w:tcW w:w="741" w:type="pct"/>
          </w:tcPr>
          <w:p w14:paraId="6D9C8E77" w14:textId="77777777" w:rsidR="00FB1D26" w:rsidRPr="00A31BE0" w:rsidRDefault="00FB1D26" w:rsidP="00E81409">
            <w:pPr>
              <w:rPr>
                <w:rFonts w:ascii="Jacobs Chronos" w:hAnsi="Jacobs Chronos" w:cs="Jacobs Chronos"/>
                <w:sz w:val="16"/>
                <w:szCs w:val="16"/>
              </w:rPr>
            </w:pPr>
          </w:p>
        </w:tc>
        <w:tc>
          <w:tcPr>
            <w:tcW w:w="392" w:type="pct"/>
          </w:tcPr>
          <w:p w14:paraId="2A12640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3.01</w:t>
            </w:r>
          </w:p>
        </w:tc>
        <w:tc>
          <w:tcPr>
            <w:tcW w:w="2767" w:type="pct"/>
          </w:tcPr>
          <w:p w14:paraId="1E93BFC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applicable, have the buffer and filter strip widths prescribed in MSP Table 9 been applied to the coupe?</w:t>
            </w:r>
          </w:p>
        </w:tc>
        <w:tc>
          <w:tcPr>
            <w:tcW w:w="578" w:type="pct"/>
            <w:shd w:val="clear" w:color="auto" w:fill="FFFFFF" w:themeFill="background1"/>
          </w:tcPr>
          <w:p w14:paraId="2531E6D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067208B3"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97</w:t>
            </w:r>
          </w:p>
        </w:tc>
      </w:tr>
      <w:tr w:rsidR="00FB1D26" w:rsidRPr="00A31BE0" w14:paraId="14384CC2" w14:textId="77777777" w:rsidTr="00E81409">
        <w:trPr>
          <w:trHeight w:val="397"/>
        </w:trPr>
        <w:tc>
          <w:tcPr>
            <w:tcW w:w="741" w:type="pct"/>
            <w:shd w:val="clear" w:color="auto" w:fill="FFF2CC"/>
          </w:tcPr>
          <w:p w14:paraId="0C350F0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A8E66C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40A5F1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3.4.1.1 Exclude timber harvesting operations from slopes over 30 degrees. </w:t>
            </w:r>
          </w:p>
        </w:tc>
        <w:tc>
          <w:tcPr>
            <w:tcW w:w="578" w:type="pct"/>
            <w:shd w:val="clear" w:color="auto" w:fill="FFFFFF" w:themeFill="background1"/>
          </w:tcPr>
          <w:p w14:paraId="4CF01F3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2EB9ECF" w14:textId="77777777" w:rsidR="00FB1D26" w:rsidRPr="00A31BE0" w:rsidRDefault="00FB1D26" w:rsidP="00C31A7B">
            <w:pPr>
              <w:jc w:val="center"/>
              <w:rPr>
                <w:rFonts w:ascii="Jacobs Chronos" w:hAnsi="Jacobs Chronos" w:cs="Jacobs Chronos"/>
                <w:sz w:val="16"/>
                <w:szCs w:val="16"/>
              </w:rPr>
            </w:pPr>
          </w:p>
        </w:tc>
      </w:tr>
      <w:tr w:rsidR="00FB1D26" w:rsidRPr="00A31BE0" w14:paraId="38F53622" w14:textId="77777777" w:rsidTr="00E81409">
        <w:trPr>
          <w:trHeight w:val="397"/>
        </w:trPr>
        <w:tc>
          <w:tcPr>
            <w:tcW w:w="741" w:type="pct"/>
            <w:shd w:val="clear" w:color="auto" w:fill="FFF2CC"/>
          </w:tcPr>
          <w:p w14:paraId="4EE574F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3C5BE76"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6428A9A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3.4.1.2 Exclude timber harvesting operations from slopes over 25° in the East Gippsland FMA in areas with granite based soils.</w:t>
            </w:r>
          </w:p>
        </w:tc>
        <w:tc>
          <w:tcPr>
            <w:tcW w:w="578" w:type="pct"/>
            <w:shd w:val="clear" w:color="auto" w:fill="FFFFFF" w:themeFill="background1"/>
          </w:tcPr>
          <w:p w14:paraId="070258D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01822A1" w14:textId="77777777" w:rsidR="00FB1D26" w:rsidRPr="00A31BE0" w:rsidRDefault="00FB1D26" w:rsidP="00C31A7B">
            <w:pPr>
              <w:jc w:val="center"/>
              <w:rPr>
                <w:rFonts w:ascii="Jacobs Chronos" w:hAnsi="Jacobs Chronos" w:cs="Jacobs Chronos"/>
                <w:sz w:val="16"/>
                <w:szCs w:val="16"/>
              </w:rPr>
            </w:pPr>
          </w:p>
        </w:tc>
      </w:tr>
      <w:tr w:rsidR="00FB1D26" w:rsidRPr="00A31BE0" w14:paraId="449F235C" w14:textId="77777777" w:rsidTr="00E81409">
        <w:trPr>
          <w:trHeight w:val="397"/>
        </w:trPr>
        <w:tc>
          <w:tcPr>
            <w:tcW w:w="741" w:type="pct"/>
            <w:shd w:val="clear" w:color="auto" w:fill="FFF2CC"/>
          </w:tcPr>
          <w:p w14:paraId="322A804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389228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EFE67F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3.4.1.3 Up to 10% of the planned net coupe area can contain areas greater than the slope limits referred to in 3.4.1.1, 3.4.1.2, 3.5.1.1 and Table 11 Water supply protection areas, where the risk of mass soil movement has been managed accordingly.</w:t>
            </w:r>
          </w:p>
        </w:tc>
        <w:tc>
          <w:tcPr>
            <w:tcW w:w="578" w:type="pct"/>
            <w:shd w:val="clear" w:color="auto" w:fill="FFFFFF" w:themeFill="background1"/>
          </w:tcPr>
          <w:p w14:paraId="60E831A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6C66861" w14:textId="77777777" w:rsidR="00FB1D26" w:rsidRPr="00A31BE0" w:rsidRDefault="00FB1D26" w:rsidP="00C31A7B">
            <w:pPr>
              <w:jc w:val="center"/>
              <w:rPr>
                <w:rFonts w:ascii="Jacobs Chronos" w:hAnsi="Jacobs Chronos" w:cs="Jacobs Chronos"/>
                <w:sz w:val="16"/>
                <w:szCs w:val="16"/>
              </w:rPr>
            </w:pPr>
          </w:p>
        </w:tc>
      </w:tr>
      <w:tr w:rsidR="00FB1D26" w:rsidRPr="00A31BE0" w14:paraId="7E692D49" w14:textId="77777777" w:rsidTr="00E81409">
        <w:trPr>
          <w:trHeight w:val="397"/>
        </w:trPr>
        <w:tc>
          <w:tcPr>
            <w:tcW w:w="741" w:type="pct"/>
          </w:tcPr>
          <w:p w14:paraId="281C5D43" w14:textId="77777777" w:rsidR="00FB1D26" w:rsidRPr="00A31BE0" w:rsidRDefault="00FB1D26" w:rsidP="00E81409">
            <w:pPr>
              <w:rPr>
                <w:rFonts w:ascii="Jacobs Chronos" w:hAnsi="Jacobs Chronos" w:cs="Jacobs Chronos"/>
                <w:sz w:val="16"/>
                <w:szCs w:val="16"/>
              </w:rPr>
            </w:pPr>
          </w:p>
        </w:tc>
        <w:tc>
          <w:tcPr>
            <w:tcW w:w="392" w:type="pct"/>
          </w:tcPr>
          <w:p w14:paraId="633288D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4.01</w:t>
            </w:r>
          </w:p>
        </w:tc>
        <w:tc>
          <w:tcPr>
            <w:tcW w:w="2767" w:type="pct"/>
          </w:tcPr>
          <w:p w14:paraId="24B86E1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timber harvesting been excluded from areas with slopes &gt;30°/25° (unless the area exceeding the slope limit is ≤10% net harvest area and ITAO the risk of mass soil movement has been managed accordingly)?</w:t>
            </w:r>
          </w:p>
        </w:tc>
        <w:tc>
          <w:tcPr>
            <w:tcW w:w="578" w:type="pct"/>
            <w:shd w:val="clear" w:color="auto" w:fill="FFFFFF" w:themeFill="background1"/>
          </w:tcPr>
          <w:p w14:paraId="5264DF0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P</w:t>
            </w:r>
          </w:p>
        </w:tc>
        <w:tc>
          <w:tcPr>
            <w:tcW w:w="522" w:type="pct"/>
            <w:shd w:val="clear" w:color="auto" w:fill="FFFFFF" w:themeFill="background1"/>
          </w:tcPr>
          <w:p w14:paraId="02CC9B29"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74676F0" w14:textId="77777777" w:rsidTr="00E81409">
        <w:trPr>
          <w:trHeight w:val="397"/>
        </w:trPr>
        <w:tc>
          <w:tcPr>
            <w:tcW w:w="741" w:type="pct"/>
            <w:shd w:val="clear" w:color="auto" w:fill="FFF2CC"/>
          </w:tcPr>
          <w:p w14:paraId="23FB4EF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B115DD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44970C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3.5.1.1 Apply the slope limits, seasonal closures, buffer and filter strip widths and other relevant management actions specified in MSP Table 11 (Water supply protection areas) for timber harvesting operations and associated roading and regeneration in water supply protection areas. </w:t>
            </w:r>
          </w:p>
        </w:tc>
        <w:tc>
          <w:tcPr>
            <w:tcW w:w="578" w:type="pct"/>
            <w:shd w:val="clear" w:color="auto" w:fill="FFFFFF" w:themeFill="background1"/>
          </w:tcPr>
          <w:p w14:paraId="70781EFD"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B49BF8E" w14:textId="77777777" w:rsidR="00FB1D26" w:rsidRPr="00A31BE0" w:rsidRDefault="00FB1D26" w:rsidP="00C31A7B">
            <w:pPr>
              <w:jc w:val="center"/>
              <w:rPr>
                <w:rFonts w:ascii="Jacobs Chronos" w:hAnsi="Jacobs Chronos" w:cs="Jacobs Chronos"/>
                <w:sz w:val="16"/>
                <w:szCs w:val="16"/>
              </w:rPr>
            </w:pPr>
          </w:p>
        </w:tc>
      </w:tr>
      <w:tr w:rsidR="00FB1D26" w:rsidRPr="00A31BE0" w14:paraId="2B586B17" w14:textId="77777777" w:rsidTr="00E81409">
        <w:trPr>
          <w:trHeight w:val="397"/>
        </w:trPr>
        <w:tc>
          <w:tcPr>
            <w:tcW w:w="741" w:type="pct"/>
            <w:shd w:val="clear" w:color="auto" w:fill="FFF2CC"/>
          </w:tcPr>
          <w:p w14:paraId="154DB28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0C78B23"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6231953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3.5.1.2 Refer to Table 11 Water supply protection areas for actions that apply to water supply protection area SMZs in the Benalla-Mansfield FMA, the East Gippsland FMA and Midlands FMA.</w:t>
            </w:r>
          </w:p>
        </w:tc>
        <w:tc>
          <w:tcPr>
            <w:tcW w:w="578" w:type="pct"/>
            <w:shd w:val="clear" w:color="auto" w:fill="FFFFFF" w:themeFill="background1"/>
          </w:tcPr>
          <w:p w14:paraId="2336D845"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A138EC2" w14:textId="77777777" w:rsidR="00FB1D26" w:rsidRPr="00A31BE0" w:rsidRDefault="00FB1D26" w:rsidP="00C31A7B">
            <w:pPr>
              <w:jc w:val="center"/>
              <w:rPr>
                <w:rFonts w:ascii="Jacobs Chronos" w:hAnsi="Jacobs Chronos" w:cs="Jacobs Chronos"/>
                <w:sz w:val="16"/>
                <w:szCs w:val="16"/>
              </w:rPr>
            </w:pPr>
          </w:p>
        </w:tc>
      </w:tr>
      <w:tr w:rsidR="00FB1D26" w:rsidRPr="00A31BE0" w14:paraId="77E09C5D" w14:textId="77777777" w:rsidTr="00E81409">
        <w:trPr>
          <w:trHeight w:val="397"/>
        </w:trPr>
        <w:tc>
          <w:tcPr>
            <w:tcW w:w="741" w:type="pct"/>
            <w:shd w:val="clear" w:color="auto" w:fill="FFF2CC"/>
          </w:tcPr>
          <w:p w14:paraId="7A11172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CB3715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B10F06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3.5.1.3 Where any proposed timber harvesting operations are not in accordance with clauses 3.5.1.1 or 3.5.1.2, obtain exemption approval from the Minister or delegate in accordance with Section 1.4.</w:t>
            </w:r>
          </w:p>
        </w:tc>
        <w:tc>
          <w:tcPr>
            <w:tcW w:w="578" w:type="pct"/>
            <w:shd w:val="clear" w:color="auto" w:fill="FFFFFF" w:themeFill="background1"/>
          </w:tcPr>
          <w:p w14:paraId="23E35D63"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4825AC1" w14:textId="77777777" w:rsidR="00FB1D26" w:rsidRPr="00A31BE0" w:rsidRDefault="00FB1D26" w:rsidP="00C31A7B">
            <w:pPr>
              <w:jc w:val="center"/>
              <w:rPr>
                <w:rFonts w:ascii="Jacobs Chronos" w:hAnsi="Jacobs Chronos" w:cs="Jacobs Chronos"/>
                <w:sz w:val="16"/>
                <w:szCs w:val="16"/>
              </w:rPr>
            </w:pPr>
          </w:p>
        </w:tc>
      </w:tr>
      <w:tr w:rsidR="00FB1D26" w:rsidRPr="00A31BE0" w14:paraId="30AA1A58" w14:textId="77777777" w:rsidTr="00E81409">
        <w:trPr>
          <w:trHeight w:val="397"/>
        </w:trPr>
        <w:tc>
          <w:tcPr>
            <w:tcW w:w="741" w:type="pct"/>
            <w:shd w:val="clear" w:color="auto" w:fill="FFF2CC"/>
          </w:tcPr>
          <w:p w14:paraId="7EDB9E7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A5AE650"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1C4275F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3.5.1.4 Special water supply catchment areas and water supply protection areas not listed in Table 11 Water supply protection areas do not require protection in addition to existing Code requirements.</w:t>
            </w:r>
          </w:p>
        </w:tc>
        <w:tc>
          <w:tcPr>
            <w:tcW w:w="578" w:type="pct"/>
            <w:shd w:val="clear" w:color="auto" w:fill="FFFFFF" w:themeFill="background1"/>
          </w:tcPr>
          <w:p w14:paraId="3CB5261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C83A052" w14:textId="77777777" w:rsidR="00FB1D26" w:rsidRPr="00A31BE0" w:rsidRDefault="00FB1D26" w:rsidP="00C31A7B">
            <w:pPr>
              <w:jc w:val="center"/>
              <w:rPr>
                <w:rFonts w:ascii="Jacobs Chronos" w:hAnsi="Jacobs Chronos" w:cs="Jacobs Chronos"/>
                <w:sz w:val="16"/>
                <w:szCs w:val="16"/>
              </w:rPr>
            </w:pPr>
          </w:p>
        </w:tc>
      </w:tr>
      <w:tr w:rsidR="00FB1D26" w:rsidRPr="00A31BE0" w14:paraId="4A7885E2" w14:textId="77777777" w:rsidTr="00E81409">
        <w:trPr>
          <w:trHeight w:val="397"/>
        </w:trPr>
        <w:tc>
          <w:tcPr>
            <w:tcW w:w="741" w:type="pct"/>
            <w:shd w:val="clear" w:color="auto" w:fill="FFF2CC"/>
          </w:tcPr>
          <w:p w14:paraId="08C1706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00029988"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7EC8B60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3.5.1.5 In addition to Appendix 3 Table 11 (Water supply protection areas), in the Bunyip, Thomson and Tarago special water supply catchments and the Yarra Tributaries State forests the area harvested must not exceed the following limits measured as a rolling average: (a) </w:t>
            </w:r>
            <w:r w:rsidRPr="00A31BE0">
              <w:rPr>
                <w:rFonts w:ascii="Jacobs Chronos" w:hAnsi="Jacobs Chronos" w:cs="Jacobs Chronos"/>
                <w:sz w:val="16"/>
                <w:szCs w:val="16"/>
              </w:rPr>
              <w:lastRenderedPageBreak/>
              <w:t xml:space="preserve">Thomson ‐ Ash forests 150 ha/year, Mixed species forests 15ha/year; (b) Tarago ‐ Ash forests 55 ha/year, Mixed species forests 23ha/year;  (c) Yarra Tributaries – Ash forest 52 ha/year, Mixed species forests 15 ha/year; and (d) Bunyip – Ash forest 15 ha/year, Mixed species forests 15 ha/year. </w:t>
            </w:r>
          </w:p>
        </w:tc>
        <w:tc>
          <w:tcPr>
            <w:tcW w:w="578" w:type="pct"/>
            <w:shd w:val="clear" w:color="auto" w:fill="FFFFFF" w:themeFill="background1"/>
          </w:tcPr>
          <w:p w14:paraId="74FBBFD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8FAD98A" w14:textId="77777777" w:rsidR="00FB1D26" w:rsidRPr="00A31BE0" w:rsidRDefault="00FB1D26" w:rsidP="00C31A7B">
            <w:pPr>
              <w:jc w:val="center"/>
              <w:rPr>
                <w:rFonts w:ascii="Jacobs Chronos" w:hAnsi="Jacobs Chronos" w:cs="Jacobs Chronos"/>
                <w:sz w:val="16"/>
                <w:szCs w:val="16"/>
              </w:rPr>
            </w:pPr>
          </w:p>
        </w:tc>
      </w:tr>
      <w:tr w:rsidR="00FB1D26" w:rsidRPr="00A31BE0" w14:paraId="412383E1" w14:textId="77777777" w:rsidTr="00E81409">
        <w:trPr>
          <w:trHeight w:val="397"/>
        </w:trPr>
        <w:tc>
          <w:tcPr>
            <w:tcW w:w="741" w:type="pct"/>
            <w:shd w:val="clear" w:color="auto" w:fill="FFF2CC"/>
          </w:tcPr>
          <w:p w14:paraId="0CB5079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7F1198E"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176E0D1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3.5.1.7 In addition to Table 11 Water supply protection areas, in the Rocky and Betka River catchments in the East Gippsland FMA, no new road crossings may be built on major streams. </w:t>
            </w:r>
          </w:p>
        </w:tc>
        <w:tc>
          <w:tcPr>
            <w:tcW w:w="578" w:type="pct"/>
            <w:shd w:val="clear" w:color="auto" w:fill="FFFFFF" w:themeFill="background1"/>
          </w:tcPr>
          <w:p w14:paraId="73F80CA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E0A6DD0" w14:textId="77777777" w:rsidR="00FB1D26" w:rsidRPr="00A31BE0" w:rsidRDefault="00FB1D26" w:rsidP="00C31A7B">
            <w:pPr>
              <w:jc w:val="center"/>
              <w:rPr>
                <w:rFonts w:ascii="Jacobs Chronos" w:hAnsi="Jacobs Chronos" w:cs="Jacobs Chronos"/>
                <w:sz w:val="16"/>
                <w:szCs w:val="16"/>
              </w:rPr>
            </w:pPr>
          </w:p>
        </w:tc>
      </w:tr>
      <w:tr w:rsidR="00FB1D26" w:rsidRPr="00A31BE0" w14:paraId="025F4D69" w14:textId="77777777" w:rsidTr="00E81409">
        <w:trPr>
          <w:trHeight w:val="397"/>
        </w:trPr>
        <w:tc>
          <w:tcPr>
            <w:tcW w:w="741" w:type="pct"/>
          </w:tcPr>
          <w:p w14:paraId="0A8714E0" w14:textId="77777777" w:rsidR="00FB1D26" w:rsidRPr="00A31BE0" w:rsidRDefault="00FB1D26" w:rsidP="00E81409">
            <w:pPr>
              <w:rPr>
                <w:rFonts w:ascii="Jacobs Chronos" w:hAnsi="Jacobs Chronos" w:cs="Jacobs Chronos"/>
                <w:sz w:val="16"/>
                <w:szCs w:val="16"/>
              </w:rPr>
            </w:pPr>
          </w:p>
        </w:tc>
        <w:tc>
          <w:tcPr>
            <w:tcW w:w="392" w:type="pct"/>
          </w:tcPr>
          <w:p w14:paraId="7B38897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5.01</w:t>
            </w:r>
          </w:p>
        </w:tc>
        <w:tc>
          <w:tcPr>
            <w:tcW w:w="2767" w:type="pct"/>
          </w:tcPr>
          <w:p w14:paraId="42FDE3D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Does the FCP correctly note that the coupe is or is not located in a water supply catchment?</w:t>
            </w:r>
          </w:p>
        </w:tc>
        <w:tc>
          <w:tcPr>
            <w:tcW w:w="578" w:type="pct"/>
            <w:shd w:val="clear" w:color="auto" w:fill="FFFFFF" w:themeFill="background1"/>
          </w:tcPr>
          <w:p w14:paraId="211A415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0748793A"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07031C26" w14:textId="77777777" w:rsidTr="00E81409">
        <w:trPr>
          <w:trHeight w:val="397"/>
        </w:trPr>
        <w:tc>
          <w:tcPr>
            <w:tcW w:w="741" w:type="pct"/>
          </w:tcPr>
          <w:p w14:paraId="1D29767C" w14:textId="77777777" w:rsidR="00FB1D26" w:rsidRPr="00A31BE0" w:rsidRDefault="00FB1D26" w:rsidP="00E81409">
            <w:pPr>
              <w:rPr>
                <w:rFonts w:ascii="Jacobs Chronos" w:hAnsi="Jacobs Chronos" w:cs="Jacobs Chronos"/>
                <w:sz w:val="16"/>
                <w:szCs w:val="16"/>
              </w:rPr>
            </w:pPr>
          </w:p>
        </w:tc>
        <w:tc>
          <w:tcPr>
            <w:tcW w:w="392" w:type="pct"/>
          </w:tcPr>
          <w:p w14:paraId="5AB3358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5.02</w:t>
            </w:r>
          </w:p>
        </w:tc>
        <w:tc>
          <w:tcPr>
            <w:tcW w:w="2767" w:type="pct"/>
          </w:tcPr>
          <w:p w14:paraId="2818B17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For relevant couples located in WSPA/DWSC, have the applicable slope limits, seasonal closures, buffer and filter strip widths and other relevant management actions specified in Table 11 been correctly applied on the coupe?</w:t>
            </w:r>
          </w:p>
        </w:tc>
        <w:tc>
          <w:tcPr>
            <w:tcW w:w="578" w:type="pct"/>
            <w:shd w:val="clear" w:color="auto" w:fill="FFFFFF" w:themeFill="background1"/>
          </w:tcPr>
          <w:p w14:paraId="565DEC8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P</w:t>
            </w:r>
          </w:p>
        </w:tc>
        <w:tc>
          <w:tcPr>
            <w:tcW w:w="522" w:type="pct"/>
            <w:shd w:val="clear" w:color="auto" w:fill="FFFFFF" w:themeFill="background1"/>
          </w:tcPr>
          <w:p w14:paraId="6C475134"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78BF8EC9" w14:textId="77777777" w:rsidTr="00E81409">
        <w:trPr>
          <w:trHeight w:val="397"/>
        </w:trPr>
        <w:tc>
          <w:tcPr>
            <w:tcW w:w="741" w:type="pct"/>
          </w:tcPr>
          <w:p w14:paraId="1D5B92C8" w14:textId="77777777" w:rsidR="00FB1D26" w:rsidRPr="00A31BE0" w:rsidRDefault="00FB1D26" w:rsidP="00E81409">
            <w:pPr>
              <w:rPr>
                <w:rFonts w:ascii="Jacobs Chronos" w:hAnsi="Jacobs Chronos" w:cs="Jacobs Chronos"/>
                <w:sz w:val="16"/>
                <w:szCs w:val="16"/>
              </w:rPr>
            </w:pPr>
          </w:p>
        </w:tc>
        <w:tc>
          <w:tcPr>
            <w:tcW w:w="392" w:type="pct"/>
          </w:tcPr>
          <w:p w14:paraId="5D1AC63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5.03</w:t>
            </w:r>
          </w:p>
        </w:tc>
        <w:tc>
          <w:tcPr>
            <w:tcW w:w="2767" w:type="pct"/>
          </w:tcPr>
          <w:p w14:paraId="67340C3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For relevant couples located in WSPA/DWSC, are the applicable stream buffers correctly applied on the coupe?</w:t>
            </w:r>
          </w:p>
        </w:tc>
        <w:tc>
          <w:tcPr>
            <w:tcW w:w="578" w:type="pct"/>
            <w:shd w:val="clear" w:color="auto" w:fill="FFFFFF" w:themeFill="background1"/>
          </w:tcPr>
          <w:p w14:paraId="52C5961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011AB5D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92C6B4C" w14:textId="77777777" w:rsidTr="00E81409">
        <w:trPr>
          <w:trHeight w:val="397"/>
        </w:trPr>
        <w:tc>
          <w:tcPr>
            <w:tcW w:w="741" w:type="pct"/>
          </w:tcPr>
          <w:p w14:paraId="67D5BB5D" w14:textId="77777777" w:rsidR="00FB1D26" w:rsidRPr="00A31BE0" w:rsidRDefault="00FB1D26" w:rsidP="00E81409">
            <w:pPr>
              <w:rPr>
                <w:rFonts w:ascii="Jacobs Chronos" w:hAnsi="Jacobs Chronos" w:cs="Jacobs Chronos"/>
                <w:sz w:val="16"/>
                <w:szCs w:val="16"/>
              </w:rPr>
            </w:pPr>
          </w:p>
        </w:tc>
        <w:tc>
          <w:tcPr>
            <w:tcW w:w="392" w:type="pct"/>
          </w:tcPr>
          <w:p w14:paraId="0D81DE6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5.04</w:t>
            </w:r>
          </w:p>
        </w:tc>
        <w:tc>
          <w:tcPr>
            <w:tcW w:w="2767" w:type="pct"/>
          </w:tcPr>
          <w:p w14:paraId="4A3D629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For relevant couples located in WSPA/DWSC, are the applicable maximum annual areas harvested noted in the FCP and correctly applied on the coupe?</w:t>
            </w:r>
          </w:p>
        </w:tc>
        <w:tc>
          <w:tcPr>
            <w:tcW w:w="578" w:type="pct"/>
            <w:shd w:val="clear" w:color="auto" w:fill="FFFFFF" w:themeFill="background1"/>
          </w:tcPr>
          <w:p w14:paraId="2FFD1B6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1C10BCEC"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352F1F8F" w14:textId="77777777" w:rsidTr="00E81409">
        <w:trPr>
          <w:trHeight w:val="397"/>
        </w:trPr>
        <w:tc>
          <w:tcPr>
            <w:tcW w:w="741" w:type="pct"/>
          </w:tcPr>
          <w:p w14:paraId="481D19FA" w14:textId="77777777" w:rsidR="00FB1D26" w:rsidRPr="00A31BE0" w:rsidRDefault="00FB1D26" w:rsidP="00E81409">
            <w:pPr>
              <w:rPr>
                <w:rFonts w:ascii="Jacobs Chronos" w:hAnsi="Jacobs Chronos" w:cs="Jacobs Chronos"/>
                <w:sz w:val="16"/>
                <w:szCs w:val="16"/>
              </w:rPr>
            </w:pPr>
          </w:p>
        </w:tc>
        <w:tc>
          <w:tcPr>
            <w:tcW w:w="392" w:type="pct"/>
          </w:tcPr>
          <w:p w14:paraId="1F7A5DB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5.05</w:t>
            </w:r>
          </w:p>
        </w:tc>
        <w:tc>
          <w:tcPr>
            <w:tcW w:w="2767" w:type="pct"/>
          </w:tcPr>
          <w:p w14:paraId="346A23C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For relevant couples located in WSPA/DWSC, if timber harvesting operations are not conducted in accordance with the relevant MSP prescriptions, has Ministerial approval been obtained in accordance with MSP section 1.5 and Appendix 1 prior to harvesting commencing?</w:t>
            </w:r>
          </w:p>
        </w:tc>
        <w:tc>
          <w:tcPr>
            <w:tcW w:w="578" w:type="pct"/>
            <w:shd w:val="clear" w:color="auto" w:fill="FFFFFF" w:themeFill="background1"/>
          </w:tcPr>
          <w:p w14:paraId="66EB4B2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6BAF0A68" w14:textId="65242319" w:rsidR="00FB1D26" w:rsidRPr="00A31BE0" w:rsidRDefault="003475F6"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2CD79027" w14:textId="77777777" w:rsidTr="00E81409">
        <w:trPr>
          <w:trHeight w:val="397"/>
        </w:trPr>
        <w:tc>
          <w:tcPr>
            <w:tcW w:w="741" w:type="pct"/>
            <w:shd w:val="clear" w:color="auto" w:fill="FCE4D6"/>
          </w:tcPr>
          <w:p w14:paraId="6BDA7A7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798954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73A27B4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2.2.1.2 Management actions to protect waterways, river health and soil must be appropriate to the waterway class, soil category, and potential water quality risk posed by timber harvesting operations at each site.</w:t>
            </w:r>
          </w:p>
        </w:tc>
        <w:tc>
          <w:tcPr>
            <w:tcW w:w="578" w:type="pct"/>
            <w:shd w:val="clear" w:color="auto" w:fill="FFFFFF" w:themeFill="background1"/>
          </w:tcPr>
          <w:p w14:paraId="3B61755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4DF7D53" w14:textId="77777777" w:rsidR="00FB1D26" w:rsidRPr="00A31BE0" w:rsidRDefault="00FB1D26" w:rsidP="00C31A7B">
            <w:pPr>
              <w:jc w:val="center"/>
              <w:rPr>
                <w:rFonts w:ascii="Jacobs Chronos" w:hAnsi="Jacobs Chronos" w:cs="Jacobs Chronos"/>
                <w:sz w:val="16"/>
                <w:szCs w:val="16"/>
              </w:rPr>
            </w:pPr>
          </w:p>
        </w:tc>
      </w:tr>
      <w:tr w:rsidR="00FB1D26" w:rsidRPr="00A31BE0" w14:paraId="11DD451F" w14:textId="77777777" w:rsidTr="00E81409">
        <w:trPr>
          <w:trHeight w:val="397"/>
        </w:trPr>
        <w:tc>
          <w:tcPr>
            <w:tcW w:w="741" w:type="pct"/>
            <w:shd w:val="clear" w:color="auto" w:fill="FCE4D6"/>
          </w:tcPr>
          <w:p w14:paraId="64C1E81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7DF1452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2BF67C4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2.2.1.3 Additional measures to protect water quality and aquatic habitat (including widening buffers or filter strips) must be adopted within coupes where there is a high local risk due to: i. local topography; ii. the intensity and magnitude of the timber harvesting operation; iii. events such as wildfire that reduce the effectiveness of protection measures; or iv. the location of the timber harvesting operation in a declared Special Water Supply Catchment or any other water supply protection area.</w:t>
            </w:r>
          </w:p>
        </w:tc>
        <w:tc>
          <w:tcPr>
            <w:tcW w:w="578" w:type="pct"/>
            <w:shd w:val="clear" w:color="auto" w:fill="FFFFFF" w:themeFill="background1"/>
          </w:tcPr>
          <w:p w14:paraId="2A0A6F8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D668A87" w14:textId="77777777" w:rsidR="00FB1D26" w:rsidRPr="00A31BE0" w:rsidRDefault="00FB1D26" w:rsidP="00C31A7B">
            <w:pPr>
              <w:jc w:val="center"/>
              <w:rPr>
                <w:rFonts w:ascii="Jacobs Chronos" w:hAnsi="Jacobs Chronos" w:cs="Jacobs Chronos"/>
                <w:sz w:val="16"/>
                <w:szCs w:val="16"/>
              </w:rPr>
            </w:pPr>
          </w:p>
        </w:tc>
      </w:tr>
      <w:tr w:rsidR="00FB1D26" w:rsidRPr="00A31BE0" w14:paraId="643BE491" w14:textId="77777777" w:rsidTr="00E81409">
        <w:trPr>
          <w:trHeight w:val="397"/>
        </w:trPr>
        <w:tc>
          <w:tcPr>
            <w:tcW w:w="741" w:type="pct"/>
          </w:tcPr>
          <w:p w14:paraId="70B17546" w14:textId="77777777" w:rsidR="00FB1D26" w:rsidRPr="00A31BE0" w:rsidRDefault="00FB1D26" w:rsidP="00E81409">
            <w:pPr>
              <w:rPr>
                <w:rFonts w:ascii="Jacobs Chronos" w:hAnsi="Jacobs Chronos" w:cs="Jacobs Chronos"/>
                <w:sz w:val="16"/>
                <w:szCs w:val="16"/>
              </w:rPr>
            </w:pPr>
          </w:p>
        </w:tc>
        <w:tc>
          <w:tcPr>
            <w:tcW w:w="392" w:type="pct"/>
          </w:tcPr>
          <w:p w14:paraId="62ECF56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6.01</w:t>
            </w:r>
          </w:p>
        </w:tc>
        <w:tc>
          <w:tcPr>
            <w:tcW w:w="2767" w:type="pct"/>
          </w:tcPr>
          <w:p w14:paraId="378FCE6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is there evidence from the coupe which suggests that management actions to protect waterways, river health and soil have not been appropriate to protect waterways, river health and soil?</w:t>
            </w:r>
          </w:p>
        </w:tc>
        <w:tc>
          <w:tcPr>
            <w:tcW w:w="578" w:type="pct"/>
            <w:shd w:val="clear" w:color="auto" w:fill="FFFFFF" w:themeFill="background1"/>
          </w:tcPr>
          <w:p w14:paraId="22EF338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D, C, I, P</w:t>
            </w:r>
          </w:p>
        </w:tc>
        <w:tc>
          <w:tcPr>
            <w:tcW w:w="522" w:type="pct"/>
            <w:shd w:val="clear" w:color="auto" w:fill="FFFFFF" w:themeFill="background1"/>
          </w:tcPr>
          <w:p w14:paraId="4D983BD3"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72</w:t>
            </w:r>
          </w:p>
        </w:tc>
      </w:tr>
      <w:tr w:rsidR="00FB1D26" w:rsidRPr="00A31BE0" w14:paraId="0E0FBD88" w14:textId="77777777" w:rsidTr="00E81409">
        <w:trPr>
          <w:trHeight w:val="397"/>
        </w:trPr>
        <w:tc>
          <w:tcPr>
            <w:tcW w:w="741" w:type="pct"/>
          </w:tcPr>
          <w:p w14:paraId="68BC837D" w14:textId="77777777" w:rsidR="00FB1D26" w:rsidRPr="00A31BE0" w:rsidRDefault="00FB1D26" w:rsidP="00E81409">
            <w:pPr>
              <w:rPr>
                <w:rFonts w:ascii="Jacobs Chronos" w:hAnsi="Jacobs Chronos" w:cs="Jacobs Chronos"/>
                <w:sz w:val="16"/>
                <w:szCs w:val="16"/>
              </w:rPr>
            </w:pPr>
          </w:p>
        </w:tc>
        <w:tc>
          <w:tcPr>
            <w:tcW w:w="392" w:type="pct"/>
          </w:tcPr>
          <w:p w14:paraId="230D331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6.02</w:t>
            </w:r>
          </w:p>
        </w:tc>
        <w:tc>
          <w:tcPr>
            <w:tcW w:w="2767" w:type="pct"/>
          </w:tcPr>
          <w:p w14:paraId="4C6CF92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ITAO additional measures were required to protect water quality and aquatic habitat due to local risk factors, were any undertaken?</w:t>
            </w:r>
          </w:p>
        </w:tc>
        <w:tc>
          <w:tcPr>
            <w:tcW w:w="578" w:type="pct"/>
            <w:shd w:val="clear" w:color="auto" w:fill="FFFFFF" w:themeFill="background1"/>
          </w:tcPr>
          <w:p w14:paraId="0B9F2F2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C, M, I, P</w:t>
            </w:r>
          </w:p>
        </w:tc>
        <w:tc>
          <w:tcPr>
            <w:tcW w:w="522" w:type="pct"/>
            <w:shd w:val="clear" w:color="auto" w:fill="FFFFFF" w:themeFill="background1"/>
          </w:tcPr>
          <w:p w14:paraId="74E19B4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4185A75" w14:textId="77777777" w:rsidTr="00E81409">
        <w:trPr>
          <w:trHeight w:val="397"/>
        </w:trPr>
        <w:tc>
          <w:tcPr>
            <w:tcW w:w="741" w:type="pct"/>
          </w:tcPr>
          <w:p w14:paraId="0CE6B4E5" w14:textId="77777777" w:rsidR="00FB1D26" w:rsidRPr="00A31BE0" w:rsidRDefault="00FB1D26" w:rsidP="00E81409">
            <w:pPr>
              <w:rPr>
                <w:rFonts w:ascii="Jacobs Chronos" w:hAnsi="Jacobs Chronos" w:cs="Jacobs Chronos"/>
                <w:sz w:val="16"/>
                <w:szCs w:val="16"/>
              </w:rPr>
            </w:pPr>
          </w:p>
        </w:tc>
        <w:tc>
          <w:tcPr>
            <w:tcW w:w="392" w:type="pct"/>
          </w:tcPr>
          <w:p w14:paraId="09B6684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6.03</w:t>
            </w:r>
          </w:p>
        </w:tc>
        <w:tc>
          <w:tcPr>
            <w:tcW w:w="2767" w:type="pct"/>
          </w:tcPr>
          <w:p w14:paraId="35CBDA7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Where ITAO additional measures were required and undertaken, were they effective in protect water quality and aquatic habitat</w:t>
            </w:r>
          </w:p>
        </w:tc>
        <w:tc>
          <w:tcPr>
            <w:tcW w:w="578" w:type="pct"/>
            <w:shd w:val="clear" w:color="auto" w:fill="FFFFFF" w:themeFill="background1"/>
          </w:tcPr>
          <w:p w14:paraId="6887E8A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C, M, I</w:t>
            </w:r>
          </w:p>
        </w:tc>
        <w:tc>
          <w:tcPr>
            <w:tcW w:w="522" w:type="pct"/>
            <w:shd w:val="clear" w:color="auto" w:fill="FFFFFF" w:themeFill="background1"/>
          </w:tcPr>
          <w:p w14:paraId="40F64DE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92</w:t>
            </w:r>
          </w:p>
        </w:tc>
      </w:tr>
      <w:tr w:rsidR="00FB1D26" w:rsidRPr="00A31BE0" w14:paraId="1C55CCF2" w14:textId="77777777" w:rsidTr="00E81409">
        <w:trPr>
          <w:trHeight w:val="397"/>
        </w:trPr>
        <w:tc>
          <w:tcPr>
            <w:tcW w:w="741" w:type="pct"/>
            <w:shd w:val="clear" w:color="auto" w:fill="FCE4D6"/>
          </w:tcPr>
          <w:p w14:paraId="755320C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111D702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16527D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2.2.1.5 Where practical exclude roads and snig tracks from aquatic and riparian habitats.</w:t>
            </w:r>
          </w:p>
        </w:tc>
        <w:tc>
          <w:tcPr>
            <w:tcW w:w="578" w:type="pct"/>
            <w:shd w:val="clear" w:color="auto" w:fill="FFFFFF" w:themeFill="background1"/>
          </w:tcPr>
          <w:p w14:paraId="10B562F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9A2F9CC" w14:textId="77777777" w:rsidR="00FB1D26" w:rsidRPr="00A31BE0" w:rsidRDefault="00FB1D26" w:rsidP="00C31A7B">
            <w:pPr>
              <w:jc w:val="center"/>
              <w:rPr>
                <w:rFonts w:ascii="Jacobs Chronos" w:hAnsi="Jacobs Chronos" w:cs="Jacobs Chronos"/>
                <w:sz w:val="16"/>
                <w:szCs w:val="16"/>
              </w:rPr>
            </w:pPr>
          </w:p>
        </w:tc>
      </w:tr>
      <w:tr w:rsidR="00FB1D26" w:rsidRPr="00A31BE0" w14:paraId="5A9606BC" w14:textId="77777777" w:rsidTr="00E81409">
        <w:trPr>
          <w:trHeight w:val="397"/>
        </w:trPr>
        <w:tc>
          <w:tcPr>
            <w:tcW w:w="741" w:type="pct"/>
            <w:shd w:val="clear" w:color="auto" w:fill="FCE4D6"/>
          </w:tcPr>
          <w:p w14:paraId="22A41E7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0D3221D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749D23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2.2.1.6 Where crossings are required, minimise the extent of habitat damage, constriction to stream flow and barriers to fish and other aquatic fauna.</w:t>
            </w:r>
          </w:p>
        </w:tc>
        <w:tc>
          <w:tcPr>
            <w:tcW w:w="578" w:type="pct"/>
            <w:shd w:val="clear" w:color="auto" w:fill="FFFFFF" w:themeFill="background1"/>
          </w:tcPr>
          <w:p w14:paraId="46121A90"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F91E1F3" w14:textId="77777777" w:rsidR="00FB1D26" w:rsidRPr="00A31BE0" w:rsidRDefault="00FB1D26" w:rsidP="00C31A7B">
            <w:pPr>
              <w:jc w:val="center"/>
              <w:rPr>
                <w:rFonts w:ascii="Jacobs Chronos" w:hAnsi="Jacobs Chronos" w:cs="Jacobs Chronos"/>
                <w:sz w:val="16"/>
                <w:szCs w:val="16"/>
              </w:rPr>
            </w:pPr>
          </w:p>
        </w:tc>
      </w:tr>
      <w:tr w:rsidR="00FB1D26" w:rsidRPr="00A31BE0" w14:paraId="5F5239A6" w14:textId="77777777" w:rsidTr="00E81409">
        <w:trPr>
          <w:trHeight w:val="397"/>
        </w:trPr>
        <w:tc>
          <w:tcPr>
            <w:tcW w:w="741" w:type="pct"/>
            <w:shd w:val="clear" w:color="auto" w:fill="FCE4D6"/>
          </w:tcPr>
          <w:p w14:paraId="488D43D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6E71993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1710306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2.2.1.7 Remove temporary crossings immediately after harvesting or any subsequent regeneration work is complete using a technique that minimises soil and habitat disturbance.</w:t>
            </w:r>
          </w:p>
        </w:tc>
        <w:tc>
          <w:tcPr>
            <w:tcW w:w="578" w:type="pct"/>
            <w:shd w:val="clear" w:color="auto" w:fill="FFFFFF" w:themeFill="background1"/>
          </w:tcPr>
          <w:p w14:paraId="631D62F0"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9697FA1" w14:textId="77777777" w:rsidR="00FB1D26" w:rsidRPr="00A31BE0" w:rsidRDefault="00FB1D26" w:rsidP="00C31A7B">
            <w:pPr>
              <w:jc w:val="center"/>
              <w:rPr>
                <w:rFonts w:ascii="Jacobs Chronos" w:hAnsi="Jacobs Chronos" w:cs="Jacobs Chronos"/>
                <w:sz w:val="16"/>
                <w:szCs w:val="16"/>
              </w:rPr>
            </w:pPr>
          </w:p>
        </w:tc>
      </w:tr>
      <w:tr w:rsidR="00FB1D26" w:rsidRPr="00A31BE0" w14:paraId="645A22D0" w14:textId="77777777" w:rsidTr="00E81409">
        <w:trPr>
          <w:trHeight w:val="397"/>
        </w:trPr>
        <w:tc>
          <w:tcPr>
            <w:tcW w:w="741" w:type="pct"/>
            <w:shd w:val="clear" w:color="auto" w:fill="FCE4D6"/>
          </w:tcPr>
          <w:p w14:paraId="707A806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69BD25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42E244C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2.2.1.8 Use drainage, artificial structures, buffers and filters of effective width to slow and disperse surface flows and deposit sediment before reaching waterways.</w:t>
            </w:r>
          </w:p>
        </w:tc>
        <w:tc>
          <w:tcPr>
            <w:tcW w:w="578" w:type="pct"/>
            <w:shd w:val="clear" w:color="auto" w:fill="FFFFFF" w:themeFill="background1"/>
          </w:tcPr>
          <w:p w14:paraId="7D755DF5"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AA26DC7" w14:textId="77777777" w:rsidR="00FB1D26" w:rsidRPr="00A31BE0" w:rsidRDefault="00FB1D26" w:rsidP="00C31A7B">
            <w:pPr>
              <w:jc w:val="center"/>
              <w:rPr>
                <w:rFonts w:ascii="Jacobs Chronos" w:hAnsi="Jacobs Chronos" w:cs="Jacobs Chronos"/>
                <w:sz w:val="16"/>
                <w:szCs w:val="16"/>
              </w:rPr>
            </w:pPr>
          </w:p>
        </w:tc>
      </w:tr>
      <w:tr w:rsidR="00FB1D26" w:rsidRPr="00A31BE0" w14:paraId="23ABB1C5" w14:textId="77777777" w:rsidTr="00E81409">
        <w:trPr>
          <w:trHeight w:val="397"/>
        </w:trPr>
        <w:tc>
          <w:tcPr>
            <w:tcW w:w="741" w:type="pct"/>
            <w:shd w:val="clear" w:color="auto" w:fill="FCE4D6"/>
          </w:tcPr>
          <w:p w14:paraId="70F6764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A237CA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7E71A878" w14:textId="18F47394"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2.2.1.12 Design, construct and maintain roads, crossings, coupe infrastructure and drainage structures to withstand foreseeable rainfall events and traffic </w:t>
            </w:r>
            <w:r w:rsidR="00CE35B5" w:rsidRPr="00A31BE0">
              <w:rPr>
                <w:rFonts w:ascii="Jacobs Chronos" w:hAnsi="Jacobs Chronos" w:cs="Jacobs Chronos"/>
                <w:sz w:val="16"/>
                <w:szCs w:val="16"/>
              </w:rPr>
              <w:t>conditions and</w:t>
            </w:r>
            <w:r w:rsidRPr="00A31BE0">
              <w:rPr>
                <w:rFonts w:ascii="Jacobs Chronos" w:hAnsi="Jacobs Chronos" w:cs="Jacobs Chronos"/>
                <w:sz w:val="16"/>
                <w:szCs w:val="16"/>
              </w:rPr>
              <w:t xml:space="preserve"> protect water quality.</w:t>
            </w:r>
          </w:p>
        </w:tc>
        <w:tc>
          <w:tcPr>
            <w:tcW w:w="578" w:type="pct"/>
            <w:shd w:val="clear" w:color="auto" w:fill="FFFFFF" w:themeFill="background1"/>
          </w:tcPr>
          <w:p w14:paraId="6958FE53"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621A460" w14:textId="77777777" w:rsidR="00FB1D26" w:rsidRPr="00A31BE0" w:rsidRDefault="00FB1D26" w:rsidP="00C31A7B">
            <w:pPr>
              <w:jc w:val="center"/>
              <w:rPr>
                <w:rFonts w:ascii="Jacobs Chronos" w:hAnsi="Jacobs Chronos" w:cs="Jacobs Chronos"/>
                <w:sz w:val="16"/>
                <w:szCs w:val="16"/>
              </w:rPr>
            </w:pPr>
          </w:p>
        </w:tc>
      </w:tr>
      <w:tr w:rsidR="00FB1D26" w:rsidRPr="00A31BE0" w14:paraId="73C81A53" w14:textId="77777777" w:rsidTr="00E81409">
        <w:trPr>
          <w:trHeight w:val="397"/>
        </w:trPr>
        <w:tc>
          <w:tcPr>
            <w:tcW w:w="741" w:type="pct"/>
          </w:tcPr>
          <w:p w14:paraId="0CCFA391" w14:textId="77777777" w:rsidR="00FB1D26" w:rsidRPr="00A31BE0" w:rsidRDefault="00FB1D26" w:rsidP="00E81409">
            <w:pPr>
              <w:rPr>
                <w:rFonts w:ascii="Jacobs Chronos" w:hAnsi="Jacobs Chronos" w:cs="Jacobs Chronos"/>
                <w:sz w:val="16"/>
                <w:szCs w:val="16"/>
              </w:rPr>
            </w:pPr>
          </w:p>
        </w:tc>
        <w:tc>
          <w:tcPr>
            <w:tcW w:w="392" w:type="pct"/>
          </w:tcPr>
          <w:p w14:paraId="14C2B2B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7.01</w:t>
            </w:r>
          </w:p>
        </w:tc>
        <w:tc>
          <w:tcPr>
            <w:tcW w:w="2767" w:type="pct"/>
          </w:tcPr>
          <w:p w14:paraId="0C4EE36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roads and snig tracks have not been excluded from aquatic and riparian habitats, ITAO was it reasonably practicable to have done so?</w:t>
            </w:r>
          </w:p>
        </w:tc>
        <w:tc>
          <w:tcPr>
            <w:tcW w:w="578" w:type="pct"/>
            <w:shd w:val="clear" w:color="auto" w:fill="FFFFFF" w:themeFill="background1"/>
          </w:tcPr>
          <w:p w14:paraId="4977E1B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C, I, P</w:t>
            </w:r>
          </w:p>
        </w:tc>
        <w:tc>
          <w:tcPr>
            <w:tcW w:w="522" w:type="pct"/>
            <w:shd w:val="clear" w:color="auto" w:fill="FFFFFF" w:themeFill="background1"/>
          </w:tcPr>
          <w:p w14:paraId="171AA21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5153D251" w14:textId="77777777" w:rsidTr="00E81409">
        <w:trPr>
          <w:trHeight w:val="397"/>
        </w:trPr>
        <w:tc>
          <w:tcPr>
            <w:tcW w:w="741" w:type="pct"/>
          </w:tcPr>
          <w:p w14:paraId="5EA6CC2D" w14:textId="77777777" w:rsidR="00FB1D26" w:rsidRPr="00A31BE0" w:rsidRDefault="00FB1D26" w:rsidP="00E81409">
            <w:pPr>
              <w:rPr>
                <w:rFonts w:ascii="Jacobs Chronos" w:hAnsi="Jacobs Chronos" w:cs="Jacobs Chronos"/>
                <w:sz w:val="16"/>
                <w:szCs w:val="16"/>
              </w:rPr>
            </w:pPr>
          </w:p>
        </w:tc>
        <w:tc>
          <w:tcPr>
            <w:tcW w:w="392" w:type="pct"/>
          </w:tcPr>
          <w:p w14:paraId="3FF3B51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7.02</w:t>
            </w:r>
          </w:p>
        </w:tc>
        <w:tc>
          <w:tcPr>
            <w:tcW w:w="2767" w:type="pct"/>
          </w:tcPr>
          <w:p w14:paraId="0376E59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For coupes with road and/or snig track waterway crossings, ITAO did the crossing minimise the extent of habitat damage and, where relevant, constriction to stream flow and/or barriers to fish and other aquatic fauna?</w:t>
            </w:r>
          </w:p>
        </w:tc>
        <w:tc>
          <w:tcPr>
            <w:tcW w:w="578" w:type="pct"/>
            <w:shd w:val="clear" w:color="auto" w:fill="FFFFFF" w:themeFill="background1"/>
          </w:tcPr>
          <w:p w14:paraId="03516D4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D, C, I</w:t>
            </w:r>
          </w:p>
        </w:tc>
        <w:tc>
          <w:tcPr>
            <w:tcW w:w="522" w:type="pct"/>
            <w:shd w:val="clear" w:color="auto" w:fill="FFFFFF" w:themeFill="background1"/>
          </w:tcPr>
          <w:p w14:paraId="65D902F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92</w:t>
            </w:r>
          </w:p>
        </w:tc>
      </w:tr>
      <w:tr w:rsidR="00FB1D26" w:rsidRPr="00A31BE0" w14:paraId="612C2AE0" w14:textId="77777777" w:rsidTr="00E81409">
        <w:trPr>
          <w:trHeight w:val="397"/>
        </w:trPr>
        <w:tc>
          <w:tcPr>
            <w:tcW w:w="741" w:type="pct"/>
          </w:tcPr>
          <w:p w14:paraId="17B83F53" w14:textId="77777777" w:rsidR="00FB1D26" w:rsidRPr="00A31BE0" w:rsidRDefault="00FB1D26" w:rsidP="00E81409">
            <w:pPr>
              <w:rPr>
                <w:rFonts w:ascii="Jacobs Chronos" w:hAnsi="Jacobs Chronos" w:cs="Jacobs Chronos"/>
                <w:sz w:val="16"/>
                <w:szCs w:val="16"/>
              </w:rPr>
            </w:pPr>
          </w:p>
        </w:tc>
        <w:tc>
          <w:tcPr>
            <w:tcW w:w="392" w:type="pct"/>
          </w:tcPr>
          <w:p w14:paraId="12621B1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7.03</w:t>
            </w:r>
          </w:p>
        </w:tc>
        <w:tc>
          <w:tcPr>
            <w:tcW w:w="2767" w:type="pct"/>
          </w:tcPr>
          <w:p w14:paraId="58B5DCD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has the crossing been removed as soon as reasonably practicable following harvesting or regeneration work?</w:t>
            </w:r>
          </w:p>
        </w:tc>
        <w:tc>
          <w:tcPr>
            <w:tcW w:w="578" w:type="pct"/>
            <w:shd w:val="clear" w:color="auto" w:fill="FFFFFF" w:themeFill="background1"/>
          </w:tcPr>
          <w:p w14:paraId="53E68A6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M, I</w:t>
            </w:r>
          </w:p>
        </w:tc>
        <w:tc>
          <w:tcPr>
            <w:tcW w:w="522" w:type="pct"/>
            <w:shd w:val="clear" w:color="auto" w:fill="FFFFFF" w:themeFill="background1"/>
          </w:tcPr>
          <w:p w14:paraId="4E59AC19"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E156107" w14:textId="77777777" w:rsidTr="00E81409">
        <w:trPr>
          <w:trHeight w:val="397"/>
        </w:trPr>
        <w:tc>
          <w:tcPr>
            <w:tcW w:w="741" w:type="pct"/>
          </w:tcPr>
          <w:p w14:paraId="7675AD83" w14:textId="77777777" w:rsidR="00FB1D26" w:rsidRPr="00A31BE0" w:rsidRDefault="00FB1D26" w:rsidP="00E81409">
            <w:pPr>
              <w:rPr>
                <w:rFonts w:ascii="Jacobs Chronos" w:hAnsi="Jacobs Chronos" w:cs="Jacobs Chronos"/>
                <w:sz w:val="16"/>
                <w:szCs w:val="16"/>
              </w:rPr>
            </w:pPr>
          </w:p>
        </w:tc>
        <w:tc>
          <w:tcPr>
            <w:tcW w:w="392" w:type="pct"/>
          </w:tcPr>
          <w:p w14:paraId="1B8E682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7.04</w:t>
            </w:r>
          </w:p>
        </w:tc>
        <w:tc>
          <w:tcPr>
            <w:tcW w:w="2767" w:type="pct"/>
          </w:tcPr>
          <w:p w14:paraId="413DCFC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has removal of the crossing been undertaken in a manner that has minimised soil and habitat disturbance?</w:t>
            </w:r>
          </w:p>
        </w:tc>
        <w:tc>
          <w:tcPr>
            <w:tcW w:w="578" w:type="pct"/>
            <w:shd w:val="clear" w:color="auto" w:fill="FFFFFF" w:themeFill="background1"/>
          </w:tcPr>
          <w:p w14:paraId="7B58963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M, I</w:t>
            </w:r>
          </w:p>
        </w:tc>
        <w:tc>
          <w:tcPr>
            <w:tcW w:w="522" w:type="pct"/>
            <w:shd w:val="clear" w:color="auto" w:fill="FFFFFF" w:themeFill="background1"/>
          </w:tcPr>
          <w:p w14:paraId="10880ADC"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C94D353" w14:textId="77777777" w:rsidTr="00E81409">
        <w:trPr>
          <w:trHeight w:val="397"/>
        </w:trPr>
        <w:tc>
          <w:tcPr>
            <w:tcW w:w="741" w:type="pct"/>
          </w:tcPr>
          <w:p w14:paraId="253831D8" w14:textId="77777777" w:rsidR="00FB1D26" w:rsidRPr="00A31BE0" w:rsidRDefault="00FB1D26" w:rsidP="00E81409">
            <w:pPr>
              <w:rPr>
                <w:rFonts w:ascii="Jacobs Chronos" w:hAnsi="Jacobs Chronos" w:cs="Jacobs Chronos"/>
                <w:sz w:val="16"/>
                <w:szCs w:val="16"/>
              </w:rPr>
            </w:pPr>
          </w:p>
        </w:tc>
        <w:tc>
          <w:tcPr>
            <w:tcW w:w="392" w:type="pct"/>
          </w:tcPr>
          <w:p w14:paraId="77DCFF4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7.05</w:t>
            </w:r>
          </w:p>
        </w:tc>
        <w:tc>
          <w:tcPr>
            <w:tcW w:w="2767" w:type="pct"/>
          </w:tcPr>
          <w:p w14:paraId="743B83B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have drainage, artificial structures, buffers and filters of effective width been appropriately used to try to slow and disperse surface flows and deposit sediment before reaching waterways?</w:t>
            </w:r>
          </w:p>
        </w:tc>
        <w:tc>
          <w:tcPr>
            <w:tcW w:w="578" w:type="pct"/>
            <w:shd w:val="clear" w:color="auto" w:fill="FFFFFF" w:themeFill="background1"/>
          </w:tcPr>
          <w:p w14:paraId="2A38F3C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D, C, I</w:t>
            </w:r>
          </w:p>
        </w:tc>
        <w:tc>
          <w:tcPr>
            <w:tcW w:w="522" w:type="pct"/>
            <w:shd w:val="clear" w:color="auto" w:fill="FFFFFF" w:themeFill="background1"/>
          </w:tcPr>
          <w:p w14:paraId="65EDBDBC"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73</w:t>
            </w:r>
          </w:p>
        </w:tc>
      </w:tr>
      <w:tr w:rsidR="00FB1D26" w:rsidRPr="00A31BE0" w14:paraId="349AF4A3" w14:textId="77777777" w:rsidTr="00E81409">
        <w:trPr>
          <w:trHeight w:val="397"/>
        </w:trPr>
        <w:tc>
          <w:tcPr>
            <w:tcW w:w="741" w:type="pct"/>
          </w:tcPr>
          <w:p w14:paraId="247C04ED" w14:textId="77777777" w:rsidR="00FB1D26" w:rsidRPr="00A31BE0" w:rsidRDefault="00FB1D26" w:rsidP="00E81409">
            <w:pPr>
              <w:rPr>
                <w:rFonts w:ascii="Jacobs Chronos" w:hAnsi="Jacobs Chronos" w:cs="Jacobs Chronos"/>
                <w:sz w:val="16"/>
                <w:szCs w:val="16"/>
              </w:rPr>
            </w:pPr>
          </w:p>
        </w:tc>
        <w:tc>
          <w:tcPr>
            <w:tcW w:w="392" w:type="pct"/>
          </w:tcPr>
          <w:p w14:paraId="44D5AF9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7.06</w:t>
            </w:r>
          </w:p>
        </w:tc>
        <w:tc>
          <w:tcPr>
            <w:tcW w:w="2767" w:type="pct"/>
          </w:tcPr>
          <w:p w14:paraId="54BF311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the measures put in place to slow and disperse surface flows and deposit sediment before reaching waterways been effective?</w:t>
            </w:r>
          </w:p>
        </w:tc>
        <w:tc>
          <w:tcPr>
            <w:tcW w:w="578" w:type="pct"/>
            <w:shd w:val="clear" w:color="auto" w:fill="FFFFFF" w:themeFill="background1"/>
          </w:tcPr>
          <w:p w14:paraId="45CB206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 BD, D, C, I</w:t>
            </w:r>
          </w:p>
        </w:tc>
        <w:tc>
          <w:tcPr>
            <w:tcW w:w="522" w:type="pct"/>
            <w:shd w:val="clear" w:color="auto" w:fill="FFFFFF" w:themeFill="background1"/>
          </w:tcPr>
          <w:p w14:paraId="1CA6586C"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55</w:t>
            </w:r>
          </w:p>
        </w:tc>
      </w:tr>
      <w:tr w:rsidR="00FB1D26" w:rsidRPr="00A31BE0" w14:paraId="233FF977" w14:textId="77777777" w:rsidTr="00E81409">
        <w:trPr>
          <w:trHeight w:val="397"/>
        </w:trPr>
        <w:tc>
          <w:tcPr>
            <w:tcW w:w="741" w:type="pct"/>
            <w:shd w:val="clear" w:color="auto" w:fill="FCE4D6"/>
          </w:tcPr>
          <w:p w14:paraId="37A7DD0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DD7C1F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1938175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2.2.1.14 Minimise potential for soil erosion or mass movement by planning and using operational methods and restrictions appropriate to the assessed soil erosion risk and slope.</w:t>
            </w:r>
          </w:p>
        </w:tc>
        <w:tc>
          <w:tcPr>
            <w:tcW w:w="578" w:type="pct"/>
            <w:shd w:val="clear" w:color="auto" w:fill="FFFFFF" w:themeFill="background1"/>
          </w:tcPr>
          <w:p w14:paraId="17E32CF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1408521" w14:textId="77777777" w:rsidR="00FB1D26" w:rsidRPr="00A31BE0" w:rsidRDefault="00FB1D26" w:rsidP="00C31A7B">
            <w:pPr>
              <w:jc w:val="center"/>
              <w:rPr>
                <w:rFonts w:ascii="Jacobs Chronos" w:hAnsi="Jacobs Chronos" w:cs="Jacobs Chronos"/>
                <w:sz w:val="16"/>
                <w:szCs w:val="16"/>
              </w:rPr>
            </w:pPr>
          </w:p>
        </w:tc>
      </w:tr>
      <w:tr w:rsidR="00FB1D26" w:rsidRPr="00A31BE0" w14:paraId="6B7B1B6F" w14:textId="77777777" w:rsidTr="00E81409">
        <w:trPr>
          <w:trHeight w:val="397"/>
        </w:trPr>
        <w:tc>
          <w:tcPr>
            <w:tcW w:w="741" w:type="pct"/>
            <w:shd w:val="clear" w:color="auto" w:fill="FCE4D6"/>
          </w:tcPr>
          <w:p w14:paraId="6851FFB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CCC827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CB4C83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2.2.1.15 Locate coupe infrastructure and roads to minimise soil erosion and degradation.</w:t>
            </w:r>
          </w:p>
        </w:tc>
        <w:tc>
          <w:tcPr>
            <w:tcW w:w="578" w:type="pct"/>
            <w:shd w:val="clear" w:color="auto" w:fill="FFFFFF" w:themeFill="background1"/>
          </w:tcPr>
          <w:p w14:paraId="7E71FBC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5D4457F" w14:textId="77777777" w:rsidR="00FB1D26" w:rsidRPr="00A31BE0" w:rsidRDefault="00FB1D26" w:rsidP="00C31A7B">
            <w:pPr>
              <w:jc w:val="center"/>
              <w:rPr>
                <w:rFonts w:ascii="Jacobs Chronos" w:hAnsi="Jacobs Chronos" w:cs="Jacobs Chronos"/>
                <w:sz w:val="16"/>
                <w:szCs w:val="16"/>
              </w:rPr>
            </w:pPr>
          </w:p>
        </w:tc>
      </w:tr>
      <w:tr w:rsidR="00FB1D26" w:rsidRPr="00A31BE0" w14:paraId="763AA08B" w14:textId="77777777" w:rsidTr="00E81409">
        <w:trPr>
          <w:trHeight w:val="397"/>
        </w:trPr>
        <w:tc>
          <w:tcPr>
            <w:tcW w:w="741" w:type="pct"/>
            <w:shd w:val="clear" w:color="auto" w:fill="FCE4D6"/>
          </w:tcPr>
          <w:p w14:paraId="6CD86CB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45D0221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CB7C1D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2.2.1.18 Employ topsoil conservation techniques in timber harvesting areas affected by coupe infrastructure and roads.</w:t>
            </w:r>
          </w:p>
        </w:tc>
        <w:tc>
          <w:tcPr>
            <w:tcW w:w="578" w:type="pct"/>
            <w:shd w:val="clear" w:color="auto" w:fill="FFFFFF" w:themeFill="background1"/>
          </w:tcPr>
          <w:p w14:paraId="1093280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8733163" w14:textId="77777777" w:rsidR="00FB1D26" w:rsidRPr="00A31BE0" w:rsidRDefault="00FB1D26" w:rsidP="00C31A7B">
            <w:pPr>
              <w:jc w:val="center"/>
              <w:rPr>
                <w:rFonts w:ascii="Jacobs Chronos" w:hAnsi="Jacobs Chronos" w:cs="Jacobs Chronos"/>
                <w:sz w:val="16"/>
                <w:szCs w:val="16"/>
              </w:rPr>
            </w:pPr>
          </w:p>
        </w:tc>
      </w:tr>
      <w:tr w:rsidR="00FB1D26" w:rsidRPr="00A31BE0" w14:paraId="74CE6430" w14:textId="77777777" w:rsidTr="00E81409">
        <w:trPr>
          <w:trHeight w:val="397"/>
        </w:trPr>
        <w:tc>
          <w:tcPr>
            <w:tcW w:w="741" w:type="pct"/>
          </w:tcPr>
          <w:p w14:paraId="422DDED2" w14:textId="77777777" w:rsidR="00FB1D26" w:rsidRPr="00A31BE0" w:rsidRDefault="00FB1D26" w:rsidP="00E81409">
            <w:pPr>
              <w:rPr>
                <w:rFonts w:ascii="Jacobs Chronos" w:hAnsi="Jacobs Chronos" w:cs="Jacobs Chronos"/>
                <w:sz w:val="16"/>
                <w:szCs w:val="16"/>
              </w:rPr>
            </w:pPr>
          </w:p>
        </w:tc>
        <w:tc>
          <w:tcPr>
            <w:tcW w:w="392" w:type="pct"/>
          </w:tcPr>
          <w:p w14:paraId="74C9EE8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8.01</w:t>
            </w:r>
          </w:p>
        </w:tc>
        <w:tc>
          <w:tcPr>
            <w:tcW w:w="2767" w:type="pct"/>
          </w:tcPr>
          <w:p w14:paraId="01D0EC38" w14:textId="209B304D"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have planning (including locating coupe infrastructure and roads</w:t>
            </w:r>
            <w:r w:rsidR="00CE35B5" w:rsidRPr="00A31BE0">
              <w:rPr>
                <w:rFonts w:ascii="Jacobs Chronos" w:hAnsi="Jacobs Chronos" w:cs="Jacobs Chronos"/>
                <w:sz w:val="16"/>
                <w:szCs w:val="16"/>
              </w:rPr>
              <w:t>),</w:t>
            </w:r>
            <w:r w:rsidRPr="00A31BE0">
              <w:rPr>
                <w:rFonts w:ascii="Jacobs Chronos" w:hAnsi="Jacobs Chronos" w:cs="Jacobs Chronos"/>
                <w:sz w:val="16"/>
                <w:szCs w:val="16"/>
              </w:rPr>
              <w:t xml:space="preserve"> and operations methods applied on the coupe been appropriate for the assessed soil erosion risk and slope?</w:t>
            </w:r>
          </w:p>
        </w:tc>
        <w:tc>
          <w:tcPr>
            <w:tcW w:w="578" w:type="pct"/>
            <w:shd w:val="clear" w:color="auto" w:fill="FFFFFF" w:themeFill="background1"/>
          </w:tcPr>
          <w:p w14:paraId="4702C9E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CM, I, P</w:t>
            </w:r>
          </w:p>
        </w:tc>
        <w:tc>
          <w:tcPr>
            <w:tcW w:w="522" w:type="pct"/>
            <w:shd w:val="clear" w:color="auto" w:fill="FFFFFF" w:themeFill="background1"/>
          </w:tcPr>
          <w:p w14:paraId="51098209"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91</w:t>
            </w:r>
          </w:p>
        </w:tc>
      </w:tr>
      <w:tr w:rsidR="00FB1D26" w:rsidRPr="00A31BE0" w14:paraId="1C29F4F9" w14:textId="77777777" w:rsidTr="00E81409">
        <w:trPr>
          <w:trHeight w:val="397"/>
        </w:trPr>
        <w:tc>
          <w:tcPr>
            <w:tcW w:w="741" w:type="pct"/>
          </w:tcPr>
          <w:p w14:paraId="2CE68C3C" w14:textId="77777777" w:rsidR="00FB1D26" w:rsidRPr="00A31BE0" w:rsidRDefault="00FB1D26" w:rsidP="00E81409">
            <w:pPr>
              <w:rPr>
                <w:rFonts w:ascii="Jacobs Chronos" w:hAnsi="Jacobs Chronos" w:cs="Jacobs Chronos"/>
                <w:sz w:val="16"/>
                <w:szCs w:val="16"/>
              </w:rPr>
            </w:pPr>
          </w:p>
        </w:tc>
        <w:tc>
          <w:tcPr>
            <w:tcW w:w="392" w:type="pct"/>
          </w:tcPr>
          <w:p w14:paraId="239EAAF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8.02</w:t>
            </w:r>
          </w:p>
        </w:tc>
        <w:tc>
          <w:tcPr>
            <w:tcW w:w="2767" w:type="pct"/>
          </w:tcPr>
          <w:p w14:paraId="1910D4E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Is there evidence within the coupe of soil erosion or mass movement resulting from harvesting operations, including from roading, snig tracks and/or landings?</w:t>
            </w:r>
          </w:p>
        </w:tc>
        <w:tc>
          <w:tcPr>
            <w:tcW w:w="578" w:type="pct"/>
            <w:shd w:val="clear" w:color="auto" w:fill="FFFFFF" w:themeFill="background1"/>
          </w:tcPr>
          <w:p w14:paraId="35C3F38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C, M, I</w:t>
            </w:r>
          </w:p>
        </w:tc>
        <w:tc>
          <w:tcPr>
            <w:tcW w:w="522" w:type="pct"/>
            <w:shd w:val="clear" w:color="auto" w:fill="FFFFFF" w:themeFill="background1"/>
          </w:tcPr>
          <w:p w14:paraId="3962BE43"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97</w:t>
            </w:r>
          </w:p>
        </w:tc>
      </w:tr>
      <w:tr w:rsidR="00FB1D26" w:rsidRPr="00A31BE0" w14:paraId="07C25CFC" w14:textId="77777777" w:rsidTr="00E81409">
        <w:trPr>
          <w:trHeight w:val="397"/>
        </w:trPr>
        <w:tc>
          <w:tcPr>
            <w:tcW w:w="741" w:type="pct"/>
          </w:tcPr>
          <w:p w14:paraId="10A7A5C3" w14:textId="77777777" w:rsidR="00FB1D26" w:rsidRPr="00A31BE0" w:rsidRDefault="00FB1D26" w:rsidP="00E81409">
            <w:pPr>
              <w:rPr>
                <w:rFonts w:ascii="Jacobs Chronos" w:hAnsi="Jacobs Chronos" w:cs="Jacobs Chronos"/>
                <w:sz w:val="16"/>
                <w:szCs w:val="16"/>
              </w:rPr>
            </w:pPr>
          </w:p>
        </w:tc>
        <w:tc>
          <w:tcPr>
            <w:tcW w:w="392" w:type="pct"/>
          </w:tcPr>
          <w:p w14:paraId="0A8EF14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8.03</w:t>
            </w:r>
          </w:p>
        </w:tc>
        <w:tc>
          <w:tcPr>
            <w:tcW w:w="2767" w:type="pct"/>
          </w:tcPr>
          <w:p w14:paraId="28C9DBB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has topsoil conservation been used as appropriate in areas affected by coupe infrastructure and/or roads?</w:t>
            </w:r>
          </w:p>
        </w:tc>
        <w:tc>
          <w:tcPr>
            <w:tcW w:w="578" w:type="pct"/>
            <w:shd w:val="clear" w:color="auto" w:fill="FFFFFF" w:themeFill="background1"/>
          </w:tcPr>
          <w:p w14:paraId="62FE256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4AED2C1E"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57C54F90" w14:textId="77777777" w:rsidTr="00E81409">
        <w:trPr>
          <w:trHeight w:val="397"/>
        </w:trPr>
        <w:tc>
          <w:tcPr>
            <w:tcW w:w="741" w:type="pct"/>
            <w:shd w:val="clear" w:color="auto" w:fill="A9D08E"/>
          </w:tcPr>
          <w:p w14:paraId="4675DA1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323D1E3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6DBE019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 Conservation of Biodiversity</w:t>
            </w:r>
          </w:p>
        </w:tc>
        <w:tc>
          <w:tcPr>
            <w:tcW w:w="578" w:type="pct"/>
            <w:shd w:val="clear" w:color="auto" w:fill="FFFFFF" w:themeFill="background1"/>
          </w:tcPr>
          <w:p w14:paraId="2D50129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3E5F3C2" w14:textId="77777777" w:rsidR="00FB1D26" w:rsidRPr="00A31BE0" w:rsidRDefault="00FB1D26" w:rsidP="00C31A7B">
            <w:pPr>
              <w:jc w:val="center"/>
              <w:rPr>
                <w:rFonts w:ascii="Jacobs Chronos" w:hAnsi="Jacobs Chronos" w:cs="Jacobs Chronos"/>
                <w:sz w:val="16"/>
                <w:szCs w:val="16"/>
              </w:rPr>
            </w:pPr>
          </w:p>
        </w:tc>
      </w:tr>
      <w:tr w:rsidR="00FB1D26" w:rsidRPr="00A31BE0" w14:paraId="6E6AD562" w14:textId="77777777" w:rsidTr="00E81409">
        <w:trPr>
          <w:trHeight w:val="397"/>
        </w:trPr>
        <w:tc>
          <w:tcPr>
            <w:tcW w:w="741" w:type="pct"/>
            <w:shd w:val="clear" w:color="auto" w:fill="FCE4D6"/>
          </w:tcPr>
          <w:p w14:paraId="478A2B5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1AAD954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1043A0A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2.2.2.1 Planning and management of timber harvesting operations must comply with relevant biodiversity conservation measures specified within the Management Standards and Procedures.</w:t>
            </w:r>
          </w:p>
        </w:tc>
        <w:tc>
          <w:tcPr>
            <w:tcW w:w="578" w:type="pct"/>
            <w:shd w:val="clear" w:color="auto" w:fill="FFFFFF" w:themeFill="background1"/>
          </w:tcPr>
          <w:p w14:paraId="0D75F4F1"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1427ABA" w14:textId="77777777" w:rsidR="00FB1D26" w:rsidRPr="00A31BE0" w:rsidRDefault="00FB1D26" w:rsidP="00C31A7B">
            <w:pPr>
              <w:jc w:val="center"/>
              <w:rPr>
                <w:rFonts w:ascii="Jacobs Chronos" w:hAnsi="Jacobs Chronos" w:cs="Jacobs Chronos"/>
                <w:sz w:val="16"/>
                <w:szCs w:val="16"/>
              </w:rPr>
            </w:pPr>
          </w:p>
        </w:tc>
      </w:tr>
      <w:tr w:rsidR="00FB1D26" w:rsidRPr="00A31BE0" w14:paraId="650AAC54" w14:textId="77777777" w:rsidTr="00E81409">
        <w:trPr>
          <w:trHeight w:val="397"/>
        </w:trPr>
        <w:tc>
          <w:tcPr>
            <w:tcW w:w="741" w:type="pct"/>
            <w:shd w:val="clear" w:color="auto" w:fill="FCE4D6"/>
          </w:tcPr>
          <w:p w14:paraId="13890A1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0B53D7C4" w14:textId="77777777" w:rsidR="00FB1D26" w:rsidRPr="00A31BE0" w:rsidRDefault="00FB1D26" w:rsidP="00E81409">
            <w:pPr>
              <w:rPr>
                <w:rFonts w:ascii="Jacobs Chronos" w:hAnsi="Jacobs Chronos" w:cs="Jacobs Chronos"/>
                <w:sz w:val="16"/>
                <w:szCs w:val="16"/>
              </w:rPr>
            </w:pPr>
          </w:p>
        </w:tc>
        <w:tc>
          <w:tcPr>
            <w:tcW w:w="2767" w:type="pct"/>
            <w:shd w:val="clear" w:color="auto" w:fill="FCE4D6"/>
          </w:tcPr>
          <w:p w14:paraId="2A89266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2.2.2.2 The precautionary principle must be applied to the conservation of biodiversity values.  The application of the precautionary principle will be consistent with relevant monitoring and research that has improved the understanding of the effects of forest management on forest ecology and conservation values.</w:t>
            </w:r>
          </w:p>
        </w:tc>
        <w:tc>
          <w:tcPr>
            <w:tcW w:w="578" w:type="pct"/>
            <w:shd w:val="clear" w:color="auto" w:fill="FFFFFF" w:themeFill="background1"/>
          </w:tcPr>
          <w:p w14:paraId="6A936A6D"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466C119" w14:textId="77777777" w:rsidR="00FB1D26" w:rsidRPr="00A31BE0" w:rsidRDefault="00FB1D26" w:rsidP="00C31A7B">
            <w:pPr>
              <w:jc w:val="center"/>
              <w:rPr>
                <w:rFonts w:ascii="Jacobs Chronos" w:hAnsi="Jacobs Chronos" w:cs="Jacobs Chronos"/>
                <w:sz w:val="16"/>
                <w:szCs w:val="16"/>
              </w:rPr>
            </w:pPr>
          </w:p>
        </w:tc>
      </w:tr>
      <w:tr w:rsidR="00FB1D26" w:rsidRPr="00A31BE0" w14:paraId="46EA78AC" w14:textId="77777777" w:rsidTr="00E81409">
        <w:trPr>
          <w:trHeight w:val="397"/>
        </w:trPr>
        <w:tc>
          <w:tcPr>
            <w:tcW w:w="741" w:type="pct"/>
            <w:shd w:val="clear" w:color="auto" w:fill="FCE4D6"/>
          </w:tcPr>
          <w:p w14:paraId="658200F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476BAD2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08DF0F4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2.2.2.4 During planning identify biodiversity values listed in the Management Standards and Procedures prior to roading, harvesting, tending and regeneration. Address risks to these values through management actions consistent with the Management Standards and Procedures such as appropriate location of coupe infrastructure, buffers, exclusion areas, modified harvest timing, modified silvicultural techniques or retention of specific structural attributes.</w:t>
            </w:r>
          </w:p>
        </w:tc>
        <w:tc>
          <w:tcPr>
            <w:tcW w:w="578" w:type="pct"/>
            <w:shd w:val="clear" w:color="auto" w:fill="FFFFFF" w:themeFill="background1"/>
          </w:tcPr>
          <w:p w14:paraId="70591923"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5263C77" w14:textId="77777777" w:rsidR="00FB1D26" w:rsidRPr="00A31BE0" w:rsidRDefault="00FB1D26" w:rsidP="00C31A7B">
            <w:pPr>
              <w:jc w:val="center"/>
              <w:rPr>
                <w:rFonts w:ascii="Jacobs Chronos" w:hAnsi="Jacobs Chronos" w:cs="Jacobs Chronos"/>
                <w:sz w:val="16"/>
                <w:szCs w:val="16"/>
              </w:rPr>
            </w:pPr>
          </w:p>
        </w:tc>
      </w:tr>
      <w:tr w:rsidR="00FB1D26" w:rsidRPr="00A31BE0" w14:paraId="0279A811" w14:textId="77777777" w:rsidTr="00E81409">
        <w:trPr>
          <w:trHeight w:val="397"/>
        </w:trPr>
        <w:tc>
          <w:tcPr>
            <w:tcW w:w="741" w:type="pct"/>
          </w:tcPr>
          <w:p w14:paraId="2C24375A" w14:textId="77777777" w:rsidR="00FB1D26" w:rsidRPr="00A31BE0" w:rsidRDefault="00FB1D26" w:rsidP="00E81409">
            <w:pPr>
              <w:rPr>
                <w:rFonts w:ascii="Jacobs Chronos" w:hAnsi="Jacobs Chronos" w:cs="Jacobs Chronos"/>
                <w:sz w:val="16"/>
                <w:szCs w:val="16"/>
              </w:rPr>
            </w:pPr>
          </w:p>
        </w:tc>
        <w:tc>
          <w:tcPr>
            <w:tcW w:w="392" w:type="pct"/>
          </w:tcPr>
          <w:p w14:paraId="046C3B8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9.01</w:t>
            </w:r>
          </w:p>
        </w:tc>
        <w:tc>
          <w:tcPr>
            <w:tcW w:w="2767" w:type="pct"/>
          </w:tcPr>
          <w:p w14:paraId="4733AC7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Is there evidence from the FCP and coupe planning process of attempts to identify biodiversity values listed in the MSPs within or near the coupe by survey and/or habitat modelling? </w:t>
            </w:r>
          </w:p>
        </w:tc>
        <w:tc>
          <w:tcPr>
            <w:tcW w:w="578" w:type="pct"/>
            <w:shd w:val="clear" w:color="auto" w:fill="FFFFFF" w:themeFill="background1"/>
          </w:tcPr>
          <w:p w14:paraId="246C1A9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6244BFA9"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659BD79" w14:textId="77777777" w:rsidTr="00E81409">
        <w:trPr>
          <w:trHeight w:val="397"/>
        </w:trPr>
        <w:tc>
          <w:tcPr>
            <w:tcW w:w="741" w:type="pct"/>
          </w:tcPr>
          <w:p w14:paraId="10313659" w14:textId="77777777" w:rsidR="00FB1D26" w:rsidRPr="00A31BE0" w:rsidRDefault="00FB1D26" w:rsidP="00E81409">
            <w:pPr>
              <w:rPr>
                <w:rFonts w:ascii="Jacobs Chronos" w:hAnsi="Jacobs Chronos" w:cs="Jacobs Chronos"/>
                <w:sz w:val="16"/>
                <w:szCs w:val="16"/>
              </w:rPr>
            </w:pPr>
          </w:p>
        </w:tc>
        <w:tc>
          <w:tcPr>
            <w:tcW w:w="392" w:type="pct"/>
          </w:tcPr>
          <w:p w14:paraId="4AFEA13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9.02</w:t>
            </w:r>
          </w:p>
        </w:tc>
        <w:tc>
          <w:tcPr>
            <w:tcW w:w="2767" w:type="pct"/>
          </w:tcPr>
          <w:p w14:paraId="257BA44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Where listed biodiversity values are present or identified by habitat modelling, is there evidence that risks to these values from timber harvesting operations have been assessed?</w:t>
            </w:r>
          </w:p>
        </w:tc>
        <w:tc>
          <w:tcPr>
            <w:tcW w:w="578" w:type="pct"/>
            <w:shd w:val="clear" w:color="auto" w:fill="FFFFFF" w:themeFill="background1"/>
          </w:tcPr>
          <w:p w14:paraId="1359335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6012A53B"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7B3CF8E3" w14:textId="77777777" w:rsidTr="00E81409">
        <w:trPr>
          <w:trHeight w:val="397"/>
        </w:trPr>
        <w:tc>
          <w:tcPr>
            <w:tcW w:w="741" w:type="pct"/>
          </w:tcPr>
          <w:p w14:paraId="7BC69A27" w14:textId="77777777" w:rsidR="00FB1D26" w:rsidRPr="00A31BE0" w:rsidRDefault="00FB1D26" w:rsidP="00E81409">
            <w:pPr>
              <w:rPr>
                <w:rFonts w:ascii="Jacobs Chronos" w:hAnsi="Jacobs Chronos" w:cs="Jacobs Chronos"/>
                <w:sz w:val="16"/>
                <w:szCs w:val="16"/>
              </w:rPr>
            </w:pPr>
          </w:p>
        </w:tc>
        <w:tc>
          <w:tcPr>
            <w:tcW w:w="392" w:type="pct"/>
          </w:tcPr>
          <w:p w14:paraId="0D14CA2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9.03</w:t>
            </w:r>
          </w:p>
        </w:tc>
        <w:tc>
          <w:tcPr>
            <w:tcW w:w="2767" w:type="pct"/>
          </w:tcPr>
          <w:p w14:paraId="719BD09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Where listed biodiversity values are present or identified by habitat modelling, have management actions applied on the coupe to protect those values been consistent with MSP prescriptions.</w:t>
            </w:r>
          </w:p>
        </w:tc>
        <w:tc>
          <w:tcPr>
            <w:tcW w:w="578" w:type="pct"/>
            <w:shd w:val="clear" w:color="auto" w:fill="FFFFFF" w:themeFill="background1"/>
          </w:tcPr>
          <w:p w14:paraId="019D56C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0C177700"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96</w:t>
            </w:r>
          </w:p>
        </w:tc>
      </w:tr>
      <w:tr w:rsidR="00FB1D26" w:rsidRPr="00A31BE0" w14:paraId="1EBE7907" w14:textId="77777777" w:rsidTr="00E81409">
        <w:trPr>
          <w:trHeight w:val="397"/>
        </w:trPr>
        <w:tc>
          <w:tcPr>
            <w:tcW w:w="741" w:type="pct"/>
          </w:tcPr>
          <w:p w14:paraId="6D252984" w14:textId="77777777" w:rsidR="00FB1D26" w:rsidRPr="00A31BE0" w:rsidRDefault="00FB1D26" w:rsidP="00E81409">
            <w:pPr>
              <w:rPr>
                <w:rFonts w:ascii="Jacobs Chronos" w:hAnsi="Jacobs Chronos" w:cs="Jacobs Chronos"/>
                <w:sz w:val="16"/>
                <w:szCs w:val="16"/>
              </w:rPr>
            </w:pPr>
          </w:p>
        </w:tc>
        <w:tc>
          <w:tcPr>
            <w:tcW w:w="392" w:type="pct"/>
          </w:tcPr>
          <w:p w14:paraId="45B697B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9.04</w:t>
            </w:r>
          </w:p>
        </w:tc>
        <w:tc>
          <w:tcPr>
            <w:tcW w:w="2767" w:type="pct"/>
          </w:tcPr>
          <w:p w14:paraId="08E78E4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Where listed biodiversity values are present or identified by habitat modelling, have management actions been consistent ITAO with the risk of serious or irreversible environmental damage?</w:t>
            </w:r>
          </w:p>
        </w:tc>
        <w:tc>
          <w:tcPr>
            <w:tcW w:w="578" w:type="pct"/>
            <w:shd w:val="clear" w:color="auto" w:fill="FFFFFF" w:themeFill="background1"/>
          </w:tcPr>
          <w:p w14:paraId="36499C6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4102AD4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93</w:t>
            </w:r>
          </w:p>
        </w:tc>
      </w:tr>
      <w:tr w:rsidR="00FB1D26" w:rsidRPr="00A31BE0" w14:paraId="1B2BA4F7" w14:textId="77777777" w:rsidTr="00E81409">
        <w:trPr>
          <w:trHeight w:val="397"/>
        </w:trPr>
        <w:tc>
          <w:tcPr>
            <w:tcW w:w="741" w:type="pct"/>
          </w:tcPr>
          <w:p w14:paraId="0C35BB2B" w14:textId="77777777" w:rsidR="00FB1D26" w:rsidRPr="00A31BE0" w:rsidRDefault="00FB1D26" w:rsidP="00E81409">
            <w:pPr>
              <w:rPr>
                <w:rFonts w:ascii="Jacobs Chronos" w:hAnsi="Jacobs Chronos" w:cs="Jacobs Chronos"/>
                <w:sz w:val="16"/>
                <w:szCs w:val="16"/>
              </w:rPr>
            </w:pPr>
          </w:p>
        </w:tc>
        <w:tc>
          <w:tcPr>
            <w:tcW w:w="392" w:type="pct"/>
            <w:shd w:val="clear" w:color="auto" w:fill="E2EFDA"/>
          </w:tcPr>
          <w:p w14:paraId="045A07E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0CED49D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MSP4.1 Habitat retention</w:t>
            </w:r>
          </w:p>
        </w:tc>
        <w:tc>
          <w:tcPr>
            <w:tcW w:w="578" w:type="pct"/>
            <w:shd w:val="clear" w:color="auto" w:fill="FFFFFF" w:themeFill="background1"/>
          </w:tcPr>
          <w:p w14:paraId="06365D5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EA71709" w14:textId="77777777" w:rsidR="00FB1D26" w:rsidRPr="00A31BE0" w:rsidRDefault="00FB1D26" w:rsidP="00C31A7B">
            <w:pPr>
              <w:jc w:val="center"/>
              <w:rPr>
                <w:rFonts w:ascii="Jacobs Chronos" w:hAnsi="Jacobs Chronos" w:cs="Jacobs Chronos"/>
                <w:sz w:val="16"/>
                <w:szCs w:val="16"/>
              </w:rPr>
            </w:pPr>
          </w:p>
        </w:tc>
      </w:tr>
      <w:tr w:rsidR="00FB1D26" w:rsidRPr="00A31BE0" w14:paraId="05683880" w14:textId="77777777" w:rsidTr="00E81409">
        <w:trPr>
          <w:trHeight w:val="397"/>
        </w:trPr>
        <w:tc>
          <w:tcPr>
            <w:tcW w:w="741" w:type="pct"/>
            <w:shd w:val="clear" w:color="auto" w:fill="FCE4D6"/>
          </w:tcPr>
          <w:p w14:paraId="7464526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47B9F58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440C702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2.2.2.10 Retain and protect habitat trees or habitat patches and long-lived understorey species to provide for the continuity and replacement of old hollow-bearing trees and existing vegetation types within each coupe.</w:t>
            </w:r>
          </w:p>
        </w:tc>
        <w:tc>
          <w:tcPr>
            <w:tcW w:w="578" w:type="pct"/>
            <w:shd w:val="clear" w:color="auto" w:fill="FFFFFF" w:themeFill="background1"/>
          </w:tcPr>
          <w:p w14:paraId="2C36EED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2759F2C" w14:textId="77777777" w:rsidR="00FB1D26" w:rsidRPr="00A31BE0" w:rsidRDefault="00FB1D26" w:rsidP="00C31A7B">
            <w:pPr>
              <w:jc w:val="center"/>
              <w:rPr>
                <w:rFonts w:ascii="Jacobs Chronos" w:hAnsi="Jacobs Chronos" w:cs="Jacobs Chronos"/>
                <w:sz w:val="16"/>
                <w:szCs w:val="16"/>
              </w:rPr>
            </w:pPr>
          </w:p>
        </w:tc>
      </w:tr>
      <w:tr w:rsidR="00FB1D26" w:rsidRPr="00A31BE0" w14:paraId="0283686C" w14:textId="77777777" w:rsidTr="00E81409">
        <w:trPr>
          <w:trHeight w:val="397"/>
        </w:trPr>
        <w:tc>
          <w:tcPr>
            <w:tcW w:w="741" w:type="pct"/>
          </w:tcPr>
          <w:p w14:paraId="0A4C2DF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tcPr>
          <w:p w14:paraId="278D123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69FF75A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4.1.1.1 Retain habitat trees in accordance with the FMA summary provided in Table 12 (Habitat tree prescriptions).  </w:t>
            </w:r>
          </w:p>
        </w:tc>
        <w:tc>
          <w:tcPr>
            <w:tcW w:w="578" w:type="pct"/>
            <w:shd w:val="clear" w:color="auto" w:fill="FFFFFF" w:themeFill="background1"/>
          </w:tcPr>
          <w:p w14:paraId="08518D0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B9C9EC3" w14:textId="77777777" w:rsidR="00FB1D26" w:rsidRPr="00A31BE0" w:rsidRDefault="00FB1D26" w:rsidP="00C31A7B">
            <w:pPr>
              <w:jc w:val="center"/>
              <w:rPr>
                <w:rFonts w:ascii="Jacobs Chronos" w:hAnsi="Jacobs Chronos" w:cs="Jacobs Chronos"/>
                <w:sz w:val="16"/>
                <w:szCs w:val="16"/>
              </w:rPr>
            </w:pPr>
          </w:p>
        </w:tc>
      </w:tr>
      <w:tr w:rsidR="00FB1D26" w:rsidRPr="00A31BE0" w14:paraId="3D496C1B" w14:textId="77777777" w:rsidTr="00E81409">
        <w:trPr>
          <w:trHeight w:val="397"/>
        </w:trPr>
        <w:tc>
          <w:tcPr>
            <w:tcW w:w="741" w:type="pct"/>
          </w:tcPr>
          <w:p w14:paraId="0649B8F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tcPr>
          <w:p w14:paraId="5549013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6CC0A1F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4.1.1.2 Trees in buffers or other exclusion areas that have been extended beyond minimum required widths can contribute to habitat tree retention requirements. </w:t>
            </w:r>
          </w:p>
        </w:tc>
        <w:tc>
          <w:tcPr>
            <w:tcW w:w="578" w:type="pct"/>
            <w:shd w:val="clear" w:color="auto" w:fill="FFFFFF" w:themeFill="background1"/>
          </w:tcPr>
          <w:p w14:paraId="351363F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3EEDAB7" w14:textId="77777777" w:rsidR="00FB1D26" w:rsidRPr="00A31BE0" w:rsidRDefault="00FB1D26" w:rsidP="00C31A7B">
            <w:pPr>
              <w:jc w:val="center"/>
              <w:rPr>
                <w:rFonts w:ascii="Jacobs Chronos" w:hAnsi="Jacobs Chronos" w:cs="Jacobs Chronos"/>
                <w:sz w:val="16"/>
                <w:szCs w:val="16"/>
              </w:rPr>
            </w:pPr>
          </w:p>
        </w:tc>
      </w:tr>
      <w:tr w:rsidR="00FB1D26" w:rsidRPr="00A31BE0" w14:paraId="56260F13" w14:textId="77777777" w:rsidTr="00E81409">
        <w:trPr>
          <w:trHeight w:val="397"/>
        </w:trPr>
        <w:tc>
          <w:tcPr>
            <w:tcW w:w="741" w:type="pct"/>
          </w:tcPr>
          <w:p w14:paraId="44C5288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tcPr>
          <w:p w14:paraId="5AB12314" w14:textId="77777777" w:rsidR="00FB1D26" w:rsidRPr="00A31BE0" w:rsidRDefault="00FB1D26" w:rsidP="00E81409">
            <w:pPr>
              <w:rPr>
                <w:rFonts w:ascii="Jacobs Chronos" w:hAnsi="Jacobs Chronos" w:cs="Jacobs Chronos"/>
                <w:sz w:val="16"/>
                <w:szCs w:val="16"/>
              </w:rPr>
            </w:pPr>
          </w:p>
        </w:tc>
        <w:tc>
          <w:tcPr>
            <w:tcW w:w="2767" w:type="pct"/>
          </w:tcPr>
          <w:p w14:paraId="589B942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4.1.1.3 Retain all living large trees and protect them from the direct effects of timber harvesting operations and regeneration burning. This includes not deliberately felling, falling into or damaging large trees during harvesting and extraction, and ensuring slash is not accumulated </w:t>
            </w:r>
            <w:r w:rsidRPr="00A31BE0">
              <w:rPr>
                <w:rFonts w:ascii="Jacobs Chronos" w:hAnsi="Jacobs Chronos" w:cs="Jacobs Chronos"/>
                <w:sz w:val="16"/>
                <w:szCs w:val="16"/>
              </w:rPr>
              <w:lastRenderedPageBreak/>
              <w:t>within 3m of the base of large trees immediately prior to regeneration burns.</w:t>
            </w:r>
          </w:p>
        </w:tc>
        <w:tc>
          <w:tcPr>
            <w:tcW w:w="578" w:type="pct"/>
            <w:shd w:val="clear" w:color="auto" w:fill="FFFFFF" w:themeFill="background1"/>
          </w:tcPr>
          <w:p w14:paraId="638F667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F5BF72C" w14:textId="77777777" w:rsidR="00FB1D26" w:rsidRPr="00A31BE0" w:rsidRDefault="00FB1D26" w:rsidP="00C31A7B">
            <w:pPr>
              <w:jc w:val="center"/>
              <w:rPr>
                <w:rFonts w:ascii="Jacobs Chronos" w:hAnsi="Jacobs Chronos" w:cs="Jacobs Chronos"/>
                <w:sz w:val="16"/>
                <w:szCs w:val="16"/>
              </w:rPr>
            </w:pPr>
          </w:p>
        </w:tc>
      </w:tr>
      <w:tr w:rsidR="00FB1D26" w:rsidRPr="00A31BE0" w14:paraId="2869DB89" w14:textId="77777777" w:rsidTr="00E81409">
        <w:trPr>
          <w:trHeight w:val="397"/>
        </w:trPr>
        <w:tc>
          <w:tcPr>
            <w:tcW w:w="741" w:type="pct"/>
            <w:shd w:val="clear" w:color="auto" w:fill="FFF2CC"/>
          </w:tcPr>
          <w:p w14:paraId="0D1D3FA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6204EF3"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1081933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4.1.1.4 Where possible, incorporate large trees in retained patches of habitat trees or expanded buffers or exclusion areas.</w:t>
            </w:r>
          </w:p>
        </w:tc>
        <w:tc>
          <w:tcPr>
            <w:tcW w:w="578" w:type="pct"/>
            <w:shd w:val="clear" w:color="auto" w:fill="FFFFFF" w:themeFill="background1"/>
          </w:tcPr>
          <w:p w14:paraId="55F9CE7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B72A67C" w14:textId="77777777" w:rsidR="00FB1D26" w:rsidRPr="00A31BE0" w:rsidRDefault="00FB1D26" w:rsidP="00C31A7B">
            <w:pPr>
              <w:jc w:val="center"/>
              <w:rPr>
                <w:rFonts w:ascii="Jacobs Chronos" w:hAnsi="Jacobs Chronos" w:cs="Jacobs Chronos"/>
                <w:sz w:val="16"/>
                <w:szCs w:val="16"/>
              </w:rPr>
            </w:pPr>
          </w:p>
        </w:tc>
      </w:tr>
      <w:tr w:rsidR="00FB1D26" w:rsidRPr="00A31BE0" w14:paraId="17C431B1" w14:textId="77777777" w:rsidTr="00E81409">
        <w:trPr>
          <w:trHeight w:val="397"/>
        </w:trPr>
        <w:tc>
          <w:tcPr>
            <w:tcW w:w="741" w:type="pct"/>
          </w:tcPr>
          <w:p w14:paraId="0017CD3F" w14:textId="77777777" w:rsidR="00FB1D26" w:rsidRPr="00A31BE0" w:rsidRDefault="00FB1D26" w:rsidP="00E81409">
            <w:pPr>
              <w:rPr>
                <w:rFonts w:ascii="Jacobs Chronos" w:hAnsi="Jacobs Chronos" w:cs="Jacobs Chronos"/>
                <w:sz w:val="16"/>
                <w:szCs w:val="16"/>
              </w:rPr>
            </w:pPr>
          </w:p>
        </w:tc>
        <w:tc>
          <w:tcPr>
            <w:tcW w:w="392" w:type="pct"/>
          </w:tcPr>
          <w:p w14:paraId="2C299F6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10.01</w:t>
            </w:r>
          </w:p>
        </w:tc>
        <w:tc>
          <w:tcPr>
            <w:tcW w:w="2767" w:type="pct"/>
          </w:tcPr>
          <w:p w14:paraId="53D466F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the required number of habitat trees been retained on the coupe (as per MSP Table 12) - including in areas where buffers and other exclusion areas extended beyond the minimum required widths?</w:t>
            </w:r>
          </w:p>
        </w:tc>
        <w:tc>
          <w:tcPr>
            <w:tcW w:w="578" w:type="pct"/>
            <w:shd w:val="clear" w:color="auto" w:fill="FFFFFF" w:themeFill="background1"/>
          </w:tcPr>
          <w:p w14:paraId="167EFC9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20AC945B"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58C1DF5A" w14:textId="77777777" w:rsidTr="00E81409">
        <w:trPr>
          <w:trHeight w:val="397"/>
        </w:trPr>
        <w:tc>
          <w:tcPr>
            <w:tcW w:w="741" w:type="pct"/>
          </w:tcPr>
          <w:p w14:paraId="5CB3037A" w14:textId="77777777" w:rsidR="00FB1D26" w:rsidRPr="00A31BE0" w:rsidRDefault="00FB1D26" w:rsidP="00E81409">
            <w:pPr>
              <w:rPr>
                <w:rFonts w:ascii="Jacobs Chronos" w:hAnsi="Jacobs Chronos" w:cs="Jacobs Chronos"/>
                <w:sz w:val="16"/>
                <w:szCs w:val="16"/>
              </w:rPr>
            </w:pPr>
          </w:p>
        </w:tc>
        <w:tc>
          <w:tcPr>
            <w:tcW w:w="392" w:type="pct"/>
          </w:tcPr>
          <w:p w14:paraId="5A9957A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10.02</w:t>
            </w:r>
          </w:p>
        </w:tc>
        <w:tc>
          <w:tcPr>
            <w:tcW w:w="2767" w:type="pct"/>
          </w:tcPr>
          <w:p w14:paraId="47C496E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habitat patches of long-lived understorey species been retained to represent existing vegetation types within the coupe?</w:t>
            </w:r>
          </w:p>
        </w:tc>
        <w:tc>
          <w:tcPr>
            <w:tcW w:w="578" w:type="pct"/>
            <w:shd w:val="clear" w:color="auto" w:fill="FFFFFF" w:themeFill="background1"/>
          </w:tcPr>
          <w:p w14:paraId="5BDF0C9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16F1E3EE"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08B82928" w14:textId="77777777" w:rsidTr="00E81409">
        <w:trPr>
          <w:trHeight w:val="397"/>
        </w:trPr>
        <w:tc>
          <w:tcPr>
            <w:tcW w:w="741" w:type="pct"/>
          </w:tcPr>
          <w:p w14:paraId="20A25AE3" w14:textId="77777777" w:rsidR="00FB1D26" w:rsidRPr="00A31BE0" w:rsidRDefault="00FB1D26" w:rsidP="00E81409">
            <w:pPr>
              <w:rPr>
                <w:rFonts w:ascii="Jacobs Chronos" w:hAnsi="Jacobs Chronos" w:cs="Jacobs Chronos"/>
                <w:sz w:val="16"/>
                <w:szCs w:val="16"/>
              </w:rPr>
            </w:pPr>
          </w:p>
        </w:tc>
        <w:tc>
          <w:tcPr>
            <w:tcW w:w="392" w:type="pct"/>
          </w:tcPr>
          <w:p w14:paraId="0F856C1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10.03</w:t>
            </w:r>
          </w:p>
        </w:tc>
        <w:tc>
          <w:tcPr>
            <w:tcW w:w="2767" w:type="pct"/>
          </w:tcPr>
          <w:p w14:paraId="0C91707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all large (≥2.5m) living trees been retained and protected from direct effects of timber harvesting operations and regeneration burning? This includes not having accumulating slash within 3m of the base of large trees prior to regeneration burns</w:t>
            </w:r>
          </w:p>
        </w:tc>
        <w:tc>
          <w:tcPr>
            <w:tcW w:w="578" w:type="pct"/>
            <w:shd w:val="clear" w:color="auto" w:fill="FFFFFF" w:themeFill="background1"/>
          </w:tcPr>
          <w:p w14:paraId="4294A6E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5BD4AB30"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80</w:t>
            </w:r>
          </w:p>
        </w:tc>
      </w:tr>
      <w:tr w:rsidR="00FB1D26" w:rsidRPr="00A31BE0" w14:paraId="7CD496DC" w14:textId="77777777" w:rsidTr="00E81409">
        <w:trPr>
          <w:trHeight w:val="397"/>
        </w:trPr>
        <w:tc>
          <w:tcPr>
            <w:tcW w:w="741" w:type="pct"/>
          </w:tcPr>
          <w:p w14:paraId="1C0F9968" w14:textId="77777777" w:rsidR="00FB1D26" w:rsidRPr="00A31BE0" w:rsidRDefault="00FB1D26" w:rsidP="00E81409">
            <w:pPr>
              <w:rPr>
                <w:rFonts w:ascii="Jacobs Chronos" w:hAnsi="Jacobs Chronos" w:cs="Jacobs Chronos"/>
                <w:sz w:val="16"/>
                <w:szCs w:val="16"/>
              </w:rPr>
            </w:pPr>
          </w:p>
        </w:tc>
        <w:tc>
          <w:tcPr>
            <w:tcW w:w="392" w:type="pct"/>
          </w:tcPr>
          <w:p w14:paraId="1D7CF54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10.04</w:t>
            </w:r>
          </w:p>
        </w:tc>
        <w:tc>
          <w:tcPr>
            <w:tcW w:w="2767" w:type="pct"/>
          </w:tcPr>
          <w:p w14:paraId="5DD9D3F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Where reasonably practicable (ITAO) have large trees been incorporated into retain habitat patches, buffers or exclusion areas&gt;</w:t>
            </w:r>
          </w:p>
        </w:tc>
        <w:tc>
          <w:tcPr>
            <w:tcW w:w="578" w:type="pct"/>
            <w:shd w:val="clear" w:color="auto" w:fill="FFFFFF" w:themeFill="background1"/>
          </w:tcPr>
          <w:p w14:paraId="08A4C522" w14:textId="781237B5" w:rsidR="00FB1D26" w:rsidRPr="00A31BE0" w:rsidRDefault="008E5C49" w:rsidP="00E81409">
            <w:pPr>
              <w:rPr>
                <w:rFonts w:ascii="Jacobs Chronos" w:hAnsi="Jacobs Chronos" w:cs="Jacobs Chronos"/>
                <w:sz w:val="16"/>
                <w:szCs w:val="16"/>
              </w:rPr>
            </w:pPr>
            <w:r w:rsidRPr="00A31BE0">
              <w:rPr>
                <w:rFonts w:ascii="Jacobs Chronos" w:hAnsi="Jacobs Chronos" w:cs="Jacobs Chronos"/>
                <w:sz w:val="16"/>
                <w:szCs w:val="16"/>
              </w:rPr>
              <w:t>BD, P</w:t>
            </w:r>
            <w:r w:rsidRPr="00A31BE0" w:rsidDel="008E5C49">
              <w:rPr>
                <w:rFonts w:ascii="Jacobs Chronos" w:hAnsi="Jacobs Chronos" w:cs="Jacobs Chronos"/>
                <w:sz w:val="16"/>
                <w:szCs w:val="16"/>
              </w:rPr>
              <w:t xml:space="preserve"> </w:t>
            </w:r>
          </w:p>
        </w:tc>
        <w:tc>
          <w:tcPr>
            <w:tcW w:w="522" w:type="pct"/>
            <w:shd w:val="clear" w:color="auto" w:fill="FFFFFF" w:themeFill="background1"/>
          </w:tcPr>
          <w:p w14:paraId="342B5124" w14:textId="6DF0066C" w:rsidR="00FB1D26" w:rsidRPr="00A31BE0" w:rsidRDefault="008E5C49" w:rsidP="00C31A7B">
            <w:pPr>
              <w:jc w:val="center"/>
              <w:rPr>
                <w:rFonts w:ascii="Jacobs Chronos" w:hAnsi="Jacobs Chronos" w:cs="Jacobs Chronos"/>
                <w:sz w:val="16"/>
                <w:szCs w:val="16"/>
              </w:rPr>
            </w:pPr>
            <w:r>
              <w:rPr>
                <w:rFonts w:ascii="Jacobs Chronos" w:hAnsi="Jacobs Chronos" w:cs="Jacobs Chronos"/>
                <w:sz w:val="16"/>
                <w:szCs w:val="16"/>
              </w:rPr>
              <w:t>100</w:t>
            </w:r>
          </w:p>
        </w:tc>
      </w:tr>
      <w:tr w:rsidR="00FB1D26" w:rsidRPr="00A31BE0" w14:paraId="68A8AA98" w14:textId="77777777" w:rsidTr="00C31A7B">
        <w:trPr>
          <w:trHeight w:val="397"/>
        </w:trPr>
        <w:tc>
          <w:tcPr>
            <w:tcW w:w="741" w:type="pct"/>
          </w:tcPr>
          <w:p w14:paraId="02AC6C63" w14:textId="77777777" w:rsidR="00FB1D26" w:rsidRPr="00A31BE0" w:rsidRDefault="00FB1D26" w:rsidP="00E81409">
            <w:pPr>
              <w:rPr>
                <w:rFonts w:ascii="Jacobs Chronos" w:hAnsi="Jacobs Chronos" w:cs="Jacobs Chronos"/>
                <w:sz w:val="16"/>
                <w:szCs w:val="16"/>
              </w:rPr>
            </w:pPr>
          </w:p>
        </w:tc>
        <w:tc>
          <w:tcPr>
            <w:tcW w:w="392" w:type="pct"/>
            <w:shd w:val="clear" w:color="auto" w:fill="CEEAB0"/>
          </w:tcPr>
          <w:p w14:paraId="2BC6CC3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CEEAB0"/>
          </w:tcPr>
          <w:p w14:paraId="0494061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4.1.2 Benalla/Mansfield and North East FMA</w:t>
            </w:r>
          </w:p>
        </w:tc>
        <w:tc>
          <w:tcPr>
            <w:tcW w:w="578" w:type="pct"/>
            <w:shd w:val="clear" w:color="auto" w:fill="FFFFFF" w:themeFill="background1"/>
          </w:tcPr>
          <w:p w14:paraId="3DBA50C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FB9095B" w14:textId="77777777" w:rsidR="00FB1D26" w:rsidRPr="00A31BE0" w:rsidRDefault="00FB1D26" w:rsidP="00C31A7B">
            <w:pPr>
              <w:jc w:val="center"/>
              <w:rPr>
                <w:rFonts w:ascii="Jacobs Chronos" w:hAnsi="Jacobs Chronos" w:cs="Jacobs Chronos"/>
                <w:sz w:val="16"/>
                <w:szCs w:val="16"/>
              </w:rPr>
            </w:pPr>
          </w:p>
        </w:tc>
      </w:tr>
      <w:tr w:rsidR="00FB1D26" w:rsidRPr="00A31BE0" w14:paraId="002167AD" w14:textId="77777777" w:rsidTr="00E81409">
        <w:trPr>
          <w:trHeight w:val="397"/>
        </w:trPr>
        <w:tc>
          <w:tcPr>
            <w:tcW w:w="741" w:type="pct"/>
            <w:shd w:val="clear" w:color="auto" w:fill="FFF2CC"/>
          </w:tcPr>
          <w:p w14:paraId="29A56E7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A8AF47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FD1460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4.1.2.1 When selecting habitat trees, prioritise live hollow-bearing trees where they are present and trees of younger age classes that are likely to develop hollows in the longer term. </w:t>
            </w:r>
          </w:p>
        </w:tc>
        <w:tc>
          <w:tcPr>
            <w:tcW w:w="578" w:type="pct"/>
            <w:shd w:val="clear" w:color="auto" w:fill="FFFFFF" w:themeFill="background1"/>
          </w:tcPr>
          <w:p w14:paraId="2A7881B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C151707" w14:textId="77777777" w:rsidR="00FB1D26" w:rsidRPr="00A31BE0" w:rsidRDefault="00FB1D26" w:rsidP="00C31A7B">
            <w:pPr>
              <w:jc w:val="center"/>
              <w:rPr>
                <w:rFonts w:ascii="Jacobs Chronos" w:hAnsi="Jacobs Chronos" w:cs="Jacobs Chronos"/>
                <w:sz w:val="16"/>
                <w:szCs w:val="16"/>
              </w:rPr>
            </w:pPr>
          </w:p>
        </w:tc>
      </w:tr>
      <w:tr w:rsidR="00FB1D26" w:rsidRPr="00A31BE0" w14:paraId="7C90468F" w14:textId="77777777" w:rsidTr="00E81409">
        <w:trPr>
          <w:trHeight w:val="397"/>
        </w:trPr>
        <w:tc>
          <w:tcPr>
            <w:tcW w:w="741" w:type="pct"/>
            <w:shd w:val="clear" w:color="auto" w:fill="FFF2CC"/>
          </w:tcPr>
          <w:p w14:paraId="1C92FC5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DE75AB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F8F0C4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4.1.2.2 Where possible retain dead trees for habitat trees.</w:t>
            </w:r>
          </w:p>
        </w:tc>
        <w:tc>
          <w:tcPr>
            <w:tcW w:w="578" w:type="pct"/>
            <w:shd w:val="clear" w:color="auto" w:fill="FFFFFF" w:themeFill="background1"/>
          </w:tcPr>
          <w:p w14:paraId="6DD78AD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0F61BAC" w14:textId="77777777" w:rsidR="00FB1D26" w:rsidRPr="00A31BE0" w:rsidRDefault="00FB1D26" w:rsidP="00C31A7B">
            <w:pPr>
              <w:jc w:val="center"/>
              <w:rPr>
                <w:rFonts w:ascii="Jacobs Chronos" w:hAnsi="Jacobs Chronos" w:cs="Jacobs Chronos"/>
                <w:sz w:val="16"/>
                <w:szCs w:val="16"/>
              </w:rPr>
            </w:pPr>
          </w:p>
        </w:tc>
      </w:tr>
      <w:tr w:rsidR="00FB1D26" w:rsidRPr="00A31BE0" w14:paraId="1B299227" w14:textId="77777777" w:rsidTr="00E81409">
        <w:trPr>
          <w:trHeight w:val="397"/>
        </w:trPr>
        <w:tc>
          <w:tcPr>
            <w:tcW w:w="741" w:type="pct"/>
            <w:shd w:val="clear" w:color="auto" w:fill="FFF2CC"/>
          </w:tcPr>
          <w:p w14:paraId="45EFDB2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DB8431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0F17E0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4.1.2.3 Retain habitat trees adjacent to areas of high value habitat and areas most easily protected from damage during harvesting and regeneration operations.</w:t>
            </w:r>
          </w:p>
        </w:tc>
        <w:tc>
          <w:tcPr>
            <w:tcW w:w="578" w:type="pct"/>
            <w:shd w:val="clear" w:color="auto" w:fill="FFFFFF" w:themeFill="background1"/>
          </w:tcPr>
          <w:p w14:paraId="0B7BA0E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0D80AF8" w14:textId="77777777" w:rsidR="00FB1D26" w:rsidRPr="00A31BE0" w:rsidRDefault="00FB1D26" w:rsidP="00C31A7B">
            <w:pPr>
              <w:jc w:val="center"/>
              <w:rPr>
                <w:rFonts w:ascii="Jacobs Chronos" w:hAnsi="Jacobs Chronos" w:cs="Jacobs Chronos"/>
                <w:sz w:val="16"/>
                <w:szCs w:val="16"/>
              </w:rPr>
            </w:pPr>
          </w:p>
        </w:tc>
      </w:tr>
      <w:tr w:rsidR="00FB1D26" w:rsidRPr="00A31BE0" w14:paraId="657E23AD" w14:textId="77777777" w:rsidTr="00E81409">
        <w:trPr>
          <w:trHeight w:val="397"/>
        </w:trPr>
        <w:tc>
          <w:tcPr>
            <w:tcW w:w="741" w:type="pct"/>
            <w:shd w:val="clear" w:color="auto" w:fill="FFF2CC"/>
          </w:tcPr>
          <w:p w14:paraId="24D8B5A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8BD156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8EA7BB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4.1.2.4 Habitat trees may be retained in groups/patches dispersed across the coupe. </w:t>
            </w:r>
          </w:p>
        </w:tc>
        <w:tc>
          <w:tcPr>
            <w:tcW w:w="578" w:type="pct"/>
            <w:shd w:val="clear" w:color="auto" w:fill="FFFFFF" w:themeFill="background1"/>
          </w:tcPr>
          <w:p w14:paraId="5699D66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6C3180A" w14:textId="77777777" w:rsidR="00FB1D26" w:rsidRPr="00A31BE0" w:rsidRDefault="00FB1D26" w:rsidP="00C31A7B">
            <w:pPr>
              <w:jc w:val="center"/>
              <w:rPr>
                <w:rFonts w:ascii="Jacobs Chronos" w:hAnsi="Jacobs Chronos" w:cs="Jacobs Chronos"/>
                <w:sz w:val="16"/>
                <w:szCs w:val="16"/>
              </w:rPr>
            </w:pPr>
          </w:p>
        </w:tc>
      </w:tr>
      <w:tr w:rsidR="00FB1D26" w:rsidRPr="00A31BE0" w14:paraId="57E47298" w14:textId="77777777" w:rsidTr="00E81409">
        <w:trPr>
          <w:trHeight w:val="397"/>
        </w:trPr>
        <w:tc>
          <w:tcPr>
            <w:tcW w:w="741" w:type="pct"/>
            <w:shd w:val="clear" w:color="auto" w:fill="FFF2CC"/>
          </w:tcPr>
          <w:p w14:paraId="332BA13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BD41D4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3753C3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4.1.2.5 Seed trees may be counted as habitat trees. </w:t>
            </w:r>
          </w:p>
        </w:tc>
        <w:tc>
          <w:tcPr>
            <w:tcW w:w="578" w:type="pct"/>
            <w:shd w:val="clear" w:color="auto" w:fill="FFFFFF" w:themeFill="background1"/>
          </w:tcPr>
          <w:p w14:paraId="4394B02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A36804A" w14:textId="77777777" w:rsidR="00FB1D26" w:rsidRPr="00A31BE0" w:rsidRDefault="00FB1D26" w:rsidP="00C31A7B">
            <w:pPr>
              <w:jc w:val="center"/>
              <w:rPr>
                <w:rFonts w:ascii="Jacobs Chronos" w:hAnsi="Jacobs Chronos" w:cs="Jacobs Chronos"/>
                <w:sz w:val="16"/>
                <w:szCs w:val="16"/>
              </w:rPr>
            </w:pPr>
          </w:p>
        </w:tc>
      </w:tr>
      <w:tr w:rsidR="00FB1D26" w:rsidRPr="00A31BE0" w14:paraId="52BE0857" w14:textId="77777777" w:rsidTr="00E81409">
        <w:trPr>
          <w:trHeight w:val="397"/>
        </w:trPr>
        <w:tc>
          <w:tcPr>
            <w:tcW w:w="741" w:type="pct"/>
          </w:tcPr>
          <w:p w14:paraId="720D17A5" w14:textId="77777777" w:rsidR="00FB1D26" w:rsidRPr="00A31BE0" w:rsidRDefault="00FB1D26" w:rsidP="00E81409">
            <w:pPr>
              <w:rPr>
                <w:rFonts w:ascii="Jacobs Chronos" w:hAnsi="Jacobs Chronos" w:cs="Jacobs Chronos"/>
                <w:sz w:val="16"/>
                <w:szCs w:val="16"/>
              </w:rPr>
            </w:pPr>
          </w:p>
        </w:tc>
        <w:tc>
          <w:tcPr>
            <w:tcW w:w="392" w:type="pct"/>
          </w:tcPr>
          <w:p w14:paraId="7B50FA6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10.05</w:t>
            </w:r>
          </w:p>
        </w:tc>
        <w:tc>
          <w:tcPr>
            <w:tcW w:w="2767" w:type="pct"/>
          </w:tcPr>
          <w:p w14:paraId="6CA2CC6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North-East FMA, is there evidence of that live hollow-bearing trees and dead trees have been prioritised for retention as per MSP 4.1.2.1/2?</w:t>
            </w:r>
          </w:p>
        </w:tc>
        <w:tc>
          <w:tcPr>
            <w:tcW w:w="578" w:type="pct"/>
            <w:shd w:val="clear" w:color="auto" w:fill="FFFFFF" w:themeFill="background1"/>
          </w:tcPr>
          <w:p w14:paraId="3C898CC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03EA68AB"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978227D" w14:textId="77777777" w:rsidTr="00E81409">
        <w:trPr>
          <w:trHeight w:val="397"/>
        </w:trPr>
        <w:tc>
          <w:tcPr>
            <w:tcW w:w="741" w:type="pct"/>
          </w:tcPr>
          <w:p w14:paraId="5F52CF7D" w14:textId="77777777" w:rsidR="00FB1D26" w:rsidRPr="00A31BE0" w:rsidRDefault="00FB1D26" w:rsidP="00E81409">
            <w:pPr>
              <w:rPr>
                <w:rFonts w:ascii="Jacobs Chronos" w:hAnsi="Jacobs Chronos" w:cs="Jacobs Chronos"/>
                <w:sz w:val="16"/>
                <w:szCs w:val="16"/>
              </w:rPr>
            </w:pPr>
          </w:p>
        </w:tc>
        <w:tc>
          <w:tcPr>
            <w:tcW w:w="392" w:type="pct"/>
          </w:tcPr>
          <w:p w14:paraId="06EEDF1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10.06</w:t>
            </w:r>
          </w:p>
        </w:tc>
        <w:tc>
          <w:tcPr>
            <w:tcW w:w="2767" w:type="pct"/>
          </w:tcPr>
          <w:p w14:paraId="14F1C97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North-East FMA, are retained habitat trees generally located adjacent to areas of high value habitat that are most easily protected from damage during harvesting and regeneration?</w:t>
            </w:r>
          </w:p>
        </w:tc>
        <w:tc>
          <w:tcPr>
            <w:tcW w:w="578" w:type="pct"/>
            <w:shd w:val="clear" w:color="auto" w:fill="FFFFFF" w:themeFill="background1"/>
          </w:tcPr>
          <w:p w14:paraId="1ACB2FC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7FF4B2B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36D537F6" w14:textId="77777777" w:rsidTr="00E81409">
        <w:trPr>
          <w:trHeight w:val="397"/>
        </w:trPr>
        <w:tc>
          <w:tcPr>
            <w:tcW w:w="741" w:type="pct"/>
          </w:tcPr>
          <w:p w14:paraId="40D00EB8" w14:textId="77777777" w:rsidR="00FB1D26" w:rsidRPr="00A31BE0" w:rsidRDefault="00FB1D26" w:rsidP="00E81409">
            <w:pPr>
              <w:rPr>
                <w:rFonts w:ascii="Jacobs Chronos" w:hAnsi="Jacobs Chronos" w:cs="Jacobs Chronos"/>
                <w:sz w:val="16"/>
                <w:szCs w:val="16"/>
              </w:rPr>
            </w:pPr>
          </w:p>
        </w:tc>
        <w:tc>
          <w:tcPr>
            <w:tcW w:w="392" w:type="pct"/>
          </w:tcPr>
          <w:p w14:paraId="08D1859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68FF603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MSP4.1.4 Central Highlands FMAs</w:t>
            </w:r>
          </w:p>
        </w:tc>
        <w:tc>
          <w:tcPr>
            <w:tcW w:w="578" w:type="pct"/>
            <w:shd w:val="clear" w:color="auto" w:fill="FFFFFF" w:themeFill="background1"/>
          </w:tcPr>
          <w:p w14:paraId="281A7D0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B3AB8EE" w14:textId="77777777" w:rsidR="00FB1D26" w:rsidRPr="00A31BE0" w:rsidRDefault="00FB1D26" w:rsidP="00C31A7B">
            <w:pPr>
              <w:jc w:val="center"/>
              <w:rPr>
                <w:rFonts w:ascii="Jacobs Chronos" w:hAnsi="Jacobs Chronos" w:cs="Jacobs Chronos"/>
                <w:sz w:val="16"/>
                <w:szCs w:val="16"/>
              </w:rPr>
            </w:pPr>
          </w:p>
        </w:tc>
      </w:tr>
      <w:tr w:rsidR="00FB1D26" w:rsidRPr="00A31BE0" w14:paraId="035890DC" w14:textId="77777777" w:rsidTr="00E81409">
        <w:trPr>
          <w:trHeight w:val="397"/>
        </w:trPr>
        <w:tc>
          <w:tcPr>
            <w:tcW w:w="741" w:type="pct"/>
            <w:shd w:val="clear" w:color="auto" w:fill="FFF2CC"/>
          </w:tcPr>
          <w:p w14:paraId="2CD0A65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B8B415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8573EC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4.1.4.1 In Central Highlands FMAs, when selecting habitat trees, prioritise hollow‐bearing trees where they are present and trees most likely to develop hollows in the short term. </w:t>
            </w:r>
          </w:p>
        </w:tc>
        <w:tc>
          <w:tcPr>
            <w:tcW w:w="578" w:type="pct"/>
            <w:shd w:val="clear" w:color="auto" w:fill="FFFFFF" w:themeFill="background1"/>
          </w:tcPr>
          <w:p w14:paraId="160F9E9A"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04432AA" w14:textId="77777777" w:rsidR="00FB1D26" w:rsidRPr="00A31BE0" w:rsidRDefault="00FB1D26" w:rsidP="00C31A7B">
            <w:pPr>
              <w:jc w:val="center"/>
              <w:rPr>
                <w:rFonts w:ascii="Jacobs Chronos" w:hAnsi="Jacobs Chronos" w:cs="Jacobs Chronos"/>
                <w:sz w:val="16"/>
                <w:szCs w:val="16"/>
              </w:rPr>
            </w:pPr>
          </w:p>
        </w:tc>
      </w:tr>
      <w:tr w:rsidR="00FB1D26" w:rsidRPr="00A31BE0" w14:paraId="286E245D" w14:textId="77777777" w:rsidTr="00E81409">
        <w:trPr>
          <w:trHeight w:val="397"/>
        </w:trPr>
        <w:tc>
          <w:tcPr>
            <w:tcW w:w="741" w:type="pct"/>
            <w:shd w:val="clear" w:color="auto" w:fill="FFF2CC"/>
          </w:tcPr>
          <w:p w14:paraId="77B9E70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1E06CE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9BEBBD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4.1.4.2 Scatter habitat trees across the timber harvesting coupe in mixed‐species forest.</w:t>
            </w:r>
          </w:p>
        </w:tc>
        <w:tc>
          <w:tcPr>
            <w:tcW w:w="578" w:type="pct"/>
            <w:shd w:val="clear" w:color="auto" w:fill="FFFFFF" w:themeFill="background1"/>
          </w:tcPr>
          <w:p w14:paraId="75395D2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4B89663" w14:textId="77777777" w:rsidR="00FB1D26" w:rsidRPr="00A31BE0" w:rsidRDefault="00FB1D26" w:rsidP="00C31A7B">
            <w:pPr>
              <w:jc w:val="center"/>
              <w:rPr>
                <w:rFonts w:ascii="Jacobs Chronos" w:hAnsi="Jacobs Chronos" w:cs="Jacobs Chronos"/>
                <w:sz w:val="16"/>
                <w:szCs w:val="16"/>
              </w:rPr>
            </w:pPr>
          </w:p>
        </w:tc>
      </w:tr>
      <w:tr w:rsidR="00FB1D26" w:rsidRPr="00A31BE0" w14:paraId="039F2DC7" w14:textId="77777777" w:rsidTr="00E81409">
        <w:trPr>
          <w:trHeight w:val="397"/>
        </w:trPr>
        <w:tc>
          <w:tcPr>
            <w:tcW w:w="741" w:type="pct"/>
            <w:shd w:val="clear" w:color="auto" w:fill="FFF2CC"/>
          </w:tcPr>
          <w:p w14:paraId="2475D9C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8317B6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D57971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4.1.4.3 Where possible, retain potential hollow‐bearing ash eucalypts in clumps to increase their protection from exposure, windthrow and fire.</w:t>
            </w:r>
          </w:p>
        </w:tc>
        <w:tc>
          <w:tcPr>
            <w:tcW w:w="578" w:type="pct"/>
            <w:shd w:val="clear" w:color="auto" w:fill="FFFFFF" w:themeFill="background1"/>
          </w:tcPr>
          <w:p w14:paraId="244B9563"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2AEB695" w14:textId="77777777" w:rsidR="00FB1D26" w:rsidRPr="00A31BE0" w:rsidRDefault="00FB1D26" w:rsidP="00C31A7B">
            <w:pPr>
              <w:jc w:val="center"/>
              <w:rPr>
                <w:rFonts w:ascii="Jacobs Chronos" w:hAnsi="Jacobs Chronos" w:cs="Jacobs Chronos"/>
                <w:sz w:val="16"/>
                <w:szCs w:val="16"/>
              </w:rPr>
            </w:pPr>
          </w:p>
        </w:tc>
      </w:tr>
      <w:tr w:rsidR="00FB1D26" w:rsidRPr="00A31BE0" w14:paraId="6A252D8E" w14:textId="77777777" w:rsidTr="00E81409">
        <w:trPr>
          <w:trHeight w:val="397"/>
        </w:trPr>
        <w:tc>
          <w:tcPr>
            <w:tcW w:w="741" w:type="pct"/>
            <w:shd w:val="clear" w:color="auto" w:fill="FFF2CC"/>
          </w:tcPr>
          <w:p w14:paraId="0CABCEE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62CAFA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B5B520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4.1.4.4 No gap between retained vegetation is to be greater than 150 m.</w:t>
            </w:r>
          </w:p>
        </w:tc>
        <w:tc>
          <w:tcPr>
            <w:tcW w:w="578" w:type="pct"/>
            <w:shd w:val="clear" w:color="auto" w:fill="FFFFFF" w:themeFill="background1"/>
          </w:tcPr>
          <w:p w14:paraId="296741A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94F16A8" w14:textId="77777777" w:rsidR="00FB1D26" w:rsidRPr="00A31BE0" w:rsidRDefault="00FB1D26" w:rsidP="00C31A7B">
            <w:pPr>
              <w:jc w:val="center"/>
              <w:rPr>
                <w:rFonts w:ascii="Jacobs Chronos" w:hAnsi="Jacobs Chronos" w:cs="Jacobs Chronos"/>
                <w:sz w:val="16"/>
                <w:szCs w:val="16"/>
              </w:rPr>
            </w:pPr>
          </w:p>
        </w:tc>
      </w:tr>
      <w:tr w:rsidR="00FB1D26" w:rsidRPr="00A31BE0" w14:paraId="7B10CBB4" w14:textId="77777777" w:rsidTr="00E81409">
        <w:trPr>
          <w:trHeight w:val="397"/>
        </w:trPr>
        <w:tc>
          <w:tcPr>
            <w:tcW w:w="741" w:type="pct"/>
            <w:shd w:val="clear" w:color="auto" w:fill="FFF2CC"/>
          </w:tcPr>
          <w:p w14:paraId="2F518A9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63F5D5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7EC7DD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4.1.4.5 Retain habitat trees where they can be most easily protected from damage during harvesting and site preparation treatment.</w:t>
            </w:r>
          </w:p>
        </w:tc>
        <w:tc>
          <w:tcPr>
            <w:tcW w:w="578" w:type="pct"/>
            <w:shd w:val="clear" w:color="auto" w:fill="FFFFFF" w:themeFill="background1"/>
          </w:tcPr>
          <w:p w14:paraId="36A4738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DF0D463" w14:textId="77777777" w:rsidR="00FB1D26" w:rsidRPr="00A31BE0" w:rsidRDefault="00FB1D26" w:rsidP="00C31A7B">
            <w:pPr>
              <w:jc w:val="center"/>
              <w:rPr>
                <w:rFonts w:ascii="Jacobs Chronos" w:hAnsi="Jacobs Chronos" w:cs="Jacobs Chronos"/>
                <w:sz w:val="16"/>
                <w:szCs w:val="16"/>
              </w:rPr>
            </w:pPr>
          </w:p>
        </w:tc>
      </w:tr>
      <w:tr w:rsidR="00FB1D26" w:rsidRPr="00A31BE0" w14:paraId="3A0E4001" w14:textId="77777777" w:rsidTr="00E81409">
        <w:trPr>
          <w:trHeight w:val="397"/>
        </w:trPr>
        <w:tc>
          <w:tcPr>
            <w:tcW w:w="741" w:type="pct"/>
          </w:tcPr>
          <w:p w14:paraId="4E63AE41" w14:textId="77777777" w:rsidR="00FB1D26" w:rsidRPr="00A31BE0" w:rsidRDefault="00FB1D26" w:rsidP="00E81409">
            <w:pPr>
              <w:rPr>
                <w:rFonts w:ascii="Jacobs Chronos" w:hAnsi="Jacobs Chronos" w:cs="Jacobs Chronos"/>
                <w:sz w:val="16"/>
                <w:szCs w:val="16"/>
              </w:rPr>
            </w:pPr>
          </w:p>
        </w:tc>
        <w:tc>
          <w:tcPr>
            <w:tcW w:w="392" w:type="pct"/>
          </w:tcPr>
          <w:p w14:paraId="6120C2D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10.07</w:t>
            </w:r>
          </w:p>
        </w:tc>
        <w:tc>
          <w:tcPr>
            <w:tcW w:w="2767" w:type="pct"/>
          </w:tcPr>
          <w:p w14:paraId="40DE7F2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Based on evidence from the coupe and ITAO, have hollow-bearing or potential hollow-bearing trees, where present, been prioritised for habitat retention</w:t>
            </w:r>
          </w:p>
        </w:tc>
        <w:tc>
          <w:tcPr>
            <w:tcW w:w="578" w:type="pct"/>
            <w:shd w:val="clear" w:color="auto" w:fill="FFFFFF" w:themeFill="background1"/>
          </w:tcPr>
          <w:p w14:paraId="32C1C47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4E9B6213"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00814C8C" w14:textId="77777777" w:rsidTr="00E81409">
        <w:trPr>
          <w:trHeight w:val="397"/>
        </w:trPr>
        <w:tc>
          <w:tcPr>
            <w:tcW w:w="741" w:type="pct"/>
          </w:tcPr>
          <w:p w14:paraId="4FBA3CAE" w14:textId="77777777" w:rsidR="00FB1D26" w:rsidRPr="00A31BE0" w:rsidRDefault="00FB1D26" w:rsidP="00E81409">
            <w:pPr>
              <w:rPr>
                <w:rFonts w:ascii="Jacobs Chronos" w:hAnsi="Jacobs Chronos" w:cs="Jacobs Chronos"/>
                <w:sz w:val="16"/>
                <w:szCs w:val="16"/>
              </w:rPr>
            </w:pPr>
          </w:p>
        </w:tc>
        <w:tc>
          <w:tcPr>
            <w:tcW w:w="392" w:type="pct"/>
          </w:tcPr>
          <w:p w14:paraId="36B6C2A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10.08</w:t>
            </w:r>
          </w:p>
        </w:tc>
        <w:tc>
          <w:tcPr>
            <w:tcW w:w="2767" w:type="pct"/>
          </w:tcPr>
          <w:p w14:paraId="1C55E8D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mixed species forests, if there are retained habitat trees, have they been scattered evenly across the coupe?</w:t>
            </w:r>
          </w:p>
        </w:tc>
        <w:tc>
          <w:tcPr>
            <w:tcW w:w="578" w:type="pct"/>
            <w:shd w:val="clear" w:color="auto" w:fill="FFFFFF" w:themeFill="background1"/>
          </w:tcPr>
          <w:p w14:paraId="26D2631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70301ACE"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7EF8B16" w14:textId="77777777" w:rsidTr="00E81409">
        <w:trPr>
          <w:trHeight w:val="397"/>
        </w:trPr>
        <w:tc>
          <w:tcPr>
            <w:tcW w:w="741" w:type="pct"/>
          </w:tcPr>
          <w:p w14:paraId="7B624623" w14:textId="77777777" w:rsidR="00FB1D26" w:rsidRPr="00A31BE0" w:rsidRDefault="00FB1D26" w:rsidP="00E81409">
            <w:pPr>
              <w:rPr>
                <w:rFonts w:ascii="Jacobs Chronos" w:hAnsi="Jacobs Chronos" w:cs="Jacobs Chronos"/>
                <w:sz w:val="16"/>
                <w:szCs w:val="16"/>
              </w:rPr>
            </w:pPr>
          </w:p>
        </w:tc>
        <w:tc>
          <w:tcPr>
            <w:tcW w:w="392" w:type="pct"/>
          </w:tcPr>
          <w:p w14:paraId="04299E2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10.09</w:t>
            </w:r>
          </w:p>
        </w:tc>
        <w:tc>
          <w:tcPr>
            <w:tcW w:w="2767" w:type="pct"/>
          </w:tcPr>
          <w:p w14:paraId="4BA54A0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present, have hollow bearing ash eucalypts been retained in clumps.</w:t>
            </w:r>
          </w:p>
        </w:tc>
        <w:tc>
          <w:tcPr>
            <w:tcW w:w="578" w:type="pct"/>
            <w:shd w:val="clear" w:color="auto" w:fill="FFFFFF" w:themeFill="background1"/>
          </w:tcPr>
          <w:p w14:paraId="1F17000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50682F6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311BCB3A" w14:textId="77777777" w:rsidTr="00E81409">
        <w:trPr>
          <w:trHeight w:val="397"/>
        </w:trPr>
        <w:tc>
          <w:tcPr>
            <w:tcW w:w="741" w:type="pct"/>
          </w:tcPr>
          <w:p w14:paraId="4BB7B0D2" w14:textId="77777777" w:rsidR="00FB1D26" w:rsidRPr="00A31BE0" w:rsidRDefault="00FB1D26" w:rsidP="00E81409">
            <w:pPr>
              <w:rPr>
                <w:rFonts w:ascii="Jacobs Chronos" w:hAnsi="Jacobs Chronos" w:cs="Jacobs Chronos"/>
                <w:sz w:val="16"/>
                <w:szCs w:val="16"/>
              </w:rPr>
            </w:pPr>
          </w:p>
        </w:tc>
        <w:tc>
          <w:tcPr>
            <w:tcW w:w="392" w:type="pct"/>
          </w:tcPr>
          <w:p w14:paraId="61073C5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10.10</w:t>
            </w:r>
          </w:p>
        </w:tc>
        <w:tc>
          <w:tcPr>
            <w:tcW w:w="2767" w:type="pct"/>
          </w:tcPr>
          <w:p w14:paraId="6DA3679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Are gaps between retained vegetation ≤ 150 m?</w:t>
            </w:r>
          </w:p>
        </w:tc>
        <w:tc>
          <w:tcPr>
            <w:tcW w:w="578" w:type="pct"/>
            <w:shd w:val="clear" w:color="auto" w:fill="FFFFFF" w:themeFill="background1"/>
          </w:tcPr>
          <w:p w14:paraId="30CAFC3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763A2EA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2D557DB7" w14:textId="77777777" w:rsidTr="00E81409">
        <w:trPr>
          <w:trHeight w:val="397"/>
        </w:trPr>
        <w:tc>
          <w:tcPr>
            <w:tcW w:w="741" w:type="pct"/>
          </w:tcPr>
          <w:p w14:paraId="125049EA" w14:textId="77777777" w:rsidR="00FB1D26" w:rsidRPr="00A31BE0" w:rsidRDefault="00FB1D26" w:rsidP="00E81409">
            <w:pPr>
              <w:rPr>
                <w:rFonts w:ascii="Jacobs Chronos" w:hAnsi="Jacobs Chronos" w:cs="Jacobs Chronos"/>
                <w:sz w:val="16"/>
                <w:szCs w:val="16"/>
              </w:rPr>
            </w:pPr>
          </w:p>
        </w:tc>
        <w:tc>
          <w:tcPr>
            <w:tcW w:w="392" w:type="pct"/>
          </w:tcPr>
          <w:p w14:paraId="2D30415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10.11</w:t>
            </w:r>
          </w:p>
        </w:tc>
        <w:tc>
          <w:tcPr>
            <w:tcW w:w="2767" w:type="pct"/>
          </w:tcPr>
          <w:p w14:paraId="2F4699D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are any retained habitat trees located where they can most easily be protected from damage during harvesting and site preparation treatment?</w:t>
            </w:r>
          </w:p>
        </w:tc>
        <w:tc>
          <w:tcPr>
            <w:tcW w:w="578" w:type="pct"/>
            <w:shd w:val="clear" w:color="auto" w:fill="FFFFFF" w:themeFill="background1"/>
          </w:tcPr>
          <w:p w14:paraId="4287B52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6B3D64EB"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0C1C2D6" w14:textId="77777777" w:rsidTr="00E81409">
        <w:trPr>
          <w:trHeight w:val="397"/>
        </w:trPr>
        <w:tc>
          <w:tcPr>
            <w:tcW w:w="741" w:type="pct"/>
          </w:tcPr>
          <w:p w14:paraId="43C49026" w14:textId="77777777" w:rsidR="00FB1D26" w:rsidRPr="00A31BE0" w:rsidRDefault="00FB1D26" w:rsidP="00E81409">
            <w:pPr>
              <w:rPr>
                <w:rFonts w:ascii="Jacobs Chronos" w:hAnsi="Jacobs Chronos" w:cs="Jacobs Chronos"/>
                <w:sz w:val="16"/>
                <w:szCs w:val="16"/>
              </w:rPr>
            </w:pPr>
          </w:p>
        </w:tc>
        <w:tc>
          <w:tcPr>
            <w:tcW w:w="392" w:type="pct"/>
          </w:tcPr>
          <w:p w14:paraId="66DAE44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10.12</w:t>
            </w:r>
          </w:p>
        </w:tc>
        <w:tc>
          <w:tcPr>
            <w:tcW w:w="2767" w:type="pct"/>
          </w:tcPr>
          <w:p w14:paraId="7673ABB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Is there evidence of damage to retained vegetation from harvesting or regeneration?</w:t>
            </w:r>
          </w:p>
        </w:tc>
        <w:tc>
          <w:tcPr>
            <w:tcW w:w="578" w:type="pct"/>
            <w:shd w:val="clear" w:color="auto" w:fill="FFFFFF" w:themeFill="background1"/>
          </w:tcPr>
          <w:p w14:paraId="4E9063D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14537525" w14:textId="2C335E30" w:rsidR="00FB1D26" w:rsidRPr="00A31BE0" w:rsidRDefault="009B7058" w:rsidP="00C31A7B">
            <w:pPr>
              <w:jc w:val="center"/>
              <w:rPr>
                <w:rFonts w:ascii="Jacobs Chronos" w:hAnsi="Jacobs Chronos" w:cs="Jacobs Chronos"/>
                <w:sz w:val="16"/>
                <w:szCs w:val="16"/>
              </w:rPr>
            </w:pPr>
            <w:r>
              <w:rPr>
                <w:rFonts w:ascii="Jacobs Chronos" w:hAnsi="Jacobs Chronos" w:cs="Jacobs Chronos"/>
                <w:sz w:val="16"/>
                <w:szCs w:val="16"/>
              </w:rPr>
              <w:t>91</w:t>
            </w:r>
          </w:p>
        </w:tc>
      </w:tr>
      <w:tr w:rsidR="00FB1D26" w:rsidRPr="00A31BE0" w14:paraId="3234661C" w14:textId="77777777" w:rsidTr="00E81409">
        <w:trPr>
          <w:trHeight w:val="397"/>
        </w:trPr>
        <w:tc>
          <w:tcPr>
            <w:tcW w:w="741" w:type="pct"/>
          </w:tcPr>
          <w:p w14:paraId="045C8701" w14:textId="77777777" w:rsidR="00FB1D26" w:rsidRPr="00A31BE0" w:rsidRDefault="00FB1D26" w:rsidP="00E81409">
            <w:pPr>
              <w:rPr>
                <w:rFonts w:ascii="Jacobs Chronos" w:hAnsi="Jacobs Chronos" w:cs="Jacobs Chronos"/>
                <w:sz w:val="16"/>
                <w:szCs w:val="16"/>
              </w:rPr>
            </w:pPr>
          </w:p>
        </w:tc>
        <w:tc>
          <w:tcPr>
            <w:tcW w:w="392" w:type="pct"/>
          </w:tcPr>
          <w:p w14:paraId="6CB3DD1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4B36CB1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MSP4.1.5 East Gippsland and Gippsland FMAs</w:t>
            </w:r>
          </w:p>
        </w:tc>
        <w:tc>
          <w:tcPr>
            <w:tcW w:w="578" w:type="pct"/>
            <w:shd w:val="clear" w:color="auto" w:fill="FFFFFF" w:themeFill="background1"/>
          </w:tcPr>
          <w:p w14:paraId="101A5A0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DFC46C9" w14:textId="77777777" w:rsidR="00FB1D26" w:rsidRPr="00A31BE0" w:rsidRDefault="00FB1D26" w:rsidP="00C31A7B">
            <w:pPr>
              <w:jc w:val="center"/>
              <w:rPr>
                <w:rFonts w:ascii="Jacobs Chronos" w:hAnsi="Jacobs Chronos" w:cs="Jacobs Chronos"/>
                <w:sz w:val="16"/>
                <w:szCs w:val="16"/>
              </w:rPr>
            </w:pPr>
          </w:p>
        </w:tc>
      </w:tr>
      <w:tr w:rsidR="00FB1D26" w:rsidRPr="00A31BE0" w14:paraId="18005230" w14:textId="77777777" w:rsidTr="00E81409">
        <w:trPr>
          <w:trHeight w:val="397"/>
        </w:trPr>
        <w:tc>
          <w:tcPr>
            <w:tcW w:w="741" w:type="pct"/>
            <w:shd w:val="clear" w:color="auto" w:fill="FFF2CC"/>
          </w:tcPr>
          <w:p w14:paraId="1F3E18E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lastRenderedPageBreak/>
              <w:t>M</w:t>
            </w:r>
          </w:p>
        </w:tc>
        <w:tc>
          <w:tcPr>
            <w:tcW w:w="392" w:type="pct"/>
            <w:shd w:val="clear" w:color="auto" w:fill="FFF2CC"/>
          </w:tcPr>
          <w:p w14:paraId="2C4D98B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7E7FBD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4.1.5.1 When selecting habitat trees, prioritise old living trees with a range of hollow sizes. Where these are absent or not present in sufficient numbers, prioritise trees that are old enough to develop hollows during the next 50 years. </w:t>
            </w:r>
          </w:p>
        </w:tc>
        <w:tc>
          <w:tcPr>
            <w:tcW w:w="578" w:type="pct"/>
            <w:shd w:val="clear" w:color="auto" w:fill="FFFFFF" w:themeFill="background1"/>
          </w:tcPr>
          <w:p w14:paraId="59B6629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4F2219D" w14:textId="77777777" w:rsidR="00FB1D26" w:rsidRPr="00A31BE0" w:rsidRDefault="00FB1D26" w:rsidP="00C31A7B">
            <w:pPr>
              <w:jc w:val="center"/>
              <w:rPr>
                <w:rFonts w:ascii="Jacobs Chronos" w:hAnsi="Jacobs Chronos" w:cs="Jacobs Chronos"/>
                <w:sz w:val="16"/>
                <w:szCs w:val="16"/>
              </w:rPr>
            </w:pPr>
          </w:p>
        </w:tc>
      </w:tr>
      <w:tr w:rsidR="00FB1D26" w:rsidRPr="00A31BE0" w14:paraId="14DFFAE6" w14:textId="77777777" w:rsidTr="00E81409">
        <w:trPr>
          <w:trHeight w:val="397"/>
        </w:trPr>
        <w:tc>
          <w:tcPr>
            <w:tcW w:w="741" w:type="pct"/>
            <w:shd w:val="clear" w:color="auto" w:fill="FFF2CC"/>
          </w:tcPr>
          <w:p w14:paraId="5F5DC03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AA41AC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4A5315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4.1.5.2 Stags and younger, smaller trees may be counted as habitat trees if trees of the type described in 3.1.5.1 are absent or not present in sufficient numbers.</w:t>
            </w:r>
          </w:p>
        </w:tc>
        <w:tc>
          <w:tcPr>
            <w:tcW w:w="578" w:type="pct"/>
            <w:shd w:val="clear" w:color="auto" w:fill="FFFFFF" w:themeFill="background1"/>
          </w:tcPr>
          <w:p w14:paraId="0062D50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A92980C" w14:textId="77777777" w:rsidR="00FB1D26" w:rsidRPr="00A31BE0" w:rsidRDefault="00FB1D26" w:rsidP="00C31A7B">
            <w:pPr>
              <w:jc w:val="center"/>
              <w:rPr>
                <w:rFonts w:ascii="Jacobs Chronos" w:hAnsi="Jacobs Chronos" w:cs="Jacobs Chronos"/>
                <w:sz w:val="16"/>
                <w:szCs w:val="16"/>
              </w:rPr>
            </w:pPr>
          </w:p>
        </w:tc>
      </w:tr>
      <w:tr w:rsidR="00FB1D26" w:rsidRPr="00A31BE0" w14:paraId="1F75D46C" w14:textId="77777777" w:rsidTr="00E81409">
        <w:trPr>
          <w:trHeight w:val="397"/>
        </w:trPr>
        <w:tc>
          <w:tcPr>
            <w:tcW w:w="741" w:type="pct"/>
            <w:shd w:val="clear" w:color="auto" w:fill="FFF2CC"/>
          </w:tcPr>
          <w:p w14:paraId="6FA9190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532FD36"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5028D34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4.1.5.3 Where possible, retain habitat trees in small clusters which include younger regrowth and understorey. </w:t>
            </w:r>
          </w:p>
        </w:tc>
        <w:tc>
          <w:tcPr>
            <w:tcW w:w="578" w:type="pct"/>
            <w:shd w:val="clear" w:color="auto" w:fill="FFFFFF" w:themeFill="background1"/>
          </w:tcPr>
          <w:p w14:paraId="493D989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B13BE3B" w14:textId="77777777" w:rsidR="00FB1D26" w:rsidRPr="00A31BE0" w:rsidRDefault="00FB1D26" w:rsidP="00C31A7B">
            <w:pPr>
              <w:jc w:val="center"/>
              <w:rPr>
                <w:rFonts w:ascii="Jacobs Chronos" w:hAnsi="Jacobs Chronos" w:cs="Jacobs Chronos"/>
                <w:sz w:val="16"/>
                <w:szCs w:val="16"/>
              </w:rPr>
            </w:pPr>
          </w:p>
        </w:tc>
      </w:tr>
      <w:tr w:rsidR="00FB1D26" w:rsidRPr="00A31BE0" w14:paraId="6920CA2A" w14:textId="77777777" w:rsidTr="00E81409">
        <w:trPr>
          <w:trHeight w:val="397"/>
        </w:trPr>
        <w:tc>
          <w:tcPr>
            <w:tcW w:w="741" w:type="pct"/>
            <w:shd w:val="clear" w:color="auto" w:fill="FFF2CC"/>
          </w:tcPr>
          <w:p w14:paraId="0662F7C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DC9084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4505ED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4.1.5.4 Distribute habitat tree clusters across the coupe with consideration of the proximity of other retained vegetation. </w:t>
            </w:r>
          </w:p>
        </w:tc>
        <w:tc>
          <w:tcPr>
            <w:tcW w:w="578" w:type="pct"/>
            <w:shd w:val="clear" w:color="auto" w:fill="FFFFFF" w:themeFill="background1"/>
          </w:tcPr>
          <w:p w14:paraId="5A535B6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AE5B36A" w14:textId="77777777" w:rsidR="00FB1D26" w:rsidRPr="00A31BE0" w:rsidRDefault="00FB1D26" w:rsidP="00C31A7B">
            <w:pPr>
              <w:jc w:val="center"/>
              <w:rPr>
                <w:rFonts w:ascii="Jacobs Chronos" w:hAnsi="Jacobs Chronos" w:cs="Jacobs Chronos"/>
                <w:sz w:val="16"/>
                <w:szCs w:val="16"/>
              </w:rPr>
            </w:pPr>
          </w:p>
        </w:tc>
      </w:tr>
      <w:tr w:rsidR="00FB1D26" w:rsidRPr="00A31BE0" w14:paraId="385BBA11" w14:textId="77777777" w:rsidTr="00E81409">
        <w:trPr>
          <w:trHeight w:val="397"/>
        </w:trPr>
        <w:tc>
          <w:tcPr>
            <w:tcW w:w="741" w:type="pct"/>
          </w:tcPr>
          <w:p w14:paraId="29F8933D" w14:textId="77777777" w:rsidR="00FB1D26" w:rsidRPr="00A31BE0" w:rsidRDefault="00FB1D26" w:rsidP="00E81409">
            <w:pPr>
              <w:rPr>
                <w:rFonts w:ascii="Jacobs Chronos" w:hAnsi="Jacobs Chronos" w:cs="Jacobs Chronos"/>
                <w:sz w:val="16"/>
                <w:szCs w:val="16"/>
              </w:rPr>
            </w:pPr>
          </w:p>
        </w:tc>
        <w:tc>
          <w:tcPr>
            <w:tcW w:w="392" w:type="pct"/>
          </w:tcPr>
          <w:p w14:paraId="403546C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10.13</w:t>
            </w:r>
          </w:p>
        </w:tc>
        <w:tc>
          <w:tcPr>
            <w:tcW w:w="2767" w:type="pct"/>
          </w:tcPr>
          <w:p w14:paraId="56EA16C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Is there evidence that selection of habitat trees has prioritised living trees with a range of hollow sizes, where present, or trees that are old enough to develop hollows during the next 50 years.  </w:t>
            </w:r>
          </w:p>
        </w:tc>
        <w:tc>
          <w:tcPr>
            <w:tcW w:w="578" w:type="pct"/>
            <w:shd w:val="clear" w:color="auto" w:fill="FFFFFF" w:themeFill="background1"/>
          </w:tcPr>
          <w:p w14:paraId="6D7927E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5BFDF2E2"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7B380E2A" w14:textId="77777777" w:rsidTr="00E81409">
        <w:trPr>
          <w:trHeight w:val="397"/>
        </w:trPr>
        <w:tc>
          <w:tcPr>
            <w:tcW w:w="741" w:type="pct"/>
          </w:tcPr>
          <w:p w14:paraId="31FE0295" w14:textId="77777777" w:rsidR="00FB1D26" w:rsidRPr="00A31BE0" w:rsidRDefault="00FB1D26" w:rsidP="00E81409">
            <w:pPr>
              <w:rPr>
                <w:rFonts w:ascii="Jacobs Chronos" w:hAnsi="Jacobs Chronos" w:cs="Jacobs Chronos"/>
                <w:sz w:val="16"/>
                <w:szCs w:val="16"/>
              </w:rPr>
            </w:pPr>
          </w:p>
        </w:tc>
        <w:tc>
          <w:tcPr>
            <w:tcW w:w="392" w:type="pct"/>
          </w:tcPr>
          <w:p w14:paraId="78B5D0E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10.14</w:t>
            </w:r>
          </w:p>
        </w:tc>
        <w:tc>
          <w:tcPr>
            <w:tcW w:w="2767" w:type="pct"/>
          </w:tcPr>
          <w:p w14:paraId="721B8E9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habitat trees been retained in small clusters that include younger regrowth and understorey (where ITAO this is reasonably practicable)?</w:t>
            </w:r>
          </w:p>
        </w:tc>
        <w:tc>
          <w:tcPr>
            <w:tcW w:w="578" w:type="pct"/>
            <w:shd w:val="clear" w:color="auto" w:fill="FFFFFF" w:themeFill="background1"/>
          </w:tcPr>
          <w:p w14:paraId="263A606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2891C4CF"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6653118D" w14:textId="77777777" w:rsidTr="00E81409">
        <w:trPr>
          <w:trHeight w:val="397"/>
        </w:trPr>
        <w:tc>
          <w:tcPr>
            <w:tcW w:w="741" w:type="pct"/>
          </w:tcPr>
          <w:p w14:paraId="308460B6" w14:textId="77777777" w:rsidR="00FB1D26" w:rsidRPr="00A31BE0" w:rsidRDefault="00FB1D26" w:rsidP="00E81409">
            <w:pPr>
              <w:rPr>
                <w:rFonts w:ascii="Jacobs Chronos" w:hAnsi="Jacobs Chronos" w:cs="Jacobs Chronos"/>
                <w:sz w:val="16"/>
                <w:szCs w:val="16"/>
              </w:rPr>
            </w:pPr>
          </w:p>
        </w:tc>
        <w:tc>
          <w:tcPr>
            <w:tcW w:w="392" w:type="pct"/>
          </w:tcPr>
          <w:p w14:paraId="617EFEE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10.15</w:t>
            </w:r>
          </w:p>
        </w:tc>
        <w:tc>
          <w:tcPr>
            <w:tcW w:w="2767" w:type="pct"/>
          </w:tcPr>
          <w:p w14:paraId="6005ED7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habitat tree clusters been distributed across the coupe, with (ITAO) apparent consideration of the proximity of other retained habitat?</w:t>
            </w:r>
          </w:p>
        </w:tc>
        <w:tc>
          <w:tcPr>
            <w:tcW w:w="578" w:type="pct"/>
            <w:shd w:val="clear" w:color="auto" w:fill="FFFFFF" w:themeFill="background1"/>
          </w:tcPr>
          <w:p w14:paraId="5E749AC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A62408C"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5E58F73D" w14:textId="77777777" w:rsidTr="00E81409">
        <w:trPr>
          <w:trHeight w:val="397"/>
        </w:trPr>
        <w:tc>
          <w:tcPr>
            <w:tcW w:w="741" w:type="pct"/>
          </w:tcPr>
          <w:p w14:paraId="1BD52E22" w14:textId="77777777" w:rsidR="00FB1D26" w:rsidRPr="00A31BE0" w:rsidRDefault="00FB1D26" w:rsidP="00E81409">
            <w:pPr>
              <w:rPr>
                <w:rFonts w:ascii="Jacobs Chronos" w:hAnsi="Jacobs Chronos" w:cs="Jacobs Chronos"/>
                <w:sz w:val="16"/>
                <w:szCs w:val="16"/>
              </w:rPr>
            </w:pPr>
          </w:p>
        </w:tc>
        <w:tc>
          <w:tcPr>
            <w:tcW w:w="392" w:type="pct"/>
            <w:shd w:val="clear" w:color="auto" w:fill="E2EFDA"/>
          </w:tcPr>
          <w:p w14:paraId="5C57950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26FC529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4.2 Fauna and flora: 4.2.1 Detection-based management</w:t>
            </w:r>
          </w:p>
        </w:tc>
        <w:tc>
          <w:tcPr>
            <w:tcW w:w="578" w:type="pct"/>
            <w:shd w:val="clear" w:color="auto" w:fill="FFFFFF" w:themeFill="background1"/>
          </w:tcPr>
          <w:p w14:paraId="38F8E45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F5C98A6" w14:textId="77777777" w:rsidR="00FB1D26" w:rsidRPr="00A31BE0" w:rsidRDefault="00FB1D26" w:rsidP="00C31A7B">
            <w:pPr>
              <w:jc w:val="center"/>
              <w:rPr>
                <w:rFonts w:ascii="Jacobs Chronos" w:hAnsi="Jacobs Chronos" w:cs="Jacobs Chronos"/>
                <w:sz w:val="16"/>
                <w:szCs w:val="16"/>
              </w:rPr>
            </w:pPr>
          </w:p>
        </w:tc>
      </w:tr>
      <w:tr w:rsidR="00FB1D26" w:rsidRPr="00A31BE0" w14:paraId="21FCC85E" w14:textId="77777777" w:rsidTr="00E81409">
        <w:trPr>
          <w:trHeight w:val="397"/>
        </w:trPr>
        <w:tc>
          <w:tcPr>
            <w:tcW w:w="741" w:type="pct"/>
            <w:shd w:val="clear" w:color="auto" w:fill="FFF2CC"/>
          </w:tcPr>
          <w:p w14:paraId="1611BE5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1BF1D7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BDB2C1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4.2.1.1 Detection based management obligations apply in any area that may be affected by current or planned timber harvesting operations, and in any area in which an obligation may affect the conduct of such timber harvesting operations (for example, if a protection area would include an area within which timber harvesting operations are proposed).</w:t>
            </w:r>
          </w:p>
        </w:tc>
        <w:tc>
          <w:tcPr>
            <w:tcW w:w="578" w:type="pct"/>
            <w:shd w:val="clear" w:color="auto" w:fill="FFFFFF" w:themeFill="background1"/>
          </w:tcPr>
          <w:p w14:paraId="02381700"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CD712E6" w14:textId="77777777" w:rsidR="00FB1D26" w:rsidRPr="00A31BE0" w:rsidRDefault="00FB1D26" w:rsidP="00C31A7B">
            <w:pPr>
              <w:jc w:val="center"/>
              <w:rPr>
                <w:rFonts w:ascii="Jacobs Chronos" w:hAnsi="Jacobs Chronos" w:cs="Jacobs Chronos"/>
                <w:sz w:val="16"/>
                <w:szCs w:val="16"/>
              </w:rPr>
            </w:pPr>
          </w:p>
        </w:tc>
      </w:tr>
      <w:tr w:rsidR="00FB1D26" w:rsidRPr="00A31BE0" w14:paraId="3BC53395" w14:textId="77777777" w:rsidTr="00E81409">
        <w:trPr>
          <w:trHeight w:val="397"/>
        </w:trPr>
        <w:tc>
          <w:tcPr>
            <w:tcW w:w="741" w:type="pct"/>
            <w:shd w:val="clear" w:color="auto" w:fill="FFF2CC"/>
          </w:tcPr>
          <w:p w14:paraId="799F7B3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646C83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47CD5A8" w14:textId="77777777" w:rsidR="00FB1D26" w:rsidRPr="00481935"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4.2.1.2 </w:t>
            </w:r>
            <w:r w:rsidRPr="00481935">
              <w:rPr>
                <w:rFonts w:ascii="Jacobs Chronos" w:hAnsi="Jacobs Chronos" w:cs="Jacobs Chronos"/>
                <w:sz w:val="16"/>
                <w:szCs w:val="16"/>
              </w:rPr>
              <w:t>If evidence of the presence of a value listed in Table 13 Rare or threatened fauna and invertebrate prescriptions or Table 14 Rare or threatened flora prescriptions is identified, the managing authority must: a)</w:t>
            </w:r>
            <w:r w:rsidRPr="00481935">
              <w:rPr>
                <w:rFonts w:ascii="Jacobs Chronos" w:hAnsi="Jacobs Chronos" w:cs="Jacobs Chronos"/>
                <w:sz w:val="16"/>
                <w:szCs w:val="16"/>
              </w:rPr>
              <w:tab/>
              <w:t>notify the Secretary, providing details (including spatial information) of evidence and the value location; and b)</w:t>
            </w:r>
            <w:r w:rsidRPr="00481935">
              <w:rPr>
                <w:rFonts w:ascii="Jacobs Chronos" w:hAnsi="Jacobs Chronos" w:cs="Jacobs Chronos"/>
                <w:sz w:val="16"/>
                <w:szCs w:val="16"/>
              </w:rPr>
              <w:tab/>
              <w:t xml:space="preserve">unless the Secretary otherwise approves, take appropriate steps to verify evidence of the presence of the value. </w:t>
            </w:r>
          </w:p>
          <w:p w14:paraId="141D4D80" w14:textId="77777777" w:rsidR="00FB1D26" w:rsidRPr="00A31BE0" w:rsidRDefault="00FB1D26" w:rsidP="00E81409">
            <w:pPr>
              <w:rPr>
                <w:rFonts w:ascii="Jacobs Chronos" w:hAnsi="Jacobs Chronos" w:cs="Jacobs Chronos"/>
                <w:sz w:val="16"/>
                <w:szCs w:val="16"/>
              </w:rPr>
            </w:pPr>
            <w:r w:rsidRPr="00481935">
              <w:rPr>
                <w:rFonts w:ascii="Jacobs Chronos" w:hAnsi="Jacobs Chronos" w:cs="Jacobs Chronos"/>
                <w:sz w:val="16"/>
                <w:szCs w:val="16"/>
              </w:rPr>
              <w:t>Note: The Secretary may otherwise approve if the Secretary intends to take steps to verify the existence of the value.</w:t>
            </w:r>
          </w:p>
        </w:tc>
        <w:tc>
          <w:tcPr>
            <w:tcW w:w="578" w:type="pct"/>
            <w:shd w:val="clear" w:color="auto" w:fill="FFFFFF" w:themeFill="background1"/>
          </w:tcPr>
          <w:p w14:paraId="4332D535"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02A2474" w14:textId="77777777" w:rsidR="00FB1D26" w:rsidRPr="00A31BE0" w:rsidRDefault="00FB1D26" w:rsidP="00C31A7B">
            <w:pPr>
              <w:jc w:val="center"/>
              <w:rPr>
                <w:rFonts w:ascii="Jacobs Chronos" w:hAnsi="Jacobs Chronos" w:cs="Jacobs Chronos"/>
                <w:sz w:val="16"/>
                <w:szCs w:val="16"/>
              </w:rPr>
            </w:pPr>
          </w:p>
        </w:tc>
      </w:tr>
      <w:tr w:rsidR="00FB1D26" w:rsidRPr="00A31BE0" w14:paraId="2CC24D38" w14:textId="77777777" w:rsidTr="00E81409">
        <w:trPr>
          <w:trHeight w:val="397"/>
        </w:trPr>
        <w:tc>
          <w:tcPr>
            <w:tcW w:w="741" w:type="pct"/>
            <w:shd w:val="clear" w:color="auto" w:fill="FFF2CC"/>
          </w:tcPr>
          <w:p w14:paraId="1758B2D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0D2E363"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756A26A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4.2.1.3 If evidence of the presence of a value listed in Table 13 Rare or threatened fauna and invertebrate prescriptions or Table 14 Rare or threatened flora prescriptions is verified, apply and undertake any associated management action specified in the Table</w:t>
            </w:r>
          </w:p>
        </w:tc>
        <w:tc>
          <w:tcPr>
            <w:tcW w:w="578" w:type="pct"/>
            <w:shd w:val="clear" w:color="auto" w:fill="FFFFFF" w:themeFill="background1"/>
          </w:tcPr>
          <w:p w14:paraId="0459BEC5"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1F846D7" w14:textId="77777777" w:rsidR="00FB1D26" w:rsidRPr="00A31BE0" w:rsidRDefault="00FB1D26" w:rsidP="00C31A7B">
            <w:pPr>
              <w:jc w:val="center"/>
              <w:rPr>
                <w:rFonts w:ascii="Jacobs Chronos" w:hAnsi="Jacobs Chronos" w:cs="Jacobs Chronos"/>
                <w:sz w:val="16"/>
                <w:szCs w:val="16"/>
              </w:rPr>
            </w:pPr>
          </w:p>
        </w:tc>
      </w:tr>
      <w:tr w:rsidR="00FB1D26" w:rsidRPr="00A31BE0" w14:paraId="58824497" w14:textId="77777777" w:rsidTr="00E81409">
        <w:trPr>
          <w:trHeight w:val="397"/>
        </w:trPr>
        <w:tc>
          <w:tcPr>
            <w:tcW w:w="741" w:type="pct"/>
            <w:shd w:val="clear" w:color="auto" w:fill="FFF2CC"/>
          </w:tcPr>
          <w:p w14:paraId="3519302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258BAE8"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41072A5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4.2.1.4 If a management action or other mandatory action includes a requirement to apply a protection area or a management area, the managing authority must (in addition to any other action):  a) Provide information to the Secretary about the extent and boundary of the area proposed to be delineated as a protection area or management area; b) Follow any input or direction of the Secretary about the extent and boundary of the area (which must not be inconsistent with the Code or these Management Standards and Procedures);  c) Delineate the boundary of the protection area or the management area in any applicable Forest Coupe Plan (consistently with the applicable requirement and any input or direction from the Secretary), including by updating the Forest Coupe Plan as the case requires; and d)</w:t>
            </w:r>
          </w:p>
        </w:tc>
        <w:tc>
          <w:tcPr>
            <w:tcW w:w="578" w:type="pct"/>
            <w:shd w:val="clear" w:color="auto" w:fill="FFFFFF" w:themeFill="background1"/>
          </w:tcPr>
          <w:p w14:paraId="4AF090E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9F35EA3" w14:textId="77777777" w:rsidR="00FB1D26" w:rsidRPr="00A31BE0" w:rsidRDefault="00FB1D26" w:rsidP="00C31A7B">
            <w:pPr>
              <w:jc w:val="center"/>
              <w:rPr>
                <w:rFonts w:ascii="Jacobs Chronos" w:hAnsi="Jacobs Chronos" w:cs="Jacobs Chronos"/>
                <w:sz w:val="16"/>
                <w:szCs w:val="16"/>
              </w:rPr>
            </w:pPr>
          </w:p>
        </w:tc>
      </w:tr>
      <w:tr w:rsidR="00FB1D26" w:rsidRPr="00A31BE0" w14:paraId="79ABBB34" w14:textId="77777777" w:rsidTr="00E81409">
        <w:trPr>
          <w:trHeight w:val="397"/>
        </w:trPr>
        <w:tc>
          <w:tcPr>
            <w:tcW w:w="741" w:type="pct"/>
            <w:shd w:val="clear" w:color="auto" w:fill="FFF2CC"/>
          </w:tcPr>
          <w:p w14:paraId="188E499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5AA25E9"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0B7D1F6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4.2.1.5 In any management area that is required to be applied by these Management Standards and Procedures, the managing authority must (in addition to any other action): a) consult with the Secretary about proposed measures to ensure the persistence of a value across the management area; and b) ensure sufficient practical measures are undertaken to ensure the persistence of a value across the management area.</w:t>
            </w:r>
          </w:p>
        </w:tc>
        <w:tc>
          <w:tcPr>
            <w:tcW w:w="578" w:type="pct"/>
            <w:shd w:val="clear" w:color="auto" w:fill="FFFFFF" w:themeFill="background1"/>
          </w:tcPr>
          <w:p w14:paraId="5A29ADD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C00117E" w14:textId="77777777" w:rsidR="00FB1D26" w:rsidRPr="00A31BE0" w:rsidRDefault="00FB1D26" w:rsidP="00C31A7B">
            <w:pPr>
              <w:jc w:val="center"/>
              <w:rPr>
                <w:rFonts w:ascii="Jacobs Chronos" w:hAnsi="Jacobs Chronos" w:cs="Jacobs Chronos"/>
                <w:sz w:val="16"/>
                <w:szCs w:val="16"/>
              </w:rPr>
            </w:pPr>
          </w:p>
        </w:tc>
      </w:tr>
      <w:tr w:rsidR="00FB1D26" w:rsidRPr="00A31BE0" w14:paraId="550E71FA" w14:textId="77777777" w:rsidTr="00E81409">
        <w:trPr>
          <w:trHeight w:val="397"/>
        </w:trPr>
        <w:tc>
          <w:tcPr>
            <w:tcW w:w="741" w:type="pct"/>
            <w:shd w:val="clear" w:color="auto" w:fill="FFF2CC"/>
          </w:tcPr>
          <w:p w14:paraId="4C39AF1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BFE6F66"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4B0493C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4.2.1.6 The managing authority must comply with the requirements of clause 4.2.1.2, 4.2.1.3, 4.2.1.4 and 4.2.1.5, either: a) prior to the commencement of timber harvesting operations; or b) if a requirement only arises after timber harvesting operations have commenced, as soon as possible after the requirement arises.</w:t>
            </w:r>
          </w:p>
        </w:tc>
        <w:tc>
          <w:tcPr>
            <w:tcW w:w="578" w:type="pct"/>
            <w:shd w:val="clear" w:color="auto" w:fill="FFFFFF" w:themeFill="background1"/>
          </w:tcPr>
          <w:p w14:paraId="09A6904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5F9390C" w14:textId="77777777" w:rsidR="00FB1D26" w:rsidRPr="00A31BE0" w:rsidRDefault="00FB1D26" w:rsidP="00C31A7B">
            <w:pPr>
              <w:jc w:val="center"/>
              <w:rPr>
                <w:rFonts w:ascii="Jacobs Chronos" w:hAnsi="Jacobs Chronos" w:cs="Jacobs Chronos"/>
                <w:sz w:val="16"/>
                <w:szCs w:val="16"/>
              </w:rPr>
            </w:pPr>
          </w:p>
        </w:tc>
      </w:tr>
      <w:tr w:rsidR="00FB1D26" w:rsidRPr="00A31BE0" w14:paraId="52768F54" w14:textId="77777777" w:rsidTr="00E81409">
        <w:trPr>
          <w:trHeight w:val="397"/>
        </w:trPr>
        <w:tc>
          <w:tcPr>
            <w:tcW w:w="741" w:type="pct"/>
          </w:tcPr>
          <w:p w14:paraId="26375DE3" w14:textId="77777777" w:rsidR="00FB1D26" w:rsidRPr="00A31BE0" w:rsidRDefault="00FB1D26" w:rsidP="00E81409">
            <w:pPr>
              <w:rPr>
                <w:rFonts w:ascii="Jacobs Chronos" w:hAnsi="Jacobs Chronos" w:cs="Jacobs Chronos"/>
                <w:sz w:val="16"/>
                <w:szCs w:val="16"/>
              </w:rPr>
            </w:pPr>
          </w:p>
        </w:tc>
        <w:tc>
          <w:tcPr>
            <w:tcW w:w="392" w:type="pct"/>
          </w:tcPr>
          <w:p w14:paraId="35198DA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11.01</w:t>
            </w:r>
          </w:p>
        </w:tc>
        <w:tc>
          <w:tcPr>
            <w:tcW w:w="2767" w:type="pct"/>
          </w:tcPr>
          <w:p w14:paraId="305D193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a listed flora or fauna value is identified and verified within or adjacent to the coupe, have the prescribed protection measures (from MSP Tables 13 and 14) been put in place?</w:t>
            </w:r>
          </w:p>
        </w:tc>
        <w:tc>
          <w:tcPr>
            <w:tcW w:w="578" w:type="pct"/>
            <w:shd w:val="clear" w:color="auto" w:fill="FFFFFF" w:themeFill="background1"/>
          </w:tcPr>
          <w:p w14:paraId="7E9E088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0FB94AC8"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96</w:t>
            </w:r>
          </w:p>
        </w:tc>
      </w:tr>
      <w:tr w:rsidR="00FB1D26" w:rsidRPr="00A31BE0" w14:paraId="2DD88C0A" w14:textId="77777777" w:rsidTr="00E81409">
        <w:trPr>
          <w:trHeight w:val="397"/>
        </w:trPr>
        <w:tc>
          <w:tcPr>
            <w:tcW w:w="741" w:type="pct"/>
          </w:tcPr>
          <w:p w14:paraId="29657DF5" w14:textId="77777777" w:rsidR="00FB1D26" w:rsidRPr="00A31BE0" w:rsidRDefault="00FB1D26" w:rsidP="00E81409">
            <w:pPr>
              <w:rPr>
                <w:rFonts w:ascii="Jacobs Chronos" w:hAnsi="Jacobs Chronos" w:cs="Jacobs Chronos"/>
                <w:sz w:val="16"/>
                <w:szCs w:val="16"/>
              </w:rPr>
            </w:pPr>
          </w:p>
        </w:tc>
        <w:tc>
          <w:tcPr>
            <w:tcW w:w="392" w:type="pct"/>
          </w:tcPr>
          <w:p w14:paraId="359DDDD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11.02</w:t>
            </w:r>
          </w:p>
        </w:tc>
        <w:tc>
          <w:tcPr>
            <w:tcW w:w="2767" w:type="pct"/>
          </w:tcPr>
          <w:p w14:paraId="0453958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the management action for the threatened flora or fauna value requires application of a protection area or management area, has the boundary of the management area been delineated in the FCP?</w:t>
            </w:r>
          </w:p>
        </w:tc>
        <w:tc>
          <w:tcPr>
            <w:tcW w:w="578" w:type="pct"/>
            <w:shd w:val="clear" w:color="auto" w:fill="FFFFFF" w:themeFill="background1"/>
          </w:tcPr>
          <w:p w14:paraId="159B7C5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08FEB0F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9D2C422" w14:textId="77777777" w:rsidTr="00E81409">
        <w:trPr>
          <w:trHeight w:val="397"/>
        </w:trPr>
        <w:tc>
          <w:tcPr>
            <w:tcW w:w="741" w:type="pct"/>
          </w:tcPr>
          <w:p w14:paraId="678122F6" w14:textId="77777777" w:rsidR="00FB1D26" w:rsidRPr="00A31BE0" w:rsidRDefault="00FB1D26" w:rsidP="00E81409">
            <w:pPr>
              <w:rPr>
                <w:rFonts w:ascii="Jacobs Chronos" w:hAnsi="Jacobs Chronos" w:cs="Jacobs Chronos"/>
                <w:sz w:val="16"/>
                <w:szCs w:val="16"/>
              </w:rPr>
            </w:pPr>
          </w:p>
        </w:tc>
        <w:tc>
          <w:tcPr>
            <w:tcW w:w="392" w:type="pct"/>
          </w:tcPr>
          <w:p w14:paraId="6027349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11.03</w:t>
            </w:r>
          </w:p>
        </w:tc>
        <w:tc>
          <w:tcPr>
            <w:tcW w:w="2767" w:type="pct"/>
          </w:tcPr>
          <w:p w14:paraId="5B18B2E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Is there evidence of consultation with the Secretary regarding the proposed measures to be applied to ensure the persistence of the value across the management area? </w:t>
            </w:r>
          </w:p>
        </w:tc>
        <w:tc>
          <w:tcPr>
            <w:tcW w:w="578" w:type="pct"/>
            <w:shd w:val="clear" w:color="auto" w:fill="FFFFFF" w:themeFill="background1"/>
          </w:tcPr>
          <w:p w14:paraId="5D936CE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BC4D956"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0B890662" w14:textId="77777777" w:rsidTr="00E81409">
        <w:trPr>
          <w:trHeight w:val="397"/>
        </w:trPr>
        <w:tc>
          <w:tcPr>
            <w:tcW w:w="741" w:type="pct"/>
          </w:tcPr>
          <w:p w14:paraId="35BB2AFD" w14:textId="77777777" w:rsidR="00FB1D26" w:rsidRPr="00A31BE0" w:rsidRDefault="00FB1D26" w:rsidP="00E81409">
            <w:pPr>
              <w:rPr>
                <w:rFonts w:ascii="Jacobs Chronos" w:hAnsi="Jacobs Chronos" w:cs="Jacobs Chronos"/>
                <w:sz w:val="16"/>
                <w:szCs w:val="16"/>
              </w:rPr>
            </w:pPr>
          </w:p>
        </w:tc>
        <w:tc>
          <w:tcPr>
            <w:tcW w:w="392" w:type="pct"/>
          </w:tcPr>
          <w:p w14:paraId="686CEF3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11.04</w:t>
            </w:r>
          </w:p>
        </w:tc>
        <w:tc>
          <w:tcPr>
            <w:tcW w:w="2767" w:type="pct"/>
          </w:tcPr>
          <w:p w14:paraId="36212F5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the agreed management measures been carried out?</w:t>
            </w:r>
          </w:p>
        </w:tc>
        <w:tc>
          <w:tcPr>
            <w:tcW w:w="578" w:type="pct"/>
            <w:shd w:val="clear" w:color="auto" w:fill="FFFFFF" w:themeFill="background1"/>
          </w:tcPr>
          <w:p w14:paraId="32224F8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69520B5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075FF7B" w14:textId="77777777" w:rsidTr="00E81409">
        <w:trPr>
          <w:trHeight w:val="397"/>
        </w:trPr>
        <w:tc>
          <w:tcPr>
            <w:tcW w:w="741" w:type="pct"/>
          </w:tcPr>
          <w:p w14:paraId="22C69CEB" w14:textId="77777777" w:rsidR="00FB1D26" w:rsidRPr="00A31BE0" w:rsidRDefault="00FB1D26" w:rsidP="00E81409">
            <w:pPr>
              <w:rPr>
                <w:rFonts w:ascii="Jacobs Chronos" w:hAnsi="Jacobs Chronos" w:cs="Jacobs Chronos"/>
                <w:sz w:val="16"/>
                <w:szCs w:val="16"/>
              </w:rPr>
            </w:pPr>
          </w:p>
        </w:tc>
        <w:tc>
          <w:tcPr>
            <w:tcW w:w="392" w:type="pct"/>
            <w:shd w:val="clear" w:color="auto" w:fill="E2EFDA"/>
          </w:tcPr>
          <w:p w14:paraId="387EA98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6E39944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4.3 Vegetation communities</w:t>
            </w:r>
          </w:p>
        </w:tc>
        <w:tc>
          <w:tcPr>
            <w:tcW w:w="578" w:type="pct"/>
            <w:shd w:val="clear" w:color="auto" w:fill="FFFFFF" w:themeFill="background1"/>
          </w:tcPr>
          <w:p w14:paraId="31FB310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C94B87B" w14:textId="77777777" w:rsidR="00FB1D26" w:rsidRPr="00A31BE0" w:rsidRDefault="00FB1D26" w:rsidP="00C31A7B">
            <w:pPr>
              <w:jc w:val="center"/>
              <w:rPr>
                <w:rFonts w:ascii="Jacobs Chronos" w:hAnsi="Jacobs Chronos" w:cs="Jacobs Chronos"/>
                <w:sz w:val="16"/>
                <w:szCs w:val="16"/>
              </w:rPr>
            </w:pPr>
          </w:p>
        </w:tc>
      </w:tr>
      <w:tr w:rsidR="00FB1D26" w:rsidRPr="00A31BE0" w14:paraId="18A81138" w14:textId="77777777" w:rsidTr="00E81409">
        <w:trPr>
          <w:trHeight w:val="397"/>
        </w:trPr>
        <w:tc>
          <w:tcPr>
            <w:tcW w:w="741" w:type="pct"/>
          </w:tcPr>
          <w:p w14:paraId="09D6DF63" w14:textId="77777777" w:rsidR="00FB1D26" w:rsidRPr="00A31BE0" w:rsidRDefault="00FB1D26" w:rsidP="00E81409">
            <w:pPr>
              <w:rPr>
                <w:rFonts w:ascii="Jacobs Chronos" w:hAnsi="Jacobs Chronos" w:cs="Jacobs Chronos"/>
                <w:sz w:val="16"/>
                <w:szCs w:val="16"/>
              </w:rPr>
            </w:pPr>
          </w:p>
        </w:tc>
        <w:tc>
          <w:tcPr>
            <w:tcW w:w="392" w:type="pct"/>
            <w:shd w:val="clear" w:color="auto" w:fill="E2EFDA"/>
          </w:tcPr>
          <w:p w14:paraId="13449A4E" w14:textId="77777777" w:rsidR="00FB1D26" w:rsidRPr="00A31BE0" w:rsidRDefault="00FB1D26" w:rsidP="00E81409">
            <w:pPr>
              <w:rPr>
                <w:rFonts w:ascii="Jacobs Chronos" w:hAnsi="Jacobs Chronos" w:cs="Jacobs Chronos"/>
                <w:sz w:val="16"/>
                <w:szCs w:val="16"/>
              </w:rPr>
            </w:pPr>
          </w:p>
        </w:tc>
        <w:tc>
          <w:tcPr>
            <w:tcW w:w="2767" w:type="pct"/>
            <w:shd w:val="clear" w:color="auto" w:fill="E2EFDA"/>
          </w:tcPr>
          <w:p w14:paraId="49E064C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4.4.1 Box-Ironbark</w:t>
            </w:r>
          </w:p>
        </w:tc>
        <w:tc>
          <w:tcPr>
            <w:tcW w:w="578" w:type="pct"/>
            <w:shd w:val="clear" w:color="auto" w:fill="FFFFFF" w:themeFill="background1"/>
          </w:tcPr>
          <w:p w14:paraId="4087C45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3853752" w14:textId="77777777" w:rsidR="00FB1D26" w:rsidRPr="00A31BE0" w:rsidRDefault="00FB1D26" w:rsidP="00C31A7B">
            <w:pPr>
              <w:jc w:val="center"/>
              <w:rPr>
                <w:rFonts w:ascii="Jacobs Chronos" w:hAnsi="Jacobs Chronos" w:cs="Jacobs Chronos"/>
                <w:sz w:val="16"/>
                <w:szCs w:val="16"/>
              </w:rPr>
            </w:pPr>
          </w:p>
        </w:tc>
      </w:tr>
      <w:tr w:rsidR="00FB1D26" w:rsidRPr="00A31BE0" w14:paraId="11B476C2" w14:textId="77777777" w:rsidTr="00E81409">
        <w:trPr>
          <w:trHeight w:val="397"/>
        </w:trPr>
        <w:tc>
          <w:tcPr>
            <w:tcW w:w="741" w:type="pct"/>
            <w:shd w:val="clear" w:color="auto" w:fill="FFF2CC"/>
          </w:tcPr>
          <w:p w14:paraId="02A94F5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4546BD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5BA887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4.4.1.1 In the Gippsland FMAs exclude selective harvesting from Box Ironbark forests typically containing Forest Red Gum (Eucalyptus tereticornis), Yellow Box (Eucalyptus melliodora), Coast Grey Box (Eucalyptus bosistoana) and Red Ironbark (Eucalyptus tricarpa).  Silvicultural practices that promote regeneration of these species is permitted. </w:t>
            </w:r>
          </w:p>
        </w:tc>
        <w:tc>
          <w:tcPr>
            <w:tcW w:w="578" w:type="pct"/>
            <w:shd w:val="clear" w:color="auto" w:fill="FFFFFF" w:themeFill="background1"/>
          </w:tcPr>
          <w:p w14:paraId="00119719"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DDE3C1A" w14:textId="77777777" w:rsidR="00FB1D26" w:rsidRPr="00A31BE0" w:rsidRDefault="00FB1D26" w:rsidP="00C31A7B">
            <w:pPr>
              <w:jc w:val="center"/>
              <w:rPr>
                <w:rFonts w:ascii="Jacobs Chronos" w:hAnsi="Jacobs Chronos" w:cs="Jacobs Chronos"/>
                <w:sz w:val="16"/>
                <w:szCs w:val="16"/>
              </w:rPr>
            </w:pPr>
          </w:p>
        </w:tc>
      </w:tr>
      <w:tr w:rsidR="00FB1D26" w:rsidRPr="00A31BE0" w14:paraId="5D0AD906" w14:textId="77777777" w:rsidTr="00E81409">
        <w:trPr>
          <w:trHeight w:val="397"/>
        </w:trPr>
        <w:tc>
          <w:tcPr>
            <w:tcW w:w="741" w:type="pct"/>
            <w:shd w:val="clear" w:color="auto" w:fill="FFF2CC"/>
          </w:tcPr>
          <w:p w14:paraId="533CB24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A8FA09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3116C9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4.4.1.2 In the East Gippsland FMA exclude selective harvesting from Box Ironbark forests typically containing Red Ironbark (Eucalyptus tricarpa), Gippsland Grey Box (Eucalyptus bosistoana), Red Box (Eucalyptus polyanthemos), Blue Box (Eucalyptus baueriana) and Yellow Stringybark (Eucalyptus muelleriana).  The use of seed‐tree regeneration systems is permitted to restore the original species mix when combined with: a) cutting stumps of desired species to a maximum height of 30 cm, to encourage coppice growth; b) supplementary planting and sowing where necessary; c) removing unproductive trees of the less-preferred species to remove overwood competition; and d) thinning of advanced regrowth</w:t>
            </w:r>
          </w:p>
        </w:tc>
        <w:tc>
          <w:tcPr>
            <w:tcW w:w="578" w:type="pct"/>
            <w:shd w:val="clear" w:color="auto" w:fill="FFFFFF" w:themeFill="background1"/>
          </w:tcPr>
          <w:p w14:paraId="5E7EE61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54E0461" w14:textId="77777777" w:rsidR="00FB1D26" w:rsidRPr="00A31BE0" w:rsidRDefault="00FB1D26" w:rsidP="00C31A7B">
            <w:pPr>
              <w:jc w:val="center"/>
              <w:rPr>
                <w:rFonts w:ascii="Jacobs Chronos" w:hAnsi="Jacobs Chronos" w:cs="Jacobs Chronos"/>
                <w:sz w:val="16"/>
                <w:szCs w:val="16"/>
              </w:rPr>
            </w:pPr>
          </w:p>
        </w:tc>
      </w:tr>
      <w:tr w:rsidR="00FB1D26" w:rsidRPr="00A31BE0" w14:paraId="1AAEA126" w14:textId="77777777" w:rsidTr="00E81409">
        <w:trPr>
          <w:trHeight w:val="397"/>
        </w:trPr>
        <w:tc>
          <w:tcPr>
            <w:tcW w:w="741" w:type="pct"/>
          </w:tcPr>
          <w:p w14:paraId="0434A894" w14:textId="77777777" w:rsidR="00FB1D26" w:rsidRPr="00A31BE0" w:rsidRDefault="00FB1D26" w:rsidP="00E81409">
            <w:pPr>
              <w:rPr>
                <w:rFonts w:ascii="Jacobs Chronos" w:hAnsi="Jacobs Chronos" w:cs="Jacobs Chronos"/>
                <w:sz w:val="16"/>
                <w:szCs w:val="16"/>
              </w:rPr>
            </w:pPr>
          </w:p>
        </w:tc>
        <w:tc>
          <w:tcPr>
            <w:tcW w:w="392" w:type="pct"/>
          </w:tcPr>
          <w:p w14:paraId="7333F0B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12.01</w:t>
            </w:r>
          </w:p>
        </w:tc>
        <w:tc>
          <w:tcPr>
            <w:tcW w:w="2767" w:type="pct"/>
          </w:tcPr>
          <w:p w14:paraId="2AA7344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Gippsland FMAs, has selective harvesting been excluded from Box-Ironbark forests, as per MSP 4.4.1.1/2?</w:t>
            </w:r>
          </w:p>
        </w:tc>
        <w:tc>
          <w:tcPr>
            <w:tcW w:w="578" w:type="pct"/>
            <w:shd w:val="clear" w:color="auto" w:fill="FFFFFF" w:themeFill="background1"/>
          </w:tcPr>
          <w:p w14:paraId="6B8CD1C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14584DD5"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2915DFC9" w14:textId="77777777" w:rsidTr="00E81409">
        <w:trPr>
          <w:trHeight w:val="397"/>
        </w:trPr>
        <w:tc>
          <w:tcPr>
            <w:tcW w:w="741" w:type="pct"/>
          </w:tcPr>
          <w:p w14:paraId="3868EE32" w14:textId="77777777" w:rsidR="00FB1D26" w:rsidRPr="00A31BE0" w:rsidRDefault="00FB1D26" w:rsidP="00E81409">
            <w:pPr>
              <w:rPr>
                <w:rFonts w:ascii="Jacobs Chronos" w:hAnsi="Jacobs Chronos" w:cs="Jacobs Chronos"/>
                <w:sz w:val="16"/>
                <w:szCs w:val="16"/>
              </w:rPr>
            </w:pPr>
          </w:p>
        </w:tc>
        <w:tc>
          <w:tcPr>
            <w:tcW w:w="392" w:type="pct"/>
          </w:tcPr>
          <w:p w14:paraId="2C86C144" w14:textId="77777777" w:rsidR="00FB1D26" w:rsidRPr="00A31BE0" w:rsidRDefault="00FB1D26" w:rsidP="00E81409">
            <w:pPr>
              <w:rPr>
                <w:rFonts w:ascii="Jacobs Chronos" w:hAnsi="Jacobs Chronos" w:cs="Jacobs Chronos"/>
                <w:sz w:val="16"/>
                <w:szCs w:val="16"/>
              </w:rPr>
            </w:pPr>
          </w:p>
        </w:tc>
        <w:tc>
          <w:tcPr>
            <w:tcW w:w="2767" w:type="pct"/>
          </w:tcPr>
          <w:p w14:paraId="48B1240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4.3.2 Heathland</w:t>
            </w:r>
          </w:p>
        </w:tc>
        <w:tc>
          <w:tcPr>
            <w:tcW w:w="578" w:type="pct"/>
            <w:shd w:val="clear" w:color="auto" w:fill="FFFFFF" w:themeFill="background1"/>
          </w:tcPr>
          <w:p w14:paraId="4EBFB73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BE5C727" w14:textId="77777777" w:rsidR="00FB1D26" w:rsidRPr="00A31BE0" w:rsidRDefault="00FB1D26" w:rsidP="00C31A7B">
            <w:pPr>
              <w:jc w:val="center"/>
              <w:rPr>
                <w:rFonts w:ascii="Jacobs Chronos" w:hAnsi="Jacobs Chronos" w:cs="Jacobs Chronos"/>
                <w:sz w:val="16"/>
                <w:szCs w:val="16"/>
              </w:rPr>
            </w:pPr>
          </w:p>
        </w:tc>
      </w:tr>
      <w:tr w:rsidR="00FB1D26" w:rsidRPr="00A31BE0" w14:paraId="14FA8114" w14:textId="77777777" w:rsidTr="00E81409">
        <w:trPr>
          <w:trHeight w:val="397"/>
        </w:trPr>
        <w:tc>
          <w:tcPr>
            <w:tcW w:w="741" w:type="pct"/>
            <w:shd w:val="clear" w:color="auto" w:fill="FFF2CC"/>
          </w:tcPr>
          <w:p w14:paraId="4736F9D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31B5C1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BA88D8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4.3.2.1 Avoid road construction across areas of heathland or within 40 m of heathlands unless no reasonable alternative exists.  </w:t>
            </w:r>
          </w:p>
        </w:tc>
        <w:tc>
          <w:tcPr>
            <w:tcW w:w="578" w:type="pct"/>
            <w:shd w:val="clear" w:color="auto" w:fill="FFFFFF" w:themeFill="background1"/>
          </w:tcPr>
          <w:p w14:paraId="3C4B916C"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A16BA6C" w14:textId="77777777" w:rsidR="00FB1D26" w:rsidRPr="00A31BE0" w:rsidRDefault="00FB1D26" w:rsidP="00C31A7B">
            <w:pPr>
              <w:jc w:val="center"/>
              <w:rPr>
                <w:rFonts w:ascii="Jacobs Chronos" w:hAnsi="Jacobs Chronos" w:cs="Jacobs Chronos"/>
                <w:sz w:val="16"/>
                <w:szCs w:val="16"/>
              </w:rPr>
            </w:pPr>
          </w:p>
        </w:tc>
      </w:tr>
      <w:tr w:rsidR="00FB1D26" w:rsidRPr="00A31BE0" w14:paraId="24509166" w14:textId="77777777" w:rsidTr="00E81409">
        <w:trPr>
          <w:trHeight w:val="397"/>
        </w:trPr>
        <w:tc>
          <w:tcPr>
            <w:tcW w:w="741" w:type="pct"/>
            <w:shd w:val="clear" w:color="auto" w:fill="FFF2CC"/>
          </w:tcPr>
          <w:p w14:paraId="6936867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BD0CDBB"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4471649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4.3.2.2 In the Gippsland FMAs, exclude Wet Heathland, Clay Heathland and Riparian Scrub Mosaic EVCs from harvesting. Protect these heathland EVCs with a 40 m buffer.  </w:t>
            </w:r>
          </w:p>
        </w:tc>
        <w:tc>
          <w:tcPr>
            <w:tcW w:w="578" w:type="pct"/>
            <w:shd w:val="clear" w:color="auto" w:fill="FFFFFF" w:themeFill="background1"/>
          </w:tcPr>
          <w:p w14:paraId="4D2DA13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A8FA8EE" w14:textId="77777777" w:rsidR="00FB1D26" w:rsidRPr="00A31BE0" w:rsidRDefault="00FB1D26" w:rsidP="00C31A7B">
            <w:pPr>
              <w:jc w:val="center"/>
              <w:rPr>
                <w:rFonts w:ascii="Jacobs Chronos" w:hAnsi="Jacobs Chronos" w:cs="Jacobs Chronos"/>
                <w:sz w:val="16"/>
                <w:szCs w:val="16"/>
              </w:rPr>
            </w:pPr>
          </w:p>
        </w:tc>
      </w:tr>
      <w:tr w:rsidR="00FB1D26" w:rsidRPr="00A31BE0" w14:paraId="1B335645" w14:textId="77777777" w:rsidTr="00E81409">
        <w:trPr>
          <w:trHeight w:val="397"/>
        </w:trPr>
        <w:tc>
          <w:tcPr>
            <w:tcW w:w="741" w:type="pct"/>
            <w:shd w:val="clear" w:color="auto" w:fill="FFF2CC"/>
          </w:tcPr>
          <w:p w14:paraId="41E6AED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9CEAEE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9186EE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4.3.2.3 In the East Gippsland FMA and Otway FMA where evidence of heathland is found in the field and it isn’t already classified as SPZ, apply a protection area prior to commencement of the timber harvesting operation consistent with management actions listed in Table 15 Detection based rules for Heathland, Snow Gum, Swamp Gum and Heath vegetation communities.</w:t>
            </w:r>
          </w:p>
        </w:tc>
        <w:tc>
          <w:tcPr>
            <w:tcW w:w="578" w:type="pct"/>
            <w:shd w:val="clear" w:color="auto" w:fill="FFFFFF" w:themeFill="background1"/>
          </w:tcPr>
          <w:p w14:paraId="596309A7"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77629ED" w14:textId="77777777" w:rsidR="00FB1D26" w:rsidRPr="00A31BE0" w:rsidRDefault="00FB1D26" w:rsidP="00C31A7B">
            <w:pPr>
              <w:jc w:val="center"/>
              <w:rPr>
                <w:rFonts w:ascii="Jacobs Chronos" w:hAnsi="Jacobs Chronos" w:cs="Jacobs Chronos"/>
                <w:sz w:val="16"/>
                <w:szCs w:val="16"/>
              </w:rPr>
            </w:pPr>
          </w:p>
        </w:tc>
      </w:tr>
      <w:tr w:rsidR="00FB1D26" w:rsidRPr="00A31BE0" w14:paraId="0BD13989" w14:textId="77777777" w:rsidTr="00E81409">
        <w:trPr>
          <w:trHeight w:val="397"/>
        </w:trPr>
        <w:tc>
          <w:tcPr>
            <w:tcW w:w="741" w:type="pct"/>
            <w:shd w:val="clear" w:color="auto" w:fill="FFF2CC"/>
          </w:tcPr>
          <w:p w14:paraId="1B81617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D86031A"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2931DE9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4.3.2.4 In the Central Highlands and North East FMAs, where evidence of heathland is found in the field and it isn’t already classified as SPZ, apply a protection area over the identified heathlands, however there is no buffer required.</w:t>
            </w:r>
          </w:p>
        </w:tc>
        <w:tc>
          <w:tcPr>
            <w:tcW w:w="578" w:type="pct"/>
            <w:shd w:val="clear" w:color="auto" w:fill="FFFFFF" w:themeFill="background1"/>
          </w:tcPr>
          <w:p w14:paraId="793591D5"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7289B0F" w14:textId="77777777" w:rsidR="00FB1D26" w:rsidRPr="00A31BE0" w:rsidRDefault="00FB1D26" w:rsidP="00C31A7B">
            <w:pPr>
              <w:jc w:val="center"/>
              <w:rPr>
                <w:rFonts w:ascii="Jacobs Chronos" w:hAnsi="Jacobs Chronos" w:cs="Jacobs Chronos"/>
                <w:sz w:val="16"/>
                <w:szCs w:val="16"/>
              </w:rPr>
            </w:pPr>
          </w:p>
        </w:tc>
      </w:tr>
      <w:tr w:rsidR="00FB1D26" w:rsidRPr="00A31BE0" w14:paraId="1F2C475F" w14:textId="77777777" w:rsidTr="00E81409">
        <w:trPr>
          <w:trHeight w:val="397"/>
        </w:trPr>
        <w:tc>
          <w:tcPr>
            <w:tcW w:w="741" w:type="pct"/>
          </w:tcPr>
          <w:p w14:paraId="74990140" w14:textId="77777777" w:rsidR="00FB1D26" w:rsidRPr="00A31BE0" w:rsidRDefault="00FB1D26" w:rsidP="00E81409">
            <w:pPr>
              <w:rPr>
                <w:rFonts w:ascii="Jacobs Chronos" w:hAnsi="Jacobs Chronos" w:cs="Jacobs Chronos"/>
                <w:sz w:val="16"/>
                <w:szCs w:val="16"/>
              </w:rPr>
            </w:pPr>
          </w:p>
        </w:tc>
        <w:tc>
          <w:tcPr>
            <w:tcW w:w="392" w:type="pct"/>
          </w:tcPr>
          <w:p w14:paraId="2CD1F53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12.02</w:t>
            </w:r>
          </w:p>
        </w:tc>
        <w:tc>
          <w:tcPr>
            <w:tcW w:w="2767" w:type="pct"/>
          </w:tcPr>
          <w:p w14:paraId="0DB8969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a road was constructed through or within 40 m of a heathland, ITAO, was it reasonably practicable to construct the road in another location?</w:t>
            </w:r>
          </w:p>
        </w:tc>
        <w:tc>
          <w:tcPr>
            <w:tcW w:w="578" w:type="pct"/>
            <w:shd w:val="clear" w:color="auto" w:fill="FFFFFF" w:themeFill="background1"/>
          </w:tcPr>
          <w:p w14:paraId="7D7622B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C, P</w:t>
            </w:r>
          </w:p>
        </w:tc>
        <w:tc>
          <w:tcPr>
            <w:tcW w:w="522" w:type="pct"/>
            <w:shd w:val="clear" w:color="auto" w:fill="FFFFFF" w:themeFill="background1"/>
          </w:tcPr>
          <w:p w14:paraId="381F2DC9" w14:textId="7472E12B" w:rsidR="00FB1D26" w:rsidRPr="00A31BE0" w:rsidRDefault="008813FF"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60D52F52" w14:textId="77777777" w:rsidTr="00E81409">
        <w:trPr>
          <w:trHeight w:val="397"/>
        </w:trPr>
        <w:tc>
          <w:tcPr>
            <w:tcW w:w="741" w:type="pct"/>
          </w:tcPr>
          <w:p w14:paraId="00BAC8B4" w14:textId="77777777" w:rsidR="00FB1D26" w:rsidRPr="00A31BE0" w:rsidRDefault="00FB1D26" w:rsidP="00E81409">
            <w:pPr>
              <w:rPr>
                <w:rFonts w:ascii="Jacobs Chronos" w:hAnsi="Jacobs Chronos" w:cs="Jacobs Chronos"/>
                <w:sz w:val="16"/>
                <w:szCs w:val="16"/>
              </w:rPr>
            </w:pPr>
          </w:p>
        </w:tc>
        <w:tc>
          <w:tcPr>
            <w:tcW w:w="392" w:type="pct"/>
          </w:tcPr>
          <w:p w14:paraId="18B255E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12.03</w:t>
            </w:r>
          </w:p>
        </w:tc>
        <w:tc>
          <w:tcPr>
            <w:tcW w:w="2767" w:type="pct"/>
          </w:tcPr>
          <w:p w14:paraId="0C96D88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the Gippsland FMAs, has harvesting been excluded from Wet Heathland, Clay Heathland and Riparian Scrub Mosaic EVCs and have these heathland EVCs been protected with a 40 m buffer, where present?</w:t>
            </w:r>
          </w:p>
        </w:tc>
        <w:tc>
          <w:tcPr>
            <w:tcW w:w="578" w:type="pct"/>
            <w:shd w:val="clear" w:color="auto" w:fill="FFFFFF" w:themeFill="background1"/>
          </w:tcPr>
          <w:p w14:paraId="11FCEB2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2ED5F2ED" w14:textId="0897FB6B" w:rsidR="00FB1D26" w:rsidRPr="00A31BE0" w:rsidRDefault="008813FF"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8813FF" w:rsidRPr="00A31BE0" w14:paraId="17591043" w14:textId="77777777" w:rsidTr="00E81409">
        <w:trPr>
          <w:trHeight w:val="397"/>
        </w:trPr>
        <w:tc>
          <w:tcPr>
            <w:tcW w:w="741" w:type="pct"/>
          </w:tcPr>
          <w:p w14:paraId="6D854E57" w14:textId="77777777" w:rsidR="008813FF" w:rsidRPr="00A31BE0" w:rsidRDefault="008813FF" w:rsidP="008813FF">
            <w:pPr>
              <w:rPr>
                <w:rFonts w:ascii="Jacobs Chronos" w:hAnsi="Jacobs Chronos" w:cs="Jacobs Chronos"/>
                <w:sz w:val="16"/>
                <w:szCs w:val="16"/>
              </w:rPr>
            </w:pPr>
          </w:p>
        </w:tc>
        <w:tc>
          <w:tcPr>
            <w:tcW w:w="392" w:type="pct"/>
          </w:tcPr>
          <w:p w14:paraId="2E1B5731"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t>12.04</w:t>
            </w:r>
          </w:p>
        </w:tc>
        <w:tc>
          <w:tcPr>
            <w:tcW w:w="2767" w:type="pct"/>
          </w:tcPr>
          <w:p w14:paraId="69ECC8BE"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t>In the East Gippsland FMA, if evidence of heathland was found in the coupe and it was not already classified as SPZ, has application been made to the Secretary to create an SPZ in accordance with Table 7 in Appendix 5 the Planning Standards?</w:t>
            </w:r>
          </w:p>
        </w:tc>
        <w:tc>
          <w:tcPr>
            <w:tcW w:w="578" w:type="pct"/>
            <w:shd w:val="clear" w:color="auto" w:fill="FFFFFF" w:themeFill="background1"/>
          </w:tcPr>
          <w:p w14:paraId="3BDE07FA"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FE4CB53" w14:textId="3554A989" w:rsidR="008813FF" w:rsidRPr="00A31BE0" w:rsidRDefault="008813FF" w:rsidP="00C31A7B">
            <w:pPr>
              <w:jc w:val="center"/>
              <w:rPr>
                <w:rFonts w:ascii="Jacobs Chronos" w:hAnsi="Jacobs Chronos" w:cs="Jacobs Chronos"/>
                <w:sz w:val="16"/>
                <w:szCs w:val="16"/>
              </w:rPr>
            </w:pPr>
            <w:r w:rsidRPr="00D349A2">
              <w:rPr>
                <w:rFonts w:ascii="Jacobs Chronos" w:hAnsi="Jacobs Chronos" w:cs="Jacobs Chronos"/>
                <w:sz w:val="16"/>
                <w:szCs w:val="16"/>
              </w:rPr>
              <w:t>n/a</w:t>
            </w:r>
          </w:p>
        </w:tc>
      </w:tr>
      <w:tr w:rsidR="008813FF" w:rsidRPr="00A31BE0" w14:paraId="01A6181D" w14:textId="77777777" w:rsidTr="00E81409">
        <w:trPr>
          <w:trHeight w:val="397"/>
        </w:trPr>
        <w:tc>
          <w:tcPr>
            <w:tcW w:w="741" w:type="pct"/>
          </w:tcPr>
          <w:p w14:paraId="4ED19D66" w14:textId="77777777" w:rsidR="008813FF" w:rsidRPr="00A31BE0" w:rsidRDefault="008813FF" w:rsidP="008813FF">
            <w:pPr>
              <w:rPr>
                <w:rFonts w:ascii="Jacobs Chronos" w:hAnsi="Jacobs Chronos" w:cs="Jacobs Chronos"/>
                <w:sz w:val="16"/>
                <w:szCs w:val="16"/>
              </w:rPr>
            </w:pPr>
          </w:p>
        </w:tc>
        <w:tc>
          <w:tcPr>
            <w:tcW w:w="392" w:type="pct"/>
          </w:tcPr>
          <w:p w14:paraId="5A9041B2"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t>12.05</w:t>
            </w:r>
          </w:p>
        </w:tc>
        <w:tc>
          <w:tcPr>
            <w:tcW w:w="2767" w:type="pct"/>
          </w:tcPr>
          <w:p w14:paraId="6B353C3A"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t xml:space="preserve">In the Central Highlands or North East FMAs, where evidence of heathland is found in the field and it isn’t already classified as SPZ, has a </w:t>
            </w:r>
            <w:r w:rsidRPr="00A31BE0">
              <w:rPr>
                <w:rFonts w:ascii="Jacobs Chronos" w:hAnsi="Jacobs Chronos" w:cs="Jacobs Chronos"/>
                <w:sz w:val="16"/>
                <w:szCs w:val="16"/>
              </w:rPr>
              <w:lastRenderedPageBreak/>
              <w:t>protection area been applied over the identified heathlands, however there is no buffer required.</w:t>
            </w:r>
          </w:p>
        </w:tc>
        <w:tc>
          <w:tcPr>
            <w:tcW w:w="578" w:type="pct"/>
            <w:shd w:val="clear" w:color="auto" w:fill="FFFFFF" w:themeFill="background1"/>
          </w:tcPr>
          <w:p w14:paraId="745472DB" w14:textId="77777777" w:rsidR="008813FF" w:rsidRPr="00A31BE0" w:rsidRDefault="008813FF" w:rsidP="008813FF">
            <w:pPr>
              <w:rPr>
                <w:rFonts w:ascii="Jacobs Chronos" w:hAnsi="Jacobs Chronos" w:cs="Jacobs Chronos"/>
                <w:sz w:val="16"/>
                <w:szCs w:val="16"/>
              </w:rPr>
            </w:pPr>
            <w:r w:rsidRPr="00A31BE0">
              <w:rPr>
                <w:rFonts w:ascii="Jacobs Chronos" w:hAnsi="Jacobs Chronos" w:cs="Jacobs Chronos"/>
                <w:sz w:val="16"/>
                <w:szCs w:val="16"/>
              </w:rPr>
              <w:lastRenderedPageBreak/>
              <w:t>P</w:t>
            </w:r>
          </w:p>
        </w:tc>
        <w:tc>
          <w:tcPr>
            <w:tcW w:w="522" w:type="pct"/>
            <w:shd w:val="clear" w:color="auto" w:fill="FFFFFF" w:themeFill="background1"/>
          </w:tcPr>
          <w:p w14:paraId="66C72A13" w14:textId="0BF8BBE6" w:rsidR="008813FF" w:rsidRPr="00A31BE0" w:rsidRDefault="008813FF" w:rsidP="00C31A7B">
            <w:pPr>
              <w:jc w:val="center"/>
              <w:rPr>
                <w:rFonts w:ascii="Jacobs Chronos" w:hAnsi="Jacobs Chronos" w:cs="Jacobs Chronos"/>
                <w:sz w:val="16"/>
                <w:szCs w:val="16"/>
              </w:rPr>
            </w:pPr>
            <w:r w:rsidRPr="00D349A2">
              <w:rPr>
                <w:rFonts w:ascii="Jacobs Chronos" w:hAnsi="Jacobs Chronos" w:cs="Jacobs Chronos"/>
                <w:sz w:val="16"/>
                <w:szCs w:val="16"/>
              </w:rPr>
              <w:t>n/a</w:t>
            </w:r>
          </w:p>
        </w:tc>
      </w:tr>
      <w:tr w:rsidR="00FB1D26" w:rsidRPr="00A31BE0" w14:paraId="217686BB" w14:textId="77777777" w:rsidTr="00E81409">
        <w:trPr>
          <w:trHeight w:val="397"/>
        </w:trPr>
        <w:tc>
          <w:tcPr>
            <w:tcW w:w="741" w:type="pct"/>
          </w:tcPr>
          <w:p w14:paraId="5BF7B1A7" w14:textId="77777777" w:rsidR="00FB1D26" w:rsidRPr="00A31BE0" w:rsidRDefault="00FB1D26" w:rsidP="00E81409">
            <w:pPr>
              <w:rPr>
                <w:rFonts w:ascii="Jacobs Chronos" w:hAnsi="Jacobs Chronos" w:cs="Jacobs Chronos"/>
                <w:sz w:val="16"/>
                <w:szCs w:val="16"/>
              </w:rPr>
            </w:pPr>
          </w:p>
        </w:tc>
        <w:tc>
          <w:tcPr>
            <w:tcW w:w="392" w:type="pct"/>
          </w:tcPr>
          <w:p w14:paraId="4867387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12.06</w:t>
            </w:r>
          </w:p>
        </w:tc>
        <w:tc>
          <w:tcPr>
            <w:tcW w:w="2767" w:type="pct"/>
          </w:tcPr>
          <w:p w14:paraId="3AED5E7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the SPZ/protection area conditions been followed in the management of harvesting?</w:t>
            </w:r>
          </w:p>
        </w:tc>
        <w:tc>
          <w:tcPr>
            <w:tcW w:w="578" w:type="pct"/>
            <w:shd w:val="clear" w:color="auto" w:fill="FFFFFF" w:themeFill="background1"/>
          </w:tcPr>
          <w:p w14:paraId="3F4E723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F7FB604" w14:textId="13008610" w:rsidR="00FB1D26" w:rsidRPr="00A31BE0" w:rsidRDefault="000D6F6E" w:rsidP="00C31A7B">
            <w:pPr>
              <w:jc w:val="center"/>
              <w:rPr>
                <w:rFonts w:ascii="Jacobs Chronos" w:hAnsi="Jacobs Chronos" w:cs="Jacobs Chronos"/>
                <w:sz w:val="16"/>
                <w:szCs w:val="16"/>
              </w:rPr>
            </w:pPr>
            <w:r>
              <w:rPr>
                <w:rFonts w:ascii="Jacobs Chronos" w:hAnsi="Jacobs Chronos" w:cs="Jacobs Chronos"/>
                <w:sz w:val="16"/>
                <w:szCs w:val="16"/>
              </w:rPr>
              <w:t>100</w:t>
            </w:r>
          </w:p>
        </w:tc>
      </w:tr>
      <w:tr w:rsidR="00FB1D26" w:rsidRPr="00A31BE0" w14:paraId="3BFD52CB" w14:textId="77777777" w:rsidTr="00C31A7B">
        <w:trPr>
          <w:trHeight w:val="397"/>
        </w:trPr>
        <w:tc>
          <w:tcPr>
            <w:tcW w:w="741" w:type="pct"/>
          </w:tcPr>
          <w:p w14:paraId="5B1B6E27" w14:textId="77777777" w:rsidR="00FB1D26" w:rsidRPr="00A31BE0" w:rsidRDefault="00FB1D26" w:rsidP="00E81409">
            <w:pPr>
              <w:rPr>
                <w:rFonts w:ascii="Jacobs Chronos" w:hAnsi="Jacobs Chronos" w:cs="Jacobs Chronos"/>
                <w:sz w:val="16"/>
                <w:szCs w:val="16"/>
              </w:rPr>
            </w:pPr>
          </w:p>
        </w:tc>
        <w:tc>
          <w:tcPr>
            <w:tcW w:w="392" w:type="pct"/>
            <w:shd w:val="clear" w:color="auto" w:fill="CEEAB0"/>
          </w:tcPr>
          <w:p w14:paraId="465DAD2D" w14:textId="77777777" w:rsidR="00FB1D26" w:rsidRPr="00A31BE0" w:rsidRDefault="00FB1D26" w:rsidP="00E81409">
            <w:pPr>
              <w:rPr>
                <w:rFonts w:ascii="Jacobs Chronos" w:hAnsi="Jacobs Chronos" w:cs="Jacobs Chronos"/>
                <w:sz w:val="16"/>
                <w:szCs w:val="16"/>
              </w:rPr>
            </w:pPr>
          </w:p>
        </w:tc>
        <w:tc>
          <w:tcPr>
            <w:tcW w:w="2767" w:type="pct"/>
            <w:shd w:val="clear" w:color="auto" w:fill="CEEAB0"/>
          </w:tcPr>
          <w:p w14:paraId="12C97D7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4.3.3 Montane Riparian Thicket</w:t>
            </w:r>
          </w:p>
        </w:tc>
        <w:tc>
          <w:tcPr>
            <w:tcW w:w="578" w:type="pct"/>
            <w:shd w:val="clear" w:color="auto" w:fill="FFFFFF" w:themeFill="background1"/>
          </w:tcPr>
          <w:p w14:paraId="56DF7AE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67AB1A1" w14:textId="77777777" w:rsidR="00FB1D26" w:rsidRPr="00A31BE0" w:rsidRDefault="00FB1D26" w:rsidP="00C31A7B">
            <w:pPr>
              <w:jc w:val="center"/>
              <w:rPr>
                <w:rFonts w:ascii="Jacobs Chronos" w:hAnsi="Jacobs Chronos" w:cs="Jacobs Chronos"/>
                <w:sz w:val="16"/>
                <w:szCs w:val="16"/>
              </w:rPr>
            </w:pPr>
          </w:p>
        </w:tc>
      </w:tr>
      <w:tr w:rsidR="00FB1D26" w:rsidRPr="00A31BE0" w14:paraId="145D822A" w14:textId="77777777" w:rsidTr="00E81409">
        <w:trPr>
          <w:trHeight w:val="397"/>
        </w:trPr>
        <w:tc>
          <w:tcPr>
            <w:tcW w:w="741" w:type="pct"/>
            <w:shd w:val="clear" w:color="auto" w:fill="FFF2CC"/>
          </w:tcPr>
          <w:p w14:paraId="005DFF6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11BDB1A"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14B12F4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4.3.3.1 In the Tambo FMA protect small stands of MRT between 0.01ha and 0.5ha and less than 10m wide with a 10m filter strip and stands of MRT wider than 10m with a 20m wide filter strip. Protect stands of MRT greater than 0.5ha with a 20m buffer from the edge of the Mountain Tea-tree canopy.</w:t>
            </w:r>
          </w:p>
        </w:tc>
        <w:tc>
          <w:tcPr>
            <w:tcW w:w="578" w:type="pct"/>
            <w:shd w:val="clear" w:color="auto" w:fill="FFFFFF" w:themeFill="background1"/>
          </w:tcPr>
          <w:p w14:paraId="6C6F1C1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D96919F" w14:textId="77777777" w:rsidR="00FB1D26" w:rsidRPr="00A31BE0" w:rsidRDefault="00FB1D26" w:rsidP="00C31A7B">
            <w:pPr>
              <w:jc w:val="center"/>
              <w:rPr>
                <w:rFonts w:ascii="Jacobs Chronos" w:hAnsi="Jacobs Chronos" w:cs="Jacobs Chronos"/>
                <w:sz w:val="16"/>
                <w:szCs w:val="16"/>
              </w:rPr>
            </w:pPr>
          </w:p>
        </w:tc>
      </w:tr>
      <w:tr w:rsidR="00FB1D26" w:rsidRPr="00A31BE0" w14:paraId="6FC295BE" w14:textId="77777777" w:rsidTr="00E81409">
        <w:trPr>
          <w:trHeight w:val="397"/>
        </w:trPr>
        <w:tc>
          <w:tcPr>
            <w:tcW w:w="741" w:type="pct"/>
            <w:shd w:val="clear" w:color="auto" w:fill="FFF2CC"/>
          </w:tcPr>
          <w:p w14:paraId="6257536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B27A7E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B62258F" w14:textId="50236C4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4.3.3.2 In all other FMAs (than Tambo) apply the heathland prescriptions listed above in 4.3.2 (sic – actually 4.4.2) – </w:t>
            </w:r>
            <w:r w:rsidR="00CE35B5" w:rsidRPr="00A31BE0">
              <w:rPr>
                <w:rFonts w:ascii="Jacobs Chronos" w:hAnsi="Jacobs Chronos" w:cs="Jacobs Chronos"/>
                <w:sz w:val="16"/>
                <w:szCs w:val="16"/>
              </w:rPr>
              <w:t>i.e.,</w:t>
            </w:r>
            <w:r w:rsidRPr="00A31BE0">
              <w:rPr>
                <w:rFonts w:ascii="Jacobs Chronos" w:hAnsi="Jacobs Chronos" w:cs="Jacobs Chronos"/>
                <w:sz w:val="16"/>
                <w:szCs w:val="16"/>
              </w:rPr>
              <w:t xml:space="preserve"> protect with a 40 m buffer and do not construct a road through or within 40 m of MRT, except where not practicable alternative exists. </w:t>
            </w:r>
          </w:p>
        </w:tc>
        <w:tc>
          <w:tcPr>
            <w:tcW w:w="578" w:type="pct"/>
            <w:shd w:val="clear" w:color="auto" w:fill="FFFFFF" w:themeFill="background1"/>
          </w:tcPr>
          <w:p w14:paraId="0F47BF7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E88C38B" w14:textId="77777777" w:rsidR="00FB1D26" w:rsidRPr="00A31BE0" w:rsidRDefault="00FB1D26" w:rsidP="00C31A7B">
            <w:pPr>
              <w:jc w:val="center"/>
              <w:rPr>
                <w:rFonts w:ascii="Jacobs Chronos" w:hAnsi="Jacobs Chronos" w:cs="Jacobs Chronos"/>
                <w:sz w:val="16"/>
                <w:szCs w:val="16"/>
              </w:rPr>
            </w:pPr>
          </w:p>
        </w:tc>
      </w:tr>
      <w:tr w:rsidR="00FB1D26" w:rsidRPr="00A31BE0" w14:paraId="413726D7" w14:textId="77777777" w:rsidTr="00E81409">
        <w:trPr>
          <w:trHeight w:val="397"/>
        </w:trPr>
        <w:tc>
          <w:tcPr>
            <w:tcW w:w="741" w:type="pct"/>
            <w:shd w:val="clear" w:color="auto" w:fill="FFF2CC"/>
          </w:tcPr>
          <w:p w14:paraId="16F7899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1665187" w14:textId="77777777" w:rsidR="00FB1D26" w:rsidRPr="00A31BE0" w:rsidRDefault="00FB1D26" w:rsidP="00E81409">
            <w:pPr>
              <w:rPr>
                <w:rFonts w:ascii="Jacobs Chronos" w:hAnsi="Jacobs Chronos" w:cs="Jacobs Chronos"/>
                <w:sz w:val="16"/>
                <w:szCs w:val="16"/>
              </w:rPr>
            </w:pPr>
          </w:p>
        </w:tc>
        <w:tc>
          <w:tcPr>
            <w:tcW w:w="2767" w:type="pct"/>
            <w:shd w:val="clear" w:color="auto" w:fill="FFF2CC"/>
          </w:tcPr>
          <w:p w14:paraId="3D52828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4.3.3.3 MRT stands must contain at least 40 % canopy cover of Mountain Tea‐tree (Leptospermum grandifolium) and up to two key understorey species from the MRT definition in the Glossary. Gaps in the Mountain Tea‐tree canopy may occur at intervals up to 10 m in length.  Discrete areas of Mountain Tea‐tree having canopy gaps greater than 10 m are to be treated as individual stands.</w:t>
            </w:r>
          </w:p>
        </w:tc>
        <w:tc>
          <w:tcPr>
            <w:tcW w:w="578" w:type="pct"/>
            <w:shd w:val="clear" w:color="auto" w:fill="FFFFFF" w:themeFill="background1"/>
          </w:tcPr>
          <w:p w14:paraId="21676B9D"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7981A57" w14:textId="77777777" w:rsidR="00FB1D26" w:rsidRPr="00A31BE0" w:rsidRDefault="00FB1D26" w:rsidP="00C31A7B">
            <w:pPr>
              <w:jc w:val="center"/>
              <w:rPr>
                <w:rFonts w:ascii="Jacobs Chronos" w:hAnsi="Jacobs Chronos" w:cs="Jacobs Chronos"/>
                <w:sz w:val="16"/>
                <w:szCs w:val="16"/>
              </w:rPr>
            </w:pPr>
          </w:p>
        </w:tc>
      </w:tr>
      <w:tr w:rsidR="00FB1D26" w:rsidRPr="00A31BE0" w14:paraId="2108DA67" w14:textId="77777777" w:rsidTr="00E81409">
        <w:trPr>
          <w:trHeight w:val="397"/>
        </w:trPr>
        <w:tc>
          <w:tcPr>
            <w:tcW w:w="741" w:type="pct"/>
          </w:tcPr>
          <w:p w14:paraId="7BD9D886" w14:textId="77777777" w:rsidR="00FB1D26" w:rsidRPr="00A31BE0" w:rsidRDefault="00FB1D26" w:rsidP="00E81409">
            <w:pPr>
              <w:rPr>
                <w:rFonts w:ascii="Jacobs Chronos" w:hAnsi="Jacobs Chronos" w:cs="Jacobs Chronos"/>
                <w:sz w:val="16"/>
                <w:szCs w:val="16"/>
              </w:rPr>
            </w:pPr>
          </w:p>
        </w:tc>
        <w:tc>
          <w:tcPr>
            <w:tcW w:w="392" w:type="pct"/>
          </w:tcPr>
          <w:p w14:paraId="6F54856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12.07</w:t>
            </w:r>
          </w:p>
        </w:tc>
        <w:tc>
          <w:tcPr>
            <w:tcW w:w="2767" w:type="pct"/>
          </w:tcPr>
          <w:p w14:paraId="188E18C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Tambo FMA, have any MRT stands that are present been protected as per MSP 4.3.3.1?</w:t>
            </w:r>
          </w:p>
        </w:tc>
        <w:tc>
          <w:tcPr>
            <w:tcW w:w="578" w:type="pct"/>
            <w:shd w:val="clear" w:color="auto" w:fill="FFFFFF" w:themeFill="background1"/>
          </w:tcPr>
          <w:p w14:paraId="1E59873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6BA4817F" w14:textId="4F81CA39" w:rsidR="00FB1D26" w:rsidRPr="00A31BE0" w:rsidRDefault="000D6F6E"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30CBCA19" w14:textId="77777777" w:rsidTr="00E81409">
        <w:trPr>
          <w:trHeight w:val="397"/>
        </w:trPr>
        <w:tc>
          <w:tcPr>
            <w:tcW w:w="741" w:type="pct"/>
          </w:tcPr>
          <w:p w14:paraId="6BAF5F3B" w14:textId="77777777" w:rsidR="00FB1D26" w:rsidRPr="00A31BE0" w:rsidRDefault="00FB1D26" w:rsidP="00E81409">
            <w:pPr>
              <w:rPr>
                <w:rFonts w:ascii="Jacobs Chronos" w:hAnsi="Jacobs Chronos" w:cs="Jacobs Chronos"/>
                <w:sz w:val="16"/>
                <w:szCs w:val="16"/>
              </w:rPr>
            </w:pPr>
          </w:p>
        </w:tc>
        <w:tc>
          <w:tcPr>
            <w:tcW w:w="392" w:type="pct"/>
          </w:tcPr>
          <w:p w14:paraId="41E5550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12.08</w:t>
            </w:r>
          </w:p>
        </w:tc>
        <w:tc>
          <w:tcPr>
            <w:tcW w:w="2767" w:type="pct"/>
          </w:tcPr>
          <w:p w14:paraId="15FB5A9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FMAs other than Tambo, if stands of MRT are present and a road has been constructed through or within 40 m, was it reasonably practical to have constructed the road in an alternative location?</w:t>
            </w:r>
          </w:p>
        </w:tc>
        <w:tc>
          <w:tcPr>
            <w:tcW w:w="578" w:type="pct"/>
            <w:shd w:val="clear" w:color="auto" w:fill="FFFFFF" w:themeFill="background1"/>
          </w:tcPr>
          <w:p w14:paraId="66CF080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M, P</w:t>
            </w:r>
          </w:p>
        </w:tc>
        <w:tc>
          <w:tcPr>
            <w:tcW w:w="522" w:type="pct"/>
            <w:shd w:val="clear" w:color="auto" w:fill="FFFFFF" w:themeFill="background1"/>
          </w:tcPr>
          <w:p w14:paraId="2F74D994" w14:textId="44475F12" w:rsidR="00FB1D26" w:rsidRPr="00A31BE0" w:rsidRDefault="000D6F6E"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727B1D3B" w14:textId="77777777" w:rsidTr="00E81409">
        <w:trPr>
          <w:trHeight w:val="397"/>
        </w:trPr>
        <w:tc>
          <w:tcPr>
            <w:tcW w:w="741" w:type="pct"/>
          </w:tcPr>
          <w:p w14:paraId="1514F7ED" w14:textId="77777777" w:rsidR="00FB1D26" w:rsidRPr="00A31BE0" w:rsidRDefault="00FB1D26" w:rsidP="00E81409">
            <w:pPr>
              <w:rPr>
                <w:rFonts w:ascii="Jacobs Chronos" w:hAnsi="Jacobs Chronos" w:cs="Jacobs Chronos"/>
                <w:sz w:val="16"/>
                <w:szCs w:val="16"/>
              </w:rPr>
            </w:pPr>
          </w:p>
        </w:tc>
        <w:tc>
          <w:tcPr>
            <w:tcW w:w="392" w:type="pct"/>
          </w:tcPr>
          <w:p w14:paraId="6078069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12.09</w:t>
            </w:r>
          </w:p>
        </w:tc>
        <w:tc>
          <w:tcPr>
            <w:tcW w:w="2767" w:type="pct"/>
          </w:tcPr>
          <w:p w14:paraId="77A1408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In FMAs other than Tambo, if stands of MRT are present, have protection areas been identified (as per 4.3.2.3/4)?</w:t>
            </w:r>
          </w:p>
        </w:tc>
        <w:tc>
          <w:tcPr>
            <w:tcW w:w="578" w:type="pct"/>
            <w:shd w:val="clear" w:color="auto" w:fill="FFFFFF" w:themeFill="background1"/>
          </w:tcPr>
          <w:p w14:paraId="0035FA1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1C8769C" w14:textId="6BFABE58" w:rsidR="00FB1D26" w:rsidRPr="00A31BE0" w:rsidRDefault="000D6F6E" w:rsidP="00C31A7B">
            <w:pPr>
              <w:jc w:val="center"/>
              <w:rPr>
                <w:rFonts w:ascii="Jacobs Chronos" w:hAnsi="Jacobs Chronos" w:cs="Jacobs Chronos"/>
                <w:sz w:val="16"/>
                <w:szCs w:val="16"/>
              </w:rPr>
            </w:pPr>
            <w:r>
              <w:rPr>
                <w:rFonts w:ascii="Jacobs Chronos" w:hAnsi="Jacobs Chronos" w:cs="Jacobs Chronos"/>
                <w:sz w:val="16"/>
                <w:szCs w:val="16"/>
              </w:rPr>
              <w:t>100</w:t>
            </w:r>
          </w:p>
        </w:tc>
      </w:tr>
      <w:tr w:rsidR="00FB1D26" w:rsidRPr="00A31BE0" w14:paraId="1E8C7C61" w14:textId="77777777" w:rsidTr="00C31A7B">
        <w:trPr>
          <w:trHeight w:val="397"/>
        </w:trPr>
        <w:tc>
          <w:tcPr>
            <w:tcW w:w="741" w:type="pct"/>
          </w:tcPr>
          <w:p w14:paraId="781D517F" w14:textId="77777777" w:rsidR="00FB1D26" w:rsidRPr="00A31BE0" w:rsidRDefault="00FB1D26" w:rsidP="00E81409">
            <w:pPr>
              <w:rPr>
                <w:rFonts w:ascii="Jacobs Chronos" w:hAnsi="Jacobs Chronos" w:cs="Jacobs Chronos"/>
                <w:sz w:val="16"/>
                <w:szCs w:val="16"/>
              </w:rPr>
            </w:pPr>
          </w:p>
        </w:tc>
        <w:tc>
          <w:tcPr>
            <w:tcW w:w="392" w:type="pct"/>
            <w:shd w:val="clear" w:color="auto" w:fill="CEEAB0"/>
          </w:tcPr>
          <w:p w14:paraId="17CC7917" w14:textId="77777777" w:rsidR="00FB1D26" w:rsidRPr="00A31BE0" w:rsidRDefault="00FB1D26" w:rsidP="00E81409">
            <w:pPr>
              <w:rPr>
                <w:rFonts w:ascii="Jacobs Chronos" w:hAnsi="Jacobs Chronos" w:cs="Jacobs Chronos"/>
                <w:sz w:val="16"/>
                <w:szCs w:val="16"/>
              </w:rPr>
            </w:pPr>
          </w:p>
        </w:tc>
        <w:tc>
          <w:tcPr>
            <w:tcW w:w="2767" w:type="pct"/>
            <w:shd w:val="clear" w:color="auto" w:fill="CEEAB0"/>
          </w:tcPr>
          <w:p w14:paraId="1A4E15E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4.3.4 Old growth</w:t>
            </w:r>
          </w:p>
        </w:tc>
        <w:tc>
          <w:tcPr>
            <w:tcW w:w="578" w:type="pct"/>
            <w:shd w:val="clear" w:color="auto" w:fill="FFFFFF" w:themeFill="background1"/>
          </w:tcPr>
          <w:p w14:paraId="40AA779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6BA9254" w14:textId="77777777" w:rsidR="00FB1D26" w:rsidRPr="00A31BE0" w:rsidRDefault="00FB1D26" w:rsidP="00C31A7B">
            <w:pPr>
              <w:jc w:val="center"/>
              <w:rPr>
                <w:rFonts w:ascii="Jacobs Chronos" w:hAnsi="Jacobs Chronos" w:cs="Jacobs Chronos"/>
                <w:sz w:val="16"/>
                <w:szCs w:val="16"/>
              </w:rPr>
            </w:pPr>
          </w:p>
        </w:tc>
      </w:tr>
      <w:tr w:rsidR="00FB1D26" w:rsidRPr="00A31BE0" w14:paraId="5B6C2F4D" w14:textId="77777777" w:rsidTr="00E81409">
        <w:trPr>
          <w:trHeight w:val="397"/>
        </w:trPr>
        <w:tc>
          <w:tcPr>
            <w:tcW w:w="741" w:type="pct"/>
            <w:shd w:val="clear" w:color="auto" w:fill="FFF2CC"/>
          </w:tcPr>
          <w:p w14:paraId="0E8C633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AC7F85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4902CD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4.3.4.1 Within the Central Highland’s FMAs, apply a 100m buffer around all stands of modelled Ash old growth forest that are depicted in the Department’s corporate spatial datasetMOG2009.shp, and confirmed during field assessment by the managing authority or the Department to be Ash type forest</w:t>
            </w:r>
          </w:p>
        </w:tc>
        <w:tc>
          <w:tcPr>
            <w:tcW w:w="578" w:type="pct"/>
            <w:shd w:val="clear" w:color="auto" w:fill="FFFFFF" w:themeFill="background1"/>
          </w:tcPr>
          <w:p w14:paraId="4A1586F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36E71DBA" w14:textId="77777777" w:rsidR="00FB1D26" w:rsidRPr="00A31BE0" w:rsidRDefault="00FB1D26" w:rsidP="00C31A7B">
            <w:pPr>
              <w:jc w:val="center"/>
              <w:rPr>
                <w:rFonts w:ascii="Jacobs Chronos" w:hAnsi="Jacobs Chronos" w:cs="Jacobs Chronos"/>
                <w:sz w:val="16"/>
                <w:szCs w:val="16"/>
              </w:rPr>
            </w:pPr>
          </w:p>
        </w:tc>
      </w:tr>
      <w:tr w:rsidR="00FB1D26" w:rsidRPr="00A31BE0" w14:paraId="223C6D1D" w14:textId="77777777" w:rsidTr="00E81409">
        <w:trPr>
          <w:trHeight w:val="397"/>
        </w:trPr>
        <w:tc>
          <w:tcPr>
            <w:tcW w:w="741" w:type="pct"/>
          </w:tcPr>
          <w:p w14:paraId="605F88CB" w14:textId="77777777" w:rsidR="00FB1D26" w:rsidRPr="00A31BE0" w:rsidRDefault="00FB1D26" w:rsidP="00E81409">
            <w:pPr>
              <w:rPr>
                <w:rFonts w:ascii="Jacobs Chronos" w:hAnsi="Jacobs Chronos" w:cs="Jacobs Chronos"/>
                <w:sz w:val="16"/>
                <w:szCs w:val="16"/>
              </w:rPr>
            </w:pPr>
          </w:p>
        </w:tc>
        <w:tc>
          <w:tcPr>
            <w:tcW w:w="392" w:type="pct"/>
          </w:tcPr>
          <w:p w14:paraId="4C0FBC3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12.10</w:t>
            </w:r>
          </w:p>
        </w:tc>
        <w:tc>
          <w:tcPr>
            <w:tcW w:w="2767" w:type="pct"/>
          </w:tcPr>
          <w:p w14:paraId="12B3ABF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100 m buffers been provided around all stands noted in MSP 4.3.4.1?</w:t>
            </w:r>
          </w:p>
        </w:tc>
        <w:tc>
          <w:tcPr>
            <w:tcW w:w="578" w:type="pct"/>
            <w:shd w:val="clear" w:color="auto" w:fill="FFFFFF" w:themeFill="background1"/>
          </w:tcPr>
          <w:p w14:paraId="11D83E5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2FDBE712" w14:textId="1FE0787C" w:rsidR="00FB1D26" w:rsidRPr="00A31BE0" w:rsidRDefault="008C58CF"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567787DC" w14:textId="77777777" w:rsidTr="00C31A7B">
        <w:trPr>
          <w:trHeight w:val="397"/>
        </w:trPr>
        <w:tc>
          <w:tcPr>
            <w:tcW w:w="741" w:type="pct"/>
          </w:tcPr>
          <w:p w14:paraId="0332C7A2" w14:textId="77777777" w:rsidR="00FB1D26" w:rsidRPr="00A31BE0" w:rsidRDefault="00FB1D26" w:rsidP="00E81409">
            <w:pPr>
              <w:rPr>
                <w:rFonts w:ascii="Jacobs Chronos" w:hAnsi="Jacobs Chronos" w:cs="Jacobs Chronos"/>
                <w:sz w:val="16"/>
                <w:szCs w:val="16"/>
              </w:rPr>
            </w:pPr>
          </w:p>
        </w:tc>
        <w:tc>
          <w:tcPr>
            <w:tcW w:w="392" w:type="pct"/>
            <w:shd w:val="clear" w:color="auto" w:fill="CEEAB0"/>
          </w:tcPr>
          <w:p w14:paraId="4E213A03" w14:textId="77777777" w:rsidR="00FB1D26" w:rsidRPr="00A31BE0" w:rsidRDefault="00FB1D26" w:rsidP="00E81409">
            <w:pPr>
              <w:rPr>
                <w:rFonts w:ascii="Jacobs Chronos" w:hAnsi="Jacobs Chronos" w:cs="Jacobs Chronos"/>
                <w:sz w:val="16"/>
                <w:szCs w:val="16"/>
              </w:rPr>
            </w:pPr>
          </w:p>
        </w:tc>
        <w:tc>
          <w:tcPr>
            <w:tcW w:w="2767" w:type="pct"/>
            <w:shd w:val="clear" w:color="auto" w:fill="CEEAB0"/>
          </w:tcPr>
          <w:p w14:paraId="6BBB6CB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 4.3.9 Rainforest protection measures</w:t>
            </w:r>
          </w:p>
        </w:tc>
        <w:tc>
          <w:tcPr>
            <w:tcW w:w="578" w:type="pct"/>
            <w:shd w:val="clear" w:color="auto" w:fill="FFFFFF" w:themeFill="background1"/>
          </w:tcPr>
          <w:p w14:paraId="1046A15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00A86000" w14:textId="77777777" w:rsidR="00FB1D26" w:rsidRPr="00A31BE0" w:rsidRDefault="00FB1D26" w:rsidP="00C31A7B">
            <w:pPr>
              <w:jc w:val="center"/>
              <w:rPr>
                <w:rFonts w:ascii="Jacobs Chronos" w:hAnsi="Jacobs Chronos" w:cs="Jacobs Chronos"/>
                <w:sz w:val="16"/>
                <w:szCs w:val="16"/>
              </w:rPr>
            </w:pPr>
          </w:p>
        </w:tc>
      </w:tr>
      <w:tr w:rsidR="00FB1D26" w:rsidRPr="00A31BE0" w14:paraId="0C45EEAE" w14:textId="77777777" w:rsidTr="00E81409">
        <w:trPr>
          <w:trHeight w:val="397"/>
        </w:trPr>
        <w:tc>
          <w:tcPr>
            <w:tcW w:w="741" w:type="pct"/>
            <w:shd w:val="clear" w:color="auto" w:fill="FCE4D6"/>
          </w:tcPr>
          <w:p w14:paraId="42A3F50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6FC581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9CBA9C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2.2.2.7 Rainforest communities must not be harvested.</w:t>
            </w:r>
          </w:p>
        </w:tc>
        <w:tc>
          <w:tcPr>
            <w:tcW w:w="578" w:type="pct"/>
            <w:shd w:val="clear" w:color="auto" w:fill="FFFFFF" w:themeFill="background1"/>
          </w:tcPr>
          <w:p w14:paraId="553CAE60"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3FA817A" w14:textId="77777777" w:rsidR="00FB1D26" w:rsidRPr="00A31BE0" w:rsidRDefault="00FB1D26" w:rsidP="00C31A7B">
            <w:pPr>
              <w:jc w:val="center"/>
              <w:rPr>
                <w:rFonts w:ascii="Jacobs Chronos" w:hAnsi="Jacobs Chronos" w:cs="Jacobs Chronos"/>
                <w:sz w:val="16"/>
                <w:szCs w:val="16"/>
              </w:rPr>
            </w:pPr>
          </w:p>
        </w:tc>
      </w:tr>
      <w:tr w:rsidR="00FB1D26" w:rsidRPr="00A31BE0" w14:paraId="37BE718C" w14:textId="77777777" w:rsidTr="00E81409">
        <w:trPr>
          <w:trHeight w:val="397"/>
        </w:trPr>
        <w:tc>
          <w:tcPr>
            <w:tcW w:w="741" w:type="pct"/>
            <w:shd w:val="clear" w:color="auto" w:fill="FFF2CC"/>
          </w:tcPr>
          <w:p w14:paraId="71E2360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0E3F291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81952DE" w14:textId="16234963"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4.3.9.1 Protect all rainforest from timber harvesting operations as follows: (a) Exclude </w:t>
            </w:r>
            <w:r w:rsidR="00CE35B5" w:rsidRPr="00A31BE0">
              <w:rPr>
                <w:rFonts w:ascii="Jacobs Chronos" w:hAnsi="Jacobs Chronos" w:cs="Jacobs Chronos"/>
                <w:sz w:val="16"/>
                <w:szCs w:val="16"/>
              </w:rPr>
              <w:t>non-linear</w:t>
            </w:r>
            <w:r w:rsidRPr="00A31BE0">
              <w:rPr>
                <w:rFonts w:ascii="Jacobs Chronos" w:hAnsi="Jacobs Chronos" w:cs="Jacobs Chronos"/>
                <w:sz w:val="16"/>
                <w:szCs w:val="16"/>
              </w:rPr>
              <w:t xml:space="preserve"> stands that are 0.1 ha or more in size but less than 0.4 ha from timber harvesting operations. These stands do not require a buffer. (b) Exclude linear stands that are at least 0.1 ha but are less than 0.2 ha from timber harvesting operations. These stands do not require a buffer. (c) Exclude linear stands that are at least 0.2 ha but are less than 0.4 ha from timber harvesting operations. Protect these stands with a 20 m buffer. (d) Exclude all rainforest stands (including linear stands) equal to or exceeding 0.4 ha from timber harvesting operations. Protect these stands with a 40 m buffer except for rainforest stands in the Central Highlands FMAs and the Gippsland FMAs where 4.3.9.2 below must be complied with.  (e) Distribute slash away from retained rainforest stands or buffers. </w:t>
            </w:r>
          </w:p>
        </w:tc>
        <w:tc>
          <w:tcPr>
            <w:tcW w:w="578" w:type="pct"/>
            <w:shd w:val="clear" w:color="auto" w:fill="FFFFFF" w:themeFill="background1"/>
          </w:tcPr>
          <w:p w14:paraId="6E8CE8DC"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ECE3470" w14:textId="77777777" w:rsidR="00FB1D26" w:rsidRPr="00A31BE0" w:rsidRDefault="00FB1D26" w:rsidP="00C31A7B">
            <w:pPr>
              <w:jc w:val="center"/>
              <w:rPr>
                <w:rFonts w:ascii="Jacobs Chronos" w:hAnsi="Jacobs Chronos" w:cs="Jacobs Chronos"/>
                <w:sz w:val="16"/>
                <w:szCs w:val="16"/>
              </w:rPr>
            </w:pPr>
          </w:p>
        </w:tc>
      </w:tr>
      <w:tr w:rsidR="00FB1D26" w:rsidRPr="00A31BE0" w14:paraId="442CB02E" w14:textId="77777777" w:rsidTr="00C31A7B">
        <w:trPr>
          <w:trHeight w:val="397"/>
        </w:trPr>
        <w:tc>
          <w:tcPr>
            <w:tcW w:w="741" w:type="pct"/>
            <w:shd w:val="clear" w:color="auto" w:fill="FFEBD0" w:themeFill="accent4" w:themeFillTint="33"/>
          </w:tcPr>
          <w:p w14:paraId="2016DEE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EBD0" w:themeFill="accent4" w:themeFillTint="33"/>
          </w:tcPr>
          <w:p w14:paraId="2873067C" w14:textId="77777777" w:rsidR="00FB1D26" w:rsidRPr="00A31BE0" w:rsidRDefault="00FB1D26" w:rsidP="00E81409">
            <w:pPr>
              <w:rPr>
                <w:rFonts w:ascii="Jacobs Chronos" w:hAnsi="Jacobs Chronos" w:cs="Jacobs Chronos"/>
                <w:sz w:val="16"/>
                <w:szCs w:val="16"/>
              </w:rPr>
            </w:pPr>
          </w:p>
        </w:tc>
        <w:tc>
          <w:tcPr>
            <w:tcW w:w="2767" w:type="pct"/>
            <w:shd w:val="clear" w:color="auto" w:fill="FFEBD0" w:themeFill="accent4" w:themeFillTint="33"/>
          </w:tcPr>
          <w:p w14:paraId="5FCC9B76" w14:textId="76642668"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4.3.9.2</w:t>
            </w:r>
            <w:r w:rsidR="00591150">
              <w:rPr>
                <w:rFonts w:ascii="Jacobs Chronos" w:hAnsi="Jacobs Chronos" w:cs="Jacobs Chronos"/>
                <w:sz w:val="16"/>
                <w:szCs w:val="16"/>
              </w:rPr>
              <w:t xml:space="preserve"> </w:t>
            </w:r>
            <w:r w:rsidR="00591150" w:rsidRPr="00591150">
              <w:rPr>
                <w:rFonts w:ascii="Jacobs Chronos" w:hAnsi="Jacobs Chronos" w:cs="Jacobs Chronos"/>
                <w:sz w:val="16"/>
                <w:szCs w:val="16"/>
              </w:rPr>
              <w:t xml:space="preserve">In areas categorised as being of National, State or Regional significance in the Sites of Significance for Rainforest spatial layer where evidence of rainforest greater in size than 0.4ha is found in the field and it isn’t already classified as SPZ, apply a protection area prior to commencement of the timber harvesting operation consistent with management actions listed in Table 16 Buffer widths for Rainforest Sites of Significance by category and priority.   </w:t>
            </w:r>
          </w:p>
        </w:tc>
        <w:tc>
          <w:tcPr>
            <w:tcW w:w="578" w:type="pct"/>
            <w:shd w:val="clear" w:color="auto" w:fill="FFFFFF" w:themeFill="background1"/>
          </w:tcPr>
          <w:p w14:paraId="4774E49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A72762E" w14:textId="77777777" w:rsidR="00FB1D26" w:rsidRPr="00A31BE0" w:rsidRDefault="00FB1D26" w:rsidP="00C31A7B">
            <w:pPr>
              <w:jc w:val="center"/>
              <w:rPr>
                <w:rFonts w:ascii="Jacobs Chronos" w:hAnsi="Jacobs Chronos" w:cs="Jacobs Chronos"/>
                <w:sz w:val="16"/>
                <w:szCs w:val="16"/>
              </w:rPr>
            </w:pPr>
          </w:p>
        </w:tc>
      </w:tr>
      <w:tr w:rsidR="00FB1D26" w:rsidRPr="00A31BE0" w14:paraId="23F3D3C2" w14:textId="77777777" w:rsidTr="00E81409">
        <w:trPr>
          <w:trHeight w:val="397"/>
        </w:trPr>
        <w:tc>
          <w:tcPr>
            <w:tcW w:w="741" w:type="pct"/>
          </w:tcPr>
          <w:p w14:paraId="016FBD04" w14:textId="77777777" w:rsidR="00FB1D26" w:rsidRPr="00A31BE0" w:rsidRDefault="00FB1D26" w:rsidP="00E81409">
            <w:pPr>
              <w:rPr>
                <w:rFonts w:ascii="Jacobs Chronos" w:hAnsi="Jacobs Chronos" w:cs="Jacobs Chronos"/>
                <w:sz w:val="16"/>
                <w:szCs w:val="16"/>
              </w:rPr>
            </w:pPr>
          </w:p>
        </w:tc>
        <w:tc>
          <w:tcPr>
            <w:tcW w:w="392" w:type="pct"/>
          </w:tcPr>
          <w:p w14:paraId="36B2EFE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12.11</w:t>
            </w:r>
          </w:p>
        </w:tc>
        <w:tc>
          <w:tcPr>
            <w:tcW w:w="2767" w:type="pct"/>
          </w:tcPr>
          <w:p w14:paraId="09AB877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the existence of mapped/modelled rainforest EVC and any status as a RFSOS been noted within the FCP?</w:t>
            </w:r>
          </w:p>
        </w:tc>
        <w:tc>
          <w:tcPr>
            <w:tcW w:w="578" w:type="pct"/>
            <w:shd w:val="clear" w:color="auto" w:fill="FFFFFF" w:themeFill="background1"/>
          </w:tcPr>
          <w:p w14:paraId="14794EF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0CD6B53E"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22449A08" w14:textId="77777777" w:rsidTr="00E81409">
        <w:trPr>
          <w:trHeight w:val="397"/>
        </w:trPr>
        <w:tc>
          <w:tcPr>
            <w:tcW w:w="741" w:type="pct"/>
          </w:tcPr>
          <w:p w14:paraId="5C0F70D9" w14:textId="77777777" w:rsidR="00FB1D26" w:rsidRPr="00A31BE0" w:rsidRDefault="00FB1D26" w:rsidP="00E81409">
            <w:pPr>
              <w:rPr>
                <w:rFonts w:ascii="Jacobs Chronos" w:hAnsi="Jacobs Chronos" w:cs="Jacobs Chronos"/>
                <w:sz w:val="16"/>
                <w:szCs w:val="16"/>
              </w:rPr>
            </w:pPr>
          </w:p>
        </w:tc>
        <w:tc>
          <w:tcPr>
            <w:tcW w:w="392" w:type="pct"/>
          </w:tcPr>
          <w:p w14:paraId="5769179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12.12</w:t>
            </w:r>
          </w:p>
        </w:tc>
        <w:tc>
          <w:tcPr>
            <w:tcW w:w="2767" w:type="pct"/>
          </w:tcPr>
          <w:p w14:paraId="75BABEC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any rainforest stands present within/adjacent to the coupe been provided with appropriate buffers as per MSP 4.3.9.1 and 4.3.9.2</w:t>
            </w:r>
          </w:p>
        </w:tc>
        <w:tc>
          <w:tcPr>
            <w:tcW w:w="578" w:type="pct"/>
            <w:shd w:val="clear" w:color="auto" w:fill="FFFFFF" w:themeFill="background1"/>
          </w:tcPr>
          <w:p w14:paraId="183546E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4EEE2D17"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0EC5D01" w14:textId="77777777" w:rsidTr="00E81409">
        <w:trPr>
          <w:trHeight w:val="397"/>
        </w:trPr>
        <w:tc>
          <w:tcPr>
            <w:tcW w:w="741" w:type="pct"/>
            <w:shd w:val="clear" w:color="auto" w:fill="FCE4D6"/>
          </w:tcPr>
          <w:p w14:paraId="3CD5F41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7702896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75ED75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2.2.2.5 Protect areas excluded from harvesting from the impacts of timber harvesting operations.</w:t>
            </w:r>
          </w:p>
        </w:tc>
        <w:tc>
          <w:tcPr>
            <w:tcW w:w="578" w:type="pct"/>
            <w:shd w:val="clear" w:color="auto" w:fill="FFFFFF" w:themeFill="background1"/>
          </w:tcPr>
          <w:p w14:paraId="4C78F09D"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6B38B1B" w14:textId="77777777" w:rsidR="00FB1D26" w:rsidRPr="00A31BE0" w:rsidRDefault="00FB1D26" w:rsidP="00C31A7B">
            <w:pPr>
              <w:jc w:val="center"/>
              <w:rPr>
                <w:rFonts w:ascii="Jacobs Chronos" w:hAnsi="Jacobs Chronos" w:cs="Jacobs Chronos"/>
                <w:sz w:val="16"/>
                <w:szCs w:val="16"/>
              </w:rPr>
            </w:pPr>
          </w:p>
        </w:tc>
      </w:tr>
      <w:tr w:rsidR="00FB1D26" w:rsidRPr="00A31BE0" w14:paraId="1CA92CB4" w14:textId="77777777" w:rsidTr="00E81409">
        <w:trPr>
          <w:trHeight w:val="397"/>
        </w:trPr>
        <w:tc>
          <w:tcPr>
            <w:tcW w:w="741" w:type="pct"/>
          </w:tcPr>
          <w:p w14:paraId="46B8D32B" w14:textId="77777777" w:rsidR="00FB1D26" w:rsidRPr="00A31BE0" w:rsidRDefault="00FB1D26" w:rsidP="00E81409">
            <w:pPr>
              <w:rPr>
                <w:rFonts w:ascii="Jacobs Chronos" w:hAnsi="Jacobs Chronos" w:cs="Jacobs Chronos"/>
                <w:sz w:val="16"/>
                <w:szCs w:val="16"/>
              </w:rPr>
            </w:pPr>
          </w:p>
        </w:tc>
        <w:tc>
          <w:tcPr>
            <w:tcW w:w="392" w:type="pct"/>
          </w:tcPr>
          <w:p w14:paraId="3B89F05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13.01</w:t>
            </w:r>
          </w:p>
        </w:tc>
        <w:tc>
          <w:tcPr>
            <w:tcW w:w="2767" w:type="pct"/>
          </w:tcPr>
          <w:p w14:paraId="35D6EE2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Have areas that were excluded from harvesting been affected by impacts from timber harvesting operations, including roading and regeneration burning?</w:t>
            </w:r>
          </w:p>
        </w:tc>
        <w:tc>
          <w:tcPr>
            <w:tcW w:w="578" w:type="pct"/>
            <w:shd w:val="clear" w:color="auto" w:fill="FFFFFF" w:themeFill="background1"/>
          </w:tcPr>
          <w:p w14:paraId="117B749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S, W, BD, C, I</w:t>
            </w:r>
          </w:p>
        </w:tc>
        <w:tc>
          <w:tcPr>
            <w:tcW w:w="522" w:type="pct"/>
            <w:shd w:val="clear" w:color="auto" w:fill="FFFFFF" w:themeFill="background1"/>
          </w:tcPr>
          <w:p w14:paraId="4834623A"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94</w:t>
            </w:r>
          </w:p>
        </w:tc>
      </w:tr>
      <w:tr w:rsidR="00FB1D26" w:rsidRPr="00A31BE0" w14:paraId="3FD00310" w14:textId="77777777" w:rsidTr="00E81409">
        <w:trPr>
          <w:trHeight w:val="397"/>
        </w:trPr>
        <w:tc>
          <w:tcPr>
            <w:tcW w:w="741" w:type="pct"/>
          </w:tcPr>
          <w:p w14:paraId="2124C2DE" w14:textId="77777777" w:rsidR="00FB1D26" w:rsidRPr="00A31BE0" w:rsidRDefault="00FB1D26" w:rsidP="00E81409">
            <w:pPr>
              <w:rPr>
                <w:rFonts w:ascii="Jacobs Chronos" w:hAnsi="Jacobs Chronos" w:cs="Jacobs Chronos"/>
                <w:sz w:val="16"/>
                <w:szCs w:val="16"/>
              </w:rPr>
            </w:pPr>
          </w:p>
        </w:tc>
        <w:tc>
          <w:tcPr>
            <w:tcW w:w="392" w:type="pct"/>
            <w:shd w:val="clear" w:color="auto" w:fill="E2EFDA"/>
          </w:tcPr>
          <w:p w14:paraId="1A54917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395C913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MSP4.4 Pests, weeds and diseases</w:t>
            </w:r>
          </w:p>
        </w:tc>
        <w:tc>
          <w:tcPr>
            <w:tcW w:w="578" w:type="pct"/>
            <w:shd w:val="clear" w:color="auto" w:fill="FFFFFF" w:themeFill="background1"/>
          </w:tcPr>
          <w:p w14:paraId="2F3CAE4C"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5F76AFB" w14:textId="77777777" w:rsidR="00FB1D26" w:rsidRPr="00A31BE0" w:rsidRDefault="00FB1D26" w:rsidP="00C31A7B">
            <w:pPr>
              <w:jc w:val="center"/>
              <w:rPr>
                <w:rFonts w:ascii="Jacobs Chronos" w:hAnsi="Jacobs Chronos" w:cs="Jacobs Chronos"/>
                <w:sz w:val="16"/>
                <w:szCs w:val="16"/>
              </w:rPr>
            </w:pPr>
          </w:p>
        </w:tc>
      </w:tr>
      <w:tr w:rsidR="00FB1D26" w:rsidRPr="00A31BE0" w14:paraId="7671CE87" w14:textId="77777777" w:rsidTr="00E81409">
        <w:trPr>
          <w:trHeight w:val="397"/>
        </w:trPr>
        <w:tc>
          <w:tcPr>
            <w:tcW w:w="741" w:type="pct"/>
            <w:shd w:val="clear" w:color="auto" w:fill="FCE4D6"/>
          </w:tcPr>
          <w:p w14:paraId="2A125B8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1D4DEDF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1ADC3E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2.2.2.13 Implement appropriate vehicle and equipment hygiene precautions when moving from forest disease control areas.</w:t>
            </w:r>
          </w:p>
        </w:tc>
        <w:tc>
          <w:tcPr>
            <w:tcW w:w="578" w:type="pct"/>
            <w:shd w:val="clear" w:color="auto" w:fill="FFFFFF" w:themeFill="background1"/>
          </w:tcPr>
          <w:p w14:paraId="1240C20B"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960ED05" w14:textId="77777777" w:rsidR="00FB1D26" w:rsidRPr="00A31BE0" w:rsidRDefault="00FB1D26" w:rsidP="00C31A7B">
            <w:pPr>
              <w:jc w:val="center"/>
              <w:rPr>
                <w:rFonts w:ascii="Jacobs Chronos" w:hAnsi="Jacobs Chronos" w:cs="Jacobs Chronos"/>
                <w:sz w:val="16"/>
                <w:szCs w:val="16"/>
              </w:rPr>
            </w:pPr>
          </w:p>
        </w:tc>
      </w:tr>
      <w:tr w:rsidR="00FB1D26" w:rsidRPr="00A31BE0" w14:paraId="36C6E2D9" w14:textId="77777777" w:rsidTr="00E81409">
        <w:trPr>
          <w:trHeight w:val="397"/>
        </w:trPr>
        <w:tc>
          <w:tcPr>
            <w:tcW w:w="741" w:type="pct"/>
            <w:shd w:val="clear" w:color="auto" w:fill="FCE4D6"/>
          </w:tcPr>
          <w:p w14:paraId="070CF89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17A9BA4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655B440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2.2.2.14 Implement appropriate control actions where timber harvesting operations have introduced or exacerbated a pathogen or weed.</w:t>
            </w:r>
          </w:p>
        </w:tc>
        <w:tc>
          <w:tcPr>
            <w:tcW w:w="578" w:type="pct"/>
            <w:shd w:val="clear" w:color="auto" w:fill="FFFFFF" w:themeFill="background1"/>
          </w:tcPr>
          <w:p w14:paraId="794E8AE6"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5339423" w14:textId="77777777" w:rsidR="00FB1D26" w:rsidRPr="00A31BE0" w:rsidRDefault="00FB1D26" w:rsidP="00C31A7B">
            <w:pPr>
              <w:jc w:val="center"/>
              <w:rPr>
                <w:rFonts w:ascii="Jacobs Chronos" w:hAnsi="Jacobs Chronos" w:cs="Jacobs Chronos"/>
                <w:sz w:val="16"/>
                <w:szCs w:val="16"/>
              </w:rPr>
            </w:pPr>
          </w:p>
        </w:tc>
      </w:tr>
      <w:tr w:rsidR="00FB1D26" w:rsidRPr="00A31BE0" w14:paraId="3906FF17" w14:textId="77777777" w:rsidTr="00E81409">
        <w:trPr>
          <w:trHeight w:val="397"/>
        </w:trPr>
        <w:tc>
          <w:tcPr>
            <w:tcW w:w="741" w:type="pct"/>
            <w:shd w:val="clear" w:color="auto" w:fill="FFF2CC"/>
          </w:tcPr>
          <w:p w14:paraId="06F97A6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BD94D2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A72CB6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4.4.1.1 Minimise the risk of introduction or movement of Cinnamon Fungus (Phytophthora cinnamomi) and Root Rot (Armillaria) from a forest disease control area into other areas, by: (a) washing machinery before moving into uninfected areas; (b) restricting activities where the movement of soil or gravel is likely to cross from infected sites into healthy vegetation; (c) minimising the relocation or movement of infected gravel or soil during road and track construction or maintenance works, or logging operations; (d) restricting or controlling drainage water run‐off from roads and tracks away from healthy vegetation; (e) testing gravel from infected areas and using only uncontaminated gravel in uninfected areas; and (f) cleaning and disinfecting vehicles, machinery, tools and equipment used in infected areas. </w:t>
            </w:r>
          </w:p>
        </w:tc>
        <w:tc>
          <w:tcPr>
            <w:tcW w:w="578" w:type="pct"/>
            <w:shd w:val="clear" w:color="auto" w:fill="FFFFFF" w:themeFill="background1"/>
          </w:tcPr>
          <w:p w14:paraId="30F22BA0"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5580609B" w14:textId="77777777" w:rsidR="00FB1D26" w:rsidRPr="00A31BE0" w:rsidRDefault="00FB1D26" w:rsidP="00C31A7B">
            <w:pPr>
              <w:jc w:val="center"/>
              <w:rPr>
                <w:rFonts w:ascii="Jacobs Chronos" w:hAnsi="Jacobs Chronos" w:cs="Jacobs Chronos"/>
                <w:sz w:val="16"/>
                <w:szCs w:val="16"/>
              </w:rPr>
            </w:pPr>
          </w:p>
        </w:tc>
      </w:tr>
      <w:tr w:rsidR="00FB1D26" w:rsidRPr="00A31BE0" w14:paraId="35735682" w14:textId="77777777" w:rsidTr="00E81409">
        <w:trPr>
          <w:trHeight w:val="397"/>
        </w:trPr>
        <w:tc>
          <w:tcPr>
            <w:tcW w:w="741" w:type="pct"/>
          </w:tcPr>
          <w:p w14:paraId="5C74D498" w14:textId="77777777" w:rsidR="00FB1D26" w:rsidRPr="00A31BE0" w:rsidRDefault="00FB1D26" w:rsidP="00E81409">
            <w:pPr>
              <w:rPr>
                <w:rFonts w:ascii="Jacobs Chronos" w:hAnsi="Jacobs Chronos" w:cs="Jacobs Chronos"/>
                <w:sz w:val="16"/>
                <w:szCs w:val="16"/>
              </w:rPr>
            </w:pPr>
          </w:p>
        </w:tc>
        <w:tc>
          <w:tcPr>
            <w:tcW w:w="392" w:type="pct"/>
          </w:tcPr>
          <w:p w14:paraId="090CB0C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13.01</w:t>
            </w:r>
          </w:p>
        </w:tc>
        <w:tc>
          <w:tcPr>
            <w:tcW w:w="2767" w:type="pct"/>
          </w:tcPr>
          <w:p w14:paraId="46E56DF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machinery moving to the coupe been washed down prior to entry if it has come from a forest disease control area?</w:t>
            </w:r>
          </w:p>
        </w:tc>
        <w:tc>
          <w:tcPr>
            <w:tcW w:w="578" w:type="pct"/>
            <w:shd w:val="clear" w:color="auto" w:fill="FFFFFF" w:themeFill="background1"/>
          </w:tcPr>
          <w:p w14:paraId="6AB7BF98"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63E0C87" w14:textId="77777777" w:rsidR="00FB1D26" w:rsidRPr="00A31BE0" w:rsidRDefault="00FB1D26" w:rsidP="00C31A7B">
            <w:pPr>
              <w:jc w:val="center"/>
              <w:rPr>
                <w:rFonts w:ascii="Jacobs Chronos" w:hAnsi="Jacobs Chronos" w:cs="Jacobs Chronos"/>
                <w:sz w:val="16"/>
                <w:szCs w:val="16"/>
              </w:rPr>
            </w:pPr>
          </w:p>
        </w:tc>
      </w:tr>
      <w:tr w:rsidR="00FB1D26" w:rsidRPr="00A31BE0" w14:paraId="30B277F3" w14:textId="77777777" w:rsidTr="00E81409">
        <w:trPr>
          <w:trHeight w:val="397"/>
        </w:trPr>
        <w:tc>
          <w:tcPr>
            <w:tcW w:w="741" w:type="pct"/>
          </w:tcPr>
          <w:p w14:paraId="24CA8D4C" w14:textId="77777777" w:rsidR="00FB1D26" w:rsidRPr="00A31BE0" w:rsidRDefault="00FB1D26" w:rsidP="00E81409">
            <w:pPr>
              <w:rPr>
                <w:rFonts w:ascii="Jacobs Chronos" w:hAnsi="Jacobs Chronos" w:cs="Jacobs Chronos"/>
                <w:sz w:val="16"/>
                <w:szCs w:val="16"/>
              </w:rPr>
            </w:pPr>
          </w:p>
        </w:tc>
        <w:tc>
          <w:tcPr>
            <w:tcW w:w="392" w:type="pct"/>
          </w:tcPr>
          <w:p w14:paraId="099B6EC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13.02</w:t>
            </w:r>
          </w:p>
        </w:tc>
        <w:tc>
          <w:tcPr>
            <w:tcW w:w="2767" w:type="pct"/>
          </w:tcPr>
          <w:p w14:paraId="2AF6B8A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a new ICR has been constructed, is there evidence in the FCP that any gravel or other road-making materials imported to the site are from a quarry or another coupe that is known to be free of PC or Armillaria?</w:t>
            </w:r>
          </w:p>
        </w:tc>
        <w:tc>
          <w:tcPr>
            <w:tcW w:w="578" w:type="pct"/>
            <w:shd w:val="clear" w:color="auto" w:fill="FFFFFF" w:themeFill="background1"/>
          </w:tcPr>
          <w:p w14:paraId="5616435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C, P</w:t>
            </w:r>
          </w:p>
        </w:tc>
        <w:tc>
          <w:tcPr>
            <w:tcW w:w="522" w:type="pct"/>
            <w:shd w:val="clear" w:color="auto" w:fill="FFFFFF" w:themeFill="background1"/>
          </w:tcPr>
          <w:p w14:paraId="2F216F2A"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49A89261" w14:textId="77777777" w:rsidTr="00E81409">
        <w:trPr>
          <w:trHeight w:val="397"/>
        </w:trPr>
        <w:tc>
          <w:tcPr>
            <w:tcW w:w="741" w:type="pct"/>
          </w:tcPr>
          <w:p w14:paraId="49B06903" w14:textId="77777777" w:rsidR="00FB1D26" w:rsidRPr="00A31BE0" w:rsidRDefault="00FB1D26" w:rsidP="00E81409">
            <w:pPr>
              <w:rPr>
                <w:rFonts w:ascii="Jacobs Chronos" w:hAnsi="Jacobs Chronos" w:cs="Jacobs Chronos"/>
                <w:sz w:val="16"/>
                <w:szCs w:val="16"/>
              </w:rPr>
            </w:pPr>
          </w:p>
        </w:tc>
        <w:tc>
          <w:tcPr>
            <w:tcW w:w="392" w:type="pct"/>
          </w:tcPr>
          <w:p w14:paraId="0FB979B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13.03</w:t>
            </w:r>
          </w:p>
        </w:tc>
        <w:tc>
          <w:tcPr>
            <w:tcW w:w="2767" w:type="pct"/>
          </w:tcPr>
          <w:p w14:paraId="597F7BA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the coupe is located in a forest disease control area (with PC or Armillaria), is road drainage from infected areas diverted away from healthy vegetation?</w:t>
            </w:r>
          </w:p>
        </w:tc>
        <w:tc>
          <w:tcPr>
            <w:tcW w:w="578" w:type="pct"/>
            <w:shd w:val="clear" w:color="auto" w:fill="FFFFFF" w:themeFill="background1"/>
          </w:tcPr>
          <w:p w14:paraId="0AB8BB6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C</w:t>
            </w:r>
          </w:p>
        </w:tc>
        <w:tc>
          <w:tcPr>
            <w:tcW w:w="522" w:type="pct"/>
            <w:shd w:val="clear" w:color="auto" w:fill="FFFFFF" w:themeFill="background1"/>
          </w:tcPr>
          <w:p w14:paraId="6BF8FA55" w14:textId="2D372173" w:rsidR="00FB1D26"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536A5AFF" w14:textId="77777777" w:rsidTr="00E81409">
        <w:trPr>
          <w:trHeight w:val="397"/>
        </w:trPr>
        <w:tc>
          <w:tcPr>
            <w:tcW w:w="741" w:type="pct"/>
          </w:tcPr>
          <w:p w14:paraId="630464AF" w14:textId="77777777" w:rsidR="00FB1D26" w:rsidRPr="00A31BE0" w:rsidRDefault="00FB1D26" w:rsidP="00E81409">
            <w:pPr>
              <w:rPr>
                <w:rFonts w:ascii="Jacobs Chronos" w:hAnsi="Jacobs Chronos" w:cs="Jacobs Chronos"/>
                <w:sz w:val="16"/>
                <w:szCs w:val="16"/>
              </w:rPr>
            </w:pPr>
          </w:p>
        </w:tc>
        <w:tc>
          <w:tcPr>
            <w:tcW w:w="392" w:type="pct"/>
          </w:tcPr>
          <w:p w14:paraId="3A97786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13.04</w:t>
            </w:r>
          </w:p>
        </w:tc>
        <w:tc>
          <w:tcPr>
            <w:tcW w:w="2767" w:type="pct"/>
          </w:tcPr>
          <w:p w14:paraId="5FF3A1D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the coupe is located in a forest disease control area (with PC or Armillaria), does the FCP have evidence that vehicles, machinery, tools and equipment was cleaned and disinfected prior to being removed from the coupe?</w:t>
            </w:r>
          </w:p>
        </w:tc>
        <w:tc>
          <w:tcPr>
            <w:tcW w:w="578" w:type="pct"/>
            <w:shd w:val="clear" w:color="auto" w:fill="FFFFFF" w:themeFill="background1"/>
          </w:tcPr>
          <w:p w14:paraId="2093E64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 C, P</w:t>
            </w:r>
          </w:p>
        </w:tc>
        <w:tc>
          <w:tcPr>
            <w:tcW w:w="522" w:type="pct"/>
            <w:shd w:val="clear" w:color="auto" w:fill="FFFFFF" w:themeFill="background1"/>
          </w:tcPr>
          <w:p w14:paraId="64F62EB2" w14:textId="6115A3D6" w:rsidR="00FB1D26"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0B5E3FB6" w14:textId="77777777" w:rsidTr="00E81409">
        <w:trPr>
          <w:trHeight w:val="397"/>
        </w:trPr>
        <w:tc>
          <w:tcPr>
            <w:tcW w:w="741" w:type="pct"/>
          </w:tcPr>
          <w:p w14:paraId="3231DDE7" w14:textId="77777777" w:rsidR="00FB1D26" w:rsidRPr="00A31BE0" w:rsidRDefault="00FB1D26" w:rsidP="00E81409">
            <w:pPr>
              <w:rPr>
                <w:rFonts w:ascii="Jacobs Chronos" w:hAnsi="Jacobs Chronos" w:cs="Jacobs Chronos"/>
                <w:sz w:val="16"/>
                <w:szCs w:val="16"/>
              </w:rPr>
            </w:pPr>
          </w:p>
        </w:tc>
        <w:tc>
          <w:tcPr>
            <w:tcW w:w="392" w:type="pct"/>
          </w:tcPr>
          <w:p w14:paraId="3E1AA4A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13.05</w:t>
            </w:r>
          </w:p>
        </w:tc>
        <w:tc>
          <w:tcPr>
            <w:tcW w:w="2767" w:type="pct"/>
          </w:tcPr>
          <w:p w14:paraId="1F2BB4A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If timber harvesting operations have introduced a pathogen to a timber harvesting coupe, has an appropriate control program been developed and implemented?</w:t>
            </w:r>
          </w:p>
        </w:tc>
        <w:tc>
          <w:tcPr>
            <w:tcW w:w="578" w:type="pct"/>
            <w:shd w:val="clear" w:color="auto" w:fill="FFFFFF" w:themeFill="background1"/>
          </w:tcPr>
          <w:p w14:paraId="6ABE023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1667135B" w14:textId="3647BBED" w:rsidR="00FB1D26"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6F8D1F1A" w14:textId="77777777" w:rsidTr="00E81409">
        <w:trPr>
          <w:trHeight w:val="397"/>
        </w:trPr>
        <w:tc>
          <w:tcPr>
            <w:tcW w:w="741" w:type="pct"/>
            <w:shd w:val="clear" w:color="auto" w:fill="FFF2CC"/>
          </w:tcPr>
          <w:p w14:paraId="39BEDEB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A72014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2A78D2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4.5.2.1 Conduct a pre‐harvest assessment to determine the type and extent of weeds on the coupe and on associated access roads. </w:t>
            </w:r>
          </w:p>
        </w:tc>
        <w:tc>
          <w:tcPr>
            <w:tcW w:w="578" w:type="pct"/>
            <w:shd w:val="clear" w:color="auto" w:fill="FFFFFF" w:themeFill="background1"/>
          </w:tcPr>
          <w:p w14:paraId="60DF103F"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687F1D1F" w14:textId="77777777" w:rsidR="00FB1D26" w:rsidRPr="00A31BE0" w:rsidRDefault="00FB1D26" w:rsidP="00C31A7B">
            <w:pPr>
              <w:jc w:val="center"/>
              <w:rPr>
                <w:rFonts w:ascii="Jacobs Chronos" w:hAnsi="Jacobs Chronos" w:cs="Jacobs Chronos"/>
                <w:sz w:val="16"/>
                <w:szCs w:val="16"/>
              </w:rPr>
            </w:pPr>
          </w:p>
        </w:tc>
      </w:tr>
      <w:tr w:rsidR="00FB1D26" w:rsidRPr="00A31BE0" w14:paraId="35333993" w14:textId="77777777" w:rsidTr="00E81409">
        <w:trPr>
          <w:trHeight w:val="397"/>
        </w:trPr>
        <w:tc>
          <w:tcPr>
            <w:tcW w:w="741" w:type="pct"/>
            <w:shd w:val="clear" w:color="auto" w:fill="FFF2CC"/>
          </w:tcPr>
          <w:p w14:paraId="13EF176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66217C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C37C23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4.5.2.2 Conduct a post-harvest assessment to determine the type and extent of weeds on the coupe and associated access roads in the first spring after completion of site preparation and establishment and during the stocking survey.</w:t>
            </w:r>
          </w:p>
        </w:tc>
        <w:tc>
          <w:tcPr>
            <w:tcW w:w="578" w:type="pct"/>
            <w:shd w:val="clear" w:color="auto" w:fill="FFFFFF" w:themeFill="background1"/>
          </w:tcPr>
          <w:p w14:paraId="52231219"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67A198F" w14:textId="77777777" w:rsidR="00FB1D26" w:rsidRPr="00A31BE0" w:rsidRDefault="00FB1D26" w:rsidP="00C31A7B">
            <w:pPr>
              <w:jc w:val="center"/>
              <w:rPr>
                <w:rFonts w:ascii="Jacobs Chronos" w:hAnsi="Jacobs Chronos" w:cs="Jacobs Chronos"/>
                <w:sz w:val="16"/>
                <w:szCs w:val="16"/>
              </w:rPr>
            </w:pPr>
          </w:p>
        </w:tc>
      </w:tr>
      <w:tr w:rsidR="00FB1D26" w:rsidRPr="00A31BE0" w14:paraId="4E146F60" w14:textId="77777777" w:rsidTr="00E81409">
        <w:trPr>
          <w:trHeight w:val="397"/>
        </w:trPr>
        <w:tc>
          <w:tcPr>
            <w:tcW w:w="741" w:type="pct"/>
            <w:shd w:val="clear" w:color="auto" w:fill="FFF2CC"/>
          </w:tcPr>
          <w:p w14:paraId="09347FD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E1920D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50E9C3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4.5.2.3 Where the assessments identify the timber harvesting operation has introduced weeds, prepare a weed management plan and implement a weed control program. </w:t>
            </w:r>
          </w:p>
        </w:tc>
        <w:tc>
          <w:tcPr>
            <w:tcW w:w="578" w:type="pct"/>
            <w:shd w:val="clear" w:color="auto" w:fill="FFFFFF" w:themeFill="background1"/>
          </w:tcPr>
          <w:p w14:paraId="7C8CEE2E"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59A5DFC" w14:textId="77777777" w:rsidR="00FB1D26" w:rsidRPr="00A31BE0" w:rsidRDefault="00FB1D26" w:rsidP="00C31A7B">
            <w:pPr>
              <w:jc w:val="center"/>
              <w:rPr>
                <w:rFonts w:ascii="Jacobs Chronos" w:hAnsi="Jacobs Chronos" w:cs="Jacobs Chronos"/>
                <w:sz w:val="16"/>
                <w:szCs w:val="16"/>
              </w:rPr>
            </w:pPr>
          </w:p>
        </w:tc>
      </w:tr>
      <w:tr w:rsidR="00FB1D26" w:rsidRPr="00A31BE0" w14:paraId="0E3FD3CC" w14:textId="77777777" w:rsidTr="00E81409">
        <w:trPr>
          <w:trHeight w:val="397"/>
        </w:trPr>
        <w:tc>
          <w:tcPr>
            <w:tcW w:w="741" w:type="pct"/>
            <w:shd w:val="clear" w:color="auto" w:fill="FFF2CC"/>
          </w:tcPr>
          <w:p w14:paraId="0101A61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74EAA7C"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FEF2BD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4.5.2.4 Record any areas to be treated on a map in the FCP and mark in the field as necessary prior to treatment.</w:t>
            </w:r>
          </w:p>
        </w:tc>
        <w:tc>
          <w:tcPr>
            <w:tcW w:w="578" w:type="pct"/>
            <w:shd w:val="clear" w:color="auto" w:fill="FFFFFF" w:themeFill="background1"/>
          </w:tcPr>
          <w:p w14:paraId="7572BA43"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D609BA4" w14:textId="77777777" w:rsidR="00FB1D26" w:rsidRPr="00A31BE0" w:rsidRDefault="00FB1D26" w:rsidP="00C31A7B">
            <w:pPr>
              <w:jc w:val="center"/>
              <w:rPr>
                <w:rFonts w:ascii="Jacobs Chronos" w:hAnsi="Jacobs Chronos" w:cs="Jacobs Chronos"/>
                <w:sz w:val="16"/>
                <w:szCs w:val="16"/>
              </w:rPr>
            </w:pPr>
          </w:p>
        </w:tc>
      </w:tr>
      <w:tr w:rsidR="00FB1D26" w:rsidRPr="00A31BE0" w14:paraId="02048EE4" w14:textId="77777777" w:rsidTr="00E81409">
        <w:trPr>
          <w:trHeight w:val="397"/>
        </w:trPr>
        <w:tc>
          <w:tcPr>
            <w:tcW w:w="741" w:type="pct"/>
          </w:tcPr>
          <w:p w14:paraId="41ACFE32" w14:textId="77777777" w:rsidR="00FB1D26" w:rsidRPr="00A31BE0" w:rsidRDefault="00FB1D26" w:rsidP="00E81409">
            <w:pPr>
              <w:rPr>
                <w:rFonts w:ascii="Jacobs Chronos" w:hAnsi="Jacobs Chronos" w:cs="Jacobs Chronos"/>
                <w:sz w:val="16"/>
                <w:szCs w:val="16"/>
              </w:rPr>
            </w:pPr>
          </w:p>
        </w:tc>
        <w:tc>
          <w:tcPr>
            <w:tcW w:w="392" w:type="pct"/>
          </w:tcPr>
          <w:p w14:paraId="24A089C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13.06</w:t>
            </w:r>
          </w:p>
        </w:tc>
        <w:tc>
          <w:tcPr>
            <w:tcW w:w="2767" w:type="pct"/>
          </w:tcPr>
          <w:p w14:paraId="3DD240F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Does the FCP provide evidence that a pre-harvest assessment for weeds of the coupe and roads was undertaken? </w:t>
            </w:r>
          </w:p>
        </w:tc>
        <w:tc>
          <w:tcPr>
            <w:tcW w:w="578" w:type="pct"/>
            <w:shd w:val="clear" w:color="auto" w:fill="FFFFFF" w:themeFill="background1"/>
          </w:tcPr>
          <w:p w14:paraId="4612AA2E"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551782DF"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17A85" w:rsidRPr="00A31BE0" w14:paraId="02AF691C" w14:textId="77777777" w:rsidTr="00E81409">
        <w:trPr>
          <w:trHeight w:val="397"/>
        </w:trPr>
        <w:tc>
          <w:tcPr>
            <w:tcW w:w="741" w:type="pct"/>
          </w:tcPr>
          <w:p w14:paraId="03EA6732" w14:textId="77777777" w:rsidR="00F17A85" w:rsidRPr="00A31BE0" w:rsidRDefault="00F17A85" w:rsidP="00F17A85">
            <w:pPr>
              <w:rPr>
                <w:rFonts w:ascii="Jacobs Chronos" w:hAnsi="Jacobs Chronos" w:cs="Jacobs Chronos"/>
                <w:sz w:val="16"/>
                <w:szCs w:val="16"/>
              </w:rPr>
            </w:pPr>
          </w:p>
        </w:tc>
        <w:tc>
          <w:tcPr>
            <w:tcW w:w="392" w:type="pct"/>
          </w:tcPr>
          <w:p w14:paraId="52859CA4"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13.06</w:t>
            </w:r>
          </w:p>
        </w:tc>
        <w:tc>
          <w:tcPr>
            <w:tcW w:w="2767" w:type="pct"/>
          </w:tcPr>
          <w:p w14:paraId="6AD7283E"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 xml:space="preserve">If appropriate to the life cycle of the coupe (following spring after completion of site preparation and establishment) does the FCP provide evidence that a post-harvest assessment for weeds of the coupe and roads was undertaken? </w:t>
            </w:r>
          </w:p>
        </w:tc>
        <w:tc>
          <w:tcPr>
            <w:tcW w:w="578" w:type="pct"/>
            <w:shd w:val="clear" w:color="auto" w:fill="FFFFFF" w:themeFill="background1"/>
          </w:tcPr>
          <w:p w14:paraId="5B2FB9EC"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50FC860C" w14:textId="5B8C4EFF" w:rsidR="00F17A85"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17A85" w:rsidRPr="00A31BE0" w14:paraId="5DFC4A92" w14:textId="77777777" w:rsidTr="00E81409">
        <w:trPr>
          <w:trHeight w:val="397"/>
        </w:trPr>
        <w:tc>
          <w:tcPr>
            <w:tcW w:w="741" w:type="pct"/>
          </w:tcPr>
          <w:p w14:paraId="1E5FF61F" w14:textId="77777777" w:rsidR="00F17A85" w:rsidRPr="00A31BE0" w:rsidRDefault="00F17A85" w:rsidP="00F17A85">
            <w:pPr>
              <w:rPr>
                <w:rFonts w:ascii="Jacobs Chronos" w:hAnsi="Jacobs Chronos" w:cs="Jacobs Chronos"/>
                <w:sz w:val="16"/>
                <w:szCs w:val="16"/>
              </w:rPr>
            </w:pPr>
          </w:p>
        </w:tc>
        <w:tc>
          <w:tcPr>
            <w:tcW w:w="392" w:type="pct"/>
          </w:tcPr>
          <w:p w14:paraId="6271B76A"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13.08</w:t>
            </w:r>
          </w:p>
        </w:tc>
        <w:tc>
          <w:tcPr>
            <w:tcW w:w="2767" w:type="pct"/>
          </w:tcPr>
          <w:p w14:paraId="3F96382C"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If weed surveys or auditors’ observations suggest that timber harvesting has introduced weeds to the coupe, has a weed control plan been developed and implemented?</w:t>
            </w:r>
          </w:p>
        </w:tc>
        <w:tc>
          <w:tcPr>
            <w:tcW w:w="578" w:type="pct"/>
            <w:shd w:val="clear" w:color="auto" w:fill="FFFFFF" w:themeFill="background1"/>
          </w:tcPr>
          <w:p w14:paraId="00F5C196"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6F10438C" w14:textId="30BF6893" w:rsidR="00F17A85"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17A85" w:rsidRPr="00A31BE0" w14:paraId="00437EDD" w14:textId="77777777" w:rsidTr="00E81409">
        <w:trPr>
          <w:trHeight w:val="397"/>
        </w:trPr>
        <w:tc>
          <w:tcPr>
            <w:tcW w:w="741" w:type="pct"/>
          </w:tcPr>
          <w:p w14:paraId="32C59A08" w14:textId="77777777" w:rsidR="00F17A85" w:rsidRPr="00A31BE0" w:rsidRDefault="00F17A85" w:rsidP="00F17A85">
            <w:pPr>
              <w:rPr>
                <w:rFonts w:ascii="Jacobs Chronos" w:hAnsi="Jacobs Chronos" w:cs="Jacobs Chronos"/>
                <w:sz w:val="16"/>
                <w:szCs w:val="16"/>
              </w:rPr>
            </w:pPr>
          </w:p>
        </w:tc>
        <w:tc>
          <w:tcPr>
            <w:tcW w:w="392" w:type="pct"/>
          </w:tcPr>
          <w:p w14:paraId="61B2FA53"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13.09</w:t>
            </w:r>
          </w:p>
        </w:tc>
        <w:tc>
          <w:tcPr>
            <w:tcW w:w="2767" w:type="pct"/>
          </w:tcPr>
          <w:p w14:paraId="2A3A1EB1"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Is there evidence in the FCP of any weed control plan being implemented, including mapping of areas proposed for treatment in the FCP?</w:t>
            </w:r>
          </w:p>
        </w:tc>
        <w:tc>
          <w:tcPr>
            <w:tcW w:w="578" w:type="pct"/>
            <w:shd w:val="clear" w:color="auto" w:fill="FFFFFF" w:themeFill="background1"/>
          </w:tcPr>
          <w:p w14:paraId="12B82C4B" w14:textId="77777777" w:rsidR="00F17A85" w:rsidRPr="00A31BE0" w:rsidRDefault="00F17A85" w:rsidP="00F17A85">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E87F15E" w14:textId="3A1BA45F" w:rsidR="00F17A85" w:rsidRPr="00A31BE0" w:rsidRDefault="00F17A85"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FB1D26" w:rsidRPr="00A31BE0" w14:paraId="11ABB7D3" w14:textId="77777777" w:rsidTr="00E81409">
        <w:trPr>
          <w:trHeight w:val="397"/>
        </w:trPr>
        <w:tc>
          <w:tcPr>
            <w:tcW w:w="741" w:type="pct"/>
            <w:shd w:val="clear" w:color="auto" w:fill="A9D08E"/>
          </w:tcPr>
          <w:p w14:paraId="3866A45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lastRenderedPageBreak/>
              <w:t>C</w:t>
            </w:r>
          </w:p>
        </w:tc>
        <w:tc>
          <w:tcPr>
            <w:tcW w:w="392" w:type="pct"/>
            <w:shd w:val="clear" w:color="auto" w:fill="A9D08E"/>
          </w:tcPr>
          <w:p w14:paraId="54BBCFC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441F37F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2.3 Operational planning and record keeping</w:t>
            </w:r>
          </w:p>
        </w:tc>
        <w:tc>
          <w:tcPr>
            <w:tcW w:w="578" w:type="pct"/>
            <w:shd w:val="clear" w:color="auto" w:fill="FFFFFF" w:themeFill="background1"/>
          </w:tcPr>
          <w:p w14:paraId="7CB413A4"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3626AE6" w14:textId="77777777" w:rsidR="00FB1D26" w:rsidRPr="00A31BE0" w:rsidRDefault="00FB1D26" w:rsidP="00C31A7B">
            <w:pPr>
              <w:jc w:val="center"/>
              <w:rPr>
                <w:rFonts w:ascii="Jacobs Chronos" w:hAnsi="Jacobs Chronos" w:cs="Jacobs Chronos"/>
                <w:sz w:val="16"/>
                <w:szCs w:val="16"/>
              </w:rPr>
            </w:pPr>
          </w:p>
        </w:tc>
      </w:tr>
      <w:tr w:rsidR="00FB1D26" w:rsidRPr="00A31BE0" w14:paraId="63018444" w14:textId="77777777" w:rsidTr="00E81409">
        <w:trPr>
          <w:trHeight w:val="397"/>
        </w:trPr>
        <w:tc>
          <w:tcPr>
            <w:tcW w:w="741" w:type="pct"/>
            <w:shd w:val="clear" w:color="auto" w:fill="FCE4D6"/>
          </w:tcPr>
          <w:p w14:paraId="03B7CAF6"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CF1E069"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263AF9F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2.3.1.1 All timber harvesting operations must be planned to meet the requirements of this Code and the Management Standards and Procedures.</w:t>
            </w:r>
          </w:p>
        </w:tc>
        <w:tc>
          <w:tcPr>
            <w:tcW w:w="578" w:type="pct"/>
            <w:shd w:val="clear" w:color="auto" w:fill="FFFFFF" w:themeFill="background1"/>
          </w:tcPr>
          <w:p w14:paraId="3F93EF5D"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2952A7F1" w14:textId="77777777" w:rsidR="00FB1D26" w:rsidRPr="00A31BE0" w:rsidRDefault="00FB1D26" w:rsidP="00C31A7B">
            <w:pPr>
              <w:jc w:val="center"/>
              <w:rPr>
                <w:rFonts w:ascii="Jacobs Chronos" w:hAnsi="Jacobs Chronos" w:cs="Jacobs Chronos"/>
                <w:sz w:val="16"/>
                <w:szCs w:val="16"/>
              </w:rPr>
            </w:pPr>
          </w:p>
        </w:tc>
      </w:tr>
      <w:tr w:rsidR="00FB1D26" w:rsidRPr="00A31BE0" w14:paraId="724B65EB" w14:textId="77777777" w:rsidTr="00E81409">
        <w:trPr>
          <w:trHeight w:val="397"/>
        </w:trPr>
        <w:tc>
          <w:tcPr>
            <w:tcW w:w="741" w:type="pct"/>
          </w:tcPr>
          <w:p w14:paraId="4C3C1BFD" w14:textId="77777777" w:rsidR="00FB1D26" w:rsidRPr="00A31BE0" w:rsidRDefault="00FB1D26" w:rsidP="00E81409">
            <w:pPr>
              <w:rPr>
                <w:rFonts w:ascii="Jacobs Chronos" w:hAnsi="Jacobs Chronos" w:cs="Jacobs Chronos"/>
                <w:sz w:val="16"/>
                <w:szCs w:val="16"/>
              </w:rPr>
            </w:pPr>
          </w:p>
        </w:tc>
        <w:tc>
          <w:tcPr>
            <w:tcW w:w="392" w:type="pct"/>
          </w:tcPr>
          <w:p w14:paraId="390A995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14.01</w:t>
            </w:r>
          </w:p>
        </w:tc>
        <w:tc>
          <w:tcPr>
            <w:tcW w:w="2767" w:type="pct"/>
          </w:tcPr>
          <w:p w14:paraId="66A9960A"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have timber harvesting operations been planned to meet the requirements of the Code and MSPs?</w:t>
            </w:r>
          </w:p>
        </w:tc>
        <w:tc>
          <w:tcPr>
            <w:tcW w:w="578" w:type="pct"/>
            <w:shd w:val="clear" w:color="auto" w:fill="FFFFFF" w:themeFill="background1"/>
          </w:tcPr>
          <w:p w14:paraId="12EDEC0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C83AB3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91</w:t>
            </w:r>
          </w:p>
        </w:tc>
      </w:tr>
      <w:tr w:rsidR="00FB1D26" w:rsidRPr="00A31BE0" w14:paraId="342E02DE" w14:textId="77777777" w:rsidTr="00E81409">
        <w:trPr>
          <w:trHeight w:val="397"/>
        </w:trPr>
        <w:tc>
          <w:tcPr>
            <w:tcW w:w="741" w:type="pct"/>
            <w:shd w:val="clear" w:color="auto" w:fill="FCE4D6"/>
          </w:tcPr>
          <w:p w14:paraId="5191D08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61F96ABC" w14:textId="77777777" w:rsidR="00FB1D26" w:rsidRPr="00A31BE0" w:rsidRDefault="00FB1D26" w:rsidP="00E81409">
            <w:pPr>
              <w:rPr>
                <w:rFonts w:ascii="Jacobs Chronos" w:hAnsi="Jacobs Chronos" w:cs="Jacobs Chronos"/>
                <w:sz w:val="16"/>
                <w:szCs w:val="16"/>
              </w:rPr>
            </w:pPr>
          </w:p>
        </w:tc>
        <w:tc>
          <w:tcPr>
            <w:tcW w:w="2767" w:type="pct"/>
            <w:shd w:val="clear" w:color="auto" w:fill="FCE4D6"/>
          </w:tcPr>
          <w:p w14:paraId="3880A82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2.3.1.2 A Forest Coupe Plan must: i. be prepared by the managing authority prior to the commencement of a timber harvesting operation including road construction or upgrades;  ii. communicate the intended boundaries, activities and requirements in adequate detail to enable operators to complete work to the required standard, comply with the Code and comply with the Management Standards and Procedures for the life of the coupe, and to support the Secretary in reviewing compliance; iii. be sanctioned; iv. be approved and provide evidence of the approval for timber harvesting operations occurring within SPZ or outside the area identified in an Allocation Order or licensed to the harvesting entity; v. record details of the type of timber harvesting operation; and vi. document all variations to operational requirements and sanctions (such as the removal of trees from buffers for safety purposes) until the timber harvesting coupe is approved as successfully regenerated and rehabilitated.</w:t>
            </w:r>
          </w:p>
        </w:tc>
        <w:tc>
          <w:tcPr>
            <w:tcW w:w="578" w:type="pct"/>
            <w:shd w:val="clear" w:color="auto" w:fill="FFFFFF" w:themeFill="background1"/>
          </w:tcPr>
          <w:p w14:paraId="3ABEE12A"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47D0E6AB" w14:textId="77777777" w:rsidR="00FB1D26" w:rsidRPr="00A31BE0" w:rsidRDefault="00FB1D26" w:rsidP="00C31A7B">
            <w:pPr>
              <w:jc w:val="center"/>
              <w:rPr>
                <w:rFonts w:ascii="Jacobs Chronos" w:hAnsi="Jacobs Chronos" w:cs="Jacobs Chronos"/>
                <w:sz w:val="16"/>
                <w:szCs w:val="16"/>
              </w:rPr>
            </w:pPr>
          </w:p>
        </w:tc>
      </w:tr>
      <w:tr w:rsidR="00FB1D26" w:rsidRPr="00A31BE0" w14:paraId="2414A4C5" w14:textId="77777777" w:rsidTr="00E81409">
        <w:trPr>
          <w:trHeight w:val="397"/>
        </w:trPr>
        <w:tc>
          <w:tcPr>
            <w:tcW w:w="741" w:type="pct"/>
            <w:shd w:val="clear" w:color="auto" w:fill="FFF2CC"/>
          </w:tcPr>
          <w:p w14:paraId="6430C2D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DAF4A7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8C8459F"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2.4.1.1 Forest Coupe Plans prepared for timber harvesting operations must: (a) state the net area that is planned to be harvested or tended; (b) state the start date and season during which operations are scheduled to occur; (c) identify the silvicultural systems or tending methods to be employed; (d) identify requirements for the location*, design, construction, maintenance and use of roads, and closure of temporary roads; (e) identify requirements for the design, siting*, construction, use, and rehabilitation of log landings and dumps and, where necessary, siting and rehabilitation measures for major snig tracks; (f) describe regeneration procedures to be applied; (g) identify and describe management actions for all relevant coupe values specified within the Code, these Management Standards and Procedures and the forest management zoning scheme; (h)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 (i) describe soil erosion hazard classes present within the coupe and measures employed to protect and rehabilitate soils and to maintain water quality and river health. </w:t>
            </w:r>
          </w:p>
        </w:tc>
        <w:tc>
          <w:tcPr>
            <w:tcW w:w="578" w:type="pct"/>
            <w:shd w:val="clear" w:color="auto" w:fill="FFFFFF" w:themeFill="background1"/>
          </w:tcPr>
          <w:p w14:paraId="0623937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1DDC361C" w14:textId="77777777" w:rsidR="00FB1D26" w:rsidRPr="00A31BE0" w:rsidRDefault="00FB1D26" w:rsidP="00C31A7B">
            <w:pPr>
              <w:jc w:val="center"/>
              <w:rPr>
                <w:rFonts w:ascii="Jacobs Chronos" w:hAnsi="Jacobs Chronos" w:cs="Jacobs Chronos"/>
                <w:sz w:val="16"/>
                <w:szCs w:val="16"/>
              </w:rPr>
            </w:pPr>
          </w:p>
        </w:tc>
      </w:tr>
      <w:tr w:rsidR="00FB1D26" w:rsidRPr="00A31BE0" w14:paraId="0BDC87BB" w14:textId="77777777" w:rsidTr="00E81409">
        <w:trPr>
          <w:trHeight w:val="397"/>
        </w:trPr>
        <w:tc>
          <w:tcPr>
            <w:tcW w:w="741" w:type="pct"/>
            <w:shd w:val="clear" w:color="auto" w:fill="FFF2CC"/>
          </w:tcPr>
          <w:p w14:paraId="4701CFD0"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B8E4BE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D01F778"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2.4.1.2 Forest Coupe Plans must include a map which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 </w:t>
            </w:r>
          </w:p>
        </w:tc>
        <w:tc>
          <w:tcPr>
            <w:tcW w:w="578" w:type="pct"/>
            <w:shd w:val="clear" w:color="auto" w:fill="FFFFFF" w:themeFill="background1"/>
          </w:tcPr>
          <w:p w14:paraId="1F7F6C52" w14:textId="77777777" w:rsidR="00FB1D26" w:rsidRPr="00A31BE0" w:rsidRDefault="00FB1D26" w:rsidP="00E81409">
            <w:pPr>
              <w:rPr>
                <w:rFonts w:ascii="Jacobs Chronos" w:hAnsi="Jacobs Chronos" w:cs="Jacobs Chronos"/>
                <w:sz w:val="16"/>
                <w:szCs w:val="16"/>
              </w:rPr>
            </w:pPr>
          </w:p>
        </w:tc>
        <w:tc>
          <w:tcPr>
            <w:tcW w:w="522" w:type="pct"/>
            <w:shd w:val="clear" w:color="auto" w:fill="FFFFFF" w:themeFill="background1"/>
          </w:tcPr>
          <w:p w14:paraId="766B4254" w14:textId="77777777" w:rsidR="00FB1D26" w:rsidRPr="00A31BE0" w:rsidRDefault="00FB1D26" w:rsidP="00C31A7B">
            <w:pPr>
              <w:jc w:val="center"/>
              <w:rPr>
                <w:rFonts w:ascii="Jacobs Chronos" w:hAnsi="Jacobs Chronos" w:cs="Jacobs Chronos"/>
                <w:sz w:val="16"/>
                <w:szCs w:val="16"/>
              </w:rPr>
            </w:pPr>
          </w:p>
        </w:tc>
      </w:tr>
      <w:tr w:rsidR="00FB1D26" w:rsidRPr="00A31BE0" w14:paraId="7036DA95" w14:textId="77777777" w:rsidTr="00E81409">
        <w:trPr>
          <w:trHeight w:val="397"/>
        </w:trPr>
        <w:tc>
          <w:tcPr>
            <w:tcW w:w="741" w:type="pct"/>
          </w:tcPr>
          <w:p w14:paraId="264FC41D" w14:textId="77777777" w:rsidR="00FB1D26" w:rsidRPr="00A31BE0" w:rsidRDefault="00FB1D26" w:rsidP="00E81409">
            <w:pPr>
              <w:rPr>
                <w:rFonts w:ascii="Jacobs Chronos" w:hAnsi="Jacobs Chronos" w:cs="Jacobs Chronos"/>
                <w:sz w:val="16"/>
                <w:szCs w:val="16"/>
              </w:rPr>
            </w:pPr>
          </w:p>
        </w:tc>
        <w:tc>
          <w:tcPr>
            <w:tcW w:w="392" w:type="pct"/>
          </w:tcPr>
          <w:p w14:paraId="5D234255"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14.02</w:t>
            </w:r>
          </w:p>
        </w:tc>
        <w:tc>
          <w:tcPr>
            <w:tcW w:w="2767" w:type="pct"/>
          </w:tcPr>
          <w:p w14:paraId="2CB4A0C1"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ITAO, does the FCP adequately communicate the intended boundaries, activities and requirements in adequate detail to enable operators to complete work to the required standard, comply with the Code and MSPs for the life of the coupe, and to support the Secretary in reviewing compliance</w:t>
            </w:r>
          </w:p>
        </w:tc>
        <w:tc>
          <w:tcPr>
            <w:tcW w:w="578" w:type="pct"/>
            <w:shd w:val="clear" w:color="auto" w:fill="FFFFFF" w:themeFill="background1"/>
          </w:tcPr>
          <w:p w14:paraId="2887D8D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E9689F1"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5FD55D38" w14:textId="77777777" w:rsidTr="00E81409">
        <w:trPr>
          <w:trHeight w:val="397"/>
        </w:trPr>
        <w:tc>
          <w:tcPr>
            <w:tcW w:w="741" w:type="pct"/>
          </w:tcPr>
          <w:p w14:paraId="036C8609" w14:textId="77777777" w:rsidR="00FB1D26" w:rsidRPr="00A31BE0" w:rsidRDefault="00FB1D26" w:rsidP="00E81409">
            <w:pPr>
              <w:rPr>
                <w:rFonts w:ascii="Jacobs Chronos" w:hAnsi="Jacobs Chronos" w:cs="Jacobs Chronos"/>
                <w:sz w:val="16"/>
                <w:szCs w:val="16"/>
              </w:rPr>
            </w:pPr>
          </w:p>
        </w:tc>
        <w:tc>
          <w:tcPr>
            <w:tcW w:w="392" w:type="pct"/>
          </w:tcPr>
          <w:p w14:paraId="755EBD24"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14.03</w:t>
            </w:r>
          </w:p>
        </w:tc>
        <w:tc>
          <w:tcPr>
            <w:tcW w:w="2767" w:type="pct"/>
          </w:tcPr>
          <w:p w14:paraId="4E8AFEEB"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Has the FCP been sanctioned prior to the commencement of harvesting?</w:t>
            </w:r>
          </w:p>
        </w:tc>
        <w:tc>
          <w:tcPr>
            <w:tcW w:w="578" w:type="pct"/>
            <w:shd w:val="clear" w:color="auto" w:fill="FFFFFF" w:themeFill="background1"/>
          </w:tcPr>
          <w:p w14:paraId="45626C7D"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6BE8DF8F"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FB1D26" w:rsidRPr="00A31BE0" w14:paraId="35B45EE0" w14:textId="77777777" w:rsidTr="00E81409">
        <w:trPr>
          <w:trHeight w:val="397"/>
        </w:trPr>
        <w:tc>
          <w:tcPr>
            <w:tcW w:w="741" w:type="pct"/>
          </w:tcPr>
          <w:p w14:paraId="17661951" w14:textId="77777777" w:rsidR="00FB1D26" w:rsidRPr="00A31BE0" w:rsidRDefault="00FB1D26" w:rsidP="00E81409">
            <w:pPr>
              <w:rPr>
                <w:rFonts w:ascii="Jacobs Chronos" w:hAnsi="Jacobs Chronos" w:cs="Jacobs Chronos"/>
                <w:sz w:val="16"/>
                <w:szCs w:val="16"/>
              </w:rPr>
            </w:pPr>
          </w:p>
        </w:tc>
        <w:tc>
          <w:tcPr>
            <w:tcW w:w="392" w:type="pct"/>
          </w:tcPr>
          <w:p w14:paraId="42E60873"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14.04</w:t>
            </w:r>
          </w:p>
        </w:tc>
        <w:tc>
          <w:tcPr>
            <w:tcW w:w="2767" w:type="pct"/>
          </w:tcPr>
          <w:p w14:paraId="0DDEFD52"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 xml:space="preserve">If timber harvesting activities have been carried out in an SPZ or outside the area designated in the AO, is there evidence that this has been approved prior to the activity occurring? </w:t>
            </w:r>
          </w:p>
        </w:tc>
        <w:tc>
          <w:tcPr>
            <w:tcW w:w="578" w:type="pct"/>
            <w:shd w:val="clear" w:color="auto" w:fill="FFFFFF" w:themeFill="background1"/>
          </w:tcPr>
          <w:p w14:paraId="3EA8E897" w14:textId="77777777" w:rsidR="00FB1D26" w:rsidRPr="00A31BE0" w:rsidRDefault="00FB1D26" w:rsidP="00E8140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0EFAC5D" w14:textId="77777777" w:rsidR="00FB1D26" w:rsidRPr="00A31BE0" w:rsidRDefault="00FB1D26" w:rsidP="00C31A7B">
            <w:pPr>
              <w:jc w:val="center"/>
              <w:rPr>
                <w:rFonts w:ascii="Jacobs Chronos" w:hAnsi="Jacobs Chronos" w:cs="Jacobs Chronos"/>
                <w:sz w:val="16"/>
                <w:szCs w:val="16"/>
              </w:rPr>
            </w:pPr>
            <w:r w:rsidRPr="00A31BE0">
              <w:rPr>
                <w:rFonts w:ascii="Jacobs Chronos" w:hAnsi="Jacobs Chronos" w:cs="Jacobs Chronos"/>
                <w:sz w:val="16"/>
                <w:szCs w:val="16"/>
              </w:rPr>
              <w:t>83</w:t>
            </w:r>
          </w:p>
        </w:tc>
      </w:tr>
      <w:tr w:rsidR="00067079" w:rsidRPr="00A31BE0" w14:paraId="1570C8ED" w14:textId="77777777" w:rsidTr="00E81409">
        <w:trPr>
          <w:trHeight w:val="397"/>
        </w:trPr>
        <w:tc>
          <w:tcPr>
            <w:tcW w:w="741" w:type="pct"/>
          </w:tcPr>
          <w:p w14:paraId="63A89136" w14:textId="77777777" w:rsidR="00067079" w:rsidRPr="00A31BE0" w:rsidRDefault="00067079" w:rsidP="00067079">
            <w:pPr>
              <w:rPr>
                <w:rFonts w:ascii="Jacobs Chronos" w:hAnsi="Jacobs Chronos" w:cs="Jacobs Chronos"/>
                <w:sz w:val="16"/>
                <w:szCs w:val="16"/>
              </w:rPr>
            </w:pPr>
          </w:p>
        </w:tc>
        <w:tc>
          <w:tcPr>
            <w:tcW w:w="392" w:type="pct"/>
          </w:tcPr>
          <w:p w14:paraId="54D7BCA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14.05</w:t>
            </w:r>
          </w:p>
        </w:tc>
        <w:tc>
          <w:tcPr>
            <w:tcW w:w="2767" w:type="pct"/>
          </w:tcPr>
          <w:p w14:paraId="736D2C0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document all variations to operational requirements and sanctions (such as the removal of trees from buffers for safety purposes) until the timber harvesting coupe is approved as successfully regenerated and rehabilitated?</w:t>
            </w:r>
          </w:p>
        </w:tc>
        <w:tc>
          <w:tcPr>
            <w:tcW w:w="578" w:type="pct"/>
            <w:shd w:val="clear" w:color="auto" w:fill="FFFFFF" w:themeFill="background1"/>
          </w:tcPr>
          <w:p w14:paraId="3E4009A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39BFFD9A" w14:textId="4F25A053"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3112BF10" w14:textId="77777777" w:rsidTr="00E81409">
        <w:trPr>
          <w:trHeight w:val="397"/>
        </w:trPr>
        <w:tc>
          <w:tcPr>
            <w:tcW w:w="741" w:type="pct"/>
          </w:tcPr>
          <w:p w14:paraId="22D8E69E" w14:textId="77777777" w:rsidR="00067079" w:rsidRPr="00A31BE0" w:rsidRDefault="00067079" w:rsidP="00067079">
            <w:pPr>
              <w:rPr>
                <w:rFonts w:ascii="Jacobs Chronos" w:hAnsi="Jacobs Chronos" w:cs="Jacobs Chronos"/>
                <w:sz w:val="16"/>
                <w:szCs w:val="16"/>
              </w:rPr>
            </w:pPr>
          </w:p>
        </w:tc>
        <w:tc>
          <w:tcPr>
            <w:tcW w:w="392" w:type="pct"/>
          </w:tcPr>
          <w:p w14:paraId="76140FE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14.06</w:t>
            </w:r>
          </w:p>
        </w:tc>
        <w:tc>
          <w:tcPr>
            <w:tcW w:w="2767" w:type="pct"/>
          </w:tcPr>
          <w:p w14:paraId="7AB3800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state the net area that is planned to be harvested or tended?</w:t>
            </w:r>
          </w:p>
        </w:tc>
        <w:tc>
          <w:tcPr>
            <w:tcW w:w="578" w:type="pct"/>
            <w:shd w:val="clear" w:color="auto" w:fill="FFFFFF" w:themeFill="background1"/>
          </w:tcPr>
          <w:p w14:paraId="5342E4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848EF57"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66FCB25" w14:textId="77777777" w:rsidTr="00E81409">
        <w:trPr>
          <w:trHeight w:val="397"/>
        </w:trPr>
        <w:tc>
          <w:tcPr>
            <w:tcW w:w="741" w:type="pct"/>
          </w:tcPr>
          <w:p w14:paraId="37389637" w14:textId="77777777" w:rsidR="00067079" w:rsidRPr="00A31BE0" w:rsidRDefault="00067079" w:rsidP="00067079">
            <w:pPr>
              <w:rPr>
                <w:rFonts w:ascii="Jacobs Chronos" w:hAnsi="Jacobs Chronos" w:cs="Jacobs Chronos"/>
                <w:sz w:val="16"/>
                <w:szCs w:val="16"/>
              </w:rPr>
            </w:pPr>
          </w:p>
        </w:tc>
        <w:tc>
          <w:tcPr>
            <w:tcW w:w="392" w:type="pct"/>
          </w:tcPr>
          <w:p w14:paraId="10E787D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14.07</w:t>
            </w:r>
          </w:p>
        </w:tc>
        <w:tc>
          <w:tcPr>
            <w:tcW w:w="2767" w:type="pct"/>
          </w:tcPr>
          <w:p w14:paraId="1D51E32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state the start date and season during which operations are scheduled to occur</w:t>
            </w:r>
          </w:p>
        </w:tc>
        <w:tc>
          <w:tcPr>
            <w:tcW w:w="578" w:type="pct"/>
            <w:shd w:val="clear" w:color="auto" w:fill="FFFFFF" w:themeFill="background1"/>
          </w:tcPr>
          <w:p w14:paraId="6983DF3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0316A2CA"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1E9360D" w14:textId="77777777" w:rsidTr="00E81409">
        <w:trPr>
          <w:trHeight w:val="397"/>
        </w:trPr>
        <w:tc>
          <w:tcPr>
            <w:tcW w:w="741" w:type="pct"/>
          </w:tcPr>
          <w:p w14:paraId="59D100EA" w14:textId="77777777" w:rsidR="00067079" w:rsidRPr="00A31BE0" w:rsidRDefault="00067079" w:rsidP="00067079">
            <w:pPr>
              <w:rPr>
                <w:rFonts w:ascii="Jacobs Chronos" w:hAnsi="Jacobs Chronos" w:cs="Jacobs Chronos"/>
                <w:sz w:val="16"/>
                <w:szCs w:val="16"/>
              </w:rPr>
            </w:pPr>
          </w:p>
        </w:tc>
        <w:tc>
          <w:tcPr>
            <w:tcW w:w="392" w:type="pct"/>
          </w:tcPr>
          <w:p w14:paraId="421D03E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14.08</w:t>
            </w:r>
          </w:p>
        </w:tc>
        <w:tc>
          <w:tcPr>
            <w:tcW w:w="2767" w:type="pct"/>
          </w:tcPr>
          <w:p w14:paraId="6E2A6D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identify the silvicultural systems or tending methods to be employed?</w:t>
            </w:r>
          </w:p>
        </w:tc>
        <w:tc>
          <w:tcPr>
            <w:tcW w:w="578" w:type="pct"/>
            <w:shd w:val="clear" w:color="auto" w:fill="FFFFFF" w:themeFill="background1"/>
          </w:tcPr>
          <w:p w14:paraId="6CB04DB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2A2FDA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CEA544B" w14:textId="77777777" w:rsidTr="00E81409">
        <w:trPr>
          <w:trHeight w:val="397"/>
        </w:trPr>
        <w:tc>
          <w:tcPr>
            <w:tcW w:w="741" w:type="pct"/>
          </w:tcPr>
          <w:p w14:paraId="6ACB5069" w14:textId="77777777" w:rsidR="00067079" w:rsidRPr="00A31BE0" w:rsidRDefault="00067079" w:rsidP="00067079">
            <w:pPr>
              <w:rPr>
                <w:rFonts w:ascii="Jacobs Chronos" w:hAnsi="Jacobs Chronos" w:cs="Jacobs Chronos"/>
                <w:sz w:val="16"/>
                <w:szCs w:val="16"/>
              </w:rPr>
            </w:pPr>
          </w:p>
        </w:tc>
        <w:tc>
          <w:tcPr>
            <w:tcW w:w="392" w:type="pct"/>
          </w:tcPr>
          <w:p w14:paraId="14D8B52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14.09</w:t>
            </w:r>
          </w:p>
        </w:tc>
        <w:tc>
          <w:tcPr>
            <w:tcW w:w="2767" w:type="pct"/>
          </w:tcPr>
          <w:p w14:paraId="58A9431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identify requirements for the location*, design, construction, maintenance and use of roads, and closure of temporary roads?</w:t>
            </w:r>
          </w:p>
        </w:tc>
        <w:tc>
          <w:tcPr>
            <w:tcW w:w="578" w:type="pct"/>
            <w:shd w:val="clear" w:color="auto" w:fill="FFFFFF" w:themeFill="background1"/>
          </w:tcPr>
          <w:p w14:paraId="707FF1F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7719EE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3430772" w14:textId="77777777" w:rsidTr="00E81409">
        <w:trPr>
          <w:trHeight w:val="397"/>
        </w:trPr>
        <w:tc>
          <w:tcPr>
            <w:tcW w:w="741" w:type="pct"/>
          </w:tcPr>
          <w:p w14:paraId="24B0A0A2" w14:textId="77777777" w:rsidR="00067079" w:rsidRPr="00A31BE0" w:rsidRDefault="00067079" w:rsidP="00067079">
            <w:pPr>
              <w:rPr>
                <w:rFonts w:ascii="Jacobs Chronos" w:hAnsi="Jacobs Chronos" w:cs="Jacobs Chronos"/>
                <w:sz w:val="16"/>
                <w:szCs w:val="16"/>
              </w:rPr>
            </w:pPr>
          </w:p>
        </w:tc>
        <w:tc>
          <w:tcPr>
            <w:tcW w:w="392" w:type="pct"/>
          </w:tcPr>
          <w:p w14:paraId="270F231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14.10</w:t>
            </w:r>
          </w:p>
        </w:tc>
        <w:tc>
          <w:tcPr>
            <w:tcW w:w="2767" w:type="pct"/>
          </w:tcPr>
          <w:p w14:paraId="0AC22B0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identify requirements for the design, siting*, construction, use, and rehabilitation of log landings and dumps and, where necessary, siting and rehabilitation measures for major snig tracks?</w:t>
            </w:r>
          </w:p>
        </w:tc>
        <w:tc>
          <w:tcPr>
            <w:tcW w:w="578" w:type="pct"/>
            <w:shd w:val="clear" w:color="auto" w:fill="FFFFFF" w:themeFill="background1"/>
          </w:tcPr>
          <w:p w14:paraId="55FAA20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0B2706F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A17A894" w14:textId="77777777" w:rsidTr="00E81409">
        <w:trPr>
          <w:trHeight w:val="397"/>
        </w:trPr>
        <w:tc>
          <w:tcPr>
            <w:tcW w:w="741" w:type="pct"/>
          </w:tcPr>
          <w:p w14:paraId="6D8198D2" w14:textId="77777777" w:rsidR="00067079" w:rsidRPr="00A31BE0" w:rsidRDefault="00067079" w:rsidP="00067079">
            <w:pPr>
              <w:rPr>
                <w:rFonts w:ascii="Jacobs Chronos" w:hAnsi="Jacobs Chronos" w:cs="Jacobs Chronos"/>
                <w:sz w:val="16"/>
                <w:szCs w:val="16"/>
              </w:rPr>
            </w:pPr>
          </w:p>
        </w:tc>
        <w:tc>
          <w:tcPr>
            <w:tcW w:w="392" w:type="pct"/>
          </w:tcPr>
          <w:p w14:paraId="1FD0AC9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14.11</w:t>
            </w:r>
          </w:p>
        </w:tc>
        <w:tc>
          <w:tcPr>
            <w:tcW w:w="2767" w:type="pct"/>
          </w:tcPr>
          <w:p w14:paraId="237A2A3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describe regeneration procedures to be applied?</w:t>
            </w:r>
          </w:p>
        </w:tc>
        <w:tc>
          <w:tcPr>
            <w:tcW w:w="578" w:type="pct"/>
            <w:shd w:val="clear" w:color="auto" w:fill="FFFFFF" w:themeFill="background1"/>
          </w:tcPr>
          <w:p w14:paraId="20B3835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21C33D6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B0100C0" w14:textId="77777777" w:rsidTr="00E81409">
        <w:trPr>
          <w:trHeight w:val="397"/>
        </w:trPr>
        <w:tc>
          <w:tcPr>
            <w:tcW w:w="741" w:type="pct"/>
          </w:tcPr>
          <w:p w14:paraId="58AB21E3" w14:textId="77777777" w:rsidR="00067079" w:rsidRPr="00A31BE0" w:rsidRDefault="00067079" w:rsidP="00067079">
            <w:pPr>
              <w:rPr>
                <w:rFonts w:ascii="Jacobs Chronos" w:hAnsi="Jacobs Chronos" w:cs="Jacobs Chronos"/>
                <w:sz w:val="16"/>
                <w:szCs w:val="16"/>
              </w:rPr>
            </w:pPr>
          </w:p>
        </w:tc>
        <w:tc>
          <w:tcPr>
            <w:tcW w:w="392" w:type="pct"/>
          </w:tcPr>
          <w:p w14:paraId="383FDF6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14.12</w:t>
            </w:r>
          </w:p>
        </w:tc>
        <w:tc>
          <w:tcPr>
            <w:tcW w:w="2767" w:type="pct"/>
          </w:tcPr>
          <w:p w14:paraId="056B29E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identify and describe management actions for all relevant coupe values specified within the Code and MSPs and the forest management zoning scheme</w:t>
            </w:r>
          </w:p>
        </w:tc>
        <w:tc>
          <w:tcPr>
            <w:tcW w:w="578" w:type="pct"/>
            <w:shd w:val="clear" w:color="auto" w:fill="FFFFFF" w:themeFill="background1"/>
          </w:tcPr>
          <w:p w14:paraId="7B33131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170AF46"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33D26A3A" w14:textId="77777777" w:rsidTr="00E81409">
        <w:trPr>
          <w:trHeight w:val="397"/>
        </w:trPr>
        <w:tc>
          <w:tcPr>
            <w:tcW w:w="741" w:type="pct"/>
          </w:tcPr>
          <w:p w14:paraId="40868404" w14:textId="77777777" w:rsidR="00067079" w:rsidRPr="00A31BE0" w:rsidRDefault="00067079" w:rsidP="00067079">
            <w:pPr>
              <w:rPr>
                <w:rFonts w:ascii="Jacobs Chronos" w:hAnsi="Jacobs Chronos" w:cs="Jacobs Chronos"/>
                <w:sz w:val="16"/>
                <w:szCs w:val="16"/>
              </w:rPr>
            </w:pPr>
          </w:p>
        </w:tc>
        <w:tc>
          <w:tcPr>
            <w:tcW w:w="392" w:type="pct"/>
          </w:tcPr>
          <w:p w14:paraId="0383652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14.13</w:t>
            </w:r>
          </w:p>
        </w:tc>
        <w:tc>
          <w:tcPr>
            <w:tcW w:w="2767" w:type="pct"/>
          </w:tcPr>
          <w:p w14:paraId="62CB1DA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w:t>
            </w:r>
          </w:p>
        </w:tc>
        <w:tc>
          <w:tcPr>
            <w:tcW w:w="578" w:type="pct"/>
            <w:shd w:val="clear" w:color="auto" w:fill="FFFFFF" w:themeFill="background1"/>
          </w:tcPr>
          <w:p w14:paraId="253E06E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579CC22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94BC46C" w14:textId="77777777" w:rsidTr="00E81409">
        <w:trPr>
          <w:trHeight w:val="397"/>
        </w:trPr>
        <w:tc>
          <w:tcPr>
            <w:tcW w:w="741" w:type="pct"/>
          </w:tcPr>
          <w:p w14:paraId="2A421527" w14:textId="77777777" w:rsidR="00067079" w:rsidRPr="00A31BE0" w:rsidRDefault="00067079" w:rsidP="00067079">
            <w:pPr>
              <w:rPr>
                <w:rFonts w:ascii="Jacobs Chronos" w:hAnsi="Jacobs Chronos" w:cs="Jacobs Chronos"/>
                <w:sz w:val="16"/>
                <w:szCs w:val="16"/>
              </w:rPr>
            </w:pPr>
          </w:p>
        </w:tc>
        <w:tc>
          <w:tcPr>
            <w:tcW w:w="392" w:type="pct"/>
          </w:tcPr>
          <w:p w14:paraId="44324A1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14.14</w:t>
            </w:r>
          </w:p>
        </w:tc>
        <w:tc>
          <w:tcPr>
            <w:tcW w:w="2767" w:type="pct"/>
          </w:tcPr>
          <w:p w14:paraId="585134C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describe soil erosion hazard classes present within the coupe and measures employed to protect and rehabilitate soils and to maintain water quality and river health?</w:t>
            </w:r>
          </w:p>
        </w:tc>
        <w:tc>
          <w:tcPr>
            <w:tcW w:w="578" w:type="pct"/>
            <w:shd w:val="clear" w:color="auto" w:fill="FFFFFF" w:themeFill="background1"/>
          </w:tcPr>
          <w:p w14:paraId="3E62FA7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62F2282"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863DCEE" w14:textId="77777777" w:rsidTr="00E81409">
        <w:trPr>
          <w:trHeight w:val="397"/>
        </w:trPr>
        <w:tc>
          <w:tcPr>
            <w:tcW w:w="741" w:type="pct"/>
          </w:tcPr>
          <w:p w14:paraId="3ABB2BFE" w14:textId="77777777" w:rsidR="00067079" w:rsidRPr="00A31BE0" w:rsidRDefault="00067079" w:rsidP="00067079">
            <w:pPr>
              <w:rPr>
                <w:rFonts w:ascii="Jacobs Chronos" w:hAnsi="Jacobs Chronos" w:cs="Jacobs Chronos"/>
                <w:sz w:val="16"/>
                <w:szCs w:val="16"/>
              </w:rPr>
            </w:pPr>
          </w:p>
        </w:tc>
        <w:tc>
          <w:tcPr>
            <w:tcW w:w="392" w:type="pct"/>
          </w:tcPr>
          <w:p w14:paraId="3993711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14.15</w:t>
            </w:r>
          </w:p>
        </w:tc>
        <w:tc>
          <w:tcPr>
            <w:tcW w:w="2767" w:type="pct"/>
          </w:tcPr>
          <w:p w14:paraId="686538B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include a map(s) that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578" w:type="pct"/>
            <w:shd w:val="clear" w:color="auto" w:fill="FFFFFF" w:themeFill="background1"/>
          </w:tcPr>
          <w:p w14:paraId="0E3DD6B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564001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2EEF993" w14:textId="77777777" w:rsidTr="00E81409">
        <w:trPr>
          <w:trHeight w:val="397"/>
        </w:trPr>
        <w:tc>
          <w:tcPr>
            <w:tcW w:w="741" w:type="pct"/>
            <w:shd w:val="clear" w:color="auto" w:fill="FCE4D6"/>
          </w:tcPr>
          <w:p w14:paraId="4A1F4C0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DB4CA3D"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0BBF5F4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2.3.1.3 Coupes associated with roading, must be approved with adequate time to construct the required standard of access without compromising safety, water quality and other values.</w:t>
            </w:r>
          </w:p>
        </w:tc>
        <w:tc>
          <w:tcPr>
            <w:tcW w:w="578" w:type="pct"/>
            <w:shd w:val="clear" w:color="auto" w:fill="FFFFFF" w:themeFill="background1"/>
          </w:tcPr>
          <w:p w14:paraId="47B5F2F7"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A36C9F8" w14:textId="77777777" w:rsidR="00067079" w:rsidRPr="00A31BE0" w:rsidRDefault="00067079" w:rsidP="00C31A7B">
            <w:pPr>
              <w:jc w:val="center"/>
              <w:rPr>
                <w:rFonts w:ascii="Jacobs Chronos" w:hAnsi="Jacobs Chronos" w:cs="Jacobs Chronos"/>
                <w:sz w:val="16"/>
                <w:szCs w:val="16"/>
              </w:rPr>
            </w:pPr>
          </w:p>
        </w:tc>
      </w:tr>
      <w:tr w:rsidR="00067079" w:rsidRPr="00A31BE0" w14:paraId="44FA37FF" w14:textId="77777777" w:rsidTr="00E81409">
        <w:trPr>
          <w:trHeight w:val="397"/>
        </w:trPr>
        <w:tc>
          <w:tcPr>
            <w:tcW w:w="741" w:type="pct"/>
          </w:tcPr>
          <w:p w14:paraId="74E94501" w14:textId="77777777" w:rsidR="00067079" w:rsidRPr="00A31BE0" w:rsidRDefault="00067079" w:rsidP="00067079">
            <w:pPr>
              <w:rPr>
                <w:rFonts w:ascii="Jacobs Chronos" w:hAnsi="Jacobs Chronos" w:cs="Jacobs Chronos"/>
                <w:sz w:val="16"/>
                <w:szCs w:val="16"/>
              </w:rPr>
            </w:pPr>
          </w:p>
        </w:tc>
        <w:tc>
          <w:tcPr>
            <w:tcW w:w="392" w:type="pct"/>
          </w:tcPr>
          <w:p w14:paraId="340937F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14.16</w:t>
            </w:r>
          </w:p>
        </w:tc>
        <w:tc>
          <w:tcPr>
            <w:tcW w:w="2767" w:type="pct"/>
          </w:tcPr>
          <w:p w14:paraId="60B3E6B3" w14:textId="35745C9E"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roading coupe, has coupe planning been approved (ITAO) with adequate time to construct the required standard of access without compromising safety, water quality and other values?</w:t>
            </w:r>
          </w:p>
        </w:tc>
        <w:tc>
          <w:tcPr>
            <w:tcW w:w="578" w:type="pct"/>
            <w:shd w:val="clear" w:color="auto" w:fill="FFFFFF" w:themeFill="background1"/>
          </w:tcPr>
          <w:p w14:paraId="70A64C2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36C52A72" w14:textId="465C6181"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34E6E926" w14:textId="77777777" w:rsidTr="00C31A7B">
        <w:trPr>
          <w:trHeight w:val="397"/>
        </w:trPr>
        <w:tc>
          <w:tcPr>
            <w:tcW w:w="741" w:type="pct"/>
            <w:shd w:val="clear" w:color="auto" w:fill="CEEAB0"/>
          </w:tcPr>
          <w:p w14:paraId="4E4310A5" w14:textId="77777777" w:rsidR="00067079" w:rsidRPr="00A31BE0" w:rsidRDefault="00067079" w:rsidP="00067079">
            <w:pPr>
              <w:rPr>
                <w:rFonts w:ascii="Jacobs Chronos" w:hAnsi="Jacobs Chronos" w:cs="Jacobs Chronos"/>
                <w:sz w:val="16"/>
                <w:szCs w:val="16"/>
              </w:rPr>
            </w:pPr>
          </w:p>
        </w:tc>
        <w:tc>
          <w:tcPr>
            <w:tcW w:w="392" w:type="pct"/>
            <w:shd w:val="clear" w:color="auto" w:fill="CEEAB0"/>
          </w:tcPr>
          <w:p w14:paraId="7DE27011" w14:textId="77777777" w:rsidR="00067079" w:rsidRPr="00A31BE0" w:rsidRDefault="00067079" w:rsidP="00067079">
            <w:pPr>
              <w:rPr>
                <w:rFonts w:ascii="Jacobs Chronos" w:hAnsi="Jacobs Chronos" w:cs="Jacobs Chronos"/>
                <w:sz w:val="16"/>
                <w:szCs w:val="16"/>
              </w:rPr>
            </w:pPr>
          </w:p>
        </w:tc>
        <w:tc>
          <w:tcPr>
            <w:tcW w:w="2767" w:type="pct"/>
            <w:shd w:val="clear" w:color="auto" w:fill="CEEAB0"/>
          </w:tcPr>
          <w:p w14:paraId="72F22C1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Fire salvage harvesting</w:t>
            </w:r>
          </w:p>
        </w:tc>
        <w:tc>
          <w:tcPr>
            <w:tcW w:w="578" w:type="pct"/>
            <w:shd w:val="clear" w:color="auto" w:fill="CEEAB0"/>
          </w:tcPr>
          <w:p w14:paraId="4F936320" w14:textId="77777777" w:rsidR="00067079" w:rsidRPr="00A31BE0" w:rsidRDefault="00067079" w:rsidP="00067079">
            <w:pPr>
              <w:rPr>
                <w:rFonts w:ascii="Jacobs Chronos" w:hAnsi="Jacobs Chronos" w:cs="Jacobs Chronos"/>
                <w:sz w:val="16"/>
                <w:szCs w:val="16"/>
              </w:rPr>
            </w:pPr>
          </w:p>
        </w:tc>
        <w:tc>
          <w:tcPr>
            <w:tcW w:w="522" w:type="pct"/>
            <w:shd w:val="clear" w:color="auto" w:fill="CEEAB0"/>
          </w:tcPr>
          <w:p w14:paraId="644E8F93" w14:textId="77777777" w:rsidR="00067079" w:rsidRPr="00A31BE0" w:rsidRDefault="00067079" w:rsidP="00C31A7B">
            <w:pPr>
              <w:jc w:val="center"/>
              <w:rPr>
                <w:rFonts w:ascii="Jacobs Chronos" w:hAnsi="Jacobs Chronos" w:cs="Jacobs Chronos"/>
                <w:sz w:val="16"/>
                <w:szCs w:val="16"/>
              </w:rPr>
            </w:pPr>
          </w:p>
        </w:tc>
      </w:tr>
      <w:tr w:rsidR="00371181" w:rsidRPr="00A31BE0" w14:paraId="32A38D65" w14:textId="77777777" w:rsidTr="00371181">
        <w:trPr>
          <w:trHeight w:val="397"/>
        </w:trPr>
        <w:tc>
          <w:tcPr>
            <w:tcW w:w="3900" w:type="pct"/>
            <w:gridSpan w:val="3"/>
          </w:tcPr>
          <w:p w14:paraId="23C53963" w14:textId="2EFC6CBE" w:rsidR="00371181" w:rsidRPr="00A31BE0" w:rsidRDefault="00371181" w:rsidP="00067079">
            <w:pPr>
              <w:rPr>
                <w:rFonts w:ascii="Jacobs Chronos" w:hAnsi="Jacobs Chronos" w:cs="Jacobs Chronos"/>
                <w:sz w:val="16"/>
                <w:szCs w:val="16"/>
              </w:rPr>
            </w:pPr>
            <w:r w:rsidRPr="00A31BE0">
              <w:rPr>
                <w:rFonts w:ascii="Jacobs Chronos" w:hAnsi="Jacobs Chronos" w:cs="Jacobs Chronos"/>
                <w:sz w:val="16"/>
                <w:szCs w:val="16"/>
              </w:rPr>
              <w:t>Note that as per MSP 8.1.1.1, fire salvage prescriptions apply till the beginning of the third winter following the wildfire, except where otherwise indicated.</w:t>
            </w:r>
          </w:p>
        </w:tc>
        <w:tc>
          <w:tcPr>
            <w:tcW w:w="578" w:type="pct"/>
            <w:shd w:val="clear" w:color="auto" w:fill="FFFFFF" w:themeFill="background1"/>
          </w:tcPr>
          <w:p w14:paraId="60373F43" w14:textId="77777777" w:rsidR="00371181" w:rsidRPr="00A31BE0" w:rsidRDefault="00371181" w:rsidP="00067079">
            <w:pPr>
              <w:rPr>
                <w:rFonts w:ascii="Jacobs Chronos" w:hAnsi="Jacobs Chronos" w:cs="Jacobs Chronos"/>
                <w:sz w:val="16"/>
                <w:szCs w:val="16"/>
              </w:rPr>
            </w:pPr>
          </w:p>
        </w:tc>
        <w:tc>
          <w:tcPr>
            <w:tcW w:w="522" w:type="pct"/>
            <w:shd w:val="clear" w:color="auto" w:fill="FFFFFF" w:themeFill="background1"/>
          </w:tcPr>
          <w:p w14:paraId="4282E54D" w14:textId="77777777" w:rsidR="00371181" w:rsidRPr="00A31BE0" w:rsidRDefault="00371181" w:rsidP="00C31A7B">
            <w:pPr>
              <w:jc w:val="center"/>
              <w:rPr>
                <w:rFonts w:ascii="Jacobs Chronos" w:hAnsi="Jacobs Chronos" w:cs="Jacobs Chronos"/>
                <w:sz w:val="16"/>
                <w:szCs w:val="16"/>
              </w:rPr>
            </w:pPr>
          </w:p>
        </w:tc>
      </w:tr>
      <w:tr w:rsidR="00067079" w:rsidRPr="00A31BE0" w14:paraId="7DBF4143" w14:textId="77777777" w:rsidTr="00E81409">
        <w:trPr>
          <w:trHeight w:val="397"/>
        </w:trPr>
        <w:tc>
          <w:tcPr>
            <w:tcW w:w="741" w:type="pct"/>
            <w:shd w:val="clear" w:color="auto" w:fill="FCE4D6"/>
          </w:tcPr>
          <w:p w14:paraId="47742E0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4F170103"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408E9F9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2.3.1.4 In addition to the requirements outlined in this code, Forest Coupe Plans for salvage harvesting operations must complement any additional recovery strategies and rehabilitation plans.</w:t>
            </w:r>
          </w:p>
        </w:tc>
        <w:tc>
          <w:tcPr>
            <w:tcW w:w="578" w:type="pct"/>
            <w:shd w:val="clear" w:color="auto" w:fill="FFFFFF" w:themeFill="background1"/>
          </w:tcPr>
          <w:p w14:paraId="3A8D32FB"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5E999D4" w14:textId="77777777" w:rsidR="00067079" w:rsidRPr="00A31BE0" w:rsidRDefault="00067079" w:rsidP="00C31A7B">
            <w:pPr>
              <w:jc w:val="center"/>
              <w:rPr>
                <w:rFonts w:ascii="Jacobs Chronos" w:hAnsi="Jacobs Chronos" w:cs="Jacobs Chronos"/>
                <w:sz w:val="16"/>
                <w:szCs w:val="16"/>
              </w:rPr>
            </w:pPr>
          </w:p>
        </w:tc>
      </w:tr>
      <w:tr w:rsidR="00067079" w:rsidRPr="00A31BE0" w14:paraId="588E1B85" w14:textId="77777777" w:rsidTr="00E81409">
        <w:trPr>
          <w:trHeight w:val="397"/>
        </w:trPr>
        <w:tc>
          <w:tcPr>
            <w:tcW w:w="741" w:type="pct"/>
            <w:shd w:val="clear" w:color="auto" w:fill="FFF2CC"/>
          </w:tcPr>
          <w:p w14:paraId="2D37B31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CDDFD5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B4C4B0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8.1.3.1 120 ha is the maximum coupe size for fire salvage operations in Alpine or Mountain Ash dominated forest. No size restrictions apply to aggregates of Alpine or Mountain Ash fire salvage coupes. </w:t>
            </w:r>
          </w:p>
        </w:tc>
        <w:tc>
          <w:tcPr>
            <w:tcW w:w="578" w:type="pct"/>
            <w:shd w:val="clear" w:color="auto" w:fill="FFFFFF" w:themeFill="background1"/>
          </w:tcPr>
          <w:p w14:paraId="38E7C26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E1AE348" w14:textId="77777777" w:rsidR="00067079" w:rsidRPr="00A31BE0" w:rsidRDefault="00067079" w:rsidP="00C31A7B">
            <w:pPr>
              <w:jc w:val="center"/>
              <w:rPr>
                <w:rFonts w:ascii="Jacobs Chronos" w:hAnsi="Jacobs Chronos" w:cs="Jacobs Chronos"/>
                <w:sz w:val="16"/>
                <w:szCs w:val="16"/>
              </w:rPr>
            </w:pPr>
          </w:p>
        </w:tc>
      </w:tr>
      <w:tr w:rsidR="00067079" w:rsidRPr="00A31BE0" w14:paraId="5FAF1C3A" w14:textId="77777777" w:rsidTr="00E81409">
        <w:trPr>
          <w:trHeight w:val="397"/>
        </w:trPr>
        <w:tc>
          <w:tcPr>
            <w:tcW w:w="741" w:type="pct"/>
          </w:tcPr>
          <w:p w14:paraId="5EC29967" w14:textId="77777777" w:rsidR="00067079" w:rsidRPr="00A31BE0" w:rsidRDefault="00067079" w:rsidP="00067079">
            <w:pPr>
              <w:rPr>
                <w:rFonts w:ascii="Jacobs Chronos" w:hAnsi="Jacobs Chronos" w:cs="Jacobs Chronos"/>
                <w:sz w:val="16"/>
                <w:szCs w:val="16"/>
              </w:rPr>
            </w:pPr>
          </w:p>
        </w:tc>
        <w:tc>
          <w:tcPr>
            <w:tcW w:w="392" w:type="pct"/>
          </w:tcPr>
          <w:p w14:paraId="6A83E7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15.01</w:t>
            </w:r>
          </w:p>
        </w:tc>
        <w:tc>
          <w:tcPr>
            <w:tcW w:w="2767" w:type="pct"/>
          </w:tcPr>
          <w:p w14:paraId="614E2C0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If the coupe is a salvage coupe in Mountain Ash or Alpine Ash dominated forest does the coupe size exceed 120 ha? </w:t>
            </w:r>
          </w:p>
        </w:tc>
        <w:tc>
          <w:tcPr>
            <w:tcW w:w="578" w:type="pct"/>
            <w:shd w:val="clear" w:color="auto" w:fill="FFFFFF" w:themeFill="background1"/>
          </w:tcPr>
          <w:p w14:paraId="0EFAD57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7DC0B6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370757C" w14:textId="77777777" w:rsidTr="00E81409">
        <w:trPr>
          <w:trHeight w:val="397"/>
        </w:trPr>
        <w:tc>
          <w:tcPr>
            <w:tcW w:w="741" w:type="pct"/>
            <w:shd w:val="clear" w:color="auto" w:fill="FFF2CC"/>
          </w:tcPr>
          <w:p w14:paraId="5BDACFC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4622F6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5C0828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8.1.4.1 Plan the coupe so there is no more than 200 m between areas of retained habitat. Retained habitat includes habitat tree exclusion areas, filters and buffers, green patch exclusion areas and any forest adjacent to the coupe.</w:t>
            </w:r>
          </w:p>
        </w:tc>
        <w:tc>
          <w:tcPr>
            <w:tcW w:w="578" w:type="pct"/>
            <w:shd w:val="clear" w:color="auto" w:fill="FFFFFF" w:themeFill="background1"/>
          </w:tcPr>
          <w:p w14:paraId="755BD98B"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FB5905F" w14:textId="77777777" w:rsidR="00067079" w:rsidRPr="00A31BE0" w:rsidRDefault="00067079" w:rsidP="00C31A7B">
            <w:pPr>
              <w:jc w:val="center"/>
              <w:rPr>
                <w:rFonts w:ascii="Jacobs Chronos" w:hAnsi="Jacobs Chronos" w:cs="Jacobs Chronos"/>
                <w:sz w:val="16"/>
                <w:szCs w:val="16"/>
              </w:rPr>
            </w:pPr>
          </w:p>
        </w:tc>
      </w:tr>
      <w:tr w:rsidR="00067079" w:rsidRPr="00A31BE0" w14:paraId="04A779E4" w14:textId="77777777" w:rsidTr="00E81409">
        <w:trPr>
          <w:trHeight w:val="397"/>
        </w:trPr>
        <w:tc>
          <w:tcPr>
            <w:tcW w:w="741" w:type="pct"/>
            <w:shd w:val="clear" w:color="auto" w:fill="FFF2CC"/>
          </w:tcPr>
          <w:p w14:paraId="1C58023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75AE973"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75BAD45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8.1.4.2 Exclude machinery from a minimum of 15 % of the gross coupe area to facilitate the recovery of understorey species. All exclusion areas and stream filters that are additional to standard stream protection prescriptions within the coupe may count towards the 15 % of gross coupe area from which machinery is excluded. 20 m is the minimum width for machinery exclusion areas set aside exclusively for understorey recovery. Where present, locate in areas with evidence of tree ferns. Tree </w:t>
            </w:r>
            <w:r w:rsidRPr="00A31BE0">
              <w:rPr>
                <w:rFonts w:ascii="Jacobs Chronos" w:hAnsi="Jacobs Chronos" w:cs="Jacobs Chronos"/>
                <w:sz w:val="16"/>
                <w:szCs w:val="16"/>
              </w:rPr>
              <w:lastRenderedPageBreak/>
              <w:t>felling is permitted in these areas. Cording and matting may remain on landings after salvage harvesting operations (replaces clause 7.2.2.5).</w:t>
            </w:r>
          </w:p>
        </w:tc>
        <w:tc>
          <w:tcPr>
            <w:tcW w:w="578" w:type="pct"/>
            <w:shd w:val="clear" w:color="auto" w:fill="FFFFFF" w:themeFill="background1"/>
          </w:tcPr>
          <w:p w14:paraId="1B7004D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377593E" w14:textId="77777777" w:rsidR="00067079" w:rsidRPr="00A31BE0" w:rsidRDefault="00067079" w:rsidP="00C31A7B">
            <w:pPr>
              <w:jc w:val="center"/>
              <w:rPr>
                <w:rFonts w:ascii="Jacobs Chronos" w:hAnsi="Jacobs Chronos" w:cs="Jacobs Chronos"/>
                <w:sz w:val="16"/>
                <w:szCs w:val="16"/>
              </w:rPr>
            </w:pPr>
          </w:p>
        </w:tc>
      </w:tr>
      <w:tr w:rsidR="00067079" w:rsidRPr="00A31BE0" w14:paraId="3D1E2BB5" w14:textId="77777777" w:rsidTr="00E81409">
        <w:trPr>
          <w:trHeight w:val="397"/>
        </w:trPr>
        <w:tc>
          <w:tcPr>
            <w:tcW w:w="741" w:type="pct"/>
          </w:tcPr>
          <w:p w14:paraId="27FBD58E" w14:textId="77777777" w:rsidR="00067079" w:rsidRPr="00A31BE0" w:rsidRDefault="00067079" w:rsidP="00067079">
            <w:pPr>
              <w:rPr>
                <w:rFonts w:ascii="Jacobs Chronos" w:hAnsi="Jacobs Chronos" w:cs="Jacobs Chronos"/>
                <w:sz w:val="16"/>
                <w:szCs w:val="16"/>
              </w:rPr>
            </w:pPr>
          </w:p>
        </w:tc>
        <w:tc>
          <w:tcPr>
            <w:tcW w:w="392" w:type="pct"/>
          </w:tcPr>
          <w:p w14:paraId="033C652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15.02</w:t>
            </w:r>
          </w:p>
        </w:tc>
        <w:tc>
          <w:tcPr>
            <w:tcW w:w="2767" w:type="pct"/>
          </w:tcPr>
          <w:p w14:paraId="3F0073D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If the coupe is a salvage coupe, is there more than 200 m between areas of retained habitat as defined in 8.1.4.1? </w:t>
            </w:r>
          </w:p>
        </w:tc>
        <w:tc>
          <w:tcPr>
            <w:tcW w:w="578" w:type="pct"/>
            <w:shd w:val="clear" w:color="auto" w:fill="FFFFFF" w:themeFill="background1"/>
          </w:tcPr>
          <w:p w14:paraId="0F68B23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E89877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059AE8A" w14:textId="77777777" w:rsidTr="00E81409">
        <w:trPr>
          <w:trHeight w:val="397"/>
        </w:trPr>
        <w:tc>
          <w:tcPr>
            <w:tcW w:w="741" w:type="pct"/>
          </w:tcPr>
          <w:p w14:paraId="497F8BEE" w14:textId="77777777" w:rsidR="00067079" w:rsidRPr="00A31BE0" w:rsidRDefault="00067079" w:rsidP="00067079">
            <w:pPr>
              <w:rPr>
                <w:rFonts w:ascii="Jacobs Chronos" w:hAnsi="Jacobs Chronos" w:cs="Jacobs Chronos"/>
                <w:sz w:val="16"/>
                <w:szCs w:val="16"/>
              </w:rPr>
            </w:pPr>
          </w:p>
        </w:tc>
        <w:tc>
          <w:tcPr>
            <w:tcW w:w="392" w:type="pct"/>
          </w:tcPr>
          <w:p w14:paraId="3D2806B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15.03</w:t>
            </w:r>
          </w:p>
        </w:tc>
        <w:tc>
          <w:tcPr>
            <w:tcW w:w="2767" w:type="pct"/>
          </w:tcPr>
          <w:p w14:paraId="4397ACB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has machinery been excluded from at least 15% of the gross coupe area?</w:t>
            </w:r>
          </w:p>
        </w:tc>
        <w:tc>
          <w:tcPr>
            <w:tcW w:w="578" w:type="pct"/>
            <w:shd w:val="clear" w:color="auto" w:fill="FFFFFF" w:themeFill="background1"/>
          </w:tcPr>
          <w:p w14:paraId="2CC904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36B6DD6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920BAB3" w14:textId="77777777" w:rsidTr="00E81409">
        <w:trPr>
          <w:trHeight w:val="397"/>
        </w:trPr>
        <w:tc>
          <w:tcPr>
            <w:tcW w:w="741" w:type="pct"/>
          </w:tcPr>
          <w:p w14:paraId="2B8994FD" w14:textId="77777777" w:rsidR="00067079" w:rsidRPr="00A31BE0" w:rsidRDefault="00067079" w:rsidP="00067079">
            <w:pPr>
              <w:rPr>
                <w:rFonts w:ascii="Jacobs Chronos" w:hAnsi="Jacobs Chronos" w:cs="Jacobs Chronos"/>
                <w:sz w:val="16"/>
                <w:szCs w:val="16"/>
              </w:rPr>
            </w:pPr>
          </w:p>
        </w:tc>
        <w:tc>
          <w:tcPr>
            <w:tcW w:w="392" w:type="pct"/>
          </w:tcPr>
          <w:p w14:paraId="582571D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15.04</w:t>
            </w:r>
          </w:p>
        </w:tc>
        <w:tc>
          <w:tcPr>
            <w:tcW w:w="2767" w:type="pct"/>
          </w:tcPr>
          <w:p w14:paraId="2F8E483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Are machinery exclusion areas for understorey recovery in salvage coupes at least 20 m wide?</w:t>
            </w:r>
          </w:p>
        </w:tc>
        <w:tc>
          <w:tcPr>
            <w:tcW w:w="578" w:type="pct"/>
            <w:shd w:val="clear" w:color="auto" w:fill="FFFFFF" w:themeFill="background1"/>
          </w:tcPr>
          <w:p w14:paraId="00741A8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012B6726"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4AFE1DE8" w14:textId="77777777" w:rsidTr="00E81409">
        <w:trPr>
          <w:trHeight w:val="397"/>
        </w:trPr>
        <w:tc>
          <w:tcPr>
            <w:tcW w:w="741" w:type="pct"/>
          </w:tcPr>
          <w:p w14:paraId="77A75C92" w14:textId="77777777" w:rsidR="00067079" w:rsidRPr="00A31BE0" w:rsidRDefault="00067079" w:rsidP="00067079">
            <w:pPr>
              <w:rPr>
                <w:rFonts w:ascii="Jacobs Chronos" w:hAnsi="Jacobs Chronos" w:cs="Jacobs Chronos"/>
                <w:sz w:val="16"/>
                <w:szCs w:val="16"/>
              </w:rPr>
            </w:pPr>
          </w:p>
        </w:tc>
        <w:tc>
          <w:tcPr>
            <w:tcW w:w="392" w:type="pct"/>
          </w:tcPr>
          <w:p w14:paraId="6A97422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15.05</w:t>
            </w:r>
          </w:p>
        </w:tc>
        <w:tc>
          <w:tcPr>
            <w:tcW w:w="2767" w:type="pct"/>
          </w:tcPr>
          <w:p w14:paraId="47D1A86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tree ferns are/were present in the salvage coupe, are the machinery exclusion areas located in areas where there is evidence of tree ferns?</w:t>
            </w:r>
          </w:p>
        </w:tc>
        <w:tc>
          <w:tcPr>
            <w:tcW w:w="578" w:type="pct"/>
            <w:shd w:val="clear" w:color="auto" w:fill="FFFFFF" w:themeFill="background1"/>
          </w:tcPr>
          <w:p w14:paraId="5136A0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37BC39B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C002AD5" w14:textId="77777777" w:rsidTr="00E81409">
        <w:trPr>
          <w:trHeight w:val="397"/>
        </w:trPr>
        <w:tc>
          <w:tcPr>
            <w:tcW w:w="741" w:type="pct"/>
            <w:shd w:val="clear" w:color="auto" w:fill="FFF2CC"/>
          </w:tcPr>
          <w:p w14:paraId="11CE289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CF91F5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C346D0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8.1.5.1 Except in restricted access and special water supply catchments locate landings, where possible: (a) at least 40 m for slopes of 15º or less, or 60 m for slopes of greater than 15º, from any permanent stream, or wetland; and (b) at least 20 m for slopes of 15º or less, or 30 m for slopes of greater than 15º, from any temporary stream and any drainage line. </w:t>
            </w:r>
          </w:p>
        </w:tc>
        <w:tc>
          <w:tcPr>
            <w:tcW w:w="578" w:type="pct"/>
            <w:shd w:val="clear" w:color="auto" w:fill="FFFFFF" w:themeFill="background1"/>
          </w:tcPr>
          <w:p w14:paraId="32477B43"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B508B62" w14:textId="77777777" w:rsidR="00067079" w:rsidRPr="00A31BE0" w:rsidRDefault="00067079" w:rsidP="00C31A7B">
            <w:pPr>
              <w:jc w:val="center"/>
              <w:rPr>
                <w:rFonts w:ascii="Jacobs Chronos" w:hAnsi="Jacobs Chronos" w:cs="Jacobs Chronos"/>
                <w:sz w:val="16"/>
                <w:szCs w:val="16"/>
              </w:rPr>
            </w:pPr>
          </w:p>
        </w:tc>
      </w:tr>
      <w:tr w:rsidR="00067079" w:rsidRPr="00A31BE0" w14:paraId="5C65B7FD" w14:textId="77777777" w:rsidTr="00E81409">
        <w:trPr>
          <w:trHeight w:val="397"/>
        </w:trPr>
        <w:tc>
          <w:tcPr>
            <w:tcW w:w="741" w:type="pct"/>
            <w:shd w:val="clear" w:color="auto" w:fill="FFF2CC"/>
          </w:tcPr>
          <w:p w14:paraId="0D780D8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1AB3627"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30494EA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8.1.5.2 In restricted access and special water supply catchments locate landings, where possible:(a) at least 60 m for slopes of 15º or less, or 80 m for slopes of greater than 15º, from any permanent stream, or wetland; or (b) at least 40 m from any temporary stream drainage line.</w:t>
            </w:r>
          </w:p>
        </w:tc>
        <w:tc>
          <w:tcPr>
            <w:tcW w:w="578" w:type="pct"/>
            <w:shd w:val="clear" w:color="auto" w:fill="FFFFFF" w:themeFill="background1"/>
          </w:tcPr>
          <w:p w14:paraId="075B70BB"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A006669" w14:textId="77777777" w:rsidR="00067079" w:rsidRPr="00A31BE0" w:rsidRDefault="00067079" w:rsidP="00C31A7B">
            <w:pPr>
              <w:jc w:val="center"/>
              <w:rPr>
                <w:rFonts w:ascii="Jacobs Chronos" w:hAnsi="Jacobs Chronos" w:cs="Jacobs Chronos"/>
                <w:sz w:val="16"/>
                <w:szCs w:val="16"/>
              </w:rPr>
            </w:pPr>
          </w:p>
        </w:tc>
      </w:tr>
      <w:tr w:rsidR="00067079" w:rsidRPr="00A31BE0" w14:paraId="2792F4EA" w14:textId="77777777" w:rsidTr="00E81409">
        <w:trPr>
          <w:trHeight w:val="397"/>
        </w:trPr>
        <w:tc>
          <w:tcPr>
            <w:tcW w:w="741" w:type="pct"/>
          </w:tcPr>
          <w:p w14:paraId="455049B0" w14:textId="77777777" w:rsidR="00067079" w:rsidRPr="00A31BE0" w:rsidRDefault="00067079" w:rsidP="00067079">
            <w:pPr>
              <w:rPr>
                <w:rFonts w:ascii="Jacobs Chronos" w:hAnsi="Jacobs Chronos" w:cs="Jacobs Chronos"/>
                <w:sz w:val="16"/>
                <w:szCs w:val="16"/>
              </w:rPr>
            </w:pPr>
          </w:p>
        </w:tc>
        <w:tc>
          <w:tcPr>
            <w:tcW w:w="392" w:type="pct"/>
          </w:tcPr>
          <w:p w14:paraId="3427CA8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15.06</w:t>
            </w:r>
          </w:p>
        </w:tc>
        <w:tc>
          <w:tcPr>
            <w:tcW w:w="2767" w:type="pct"/>
          </w:tcPr>
          <w:p w14:paraId="7591F5A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If the coupe is a salvage coupe and not located in restricted access or special water supply catchment, is the landing located as per 8.1.5.1? </w:t>
            </w:r>
          </w:p>
        </w:tc>
        <w:tc>
          <w:tcPr>
            <w:tcW w:w="578" w:type="pct"/>
            <w:shd w:val="clear" w:color="auto" w:fill="FFFFFF" w:themeFill="background1"/>
          </w:tcPr>
          <w:p w14:paraId="7B8A32F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 P</w:t>
            </w:r>
          </w:p>
        </w:tc>
        <w:tc>
          <w:tcPr>
            <w:tcW w:w="522" w:type="pct"/>
            <w:shd w:val="clear" w:color="auto" w:fill="FFFFFF" w:themeFill="background1"/>
          </w:tcPr>
          <w:p w14:paraId="7FD19D7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6476254" w14:textId="77777777" w:rsidTr="00E81409">
        <w:trPr>
          <w:trHeight w:val="397"/>
        </w:trPr>
        <w:tc>
          <w:tcPr>
            <w:tcW w:w="741" w:type="pct"/>
          </w:tcPr>
          <w:p w14:paraId="4BCA7346" w14:textId="77777777" w:rsidR="00067079" w:rsidRPr="00A31BE0" w:rsidRDefault="00067079" w:rsidP="00067079">
            <w:pPr>
              <w:rPr>
                <w:rFonts w:ascii="Jacobs Chronos" w:hAnsi="Jacobs Chronos" w:cs="Jacobs Chronos"/>
                <w:sz w:val="16"/>
                <w:szCs w:val="16"/>
              </w:rPr>
            </w:pPr>
          </w:p>
        </w:tc>
        <w:tc>
          <w:tcPr>
            <w:tcW w:w="392" w:type="pct"/>
          </w:tcPr>
          <w:p w14:paraId="30B51C1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15.07</w:t>
            </w:r>
          </w:p>
        </w:tc>
        <w:tc>
          <w:tcPr>
            <w:tcW w:w="2767" w:type="pct"/>
          </w:tcPr>
          <w:p w14:paraId="2F03B27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and is located in restricted access or special water supply catchment, is the landing located as per 8.1.5.2?</w:t>
            </w:r>
          </w:p>
        </w:tc>
        <w:tc>
          <w:tcPr>
            <w:tcW w:w="578" w:type="pct"/>
            <w:shd w:val="clear" w:color="auto" w:fill="FFFFFF" w:themeFill="background1"/>
          </w:tcPr>
          <w:p w14:paraId="3BE3433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W, I, P </w:t>
            </w:r>
          </w:p>
        </w:tc>
        <w:tc>
          <w:tcPr>
            <w:tcW w:w="522" w:type="pct"/>
            <w:shd w:val="clear" w:color="auto" w:fill="FFFFFF" w:themeFill="background1"/>
          </w:tcPr>
          <w:p w14:paraId="1896A512"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DD4DEC7" w14:textId="77777777" w:rsidTr="00E81409">
        <w:trPr>
          <w:trHeight w:val="397"/>
        </w:trPr>
        <w:tc>
          <w:tcPr>
            <w:tcW w:w="741" w:type="pct"/>
            <w:shd w:val="clear" w:color="auto" w:fill="FFF2CC"/>
          </w:tcPr>
          <w:p w14:paraId="5B94129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A9A4881"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6BDC5D4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8.1.5.3 Locate boundary tracks at least 40 m from any permanent stream or wetland. </w:t>
            </w:r>
          </w:p>
        </w:tc>
        <w:tc>
          <w:tcPr>
            <w:tcW w:w="578" w:type="pct"/>
            <w:shd w:val="clear" w:color="auto" w:fill="FFFFFF" w:themeFill="background1"/>
          </w:tcPr>
          <w:p w14:paraId="7FF3FDA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E57EABB" w14:textId="77777777" w:rsidR="00067079" w:rsidRPr="00A31BE0" w:rsidRDefault="00067079" w:rsidP="00C31A7B">
            <w:pPr>
              <w:jc w:val="center"/>
              <w:rPr>
                <w:rFonts w:ascii="Jacobs Chronos" w:hAnsi="Jacobs Chronos" w:cs="Jacobs Chronos"/>
                <w:sz w:val="16"/>
                <w:szCs w:val="16"/>
              </w:rPr>
            </w:pPr>
          </w:p>
        </w:tc>
      </w:tr>
      <w:tr w:rsidR="00067079" w:rsidRPr="00A31BE0" w14:paraId="692066B3" w14:textId="77777777" w:rsidTr="00E81409">
        <w:trPr>
          <w:trHeight w:val="397"/>
        </w:trPr>
        <w:tc>
          <w:tcPr>
            <w:tcW w:w="741" w:type="pct"/>
            <w:shd w:val="clear" w:color="auto" w:fill="FFF2CC"/>
          </w:tcPr>
          <w:p w14:paraId="0A733FC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026273B6"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15FDCC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8.1.5.4 Apply the buffer and filter prescriptions for sites with high or very high water quality risk as specified in section 3.3 Table 9 (Minimum widths in metres for buffers and filter strips applicable to various waterway categories, in relation to water quality risk and slope). </w:t>
            </w:r>
          </w:p>
        </w:tc>
        <w:tc>
          <w:tcPr>
            <w:tcW w:w="578" w:type="pct"/>
            <w:shd w:val="clear" w:color="auto" w:fill="FFFFFF" w:themeFill="background1"/>
          </w:tcPr>
          <w:p w14:paraId="4495A497"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BD8040E" w14:textId="77777777" w:rsidR="00067079" w:rsidRPr="00A31BE0" w:rsidRDefault="00067079" w:rsidP="00C31A7B">
            <w:pPr>
              <w:jc w:val="center"/>
              <w:rPr>
                <w:rFonts w:ascii="Jacobs Chronos" w:hAnsi="Jacobs Chronos" w:cs="Jacobs Chronos"/>
                <w:sz w:val="16"/>
                <w:szCs w:val="16"/>
              </w:rPr>
            </w:pPr>
          </w:p>
        </w:tc>
      </w:tr>
      <w:tr w:rsidR="00067079" w:rsidRPr="00A31BE0" w14:paraId="15C6CED2" w14:textId="77777777" w:rsidTr="00E81409">
        <w:trPr>
          <w:trHeight w:val="397"/>
        </w:trPr>
        <w:tc>
          <w:tcPr>
            <w:tcW w:w="741" w:type="pct"/>
            <w:shd w:val="clear" w:color="auto" w:fill="FFF2CC"/>
          </w:tcPr>
          <w:p w14:paraId="1B10C42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D421848"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1BAA75A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8.1.5.5 Install drainage structures for all coupe and haulage infrastructure at an appropriate frequency to mitigate increased risks to water quality due to potential sediment loads associated with water flow in the fire affected terrain. </w:t>
            </w:r>
          </w:p>
        </w:tc>
        <w:tc>
          <w:tcPr>
            <w:tcW w:w="578" w:type="pct"/>
            <w:shd w:val="clear" w:color="auto" w:fill="FFFFFF" w:themeFill="background1"/>
          </w:tcPr>
          <w:p w14:paraId="756F2B27"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4D76191" w14:textId="77777777" w:rsidR="00067079" w:rsidRPr="00A31BE0" w:rsidRDefault="00067079" w:rsidP="00C31A7B">
            <w:pPr>
              <w:jc w:val="center"/>
              <w:rPr>
                <w:rFonts w:ascii="Jacobs Chronos" w:hAnsi="Jacobs Chronos" w:cs="Jacobs Chronos"/>
                <w:sz w:val="16"/>
                <w:szCs w:val="16"/>
              </w:rPr>
            </w:pPr>
          </w:p>
        </w:tc>
      </w:tr>
      <w:tr w:rsidR="00067079" w:rsidRPr="00A31BE0" w14:paraId="11249873" w14:textId="77777777" w:rsidTr="00E81409">
        <w:trPr>
          <w:trHeight w:val="397"/>
        </w:trPr>
        <w:tc>
          <w:tcPr>
            <w:tcW w:w="741" w:type="pct"/>
            <w:shd w:val="clear" w:color="auto" w:fill="FFF2CC"/>
          </w:tcPr>
          <w:p w14:paraId="06F90B4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B329D74"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7FCF2BE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8.1.5.6 In restricted access and special water supply catchments establish a drainage structure between 20 m to 40 m upslope of where a road or vehicle route crosses any waterway. </w:t>
            </w:r>
          </w:p>
        </w:tc>
        <w:tc>
          <w:tcPr>
            <w:tcW w:w="578" w:type="pct"/>
            <w:shd w:val="clear" w:color="auto" w:fill="FFFFFF" w:themeFill="background1"/>
          </w:tcPr>
          <w:p w14:paraId="49D32E2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59F73A7" w14:textId="77777777" w:rsidR="00067079" w:rsidRPr="00A31BE0" w:rsidRDefault="00067079" w:rsidP="00C31A7B">
            <w:pPr>
              <w:jc w:val="center"/>
              <w:rPr>
                <w:rFonts w:ascii="Jacobs Chronos" w:hAnsi="Jacobs Chronos" w:cs="Jacobs Chronos"/>
                <w:sz w:val="16"/>
                <w:szCs w:val="16"/>
              </w:rPr>
            </w:pPr>
          </w:p>
        </w:tc>
      </w:tr>
      <w:tr w:rsidR="00067079" w:rsidRPr="00A31BE0" w14:paraId="1BC024E6" w14:textId="77777777" w:rsidTr="00E81409">
        <w:trPr>
          <w:trHeight w:val="397"/>
        </w:trPr>
        <w:tc>
          <w:tcPr>
            <w:tcW w:w="741" w:type="pct"/>
          </w:tcPr>
          <w:p w14:paraId="43F931E5" w14:textId="77777777" w:rsidR="00067079" w:rsidRPr="00A31BE0" w:rsidRDefault="00067079" w:rsidP="00067079">
            <w:pPr>
              <w:rPr>
                <w:rFonts w:ascii="Jacobs Chronos" w:hAnsi="Jacobs Chronos" w:cs="Jacobs Chronos"/>
                <w:sz w:val="16"/>
                <w:szCs w:val="16"/>
              </w:rPr>
            </w:pPr>
          </w:p>
        </w:tc>
        <w:tc>
          <w:tcPr>
            <w:tcW w:w="392" w:type="pct"/>
          </w:tcPr>
          <w:p w14:paraId="49FBE7E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15.08</w:t>
            </w:r>
          </w:p>
        </w:tc>
        <w:tc>
          <w:tcPr>
            <w:tcW w:w="2767" w:type="pct"/>
          </w:tcPr>
          <w:p w14:paraId="5FFD186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are the boundary tracks located at least 40 m from any permanent stream or wetland?</w:t>
            </w:r>
          </w:p>
        </w:tc>
        <w:tc>
          <w:tcPr>
            <w:tcW w:w="578" w:type="pct"/>
            <w:shd w:val="clear" w:color="auto" w:fill="FFFFFF" w:themeFill="background1"/>
          </w:tcPr>
          <w:p w14:paraId="0B9D44A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w:t>
            </w:r>
          </w:p>
        </w:tc>
        <w:tc>
          <w:tcPr>
            <w:tcW w:w="522" w:type="pct"/>
            <w:shd w:val="clear" w:color="auto" w:fill="FFFFFF" w:themeFill="background1"/>
          </w:tcPr>
          <w:p w14:paraId="2B5FF82A"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055278F" w14:textId="77777777" w:rsidTr="00E81409">
        <w:trPr>
          <w:trHeight w:val="397"/>
        </w:trPr>
        <w:tc>
          <w:tcPr>
            <w:tcW w:w="741" w:type="pct"/>
          </w:tcPr>
          <w:p w14:paraId="35544387" w14:textId="77777777" w:rsidR="00067079" w:rsidRPr="00A31BE0" w:rsidRDefault="00067079" w:rsidP="00067079">
            <w:pPr>
              <w:rPr>
                <w:rFonts w:ascii="Jacobs Chronos" w:hAnsi="Jacobs Chronos" w:cs="Jacobs Chronos"/>
                <w:sz w:val="16"/>
                <w:szCs w:val="16"/>
              </w:rPr>
            </w:pPr>
          </w:p>
        </w:tc>
        <w:tc>
          <w:tcPr>
            <w:tcW w:w="392" w:type="pct"/>
          </w:tcPr>
          <w:p w14:paraId="7CAF5FD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15.09</w:t>
            </w:r>
          </w:p>
        </w:tc>
        <w:tc>
          <w:tcPr>
            <w:tcW w:w="2767" w:type="pct"/>
          </w:tcPr>
          <w:p w14:paraId="6EFBC39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have buffer and filter prescriptions followed those applicable to high or very high water quality risk at per Table 9 of the MSP?</w:t>
            </w:r>
          </w:p>
        </w:tc>
        <w:tc>
          <w:tcPr>
            <w:tcW w:w="578" w:type="pct"/>
            <w:shd w:val="clear" w:color="auto" w:fill="FFFFFF" w:themeFill="background1"/>
          </w:tcPr>
          <w:p w14:paraId="4B8B82F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w:t>
            </w:r>
          </w:p>
        </w:tc>
        <w:tc>
          <w:tcPr>
            <w:tcW w:w="522" w:type="pct"/>
            <w:shd w:val="clear" w:color="auto" w:fill="FFFFFF" w:themeFill="background1"/>
          </w:tcPr>
          <w:p w14:paraId="422D565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93</w:t>
            </w:r>
          </w:p>
        </w:tc>
      </w:tr>
      <w:tr w:rsidR="00067079" w:rsidRPr="00A31BE0" w14:paraId="5C4FA943" w14:textId="77777777" w:rsidTr="00E81409">
        <w:trPr>
          <w:trHeight w:val="397"/>
        </w:trPr>
        <w:tc>
          <w:tcPr>
            <w:tcW w:w="741" w:type="pct"/>
          </w:tcPr>
          <w:p w14:paraId="3DDB7363" w14:textId="77777777" w:rsidR="00067079" w:rsidRPr="00A31BE0" w:rsidRDefault="00067079" w:rsidP="00067079">
            <w:pPr>
              <w:rPr>
                <w:rFonts w:ascii="Jacobs Chronos" w:hAnsi="Jacobs Chronos" w:cs="Jacobs Chronos"/>
                <w:sz w:val="16"/>
                <w:szCs w:val="16"/>
              </w:rPr>
            </w:pPr>
          </w:p>
        </w:tc>
        <w:tc>
          <w:tcPr>
            <w:tcW w:w="392" w:type="pct"/>
          </w:tcPr>
          <w:p w14:paraId="26E6800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15.10</w:t>
            </w:r>
          </w:p>
        </w:tc>
        <w:tc>
          <w:tcPr>
            <w:tcW w:w="2767" w:type="pct"/>
          </w:tcPr>
          <w:p w14:paraId="73CA1E9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have drainage structures for all infrastructure been installed at appropriate frequency to mitigate risks to water quality from sediment movement?</w:t>
            </w:r>
          </w:p>
        </w:tc>
        <w:tc>
          <w:tcPr>
            <w:tcW w:w="578" w:type="pct"/>
            <w:shd w:val="clear" w:color="auto" w:fill="FFFFFF" w:themeFill="background1"/>
          </w:tcPr>
          <w:p w14:paraId="2C04CB2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 I</w:t>
            </w:r>
          </w:p>
        </w:tc>
        <w:tc>
          <w:tcPr>
            <w:tcW w:w="522" w:type="pct"/>
            <w:shd w:val="clear" w:color="auto" w:fill="FFFFFF" w:themeFill="background1"/>
          </w:tcPr>
          <w:p w14:paraId="4EF3069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73</w:t>
            </w:r>
          </w:p>
        </w:tc>
      </w:tr>
      <w:tr w:rsidR="00067079" w:rsidRPr="00A31BE0" w14:paraId="35EB5316" w14:textId="77777777" w:rsidTr="00E81409">
        <w:trPr>
          <w:trHeight w:val="397"/>
        </w:trPr>
        <w:tc>
          <w:tcPr>
            <w:tcW w:w="741" w:type="pct"/>
          </w:tcPr>
          <w:p w14:paraId="771D5F34" w14:textId="77777777" w:rsidR="00067079" w:rsidRPr="00A31BE0" w:rsidRDefault="00067079" w:rsidP="00067079">
            <w:pPr>
              <w:rPr>
                <w:rFonts w:ascii="Jacobs Chronos" w:hAnsi="Jacobs Chronos" w:cs="Jacobs Chronos"/>
                <w:sz w:val="16"/>
                <w:szCs w:val="16"/>
              </w:rPr>
            </w:pPr>
          </w:p>
        </w:tc>
        <w:tc>
          <w:tcPr>
            <w:tcW w:w="392" w:type="pct"/>
          </w:tcPr>
          <w:p w14:paraId="3CDA555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15.11</w:t>
            </w:r>
          </w:p>
        </w:tc>
        <w:tc>
          <w:tcPr>
            <w:tcW w:w="2767" w:type="pct"/>
          </w:tcPr>
          <w:p w14:paraId="1F0993D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and the coupe is restricted access or in a special water supply catchment, have drainage structures been constructed 20-40 m upslope of where a road or vehicle rout crosses any waterway?</w:t>
            </w:r>
          </w:p>
        </w:tc>
        <w:tc>
          <w:tcPr>
            <w:tcW w:w="578" w:type="pct"/>
            <w:shd w:val="clear" w:color="auto" w:fill="FFFFFF" w:themeFill="background1"/>
          </w:tcPr>
          <w:p w14:paraId="4D79B51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w:t>
            </w:r>
          </w:p>
        </w:tc>
        <w:tc>
          <w:tcPr>
            <w:tcW w:w="522" w:type="pct"/>
            <w:shd w:val="clear" w:color="auto" w:fill="FFFFFF" w:themeFill="background1"/>
          </w:tcPr>
          <w:p w14:paraId="5125E5B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50</w:t>
            </w:r>
          </w:p>
        </w:tc>
      </w:tr>
      <w:tr w:rsidR="00067079" w:rsidRPr="00A31BE0" w14:paraId="6B02D446" w14:textId="77777777" w:rsidTr="00E81409">
        <w:trPr>
          <w:trHeight w:val="397"/>
        </w:trPr>
        <w:tc>
          <w:tcPr>
            <w:tcW w:w="741" w:type="pct"/>
            <w:shd w:val="clear" w:color="auto" w:fill="FFF2CC"/>
          </w:tcPr>
          <w:p w14:paraId="1FDF3B2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1ECF792"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0AE282E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8.1.6.1 Clean soil from all harvesting machinery (excluding trucks and passenger vehicles) before floating to or from a salvage coupe. Replaces clause 4.5.1.1 where pre‐harvest disease and weed infestations cannot be assessed due to fire effects.</w:t>
            </w:r>
          </w:p>
        </w:tc>
        <w:tc>
          <w:tcPr>
            <w:tcW w:w="578" w:type="pct"/>
            <w:shd w:val="clear" w:color="auto" w:fill="FFFFFF" w:themeFill="background1"/>
          </w:tcPr>
          <w:p w14:paraId="2EC533E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E653082" w14:textId="77777777" w:rsidR="00067079" w:rsidRPr="00A31BE0" w:rsidRDefault="00067079" w:rsidP="00C31A7B">
            <w:pPr>
              <w:jc w:val="center"/>
              <w:rPr>
                <w:rFonts w:ascii="Jacobs Chronos" w:hAnsi="Jacobs Chronos" w:cs="Jacobs Chronos"/>
                <w:sz w:val="16"/>
                <w:szCs w:val="16"/>
              </w:rPr>
            </w:pPr>
          </w:p>
        </w:tc>
      </w:tr>
      <w:tr w:rsidR="00067079" w:rsidRPr="00A31BE0" w14:paraId="6D232D7F" w14:textId="77777777" w:rsidTr="00E81409">
        <w:trPr>
          <w:trHeight w:val="397"/>
        </w:trPr>
        <w:tc>
          <w:tcPr>
            <w:tcW w:w="741" w:type="pct"/>
          </w:tcPr>
          <w:p w14:paraId="66967498" w14:textId="77777777" w:rsidR="00067079" w:rsidRPr="00A31BE0" w:rsidRDefault="00067079" w:rsidP="00067079">
            <w:pPr>
              <w:rPr>
                <w:rFonts w:ascii="Jacobs Chronos" w:hAnsi="Jacobs Chronos" w:cs="Jacobs Chronos"/>
                <w:sz w:val="16"/>
                <w:szCs w:val="16"/>
              </w:rPr>
            </w:pPr>
          </w:p>
        </w:tc>
        <w:tc>
          <w:tcPr>
            <w:tcW w:w="392" w:type="pct"/>
          </w:tcPr>
          <w:p w14:paraId="3503CC1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15.12</w:t>
            </w:r>
          </w:p>
        </w:tc>
        <w:tc>
          <w:tcPr>
            <w:tcW w:w="2767" w:type="pct"/>
          </w:tcPr>
          <w:p w14:paraId="6DB9D5F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is there evidence that all soil from harvesting machinery has been removed prior to floating to or from the coupe?</w:t>
            </w:r>
          </w:p>
        </w:tc>
        <w:tc>
          <w:tcPr>
            <w:tcW w:w="578" w:type="pct"/>
            <w:shd w:val="clear" w:color="auto" w:fill="FFFFFF" w:themeFill="background1"/>
          </w:tcPr>
          <w:p w14:paraId="0D523A6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2696400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14247F4" w14:textId="77777777" w:rsidTr="00E81409">
        <w:trPr>
          <w:trHeight w:val="397"/>
        </w:trPr>
        <w:tc>
          <w:tcPr>
            <w:tcW w:w="741" w:type="pct"/>
            <w:shd w:val="clear" w:color="auto" w:fill="FFF2CC"/>
          </w:tcPr>
          <w:p w14:paraId="799562F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3035581"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61F42EB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8.1.9.1 Retain an average of at least 5 habitat trees per hectare of net coupe area in (Ash forest) exclusion areas of greater than 0.1 ha. Replaces Table 12 Habitat tree prescriptions. Prescriptions protecting trees of pre-1900 origin continue to apply for Central Highlands FMAs</w:t>
            </w:r>
          </w:p>
        </w:tc>
        <w:tc>
          <w:tcPr>
            <w:tcW w:w="578" w:type="pct"/>
            <w:shd w:val="clear" w:color="auto" w:fill="FFFFFF" w:themeFill="background1"/>
          </w:tcPr>
          <w:p w14:paraId="6FB1489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F3AE3CE" w14:textId="77777777" w:rsidR="00067079" w:rsidRPr="00A31BE0" w:rsidRDefault="00067079" w:rsidP="00C31A7B">
            <w:pPr>
              <w:jc w:val="center"/>
              <w:rPr>
                <w:rFonts w:ascii="Jacobs Chronos" w:hAnsi="Jacobs Chronos" w:cs="Jacobs Chronos"/>
                <w:sz w:val="16"/>
                <w:szCs w:val="16"/>
              </w:rPr>
            </w:pPr>
          </w:p>
        </w:tc>
      </w:tr>
      <w:tr w:rsidR="00067079" w:rsidRPr="00A31BE0" w14:paraId="378014FD" w14:textId="77777777" w:rsidTr="00E81409">
        <w:trPr>
          <w:trHeight w:val="397"/>
        </w:trPr>
        <w:tc>
          <w:tcPr>
            <w:tcW w:w="741" w:type="pct"/>
            <w:shd w:val="clear" w:color="auto" w:fill="FFF2CC"/>
          </w:tcPr>
          <w:p w14:paraId="36CF27B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4329927"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642A3D90" w14:textId="77777777" w:rsidR="00067079" w:rsidRPr="00C303CE" w:rsidRDefault="00067079" w:rsidP="00067079">
            <w:pPr>
              <w:rPr>
                <w:rFonts w:ascii="Jacobs Chronos" w:hAnsi="Jacobs Chronos" w:cs="Jacobs Chronos"/>
                <w:sz w:val="16"/>
                <w:szCs w:val="16"/>
              </w:rPr>
            </w:pPr>
            <w:r w:rsidRPr="00A31BE0">
              <w:rPr>
                <w:rFonts w:ascii="Jacobs Chronos" w:hAnsi="Jacobs Chronos" w:cs="Jacobs Chronos"/>
                <w:sz w:val="16"/>
                <w:szCs w:val="16"/>
              </w:rPr>
              <w:t>8.1.9.2 Situate habitat tree exclusion areas to maximise retention of high priority habitat trees. Habitat trees have the following order of priority: a) large live hollow bearing trees; b) large live trees without hollows; c) large dead trees; d)</w:t>
            </w:r>
            <w:r>
              <w:t xml:space="preserve"> </w:t>
            </w:r>
            <w:r w:rsidRPr="00C303CE">
              <w:rPr>
                <w:rFonts w:ascii="Jacobs Chronos" w:hAnsi="Jacobs Chronos" w:cs="Jacobs Chronos"/>
                <w:sz w:val="16"/>
                <w:szCs w:val="16"/>
              </w:rPr>
              <w:t>; d)</w:t>
            </w:r>
            <w:r w:rsidRPr="00C303CE">
              <w:rPr>
                <w:rFonts w:ascii="Jacobs Chronos" w:hAnsi="Jacobs Chronos" w:cs="Jacobs Chronos"/>
                <w:sz w:val="16"/>
                <w:szCs w:val="16"/>
              </w:rPr>
              <w:tab/>
              <w:t xml:space="preserve">small live trees; then e) small dead trees. </w:t>
            </w:r>
          </w:p>
          <w:p w14:paraId="4388B9B2" w14:textId="77777777" w:rsidR="00067079" w:rsidRPr="00A31BE0" w:rsidRDefault="00067079" w:rsidP="00067079">
            <w:pPr>
              <w:rPr>
                <w:rFonts w:ascii="Jacobs Chronos" w:hAnsi="Jacobs Chronos" w:cs="Jacobs Chronos"/>
                <w:sz w:val="16"/>
                <w:szCs w:val="16"/>
              </w:rPr>
            </w:pPr>
            <w:r w:rsidRPr="00C303CE">
              <w:rPr>
                <w:rFonts w:ascii="Jacobs Chronos" w:hAnsi="Jacobs Chronos" w:cs="Jacobs Chronos"/>
                <w:sz w:val="16"/>
                <w:szCs w:val="16"/>
              </w:rPr>
              <w:lastRenderedPageBreak/>
              <w:t>Note: In the context of salvage harvesting operations, trees greater than 50 cm DBHOB are considered to be large. Replaces habitat tree selection criteria in Section 4.1, except where the Bendigo FMA standard applies or where all trees of a particular type (e.g. hollow bearing / dead) are protected.</w:t>
            </w:r>
          </w:p>
        </w:tc>
        <w:tc>
          <w:tcPr>
            <w:tcW w:w="578" w:type="pct"/>
            <w:shd w:val="clear" w:color="auto" w:fill="FFFFFF" w:themeFill="background1"/>
          </w:tcPr>
          <w:p w14:paraId="6F48A93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190B517" w14:textId="77777777" w:rsidR="00067079" w:rsidRPr="00A31BE0" w:rsidRDefault="00067079" w:rsidP="00C31A7B">
            <w:pPr>
              <w:jc w:val="center"/>
              <w:rPr>
                <w:rFonts w:ascii="Jacobs Chronos" w:hAnsi="Jacobs Chronos" w:cs="Jacobs Chronos"/>
                <w:sz w:val="16"/>
                <w:szCs w:val="16"/>
              </w:rPr>
            </w:pPr>
          </w:p>
        </w:tc>
      </w:tr>
      <w:tr w:rsidR="00067079" w:rsidRPr="00A31BE0" w14:paraId="55750231" w14:textId="77777777" w:rsidTr="00E81409">
        <w:trPr>
          <w:trHeight w:val="397"/>
        </w:trPr>
        <w:tc>
          <w:tcPr>
            <w:tcW w:w="741" w:type="pct"/>
            <w:shd w:val="clear" w:color="auto" w:fill="FFF2CC"/>
          </w:tcPr>
          <w:p w14:paraId="47B1FB6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205D7C4"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053322A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8.1.9.3 Situate habitat tree exclusion areas to maximise retained forest connectivity within the coupe.</w:t>
            </w:r>
          </w:p>
        </w:tc>
        <w:tc>
          <w:tcPr>
            <w:tcW w:w="578" w:type="pct"/>
            <w:shd w:val="clear" w:color="auto" w:fill="FFFFFF" w:themeFill="background1"/>
          </w:tcPr>
          <w:p w14:paraId="15C5B0E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C201290" w14:textId="77777777" w:rsidR="00067079" w:rsidRPr="00A31BE0" w:rsidRDefault="00067079" w:rsidP="00C31A7B">
            <w:pPr>
              <w:jc w:val="center"/>
              <w:rPr>
                <w:rFonts w:ascii="Jacobs Chronos" w:hAnsi="Jacobs Chronos" w:cs="Jacobs Chronos"/>
                <w:sz w:val="16"/>
                <w:szCs w:val="16"/>
              </w:rPr>
            </w:pPr>
          </w:p>
        </w:tc>
      </w:tr>
      <w:tr w:rsidR="00067079" w:rsidRPr="00A31BE0" w14:paraId="578E3C67" w14:textId="77777777" w:rsidTr="00E81409">
        <w:trPr>
          <w:trHeight w:val="397"/>
        </w:trPr>
        <w:tc>
          <w:tcPr>
            <w:tcW w:w="741" w:type="pct"/>
            <w:shd w:val="clear" w:color="auto" w:fill="FFF2CC"/>
          </w:tcPr>
          <w:p w14:paraId="04E1F08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AD49BD7"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796B878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8.1.9.4 Arrange the shape and location of habitat tree exclusion areas to reduce ongoing operational and weather related damage to habitat trees.</w:t>
            </w:r>
          </w:p>
        </w:tc>
        <w:tc>
          <w:tcPr>
            <w:tcW w:w="578" w:type="pct"/>
            <w:shd w:val="clear" w:color="auto" w:fill="FFFFFF" w:themeFill="background1"/>
          </w:tcPr>
          <w:p w14:paraId="2D3B532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7F11A63" w14:textId="77777777" w:rsidR="00067079" w:rsidRPr="00A31BE0" w:rsidRDefault="00067079" w:rsidP="00C31A7B">
            <w:pPr>
              <w:jc w:val="center"/>
              <w:rPr>
                <w:rFonts w:ascii="Jacobs Chronos" w:hAnsi="Jacobs Chronos" w:cs="Jacobs Chronos"/>
                <w:sz w:val="16"/>
                <w:szCs w:val="16"/>
              </w:rPr>
            </w:pPr>
          </w:p>
        </w:tc>
      </w:tr>
      <w:tr w:rsidR="00067079" w:rsidRPr="00A31BE0" w14:paraId="19F82C46" w14:textId="77777777" w:rsidTr="00E81409">
        <w:trPr>
          <w:trHeight w:val="397"/>
        </w:trPr>
        <w:tc>
          <w:tcPr>
            <w:tcW w:w="741" w:type="pct"/>
          </w:tcPr>
          <w:p w14:paraId="06B01F9A" w14:textId="77777777" w:rsidR="00067079" w:rsidRPr="00A31BE0" w:rsidRDefault="00067079" w:rsidP="00067079">
            <w:pPr>
              <w:rPr>
                <w:rFonts w:ascii="Jacobs Chronos" w:hAnsi="Jacobs Chronos" w:cs="Jacobs Chronos"/>
                <w:sz w:val="16"/>
                <w:szCs w:val="16"/>
              </w:rPr>
            </w:pPr>
          </w:p>
        </w:tc>
        <w:tc>
          <w:tcPr>
            <w:tcW w:w="392" w:type="pct"/>
          </w:tcPr>
          <w:p w14:paraId="2DB904C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15.13</w:t>
            </w:r>
          </w:p>
        </w:tc>
        <w:tc>
          <w:tcPr>
            <w:tcW w:w="2767" w:type="pct"/>
          </w:tcPr>
          <w:p w14:paraId="2DFA0C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In salvage harvesting operations in Ash-type forests, have ≥5 habitat trees been retained per ha in exclusion areas &gt;0.1ha?</w:t>
            </w:r>
          </w:p>
        </w:tc>
        <w:tc>
          <w:tcPr>
            <w:tcW w:w="578" w:type="pct"/>
            <w:shd w:val="clear" w:color="auto" w:fill="FFFFFF" w:themeFill="background1"/>
          </w:tcPr>
          <w:p w14:paraId="6CC271D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w:t>
            </w:r>
          </w:p>
        </w:tc>
        <w:tc>
          <w:tcPr>
            <w:tcW w:w="522" w:type="pct"/>
            <w:shd w:val="clear" w:color="auto" w:fill="FFFFFF" w:themeFill="background1"/>
          </w:tcPr>
          <w:p w14:paraId="7A97508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DFD04BB" w14:textId="77777777" w:rsidTr="00E81409">
        <w:trPr>
          <w:trHeight w:val="397"/>
        </w:trPr>
        <w:tc>
          <w:tcPr>
            <w:tcW w:w="741" w:type="pct"/>
          </w:tcPr>
          <w:p w14:paraId="60C730F3" w14:textId="77777777" w:rsidR="00067079" w:rsidRPr="00A31BE0" w:rsidRDefault="00067079" w:rsidP="00067079">
            <w:pPr>
              <w:rPr>
                <w:rFonts w:ascii="Jacobs Chronos" w:hAnsi="Jacobs Chronos" w:cs="Jacobs Chronos"/>
                <w:sz w:val="16"/>
                <w:szCs w:val="16"/>
              </w:rPr>
            </w:pPr>
          </w:p>
        </w:tc>
        <w:tc>
          <w:tcPr>
            <w:tcW w:w="392" w:type="pct"/>
          </w:tcPr>
          <w:p w14:paraId="54ADCAF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15.14</w:t>
            </w:r>
          </w:p>
        </w:tc>
        <w:tc>
          <w:tcPr>
            <w:tcW w:w="2767" w:type="pct"/>
          </w:tcPr>
          <w:p w14:paraId="2A506D2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In salvage harvesting operations in Ash-type forests, ITAO has habitat retention prioritised larger, hollow-bearing trees (&gt;50 cm DBHOB)?</w:t>
            </w:r>
          </w:p>
        </w:tc>
        <w:tc>
          <w:tcPr>
            <w:tcW w:w="578" w:type="pct"/>
            <w:shd w:val="clear" w:color="auto" w:fill="FFFFFF" w:themeFill="background1"/>
          </w:tcPr>
          <w:p w14:paraId="6A77471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7CEEBE07"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8788763" w14:textId="77777777" w:rsidTr="00E81409">
        <w:trPr>
          <w:trHeight w:val="397"/>
        </w:trPr>
        <w:tc>
          <w:tcPr>
            <w:tcW w:w="741" w:type="pct"/>
          </w:tcPr>
          <w:p w14:paraId="1EAB733F" w14:textId="77777777" w:rsidR="00067079" w:rsidRPr="00A31BE0" w:rsidRDefault="00067079" w:rsidP="00067079">
            <w:pPr>
              <w:rPr>
                <w:rFonts w:ascii="Jacobs Chronos" w:hAnsi="Jacobs Chronos" w:cs="Jacobs Chronos"/>
                <w:sz w:val="16"/>
                <w:szCs w:val="16"/>
              </w:rPr>
            </w:pPr>
          </w:p>
        </w:tc>
        <w:tc>
          <w:tcPr>
            <w:tcW w:w="392" w:type="pct"/>
          </w:tcPr>
          <w:p w14:paraId="3270EE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15.15</w:t>
            </w:r>
          </w:p>
        </w:tc>
        <w:tc>
          <w:tcPr>
            <w:tcW w:w="2767" w:type="pct"/>
          </w:tcPr>
          <w:p w14:paraId="31751B4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exclusion areas been located ITAO to maximise connectivity and reduce operational and weather-related damage to habitat trees?</w:t>
            </w:r>
          </w:p>
        </w:tc>
        <w:tc>
          <w:tcPr>
            <w:tcW w:w="578" w:type="pct"/>
            <w:shd w:val="clear" w:color="auto" w:fill="FFFFFF" w:themeFill="background1"/>
          </w:tcPr>
          <w:p w14:paraId="74A48D8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P</w:t>
            </w:r>
          </w:p>
        </w:tc>
        <w:tc>
          <w:tcPr>
            <w:tcW w:w="522" w:type="pct"/>
            <w:shd w:val="clear" w:color="auto" w:fill="FFFFFF" w:themeFill="background1"/>
          </w:tcPr>
          <w:p w14:paraId="67D60486"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169B033B" w14:textId="77777777" w:rsidTr="00E81409">
        <w:trPr>
          <w:trHeight w:val="397"/>
        </w:trPr>
        <w:tc>
          <w:tcPr>
            <w:tcW w:w="741" w:type="pct"/>
            <w:shd w:val="clear" w:color="auto" w:fill="FFF2CC"/>
          </w:tcPr>
          <w:p w14:paraId="62EE9A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6A49A81"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23C833F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8.1.10.1 Apply the minimum stream buffer and filter strip widths below in Table 23 (Salvage harvesting Barred Galaxia minimum buffer and filter strip widths) upstream of Barred Galaxias populations (all soils). Replaces section 3.3 Table 10 (Minimum widths in metres for buffer strips and filter strips applicable to various waterway categories, in relation to water quality risk and slope for coupes in catchments up to 1 km upstream of known Spotted Tree Frog sites and or coupes in Barred Galaxias and Mountain Galaxias SMZs where specified in section 4.2)</w:t>
            </w:r>
          </w:p>
        </w:tc>
        <w:tc>
          <w:tcPr>
            <w:tcW w:w="578" w:type="pct"/>
            <w:shd w:val="clear" w:color="auto" w:fill="FFFFFF" w:themeFill="background1"/>
          </w:tcPr>
          <w:p w14:paraId="527E29D3"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D176C1A" w14:textId="77777777" w:rsidR="00067079" w:rsidRPr="00A31BE0" w:rsidRDefault="00067079" w:rsidP="00C31A7B">
            <w:pPr>
              <w:jc w:val="center"/>
              <w:rPr>
                <w:rFonts w:ascii="Jacobs Chronos" w:hAnsi="Jacobs Chronos" w:cs="Jacobs Chronos"/>
                <w:sz w:val="16"/>
                <w:szCs w:val="16"/>
              </w:rPr>
            </w:pPr>
          </w:p>
        </w:tc>
      </w:tr>
      <w:tr w:rsidR="00067079" w:rsidRPr="00A31BE0" w14:paraId="7CA572BE" w14:textId="77777777" w:rsidTr="00E81409">
        <w:trPr>
          <w:trHeight w:val="397"/>
        </w:trPr>
        <w:tc>
          <w:tcPr>
            <w:tcW w:w="741" w:type="pct"/>
            <w:shd w:val="clear" w:color="auto" w:fill="FFF2CC"/>
          </w:tcPr>
          <w:p w14:paraId="53D7A37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2A7969B"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4249618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8.1.10.2 Retain harvesting slash in filter strips, and aligned parallel to the stream, to slow the flow of water and reduce the potential for sediment to enter the stream or wetland</w:t>
            </w:r>
          </w:p>
        </w:tc>
        <w:tc>
          <w:tcPr>
            <w:tcW w:w="578" w:type="pct"/>
            <w:shd w:val="clear" w:color="auto" w:fill="FFFFFF" w:themeFill="background1"/>
          </w:tcPr>
          <w:p w14:paraId="142F016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A55E7AB" w14:textId="77777777" w:rsidR="00067079" w:rsidRPr="00A31BE0" w:rsidRDefault="00067079" w:rsidP="00C31A7B">
            <w:pPr>
              <w:jc w:val="center"/>
              <w:rPr>
                <w:rFonts w:ascii="Jacobs Chronos" w:hAnsi="Jacobs Chronos" w:cs="Jacobs Chronos"/>
                <w:sz w:val="16"/>
                <w:szCs w:val="16"/>
              </w:rPr>
            </w:pPr>
          </w:p>
        </w:tc>
      </w:tr>
      <w:tr w:rsidR="00067079" w:rsidRPr="00A31BE0" w14:paraId="3D47DFA1" w14:textId="77777777" w:rsidTr="00E81409">
        <w:trPr>
          <w:trHeight w:val="397"/>
        </w:trPr>
        <w:tc>
          <w:tcPr>
            <w:tcW w:w="741" w:type="pct"/>
          </w:tcPr>
          <w:p w14:paraId="722FEB3E" w14:textId="77777777" w:rsidR="00067079" w:rsidRPr="00A31BE0" w:rsidRDefault="00067079" w:rsidP="00067079">
            <w:pPr>
              <w:rPr>
                <w:rFonts w:ascii="Jacobs Chronos" w:hAnsi="Jacobs Chronos" w:cs="Jacobs Chronos"/>
                <w:sz w:val="16"/>
                <w:szCs w:val="16"/>
              </w:rPr>
            </w:pPr>
          </w:p>
        </w:tc>
        <w:tc>
          <w:tcPr>
            <w:tcW w:w="392" w:type="pct"/>
          </w:tcPr>
          <w:p w14:paraId="33608C0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15.16</w:t>
            </w:r>
          </w:p>
        </w:tc>
        <w:tc>
          <w:tcPr>
            <w:tcW w:w="2767" w:type="pct"/>
          </w:tcPr>
          <w:p w14:paraId="19E9C98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and located up to 1 km upstream of Barred/Mountain Galaxid or Spotted Tree Frog sites have the filter and buffer strip widths been applied as per Table 23?</w:t>
            </w:r>
          </w:p>
        </w:tc>
        <w:tc>
          <w:tcPr>
            <w:tcW w:w="578" w:type="pct"/>
            <w:shd w:val="clear" w:color="auto" w:fill="FFFFFF" w:themeFill="background1"/>
          </w:tcPr>
          <w:p w14:paraId="38E5351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4C3235D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D42943E" w14:textId="77777777" w:rsidTr="00E81409">
        <w:trPr>
          <w:trHeight w:val="397"/>
        </w:trPr>
        <w:tc>
          <w:tcPr>
            <w:tcW w:w="741" w:type="pct"/>
          </w:tcPr>
          <w:p w14:paraId="095B069F" w14:textId="77777777" w:rsidR="00067079" w:rsidRPr="00A31BE0" w:rsidRDefault="00067079" w:rsidP="00067079">
            <w:pPr>
              <w:rPr>
                <w:rFonts w:ascii="Jacobs Chronos" w:hAnsi="Jacobs Chronos" w:cs="Jacobs Chronos"/>
                <w:sz w:val="16"/>
                <w:szCs w:val="16"/>
              </w:rPr>
            </w:pPr>
          </w:p>
        </w:tc>
        <w:tc>
          <w:tcPr>
            <w:tcW w:w="392" w:type="pct"/>
          </w:tcPr>
          <w:p w14:paraId="0419C12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15.17</w:t>
            </w:r>
          </w:p>
        </w:tc>
        <w:tc>
          <w:tcPr>
            <w:tcW w:w="2767" w:type="pct"/>
          </w:tcPr>
          <w:p w14:paraId="6B13C24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a salvage coupe and located up to 1 km upstream of Barred/Mountain Galaxid has harvesting slash been retained in any filter strips and aligned parallel to the stream?</w:t>
            </w:r>
          </w:p>
        </w:tc>
        <w:tc>
          <w:tcPr>
            <w:tcW w:w="578" w:type="pct"/>
            <w:shd w:val="clear" w:color="auto" w:fill="FFFFFF" w:themeFill="background1"/>
          </w:tcPr>
          <w:p w14:paraId="7010A76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49F23E0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AAA3EBB" w14:textId="77777777" w:rsidTr="00E81409">
        <w:trPr>
          <w:trHeight w:val="397"/>
        </w:trPr>
        <w:tc>
          <w:tcPr>
            <w:tcW w:w="741" w:type="pct"/>
            <w:shd w:val="clear" w:color="auto" w:fill="A9D08E"/>
          </w:tcPr>
          <w:p w14:paraId="2E3DF87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1A720DC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2488552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 Roading for Timber Harvesting Operations</w:t>
            </w:r>
          </w:p>
        </w:tc>
        <w:tc>
          <w:tcPr>
            <w:tcW w:w="578" w:type="pct"/>
            <w:shd w:val="clear" w:color="auto" w:fill="FFFFFF" w:themeFill="background1"/>
          </w:tcPr>
          <w:p w14:paraId="1D369CC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329EE5D" w14:textId="77777777" w:rsidR="00067079" w:rsidRPr="00A31BE0" w:rsidRDefault="00067079" w:rsidP="00C31A7B">
            <w:pPr>
              <w:jc w:val="center"/>
              <w:rPr>
                <w:rFonts w:ascii="Jacobs Chronos" w:hAnsi="Jacobs Chronos" w:cs="Jacobs Chronos"/>
                <w:sz w:val="16"/>
                <w:szCs w:val="16"/>
              </w:rPr>
            </w:pPr>
          </w:p>
        </w:tc>
      </w:tr>
      <w:tr w:rsidR="00067079" w:rsidRPr="00A31BE0" w14:paraId="534C3D04" w14:textId="77777777" w:rsidTr="00E81409">
        <w:trPr>
          <w:trHeight w:val="397"/>
        </w:trPr>
        <w:tc>
          <w:tcPr>
            <w:tcW w:w="741" w:type="pct"/>
            <w:shd w:val="clear" w:color="auto" w:fill="A9D08E"/>
          </w:tcPr>
          <w:p w14:paraId="4035305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538CAAC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5681B74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2.4.2 Road Design</w:t>
            </w:r>
          </w:p>
        </w:tc>
        <w:tc>
          <w:tcPr>
            <w:tcW w:w="578" w:type="pct"/>
            <w:shd w:val="clear" w:color="auto" w:fill="FFFFFF" w:themeFill="background1"/>
          </w:tcPr>
          <w:p w14:paraId="496187E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DA73941" w14:textId="77777777" w:rsidR="00067079" w:rsidRPr="00A31BE0" w:rsidRDefault="00067079" w:rsidP="00C31A7B">
            <w:pPr>
              <w:jc w:val="center"/>
              <w:rPr>
                <w:rFonts w:ascii="Jacobs Chronos" w:hAnsi="Jacobs Chronos" w:cs="Jacobs Chronos"/>
                <w:sz w:val="16"/>
                <w:szCs w:val="16"/>
              </w:rPr>
            </w:pPr>
          </w:p>
        </w:tc>
      </w:tr>
      <w:tr w:rsidR="00067079" w:rsidRPr="00A31BE0" w14:paraId="69F61FC1" w14:textId="77777777" w:rsidTr="00E81409">
        <w:trPr>
          <w:trHeight w:val="397"/>
        </w:trPr>
        <w:tc>
          <w:tcPr>
            <w:tcW w:w="741" w:type="pct"/>
            <w:shd w:val="clear" w:color="auto" w:fill="FCE4D6"/>
          </w:tcPr>
          <w:p w14:paraId="2ECDAA7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311027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E98D0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2.4.2.1 Planning and management of timber harvesting operations must comply with this Code and relevant road design measures specified within the Management Standards and Procedures unless the road is covered by a formal roading agreement with DEPI that would supersede this requirement.</w:t>
            </w:r>
          </w:p>
        </w:tc>
        <w:tc>
          <w:tcPr>
            <w:tcW w:w="578" w:type="pct"/>
            <w:shd w:val="clear" w:color="auto" w:fill="FFFFFF" w:themeFill="background1"/>
          </w:tcPr>
          <w:p w14:paraId="2774176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BB215AC" w14:textId="77777777" w:rsidR="00067079" w:rsidRPr="00A31BE0" w:rsidRDefault="00067079" w:rsidP="00C31A7B">
            <w:pPr>
              <w:jc w:val="center"/>
              <w:rPr>
                <w:rFonts w:ascii="Jacobs Chronos" w:hAnsi="Jacobs Chronos" w:cs="Jacobs Chronos"/>
                <w:sz w:val="16"/>
                <w:szCs w:val="16"/>
              </w:rPr>
            </w:pPr>
          </w:p>
        </w:tc>
      </w:tr>
      <w:tr w:rsidR="00067079" w:rsidRPr="00A31BE0" w14:paraId="49C19427" w14:textId="77777777" w:rsidTr="00E81409">
        <w:trPr>
          <w:trHeight w:val="397"/>
        </w:trPr>
        <w:tc>
          <w:tcPr>
            <w:tcW w:w="741" w:type="pct"/>
            <w:shd w:val="clear" w:color="auto" w:fill="FFF2CC"/>
          </w:tcPr>
          <w:p w14:paraId="222D18C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71BCF0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0E1FF6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6.1.1.3 Seek engineering advice for road alignments traversing cross slopes of ≥30° or ≥25° in areas of high soil erodibility</w:t>
            </w:r>
          </w:p>
        </w:tc>
        <w:tc>
          <w:tcPr>
            <w:tcW w:w="578" w:type="pct"/>
            <w:shd w:val="clear" w:color="auto" w:fill="FFFFFF" w:themeFill="background1"/>
          </w:tcPr>
          <w:p w14:paraId="390F232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4C44CC3" w14:textId="77777777" w:rsidR="00067079" w:rsidRPr="00A31BE0" w:rsidRDefault="00067079" w:rsidP="00C31A7B">
            <w:pPr>
              <w:jc w:val="center"/>
              <w:rPr>
                <w:rFonts w:ascii="Jacobs Chronos" w:hAnsi="Jacobs Chronos" w:cs="Jacobs Chronos"/>
                <w:sz w:val="16"/>
                <w:szCs w:val="16"/>
              </w:rPr>
            </w:pPr>
          </w:p>
        </w:tc>
      </w:tr>
      <w:tr w:rsidR="00067079" w:rsidRPr="00A31BE0" w14:paraId="4FEB9457" w14:textId="77777777" w:rsidTr="00E81409">
        <w:trPr>
          <w:trHeight w:val="397"/>
        </w:trPr>
        <w:tc>
          <w:tcPr>
            <w:tcW w:w="741" w:type="pct"/>
          </w:tcPr>
          <w:p w14:paraId="225D88AB" w14:textId="77777777" w:rsidR="00067079" w:rsidRPr="00A31BE0" w:rsidRDefault="00067079" w:rsidP="00067079">
            <w:pPr>
              <w:rPr>
                <w:rFonts w:ascii="Jacobs Chronos" w:hAnsi="Jacobs Chronos" w:cs="Jacobs Chronos"/>
                <w:sz w:val="16"/>
                <w:szCs w:val="16"/>
              </w:rPr>
            </w:pPr>
          </w:p>
        </w:tc>
        <w:tc>
          <w:tcPr>
            <w:tcW w:w="392" w:type="pct"/>
          </w:tcPr>
          <w:p w14:paraId="7950BC3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16.01</w:t>
            </w:r>
          </w:p>
        </w:tc>
        <w:tc>
          <w:tcPr>
            <w:tcW w:w="2767" w:type="pct"/>
          </w:tcPr>
          <w:p w14:paraId="2950AD3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For coupes with ICRs traversing these slopes, is there evidence in the FCP of engineering advice contributing to the design of the road?</w:t>
            </w:r>
          </w:p>
        </w:tc>
        <w:tc>
          <w:tcPr>
            <w:tcW w:w="578" w:type="pct"/>
            <w:shd w:val="clear" w:color="auto" w:fill="FFFFFF" w:themeFill="background1"/>
          </w:tcPr>
          <w:p w14:paraId="17121C4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D, C</w:t>
            </w:r>
          </w:p>
        </w:tc>
        <w:tc>
          <w:tcPr>
            <w:tcW w:w="522" w:type="pct"/>
            <w:shd w:val="clear" w:color="auto" w:fill="FFFFFF" w:themeFill="background1"/>
          </w:tcPr>
          <w:p w14:paraId="2CD3AEF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D01EB1A" w14:textId="77777777" w:rsidTr="00E81409">
        <w:trPr>
          <w:trHeight w:val="397"/>
        </w:trPr>
        <w:tc>
          <w:tcPr>
            <w:tcW w:w="741" w:type="pct"/>
            <w:shd w:val="clear" w:color="auto" w:fill="FFF2CC"/>
          </w:tcPr>
          <w:p w14:paraId="1BA6B54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5865A2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E3DB52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6.1.1.4 Identify the intended class of a new road or road upgrade in accordance with the appropriate service function description in Appendix 4 Table 20 (Road classification system). </w:t>
            </w:r>
          </w:p>
        </w:tc>
        <w:tc>
          <w:tcPr>
            <w:tcW w:w="578" w:type="pct"/>
            <w:shd w:val="clear" w:color="auto" w:fill="FFFFFF" w:themeFill="background1"/>
          </w:tcPr>
          <w:p w14:paraId="505B865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23D841B" w14:textId="77777777" w:rsidR="00067079" w:rsidRPr="00A31BE0" w:rsidRDefault="00067079" w:rsidP="00C31A7B">
            <w:pPr>
              <w:jc w:val="center"/>
              <w:rPr>
                <w:rFonts w:ascii="Jacobs Chronos" w:hAnsi="Jacobs Chronos" w:cs="Jacobs Chronos"/>
                <w:sz w:val="16"/>
                <w:szCs w:val="16"/>
              </w:rPr>
            </w:pPr>
          </w:p>
        </w:tc>
      </w:tr>
      <w:tr w:rsidR="00067079" w:rsidRPr="00A31BE0" w14:paraId="3CE63518" w14:textId="77777777" w:rsidTr="00E81409">
        <w:trPr>
          <w:trHeight w:val="397"/>
        </w:trPr>
        <w:tc>
          <w:tcPr>
            <w:tcW w:w="741" w:type="pct"/>
          </w:tcPr>
          <w:p w14:paraId="7DA548D7" w14:textId="77777777" w:rsidR="00067079" w:rsidRPr="00A31BE0" w:rsidRDefault="00067079" w:rsidP="00067079">
            <w:pPr>
              <w:rPr>
                <w:rFonts w:ascii="Jacobs Chronos" w:hAnsi="Jacobs Chronos" w:cs="Jacobs Chronos"/>
                <w:sz w:val="16"/>
                <w:szCs w:val="16"/>
              </w:rPr>
            </w:pPr>
          </w:p>
        </w:tc>
        <w:tc>
          <w:tcPr>
            <w:tcW w:w="392" w:type="pct"/>
          </w:tcPr>
          <w:p w14:paraId="48E85EC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16.02</w:t>
            </w:r>
          </w:p>
        </w:tc>
        <w:tc>
          <w:tcPr>
            <w:tcW w:w="2767" w:type="pct"/>
          </w:tcPr>
          <w:p w14:paraId="158A0B0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specify the intended class of a new in coupe road or road upgrade in accordance with MSP Appendix 4 Table 18?</w:t>
            </w:r>
          </w:p>
        </w:tc>
        <w:tc>
          <w:tcPr>
            <w:tcW w:w="578" w:type="pct"/>
            <w:shd w:val="clear" w:color="auto" w:fill="FFFFFF" w:themeFill="background1"/>
          </w:tcPr>
          <w:p w14:paraId="6BD617F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 P</w:t>
            </w:r>
          </w:p>
        </w:tc>
        <w:tc>
          <w:tcPr>
            <w:tcW w:w="522" w:type="pct"/>
            <w:shd w:val="clear" w:color="auto" w:fill="FFFFFF" w:themeFill="background1"/>
          </w:tcPr>
          <w:p w14:paraId="0F61FAFB"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E36409F" w14:textId="77777777" w:rsidTr="00E81409">
        <w:trPr>
          <w:trHeight w:val="397"/>
        </w:trPr>
        <w:tc>
          <w:tcPr>
            <w:tcW w:w="741" w:type="pct"/>
            <w:shd w:val="clear" w:color="auto" w:fill="FFF2CC"/>
          </w:tcPr>
          <w:p w14:paraId="668F9F4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EDD49A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A6002C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6.1.2.4 Limit clearing widths to those specified in MSP Table 22 (Minimum clearing widths (m) required for typical road construction) plus any additional width required to construct batters.</w:t>
            </w:r>
          </w:p>
        </w:tc>
        <w:tc>
          <w:tcPr>
            <w:tcW w:w="578" w:type="pct"/>
            <w:shd w:val="clear" w:color="auto" w:fill="FFFFFF" w:themeFill="background1"/>
          </w:tcPr>
          <w:p w14:paraId="50578E7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A007285" w14:textId="77777777" w:rsidR="00067079" w:rsidRPr="00A31BE0" w:rsidRDefault="00067079" w:rsidP="00C31A7B">
            <w:pPr>
              <w:jc w:val="center"/>
              <w:rPr>
                <w:rFonts w:ascii="Jacobs Chronos" w:hAnsi="Jacobs Chronos" w:cs="Jacobs Chronos"/>
                <w:sz w:val="16"/>
                <w:szCs w:val="16"/>
              </w:rPr>
            </w:pPr>
          </w:p>
        </w:tc>
      </w:tr>
      <w:tr w:rsidR="00067079" w:rsidRPr="00A31BE0" w14:paraId="514B4BF6" w14:textId="77777777" w:rsidTr="00E81409">
        <w:trPr>
          <w:trHeight w:val="397"/>
        </w:trPr>
        <w:tc>
          <w:tcPr>
            <w:tcW w:w="741" w:type="pct"/>
          </w:tcPr>
          <w:p w14:paraId="5259C13E" w14:textId="77777777" w:rsidR="00067079" w:rsidRPr="00A31BE0" w:rsidRDefault="00067079" w:rsidP="00067079">
            <w:pPr>
              <w:rPr>
                <w:rFonts w:ascii="Jacobs Chronos" w:hAnsi="Jacobs Chronos" w:cs="Jacobs Chronos"/>
                <w:sz w:val="16"/>
                <w:szCs w:val="16"/>
              </w:rPr>
            </w:pPr>
          </w:p>
        </w:tc>
        <w:tc>
          <w:tcPr>
            <w:tcW w:w="392" w:type="pct"/>
          </w:tcPr>
          <w:p w14:paraId="58574B2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16.03</w:t>
            </w:r>
          </w:p>
        </w:tc>
        <w:tc>
          <w:tcPr>
            <w:tcW w:w="2767" w:type="pct"/>
          </w:tcPr>
          <w:p w14:paraId="27EBED8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minimum clearing width for an in-coupe road not located within the harvest area conform to the specifications in MSP Appendix 4 Table 20?</w:t>
            </w:r>
          </w:p>
        </w:tc>
        <w:tc>
          <w:tcPr>
            <w:tcW w:w="578" w:type="pct"/>
            <w:shd w:val="clear" w:color="auto" w:fill="FFFFFF" w:themeFill="background1"/>
          </w:tcPr>
          <w:p w14:paraId="2103B79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 P</w:t>
            </w:r>
          </w:p>
        </w:tc>
        <w:tc>
          <w:tcPr>
            <w:tcW w:w="522" w:type="pct"/>
            <w:shd w:val="clear" w:color="auto" w:fill="FFFFFF" w:themeFill="background1"/>
          </w:tcPr>
          <w:p w14:paraId="26A634FB"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44F703CA" w14:textId="77777777" w:rsidTr="00E81409">
        <w:trPr>
          <w:trHeight w:val="397"/>
        </w:trPr>
        <w:tc>
          <w:tcPr>
            <w:tcW w:w="741" w:type="pct"/>
            <w:shd w:val="clear" w:color="auto" w:fill="FCE4D6"/>
          </w:tcPr>
          <w:p w14:paraId="50AE00D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E634E9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02C9B9F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2.4.2.4 Stream crossings must be designed according to traffic requirements and the nature, size and period of flow (both pre and anticipated post-harvest) and characteristics of the bed and banks of the stream.</w:t>
            </w:r>
          </w:p>
        </w:tc>
        <w:tc>
          <w:tcPr>
            <w:tcW w:w="578" w:type="pct"/>
            <w:shd w:val="clear" w:color="auto" w:fill="FFFFFF" w:themeFill="background1"/>
          </w:tcPr>
          <w:p w14:paraId="0FEFEF6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2C1195F" w14:textId="77777777" w:rsidR="00067079" w:rsidRPr="00A31BE0" w:rsidRDefault="00067079" w:rsidP="00C31A7B">
            <w:pPr>
              <w:jc w:val="center"/>
              <w:rPr>
                <w:rFonts w:ascii="Jacobs Chronos" w:hAnsi="Jacobs Chronos" w:cs="Jacobs Chronos"/>
                <w:sz w:val="16"/>
                <w:szCs w:val="16"/>
              </w:rPr>
            </w:pPr>
          </w:p>
        </w:tc>
      </w:tr>
      <w:tr w:rsidR="00067079" w:rsidRPr="00A31BE0" w14:paraId="110D1895" w14:textId="77777777" w:rsidTr="00E81409">
        <w:trPr>
          <w:trHeight w:val="397"/>
        </w:trPr>
        <w:tc>
          <w:tcPr>
            <w:tcW w:w="741" w:type="pct"/>
          </w:tcPr>
          <w:p w14:paraId="535931A7" w14:textId="77777777" w:rsidR="00067079" w:rsidRPr="00A31BE0" w:rsidRDefault="00067079" w:rsidP="00067079">
            <w:pPr>
              <w:rPr>
                <w:rFonts w:ascii="Jacobs Chronos" w:hAnsi="Jacobs Chronos" w:cs="Jacobs Chronos"/>
                <w:sz w:val="16"/>
                <w:szCs w:val="16"/>
              </w:rPr>
            </w:pPr>
          </w:p>
        </w:tc>
        <w:tc>
          <w:tcPr>
            <w:tcW w:w="392" w:type="pct"/>
          </w:tcPr>
          <w:p w14:paraId="1FD2B94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16.04</w:t>
            </w:r>
          </w:p>
        </w:tc>
        <w:tc>
          <w:tcPr>
            <w:tcW w:w="2767" w:type="pct"/>
          </w:tcPr>
          <w:p w14:paraId="721A719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24.1 Does the FCP include evidence of design for the stream crossing, considering the elements specified in Code 2.4.2.4?</w:t>
            </w:r>
          </w:p>
        </w:tc>
        <w:tc>
          <w:tcPr>
            <w:tcW w:w="578" w:type="pct"/>
            <w:shd w:val="clear" w:color="auto" w:fill="FFFFFF" w:themeFill="background1"/>
          </w:tcPr>
          <w:p w14:paraId="7B84B2C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D, I</w:t>
            </w:r>
          </w:p>
        </w:tc>
        <w:tc>
          <w:tcPr>
            <w:tcW w:w="522" w:type="pct"/>
            <w:shd w:val="clear" w:color="auto" w:fill="FFFFFF" w:themeFill="background1"/>
          </w:tcPr>
          <w:p w14:paraId="2CCB5F2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3A08B1E" w14:textId="77777777" w:rsidTr="00E81409">
        <w:trPr>
          <w:trHeight w:val="397"/>
        </w:trPr>
        <w:tc>
          <w:tcPr>
            <w:tcW w:w="741" w:type="pct"/>
            <w:shd w:val="clear" w:color="auto" w:fill="A9D08E"/>
          </w:tcPr>
          <w:p w14:paraId="3E74CA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lastRenderedPageBreak/>
              <w:t>C</w:t>
            </w:r>
          </w:p>
        </w:tc>
        <w:tc>
          <w:tcPr>
            <w:tcW w:w="392" w:type="pct"/>
            <w:shd w:val="clear" w:color="auto" w:fill="A9D08E"/>
          </w:tcPr>
          <w:p w14:paraId="21827C7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25EE92F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2.4.3 Road Construction</w:t>
            </w:r>
          </w:p>
        </w:tc>
        <w:tc>
          <w:tcPr>
            <w:tcW w:w="578" w:type="pct"/>
            <w:shd w:val="clear" w:color="auto" w:fill="FFFFFF" w:themeFill="background1"/>
          </w:tcPr>
          <w:p w14:paraId="4C87DE9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3746703" w14:textId="77777777" w:rsidR="00067079" w:rsidRPr="00A31BE0" w:rsidRDefault="00067079" w:rsidP="00C31A7B">
            <w:pPr>
              <w:jc w:val="center"/>
              <w:rPr>
                <w:rFonts w:ascii="Jacobs Chronos" w:hAnsi="Jacobs Chronos" w:cs="Jacobs Chronos"/>
                <w:sz w:val="16"/>
                <w:szCs w:val="16"/>
              </w:rPr>
            </w:pPr>
          </w:p>
        </w:tc>
      </w:tr>
      <w:tr w:rsidR="00067079" w:rsidRPr="00A31BE0" w14:paraId="436FD266" w14:textId="77777777" w:rsidTr="00E81409">
        <w:trPr>
          <w:trHeight w:val="397"/>
        </w:trPr>
        <w:tc>
          <w:tcPr>
            <w:tcW w:w="741" w:type="pct"/>
            <w:shd w:val="clear" w:color="auto" w:fill="FCE4D6"/>
          </w:tcPr>
          <w:p w14:paraId="7106047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0EE6522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4E96A1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2.4.3.1 Planning and management of timber harvesting operations must comply with this Code and relevant road construction measures specified within the Management Standards and Procedures unless the road is covered by a formal roading agreement with DEPI that would supersede this requirement</w:t>
            </w:r>
          </w:p>
        </w:tc>
        <w:tc>
          <w:tcPr>
            <w:tcW w:w="578" w:type="pct"/>
            <w:shd w:val="clear" w:color="auto" w:fill="FFFFFF" w:themeFill="background1"/>
          </w:tcPr>
          <w:p w14:paraId="7997033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163242E" w14:textId="77777777" w:rsidR="00067079" w:rsidRPr="00A31BE0" w:rsidRDefault="00067079" w:rsidP="00C31A7B">
            <w:pPr>
              <w:jc w:val="center"/>
              <w:rPr>
                <w:rFonts w:ascii="Jacobs Chronos" w:hAnsi="Jacobs Chronos" w:cs="Jacobs Chronos"/>
                <w:sz w:val="16"/>
                <w:szCs w:val="16"/>
              </w:rPr>
            </w:pPr>
          </w:p>
        </w:tc>
      </w:tr>
      <w:tr w:rsidR="00067079" w:rsidRPr="00A31BE0" w14:paraId="65E8A7B4" w14:textId="77777777" w:rsidTr="00E81409">
        <w:trPr>
          <w:trHeight w:val="397"/>
        </w:trPr>
        <w:tc>
          <w:tcPr>
            <w:tcW w:w="741" w:type="pct"/>
            <w:shd w:val="clear" w:color="auto" w:fill="FCE4D6"/>
          </w:tcPr>
          <w:p w14:paraId="33E77D2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52B922C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2378DFF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2.4.3.2 Road construction must be conducted in a manner consistent with plans and designs.</w:t>
            </w:r>
          </w:p>
        </w:tc>
        <w:tc>
          <w:tcPr>
            <w:tcW w:w="578" w:type="pct"/>
            <w:shd w:val="clear" w:color="auto" w:fill="FFFFFF" w:themeFill="background1"/>
          </w:tcPr>
          <w:p w14:paraId="6F34401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28AE7BA" w14:textId="77777777" w:rsidR="00067079" w:rsidRPr="00A31BE0" w:rsidRDefault="00067079" w:rsidP="00C31A7B">
            <w:pPr>
              <w:jc w:val="center"/>
              <w:rPr>
                <w:rFonts w:ascii="Jacobs Chronos" w:hAnsi="Jacobs Chronos" w:cs="Jacobs Chronos"/>
                <w:sz w:val="16"/>
                <w:szCs w:val="16"/>
              </w:rPr>
            </w:pPr>
          </w:p>
        </w:tc>
      </w:tr>
      <w:tr w:rsidR="00067079" w:rsidRPr="00A31BE0" w14:paraId="633E6D4B" w14:textId="77777777" w:rsidTr="00E81409">
        <w:trPr>
          <w:trHeight w:val="397"/>
        </w:trPr>
        <w:tc>
          <w:tcPr>
            <w:tcW w:w="741" w:type="pct"/>
          </w:tcPr>
          <w:p w14:paraId="29769C21" w14:textId="77777777" w:rsidR="00067079" w:rsidRPr="00A31BE0" w:rsidRDefault="00067079" w:rsidP="00067079">
            <w:pPr>
              <w:rPr>
                <w:rFonts w:ascii="Jacobs Chronos" w:hAnsi="Jacobs Chronos" w:cs="Jacobs Chronos"/>
                <w:sz w:val="16"/>
                <w:szCs w:val="16"/>
              </w:rPr>
            </w:pPr>
          </w:p>
        </w:tc>
        <w:tc>
          <w:tcPr>
            <w:tcW w:w="392" w:type="pct"/>
          </w:tcPr>
          <w:p w14:paraId="46505B8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17.01</w:t>
            </w:r>
          </w:p>
        </w:tc>
        <w:tc>
          <w:tcPr>
            <w:tcW w:w="2767" w:type="pct"/>
          </w:tcPr>
          <w:p w14:paraId="13D3429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FCP provide evidence of planning and design prior to construction of the ICR?</w:t>
            </w:r>
          </w:p>
        </w:tc>
        <w:tc>
          <w:tcPr>
            <w:tcW w:w="578" w:type="pct"/>
            <w:shd w:val="clear" w:color="auto" w:fill="FFFFFF" w:themeFill="background1"/>
          </w:tcPr>
          <w:p w14:paraId="2AADCBA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w:t>
            </w:r>
          </w:p>
        </w:tc>
        <w:tc>
          <w:tcPr>
            <w:tcW w:w="522" w:type="pct"/>
            <w:shd w:val="clear" w:color="auto" w:fill="FFFFFF" w:themeFill="background1"/>
          </w:tcPr>
          <w:p w14:paraId="686AC61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8C35069" w14:textId="77777777" w:rsidTr="00E81409">
        <w:trPr>
          <w:trHeight w:val="397"/>
        </w:trPr>
        <w:tc>
          <w:tcPr>
            <w:tcW w:w="741" w:type="pct"/>
          </w:tcPr>
          <w:p w14:paraId="6CF3C9A2" w14:textId="77777777" w:rsidR="00067079" w:rsidRPr="00A31BE0" w:rsidRDefault="00067079" w:rsidP="00067079">
            <w:pPr>
              <w:rPr>
                <w:rFonts w:ascii="Jacobs Chronos" w:hAnsi="Jacobs Chronos" w:cs="Jacobs Chronos"/>
                <w:sz w:val="16"/>
                <w:szCs w:val="16"/>
              </w:rPr>
            </w:pPr>
          </w:p>
        </w:tc>
        <w:tc>
          <w:tcPr>
            <w:tcW w:w="392" w:type="pct"/>
          </w:tcPr>
          <w:p w14:paraId="5F8B419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17.02</w:t>
            </w:r>
          </w:p>
        </w:tc>
        <w:tc>
          <w:tcPr>
            <w:tcW w:w="2767" w:type="pct"/>
          </w:tcPr>
          <w:p w14:paraId="7C5F18E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construction of the ICR appropriately followed any documented plan and/or design?</w:t>
            </w:r>
          </w:p>
        </w:tc>
        <w:tc>
          <w:tcPr>
            <w:tcW w:w="578" w:type="pct"/>
            <w:shd w:val="clear" w:color="auto" w:fill="FFFFFF" w:themeFill="background1"/>
          </w:tcPr>
          <w:p w14:paraId="674C910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 C</w:t>
            </w:r>
          </w:p>
        </w:tc>
        <w:tc>
          <w:tcPr>
            <w:tcW w:w="522" w:type="pct"/>
            <w:shd w:val="clear" w:color="auto" w:fill="FFFFFF" w:themeFill="background1"/>
          </w:tcPr>
          <w:p w14:paraId="7F653586"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94</w:t>
            </w:r>
          </w:p>
        </w:tc>
      </w:tr>
      <w:tr w:rsidR="00067079" w:rsidRPr="00A31BE0" w14:paraId="4AF9C5DA" w14:textId="77777777" w:rsidTr="00E81409">
        <w:trPr>
          <w:trHeight w:val="397"/>
        </w:trPr>
        <w:tc>
          <w:tcPr>
            <w:tcW w:w="741" w:type="pct"/>
            <w:shd w:val="clear" w:color="auto" w:fill="FFF2CC"/>
          </w:tcPr>
          <w:p w14:paraId="27F0BA5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92A630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A266DF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MSP 6.2.1.1 Undertake road construction when rainfall and soil conditions minimise the risk of erosion and impact on water quality, and when soil moisture is adequate to achieve compaction and stabilisation of the sub‐grade. </w:t>
            </w:r>
          </w:p>
        </w:tc>
        <w:tc>
          <w:tcPr>
            <w:tcW w:w="578" w:type="pct"/>
            <w:shd w:val="clear" w:color="auto" w:fill="FFFFFF" w:themeFill="background1"/>
          </w:tcPr>
          <w:p w14:paraId="3F5690A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6F909CC" w14:textId="77777777" w:rsidR="00067079" w:rsidRPr="00A31BE0" w:rsidRDefault="00067079" w:rsidP="00C31A7B">
            <w:pPr>
              <w:jc w:val="center"/>
              <w:rPr>
                <w:rFonts w:ascii="Jacobs Chronos" w:hAnsi="Jacobs Chronos" w:cs="Jacobs Chronos"/>
                <w:sz w:val="16"/>
                <w:szCs w:val="16"/>
              </w:rPr>
            </w:pPr>
          </w:p>
        </w:tc>
      </w:tr>
      <w:tr w:rsidR="00067079" w:rsidRPr="00A31BE0" w14:paraId="1982BB55" w14:textId="77777777" w:rsidTr="00E81409">
        <w:trPr>
          <w:trHeight w:val="397"/>
        </w:trPr>
        <w:tc>
          <w:tcPr>
            <w:tcW w:w="741" w:type="pct"/>
          </w:tcPr>
          <w:p w14:paraId="6B282804" w14:textId="77777777" w:rsidR="00067079" w:rsidRPr="00A31BE0" w:rsidRDefault="00067079" w:rsidP="00067079">
            <w:pPr>
              <w:rPr>
                <w:rFonts w:ascii="Jacobs Chronos" w:hAnsi="Jacobs Chronos" w:cs="Jacobs Chronos"/>
                <w:sz w:val="16"/>
                <w:szCs w:val="16"/>
              </w:rPr>
            </w:pPr>
          </w:p>
        </w:tc>
        <w:tc>
          <w:tcPr>
            <w:tcW w:w="392" w:type="pct"/>
          </w:tcPr>
          <w:p w14:paraId="7E9409E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17.03</w:t>
            </w:r>
          </w:p>
        </w:tc>
        <w:tc>
          <w:tcPr>
            <w:tcW w:w="2767" w:type="pct"/>
          </w:tcPr>
          <w:p w14:paraId="104CC4D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is there evidence that the timing of road construction was inconsistent with the requirement to minimise the risk of erosion and impact on water quality?</w:t>
            </w:r>
          </w:p>
        </w:tc>
        <w:tc>
          <w:tcPr>
            <w:tcW w:w="578" w:type="pct"/>
            <w:shd w:val="clear" w:color="auto" w:fill="FFFFFF" w:themeFill="background1"/>
          </w:tcPr>
          <w:p w14:paraId="6C28A24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 C</w:t>
            </w:r>
          </w:p>
        </w:tc>
        <w:tc>
          <w:tcPr>
            <w:tcW w:w="522" w:type="pct"/>
            <w:shd w:val="clear" w:color="auto" w:fill="FFFFFF" w:themeFill="background1"/>
          </w:tcPr>
          <w:p w14:paraId="6DE5874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B269BC3" w14:textId="77777777" w:rsidTr="00E81409">
        <w:trPr>
          <w:trHeight w:val="397"/>
        </w:trPr>
        <w:tc>
          <w:tcPr>
            <w:tcW w:w="741" w:type="pct"/>
            <w:shd w:val="clear" w:color="auto" w:fill="FFF2CC"/>
          </w:tcPr>
          <w:p w14:paraId="475962F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B35F18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F7F751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6.2.1.5 Create table drains by extending the road when it is formed, and not by subsequent excavation.</w:t>
            </w:r>
          </w:p>
        </w:tc>
        <w:tc>
          <w:tcPr>
            <w:tcW w:w="578" w:type="pct"/>
            <w:shd w:val="clear" w:color="auto" w:fill="FFFFFF" w:themeFill="background1"/>
          </w:tcPr>
          <w:p w14:paraId="07BB3A1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4B126B4" w14:textId="77777777" w:rsidR="00067079" w:rsidRPr="00A31BE0" w:rsidRDefault="00067079" w:rsidP="00C31A7B">
            <w:pPr>
              <w:jc w:val="center"/>
              <w:rPr>
                <w:rFonts w:ascii="Jacobs Chronos" w:hAnsi="Jacobs Chronos" w:cs="Jacobs Chronos"/>
                <w:sz w:val="16"/>
                <w:szCs w:val="16"/>
              </w:rPr>
            </w:pPr>
          </w:p>
        </w:tc>
      </w:tr>
      <w:tr w:rsidR="00067079" w:rsidRPr="00A31BE0" w14:paraId="545AAB79" w14:textId="77777777" w:rsidTr="00E81409">
        <w:trPr>
          <w:trHeight w:val="397"/>
        </w:trPr>
        <w:tc>
          <w:tcPr>
            <w:tcW w:w="741" w:type="pct"/>
          </w:tcPr>
          <w:p w14:paraId="63324F8B" w14:textId="77777777" w:rsidR="00067079" w:rsidRPr="00A31BE0" w:rsidRDefault="00067079" w:rsidP="00067079">
            <w:pPr>
              <w:rPr>
                <w:rFonts w:ascii="Jacobs Chronos" w:hAnsi="Jacobs Chronos" w:cs="Jacobs Chronos"/>
                <w:sz w:val="16"/>
                <w:szCs w:val="16"/>
              </w:rPr>
            </w:pPr>
          </w:p>
        </w:tc>
        <w:tc>
          <w:tcPr>
            <w:tcW w:w="392" w:type="pct"/>
          </w:tcPr>
          <w:p w14:paraId="1C22812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17.04</w:t>
            </w:r>
          </w:p>
        </w:tc>
        <w:tc>
          <w:tcPr>
            <w:tcW w:w="2767" w:type="pct"/>
          </w:tcPr>
          <w:p w14:paraId="72C29AF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table drains have been formed by subsequent excavation?</w:t>
            </w:r>
          </w:p>
        </w:tc>
        <w:tc>
          <w:tcPr>
            <w:tcW w:w="578" w:type="pct"/>
            <w:shd w:val="clear" w:color="auto" w:fill="FFFFFF" w:themeFill="background1"/>
          </w:tcPr>
          <w:p w14:paraId="2EBF42E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522" w:type="pct"/>
            <w:shd w:val="clear" w:color="auto" w:fill="FFFFFF" w:themeFill="background1"/>
          </w:tcPr>
          <w:p w14:paraId="7A77789A"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95C7C75" w14:textId="77777777" w:rsidTr="00E81409">
        <w:trPr>
          <w:trHeight w:val="397"/>
        </w:trPr>
        <w:tc>
          <w:tcPr>
            <w:tcW w:w="741" w:type="pct"/>
            <w:shd w:val="clear" w:color="auto" w:fill="FFF2CC"/>
          </w:tcPr>
          <w:p w14:paraId="357120C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003CB6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CA04A4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6.2.1.6 Limit earthworks to the least possible to achieve the road design specification.</w:t>
            </w:r>
          </w:p>
        </w:tc>
        <w:tc>
          <w:tcPr>
            <w:tcW w:w="578" w:type="pct"/>
            <w:shd w:val="clear" w:color="auto" w:fill="FFFFFF" w:themeFill="background1"/>
          </w:tcPr>
          <w:p w14:paraId="6C4F31C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53690C4" w14:textId="77777777" w:rsidR="00067079" w:rsidRPr="00A31BE0" w:rsidRDefault="00067079" w:rsidP="00C31A7B">
            <w:pPr>
              <w:jc w:val="center"/>
              <w:rPr>
                <w:rFonts w:ascii="Jacobs Chronos" w:hAnsi="Jacobs Chronos" w:cs="Jacobs Chronos"/>
                <w:sz w:val="16"/>
                <w:szCs w:val="16"/>
              </w:rPr>
            </w:pPr>
          </w:p>
        </w:tc>
      </w:tr>
      <w:tr w:rsidR="00067079" w:rsidRPr="00A31BE0" w14:paraId="764E405E" w14:textId="77777777" w:rsidTr="00E81409">
        <w:trPr>
          <w:trHeight w:val="397"/>
        </w:trPr>
        <w:tc>
          <w:tcPr>
            <w:tcW w:w="741" w:type="pct"/>
          </w:tcPr>
          <w:p w14:paraId="3C1F5265" w14:textId="77777777" w:rsidR="00067079" w:rsidRPr="00A31BE0" w:rsidRDefault="00067079" w:rsidP="00067079">
            <w:pPr>
              <w:rPr>
                <w:rFonts w:ascii="Jacobs Chronos" w:hAnsi="Jacobs Chronos" w:cs="Jacobs Chronos"/>
                <w:sz w:val="16"/>
                <w:szCs w:val="16"/>
              </w:rPr>
            </w:pPr>
          </w:p>
        </w:tc>
        <w:tc>
          <w:tcPr>
            <w:tcW w:w="392" w:type="pct"/>
          </w:tcPr>
          <w:p w14:paraId="18A8C7E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17.05</w:t>
            </w:r>
          </w:p>
        </w:tc>
        <w:tc>
          <w:tcPr>
            <w:tcW w:w="2767" w:type="pct"/>
          </w:tcPr>
          <w:p w14:paraId="1E08DEC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are the earthworks for an ICR a reasonable minimum to achieve the road design specification?</w:t>
            </w:r>
          </w:p>
        </w:tc>
        <w:tc>
          <w:tcPr>
            <w:tcW w:w="578" w:type="pct"/>
            <w:shd w:val="clear" w:color="auto" w:fill="FFFFFF" w:themeFill="background1"/>
          </w:tcPr>
          <w:p w14:paraId="555647B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C</w:t>
            </w:r>
          </w:p>
        </w:tc>
        <w:tc>
          <w:tcPr>
            <w:tcW w:w="522" w:type="pct"/>
            <w:shd w:val="clear" w:color="auto" w:fill="FFFFFF" w:themeFill="background1"/>
          </w:tcPr>
          <w:p w14:paraId="6A08FFE7"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8AC12BB" w14:textId="77777777" w:rsidTr="00C31A7B">
        <w:trPr>
          <w:trHeight w:val="397"/>
        </w:trPr>
        <w:tc>
          <w:tcPr>
            <w:tcW w:w="741" w:type="pct"/>
          </w:tcPr>
          <w:p w14:paraId="3308553A" w14:textId="77777777" w:rsidR="00067079" w:rsidRPr="00A31BE0" w:rsidRDefault="00067079" w:rsidP="00067079">
            <w:pPr>
              <w:rPr>
                <w:rFonts w:ascii="Jacobs Chronos" w:hAnsi="Jacobs Chronos" w:cs="Jacobs Chronos"/>
                <w:sz w:val="16"/>
                <w:szCs w:val="16"/>
              </w:rPr>
            </w:pPr>
          </w:p>
        </w:tc>
        <w:tc>
          <w:tcPr>
            <w:tcW w:w="392" w:type="pct"/>
            <w:shd w:val="clear" w:color="auto" w:fill="CEEAB0"/>
          </w:tcPr>
          <w:p w14:paraId="61BA6E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CEEAB0"/>
          </w:tcPr>
          <w:p w14:paraId="4826972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6.2.2 Fill batter construction</w:t>
            </w:r>
          </w:p>
        </w:tc>
        <w:tc>
          <w:tcPr>
            <w:tcW w:w="578" w:type="pct"/>
            <w:shd w:val="clear" w:color="auto" w:fill="FFFFFF" w:themeFill="background1"/>
          </w:tcPr>
          <w:p w14:paraId="0B82885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9B465A4" w14:textId="77777777" w:rsidR="00067079" w:rsidRPr="00A31BE0" w:rsidRDefault="00067079" w:rsidP="00C31A7B">
            <w:pPr>
              <w:jc w:val="center"/>
              <w:rPr>
                <w:rFonts w:ascii="Jacobs Chronos" w:hAnsi="Jacobs Chronos" w:cs="Jacobs Chronos"/>
                <w:sz w:val="16"/>
                <w:szCs w:val="16"/>
              </w:rPr>
            </w:pPr>
          </w:p>
        </w:tc>
      </w:tr>
      <w:tr w:rsidR="00067079" w:rsidRPr="00A31BE0" w14:paraId="6E4AD8BF" w14:textId="77777777" w:rsidTr="00E81409">
        <w:trPr>
          <w:trHeight w:val="397"/>
        </w:trPr>
        <w:tc>
          <w:tcPr>
            <w:tcW w:w="741" w:type="pct"/>
            <w:shd w:val="clear" w:color="auto" w:fill="FCE4D6"/>
          </w:tcPr>
          <w:p w14:paraId="4C5754B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4D59E6F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0CFD8C1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2.4.3.3 All fill disposal areas and embankments must be appropriately stabilised. Where revegetation is used to stabilise fills or embankments, the species must be suitable for the site and where possible indigenous to the area.</w:t>
            </w:r>
          </w:p>
        </w:tc>
        <w:tc>
          <w:tcPr>
            <w:tcW w:w="578" w:type="pct"/>
            <w:shd w:val="clear" w:color="auto" w:fill="FFFFFF" w:themeFill="background1"/>
          </w:tcPr>
          <w:p w14:paraId="75F2F37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473ECAA" w14:textId="77777777" w:rsidR="00067079" w:rsidRPr="00A31BE0" w:rsidRDefault="00067079" w:rsidP="00C31A7B">
            <w:pPr>
              <w:jc w:val="center"/>
              <w:rPr>
                <w:rFonts w:ascii="Jacobs Chronos" w:hAnsi="Jacobs Chronos" w:cs="Jacobs Chronos"/>
                <w:sz w:val="16"/>
                <w:szCs w:val="16"/>
              </w:rPr>
            </w:pPr>
          </w:p>
        </w:tc>
      </w:tr>
      <w:tr w:rsidR="00067079" w:rsidRPr="00A31BE0" w14:paraId="123D1BDE" w14:textId="77777777" w:rsidTr="00E81409">
        <w:trPr>
          <w:trHeight w:val="397"/>
        </w:trPr>
        <w:tc>
          <w:tcPr>
            <w:tcW w:w="741" w:type="pct"/>
          </w:tcPr>
          <w:p w14:paraId="486A10EC" w14:textId="77777777" w:rsidR="00067079" w:rsidRPr="00A31BE0" w:rsidRDefault="00067079" w:rsidP="00067079">
            <w:pPr>
              <w:rPr>
                <w:rFonts w:ascii="Jacobs Chronos" w:hAnsi="Jacobs Chronos" w:cs="Jacobs Chronos"/>
                <w:sz w:val="16"/>
                <w:szCs w:val="16"/>
              </w:rPr>
            </w:pPr>
          </w:p>
        </w:tc>
        <w:tc>
          <w:tcPr>
            <w:tcW w:w="392" w:type="pct"/>
          </w:tcPr>
          <w:p w14:paraId="2817F93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18.01</w:t>
            </w:r>
          </w:p>
        </w:tc>
        <w:tc>
          <w:tcPr>
            <w:tcW w:w="2767" w:type="pct"/>
          </w:tcPr>
          <w:p w14:paraId="3ABF7C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of instability and sediment movement from any fill disposal areas or embankments?</w:t>
            </w:r>
          </w:p>
        </w:tc>
        <w:tc>
          <w:tcPr>
            <w:tcW w:w="578" w:type="pct"/>
            <w:shd w:val="clear" w:color="auto" w:fill="FFFFFF" w:themeFill="background1"/>
          </w:tcPr>
          <w:p w14:paraId="5F279B4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C, I</w:t>
            </w:r>
          </w:p>
        </w:tc>
        <w:tc>
          <w:tcPr>
            <w:tcW w:w="522" w:type="pct"/>
            <w:shd w:val="clear" w:color="auto" w:fill="FFFFFF" w:themeFill="background1"/>
          </w:tcPr>
          <w:p w14:paraId="0D7D128B"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88</w:t>
            </w:r>
          </w:p>
        </w:tc>
      </w:tr>
      <w:tr w:rsidR="00067079" w:rsidRPr="00A31BE0" w14:paraId="4B742DF3" w14:textId="77777777" w:rsidTr="00E81409">
        <w:trPr>
          <w:trHeight w:val="397"/>
        </w:trPr>
        <w:tc>
          <w:tcPr>
            <w:tcW w:w="741" w:type="pct"/>
            <w:shd w:val="clear" w:color="auto" w:fill="FFF2CC"/>
          </w:tcPr>
          <w:p w14:paraId="4D62BE0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02217F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6FD783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6.2.2.1 Minimise fill batters from covering the base of live trees. </w:t>
            </w:r>
          </w:p>
        </w:tc>
        <w:tc>
          <w:tcPr>
            <w:tcW w:w="578" w:type="pct"/>
            <w:shd w:val="clear" w:color="auto" w:fill="FFFFFF" w:themeFill="background1"/>
          </w:tcPr>
          <w:p w14:paraId="14FA36B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E10F42C" w14:textId="77777777" w:rsidR="00067079" w:rsidRPr="00A31BE0" w:rsidRDefault="00067079" w:rsidP="00C31A7B">
            <w:pPr>
              <w:jc w:val="center"/>
              <w:rPr>
                <w:rFonts w:ascii="Jacobs Chronos" w:hAnsi="Jacobs Chronos" w:cs="Jacobs Chronos"/>
                <w:sz w:val="16"/>
                <w:szCs w:val="16"/>
              </w:rPr>
            </w:pPr>
          </w:p>
        </w:tc>
      </w:tr>
      <w:tr w:rsidR="00067079" w:rsidRPr="00A31BE0" w14:paraId="269D4B97" w14:textId="77777777" w:rsidTr="00E81409">
        <w:trPr>
          <w:trHeight w:val="397"/>
        </w:trPr>
        <w:tc>
          <w:tcPr>
            <w:tcW w:w="741" w:type="pct"/>
            <w:shd w:val="clear" w:color="auto" w:fill="FFF2CC"/>
          </w:tcPr>
          <w:p w14:paraId="4313A7A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414A75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764620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6.2.2.3 Stabilise fill batters using mechanical consolidation where practical, to manage any soil movement away from the fill area</w:t>
            </w:r>
          </w:p>
        </w:tc>
        <w:tc>
          <w:tcPr>
            <w:tcW w:w="578" w:type="pct"/>
            <w:shd w:val="clear" w:color="auto" w:fill="FFFFFF" w:themeFill="background1"/>
          </w:tcPr>
          <w:p w14:paraId="3110E9C7"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0E54537" w14:textId="77777777" w:rsidR="00067079" w:rsidRPr="00A31BE0" w:rsidRDefault="00067079" w:rsidP="00C31A7B">
            <w:pPr>
              <w:jc w:val="center"/>
              <w:rPr>
                <w:rFonts w:ascii="Jacobs Chronos" w:hAnsi="Jacobs Chronos" w:cs="Jacobs Chronos"/>
                <w:sz w:val="16"/>
                <w:szCs w:val="16"/>
              </w:rPr>
            </w:pPr>
          </w:p>
        </w:tc>
      </w:tr>
      <w:tr w:rsidR="00067079" w:rsidRPr="00A31BE0" w14:paraId="140BCFBD" w14:textId="77777777" w:rsidTr="00E81409">
        <w:trPr>
          <w:trHeight w:val="397"/>
        </w:trPr>
        <w:tc>
          <w:tcPr>
            <w:tcW w:w="741" w:type="pct"/>
          </w:tcPr>
          <w:p w14:paraId="7B699606" w14:textId="77777777" w:rsidR="00067079" w:rsidRPr="00A31BE0" w:rsidRDefault="00067079" w:rsidP="00067079">
            <w:pPr>
              <w:rPr>
                <w:rFonts w:ascii="Jacobs Chronos" w:hAnsi="Jacobs Chronos" w:cs="Jacobs Chronos"/>
                <w:sz w:val="16"/>
                <w:szCs w:val="16"/>
              </w:rPr>
            </w:pPr>
          </w:p>
        </w:tc>
        <w:tc>
          <w:tcPr>
            <w:tcW w:w="392" w:type="pct"/>
          </w:tcPr>
          <w:p w14:paraId="1CAD70E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18.02</w:t>
            </w:r>
          </w:p>
        </w:tc>
        <w:tc>
          <w:tcPr>
            <w:tcW w:w="2767" w:type="pct"/>
          </w:tcPr>
          <w:p w14:paraId="44D0DFD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any coverage of the base of live, retained trees by fill batters been minimised?</w:t>
            </w:r>
          </w:p>
        </w:tc>
        <w:tc>
          <w:tcPr>
            <w:tcW w:w="578" w:type="pct"/>
            <w:shd w:val="clear" w:color="auto" w:fill="FFFFFF" w:themeFill="background1"/>
          </w:tcPr>
          <w:p w14:paraId="1C278B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C, I</w:t>
            </w:r>
          </w:p>
        </w:tc>
        <w:tc>
          <w:tcPr>
            <w:tcW w:w="522" w:type="pct"/>
            <w:shd w:val="clear" w:color="auto" w:fill="FFFFFF" w:themeFill="background1"/>
          </w:tcPr>
          <w:p w14:paraId="3417E72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6B78FE7" w14:textId="77777777" w:rsidTr="00E81409">
        <w:trPr>
          <w:trHeight w:val="397"/>
        </w:trPr>
        <w:tc>
          <w:tcPr>
            <w:tcW w:w="741" w:type="pct"/>
          </w:tcPr>
          <w:p w14:paraId="242D2FD9" w14:textId="77777777" w:rsidR="00067079" w:rsidRPr="00A31BE0" w:rsidRDefault="00067079" w:rsidP="00067079">
            <w:pPr>
              <w:rPr>
                <w:rFonts w:ascii="Jacobs Chronos" w:hAnsi="Jacobs Chronos" w:cs="Jacobs Chronos"/>
                <w:sz w:val="16"/>
                <w:szCs w:val="16"/>
              </w:rPr>
            </w:pPr>
          </w:p>
        </w:tc>
        <w:tc>
          <w:tcPr>
            <w:tcW w:w="392" w:type="pct"/>
          </w:tcPr>
          <w:p w14:paraId="7491556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18.03</w:t>
            </w:r>
          </w:p>
        </w:tc>
        <w:tc>
          <w:tcPr>
            <w:tcW w:w="2767" w:type="pct"/>
          </w:tcPr>
          <w:p w14:paraId="0686F5E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larger fill batters been effectively consolidated to, where reasonably practicable, manage soil movement away from the fill area</w:t>
            </w:r>
          </w:p>
        </w:tc>
        <w:tc>
          <w:tcPr>
            <w:tcW w:w="578" w:type="pct"/>
            <w:shd w:val="clear" w:color="auto" w:fill="FFFFFF" w:themeFill="background1"/>
          </w:tcPr>
          <w:p w14:paraId="0294D83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C, I</w:t>
            </w:r>
          </w:p>
        </w:tc>
        <w:tc>
          <w:tcPr>
            <w:tcW w:w="522" w:type="pct"/>
            <w:shd w:val="clear" w:color="auto" w:fill="FFFFFF" w:themeFill="background1"/>
          </w:tcPr>
          <w:p w14:paraId="2337976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83</w:t>
            </w:r>
          </w:p>
        </w:tc>
      </w:tr>
      <w:tr w:rsidR="00067079" w:rsidRPr="00A31BE0" w14:paraId="5DB23D24" w14:textId="77777777" w:rsidTr="00C31A7B">
        <w:trPr>
          <w:trHeight w:val="397"/>
        </w:trPr>
        <w:tc>
          <w:tcPr>
            <w:tcW w:w="741" w:type="pct"/>
          </w:tcPr>
          <w:p w14:paraId="6B1860B7" w14:textId="77777777" w:rsidR="00067079" w:rsidRPr="00A31BE0" w:rsidRDefault="00067079" w:rsidP="00067079">
            <w:pPr>
              <w:rPr>
                <w:rFonts w:ascii="Jacobs Chronos" w:hAnsi="Jacobs Chronos" w:cs="Jacobs Chronos"/>
                <w:sz w:val="16"/>
                <w:szCs w:val="16"/>
              </w:rPr>
            </w:pPr>
          </w:p>
        </w:tc>
        <w:tc>
          <w:tcPr>
            <w:tcW w:w="392" w:type="pct"/>
            <w:shd w:val="clear" w:color="auto" w:fill="CEEAB0"/>
          </w:tcPr>
          <w:p w14:paraId="2143377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CEEAB0"/>
          </w:tcPr>
          <w:p w14:paraId="2AB42BD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6.2.4 Road drainage</w:t>
            </w:r>
          </w:p>
        </w:tc>
        <w:tc>
          <w:tcPr>
            <w:tcW w:w="578" w:type="pct"/>
            <w:shd w:val="clear" w:color="auto" w:fill="FFFFFF" w:themeFill="background1"/>
          </w:tcPr>
          <w:p w14:paraId="5D02E63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346C9A2" w14:textId="77777777" w:rsidR="00067079" w:rsidRPr="00A31BE0" w:rsidRDefault="00067079" w:rsidP="00C31A7B">
            <w:pPr>
              <w:jc w:val="center"/>
              <w:rPr>
                <w:rFonts w:ascii="Jacobs Chronos" w:hAnsi="Jacobs Chronos" w:cs="Jacobs Chronos"/>
                <w:sz w:val="16"/>
                <w:szCs w:val="16"/>
              </w:rPr>
            </w:pPr>
          </w:p>
        </w:tc>
      </w:tr>
      <w:tr w:rsidR="00067079" w:rsidRPr="00A31BE0" w14:paraId="2E2C76E1" w14:textId="77777777" w:rsidTr="00E81409">
        <w:trPr>
          <w:trHeight w:val="397"/>
        </w:trPr>
        <w:tc>
          <w:tcPr>
            <w:tcW w:w="741" w:type="pct"/>
            <w:shd w:val="clear" w:color="auto" w:fill="FCE4D6"/>
          </w:tcPr>
          <w:p w14:paraId="19E0807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54AE49A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D4B4F8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2.4.2.5 Appropriate drainage must be provided. Spacing of drainage outlets along a road must take into account the soil erodibility, rainfall frequency and intensity, and the proximity of the road to streams.</w:t>
            </w:r>
          </w:p>
        </w:tc>
        <w:tc>
          <w:tcPr>
            <w:tcW w:w="578" w:type="pct"/>
            <w:shd w:val="clear" w:color="auto" w:fill="FFFFFF" w:themeFill="background1"/>
          </w:tcPr>
          <w:p w14:paraId="0D369DB3"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34CA397" w14:textId="77777777" w:rsidR="00067079" w:rsidRPr="00A31BE0" w:rsidRDefault="00067079" w:rsidP="00C31A7B">
            <w:pPr>
              <w:jc w:val="center"/>
              <w:rPr>
                <w:rFonts w:ascii="Jacobs Chronos" w:hAnsi="Jacobs Chronos" w:cs="Jacobs Chronos"/>
                <w:sz w:val="16"/>
                <w:szCs w:val="16"/>
              </w:rPr>
            </w:pPr>
          </w:p>
        </w:tc>
      </w:tr>
      <w:tr w:rsidR="00067079" w:rsidRPr="00A31BE0" w14:paraId="21DEC9E8" w14:textId="77777777" w:rsidTr="00E81409">
        <w:trPr>
          <w:trHeight w:val="397"/>
        </w:trPr>
        <w:tc>
          <w:tcPr>
            <w:tcW w:w="741" w:type="pct"/>
            <w:shd w:val="clear" w:color="auto" w:fill="FFF2CC"/>
          </w:tcPr>
          <w:p w14:paraId="7AD950D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DFFDE7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C064D4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6.2.4.1 The maximum distance between drainage structures for road grade and soil erosion hazard is specified in Table 23.</w:t>
            </w:r>
          </w:p>
        </w:tc>
        <w:tc>
          <w:tcPr>
            <w:tcW w:w="578" w:type="pct"/>
            <w:shd w:val="clear" w:color="auto" w:fill="FFFFFF" w:themeFill="background1"/>
          </w:tcPr>
          <w:p w14:paraId="78CF72B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9717D40" w14:textId="77777777" w:rsidR="00067079" w:rsidRPr="00A31BE0" w:rsidRDefault="00067079" w:rsidP="00C31A7B">
            <w:pPr>
              <w:jc w:val="center"/>
              <w:rPr>
                <w:rFonts w:ascii="Jacobs Chronos" w:hAnsi="Jacobs Chronos" w:cs="Jacobs Chronos"/>
                <w:sz w:val="16"/>
                <w:szCs w:val="16"/>
              </w:rPr>
            </w:pPr>
          </w:p>
        </w:tc>
      </w:tr>
      <w:tr w:rsidR="00067079" w:rsidRPr="00A31BE0" w14:paraId="57863355" w14:textId="77777777" w:rsidTr="00E81409">
        <w:trPr>
          <w:trHeight w:val="397"/>
        </w:trPr>
        <w:tc>
          <w:tcPr>
            <w:tcW w:w="741" w:type="pct"/>
            <w:shd w:val="clear" w:color="auto" w:fill="FFF2CC"/>
          </w:tcPr>
          <w:p w14:paraId="7AF491F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3906B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67ACA5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6.2.4.2 Construct cross‐drains at an angle sufficient to discharge any water from the surface of the road. </w:t>
            </w:r>
          </w:p>
        </w:tc>
        <w:tc>
          <w:tcPr>
            <w:tcW w:w="578" w:type="pct"/>
            <w:shd w:val="clear" w:color="auto" w:fill="FFFFFF" w:themeFill="background1"/>
          </w:tcPr>
          <w:p w14:paraId="4FB0C4A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B74B666" w14:textId="77777777" w:rsidR="00067079" w:rsidRPr="00A31BE0" w:rsidRDefault="00067079" w:rsidP="00C31A7B">
            <w:pPr>
              <w:jc w:val="center"/>
              <w:rPr>
                <w:rFonts w:ascii="Jacobs Chronos" w:hAnsi="Jacobs Chronos" w:cs="Jacobs Chronos"/>
                <w:sz w:val="16"/>
                <w:szCs w:val="16"/>
              </w:rPr>
            </w:pPr>
          </w:p>
        </w:tc>
      </w:tr>
      <w:tr w:rsidR="00067079" w:rsidRPr="00A31BE0" w14:paraId="79F692B9" w14:textId="77777777" w:rsidTr="00E81409">
        <w:trPr>
          <w:trHeight w:val="397"/>
        </w:trPr>
        <w:tc>
          <w:tcPr>
            <w:tcW w:w="741" w:type="pct"/>
            <w:shd w:val="clear" w:color="auto" w:fill="FFF2CC"/>
          </w:tcPr>
          <w:p w14:paraId="526C1A4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838B37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249B35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6.2.4.3 On soils of high erosion hazard, use temporary sediment traps to prevent erosion during road construction</w:t>
            </w:r>
          </w:p>
        </w:tc>
        <w:tc>
          <w:tcPr>
            <w:tcW w:w="578" w:type="pct"/>
            <w:shd w:val="clear" w:color="auto" w:fill="FFFFFF" w:themeFill="background1"/>
          </w:tcPr>
          <w:p w14:paraId="707326D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CA6E6F2" w14:textId="77777777" w:rsidR="00067079" w:rsidRPr="00A31BE0" w:rsidRDefault="00067079" w:rsidP="00C31A7B">
            <w:pPr>
              <w:jc w:val="center"/>
              <w:rPr>
                <w:rFonts w:ascii="Jacobs Chronos" w:hAnsi="Jacobs Chronos" w:cs="Jacobs Chronos"/>
                <w:sz w:val="16"/>
                <w:szCs w:val="16"/>
              </w:rPr>
            </w:pPr>
          </w:p>
        </w:tc>
      </w:tr>
      <w:tr w:rsidR="00067079" w:rsidRPr="00A31BE0" w14:paraId="72A8EA80" w14:textId="77777777" w:rsidTr="00E81409">
        <w:trPr>
          <w:trHeight w:val="397"/>
        </w:trPr>
        <w:tc>
          <w:tcPr>
            <w:tcW w:w="741" w:type="pct"/>
          </w:tcPr>
          <w:p w14:paraId="0367C7FC" w14:textId="77777777" w:rsidR="00067079" w:rsidRPr="00A31BE0" w:rsidRDefault="00067079" w:rsidP="00067079">
            <w:pPr>
              <w:rPr>
                <w:rFonts w:ascii="Jacobs Chronos" w:hAnsi="Jacobs Chronos" w:cs="Jacobs Chronos"/>
                <w:sz w:val="16"/>
                <w:szCs w:val="16"/>
              </w:rPr>
            </w:pPr>
          </w:p>
        </w:tc>
        <w:tc>
          <w:tcPr>
            <w:tcW w:w="392" w:type="pct"/>
          </w:tcPr>
          <w:p w14:paraId="3F6FBCE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19.01</w:t>
            </w:r>
          </w:p>
        </w:tc>
        <w:tc>
          <w:tcPr>
            <w:tcW w:w="2767" w:type="pct"/>
          </w:tcPr>
          <w:p w14:paraId="3CAFBAA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spacing between road drainage structures conform with the specifications of MSP Table 23?</w:t>
            </w:r>
          </w:p>
        </w:tc>
        <w:tc>
          <w:tcPr>
            <w:tcW w:w="578" w:type="pct"/>
            <w:shd w:val="clear" w:color="auto" w:fill="FFFFFF" w:themeFill="background1"/>
          </w:tcPr>
          <w:p w14:paraId="3C98310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522" w:type="pct"/>
            <w:shd w:val="clear" w:color="auto" w:fill="FFFFFF" w:themeFill="background1"/>
          </w:tcPr>
          <w:p w14:paraId="359D67EE"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76</w:t>
            </w:r>
          </w:p>
        </w:tc>
      </w:tr>
      <w:tr w:rsidR="00067079" w:rsidRPr="00A31BE0" w14:paraId="17D39B9F" w14:textId="77777777" w:rsidTr="00E81409">
        <w:trPr>
          <w:trHeight w:val="397"/>
        </w:trPr>
        <w:tc>
          <w:tcPr>
            <w:tcW w:w="741" w:type="pct"/>
          </w:tcPr>
          <w:p w14:paraId="553936EC" w14:textId="77777777" w:rsidR="00067079" w:rsidRPr="00A31BE0" w:rsidRDefault="00067079" w:rsidP="00067079">
            <w:pPr>
              <w:rPr>
                <w:rFonts w:ascii="Jacobs Chronos" w:hAnsi="Jacobs Chronos" w:cs="Jacobs Chronos"/>
                <w:sz w:val="16"/>
                <w:szCs w:val="16"/>
              </w:rPr>
            </w:pPr>
          </w:p>
        </w:tc>
        <w:tc>
          <w:tcPr>
            <w:tcW w:w="392" w:type="pct"/>
          </w:tcPr>
          <w:p w14:paraId="0EFCD07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19.02</w:t>
            </w:r>
          </w:p>
        </w:tc>
        <w:tc>
          <w:tcPr>
            <w:tcW w:w="2767" w:type="pct"/>
          </w:tcPr>
          <w:p w14:paraId="13D6C2D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cross drains been constructed at sufficient angle to discharge any water from the surface of the road?</w:t>
            </w:r>
          </w:p>
        </w:tc>
        <w:tc>
          <w:tcPr>
            <w:tcW w:w="578" w:type="pct"/>
            <w:shd w:val="clear" w:color="auto" w:fill="FFFFFF" w:themeFill="background1"/>
          </w:tcPr>
          <w:p w14:paraId="30FEA3B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522" w:type="pct"/>
            <w:shd w:val="clear" w:color="auto" w:fill="FFFFFF" w:themeFill="background1"/>
          </w:tcPr>
          <w:p w14:paraId="33DBF1A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94</w:t>
            </w:r>
          </w:p>
        </w:tc>
      </w:tr>
      <w:tr w:rsidR="00067079" w:rsidRPr="00A31BE0" w14:paraId="7BB8A894" w14:textId="77777777" w:rsidTr="00E81409">
        <w:trPr>
          <w:trHeight w:val="397"/>
        </w:trPr>
        <w:tc>
          <w:tcPr>
            <w:tcW w:w="741" w:type="pct"/>
          </w:tcPr>
          <w:p w14:paraId="2C05DC75" w14:textId="77777777" w:rsidR="00067079" w:rsidRPr="00A31BE0" w:rsidRDefault="00067079" w:rsidP="00067079">
            <w:pPr>
              <w:rPr>
                <w:rFonts w:ascii="Jacobs Chronos" w:hAnsi="Jacobs Chronos" w:cs="Jacobs Chronos"/>
                <w:sz w:val="16"/>
                <w:szCs w:val="16"/>
              </w:rPr>
            </w:pPr>
          </w:p>
        </w:tc>
        <w:tc>
          <w:tcPr>
            <w:tcW w:w="392" w:type="pct"/>
          </w:tcPr>
          <w:p w14:paraId="77E749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19.03</w:t>
            </w:r>
          </w:p>
        </w:tc>
        <w:tc>
          <w:tcPr>
            <w:tcW w:w="2767" w:type="pct"/>
          </w:tcPr>
          <w:p w14:paraId="7EEC20B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On coupes with soils of high erosion hazard, have temporary sediment traps been used to prevent erosion using road construction?</w:t>
            </w:r>
          </w:p>
        </w:tc>
        <w:tc>
          <w:tcPr>
            <w:tcW w:w="578" w:type="pct"/>
            <w:shd w:val="clear" w:color="auto" w:fill="FFFFFF" w:themeFill="background1"/>
          </w:tcPr>
          <w:p w14:paraId="43AF139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w:t>
            </w:r>
          </w:p>
        </w:tc>
        <w:tc>
          <w:tcPr>
            <w:tcW w:w="522" w:type="pct"/>
            <w:shd w:val="clear" w:color="auto" w:fill="FFFFFF" w:themeFill="background1"/>
          </w:tcPr>
          <w:p w14:paraId="2E90953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0</w:t>
            </w:r>
          </w:p>
        </w:tc>
      </w:tr>
      <w:tr w:rsidR="00067079" w:rsidRPr="00A31BE0" w14:paraId="253A5A3E" w14:textId="77777777" w:rsidTr="00E81409">
        <w:trPr>
          <w:trHeight w:val="397"/>
        </w:trPr>
        <w:tc>
          <w:tcPr>
            <w:tcW w:w="741" w:type="pct"/>
            <w:shd w:val="clear" w:color="auto" w:fill="FCE4D6"/>
          </w:tcPr>
          <w:p w14:paraId="76283AE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0068F44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57131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2.4.2.9 Before entering a waterway road drainage must discharge onto vegetation or through a structure that effectively dissipates the velocity of drainage flows.</w:t>
            </w:r>
          </w:p>
        </w:tc>
        <w:tc>
          <w:tcPr>
            <w:tcW w:w="578" w:type="pct"/>
            <w:shd w:val="clear" w:color="auto" w:fill="FFFFFF" w:themeFill="background1"/>
          </w:tcPr>
          <w:p w14:paraId="727E009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6E974FF" w14:textId="77777777" w:rsidR="00067079" w:rsidRPr="00A31BE0" w:rsidRDefault="00067079" w:rsidP="00C31A7B">
            <w:pPr>
              <w:jc w:val="center"/>
              <w:rPr>
                <w:rFonts w:ascii="Jacobs Chronos" w:hAnsi="Jacobs Chronos" w:cs="Jacobs Chronos"/>
                <w:sz w:val="16"/>
                <w:szCs w:val="16"/>
              </w:rPr>
            </w:pPr>
          </w:p>
        </w:tc>
      </w:tr>
      <w:tr w:rsidR="00067079" w:rsidRPr="00A31BE0" w14:paraId="6561A464" w14:textId="77777777" w:rsidTr="00E81409">
        <w:trPr>
          <w:trHeight w:val="397"/>
        </w:trPr>
        <w:tc>
          <w:tcPr>
            <w:tcW w:w="741" w:type="pct"/>
            <w:shd w:val="clear" w:color="auto" w:fill="FFF2CC"/>
          </w:tcPr>
          <w:p w14:paraId="4AA4BCD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lastRenderedPageBreak/>
              <w:t>M</w:t>
            </w:r>
          </w:p>
        </w:tc>
        <w:tc>
          <w:tcPr>
            <w:tcW w:w="392" w:type="pct"/>
            <w:shd w:val="clear" w:color="auto" w:fill="FFF2CC"/>
          </w:tcPr>
          <w:p w14:paraId="2CEC4B8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01B782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6.2.4.4 Appropriate discharge areas for drainage include: (a) a strip of undisturbed vegetation at least 20 m wide; (b) a rock spill; or (c) some other structure that dissipates the velocity of drainage flows. </w:t>
            </w:r>
          </w:p>
        </w:tc>
        <w:tc>
          <w:tcPr>
            <w:tcW w:w="578" w:type="pct"/>
            <w:shd w:val="clear" w:color="auto" w:fill="FFFFFF" w:themeFill="background1"/>
          </w:tcPr>
          <w:p w14:paraId="38DE3E4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107DACC" w14:textId="77777777" w:rsidR="00067079" w:rsidRPr="00A31BE0" w:rsidRDefault="00067079" w:rsidP="00C31A7B">
            <w:pPr>
              <w:jc w:val="center"/>
              <w:rPr>
                <w:rFonts w:ascii="Jacobs Chronos" w:hAnsi="Jacobs Chronos" w:cs="Jacobs Chronos"/>
                <w:sz w:val="16"/>
                <w:szCs w:val="16"/>
              </w:rPr>
            </w:pPr>
          </w:p>
        </w:tc>
      </w:tr>
      <w:tr w:rsidR="00067079" w:rsidRPr="00A31BE0" w14:paraId="7234C276" w14:textId="77777777" w:rsidTr="00E81409">
        <w:trPr>
          <w:trHeight w:val="397"/>
        </w:trPr>
        <w:tc>
          <w:tcPr>
            <w:tcW w:w="741" w:type="pct"/>
            <w:shd w:val="clear" w:color="auto" w:fill="FFF2CC"/>
          </w:tcPr>
          <w:p w14:paraId="6DEC79D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40A8A4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3671AD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6.2.4.5 Place drainage structures approximately 20 m from permanent or temporary streams, to allow discharge onto undisturbed vegetation and to maximise the flow distance between the drainage outlet and the waterway. </w:t>
            </w:r>
          </w:p>
        </w:tc>
        <w:tc>
          <w:tcPr>
            <w:tcW w:w="578" w:type="pct"/>
            <w:shd w:val="clear" w:color="auto" w:fill="FFFFFF" w:themeFill="background1"/>
          </w:tcPr>
          <w:p w14:paraId="657E40B0"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78486D1" w14:textId="77777777" w:rsidR="00067079" w:rsidRPr="00A31BE0" w:rsidRDefault="00067079" w:rsidP="00C31A7B">
            <w:pPr>
              <w:jc w:val="center"/>
              <w:rPr>
                <w:rFonts w:ascii="Jacobs Chronos" w:hAnsi="Jacobs Chronos" w:cs="Jacobs Chronos"/>
                <w:sz w:val="16"/>
                <w:szCs w:val="16"/>
              </w:rPr>
            </w:pPr>
          </w:p>
        </w:tc>
      </w:tr>
      <w:tr w:rsidR="00067079" w:rsidRPr="00A31BE0" w14:paraId="1A774400" w14:textId="77777777" w:rsidTr="00E81409">
        <w:trPr>
          <w:trHeight w:val="397"/>
        </w:trPr>
        <w:tc>
          <w:tcPr>
            <w:tcW w:w="741" w:type="pct"/>
            <w:shd w:val="clear" w:color="auto" w:fill="FFF2CC"/>
          </w:tcPr>
          <w:p w14:paraId="6D150E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BCA97D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6300D5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6.2.4.6 Within 20 m of a permanent or temporary stream: (a) use crown or cross fall techniques to drain roads into undisturbed vegetation; or (b) pass drainage through an appropriate sediment control structure such as a sediment pond or silt trap before entering a permanent or temporary stream.</w:t>
            </w:r>
          </w:p>
        </w:tc>
        <w:tc>
          <w:tcPr>
            <w:tcW w:w="578" w:type="pct"/>
            <w:shd w:val="clear" w:color="auto" w:fill="FFFFFF" w:themeFill="background1"/>
          </w:tcPr>
          <w:p w14:paraId="7C7B99B7"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CC4F1A6" w14:textId="77777777" w:rsidR="00067079" w:rsidRPr="00A31BE0" w:rsidRDefault="00067079" w:rsidP="00C31A7B">
            <w:pPr>
              <w:jc w:val="center"/>
              <w:rPr>
                <w:rFonts w:ascii="Jacobs Chronos" w:hAnsi="Jacobs Chronos" w:cs="Jacobs Chronos"/>
                <w:sz w:val="16"/>
                <w:szCs w:val="16"/>
              </w:rPr>
            </w:pPr>
          </w:p>
        </w:tc>
      </w:tr>
      <w:tr w:rsidR="00067079" w:rsidRPr="00A31BE0" w14:paraId="6F64D492" w14:textId="77777777" w:rsidTr="00E81409">
        <w:trPr>
          <w:trHeight w:val="397"/>
        </w:trPr>
        <w:tc>
          <w:tcPr>
            <w:tcW w:w="741" w:type="pct"/>
          </w:tcPr>
          <w:p w14:paraId="6C786D8B" w14:textId="77777777" w:rsidR="00067079" w:rsidRPr="00A31BE0" w:rsidRDefault="00067079" w:rsidP="00067079">
            <w:pPr>
              <w:rPr>
                <w:rFonts w:ascii="Jacobs Chronos" w:hAnsi="Jacobs Chronos" w:cs="Jacobs Chronos"/>
                <w:sz w:val="16"/>
                <w:szCs w:val="16"/>
              </w:rPr>
            </w:pPr>
          </w:p>
        </w:tc>
        <w:tc>
          <w:tcPr>
            <w:tcW w:w="392" w:type="pct"/>
          </w:tcPr>
          <w:p w14:paraId="630F5A8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19.04</w:t>
            </w:r>
          </w:p>
        </w:tc>
        <w:tc>
          <w:tcPr>
            <w:tcW w:w="2767" w:type="pct"/>
          </w:tcPr>
          <w:p w14:paraId="5F105EE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 drainage discharge areas comply with MSP 6.2.4.4 specifications?</w:t>
            </w:r>
          </w:p>
        </w:tc>
        <w:tc>
          <w:tcPr>
            <w:tcW w:w="578" w:type="pct"/>
            <w:shd w:val="clear" w:color="auto" w:fill="FFFFFF" w:themeFill="background1"/>
          </w:tcPr>
          <w:p w14:paraId="1214D14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C</w:t>
            </w:r>
          </w:p>
        </w:tc>
        <w:tc>
          <w:tcPr>
            <w:tcW w:w="522" w:type="pct"/>
            <w:shd w:val="clear" w:color="auto" w:fill="FFFFFF" w:themeFill="background1"/>
          </w:tcPr>
          <w:p w14:paraId="43AD6E1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50</w:t>
            </w:r>
          </w:p>
        </w:tc>
      </w:tr>
      <w:tr w:rsidR="00067079" w:rsidRPr="00A31BE0" w14:paraId="3183D487" w14:textId="77777777" w:rsidTr="00E81409">
        <w:trPr>
          <w:trHeight w:val="397"/>
        </w:trPr>
        <w:tc>
          <w:tcPr>
            <w:tcW w:w="741" w:type="pct"/>
          </w:tcPr>
          <w:p w14:paraId="0A3BE70B" w14:textId="77777777" w:rsidR="00067079" w:rsidRPr="00A31BE0" w:rsidRDefault="00067079" w:rsidP="00067079">
            <w:pPr>
              <w:rPr>
                <w:rFonts w:ascii="Jacobs Chronos" w:hAnsi="Jacobs Chronos" w:cs="Jacobs Chronos"/>
                <w:sz w:val="16"/>
                <w:szCs w:val="16"/>
              </w:rPr>
            </w:pPr>
          </w:p>
        </w:tc>
        <w:tc>
          <w:tcPr>
            <w:tcW w:w="392" w:type="pct"/>
          </w:tcPr>
          <w:p w14:paraId="371B4A2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19.05</w:t>
            </w:r>
          </w:p>
        </w:tc>
        <w:tc>
          <w:tcPr>
            <w:tcW w:w="2767" w:type="pct"/>
          </w:tcPr>
          <w:p w14:paraId="2CF91DC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Do drainage structures allow interception and discharge of road drainage prior to a stream crossing, as per MSP 6.2.4.5?  </w:t>
            </w:r>
          </w:p>
        </w:tc>
        <w:tc>
          <w:tcPr>
            <w:tcW w:w="578" w:type="pct"/>
            <w:shd w:val="clear" w:color="auto" w:fill="FFFFFF" w:themeFill="background1"/>
          </w:tcPr>
          <w:p w14:paraId="6BF9149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w:t>
            </w:r>
          </w:p>
        </w:tc>
        <w:tc>
          <w:tcPr>
            <w:tcW w:w="522" w:type="pct"/>
            <w:shd w:val="clear" w:color="auto" w:fill="FFFFFF" w:themeFill="background1"/>
          </w:tcPr>
          <w:p w14:paraId="4D96E96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67</w:t>
            </w:r>
          </w:p>
        </w:tc>
      </w:tr>
      <w:tr w:rsidR="00067079" w:rsidRPr="00A31BE0" w14:paraId="22E7A7EF" w14:textId="77777777" w:rsidTr="00E81409">
        <w:trPr>
          <w:trHeight w:val="397"/>
        </w:trPr>
        <w:tc>
          <w:tcPr>
            <w:tcW w:w="741" w:type="pct"/>
          </w:tcPr>
          <w:p w14:paraId="297D11EA" w14:textId="77777777" w:rsidR="00067079" w:rsidRPr="00A31BE0" w:rsidRDefault="00067079" w:rsidP="00067079">
            <w:pPr>
              <w:rPr>
                <w:rFonts w:ascii="Jacobs Chronos" w:hAnsi="Jacobs Chronos" w:cs="Jacobs Chronos"/>
                <w:sz w:val="16"/>
                <w:szCs w:val="16"/>
              </w:rPr>
            </w:pPr>
          </w:p>
        </w:tc>
        <w:tc>
          <w:tcPr>
            <w:tcW w:w="392" w:type="pct"/>
          </w:tcPr>
          <w:p w14:paraId="3E2513C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19.06</w:t>
            </w:r>
          </w:p>
        </w:tc>
        <w:tc>
          <w:tcPr>
            <w:tcW w:w="2767" w:type="pct"/>
          </w:tcPr>
          <w:p w14:paraId="2F75787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road construction appropriately manage road drainage in the final 20 m prior to a stream crossing, as per MSP 6.2.4.6?</w:t>
            </w:r>
          </w:p>
        </w:tc>
        <w:tc>
          <w:tcPr>
            <w:tcW w:w="578" w:type="pct"/>
            <w:shd w:val="clear" w:color="auto" w:fill="FFFFFF" w:themeFill="background1"/>
          </w:tcPr>
          <w:p w14:paraId="489C252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 I</w:t>
            </w:r>
          </w:p>
        </w:tc>
        <w:tc>
          <w:tcPr>
            <w:tcW w:w="522" w:type="pct"/>
            <w:shd w:val="clear" w:color="auto" w:fill="FFFFFF" w:themeFill="background1"/>
          </w:tcPr>
          <w:p w14:paraId="294A4FE4"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33</w:t>
            </w:r>
          </w:p>
        </w:tc>
      </w:tr>
      <w:tr w:rsidR="00067079" w:rsidRPr="00A31BE0" w14:paraId="12804783" w14:textId="77777777" w:rsidTr="00E81409">
        <w:trPr>
          <w:trHeight w:val="397"/>
        </w:trPr>
        <w:tc>
          <w:tcPr>
            <w:tcW w:w="741" w:type="pct"/>
            <w:shd w:val="clear" w:color="auto" w:fill="FFF2CC"/>
          </w:tcPr>
          <w:p w14:paraId="2C2247F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A2F241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D889F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6.2.4.7 Construct table drains to: (a) allow water to flow, without ponding; (b) include run‐offs of sufficient length to allow the table drain and run‐offs to be cleaned; (c) be supported by rock or otherwise stabilised in soils of a high erosion hazard; and (d) have silt traps constructed at the end if discharging directly into a stream or wetland buffer.</w:t>
            </w:r>
          </w:p>
        </w:tc>
        <w:tc>
          <w:tcPr>
            <w:tcW w:w="578" w:type="pct"/>
            <w:shd w:val="clear" w:color="auto" w:fill="FFFFFF" w:themeFill="background1"/>
          </w:tcPr>
          <w:p w14:paraId="3D5662D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619AFF6" w14:textId="77777777" w:rsidR="00067079" w:rsidRPr="00A31BE0" w:rsidRDefault="00067079" w:rsidP="00C31A7B">
            <w:pPr>
              <w:jc w:val="center"/>
              <w:rPr>
                <w:rFonts w:ascii="Jacobs Chronos" w:hAnsi="Jacobs Chronos" w:cs="Jacobs Chronos"/>
                <w:sz w:val="16"/>
                <w:szCs w:val="16"/>
              </w:rPr>
            </w:pPr>
          </w:p>
        </w:tc>
      </w:tr>
      <w:tr w:rsidR="00067079" w:rsidRPr="00A31BE0" w14:paraId="314351DD" w14:textId="77777777" w:rsidTr="00E81409">
        <w:trPr>
          <w:trHeight w:val="397"/>
        </w:trPr>
        <w:tc>
          <w:tcPr>
            <w:tcW w:w="741" w:type="pct"/>
          </w:tcPr>
          <w:p w14:paraId="5E442994" w14:textId="77777777" w:rsidR="00067079" w:rsidRPr="00A31BE0" w:rsidRDefault="00067079" w:rsidP="00067079">
            <w:pPr>
              <w:rPr>
                <w:rFonts w:ascii="Jacobs Chronos" w:hAnsi="Jacobs Chronos" w:cs="Jacobs Chronos"/>
                <w:sz w:val="16"/>
                <w:szCs w:val="16"/>
              </w:rPr>
            </w:pPr>
          </w:p>
        </w:tc>
        <w:tc>
          <w:tcPr>
            <w:tcW w:w="392" w:type="pct"/>
          </w:tcPr>
          <w:p w14:paraId="77FC0D6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19.07</w:t>
            </w:r>
          </w:p>
        </w:tc>
        <w:tc>
          <w:tcPr>
            <w:tcW w:w="2767" w:type="pct"/>
          </w:tcPr>
          <w:p w14:paraId="1B9BCF5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construction of any table drain comply with the requirement of MSP 6.2.4.7?</w:t>
            </w:r>
          </w:p>
        </w:tc>
        <w:tc>
          <w:tcPr>
            <w:tcW w:w="578" w:type="pct"/>
            <w:shd w:val="clear" w:color="auto" w:fill="FFFFFF" w:themeFill="background1"/>
          </w:tcPr>
          <w:p w14:paraId="436DEDA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522" w:type="pct"/>
            <w:shd w:val="clear" w:color="auto" w:fill="FFFFFF" w:themeFill="background1"/>
          </w:tcPr>
          <w:p w14:paraId="6B442B7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7DCC2BF" w14:textId="77777777" w:rsidTr="00C31A7B">
        <w:trPr>
          <w:trHeight w:val="397"/>
        </w:trPr>
        <w:tc>
          <w:tcPr>
            <w:tcW w:w="741" w:type="pct"/>
          </w:tcPr>
          <w:p w14:paraId="7EA84D98" w14:textId="77777777" w:rsidR="00067079" w:rsidRPr="00A31BE0" w:rsidRDefault="00067079" w:rsidP="00067079">
            <w:pPr>
              <w:rPr>
                <w:rFonts w:ascii="Jacobs Chronos" w:hAnsi="Jacobs Chronos" w:cs="Jacobs Chronos"/>
                <w:sz w:val="16"/>
                <w:szCs w:val="16"/>
              </w:rPr>
            </w:pPr>
          </w:p>
        </w:tc>
        <w:tc>
          <w:tcPr>
            <w:tcW w:w="392" w:type="pct"/>
            <w:shd w:val="clear" w:color="auto" w:fill="CEEAB0"/>
          </w:tcPr>
          <w:p w14:paraId="19B5B6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CEEAB0"/>
          </w:tcPr>
          <w:p w14:paraId="6B36B15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MSP6.2.5 Culverts</w:t>
            </w:r>
          </w:p>
        </w:tc>
        <w:tc>
          <w:tcPr>
            <w:tcW w:w="578" w:type="pct"/>
            <w:shd w:val="clear" w:color="auto" w:fill="FFFFFF" w:themeFill="background1"/>
          </w:tcPr>
          <w:p w14:paraId="2C3DD58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36941B" w14:textId="77777777" w:rsidR="00067079" w:rsidRPr="00A31BE0" w:rsidRDefault="00067079" w:rsidP="00C31A7B">
            <w:pPr>
              <w:jc w:val="center"/>
              <w:rPr>
                <w:rFonts w:ascii="Jacobs Chronos" w:hAnsi="Jacobs Chronos" w:cs="Jacobs Chronos"/>
                <w:sz w:val="16"/>
                <w:szCs w:val="16"/>
              </w:rPr>
            </w:pPr>
          </w:p>
        </w:tc>
      </w:tr>
      <w:tr w:rsidR="00067079" w:rsidRPr="00A31BE0" w14:paraId="059BED34" w14:textId="77777777" w:rsidTr="00E81409">
        <w:trPr>
          <w:trHeight w:val="397"/>
        </w:trPr>
        <w:tc>
          <w:tcPr>
            <w:tcW w:w="741" w:type="pct"/>
            <w:shd w:val="clear" w:color="auto" w:fill="FFF2CC"/>
          </w:tcPr>
          <w:p w14:paraId="4B280BA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A53DF9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EB52FC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6.2.5.1 Culverts used in permanent roads are a minimum of 375 mm in diameter. </w:t>
            </w:r>
          </w:p>
        </w:tc>
        <w:tc>
          <w:tcPr>
            <w:tcW w:w="578" w:type="pct"/>
            <w:shd w:val="clear" w:color="auto" w:fill="FFFFFF" w:themeFill="background1"/>
          </w:tcPr>
          <w:p w14:paraId="67F66DD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3E07957" w14:textId="77777777" w:rsidR="00067079" w:rsidRPr="00A31BE0" w:rsidRDefault="00067079" w:rsidP="00C31A7B">
            <w:pPr>
              <w:jc w:val="center"/>
              <w:rPr>
                <w:rFonts w:ascii="Jacobs Chronos" w:hAnsi="Jacobs Chronos" w:cs="Jacobs Chronos"/>
                <w:sz w:val="16"/>
                <w:szCs w:val="16"/>
              </w:rPr>
            </w:pPr>
          </w:p>
        </w:tc>
      </w:tr>
      <w:tr w:rsidR="00067079" w:rsidRPr="00A31BE0" w14:paraId="5095CD28" w14:textId="77777777" w:rsidTr="00E81409">
        <w:trPr>
          <w:trHeight w:val="397"/>
        </w:trPr>
        <w:tc>
          <w:tcPr>
            <w:tcW w:w="741" w:type="pct"/>
            <w:shd w:val="clear" w:color="auto" w:fill="FFF2CC"/>
          </w:tcPr>
          <w:p w14:paraId="49E79B4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53C3C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2DA4DF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6.2.5.2 Culverts used in temporary roads are a minimum of 300 mm in diameter. </w:t>
            </w:r>
          </w:p>
        </w:tc>
        <w:tc>
          <w:tcPr>
            <w:tcW w:w="578" w:type="pct"/>
            <w:shd w:val="clear" w:color="auto" w:fill="FFFFFF" w:themeFill="background1"/>
          </w:tcPr>
          <w:p w14:paraId="0BEEEAF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7B973A1" w14:textId="77777777" w:rsidR="00067079" w:rsidRPr="00A31BE0" w:rsidRDefault="00067079" w:rsidP="00C31A7B">
            <w:pPr>
              <w:jc w:val="center"/>
              <w:rPr>
                <w:rFonts w:ascii="Jacobs Chronos" w:hAnsi="Jacobs Chronos" w:cs="Jacobs Chronos"/>
                <w:sz w:val="16"/>
                <w:szCs w:val="16"/>
              </w:rPr>
            </w:pPr>
          </w:p>
        </w:tc>
      </w:tr>
      <w:tr w:rsidR="00067079" w:rsidRPr="00A31BE0" w14:paraId="4470D0BE" w14:textId="77777777" w:rsidTr="00E81409">
        <w:trPr>
          <w:trHeight w:val="397"/>
        </w:trPr>
        <w:tc>
          <w:tcPr>
            <w:tcW w:w="741" w:type="pct"/>
          </w:tcPr>
          <w:p w14:paraId="1DEC54BF" w14:textId="77777777" w:rsidR="00067079" w:rsidRPr="00A31BE0" w:rsidRDefault="00067079" w:rsidP="00067079">
            <w:pPr>
              <w:rPr>
                <w:rFonts w:ascii="Jacobs Chronos" w:hAnsi="Jacobs Chronos" w:cs="Jacobs Chronos"/>
                <w:sz w:val="16"/>
                <w:szCs w:val="16"/>
              </w:rPr>
            </w:pPr>
          </w:p>
        </w:tc>
        <w:tc>
          <w:tcPr>
            <w:tcW w:w="392" w:type="pct"/>
          </w:tcPr>
          <w:p w14:paraId="0E7BD55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19.08</w:t>
            </w:r>
          </w:p>
        </w:tc>
        <w:tc>
          <w:tcPr>
            <w:tcW w:w="2767" w:type="pct"/>
          </w:tcPr>
          <w:p w14:paraId="3FB5308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 size of the culvert consistent with the type of road, as per MSP 6.2.5.1 and 2?</w:t>
            </w:r>
          </w:p>
        </w:tc>
        <w:tc>
          <w:tcPr>
            <w:tcW w:w="578" w:type="pct"/>
            <w:shd w:val="clear" w:color="auto" w:fill="FFFFFF" w:themeFill="background1"/>
          </w:tcPr>
          <w:p w14:paraId="2514239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BD, D, I</w:t>
            </w:r>
          </w:p>
        </w:tc>
        <w:tc>
          <w:tcPr>
            <w:tcW w:w="522" w:type="pct"/>
            <w:shd w:val="clear" w:color="auto" w:fill="FFFFFF" w:themeFill="background1"/>
          </w:tcPr>
          <w:p w14:paraId="10A5D1D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8973E5B" w14:textId="77777777" w:rsidTr="00E81409">
        <w:trPr>
          <w:trHeight w:val="397"/>
        </w:trPr>
        <w:tc>
          <w:tcPr>
            <w:tcW w:w="741" w:type="pct"/>
            <w:shd w:val="clear" w:color="auto" w:fill="FFF2CC"/>
          </w:tcPr>
          <w:p w14:paraId="3704F17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3B090B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7AD7E1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6.2.5.3 All culverts are designed to withstand a 1 in 10 year rainfall event.</w:t>
            </w:r>
          </w:p>
        </w:tc>
        <w:tc>
          <w:tcPr>
            <w:tcW w:w="578" w:type="pct"/>
            <w:shd w:val="clear" w:color="auto" w:fill="FFFFFF" w:themeFill="background1"/>
          </w:tcPr>
          <w:p w14:paraId="15CA697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13C7D15" w14:textId="77777777" w:rsidR="00067079" w:rsidRPr="00A31BE0" w:rsidRDefault="00067079" w:rsidP="00C31A7B">
            <w:pPr>
              <w:jc w:val="center"/>
              <w:rPr>
                <w:rFonts w:ascii="Jacobs Chronos" w:hAnsi="Jacobs Chronos" w:cs="Jacobs Chronos"/>
                <w:sz w:val="16"/>
                <w:szCs w:val="16"/>
              </w:rPr>
            </w:pPr>
          </w:p>
        </w:tc>
      </w:tr>
      <w:tr w:rsidR="00067079" w:rsidRPr="00A31BE0" w14:paraId="0A47E52A" w14:textId="77777777" w:rsidTr="00E81409">
        <w:trPr>
          <w:trHeight w:val="397"/>
        </w:trPr>
        <w:tc>
          <w:tcPr>
            <w:tcW w:w="741" w:type="pct"/>
            <w:shd w:val="clear" w:color="auto" w:fill="FFF2CC"/>
          </w:tcPr>
          <w:p w14:paraId="3D401DF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FC9B48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81FF3F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6.2.5.4 Construct culverts in catchment areas exceeding 100 ha in accordance with engineering advice. </w:t>
            </w:r>
          </w:p>
        </w:tc>
        <w:tc>
          <w:tcPr>
            <w:tcW w:w="578" w:type="pct"/>
            <w:shd w:val="clear" w:color="auto" w:fill="FFFFFF" w:themeFill="background1"/>
          </w:tcPr>
          <w:p w14:paraId="5CE0134A"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B50EAAE" w14:textId="77777777" w:rsidR="00067079" w:rsidRPr="00A31BE0" w:rsidRDefault="00067079" w:rsidP="00C31A7B">
            <w:pPr>
              <w:jc w:val="center"/>
              <w:rPr>
                <w:rFonts w:ascii="Jacobs Chronos" w:hAnsi="Jacobs Chronos" w:cs="Jacobs Chronos"/>
                <w:sz w:val="16"/>
                <w:szCs w:val="16"/>
              </w:rPr>
            </w:pPr>
          </w:p>
        </w:tc>
      </w:tr>
      <w:tr w:rsidR="00067079" w:rsidRPr="00A31BE0" w14:paraId="7492D88F" w14:textId="77777777" w:rsidTr="00E81409">
        <w:trPr>
          <w:trHeight w:val="397"/>
        </w:trPr>
        <w:tc>
          <w:tcPr>
            <w:tcW w:w="741" w:type="pct"/>
          </w:tcPr>
          <w:p w14:paraId="032F2878" w14:textId="77777777" w:rsidR="00067079" w:rsidRPr="00A31BE0" w:rsidRDefault="00067079" w:rsidP="00067079">
            <w:pPr>
              <w:rPr>
                <w:rFonts w:ascii="Jacobs Chronos" w:hAnsi="Jacobs Chronos" w:cs="Jacobs Chronos"/>
                <w:sz w:val="16"/>
                <w:szCs w:val="16"/>
              </w:rPr>
            </w:pPr>
          </w:p>
        </w:tc>
        <w:tc>
          <w:tcPr>
            <w:tcW w:w="392" w:type="pct"/>
          </w:tcPr>
          <w:p w14:paraId="43303D8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19.09</w:t>
            </w:r>
          </w:p>
        </w:tc>
        <w:tc>
          <w:tcPr>
            <w:tcW w:w="2767" w:type="pct"/>
          </w:tcPr>
          <w:p w14:paraId="2CB4B4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in the FCP that the size of the culvert is consistent with flow requirements in a 10% AEP rainfall event?</w:t>
            </w:r>
          </w:p>
        </w:tc>
        <w:tc>
          <w:tcPr>
            <w:tcW w:w="578" w:type="pct"/>
            <w:shd w:val="clear" w:color="auto" w:fill="FFFFFF" w:themeFill="background1"/>
          </w:tcPr>
          <w:p w14:paraId="2B6DBD9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D</w:t>
            </w:r>
          </w:p>
        </w:tc>
        <w:tc>
          <w:tcPr>
            <w:tcW w:w="522" w:type="pct"/>
            <w:shd w:val="clear" w:color="auto" w:fill="FFFFFF" w:themeFill="background1"/>
          </w:tcPr>
          <w:p w14:paraId="2C0FC8B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9A8490D" w14:textId="77777777" w:rsidTr="00E81409">
        <w:trPr>
          <w:trHeight w:val="397"/>
        </w:trPr>
        <w:tc>
          <w:tcPr>
            <w:tcW w:w="741" w:type="pct"/>
          </w:tcPr>
          <w:p w14:paraId="408AD0DF" w14:textId="77777777" w:rsidR="00067079" w:rsidRPr="00A31BE0" w:rsidRDefault="00067079" w:rsidP="00067079">
            <w:pPr>
              <w:rPr>
                <w:rFonts w:ascii="Jacobs Chronos" w:hAnsi="Jacobs Chronos" w:cs="Jacobs Chronos"/>
                <w:sz w:val="16"/>
                <w:szCs w:val="16"/>
              </w:rPr>
            </w:pPr>
          </w:p>
        </w:tc>
        <w:tc>
          <w:tcPr>
            <w:tcW w:w="392" w:type="pct"/>
          </w:tcPr>
          <w:p w14:paraId="287BDCA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19.10</w:t>
            </w:r>
          </w:p>
        </w:tc>
        <w:tc>
          <w:tcPr>
            <w:tcW w:w="2767" w:type="pct"/>
          </w:tcPr>
          <w:p w14:paraId="32CC736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Where the catchment area for a road culvert exceeds 100 ha, Is there evidence in the FCP that engineering advice has been provided on culvert construction?</w:t>
            </w:r>
          </w:p>
        </w:tc>
        <w:tc>
          <w:tcPr>
            <w:tcW w:w="578" w:type="pct"/>
            <w:shd w:val="clear" w:color="auto" w:fill="FFFFFF" w:themeFill="background1"/>
          </w:tcPr>
          <w:p w14:paraId="6874A2A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w:t>
            </w:r>
          </w:p>
        </w:tc>
        <w:tc>
          <w:tcPr>
            <w:tcW w:w="522" w:type="pct"/>
            <w:shd w:val="clear" w:color="auto" w:fill="FFFFFF" w:themeFill="background1"/>
          </w:tcPr>
          <w:p w14:paraId="5D9148F2"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6C4AEE4" w14:textId="77777777" w:rsidTr="00E81409">
        <w:trPr>
          <w:trHeight w:val="397"/>
        </w:trPr>
        <w:tc>
          <w:tcPr>
            <w:tcW w:w="741" w:type="pct"/>
          </w:tcPr>
          <w:p w14:paraId="38074918" w14:textId="77777777" w:rsidR="00067079" w:rsidRPr="00A31BE0" w:rsidRDefault="00067079" w:rsidP="00067079">
            <w:pPr>
              <w:rPr>
                <w:rFonts w:ascii="Jacobs Chronos" w:hAnsi="Jacobs Chronos" w:cs="Jacobs Chronos"/>
                <w:sz w:val="16"/>
                <w:szCs w:val="16"/>
              </w:rPr>
            </w:pPr>
          </w:p>
        </w:tc>
        <w:tc>
          <w:tcPr>
            <w:tcW w:w="392" w:type="pct"/>
          </w:tcPr>
          <w:p w14:paraId="0A8C019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19.11</w:t>
            </w:r>
          </w:p>
        </w:tc>
        <w:tc>
          <w:tcPr>
            <w:tcW w:w="2767" w:type="pct"/>
          </w:tcPr>
          <w:p w14:paraId="3826294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Where the catchment area for a road culvert exceeds 100 ha, has the culvert/WWX been constructed consistently with the engineering advice provided?</w:t>
            </w:r>
          </w:p>
        </w:tc>
        <w:tc>
          <w:tcPr>
            <w:tcW w:w="578" w:type="pct"/>
            <w:shd w:val="clear" w:color="auto" w:fill="FFFFFF" w:themeFill="background1"/>
          </w:tcPr>
          <w:p w14:paraId="2B0AEC8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 P</w:t>
            </w:r>
          </w:p>
        </w:tc>
        <w:tc>
          <w:tcPr>
            <w:tcW w:w="522" w:type="pct"/>
            <w:shd w:val="clear" w:color="auto" w:fill="FFFFFF" w:themeFill="background1"/>
          </w:tcPr>
          <w:p w14:paraId="5D1FC49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0</w:t>
            </w:r>
          </w:p>
        </w:tc>
      </w:tr>
      <w:tr w:rsidR="00067079" w:rsidRPr="00A31BE0" w14:paraId="235DFC18" w14:textId="77777777" w:rsidTr="00E81409">
        <w:trPr>
          <w:trHeight w:val="397"/>
        </w:trPr>
        <w:tc>
          <w:tcPr>
            <w:tcW w:w="741" w:type="pct"/>
            <w:shd w:val="clear" w:color="auto" w:fill="FFF2CC"/>
          </w:tcPr>
          <w:p w14:paraId="62762DD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AC9F9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18520D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6.2.5.5 On drainage lines, stream and river crossings or soils of High Erosion Hazard place sandbags, timber, concrete or rock at the head of the culvert and at the point of discharge to hold the culvert in place and protect it from erosion. </w:t>
            </w:r>
          </w:p>
        </w:tc>
        <w:tc>
          <w:tcPr>
            <w:tcW w:w="578" w:type="pct"/>
            <w:shd w:val="clear" w:color="auto" w:fill="FFFFFF" w:themeFill="background1"/>
          </w:tcPr>
          <w:p w14:paraId="4B49666B"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9EAE4F2" w14:textId="77777777" w:rsidR="00067079" w:rsidRPr="00A31BE0" w:rsidRDefault="00067079" w:rsidP="00C31A7B">
            <w:pPr>
              <w:jc w:val="center"/>
              <w:rPr>
                <w:rFonts w:ascii="Jacobs Chronos" w:hAnsi="Jacobs Chronos" w:cs="Jacobs Chronos"/>
                <w:sz w:val="16"/>
                <w:szCs w:val="16"/>
              </w:rPr>
            </w:pPr>
          </w:p>
        </w:tc>
      </w:tr>
      <w:tr w:rsidR="00067079" w:rsidRPr="00A31BE0" w14:paraId="32E114E9" w14:textId="77777777" w:rsidTr="00E81409">
        <w:trPr>
          <w:trHeight w:val="397"/>
        </w:trPr>
        <w:tc>
          <w:tcPr>
            <w:tcW w:w="741" w:type="pct"/>
          </w:tcPr>
          <w:p w14:paraId="679CF8F0" w14:textId="77777777" w:rsidR="00067079" w:rsidRPr="00A31BE0" w:rsidRDefault="00067079" w:rsidP="00067079">
            <w:pPr>
              <w:rPr>
                <w:rFonts w:ascii="Jacobs Chronos" w:hAnsi="Jacobs Chronos" w:cs="Jacobs Chronos"/>
                <w:sz w:val="16"/>
                <w:szCs w:val="16"/>
              </w:rPr>
            </w:pPr>
          </w:p>
        </w:tc>
        <w:tc>
          <w:tcPr>
            <w:tcW w:w="392" w:type="pct"/>
          </w:tcPr>
          <w:p w14:paraId="0C06EF5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19.12</w:t>
            </w:r>
          </w:p>
        </w:tc>
        <w:tc>
          <w:tcPr>
            <w:tcW w:w="2767" w:type="pct"/>
          </w:tcPr>
          <w:p w14:paraId="0117F85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the head and outlet of culvert(s) been constructed as specified in MSP 6.2.5.5 to hold them in place and protect from erosion?</w:t>
            </w:r>
          </w:p>
        </w:tc>
        <w:tc>
          <w:tcPr>
            <w:tcW w:w="578" w:type="pct"/>
            <w:shd w:val="clear" w:color="auto" w:fill="FFFFFF" w:themeFill="background1"/>
          </w:tcPr>
          <w:p w14:paraId="0F9F6D3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w:t>
            </w:r>
          </w:p>
        </w:tc>
        <w:tc>
          <w:tcPr>
            <w:tcW w:w="522" w:type="pct"/>
            <w:shd w:val="clear" w:color="auto" w:fill="FFFFFF" w:themeFill="background1"/>
          </w:tcPr>
          <w:p w14:paraId="722C91C5"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89</w:t>
            </w:r>
          </w:p>
        </w:tc>
      </w:tr>
      <w:tr w:rsidR="00067079" w:rsidRPr="00A31BE0" w14:paraId="54CEF4C6" w14:textId="77777777" w:rsidTr="00E81409">
        <w:trPr>
          <w:trHeight w:val="397"/>
        </w:trPr>
        <w:tc>
          <w:tcPr>
            <w:tcW w:w="741" w:type="pct"/>
          </w:tcPr>
          <w:p w14:paraId="7FEC04E2" w14:textId="77777777" w:rsidR="00067079" w:rsidRPr="00A31BE0" w:rsidRDefault="00067079" w:rsidP="00067079">
            <w:pPr>
              <w:rPr>
                <w:rFonts w:ascii="Jacobs Chronos" w:hAnsi="Jacobs Chronos" w:cs="Jacobs Chronos"/>
                <w:sz w:val="16"/>
                <w:szCs w:val="16"/>
              </w:rPr>
            </w:pPr>
          </w:p>
        </w:tc>
        <w:tc>
          <w:tcPr>
            <w:tcW w:w="392" w:type="pct"/>
          </w:tcPr>
          <w:p w14:paraId="1C8454E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19.13</w:t>
            </w:r>
          </w:p>
        </w:tc>
        <w:tc>
          <w:tcPr>
            <w:tcW w:w="2767" w:type="pct"/>
          </w:tcPr>
          <w:p w14:paraId="1BBAE7A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of erosion at the head and/or outlet of the culvert?</w:t>
            </w:r>
          </w:p>
        </w:tc>
        <w:tc>
          <w:tcPr>
            <w:tcW w:w="578" w:type="pct"/>
            <w:shd w:val="clear" w:color="auto" w:fill="FFFFFF" w:themeFill="background1"/>
          </w:tcPr>
          <w:p w14:paraId="6C54FC0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 C, I</w:t>
            </w:r>
          </w:p>
        </w:tc>
        <w:tc>
          <w:tcPr>
            <w:tcW w:w="522" w:type="pct"/>
            <w:shd w:val="clear" w:color="auto" w:fill="FFFFFF" w:themeFill="background1"/>
          </w:tcPr>
          <w:p w14:paraId="1355920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67</w:t>
            </w:r>
          </w:p>
        </w:tc>
      </w:tr>
      <w:tr w:rsidR="00067079" w:rsidRPr="00A31BE0" w14:paraId="682A9B26" w14:textId="77777777" w:rsidTr="00E81409">
        <w:trPr>
          <w:trHeight w:val="397"/>
        </w:trPr>
        <w:tc>
          <w:tcPr>
            <w:tcW w:w="741" w:type="pct"/>
            <w:shd w:val="clear" w:color="auto" w:fill="FFF2CC"/>
          </w:tcPr>
          <w:p w14:paraId="229123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50DA6F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7CB749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6.2.5.7 If constructed of concrete, have a minimum cover of 600 mm as measured from the road surface to the top of the pipe and a maximum cover as specified in the Installation of Steel‐Reinforced Concrete Drainage Pipelines, Concrete Pipe Association of Australasia.</w:t>
            </w:r>
          </w:p>
        </w:tc>
        <w:tc>
          <w:tcPr>
            <w:tcW w:w="578" w:type="pct"/>
            <w:shd w:val="clear" w:color="auto" w:fill="FFFFFF" w:themeFill="background1"/>
          </w:tcPr>
          <w:p w14:paraId="0345F39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D9FD7E8" w14:textId="77777777" w:rsidR="00067079" w:rsidRPr="00A31BE0" w:rsidRDefault="00067079" w:rsidP="00C31A7B">
            <w:pPr>
              <w:jc w:val="center"/>
              <w:rPr>
                <w:rFonts w:ascii="Jacobs Chronos" w:hAnsi="Jacobs Chronos" w:cs="Jacobs Chronos"/>
                <w:sz w:val="16"/>
                <w:szCs w:val="16"/>
              </w:rPr>
            </w:pPr>
          </w:p>
        </w:tc>
      </w:tr>
      <w:tr w:rsidR="00067079" w:rsidRPr="00A31BE0" w14:paraId="71B94AC4" w14:textId="77777777" w:rsidTr="00E81409">
        <w:trPr>
          <w:trHeight w:val="397"/>
        </w:trPr>
        <w:tc>
          <w:tcPr>
            <w:tcW w:w="741" w:type="pct"/>
            <w:shd w:val="clear" w:color="auto" w:fill="FFF2CC"/>
          </w:tcPr>
          <w:p w14:paraId="458EF6A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899CD4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F63BC8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6.2.5.8 If constructed of a material other than concrete, have a minimum cover over the pipe as recommended in the manufacturer’s specifications. </w:t>
            </w:r>
          </w:p>
        </w:tc>
        <w:tc>
          <w:tcPr>
            <w:tcW w:w="578" w:type="pct"/>
            <w:shd w:val="clear" w:color="auto" w:fill="FFFFFF" w:themeFill="background1"/>
          </w:tcPr>
          <w:p w14:paraId="104494A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207D669" w14:textId="77777777" w:rsidR="00067079" w:rsidRPr="00A31BE0" w:rsidRDefault="00067079" w:rsidP="00C31A7B">
            <w:pPr>
              <w:jc w:val="center"/>
              <w:rPr>
                <w:rFonts w:ascii="Jacobs Chronos" w:hAnsi="Jacobs Chronos" w:cs="Jacobs Chronos"/>
                <w:sz w:val="16"/>
                <w:szCs w:val="16"/>
              </w:rPr>
            </w:pPr>
          </w:p>
        </w:tc>
      </w:tr>
      <w:tr w:rsidR="00067079" w:rsidRPr="00A31BE0" w14:paraId="3409D06E" w14:textId="77777777" w:rsidTr="00E81409">
        <w:trPr>
          <w:trHeight w:val="397"/>
        </w:trPr>
        <w:tc>
          <w:tcPr>
            <w:tcW w:w="741" w:type="pct"/>
          </w:tcPr>
          <w:p w14:paraId="6C762C20" w14:textId="77777777" w:rsidR="00067079" w:rsidRPr="00A31BE0" w:rsidRDefault="00067079" w:rsidP="00067079">
            <w:pPr>
              <w:rPr>
                <w:rFonts w:ascii="Jacobs Chronos" w:hAnsi="Jacobs Chronos" w:cs="Jacobs Chronos"/>
                <w:sz w:val="16"/>
                <w:szCs w:val="16"/>
              </w:rPr>
            </w:pPr>
          </w:p>
        </w:tc>
        <w:tc>
          <w:tcPr>
            <w:tcW w:w="392" w:type="pct"/>
          </w:tcPr>
          <w:p w14:paraId="0C87A94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19.14</w:t>
            </w:r>
          </w:p>
        </w:tc>
        <w:tc>
          <w:tcPr>
            <w:tcW w:w="2767" w:type="pct"/>
          </w:tcPr>
          <w:p w14:paraId="4B75168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cover provided satisfy MSP 6.2.5.7/8 requirements, given the culvert material?</w:t>
            </w:r>
          </w:p>
        </w:tc>
        <w:tc>
          <w:tcPr>
            <w:tcW w:w="578" w:type="pct"/>
            <w:shd w:val="clear" w:color="auto" w:fill="FFFFFF" w:themeFill="background1"/>
          </w:tcPr>
          <w:p w14:paraId="65EE12C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522" w:type="pct"/>
            <w:shd w:val="clear" w:color="auto" w:fill="FFFFFF" w:themeFill="background1"/>
          </w:tcPr>
          <w:p w14:paraId="795459E6"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4586CEFB" w14:textId="77777777" w:rsidTr="00E81409">
        <w:trPr>
          <w:trHeight w:val="397"/>
        </w:trPr>
        <w:tc>
          <w:tcPr>
            <w:tcW w:w="741" w:type="pct"/>
            <w:shd w:val="clear" w:color="auto" w:fill="FFF2CC"/>
          </w:tcPr>
          <w:p w14:paraId="778DD9C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lastRenderedPageBreak/>
              <w:t>M</w:t>
            </w:r>
          </w:p>
        </w:tc>
        <w:tc>
          <w:tcPr>
            <w:tcW w:w="392" w:type="pct"/>
            <w:shd w:val="clear" w:color="auto" w:fill="FFF2CC"/>
          </w:tcPr>
          <w:p w14:paraId="17E9CFD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FD7257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6.2.5.9 On permanent streams, include a fish ladder if the diameter of the culvert is greater than 750 mm.</w:t>
            </w:r>
          </w:p>
        </w:tc>
        <w:tc>
          <w:tcPr>
            <w:tcW w:w="578" w:type="pct"/>
            <w:shd w:val="clear" w:color="auto" w:fill="FFFFFF" w:themeFill="background1"/>
          </w:tcPr>
          <w:p w14:paraId="7BC57FE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2C89EF4" w14:textId="77777777" w:rsidR="00067079" w:rsidRPr="00A31BE0" w:rsidRDefault="00067079" w:rsidP="00C31A7B">
            <w:pPr>
              <w:jc w:val="center"/>
              <w:rPr>
                <w:rFonts w:ascii="Jacobs Chronos" w:hAnsi="Jacobs Chronos" w:cs="Jacobs Chronos"/>
                <w:sz w:val="16"/>
                <w:szCs w:val="16"/>
              </w:rPr>
            </w:pPr>
          </w:p>
        </w:tc>
      </w:tr>
      <w:tr w:rsidR="00067079" w:rsidRPr="00A31BE0" w14:paraId="35A95152" w14:textId="77777777" w:rsidTr="00E81409">
        <w:trPr>
          <w:trHeight w:val="397"/>
        </w:trPr>
        <w:tc>
          <w:tcPr>
            <w:tcW w:w="741" w:type="pct"/>
          </w:tcPr>
          <w:p w14:paraId="5FBF52F1" w14:textId="77777777" w:rsidR="00067079" w:rsidRPr="00A31BE0" w:rsidRDefault="00067079" w:rsidP="00067079">
            <w:pPr>
              <w:rPr>
                <w:rFonts w:ascii="Jacobs Chronos" w:hAnsi="Jacobs Chronos" w:cs="Jacobs Chronos"/>
                <w:sz w:val="16"/>
                <w:szCs w:val="16"/>
              </w:rPr>
            </w:pPr>
          </w:p>
        </w:tc>
        <w:tc>
          <w:tcPr>
            <w:tcW w:w="392" w:type="pct"/>
          </w:tcPr>
          <w:p w14:paraId="49DDC6A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19.15</w:t>
            </w:r>
          </w:p>
        </w:tc>
        <w:tc>
          <w:tcPr>
            <w:tcW w:w="2767" w:type="pct"/>
          </w:tcPr>
          <w:p w14:paraId="5C1A21F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culvert is &gt;750 mm (on a permanent stream) does it include a fish ladder?</w:t>
            </w:r>
          </w:p>
        </w:tc>
        <w:tc>
          <w:tcPr>
            <w:tcW w:w="578" w:type="pct"/>
            <w:shd w:val="clear" w:color="auto" w:fill="FFFFFF" w:themeFill="background1"/>
          </w:tcPr>
          <w:p w14:paraId="71952CB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D, C</w:t>
            </w:r>
          </w:p>
        </w:tc>
        <w:tc>
          <w:tcPr>
            <w:tcW w:w="522" w:type="pct"/>
            <w:shd w:val="clear" w:color="auto" w:fill="FFFFFF" w:themeFill="background1"/>
          </w:tcPr>
          <w:p w14:paraId="02E210C0" w14:textId="3ABF0051"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179FA5E0" w14:textId="77777777" w:rsidTr="00E81409">
        <w:trPr>
          <w:trHeight w:val="397"/>
        </w:trPr>
        <w:tc>
          <w:tcPr>
            <w:tcW w:w="741" w:type="pct"/>
            <w:shd w:val="clear" w:color="auto" w:fill="FFF2CC"/>
          </w:tcPr>
          <w:p w14:paraId="3BA179C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CC9A09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E2347E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6.2.5.11 Ensure culverts do not project above the bed of a waterway in a way which may prevent the passage of aquatic fauna. </w:t>
            </w:r>
          </w:p>
        </w:tc>
        <w:tc>
          <w:tcPr>
            <w:tcW w:w="578" w:type="pct"/>
            <w:shd w:val="clear" w:color="auto" w:fill="FFFFFF" w:themeFill="background1"/>
          </w:tcPr>
          <w:p w14:paraId="4A8B455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EFBFD8" w14:textId="77777777" w:rsidR="00067079" w:rsidRPr="00A31BE0" w:rsidRDefault="00067079" w:rsidP="00C31A7B">
            <w:pPr>
              <w:jc w:val="center"/>
              <w:rPr>
                <w:rFonts w:ascii="Jacobs Chronos" w:hAnsi="Jacobs Chronos" w:cs="Jacobs Chronos"/>
                <w:sz w:val="16"/>
                <w:szCs w:val="16"/>
              </w:rPr>
            </w:pPr>
          </w:p>
        </w:tc>
      </w:tr>
      <w:tr w:rsidR="00067079" w:rsidRPr="00A31BE0" w14:paraId="171238BE" w14:textId="77777777" w:rsidTr="00E81409">
        <w:trPr>
          <w:trHeight w:val="397"/>
        </w:trPr>
        <w:tc>
          <w:tcPr>
            <w:tcW w:w="741" w:type="pct"/>
            <w:shd w:val="clear" w:color="auto" w:fill="FFF2CC"/>
          </w:tcPr>
          <w:p w14:paraId="62AB452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F88237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4C628B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6.2.5.12 Where culvert construction diverts water from its natural course, return water to its natural course over a flume, rock spill, or other hard surface.</w:t>
            </w:r>
          </w:p>
        </w:tc>
        <w:tc>
          <w:tcPr>
            <w:tcW w:w="578" w:type="pct"/>
            <w:shd w:val="clear" w:color="auto" w:fill="FFFFFF" w:themeFill="background1"/>
          </w:tcPr>
          <w:p w14:paraId="4115823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1319AF2" w14:textId="77777777" w:rsidR="00067079" w:rsidRPr="00A31BE0" w:rsidRDefault="00067079" w:rsidP="00C31A7B">
            <w:pPr>
              <w:jc w:val="center"/>
              <w:rPr>
                <w:rFonts w:ascii="Jacobs Chronos" w:hAnsi="Jacobs Chronos" w:cs="Jacobs Chronos"/>
                <w:sz w:val="16"/>
                <w:szCs w:val="16"/>
              </w:rPr>
            </w:pPr>
          </w:p>
        </w:tc>
      </w:tr>
      <w:tr w:rsidR="00067079" w:rsidRPr="00A31BE0" w14:paraId="1111E64A" w14:textId="77777777" w:rsidTr="00E81409">
        <w:trPr>
          <w:trHeight w:val="397"/>
        </w:trPr>
        <w:tc>
          <w:tcPr>
            <w:tcW w:w="741" w:type="pct"/>
          </w:tcPr>
          <w:p w14:paraId="31178A32" w14:textId="77777777" w:rsidR="00067079" w:rsidRPr="00A31BE0" w:rsidRDefault="00067079" w:rsidP="00067079">
            <w:pPr>
              <w:rPr>
                <w:rFonts w:ascii="Jacobs Chronos" w:hAnsi="Jacobs Chronos" w:cs="Jacobs Chronos"/>
                <w:sz w:val="16"/>
                <w:szCs w:val="16"/>
              </w:rPr>
            </w:pPr>
          </w:p>
        </w:tc>
        <w:tc>
          <w:tcPr>
            <w:tcW w:w="392" w:type="pct"/>
          </w:tcPr>
          <w:p w14:paraId="6F1D6A5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19.16</w:t>
            </w:r>
          </w:p>
        </w:tc>
        <w:tc>
          <w:tcPr>
            <w:tcW w:w="2767" w:type="pct"/>
          </w:tcPr>
          <w:p w14:paraId="5685851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Does the culvert project above the bed of the downstream waterway and prevent the passage of aquatic fauna, where this is a relevant consideration?</w:t>
            </w:r>
          </w:p>
        </w:tc>
        <w:tc>
          <w:tcPr>
            <w:tcW w:w="578" w:type="pct"/>
            <w:shd w:val="clear" w:color="auto" w:fill="FFFFFF" w:themeFill="background1"/>
          </w:tcPr>
          <w:p w14:paraId="5B4EA19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C, I</w:t>
            </w:r>
          </w:p>
        </w:tc>
        <w:tc>
          <w:tcPr>
            <w:tcW w:w="522" w:type="pct"/>
            <w:shd w:val="clear" w:color="auto" w:fill="FFFFFF" w:themeFill="background1"/>
          </w:tcPr>
          <w:p w14:paraId="7299CB1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33</w:t>
            </w:r>
          </w:p>
        </w:tc>
      </w:tr>
      <w:tr w:rsidR="00067079" w:rsidRPr="00A31BE0" w14:paraId="78916712" w14:textId="77777777" w:rsidTr="00E81409">
        <w:trPr>
          <w:trHeight w:val="397"/>
        </w:trPr>
        <w:tc>
          <w:tcPr>
            <w:tcW w:w="741" w:type="pct"/>
          </w:tcPr>
          <w:p w14:paraId="76BC54C2" w14:textId="77777777" w:rsidR="00067079" w:rsidRPr="00A31BE0" w:rsidRDefault="00067079" w:rsidP="00067079">
            <w:pPr>
              <w:rPr>
                <w:rFonts w:ascii="Jacobs Chronos" w:hAnsi="Jacobs Chronos" w:cs="Jacobs Chronos"/>
                <w:sz w:val="16"/>
                <w:szCs w:val="16"/>
              </w:rPr>
            </w:pPr>
          </w:p>
        </w:tc>
        <w:tc>
          <w:tcPr>
            <w:tcW w:w="392" w:type="pct"/>
          </w:tcPr>
          <w:p w14:paraId="320C994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19.17</w:t>
            </w:r>
          </w:p>
        </w:tc>
        <w:tc>
          <w:tcPr>
            <w:tcW w:w="2767" w:type="pct"/>
          </w:tcPr>
          <w:p w14:paraId="2861FE8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culvert diverts water from its natural course, does it return water to its natural course via a flume, rock spill, or other hard surface?</w:t>
            </w:r>
          </w:p>
        </w:tc>
        <w:tc>
          <w:tcPr>
            <w:tcW w:w="578" w:type="pct"/>
            <w:shd w:val="clear" w:color="auto" w:fill="FFFFFF" w:themeFill="background1"/>
          </w:tcPr>
          <w:p w14:paraId="526D8B6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C, I</w:t>
            </w:r>
          </w:p>
        </w:tc>
        <w:tc>
          <w:tcPr>
            <w:tcW w:w="522" w:type="pct"/>
            <w:shd w:val="clear" w:color="auto" w:fill="FFFFFF" w:themeFill="background1"/>
          </w:tcPr>
          <w:p w14:paraId="4F89E7E0"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DCE2DF1" w14:textId="77777777" w:rsidTr="00E81409">
        <w:trPr>
          <w:trHeight w:val="397"/>
        </w:trPr>
        <w:tc>
          <w:tcPr>
            <w:tcW w:w="741" w:type="pct"/>
            <w:shd w:val="clear" w:color="auto" w:fill="FCE4D6"/>
          </w:tcPr>
          <w:p w14:paraId="7D2C10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1E83EA8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45C9403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2.4.3.6: Road construction must ensure that: i disturbance to stream beds and banks is kept to a minimum; ii soil and rock fill is not pushed into waterways, nor placed into a position where there is a risk that it can erode into a waterway; and iii cement, raw concrete, soil fill and other road making materials are not spilt or disposed of into waterways during road construction.</w:t>
            </w:r>
          </w:p>
        </w:tc>
        <w:tc>
          <w:tcPr>
            <w:tcW w:w="578" w:type="pct"/>
            <w:shd w:val="clear" w:color="auto" w:fill="FFFFFF" w:themeFill="background1"/>
          </w:tcPr>
          <w:p w14:paraId="54B2666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0EB1F7" w14:textId="77777777" w:rsidR="00067079" w:rsidRPr="00A31BE0" w:rsidRDefault="00067079" w:rsidP="00C31A7B">
            <w:pPr>
              <w:jc w:val="center"/>
              <w:rPr>
                <w:rFonts w:ascii="Jacobs Chronos" w:hAnsi="Jacobs Chronos" w:cs="Jacobs Chronos"/>
                <w:sz w:val="16"/>
                <w:szCs w:val="16"/>
              </w:rPr>
            </w:pPr>
          </w:p>
        </w:tc>
      </w:tr>
      <w:tr w:rsidR="00067079" w:rsidRPr="00A31BE0" w14:paraId="700B9774" w14:textId="77777777" w:rsidTr="00E81409">
        <w:trPr>
          <w:trHeight w:val="397"/>
        </w:trPr>
        <w:tc>
          <w:tcPr>
            <w:tcW w:w="741" w:type="pct"/>
          </w:tcPr>
          <w:p w14:paraId="49C54EE4" w14:textId="77777777" w:rsidR="00067079" w:rsidRPr="00A31BE0" w:rsidRDefault="00067079" w:rsidP="00067079">
            <w:pPr>
              <w:rPr>
                <w:rFonts w:ascii="Jacobs Chronos" w:hAnsi="Jacobs Chronos" w:cs="Jacobs Chronos"/>
                <w:sz w:val="16"/>
                <w:szCs w:val="16"/>
              </w:rPr>
            </w:pPr>
          </w:p>
        </w:tc>
        <w:tc>
          <w:tcPr>
            <w:tcW w:w="392" w:type="pct"/>
          </w:tcPr>
          <w:p w14:paraId="3170609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19.19</w:t>
            </w:r>
          </w:p>
        </w:tc>
        <w:tc>
          <w:tcPr>
            <w:tcW w:w="2767" w:type="pct"/>
          </w:tcPr>
          <w:p w14:paraId="3F36399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the road been constructed in a way that the stream bed and/or banks are unnecessarily disturbed or there is an unnecessary risk of erosion into a waterway?</w:t>
            </w:r>
          </w:p>
        </w:tc>
        <w:tc>
          <w:tcPr>
            <w:tcW w:w="578" w:type="pct"/>
            <w:shd w:val="clear" w:color="auto" w:fill="FFFFFF" w:themeFill="background1"/>
          </w:tcPr>
          <w:p w14:paraId="1E4BA98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 C, I</w:t>
            </w:r>
          </w:p>
        </w:tc>
        <w:tc>
          <w:tcPr>
            <w:tcW w:w="522" w:type="pct"/>
            <w:shd w:val="clear" w:color="auto" w:fill="FFFFFF" w:themeFill="background1"/>
          </w:tcPr>
          <w:p w14:paraId="57B258F5"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BCCFAC5" w14:textId="77777777" w:rsidTr="00E81409">
        <w:trPr>
          <w:trHeight w:val="397"/>
        </w:trPr>
        <w:tc>
          <w:tcPr>
            <w:tcW w:w="741" w:type="pct"/>
          </w:tcPr>
          <w:p w14:paraId="07BE1EED" w14:textId="77777777" w:rsidR="00067079" w:rsidRPr="00A31BE0" w:rsidRDefault="00067079" w:rsidP="00067079">
            <w:pPr>
              <w:rPr>
                <w:rFonts w:ascii="Jacobs Chronos" w:hAnsi="Jacobs Chronos" w:cs="Jacobs Chronos"/>
                <w:sz w:val="16"/>
                <w:szCs w:val="16"/>
              </w:rPr>
            </w:pPr>
          </w:p>
        </w:tc>
        <w:tc>
          <w:tcPr>
            <w:tcW w:w="392" w:type="pct"/>
          </w:tcPr>
          <w:p w14:paraId="23B51F3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19.19</w:t>
            </w:r>
          </w:p>
        </w:tc>
        <w:tc>
          <w:tcPr>
            <w:tcW w:w="2767" w:type="pct"/>
          </w:tcPr>
          <w:p w14:paraId="767B9F3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road construction materials been spilt or disposed of into a waterway?</w:t>
            </w:r>
          </w:p>
        </w:tc>
        <w:tc>
          <w:tcPr>
            <w:tcW w:w="578" w:type="pct"/>
            <w:shd w:val="clear" w:color="auto" w:fill="FFFFFF" w:themeFill="background1"/>
          </w:tcPr>
          <w:p w14:paraId="7F9865E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C, I</w:t>
            </w:r>
          </w:p>
        </w:tc>
        <w:tc>
          <w:tcPr>
            <w:tcW w:w="522" w:type="pct"/>
            <w:shd w:val="clear" w:color="auto" w:fill="FFFFFF" w:themeFill="background1"/>
          </w:tcPr>
          <w:p w14:paraId="14898C0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187B385" w14:textId="77777777" w:rsidTr="00E81409">
        <w:trPr>
          <w:trHeight w:val="397"/>
        </w:trPr>
        <w:tc>
          <w:tcPr>
            <w:tcW w:w="741" w:type="pct"/>
            <w:shd w:val="clear" w:color="auto" w:fill="A9D08E"/>
          </w:tcPr>
          <w:p w14:paraId="01BD53C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5744993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7DB7BB1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2.4.6 Road Closure</w:t>
            </w:r>
          </w:p>
        </w:tc>
        <w:tc>
          <w:tcPr>
            <w:tcW w:w="578" w:type="pct"/>
            <w:shd w:val="clear" w:color="auto" w:fill="FFFFFF" w:themeFill="background1"/>
          </w:tcPr>
          <w:p w14:paraId="0C912A7D"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817BBAD" w14:textId="77777777" w:rsidR="00067079" w:rsidRPr="00A31BE0" w:rsidRDefault="00067079" w:rsidP="00C31A7B">
            <w:pPr>
              <w:jc w:val="center"/>
              <w:rPr>
                <w:rFonts w:ascii="Jacobs Chronos" w:hAnsi="Jacobs Chronos" w:cs="Jacobs Chronos"/>
                <w:sz w:val="16"/>
                <w:szCs w:val="16"/>
              </w:rPr>
            </w:pPr>
          </w:p>
        </w:tc>
      </w:tr>
      <w:tr w:rsidR="00067079" w:rsidRPr="00A31BE0" w14:paraId="4164F0FA" w14:textId="77777777" w:rsidTr="00E81409">
        <w:trPr>
          <w:trHeight w:val="397"/>
        </w:trPr>
        <w:tc>
          <w:tcPr>
            <w:tcW w:w="741" w:type="pct"/>
            <w:shd w:val="clear" w:color="auto" w:fill="FCE4D6"/>
          </w:tcPr>
          <w:p w14:paraId="4DFE96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3ADB253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04303DA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2.4.6.2 Roads no longer required for timber harvesting operations or other forest management purposes, must be permanently closed to vehicle traffic and effectively drained following completion of the timber harvesting operation</w:t>
            </w:r>
          </w:p>
        </w:tc>
        <w:tc>
          <w:tcPr>
            <w:tcW w:w="578" w:type="pct"/>
            <w:shd w:val="clear" w:color="auto" w:fill="FFFFFF" w:themeFill="background1"/>
          </w:tcPr>
          <w:p w14:paraId="49B8D9E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38C1DED" w14:textId="77777777" w:rsidR="00067079" w:rsidRPr="00A31BE0" w:rsidRDefault="00067079" w:rsidP="00C31A7B">
            <w:pPr>
              <w:jc w:val="center"/>
              <w:rPr>
                <w:rFonts w:ascii="Jacobs Chronos" w:hAnsi="Jacobs Chronos" w:cs="Jacobs Chronos"/>
                <w:sz w:val="16"/>
                <w:szCs w:val="16"/>
              </w:rPr>
            </w:pPr>
          </w:p>
        </w:tc>
      </w:tr>
      <w:tr w:rsidR="00067079" w:rsidRPr="00A31BE0" w14:paraId="31DD2A62" w14:textId="77777777" w:rsidTr="00E81409">
        <w:trPr>
          <w:trHeight w:val="397"/>
        </w:trPr>
        <w:tc>
          <w:tcPr>
            <w:tcW w:w="741" w:type="pct"/>
            <w:shd w:val="clear" w:color="auto" w:fill="FFF2CC"/>
          </w:tcPr>
          <w:p w14:paraId="587D858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2787CA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353397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6.4.1.1 Close temporary roads (including removal of all bridges, crossings and culverts on streams or drainage lines) as soon as possible after harvesting and/or regeneration is complete in all coupes that use the road.</w:t>
            </w:r>
          </w:p>
        </w:tc>
        <w:tc>
          <w:tcPr>
            <w:tcW w:w="578" w:type="pct"/>
            <w:shd w:val="clear" w:color="auto" w:fill="FFFFFF" w:themeFill="background1"/>
          </w:tcPr>
          <w:p w14:paraId="6AD0241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E0506A8" w14:textId="77777777" w:rsidR="00067079" w:rsidRPr="00A31BE0" w:rsidRDefault="00067079" w:rsidP="00C31A7B">
            <w:pPr>
              <w:jc w:val="center"/>
              <w:rPr>
                <w:rFonts w:ascii="Jacobs Chronos" w:hAnsi="Jacobs Chronos" w:cs="Jacobs Chronos"/>
                <w:sz w:val="16"/>
                <w:szCs w:val="16"/>
              </w:rPr>
            </w:pPr>
          </w:p>
        </w:tc>
      </w:tr>
      <w:tr w:rsidR="00067079" w:rsidRPr="00A31BE0" w14:paraId="21E44C67" w14:textId="77777777" w:rsidTr="00E81409">
        <w:trPr>
          <w:trHeight w:val="397"/>
        </w:trPr>
        <w:tc>
          <w:tcPr>
            <w:tcW w:w="741" w:type="pct"/>
            <w:shd w:val="clear" w:color="auto" w:fill="FFF2CC"/>
          </w:tcPr>
          <w:p w14:paraId="0CAFB2C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B6ACA4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5ADE9F9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6.4.1.2 Drain the approach to any bridge, culvert of log fill crossing that has been removed to restrict soil movement into the stream or waterway.</w:t>
            </w:r>
          </w:p>
        </w:tc>
        <w:tc>
          <w:tcPr>
            <w:tcW w:w="578" w:type="pct"/>
            <w:shd w:val="clear" w:color="auto" w:fill="FFFFFF" w:themeFill="background1"/>
          </w:tcPr>
          <w:p w14:paraId="299C6A1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09F148D" w14:textId="77777777" w:rsidR="00067079" w:rsidRPr="00A31BE0" w:rsidRDefault="00067079" w:rsidP="00C31A7B">
            <w:pPr>
              <w:jc w:val="center"/>
              <w:rPr>
                <w:rFonts w:ascii="Jacobs Chronos" w:hAnsi="Jacobs Chronos" w:cs="Jacobs Chronos"/>
                <w:sz w:val="16"/>
                <w:szCs w:val="16"/>
              </w:rPr>
            </w:pPr>
          </w:p>
        </w:tc>
      </w:tr>
      <w:tr w:rsidR="00067079" w:rsidRPr="00A31BE0" w14:paraId="3CC47919" w14:textId="77777777" w:rsidTr="00E81409">
        <w:trPr>
          <w:trHeight w:val="397"/>
        </w:trPr>
        <w:tc>
          <w:tcPr>
            <w:tcW w:w="741" w:type="pct"/>
          </w:tcPr>
          <w:p w14:paraId="4E53C38A" w14:textId="77777777" w:rsidR="00067079" w:rsidRPr="00A31BE0" w:rsidRDefault="00067079" w:rsidP="00067079">
            <w:pPr>
              <w:rPr>
                <w:rFonts w:ascii="Jacobs Chronos" w:hAnsi="Jacobs Chronos" w:cs="Jacobs Chronos"/>
                <w:sz w:val="16"/>
                <w:szCs w:val="16"/>
              </w:rPr>
            </w:pPr>
          </w:p>
        </w:tc>
        <w:tc>
          <w:tcPr>
            <w:tcW w:w="392" w:type="pct"/>
          </w:tcPr>
          <w:p w14:paraId="7E8160D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20.01</w:t>
            </w:r>
          </w:p>
        </w:tc>
        <w:tc>
          <w:tcPr>
            <w:tcW w:w="2767" w:type="pct"/>
          </w:tcPr>
          <w:p w14:paraId="446D24E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use of the ICR has ceased, have all crossings and culverts been removed?</w:t>
            </w:r>
          </w:p>
        </w:tc>
        <w:tc>
          <w:tcPr>
            <w:tcW w:w="578" w:type="pct"/>
            <w:shd w:val="clear" w:color="auto" w:fill="FFFFFF" w:themeFill="background1"/>
          </w:tcPr>
          <w:p w14:paraId="2A2D4AB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M</w:t>
            </w:r>
          </w:p>
        </w:tc>
        <w:tc>
          <w:tcPr>
            <w:tcW w:w="522" w:type="pct"/>
            <w:shd w:val="clear" w:color="auto" w:fill="FFFFFF" w:themeFill="background1"/>
          </w:tcPr>
          <w:p w14:paraId="26985368" w14:textId="40872CB1"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389F04B3" w14:textId="77777777" w:rsidTr="00E81409">
        <w:trPr>
          <w:trHeight w:val="397"/>
        </w:trPr>
        <w:tc>
          <w:tcPr>
            <w:tcW w:w="741" w:type="pct"/>
          </w:tcPr>
          <w:p w14:paraId="58669663" w14:textId="77777777" w:rsidR="00067079" w:rsidRPr="00A31BE0" w:rsidRDefault="00067079" w:rsidP="00067079">
            <w:pPr>
              <w:rPr>
                <w:rFonts w:ascii="Jacobs Chronos" w:hAnsi="Jacobs Chronos" w:cs="Jacobs Chronos"/>
                <w:sz w:val="16"/>
                <w:szCs w:val="16"/>
              </w:rPr>
            </w:pPr>
          </w:p>
        </w:tc>
        <w:tc>
          <w:tcPr>
            <w:tcW w:w="392" w:type="pct"/>
          </w:tcPr>
          <w:p w14:paraId="72A439C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20.02</w:t>
            </w:r>
          </w:p>
        </w:tc>
        <w:tc>
          <w:tcPr>
            <w:tcW w:w="2767" w:type="pct"/>
          </w:tcPr>
          <w:p w14:paraId="2149F4D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have the approaches to any crossing been drained appropriately to restrict soil movement into the stream or waterway?</w:t>
            </w:r>
          </w:p>
        </w:tc>
        <w:tc>
          <w:tcPr>
            <w:tcW w:w="578" w:type="pct"/>
            <w:shd w:val="clear" w:color="auto" w:fill="FFFFFF" w:themeFill="background1"/>
          </w:tcPr>
          <w:p w14:paraId="2D41C84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C, I</w:t>
            </w:r>
          </w:p>
        </w:tc>
        <w:tc>
          <w:tcPr>
            <w:tcW w:w="522" w:type="pct"/>
            <w:shd w:val="clear" w:color="auto" w:fill="FFFFFF" w:themeFill="background1"/>
          </w:tcPr>
          <w:p w14:paraId="4FACF0C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E960AE8" w14:textId="77777777" w:rsidTr="00E81409">
        <w:trPr>
          <w:trHeight w:val="397"/>
        </w:trPr>
        <w:tc>
          <w:tcPr>
            <w:tcW w:w="741" w:type="pct"/>
          </w:tcPr>
          <w:p w14:paraId="47841627" w14:textId="77777777" w:rsidR="00067079" w:rsidRPr="00A31BE0" w:rsidRDefault="00067079" w:rsidP="00067079">
            <w:pPr>
              <w:rPr>
                <w:rFonts w:ascii="Jacobs Chronos" w:hAnsi="Jacobs Chronos" w:cs="Jacobs Chronos"/>
                <w:sz w:val="16"/>
                <w:szCs w:val="16"/>
              </w:rPr>
            </w:pPr>
          </w:p>
        </w:tc>
        <w:tc>
          <w:tcPr>
            <w:tcW w:w="392" w:type="pct"/>
          </w:tcPr>
          <w:p w14:paraId="3152A8D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20.03</w:t>
            </w:r>
          </w:p>
        </w:tc>
        <w:tc>
          <w:tcPr>
            <w:tcW w:w="2767" w:type="pct"/>
          </w:tcPr>
          <w:p w14:paraId="4B231AD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removal of a crossing or culvert has led to soil movement into the waterway?</w:t>
            </w:r>
          </w:p>
        </w:tc>
        <w:tc>
          <w:tcPr>
            <w:tcW w:w="578" w:type="pct"/>
            <w:shd w:val="clear" w:color="auto" w:fill="FFFFFF" w:themeFill="background1"/>
          </w:tcPr>
          <w:p w14:paraId="1CC882F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 M, I</w:t>
            </w:r>
          </w:p>
        </w:tc>
        <w:tc>
          <w:tcPr>
            <w:tcW w:w="522" w:type="pct"/>
            <w:shd w:val="clear" w:color="auto" w:fill="FFFFFF" w:themeFill="background1"/>
          </w:tcPr>
          <w:p w14:paraId="5354282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0</w:t>
            </w:r>
          </w:p>
        </w:tc>
      </w:tr>
      <w:tr w:rsidR="00067079" w:rsidRPr="00A31BE0" w14:paraId="508E0111" w14:textId="77777777" w:rsidTr="00E81409">
        <w:trPr>
          <w:trHeight w:val="397"/>
        </w:trPr>
        <w:tc>
          <w:tcPr>
            <w:tcW w:w="741" w:type="pct"/>
            <w:shd w:val="clear" w:color="auto" w:fill="FFF2CC"/>
          </w:tcPr>
          <w:p w14:paraId="3D2D47D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0D29C99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72862F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6.4.1.3 Use an effective barrier to close to all vehicles temporary roads that will not be used to access a coupe for a period of 12 months or more.</w:t>
            </w:r>
          </w:p>
        </w:tc>
        <w:tc>
          <w:tcPr>
            <w:tcW w:w="578" w:type="pct"/>
            <w:shd w:val="clear" w:color="auto" w:fill="FFFFFF" w:themeFill="background1"/>
          </w:tcPr>
          <w:p w14:paraId="0368F91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D28C803" w14:textId="77777777" w:rsidR="00067079" w:rsidRPr="00A31BE0" w:rsidRDefault="00067079" w:rsidP="00C31A7B">
            <w:pPr>
              <w:jc w:val="center"/>
              <w:rPr>
                <w:rFonts w:ascii="Jacobs Chronos" w:hAnsi="Jacobs Chronos" w:cs="Jacobs Chronos"/>
                <w:sz w:val="16"/>
                <w:szCs w:val="16"/>
              </w:rPr>
            </w:pPr>
          </w:p>
        </w:tc>
      </w:tr>
      <w:tr w:rsidR="00067079" w:rsidRPr="00A31BE0" w14:paraId="73DF2F6A" w14:textId="77777777" w:rsidTr="00E81409">
        <w:trPr>
          <w:trHeight w:val="397"/>
        </w:trPr>
        <w:tc>
          <w:tcPr>
            <w:tcW w:w="741" w:type="pct"/>
          </w:tcPr>
          <w:p w14:paraId="72CBCB41" w14:textId="77777777" w:rsidR="00067079" w:rsidRPr="00A31BE0" w:rsidRDefault="00067079" w:rsidP="00067079">
            <w:pPr>
              <w:rPr>
                <w:rFonts w:ascii="Jacobs Chronos" w:hAnsi="Jacobs Chronos" w:cs="Jacobs Chronos"/>
                <w:sz w:val="16"/>
                <w:szCs w:val="16"/>
              </w:rPr>
            </w:pPr>
          </w:p>
        </w:tc>
        <w:tc>
          <w:tcPr>
            <w:tcW w:w="392" w:type="pct"/>
          </w:tcPr>
          <w:p w14:paraId="0F4173E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20.04</w:t>
            </w:r>
          </w:p>
        </w:tc>
        <w:tc>
          <w:tcPr>
            <w:tcW w:w="2767" w:type="pct"/>
          </w:tcPr>
          <w:p w14:paraId="5D081EF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road is no longer required for harvesting or other forest management purposes, has it been permanently closed to traffic?</w:t>
            </w:r>
          </w:p>
        </w:tc>
        <w:tc>
          <w:tcPr>
            <w:tcW w:w="578" w:type="pct"/>
            <w:shd w:val="clear" w:color="auto" w:fill="FFFFFF" w:themeFill="background1"/>
          </w:tcPr>
          <w:p w14:paraId="1B99A0F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522" w:type="pct"/>
            <w:shd w:val="clear" w:color="auto" w:fill="FFFFFF" w:themeFill="background1"/>
          </w:tcPr>
          <w:p w14:paraId="6FC1AB8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88</w:t>
            </w:r>
          </w:p>
        </w:tc>
      </w:tr>
      <w:tr w:rsidR="00067079" w:rsidRPr="00A31BE0" w14:paraId="18D45733" w14:textId="77777777" w:rsidTr="00E81409">
        <w:trPr>
          <w:trHeight w:val="397"/>
        </w:trPr>
        <w:tc>
          <w:tcPr>
            <w:tcW w:w="741" w:type="pct"/>
            <w:shd w:val="clear" w:color="auto" w:fill="A9D08E"/>
          </w:tcPr>
          <w:p w14:paraId="542AE4A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0C91B65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4D0D679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2.5 - Timber Harvesting </w:t>
            </w:r>
          </w:p>
        </w:tc>
        <w:tc>
          <w:tcPr>
            <w:tcW w:w="578" w:type="pct"/>
            <w:shd w:val="clear" w:color="auto" w:fill="FFFFFF" w:themeFill="background1"/>
          </w:tcPr>
          <w:p w14:paraId="164B33D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E0FA25B" w14:textId="77777777" w:rsidR="00067079" w:rsidRPr="00A31BE0" w:rsidRDefault="00067079" w:rsidP="00C31A7B">
            <w:pPr>
              <w:jc w:val="center"/>
              <w:rPr>
                <w:rFonts w:ascii="Jacobs Chronos" w:hAnsi="Jacobs Chronos" w:cs="Jacobs Chronos"/>
                <w:sz w:val="16"/>
                <w:szCs w:val="16"/>
              </w:rPr>
            </w:pPr>
          </w:p>
        </w:tc>
      </w:tr>
      <w:tr w:rsidR="00067079" w:rsidRPr="00A31BE0" w14:paraId="78FB6552" w14:textId="77777777" w:rsidTr="00E81409">
        <w:trPr>
          <w:trHeight w:val="397"/>
        </w:trPr>
        <w:tc>
          <w:tcPr>
            <w:tcW w:w="741" w:type="pct"/>
            <w:shd w:val="clear" w:color="auto" w:fill="A9D08E"/>
          </w:tcPr>
          <w:p w14:paraId="252206B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25683D0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2AF9DE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2.5.1 Coupe Management</w:t>
            </w:r>
          </w:p>
        </w:tc>
        <w:tc>
          <w:tcPr>
            <w:tcW w:w="578" w:type="pct"/>
            <w:shd w:val="clear" w:color="auto" w:fill="FFFFFF" w:themeFill="background1"/>
          </w:tcPr>
          <w:p w14:paraId="4EE927F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1AE5B8F" w14:textId="77777777" w:rsidR="00067079" w:rsidRPr="00A31BE0" w:rsidRDefault="00067079" w:rsidP="00C31A7B">
            <w:pPr>
              <w:jc w:val="center"/>
              <w:rPr>
                <w:rFonts w:ascii="Jacobs Chronos" w:hAnsi="Jacobs Chronos" w:cs="Jacobs Chronos"/>
                <w:sz w:val="16"/>
                <w:szCs w:val="16"/>
              </w:rPr>
            </w:pPr>
          </w:p>
        </w:tc>
      </w:tr>
      <w:tr w:rsidR="00067079" w:rsidRPr="00A31BE0" w14:paraId="078E3FF1" w14:textId="77777777" w:rsidTr="00E81409">
        <w:trPr>
          <w:trHeight w:val="397"/>
        </w:trPr>
        <w:tc>
          <w:tcPr>
            <w:tcW w:w="741" w:type="pct"/>
            <w:shd w:val="clear" w:color="auto" w:fill="FCE4D6"/>
          </w:tcPr>
          <w:p w14:paraId="5F6AFBF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6511244"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0F3684E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2.5.1.1 Planning and management of timber harvesting operations must comply with relevant coupe management measures specified in the Management Standards and Procedures</w:t>
            </w:r>
          </w:p>
        </w:tc>
        <w:tc>
          <w:tcPr>
            <w:tcW w:w="578" w:type="pct"/>
            <w:shd w:val="clear" w:color="auto" w:fill="FFFFFF" w:themeFill="background1"/>
          </w:tcPr>
          <w:p w14:paraId="3994A533"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69259DD" w14:textId="77777777" w:rsidR="00067079" w:rsidRPr="00A31BE0" w:rsidRDefault="00067079" w:rsidP="00C31A7B">
            <w:pPr>
              <w:jc w:val="center"/>
              <w:rPr>
                <w:rFonts w:ascii="Jacobs Chronos" w:hAnsi="Jacobs Chronos" w:cs="Jacobs Chronos"/>
                <w:sz w:val="16"/>
                <w:szCs w:val="16"/>
              </w:rPr>
            </w:pPr>
          </w:p>
        </w:tc>
      </w:tr>
      <w:tr w:rsidR="00067079" w:rsidRPr="00A31BE0" w14:paraId="7E0AC563" w14:textId="77777777" w:rsidTr="00E81409">
        <w:trPr>
          <w:trHeight w:val="397"/>
        </w:trPr>
        <w:tc>
          <w:tcPr>
            <w:tcW w:w="741" w:type="pct"/>
            <w:shd w:val="clear" w:color="auto" w:fill="FCE4D6"/>
          </w:tcPr>
          <w:p w14:paraId="7737AD0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DF6EE3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751E999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2.5.1.2 Timber harvesting operations must be conducted in accordance with the Forest Coupe Plan and all applicable Special Management Zone plans – see audit criteria 20.01-20.16</w:t>
            </w:r>
          </w:p>
        </w:tc>
        <w:tc>
          <w:tcPr>
            <w:tcW w:w="578" w:type="pct"/>
            <w:shd w:val="clear" w:color="auto" w:fill="FFFFFF" w:themeFill="background1"/>
          </w:tcPr>
          <w:p w14:paraId="31F7F4C0"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07545FD" w14:textId="77777777" w:rsidR="00067079" w:rsidRPr="00A31BE0" w:rsidRDefault="00067079" w:rsidP="00C31A7B">
            <w:pPr>
              <w:jc w:val="center"/>
              <w:rPr>
                <w:rFonts w:ascii="Jacobs Chronos" w:hAnsi="Jacobs Chronos" w:cs="Jacobs Chronos"/>
                <w:sz w:val="16"/>
                <w:szCs w:val="16"/>
              </w:rPr>
            </w:pPr>
          </w:p>
        </w:tc>
      </w:tr>
      <w:tr w:rsidR="00067079" w:rsidRPr="00A31BE0" w14:paraId="381660BE" w14:textId="77777777" w:rsidTr="00E81409">
        <w:trPr>
          <w:trHeight w:val="397"/>
        </w:trPr>
        <w:tc>
          <w:tcPr>
            <w:tcW w:w="741" w:type="pct"/>
          </w:tcPr>
          <w:p w14:paraId="7E4355EE" w14:textId="77777777" w:rsidR="00067079" w:rsidRPr="00A31BE0" w:rsidRDefault="00067079" w:rsidP="00067079">
            <w:pPr>
              <w:rPr>
                <w:rFonts w:ascii="Jacobs Chronos" w:hAnsi="Jacobs Chronos" w:cs="Jacobs Chronos"/>
                <w:sz w:val="16"/>
                <w:szCs w:val="16"/>
              </w:rPr>
            </w:pPr>
          </w:p>
        </w:tc>
        <w:tc>
          <w:tcPr>
            <w:tcW w:w="392" w:type="pct"/>
          </w:tcPr>
          <w:p w14:paraId="78448C1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21.01</w:t>
            </w:r>
          </w:p>
        </w:tc>
        <w:tc>
          <w:tcPr>
            <w:tcW w:w="2767" w:type="pct"/>
          </w:tcPr>
          <w:p w14:paraId="78C009B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the timber harvesting operation been conducted in accordance with the MSPs, FCP and all applicable SMZ plans.</w:t>
            </w:r>
          </w:p>
        </w:tc>
        <w:tc>
          <w:tcPr>
            <w:tcW w:w="578" w:type="pct"/>
            <w:shd w:val="clear" w:color="auto" w:fill="FFFFFF" w:themeFill="background1"/>
          </w:tcPr>
          <w:p w14:paraId="7A4212A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53D1F0F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56</w:t>
            </w:r>
          </w:p>
        </w:tc>
      </w:tr>
      <w:tr w:rsidR="00067079" w:rsidRPr="00A31BE0" w14:paraId="1F877229" w14:textId="77777777" w:rsidTr="00E81409">
        <w:trPr>
          <w:trHeight w:val="397"/>
        </w:trPr>
        <w:tc>
          <w:tcPr>
            <w:tcW w:w="741" w:type="pct"/>
            <w:shd w:val="clear" w:color="auto" w:fill="FCE4D6"/>
          </w:tcPr>
          <w:p w14:paraId="512D8AE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5B373109"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6F61140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2.5.1.4 Timber harvesting operations must only be undertaken within established coupe boundaries as indicated on the Forest Coupe Plan and where required marked in the field, unless the timber harvesting </w:t>
            </w:r>
            <w:r w:rsidRPr="00A31BE0">
              <w:rPr>
                <w:rFonts w:ascii="Jacobs Chronos" w:hAnsi="Jacobs Chronos" w:cs="Jacobs Chronos"/>
                <w:sz w:val="16"/>
                <w:szCs w:val="16"/>
              </w:rPr>
              <w:lastRenderedPageBreak/>
              <w:t>operation is specifically sanctioned or exempted in accordance with this Code and the MSPs.</w:t>
            </w:r>
          </w:p>
        </w:tc>
        <w:tc>
          <w:tcPr>
            <w:tcW w:w="578" w:type="pct"/>
            <w:shd w:val="clear" w:color="auto" w:fill="FFFFFF" w:themeFill="background1"/>
          </w:tcPr>
          <w:p w14:paraId="7A4AA17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C2055C7" w14:textId="77777777" w:rsidR="00067079" w:rsidRPr="00A31BE0" w:rsidRDefault="00067079" w:rsidP="00C31A7B">
            <w:pPr>
              <w:jc w:val="center"/>
              <w:rPr>
                <w:rFonts w:ascii="Jacobs Chronos" w:hAnsi="Jacobs Chronos" w:cs="Jacobs Chronos"/>
                <w:sz w:val="16"/>
                <w:szCs w:val="16"/>
              </w:rPr>
            </w:pPr>
          </w:p>
        </w:tc>
      </w:tr>
      <w:tr w:rsidR="00067079" w:rsidRPr="00A31BE0" w14:paraId="3837391D" w14:textId="77777777" w:rsidTr="00E81409">
        <w:trPr>
          <w:trHeight w:val="397"/>
        </w:trPr>
        <w:tc>
          <w:tcPr>
            <w:tcW w:w="741" w:type="pct"/>
          </w:tcPr>
          <w:p w14:paraId="2A335195" w14:textId="77777777" w:rsidR="00067079" w:rsidRPr="00A31BE0" w:rsidRDefault="00067079" w:rsidP="00067079">
            <w:pPr>
              <w:rPr>
                <w:rFonts w:ascii="Jacobs Chronos" w:hAnsi="Jacobs Chronos" w:cs="Jacobs Chronos"/>
                <w:sz w:val="16"/>
                <w:szCs w:val="16"/>
              </w:rPr>
            </w:pPr>
          </w:p>
        </w:tc>
        <w:tc>
          <w:tcPr>
            <w:tcW w:w="392" w:type="pct"/>
          </w:tcPr>
          <w:p w14:paraId="0DCD8DE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21.02</w:t>
            </w:r>
          </w:p>
        </w:tc>
        <w:tc>
          <w:tcPr>
            <w:tcW w:w="2767" w:type="pct"/>
          </w:tcPr>
          <w:p w14:paraId="21CAC44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timber harvesting operations only been undertaken within established coupe boundaries, except where harvesting outside the boundary is explicitly sanctioned in accordance with the Code/MSPs?</w:t>
            </w:r>
          </w:p>
        </w:tc>
        <w:tc>
          <w:tcPr>
            <w:tcW w:w="578" w:type="pct"/>
            <w:shd w:val="clear" w:color="auto" w:fill="FFFFFF" w:themeFill="background1"/>
          </w:tcPr>
          <w:p w14:paraId="7AD8589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58CC7F2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4C9443F2" w14:textId="77777777" w:rsidTr="00E81409">
        <w:trPr>
          <w:trHeight w:val="397"/>
        </w:trPr>
        <w:tc>
          <w:tcPr>
            <w:tcW w:w="741" w:type="pct"/>
          </w:tcPr>
          <w:p w14:paraId="3996D29F" w14:textId="77777777" w:rsidR="00067079" w:rsidRPr="00A31BE0" w:rsidRDefault="00067079" w:rsidP="00067079">
            <w:pPr>
              <w:rPr>
                <w:rFonts w:ascii="Jacobs Chronos" w:hAnsi="Jacobs Chronos" w:cs="Jacobs Chronos"/>
                <w:sz w:val="16"/>
                <w:szCs w:val="16"/>
              </w:rPr>
            </w:pPr>
          </w:p>
        </w:tc>
        <w:tc>
          <w:tcPr>
            <w:tcW w:w="392" w:type="pct"/>
          </w:tcPr>
          <w:p w14:paraId="6A1AE35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21.03</w:t>
            </w:r>
          </w:p>
        </w:tc>
        <w:tc>
          <w:tcPr>
            <w:tcW w:w="2767" w:type="pct"/>
          </w:tcPr>
          <w:p w14:paraId="2491838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timber harvesting operations only been undertaken within marked harvest boundaries, except where harvesting outside the boundary is explicitly sanctioned in accordance with the Code/MSPs</w:t>
            </w:r>
          </w:p>
        </w:tc>
        <w:tc>
          <w:tcPr>
            <w:tcW w:w="578" w:type="pct"/>
            <w:shd w:val="clear" w:color="auto" w:fill="FFFFFF" w:themeFill="background1"/>
          </w:tcPr>
          <w:p w14:paraId="7D6FF8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4B95CAD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3577F7EE" w14:textId="77777777" w:rsidTr="00E81409">
        <w:trPr>
          <w:trHeight w:val="397"/>
        </w:trPr>
        <w:tc>
          <w:tcPr>
            <w:tcW w:w="741" w:type="pct"/>
            <w:shd w:val="clear" w:color="auto" w:fill="FCE4D6"/>
          </w:tcPr>
          <w:p w14:paraId="6EFF759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594E80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339F424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2.5.1.5 Timber harvesting operations (excluding haulage on existing or approved roads) are not permitted in special protection zones, buffers, or other exclusion areas identified on the Forest Coupe Plan, except where: i. the removal of a limited number of trees is necessary for the construction and use of stream crossings or for river health; or ii. the operator has been sanctioned to remove a limited number of trees to protect public or worker safety or for forest health.</w:t>
            </w:r>
          </w:p>
        </w:tc>
        <w:tc>
          <w:tcPr>
            <w:tcW w:w="578" w:type="pct"/>
            <w:shd w:val="clear" w:color="auto" w:fill="FFFFFF" w:themeFill="background1"/>
          </w:tcPr>
          <w:p w14:paraId="7FBE9D7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EABF237" w14:textId="77777777" w:rsidR="00067079" w:rsidRPr="00A31BE0" w:rsidRDefault="00067079" w:rsidP="00C31A7B">
            <w:pPr>
              <w:jc w:val="center"/>
              <w:rPr>
                <w:rFonts w:ascii="Jacobs Chronos" w:hAnsi="Jacobs Chronos" w:cs="Jacobs Chronos"/>
                <w:sz w:val="16"/>
                <w:szCs w:val="16"/>
              </w:rPr>
            </w:pPr>
          </w:p>
        </w:tc>
      </w:tr>
      <w:tr w:rsidR="00067079" w:rsidRPr="00A31BE0" w14:paraId="396CC184" w14:textId="77777777" w:rsidTr="00E81409">
        <w:trPr>
          <w:trHeight w:val="397"/>
        </w:trPr>
        <w:tc>
          <w:tcPr>
            <w:tcW w:w="741" w:type="pct"/>
            <w:shd w:val="clear" w:color="auto" w:fill="FCE4D6"/>
          </w:tcPr>
          <w:p w14:paraId="566F380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03C56B31"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47ADF9F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2.5.1.6 Areas outside the coupe boundary or within special protection zones, buffers and other exclusion areas must be protected from damage caused by trees felled in adjacent areas. Trees accidentally felled into these areas may be removed only where sanctioned. Sanction will only be given if significant damage and disturbance of soil and vegetation outside the harvestable area can be avoided.</w:t>
            </w:r>
          </w:p>
        </w:tc>
        <w:tc>
          <w:tcPr>
            <w:tcW w:w="578" w:type="pct"/>
            <w:shd w:val="clear" w:color="auto" w:fill="FFFFFF" w:themeFill="background1"/>
          </w:tcPr>
          <w:p w14:paraId="785A3C6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8CD5CC5" w14:textId="77777777" w:rsidR="00067079" w:rsidRPr="00A31BE0" w:rsidRDefault="00067079" w:rsidP="00C31A7B">
            <w:pPr>
              <w:jc w:val="center"/>
              <w:rPr>
                <w:rFonts w:ascii="Jacobs Chronos" w:hAnsi="Jacobs Chronos" w:cs="Jacobs Chronos"/>
                <w:sz w:val="16"/>
                <w:szCs w:val="16"/>
              </w:rPr>
            </w:pPr>
          </w:p>
        </w:tc>
      </w:tr>
      <w:tr w:rsidR="00067079" w:rsidRPr="00A31BE0" w14:paraId="430C5103" w14:textId="77777777" w:rsidTr="00E81409">
        <w:trPr>
          <w:trHeight w:val="397"/>
        </w:trPr>
        <w:tc>
          <w:tcPr>
            <w:tcW w:w="741" w:type="pct"/>
            <w:shd w:val="clear" w:color="auto" w:fill="FFF2CC"/>
          </w:tcPr>
          <w:p w14:paraId="1C48B78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CB56FF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79519D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7.1.2.1 Timber harvesting operations must be excluded from: (a) SPZs; (b) areas of SMZs where timber harvesting operations are excluded; (c) buffers and other exclusion areas created in accordance with these Management Standards and Procedures; and (d) within 10 m of vertical or near vertical sided gullies with a depth of half a metre or more that are actively eroding (or within 20 m where slope exceeds 20 degrees) in the Bendigo FMA.</w:t>
            </w:r>
          </w:p>
        </w:tc>
        <w:tc>
          <w:tcPr>
            <w:tcW w:w="578" w:type="pct"/>
            <w:shd w:val="clear" w:color="auto" w:fill="FFFFFF" w:themeFill="background1"/>
          </w:tcPr>
          <w:p w14:paraId="3E0E29E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06A24A3" w14:textId="77777777" w:rsidR="00067079" w:rsidRPr="00A31BE0" w:rsidRDefault="00067079" w:rsidP="00C31A7B">
            <w:pPr>
              <w:jc w:val="center"/>
              <w:rPr>
                <w:rFonts w:ascii="Jacobs Chronos" w:hAnsi="Jacobs Chronos" w:cs="Jacobs Chronos"/>
                <w:sz w:val="16"/>
                <w:szCs w:val="16"/>
              </w:rPr>
            </w:pPr>
          </w:p>
        </w:tc>
      </w:tr>
      <w:tr w:rsidR="00067079" w:rsidRPr="00A31BE0" w14:paraId="4B6CB7EA" w14:textId="77777777" w:rsidTr="00E81409">
        <w:trPr>
          <w:trHeight w:val="397"/>
        </w:trPr>
        <w:tc>
          <w:tcPr>
            <w:tcW w:w="741" w:type="pct"/>
            <w:shd w:val="clear" w:color="auto" w:fill="FFF2CC"/>
          </w:tcPr>
          <w:p w14:paraId="4A8CCB1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657F38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725F7B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7.1.2.3 Exclusion areas must be protected from damage during rough heaping or windrowing operations.</w:t>
            </w:r>
          </w:p>
        </w:tc>
        <w:tc>
          <w:tcPr>
            <w:tcW w:w="578" w:type="pct"/>
            <w:shd w:val="clear" w:color="auto" w:fill="FFFFFF" w:themeFill="background1"/>
          </w:tcPr>
          <w:p w14:paraId="169C8BA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EA78381" w14:textId="77777777" w:rsidR="00067079" w:rsidRPr="00A31BE0" w:rsidRDefault="00067079" w:rsidP="00C31A7B">
            <w:pPr>
              <w:jc w:val="center"/>
              <w:rPr>
                <w:rFonts w:ascii="Jacobs Chronos" w:hAnsi="Jacobs Chronos" w:cs="Jacobs Chronos"/>
                <w:sz w:val="16"/>
                <w:szCs w:val="16"/>
              </w:rPr>
            </w:pPr>
          </w:p>
        </w:tc>
      </w:tr>
      <w:tr w:rsidR="00067079" w:rsidRPr="00A31BE0" w14:paraId="19AE7A68" w14:textId="77777777" w:rsidTr="00E81409">
        <w:trPr>
          <w:trHeight w:val="397"/>
        </w:trPr>
        <w:tc>
          <w:tcPr>
            <w:tcW w:w="741" w:type="pct"/>
            <w:shd w:val="clear" w:color="auto" w:fill="FFF2CC"/>
          </w:tcPr>
          <w:p w14:paraId="24D873D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EE18F5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E4412C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7.1.3.1 Trees can only be harvested within buffer areas if sanctioned for safety purposes.  </w:t>
            </w:r>
          </w:p>
        </w:tc>
        <w:tc>
          <w:tcPr>
            <w:tcW w:w="578" w:type="pct"/>
            <w:shd w:val="clear" w:color="auto" w:fill="FFFFFF" w:themeFill="background1"/>
          </w:tcPr>
          <w:p w14:paraId="249256C2"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D1715DD" w14:textId="77777777" w:rsidR="00067079" w:rsidRPr="00A31BE0" w:rsidRDefault="00067079" w:rsidP="00C31A7B">
            <w:pPr>
              <w:jc w:val="center"/>
              <w:rPr>
                <w:rFonts w:ascii="Jacobs Chronos" w:hAnsi="Jacobs Chronos" w:cs="Jacobs Chronos"/>
                <w:sz w:val="16"/>
                <w:szCs w:val="16"/>
              </w:rPr>
            </w:pPr>
          </w:p>
        </w:tc>
      </w:tr>
      <w:tr w:rsidR="00067079" w:rsidRPr="00A31BE0" w14:paraId="78AE3D0A" w14:textId="77777777" w:rsidTr="00E81409">
        <w:trPr>
          <w:trHeight w:val="397"/>
        </w:trPr>
        <w:tc>
          <w:tcPr>
            <w:tcW w:w="741" w:type="pct"/>
            <w:shd w:val="clear" w:color="auto" w:fill="FFF2CC"/>
          </w:tcPr>
          <w:p w14:paraId="559AA7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911CFD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B5EC6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7.1.3.2 Machinery is to be excluded from buffers except where involved in the construction of a sanctioned stream crossing or when using an established stream crossing.</w:t>
            </w:r>
          </w:p>
        </w:tc>
        <w:tc>
          <w:tcPr>
            <w:tcW w:w="578" w:type="pct"/>
            <w:shd w:val="clear" w:color="auto" w:fill="FFFFFF" w:themeFill="background1"/>
          </w:tcPr>
          <w:p w14:paraId="6DE2448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C6C0FFE" w14:textId="77777777" w:rsidR="00067079" w:rsidRPr="00A31BE0" w:rsidRDefault="00067079" w:rsidP="00C31A7B">
            <w:pPr>
              <w:jc w:val="center"/>
              <w:rPr>
                <w:rFonts w:ascii="Jacobs Chronos" w:hAnsi="Jacobs Chronos" w:cs="Jacobs Chronos"/>
                <w:sz w:val="16"/>
                <w:szCs w:val="16"/>
              </w:rPr>
            </w:pPr>
          </w:p>
        </w:tc>
      </w:tr>
      <w:tr w:rsidR="00067079" w:rsidRPr="00A31BE0" w14:paraId="3FAFFC07" w14:textId="77777777" w:rsidTr="00E81409">
        <w:trPr>
          <w:trHeight w:val="397"/>
        </w:trPr>
        <w:tc>
          <w:tcPr>
            <w:tcW w:w="741" w:type="pct"/>
            <w:shd w:val="clear" w:color="auto" w:fill="FFF2CC"/>
          </w:tcPr>
          <w:p w14:paraId="4F68AA8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D64089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1AA5E2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7.1.3.3 Keep fill, harvesting debris and drainage structures out of buffers except where constructing a sanctioned stream crossing.</w:t>
            </w:r>
          </w:p>
        </w:tc>
        <w:tc>
          <w:tcPr>
            <w:tcW w:w="578" w:type="pct"/>
            <w:shd w:val="clear" w:color="auto" w:fill="FFFFFF" w:themeFill="background1"/>
          </w:tcPr>
          <w:p w14:paraId="7FE9C05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585F90B" w14:textId="77777777" w:rsidR="00067079" w:rsidRPr="00A31BE0" w:rsidRDefault="00067079" w:rsidP="00C31A7B">
            <w:pPr>
              <w:jc w:val="center"/>
              <w:rPr>
                <w:rFonts w:ascii="Jacobs Chronos" w:hAnsi="Jacobs Chronos" w:cs="Jacobs Chronos"/>
                <w:sz w:val="16"/>
                <w:szCs w:val="16"/>
              </w:rPr>
            </w:pPr>
          </w:p>
        </w:tc>
      </w:tr>
      <w:tr w:rsidR="00067079" w:rsidRPr="00A31BE0" w14:paraId="3DE5E01F" w14:textId="77777777" w:rsidTr="00E81409">
        <w:trPr>
          <w:trHeight w:val="397"/>
        </w:trPr>
        <w:tc>
          <w:tcPr>
            <w:tcW w:w="741" w:type="pct"/>
          </w:tcPr>
          <w:p w14:paraId="5D647AFF" w14:textId="77777777" w:rsidR="00067079" w:rsidRPr="00A31BE0" w:rsidRDefault="00067079" w:rsidP="00067079">
            <w:pPr>
              <w:rPr>
                <w:rFonts w:ascii="Jacobs Chronos" w:hAnsi="Jacobs Chronos" w:cs="Jacobs Chronos"/>
                <w:sz w:val="16"/>
                <w:szCs w:val="16"/>
              </w:rPr>
            </w:pPr>
          </w:p>
        </w:tc>
        <w:tc>
          <w:tcPr>
            <w:tcW w:w="392" w:type="pct"/>
          </w:tcPr>
          <w:p w14:paraId="72CF7C6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21.04</w:t>
            </w:r>
          </w:p>
        </w:tc>
        <w:tc>
          <w:tcPr>
            <w:tcW w:w="2767" w:type="pct"/>
          </w:tcPr>
          <w:p w14:paraId="1CE4473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from the FCP or observations on the coupe of timber harvesting activities having been conducted and/or machinery access provided in exclusion areas identified on the FCP, except where permitted?</w:t>
            </w:r>
          </w:p>
        </w:tc>
        <w:tc>
          <w:tcPr>
            <w:tcW w:w="578" w:type="pct"/>
            <w:shd w:val="clear" w:color="auto" w:fill="FFFFFF" w:themeFill="background1"/>
          </w:tcPr>
          <w:p w14:paraId="7C8E0ED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C, I</w:t>
            </w:r>
          </w:p>
        </w:tc>
        <w:tc>
          <w:tcPr>
            <w:tcW w:w="522" w:type="pct"/>
            <w:shd w:val="clear" w:color="auto" w:fill="FFFFFF" w:themeFill="background1"/>
          </w:tcPr>
          <w:p w14:paraId="70DBDE2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94</w:t>
            </w:r>
          </w:p>
        </w:tc>
      </w:tr>
      <w:tr w:rsidR="00067079" w:rsidRPr="00A31BE0" w14:paraId="24DBD5FB" w14:textId="77777777" w:rsidTr="00E81409">
        <w:trPr>
          <w:trHeight w:val="397"/>
        </w:trPr>
        <w:tc>
          <w:tcPr>
            <w:tcW w:w="741" w:type="pct"/>
          </w:tcPr>
          <w:p w14:paraId="36D3E565" w14:textId="77777777" w:rsidR="00067079" w:rsidRPr="00A31BE0" w:rsidRDefault="00067079" w:rsidP="00067079">
            <w:pPr>
              <w:rPr>
                <w:rFonts w:ascii="Jacobs Chronos" w:hAnsi="Jacobs Chronos" w:cs="Jacobs Chronos"/>
                <w:sz w:val="16"/>
                <w:szCs w:val="16"/>
              </w:rPr>
            </w:pPr>
          </w:p>
        </w:tc>
        <w:tc>
          <w:tcPr>
            <w:tcW w:w="392" w:type="pct"/>
          </w:tcPr>
          <w:p w14:paraId="7A142F4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21.05</w:t>
            </w:r>
          </w:p>
        </w:tc>
        <w:tc>
          <w:tcPr>
            <w:tcW w:w="2767" w:type="pct"/>
          </w:tcPr>
          <w:p w14:paraId="7365A91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rough heaping or windrowing activities during regeneration resulted in damage to exclusion areas?</w:t>
            </w:r>
          </w:p>
        </w:tc>
        <w:tc>
          <w:tcPr>
            <w:tcW w:w="578" w:type="pct"/>
            <w:shd w:val="clear" w:color="auto" w:fill="FFFFFF" w:themeFill="background1"/>
          </w:tcPr>
          <w:p w14:paraId="1E15383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w:t>
            </w:r>
          </w:p>
        </w:tc>
        <w:tc>
          <w:tcPr>
            <w:tcW w:w="522" w:type="pct"/>
            <w:shd w:val="clear" w:color="auto" w:fill="FFFFFF" w:themeFill="background1"/>
          </w:tcPr>
          <w:p w14:paraId="2F1A73DE"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3FEBA18E" w14:textId="77777777" w:rsidTr="00E81409">
        <w:trPr>
          <w:trHeight w:val="397"/>
        </w:trPr>
        <w:tc>
          <w:tcPr>
            <w:tcW w:w="741" w:type="pct"/>
          </w:tcPr>
          <w:p w14:paraId="20ACB8DB" w14:textId="77777777" w:rsidR="00067079" w:rsidRPr="00A31BE0" w:rsidRDefault="00067079" w:rsidP="00067079">
            <w:pPr>
              <w:rPr>
                <w:rFonts w:ascii="Jacobs Chronos" w:hAnsi="Jacobs Chronos" w:cs="Jacobs Chronos"/>
                <w:sz w:val="16"/>
                <w:szCs w:val="16"/>
              </w:rPr>
            </w:pPr>
          </w:p>
        </w:tc>
        <w:tc>
          <w:tcPr>
            <w:tcW w:w="392" w:type="pct"/>
          </w:tcPr>
          <w:p w14:paraId="1D3C65A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21.06</w:t>
            </w:r>
          </w:p>
        </w:tc>
        <w:tc>
          <w:tcPr>
            <w:tcW w:w="2767" w:type="pct"/>
          </w:tcPr>
          <w:p w14:paraId="3114851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Has fill, harvesting debris or drainage structures been kept out of buffers, except for construction of a sanctioned stream crossing?</w:t>
            </w:r>
          </w:p>
        </w:tc>
        <w:tc>
          <w:tcPr>
            <w:tcW w:w="578" w:type="pct"/>
            <w:shd w:val="clear" w:color="auto" w:fill="FFFFFF" w:themeFill="background1"/>
          </w:tcPr>
          <w:p w14:paraId="7B41CF5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w:t>
            </w:r>
          </w:p>
        </w:tc>
        <w:tc>
          <w:tcPr>
            <w:tcW w:w="522" w:type="pct"/>
            <w:shd w:val="clear" w:color="auto" w:fill="FFFFFF" w:themeFill="background1"/>
          </w:tcPr>
          <w:p w14:paraId="26BD1C1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A32BA63" w14:textId="77777777" w:rsidTr="00E81409">
        <w:trPr>
          <w:trHeight w:val="397"/>
        </w:trPr>
        <w:tc>
          <w:tcPr>
            <w:tcW w:w="741" w:type="pct"/>
          </w:tcPr>
          <w:p w14:paraId="4DA1A073" w14:textId="77777777" w:rsidR="00067079" w:rsidRPr="00A31BE0" w:rsidRDefault="00067079" w:rsidP="00067079">
            <w:pPr>
              <w:rPr>
                <w:rFonts w:ascii="Jacobs Chronos" w:hAnsi="Jacobs Chronos" w:cs="Jacobs Chronos"/>
                <w:sz w:val="16"/>
                <w:szCs w:val="16"/>
              </w:rPr>
            </w:pPr>
          </w:p>
        </w:tc>
        <w:tc>
          <w:tcPr>
            <w:tcW w:w="392" w:type="pct"/>
          </w:tcPr>
          <w:p w14:paraId="4C9529C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21.07</w:t>
            </w:r>
          </w:p>
        </w:tc>
        <w:tc>
          <w:tcPr>
            <w:tcW w:w="2767" w:type="pct"/>
          </w:tcPr>
          <w:p w14:paraId="1170948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trees have been removed from exclusion areas for reasons other than construction or a stream crossing or for river health, has the operator been sanctioned to do so for safety or forest health purposes?</w:t>
            </w:r>
          </w:p>
        </w:tc>
        <w:tc>
          <w:tcPr>
            <w:tcW w:w="578" w:type="pct"/>
            <w:shd w:val="clear" w:color="auto" w:fill="FFFFFF" w:themeFill="background1"/>
          </w:tcPr>
          <w:p w14:paraId="26FDF13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71B37A5" w14:textId="284B6B33"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46409694" w14:textId="77777777" w:rsidTr="00E81409">
        <w:trPr>
          <w:trHeight w:val="397"/>
        </w:trPr>
        <w:tc>
          <w:tcPr>
            <w:tcW w:w="741" w:type="pct"/>
            <w:shd w:val="clear" w:color="auto" w:fill="A9D08E"/>
          </w:tcPr>
          <w:p w14:paraId="3725552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A9D08E"/>
          </w:tcPr>
          <w:p w14:paraId="2E3FEC2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A9D08E"/>
          </w:tcPr>
          <w:p w14:paraId="6553056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2.5.2 Coupe Infrastructure</w:t>
            </w:r>
          </w:p>
        </w:tc>
        <w:tc>
          <w:tcPr>
            <w:tcW w:w="578" w:type="pct"/>
            <w:shd w:val="clear" w:color="auto" w:fill="FFFFFF" w:themeFill="background1"/>
          </w:tcPr>
          <w:p w14:paraId="3D0348F0"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211F714" w14:textId="77777777" w:rsidR="00067079" w:rsidRPr="00A31BE0" w:rsidRDefault="00067079" w:rsidP="00C31A7B">
            <w:pPr>
              <w:jc w:val="center"/>
              <w:rPr>
                <w:rFonts w:ascii="Jacobs Chronos" w:hAnsi="Jacobs Chronos" w:cs="Jacobs Chronos"/>
                <w:sz w:val="16"/>
                <w:szCs w:val="16"/>
              </w:rPr>
            </w:pPr>
          </w:p>
        </w:tc>
      </w:tr>
      <w:tr w:rsidR="00067079" w:rsidRPr="00A31BE0" w14:paraId="542B33FA" w14:textId="77777777" w:rsidTr="00E81409">
        <w:trPr>
          <w:trHeight w:val="397"/>
        </w:trPr>
        <w:tc>
          <w:tcPr>
            <w:tcW w:w="741" w:type="pct"/>
            <w:shd w:val="clear" w:color="auto" w:fill="FCE4D6"/>
          </w:tcPr>
          <w:p w14:paraId="36DD7D3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6A196B76"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6C3C8ED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2.5.2.1 Planning and management of timber harvesting operations must comply with relevant coupe infrastructure measures specified within the Management Standards and Procedures.</w:t>
            </w:r>
          </w:p>
        </w:tc>
        <w:tc>
          <w:tcPr>
            <w:tcW w:w="578" w:type="pct"/>
            <w:shd w:val="clear" w:color="auto" w:fill="FFFFFF" w:themeFill="background1"/>
          </w:tcPr>
          <w:p w14:paraId="6A3FD8EA"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E7185EA" w14:textId="77777777" w:rsidR="00067079" w:rsidRPr="00A31BE0" w:rsidRDefault="00067079" w:rsidP="00C31A7B">
            <w:pPr>
              <w:jc w:val="center"/>
              <w:rPr>
                <w:rFonts w:ascii="Jacobs Chronos" w:hAnsi="Jacobs Chronos" w:cs="Jacobs Chronos"/>
                <w:sz w:val="16"/>
                <w:szCs w:val="16"/>
              </w:rPr>
            </w:pPr>
          </w:p>
        </w:tc>
      </w:tr>
      <w:tr w:rsidR="00067079" w:rsidRPr="00A31BE0" w14:paraId="7B2CCA1B" w14:textId="77777777" w:rsidTr="00E81409">
        <w:trPr>
          <w:trHeight w:val="397"/>
        </w:trPr>
        <w:tc>
          <w:tcPr>
            <w:tcW w:w="741" w:type="pct"/>
            <w:shd w:val="clear" w:color="auto" w:fill="FCE4D6"/>
          </w:tcPr>
          <w:p w14:paraId="1875F31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7FFB50B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6755098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2.5.2.3 Coupe infrastructure must be rehabilitated on completion of timber harvesting operations, where not required for future timber harvesting operations or an approved purpose for which native vegetation is not compatible. Rehabilitation techniques must ensure that suitable soil conditions are provided for the regeneration and growth of vegetation existing on the site prior to harvesting (refer to section 2.6.1). Progressive rehabilitation of coupe infrastructure during timber harvesting operations must be undertaken where operationally possible.</w:t>
            </w:r>
          </w:p>
        </w:tc>
        <w:tc>
          <w:tcPr>
            <w:tcW w:w="578" w:type="pct"/>
            <w:shd w:val="clear" w:color="auto" w:fill="FFFFFF" w:themeFill="background1"/>
          </w:tcPr>
          <w:p w14:paraId="445C2430"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DE52799" w14:textId="77777777" w:rsidR="00067079" w:rsidRPr="00A31BE0" w:rsidRDefault="00067079" w:rsidP="00C31A7B">
            <w:pPr>
              <w:jc w:val="center"/>
              <w:rPr>
                <w:rFonts w:ascii="Jacobs Chronos" w:hAnsi="Jacobs Chronos" w:cs="Jacobs Chronos"/>
                <w:sz w:val="16"/>
                <w:szCs w:val="16"/>
              </w:rPr>
            </w:pPr>
          </w:p>
        </w:tc>
      </w:tr>
      <w:tr w:rsidR="00067079" w:rsidRPr="00A31BE0" w14:paraId="27AD843C" w14:textId="77777777" w:rsidTr="00E81409">
        <w:trPr>
          <w:trHeight w:val="397"/>
        </w:trPr>
        <w:tc>
          <w:tcPr>
            <w:tcW w:w="741" w:type="pct"/>
            <w:shd w:val="clear" w:color="auto" w:fill="FFF2CC"/>
          </w:tcPr>
          <w:p w14:paraId="0FBA22A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2CFD1D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29B1B39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7.2.1.1 Crossing standards and procedures for roads also apply to snig track crossings. </w:t>
            </w:r>
          </w:p>
        </w:tc>
        <w:tc>
          <w:tcPr>
            <w:tcW w:w="578" w:type="pct"/>
            <w:shd w:val="clear" w:color="auto" w:fill="FFFFFF" w:themeFill="background1"/>
          </w:tcPr>
          <w:p w14:paraId="21429DC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3AB24C0" w14:textId="77777777" w:rsidR="00067079" w:rsidRPr="00A31BE0" w:rsidRDefault="00067079" w:rsidP="00C31A7B">
            <w:pPr>
              <w:jc w:val="center"/>
              <w:rPr>
                <w:rFonts w:ascii="Jacobs Chronos" w:hAnsi="Jacobs Chronos" w:cs="Jacobs Chronos"/>
                <w:sz w:val="16"/>
                <w:szCs w:val="16"/>
              </w:rPr>
            </w:pPr>
          </w:p>
        </w:tc>
      </w:tr>
      <w:tr w:rsidR="00067079" w:rsidRPr="00A31BE0" w14:paraId="73ECE086" w14:textId="77777777" w:rsidTr="00E81409">
        <w:trPr>
          <w:trHeight w:val="397"/>
        </w:trPr>
        <w:tc>
          <w:tcPr>
            <w:tcW w:w="741" w:type="pct"/>
          </w:tcPr>
          <w:p w14:paraId="46B6CB43" w14:textId="77777777" w:rsidR="00067079" w:rsidRPr="00A31BE0" w:rsidRDefault="00067079" w:rsidP="00067079">
            <w:pPr>
              <w:rPr>
                <w:rFonts w:ascii="Jacobs Chronos" w:hAnsi="Jacobs Chronos" w:cs="Jacobs Chronos"/>
                <w:sz w:val="16"/>
                <w:szCs w:val="16"/>
              </w:rPr>
            </w:pPr>
          </w:p>
        </w:tc>
        <w:tc>
          <w:tcPr>
            <w:tcW w:w="392" w:type="pct"/>
          </w:tcPr>
          <w:p w14:paraId="6DA09E8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22.01</w:t>
            </w:r>
          </w:p>
        </w:tc>
        <w:tc>
          <w:tcPr>
            <w:tcW w:w="2767" w:type="pct"/>
          </w:tcPr>
          <w:p w14:paraId="45EEB56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any snig track crossings been constructed to the same standards for drainage as ICR waterway crossings (as per MSP 6.2.4 and 6.2.5?</w:t>
            </w:r>
          </w:p>
        </w:tc>
        <w:tc>
          <w:tcPr>
            <w:tcW w:w="578" w:type="pct"/>
            <w:shd w:val="clear" w:color="auto" w:fill="FFFFFF" w:themeFill="background1"/>
          </w:tcPr>
          <w:p w14:paraId="71B1FCC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w:t>
            </w:r>
          </w:p>
        </w:tc>
        <w:tc>
          <w:tcPr>
            <w:tcW w:w="522" w:type="pct"/>
            <w:shd w:val="clear" w:color="auto" w:fill="FFFFFF" w:themeFill="background1"/>
          </w:tcPr>
          <w:p w14:paraId="543AEEE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67</w:t>
            </w:r>
          </w:p>
        </w:tc>
      </w:tr>
      <w:tr w:rsidR="00067079" w:rsidRPr="00A31BE0" w14:paraId="18B6835F" w14:textId="77777777" w:rsidTr="00E81409">
        <w:trPr>
          <w:trHeight w:val="397"/>
        </w:trPr>
        <w:tc>
          <w:tcPr>
            <w:tcW w:w="741" w:type="pct"/>
            <w:shd w:val="clear" w:color="auto" w:fill="FFF2CC"/>
          </w:tcPr>
          <w:p w14:paraId="616E5A2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184A217"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384B41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7.2.1.2 Avoid placing bark on uncorded snig tracks (this does not apply to thinning outrows). </w:t>
            </w:r>
          </w:p>
        </w:tc>
        <w:tc>
          <w:tcPr>
            <w:tcW w:w="578" w:type="pct"/>
            <w:shd w:val="clear" w:color="auto" w:fill="FFFFFF" w:themeFill="background1"/>
          </w:tcPr>
          <w:p w14:paraId="3A0D0F6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214F2E2" w14:textId="77777777" w:rsidR="00067079" w:rsidRPr="00A31BE0" w:rsidRDefault="00067079" w:rsidP="00C31A7B">
            <w:pPr>
              <w:jc w:val="center"/>
              <w:rPr>
                <w:rFonts w:ascii="Jacobs Chronos" w:hAnsi="Jacobs Chronos" w:cs="Jacobs Chronos"/>
                <w:sz w:val="16"/>
                <w:szCs w:val="16"/>
              </w:rPr>
            </w:pPr>
          </w:p>
        </w:tc>
      </w:tr>
      <w:tr w:rsidR="00067079" w:rsidRPr="00A31BE0" w14:paraId="7E5F69C2" w14:textId="77777777" w:rsidTr="00E81409">
        <w:trPr>
          <w:trHeight w:val="397"/>
        </w:trPr>
        <w:tc>
          <w:tcPr>
            <w:tcW w:w="741" w:type="pct"/>
          </w:tcPr>
          <w:p w14:paraId="2CDAA0FD" w14:textId="77777777" w:rsidR="00067079" w:rsidRPr="00A31BE0" w:rsidRDefault="00067079" w:rsidP="00067079">
            <w:pPr>
              <w:rPr>
                <w:rFonts w:ascii="Jacobs Chronos" w:hAnsi="Jacobs Chronos" w:cs="Jacobs Chronos"/>
                <w:sz w:val="16"/>
                <w:szCs w:val="16"/>
              </w:rPr>
            </w:pPr>
          </w:p>
        </w:tc>
        <w:tc>
          <w:tcPr>
            <w:tcW w:w="392" w:type="pct"/>
          </w:tcPr>
          <w:p w14:paraId="5A5EDCB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22.02</w:t>
            </w:r>
          </w:p>
        </w:tc>
        <w:tc>
          <w:tcPr>
            <w:tcW w:w="2767" w:type="pct"/>
          </w:tcPr>
          <w:p w14:paraId="0445DA9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of back being placed on uncorded snig tracks?</w:t>
            </w:r>
          </w:p>
        </w:tc>
        <w:tc>
          <w:tcPr>
            <w:tcW w:w="578" w:type="pct"/>
            <w:shd w:val="clear" w:color="auto" w:fill="FFFFFF" w:themeFill="background1"/>
          </w:tcPr>
          <w:p w14:paraId="06DF3C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3D303B4A"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89</w:t>
            </w:r>
          </w:p>
        </w:tc>
      </w:tr>
      <w:tr w:rsidR="00067079" w:rsidRPr="00A31BE0" w14:paraId="14E34603" w14:textId="77777777" w:rsidTr="00E81409">
        <w:trPr>
          <w:trHeight w:val="397"/>
        </w:trPr>
        <w:tc>
          <w:tcPr>
            <w:tcW w:w="741" w:type="pct"/>
            <w:shd w:val="clear" w:color="auto" w:fill="FFF2CC"/>
          </w:tcPr>
          <w:p w14:paraId="2D693C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944B77A"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1C3F9D6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7.2.1.3 Where cording is to be used, it should not be placed on snig tracks if machinery caused soil damage already exists. </w:t>
            </w:r>
          </w:p>
        </w:tc>
        <w:tc>
          <w:tcPr>
            <w:tcW w:w="578" w:type="pct"/>
            <w:shd w:val="clear" w:color="auto" w:fill="FFFFFF" w:themeFill="background1"/>
          </w:tcPr>
          <w:p w14:paraId="4F859F2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43874BC" w14:textId="77777777" w:rsidR="00067079" w:rsidRPr="00A31BE0" w:rsidRDefault="00067079" w:rsidP="00C31A7B">
            <w:pPr>
              <w:jc w:val="center"/>
              <w:rPr>
                <w:rFonts w:ascii="Jacobs Chronos" w:hAnsi="Jacobs Chronos" w:cs="Jacobs Chronos"/>
                <w:sz w:val="16"/>
                <w:szCs w:val="16"/>
              </w:rPr>
            </w:pPr>
          </w:p>
        </w:tc>
      </w:tr>
      <w:tr w:rsidR="00067079" w:rsidRPr="00A31BE0" w14:paraId="6DE11F52" w14:textId="77777777" w:rsidTr="00E81409">
        <w:trPr>
          <w:trHeight w:val="397"/>
        </w:trPr>
        <w:tc>
          <w:tcPr>
            <w:tcW w:w="741" w:type="pct"/>
          </w:tcPr>
          <w:p w14:paraId="6E01A246" w14:textId="77777777" w:rsidR="00067079" w:rsidRPr="00A31BE0" w:rsidRDefault="00067079" w:rsidP="00067079">
            <w:pPr>
              <w:rPr>
                <w:rFonts w:ascii="Jacobs Chronos" w:hAnsi="Jacobs Chronos" w:cs="Jacobs Chronos"/>
                <w:sz w:val="16"/>
                <w:szCs w:val="16"/>
              </w:rPr>
            </w:pPr>
          </w:p>
        </w:tc>
        <w:tc>
          <w:tcPr>
            <w:tcW w:w="392" w:type="pct"/>
          </w:tcPr>
          <w:p w14:paraId="4FBB58A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22.03</w:t>
            </w:r>
          </w:p>
        </w:tc>
        <w:tc>
          <w:tcPr>
            <w:tcW w:w="2767" w:type="pct"/>
          </w:tcPr>
          <w:p w14:paraId="6145F1C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cording has been placed on snig tracks following machinery caused soil damage?</w:t>
            </w:r>
          </w:p>
        </w:tc>
        <w:tc>
          <w:tcPr>
            <w:tcW w:w="578" w:type="pct"/>
            <w:shd w:val="clear" w:color="auto" w:fill="FFFFFF" w:themeFill="background1"/>
          </w:tcPr>
          <w:p w14:paraId="53599F6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30454E7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D70D46B" w14:textId="77777777" w:rsidTr="00E81409">
        <w:trPr>
          <w:trHeight w:val="397"/>
        </w:trPr>
        <w:tc>
          <w:tcPr>
            <w:tcW w:w="741" w:type="pct"/>
            <w:shd w:val="clear" w:color="auto" w:fill="FFF2CC"/>
          </w:tcPr>
          <w:p w14:paraId="707B8E0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F04FC36"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0D4C70B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7.2.1.4 Stockpile any existing topsoil during landing construction for later use in rehabilitation, this is not required if the operation uses suitable soil protection techniques (such as cording and matting). </w:t>
            </w:r>
          </w:p>
        </w:tc>
        <w:tc>
          <w:tcPr>
            <w:tcW w:w="578" w:type="pct"/>
            <w:shd w:val="clear" w:color="auto" w:fill="FFFFFF" w:themeFill="background1"/>
          </w:tcPr>
          <w:p w14:paraId="488D1929"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80B1D52" w14:textId="77777777" w:rsidR="00067079" w:rsidRPr="00A31BE0" w:rsidRDefault="00067079" w:rsidP="00C31A7B">
            <w:pPr>
              <w:jc w:val="center"/>
              <w:rPr>
                <w:rFonts w:ascii="Jacobs Chronos" w:hAnsi="Jacobs Chronos" w:cs="Jacobs Chronos"/>
                <w:sz w:val="16"/>
                <w:szCs w:val="16"/>
              </w:rPr>
            </w:pPr>
          </w:p>
        </w:tc>
      </w:tr>
      <w:tr w:rsidR="00067079" w:rsidRPr="00A31BE0" w14:paraId="4FC645FC" w14:textId="77777777" w:rsidTr="00E81409">
        <w:trPr>
          <w:trHeight w:val="397"/>
        </w:trPr>
        <w:tc>
          <w:tcPr>
            <w:tcW w:w="741" w:type="pct"/>
          </w:tcPr>
          <w:p w14:paraId="3C91C97D" w14:textId="77777777" w:rsidR="00067079" w:rsidRPr="00A31BE0" w:rsidRDefault="00067079" w:rsidP="00067079">
            <w:pPr>
              <w:rPr>
                <w:rFonts w:ascii="Jacobs Chronos" w:hAnsi="Jacobs Chronos" w:cs="Jacobs Chronos"/>
                <w:sz w:val="16"/>
                <w:szCs w:val="16"/>
              </w:rPr>
            </w:pPr>
          </w:p>
        </w:tc>
        <w:tc>
          <w:tcPr>
            <w:tcW w:w="392" w:type="pct"/>
          </w:tcPr>
          <w:p w14:paraId="3FEB983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22.04</w:t>
            </w:r>
          </w:p>
        </w:tc>
        <w:tc>
          <w:tcPr>
            <w:tcW w:w="2767" w:type="pct"/>
          </w:tcPr>
          <w:p w14:paraId="4C3BBE6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top soil has been stockpiled for later use in rehabilitation (unless landings have been corded and matted or landing soil has otherwise been protected)?</w:t>
            </w:r>
          </w:p>
        </w:tc>
        <w:tc>
          <w:tcPr>
            <w:tcW w:w="578" w:type="pct"/>
            <w:shd w:val="clear" w:color="auto" w:fill="FFFFFF" w:themeFill="background1"/>
          </w:tcPr>
          <w:p w14:paraId="2B04BE1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6FFCC95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98C55CF" w14:textId="77777777" w:rsidTr="00E81409">
        <w:trPr>
          <w:trHeight w:val="397"/>
        </w:trPr>
        <w:tc>
          <w:tcPr>
            <w:tcW w:w="741" w:type="pct"/>
          </w:tcPr>
          <w:p w14:paraId="0477B3C9" w14:textId="77777777" w:rsidR="00067079" w:rsidRPr="00A31BE0" w:rsidRDefault="00067079" w:rsidP="00067079">
            <w:pPr>
              <w:rPr>
                <w:rFonts w:ascii="Jacobs Chronos" w:hAnsi="Jacobs Chronos" w:cs="Jacobs Chronos"/>
                <w:sz w:val="16"/>
                <w:szCs w:val="16"/>
              </w:rPr>
            </w:pPr>
          </w:p>
        </w:tc>
        <w:tc>
          <w:tcPr>
            <w:tcW w:w="392" w:type="pct"/>
          </w:tcPr>
          <w:p w14:paraId="7F38D4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tcPr>
          <w:p w14:paraId="423657B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7.2.2 Snig track and landing rehabilitation</w:t>
            </w:r>
          </w:p>
        </w:tc>
        <w:tc>
          <w:tcPr>
            <w:tcW w:w="578" w:type="pct"/>
            <w:shd w:val="clear" w:color="auto" w:fill="FFFFFF" w:themeFill="background1"/>
          </w:tcPr>
          <w:p w14:paraId="39D08A3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052F4F7" w14:textId="77777777" w:rsidR="00067079" w:rsidRPr="00A31BE0" w:rsidRDefault="00067079" w:rsidP="00C31A7B">
            <w:pPr>
              <w:jc w:val="center"/>
              <w:rPr>
                <w:rFonts w:ascii="Jacobs Chronos" w:hAnsi="Jacobs Chronos" w:cs="Jacobs Chronos"/>
                <w:sz w:val="16"/>
                <w:szCs w:val="16"/>
              </w:rPr>
            </w:pPr>
          </w:p>
        </w:tc>
      </w:tr>
      <w:tr w:rsidR="00067079" w:rsidRPr="00A31BE0" w14:paraId="78A24580" w14:textId="77777777" w:rsidTr="00E81409">
        <w:trPr>
          <w:trHeight w:val="397"/>
        </w:trPr>
        <w:tc>
          <w:tcPr>
            <w:tcW w:w="741" w:type="pct"/>
            <w:shd w:val="clear" w:color="auto" w:fill="FFF2CC"/>
          </w:tcPr>
          <w:p w14:paraId="77C4DB3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61B825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864DD1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7.2.2.1 Following closure of the timber harvesting operation rehabilitate all snig tracks to prevent: (a) unacceptable movement of soil down or from the track surface; and (b) soil movement into streams.</w:t>
            </w:r>
          </w:p>
        </w:tc>
        <w:tc>
          <w:tcPr>
            <w:tcW w:w="578" w:type="pct"/>
            <w:shd w:val="clear" w:color="auto" w:fill="FFFFFF" w:themeFill="background1"/>
          </w:tcPr>
          <w:p w14:paraId="5083654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D0E9B2" w14:textId="77777777" w:rsidR="00067079" w:rsidRPr="00A31BE0" w:rsidRDefault="00067079" w:rsidP="00C31A7B">
            <w:pPr>
              <w:jc w:val="center"/>
              <w:rPr>
                <w:rFonts w:ascii="Jacobs Chronos" w:hAnsi="Jacobs Chronos" w:cs="Jacobs Chronos"/>
                <w:sz w:val="16"/>
                <w:szCs w:val="16"/>
              </w:rPr>
            </w:pPr>
          </w:p>
        </w:tc>
      </w:tr>
      <w:tr w:rsidR="00067079" w:rsidRPr="00A31BE0" w14:paraId="78C864CE" w14:textId="77777777" w:rsidTr="00E81409">
        <w:trPr>
          <w:trHeight w:val="397"/>
        </w:trPr>
        <w:tc>
          <w:tcPr>
            <w:tcW w:w="741" w:type="pct"/>
          </w:tcPr>
          <w:p w14:paraId="045138AA" w14:textId="77777777" w:rsidR="00067079" w:rsidRPr="00A31BE0" w:rsidRDefault="00067079" w:rsidP="00067079">
            <w:pPr>
              <w:rPr>
                <w:rFonts w:ascii="Jacobs Chronos" w:hAnsi="Jacobs Chronos" w:cs="Jacobs Chronos"/>
                <w:sz w:val="16"/>
                <w:szCs w:val="16"/>
              </w:rPr>
            </w:pPr>
          </w:p>
        </w:tc>
        <w:tc>
          <w:tcPr>
            <w:tcW w:w="392" w:type="pct"/>
          </w:tcPr>
          <w:p w14:paraId="3AF77A4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22.05</w:t>
            </w:r>
          </w:p>
        </w:tc>
        <w:tc>
          <w:tcPr>
            <w:tcW w:w="2767" w:type="pct"/>
          </w:tcPr>
          <w:p w14:paraId="431B735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snig tracks been progressively rehabilitated during timber harvesting operations?</w:t>
            </w:r>
          </w:p>
        </w:tc>
        <w:tc>
          <w:tcPr>
            <w:tcW w:w="578" w:type="pct"/>
            <w:shd w:val="clear" w:color="auto" w:fill="FFFFFF" w:themeFill="background1"/>
          </w:tcPr>
          <w:p w14:paraId="0F2510F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1C07F82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3FB016C" w14:textId="77777777" w:rsidTr="00E81409">
        <w:trPr>
          <w:trHeight w:val="397"/>
        </w:trPr>
        <w:tc>
          <w:tcPr>
            <w:tcW w:w="741" w:type="pct"/>
          </w:tcPr>
          <w:p w14:paraId="3AD03536" w14:textId="77777777" w:rsidR="00067079" w:rsidRPr="00A31BE0" w:rsidRDefault="00067079" w:rsidP="00067079">
            <w:pPr>
              <w:rPr>
                <w:rFonts w:ascii="Jacobs Chronos" w:hAnsi="Jacobs Chronos" w:cs="Jacobs Chronos"/>
                <w:sz w:val="16"/>
                <w:szCs w:val="16"/>
              </w:rPr>
            </w:pPr>
          </w:p>
        </w:tc>
        <w:tc>
          <w:tcPr>
            <w:tcW w:w="392" w:type="pct"/>
          </w:tcPr>
          <w:p w14:paraId="609634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22.06</w:t>
            </w:r>
          </w:p>
        </w:tc>
        <w:tc>
          <w:tcPr>
            <w:tcW w:w="2767" w:type="pct"/>
          </w:tcPr>
          <w:p w14:paraId="7D6B008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all snig tracks been rehabilitated in a way that ITAO has prevented unacceptable soil movement along tracks?</w:t>
            </w:r>
          </w:p>
        </w:tc>
        <w:tc>
          <w:tcPr>
            <w:tcW w:w="578" w:type="pct"/>
            <w:shd w:val="clear" w:color="auto" w:fill="FFFFFF" w:themeFill="background1"/>
          </w:tcPr>
          <w:p w14:paraId="0D0120A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7F4F65A2"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96</w:t>
            </w:r>
          </w:p>
        </w:tc>
      </w:tr>
      <w:tr w:rsidR="00067079" w:rsidRPr="00A31BE0" w14:paraId="3FE11553" w14:textId="77777777" w:rsidTr="00E81409">
        <w:trPr>
          <w:trHeight w:val="397"/>
        </w:trPr>
        <w:tc>
          <w:tcPr>
            <w:tcW w:w="741" w:type="pct"/>
          </w:tcPr>
          <w:p w14:paraId="6F725297" w14:textId="77777777" w:rsidR="00067079" w:rsidRPr="00A31BE0" w:rsidRDefault="00067079" w:rsidP="00067079">
            <w:pPr>
              <w:rPr>
                <w:rFonts w:ascii="Jacobs Chronos" w:hAnsi="Jacobs Chronos" w:cs="Jacobs Chronos"/>
                <w:sz w:val="16"/>
                <w:szCs w:val="16"/>
              </w:rPr>
            </w:pPr>
          </w:p>
        </w:tc>
        <w:tc>
          <w:tcPr>
            <w:tcW w:w="392" w:type="pct"/>
          </w:tcPr>
          <w:p w14:paraId="0FD75A3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22.07</w:t>
            </w:r>
          </w:p>
        </w:tc>
        <w:tc>
          <w:tcPr>
            <w:tcW w:w="2767" w:type="pct"/>
          </w:tcPr>
          <w:p w14:paraId="53AC2D5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all snig tracks been rehabilitated in a way that prevents soil movement into streams?</w:t>
            </w:r>
          </w:p>
        </w:tc>
        <w:tc>
          <w:tcPr>
            <w:tcW w:w="578" w:type="pct"/>
            <w:shd w:val="clear" w:color="auto" w:fill="FFFFFF" w:themeFill="background1"/>
          </w:tcPr>
          <w:p w14:paraId="0F555CF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BD, I</w:t>
            </w:r>
          </w:p>
        </w:tc>
        <w:tc>
          <w:tcPr>
            <w:tcW w:w="522" w:type="pct"/>
            <w:shd w:val="clear" w:color="auto" w:fill="FFFFFF" w:themeFill="background1"/>
          </w:tcPr>
          <w:p w14:paraId="58DD610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96</w:t>
            </w:r>
          </w:p>
        </w:tc>
      </w:tr>
      <w:tr w:rsidR="00067079" w:rsidRPr="00A31BE0" w14:paraId="741BCF8E" w14:textId="77777777" w:rsidTr="00E81409">
        <w:trPr>
          <w:trHeight w:val="397"/>
        </w:trPr>
        <w:tc>
          <w:tcPr>
            <w:tcW w:w="741" w:type="pct"/>
            <w:shd w:val="clear" w:color="auto" w:fill="FFF2CC"/>
          </w:tcPr>
          <w:p w14:paraId="38FBF6A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35334FC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0C881B4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7.2.2.2 Rehabilitate landings following completion of timber harvesting operations, and before the coupe is vacated, unless they are required for: (a) future Shelterwood 2 operations; (b) harvesting of adjacent coupes within 3 years; or (c) any other DEPI approved purpose for which native vegetation is not compatible.</w:t>
            </w:r>
          </w:p>
        </w:tc>
        <w:tc>
          <w:tcPr>
            <w:tcW w:w="578" w:type="pct"/>
            <w:shd w:val="clear" w:color="auto" w:fill="FFFFFF" w:themeFill="background1"/>
          </w:tcPr>
          <w:p w14:paraId="5C8A223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A4E97A1" w14:textId="77777777" w:rsidR="00067079" w:rsidRPr="00A31BE0" w:rsidRDefault="00067079" w:rsidP="00C31A7B">
            <w:pPr>
              <w:jc w:val="center"/>
              <w:rPr>
                <w:rFonts w:ascii="Jacobs Chronos" w:hAnsi="Jacobs Chronos" w:cs="Jacobs Chronos"/>
                <w:sz w:val="16"/>
                <w:szCs w:val="16"/>
              </w:rPr>
            </w:pPr>
          </w:p>
        </w:tc>
      </w:tr>
      <w:tr w:rsidR="00067079" w:rsidRPr="00A31BE0" w14:paraId="65E628EC" w14:textId="77777777" w:rsidTr="00E81409">
        <w:trPr>
          <w:trHeight w:val="397"/>
        </w:trPr>
        <w:tc>
          <w:tcPr>
            <w:tcW w:w="741" w:type="pct"/>
            <w:shd w:val="clear" w:color="auto" w:fill="FFF2CC"/>
          </w:tcPr>
          <w:p w14:paraId="69F6732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EAC365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FACC68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7.2.2.3 Identify any landings that do not require rehabilitation in the Forest Coupe Plan.</w:t>
            </w:r>
          </w:p>
        </w:tc>
        <w:tc>
          <w:tcPr>
            <w:tcW w:w="578" w:type="pct"/>
            <w:shd w:val="clear" w:color="auto" w:fill="FFFFFF" w:themeFill="background1"/>
          </w:tcPr>
          <w:p w14:paraId="4247E6C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6C542D" w14:textId="77777777" w:rsidR="00067079" w:rsidRPr="00A31BE0" w:rsidRDefault="00067079" w:rsidP="00C31A7B">
            <w:pPr>
              <w:jc w:val="center"/>
              <w:rPr>
                <w:rFonts w:ascii="Jacobs Chronos" w:hAnsi="Jacobs Chronos" w:cs="Jacobs Chronos"/>
                <w:sz w:val="16"/>
                <w:szCs w:val="16"/>
              </w:rPr>
            </w:pPr>
          </w:p>
        </w:tc>
      </w:tr>
      <w:tr w:rsidR="00067079" w:rsidRPr="00A31BE0" w14:paraId="13773720" w14:textId="77777777" w:rsidTr="00E81409">
        <w:trPr>
          <w:trHeight w:val="397"/>
        </w:trPr>
        <w:tc>
          <w:tcPr>
            <w:tcW w:w="741" w:type="pct"/>
          </w:tcPr>
          <w:p w14:paraId="49BCD920" w14:textId="77777777" w:rsidR="00067079" w:rsidRPr="00A31BE0" w:rsidRDefault="00067079" w:rsidP="00067079">
            <w:pPr>
              <w:rPr>
                <w:rFonts w:ascii="Jacobs Chronos" w:hAnsi="Jacobs Chronos" w:cs="Jacobs Chronos"/>
                <w:sz w:val="16"/>
                <w:szCs w:val="16"/>
              </w:rPr>
            </w:pPr>
          </w:p>
        </w:tc>
        <w:tc>
          <w:tcPr>
            <w:tcW w:w="392" w:type="pct"/>
          </w:tcPr>
          <w:p w14:paraId="6CE26FF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22.08</w:t>
            </w:r>
          </w:p>
        </w:tc>
        <w:tc>
          <w:tcPr>
            <w:tcW w:w="2767" w:type="pct"/>
          </w:tcPr>
          <w:p w14:paraId="45EE8B0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landings that are no longer required been rehabilitated successfully?</w:t>
            </w:r>
          </w:p>
        </w:tc>
        <w:tc>
          <w:tcPr>
            <w:tcW w:w="578" w:type="pct"/>
            <w:shd w:val="clear" w:color="auto" w:fill="FFFFFF" w:themeFill="background1"/>
          </w:tcPr>
          <w:p w14:paraId="6B57A6C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w:t>
            </w:r>
          </w:p>
        </w:tc>
        <w:tc>
          <w:tcPr>
            <w:tcW w:w="522" w:type="pct"/>
            <w:shd w:val="clear" w:color="auto" w:fill="FFFFFF" w:themeFill="background1"/>
          </w:tcPr>
          <w:p w14:paraId="1CA57B4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95</w:t>
            </w:r>
          </w:p>
        </w:tc>
      </w:tr>
      <w:tr w:rsidR="00067079" w:rsidRPr="00A31BE0" w14:paraId="7E3D2530" w14:textId="77777777" w:rsidTr="00E81409">
        <w:trPr>
          <w:trHeight w:val="397"/>
        </w:trPr>
        <w:tc>
          <w:tcPr>
            <w:tcW w:w="741" w:type="pct"/>
          </w:tcPr>
          <w:p w14:paraId="5F8A826B" w14:textId="77777777" w:rsidR="00067079" w:rsidRPr="00A31BE0" w:rsidRDefault="00067079" w:rsidP="00067079">
            <w:pPr>
              <w:rPr>
                <w:rFonts w:ascii="Jacobs Chronos" w:hAnsi="Jacobs Chronos" w:cs="Jacobs Chronos"/>
                <w:sz w:val="16"/>
                <w:szCs w:val="16"/>
              </w:rPr>
            </w:pPr>
          </w:p>
        </w:tc>
        <w:tc>
          <w:tcPr>
            <w:tcW w:w="392" w:type="pct"/>
          </w:tcPr>
          <w:p w14:paraId="5FBA1AC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22.09</w:t>
            </w:r>
          </w:p>
        </w:tc>
        <w:tc>
          <w:tcPr>
            <w:tcW w:w="2767" w:type="pct"/>
          </w:tcPr>
          <w:p w14:paraId="01A1872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a landing is to be retained, is this indicated on the FCP?</w:t>
            </w:r>
          </w:p>
        </w:tc>
        <w:tc>
          <w:tcPr>
            <w:tcW w:w="578" w:type="pct"/>
            <w:shd w:val="clear" w:color="auto" w:fill="FFFFFF" w:themeFill="background1"/>
          </w:tcPr>
          <w:p w14:paraId="2CCAB49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777FD5E2" w14:textId="14410F82"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343E3CC4" w14:textId="77777777" w:rsidTr="00E81409">
        <w:trPr>
          <w:trHeight w:val="397"/>
        </w:trPr>
        <w:tc>
          <w:tcPr>
            <w:tcW w:w="741" w:type="pct"/>
            <w:shd w:val="clear" w:color="auto" w:fill="FFF2CC"/>
          </w:tcPr>
          <w:p w14:paraId="0AC8A23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E03001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427B82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7.2.2.4 Lift and aerate corded and matted snig tracks to allow burning.</w:t>
            </w:r>
          </w:p>
        </w:tc>
        <w:tc>
          <w:tcPr>
            <w:tcW w:w="578" w:type="pct"/>
            <w:shd w:val="clear" w:color="auto" w:fill="FFFFFF" w:themeFill="background1"/>
          </w:tcPr>
          <w:p w14:paraId="62D1117A"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9985695" w14:textId="77777777" w:rsidR="00067079" w:rsidRPr="00A31BE0" w:rsidRDefault="00067079" w:rsidP="00C31A7B">
            <w:pPr>
              <w:jc w:val="center"/>
              <w:rPr>
                <w:rFonts w:ascii="Jacobs Chronos" w:hAnsi="Jacobs Chronos" w:cs="Jacobs Chronos"/>
                <w:sz w:val="16"/>
                <w:szCs w:val="16"/>
              </w:rPr>
            </w:pPr>
          </w:p>
        </w:tc>
      </w:tr>
      <w:tr w:rsidR="00067079" w:rsidRPr="00A31BE0" w14:paraId="2CF905F0" w14:textId="77777777" w:rsidTr="00E81409">
        <w:trPr>
          <w:trHeight w:val="397"/>
        </w:trPr>
        <w:tc>
          <w:tcPr>
            <w:tcW w:w="741" w:type="pct"/>
          </w:tcPr>
          <w:p w14:paraId="52ADEC3D" w14:textId="77777777" w:rsidR="00067079" w:rsidRPr="00A31BE0" w:rsidRDefault="00067079" w:rsidP="00067079">
            <w:pPr>
              <w:rPr>
                <w:rFonts w:ascii="Jacobs Chronos" w:hAnsi="Jacobs Chronos" w:cs="Jacobs Chronos"/>
                <w:sz w:val="16"/>
                <w:szCs w:val="16"/>
              </w:rPr>
            </w:pPr>
          </w:p>
        </w:tc>
        <w:tc>
          <w:tcPr>
            <w:tcW w:w="392" w:type="pct"/>
          </w:tcPr>
          <w:p w14:paraId="754CD37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22.10</w:t>
            </w:r>
          </w:p>
        </w:tc>
        <w:tc>
          <w:tcPr>
            <w:tcW w:w="2767" w:type="pct"/>
          </w:tcPr>
          <w:p w14:paraId="1F59B7B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snig tracks were corded and matted have they been lifted and aerated prior to regeneration burning?</w:t>
            </w:r>
          </w:p>
        </w:tc>
        <w:tc>
          <w:tcPr>
            <w:tcW w:w="578" w:type="pct"/>
            <w:shd w:val="clear" w:color="auto" w:fill="FFFFFF" w:themeFill="background1"/>
          </w:tcPr>
          <w:p w14:paraId="4FE939D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415D2248"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E959684" w14:textId="77777777" w:rsidTr="00E81409">
        <w:trPr>
          <w:trHeight w:val="397"/>
        </w:trPr>
        <w:tc>
          <w:tcPr>
            <w:tcW w:w="741" w:type="pct"/>
            <w:shd w:val="clear" w:color="auto" w:fill="FFF2CC"/>
          </w:tcPr>
          <w:p w14:paraId="6865A39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E42158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83F9F1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7.2.2.5 Remove cording and as much matting, bark and slash as possible from landings before rehabilitation works occur.</w:t>
            </w:r>
          </w:p>
        </w:tc>
        <w:tc>
          <w:tcPr>
            <w:tcW w:w="578" w:type="pct"/>
            <w:shd w:val="clear" w:color="auto" w:fill="FFFFFF" w:themeFill="background1"/>
          </w:tcPr>
          <w:p w14:paraId="6BC671FE"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710122A" w14:textId="77777777" w:rsidR="00067079" w:rsidRPr="00A31BE0" w:rsidRDefault="00067079" w:rsidP="00C31A7B">
            <w:pPr>
              <w:jc w:val="center"/>
              <w:rPr>
                <w:rFonts w:ascii="Jacobs Chronos" w:hAnsi="Jacobs Chronos" w:cs="Jacobs Chronos"/>
                <w:sz w:val="16"/>
                <w:szCs w:val="16"/>
              </w:rPr>
            </w:pPr>
          </w:p>
        </w:tc>
      </w:tr>
      <w:tr w:rsidR="00067079" w:rsidRPr="00A31BE0" w14:paraId="655DEDC3" w14:textId="77777777" w:rsidTr="00E81409">
        <w:trPr>
          <w:trHeight w:val="397"/>
        </w:trPr>
        <w:tc>
          <w:tcPr>
            <w:tcW w:w="741" w:type="pct"/>
          </w:tcPr>
          <w:p w14:paraId="4BBC4E2C" w14:textId="77777777" w:rsidR="00067079" w:rsidRPr="00A31BE0" w:rsidRDefault="00067079" w:rsidP="00067079">
            <w:pPr>
              <w:rPr>
                <w:rFonts w:ascii="Jacobs Chronos" w:hAnsi="Jacobs Chronos" w:cs="Jacobs Chronos"/>
                <w:sz w:val="16"/>
                <w:szCs w:val="16"/>
              </w:rPr>
            </w:pPr>
          </w:p>
        </w:tc>
        <w:tc>
          <w:tcPr>
            <w:tcW w:w="392" w:type="pct"/>
          </w:tcPr>
          <w:p w14:paraId="120FD08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22.11</w:t>
            </w:r>
          </w:p>
        </w:tc>
        <w:tc>
          <w:tcPr>
            <w:tcW w:w="2767" w:type="pct"/>
          </w:tcPr>
          <w:p w14:paraId="03BF2C5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have cording, matting, bark and slash been removed from landings as much as reasonably practicable before coupe regeneration works?</w:t>
            </w:r>
          </w:p>
        </w:tc>
        <w:tc>
          <w:tcPr>
            <w:tcW w:w="578" w:type="pct"/>
            <w:shd w:val="clear" w:color="auto" w:fill="FFFFFF" w:themeFill="background1"/>
          </w:tcPr>
          <w:p w14:paraId="581433D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1A16523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7D58BDF6" w14:textId="77777777" w:rsidTr="00E81409">
        <w:trPr>
          <w:trHeight w:val="397"/>
        </w:trPr>
        <w:tc>
          <w:tcPr>
            <w:tcW w:w="741" w:type="pct"/>
            <w:shd w:val="clear" w:color="auto" w:fill="FFF2CC"/>
          </w:tcPr>
          <w:p w14:paraId="5F77387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BBF0DC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6B8009C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7.2.2.6 Rip/cultivate any snig track, landing or other area where machinery has compacted the soil.  Ripping of snig tracks should be extended for at least 30 m from the landing.</w:t>
            </w:r>
          </w:p>
        </w:tc>
        <w:tc>
          <w:tcPr>
            <w:tcW w:w="578" w:type="pct"/>
            <w:shd w:val="clear" w:color="auto" w:fill="FFFFFF" w:themeFill="background1"/>
          </w:tcPr>
          <w:p w14:paraId="2A0498A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D61D5EE" w14:textId="77777777" w:rsidR="00067079" w:rsidRPr="00A31BE0" w:rsidRDefault="00067079" w:rsidP="00C31A7B">
            <w:pPr>
              <w:jc w:val="center"/>
              <w:rPr>
                <w:rFonts w:ascii="Jacobs Chronos" w:hAnsi="Jacobs Chronos" w:cs="Jacobs Chronos"/>
                <w:sz w:val="16"/>
                <w:szCs w:val="16"/>
              </w:rPr>
            </w:pPr>
          </w:p>
        </w:tc>
      </w:tr>
      <w:tr w:rsidR="00067079" w:rsidRPr="00A31BE0" w14:paraId="3DE3C30B" w14:textId="77777777" w:rsidTr="00E81409">
        <w:trPr>
          <w:trHeight w:val="397"/>
        </w:trPr>
        <w:tc>
          <w:tcPr>
            <w:tcW w:w="741" w:type="pct"/>
          </w:tcPr>
          <w:p w14:paraId="507C708A" w14:textId="77777777" w:rsidR="00067079" w:rsidRPr="00A31BE0" w:rsidRDefault="00067079" w:rsidP="00067079">
            <w:pPr>
              <w:rPr>
                <w:rFonts w:ascii="Jacobs Chronos" w:hAnsi="Jacobs Chronos" w:cs="Jacobs Chronos"/>
                <w:sz w:val="16"/>
                <w:szCs w:val="16"/>
              </w:rPr>
            </w:pPr>
          </w:p>
        </w:tc>
        <w:tc>
          <w:tcPr>
            <w:tcW w:w="392" w:type="pct"/>
          </w:tcPr>
          <w:p w14:paraId="50F646C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22.12</w:t>
            </w:r>
          </w:p>
        </w:tc>
        <w:tc>
          <w:tcPr>
            <w:tcW w:w="2767" w:type="pct"/>
          </w:tcPr>
          <w:p w14:paraId="1307438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Has coupe infrastructure and other areas that have been compacted by machinery been ripped or cultivated to assist rehabilitation?</w:t>
            </w:r>
          </w:p>
        </w:tc>
        <w:tc>
          <w:tcPr>
            <w:tcW w:w="578" w:type="pct"/>
            <w:shd w:val="clear" w:color="auto" w:fill="FFFFFF" w:themeFill="background1"/>
          </w:tcPr>
          <w:p w14:paraId="18B63AB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21F7E39D"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95</w:t>
            </w:r>
          </w:p>
        </w:tc>
      </w:tr>
      <w:tr w:rsidR="00067079" w:rsidRPr="00A31BE0" w14:paraId="5550722E" w14:textId="77777777" w:rsidTr="00E81409">
        <w:trPr>
          <w:trHeight w:val="397"/>
        </w:trPr>
        <w:tc>
          <w:tcPr>
            <w:tcW w:w="741" w:type="pct"/>
          </w:tcPr>
          <w:p w14:paraId="65BE61FF" w14:textId="77777777" w:rsidR="00067079" w:rsidRPr="00A31BE0" w:rsidRDefault="00067079" w:rsidP="00067079">
            <w:pPr>
              <w:rPr>
                <w:rFonts w:ascii="Jacobs Chronos" w:hAnsi="Jacobs Chronos" w:cs="Jacobs Chronos"/>
                <w:sz w:val="16"/>
                <w:szCs w:val="16"/>
              </w:rPr>
            </w:pPr>
          </w:p>
        </w:tc>
        <w:tc>
          <w:tcPr>
            <w:tcW w:w="392" w:type="pct"/>
          </w:tcPr>
          <w:p w14:paraId="53C26E2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22.13</w:t>
            </w:r>
          </w:p>
        </w:tc>
        <w:tc>
          <w:tcPr>
            <w:tcW w:w="2767" w:type="pct"/>
          </w:tcPr>
          <w:p w14:paraId="65085A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snig tracks been ripped for at least 30 m distance from the landing?</w:t>
            </w:r>
          </w:p>
        </w:tc>
        <w:tc>
          <w:tcPr>
            <w:tcW w:w="578" w:type="pct"/>
            <w:shd w:val="clear" w:color="auto" w:fill="FFFFFF" w:themeFill="background1"/>
          </w:tcPr>
          <w:p w14:paraId="0C88CBF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7706A76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929B975" w14:textId="77777777" w:rsidTr="00E81409">
        <w:trPr>
          <w:trHeight w:val="397"/>
        </w:trPr>
        <w:tc>
          <w:tcPr>
            <w:tcW w:w="741" w:type="pct"/>
            <w:shd w:val="clear" w:color="auto" w:fill="FFF2CC"/>
          </w:tcPr>
          <w:p w14:paraId="0A393A3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507BDC5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AC21AC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7.2.2.7 Where removed and stockpiled, replace topsoil to a consistent depth across the landing</w:t>
            </w:r>
          </w:p>
        </w:tc>
        <w:tc>
          <w:tcPr>
            <w:tcW w:w="578" w:type="pct"/>
            <w:shd w:val="clear" w:color="auto" w:fill="FFFFFF" w:themeFill="background1"/>
          </w:tcPr>
          <w:p w14:paraId="438A1E35"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4B5AFE5" w14:textId="77777777" w:rsidR="00067079" w:rsidRPr="00A31BE0" w:rsidRDefault="00067079" w:rsidP="00C31A7B">
            <w:pPr>
              <w:jc w:val="center"/>
              <w:rPr>
                <w:rFonts w:ascii="Jacobs Chronos" w:hAnsi="Jacobs Chronos" w:cs="Jacobs Chronos"/>
                <w:sz w:val="16"/>
                <w:szCs w:val="16"/>
              </w:rPr>
            </w:pPr>
          </w:p>
        </w:tc>
      </w:tr>
      <w:tr w:rsidR="00067079" w:rsidRPr="00A31BE0" w14:paraId="099896E1" w14:textId="77777777" w:rsidTr="00E81409">
        <w:trPr>
          <w:trHeight w:val="397"/>
        </w:trPr>
        <w:tc>
          <w:tcPr>
            <w:tcW w:w="741" w:type="pct"/>
          </w:tcPr>
          <w:p w14:paraId="00BCB279" w14:textId="77777777" w:rsidR="00067079" w:rsidRPr="00A31BE0" w:rsidRDefault="00067079" w:rsidP="00067079">
            <w:pPr>
              <w:rPr>
                <w:rFonts w:ascii="Jacobs Chronos" w:hAnsi="Jacobs Chronos" w:cs="Jacobs Chronos"/>
                <w:sz w:val="16"/>
                <w:szCs w:val="16"/>
              </w:rPr>
            </w:pPr>
          </w:p>
        </w:tc>
        <w:tc>
          <w:tcPr>
            <w:tcW w:w="392" w:type="pct"/>
          </w:tcPr>
          <w:p w14:paraId="62176DD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22.14</w:t>
            </w:r>
          </w:p>
        </w:tc>
        <w:tc>
          <w:tcPr>
            <w:tcW w:w="2767" w:type="pct"/>
          </w:tcPr>
          <w:p w14:paraId="37DD156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For landings whose topsoil has been removed and stockpiled, has topsoil been replaced to a consistent depth across the landing?</w:t>
            </w:r>
          </w:p>
        </w:tc>
        <w:tc>
          <w:tcPr>
            <w:tcW w:w="578" w:type="pct"/>
            <w:shd w:val="clear" w:color="auto" w:fill="FFFFFF" w:themeFill="background1"/>
          </w:tcPr>
          <w:p w14:paraId="378A652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53589D55"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91479C5" w14:textId="77777777" w:rsidTr="00E81409">
        <w:trPr>
          <w:trHeight w:val="397"/>
        </w:trPr>
        <w:tc>
          <w:tcPr>
            <w:tcW w:w="741" w:type="pct"/>
          </w:tcPr>
          <w:p w14:paraId="3DE0F6C7" w14:textId="77777777" w:rsidR="00067079" w:rsidRPr="00A31BE0" w:rsidRDefault="00067079" w:rsidP="00067079">
            <w:pPr>
              <w:rPr>
                <w:rFonts w:ascii="Jacobs Chronos" w:hAnsi="Jacobs Chronos" w:cs="Jacobs Chronos"/>
                <w:sz w:val="16"/>
                <w:szCs w:val="16"/>
              </w:rPr>
            </w:pPr>
          </w:p>
        </w:tc>
        <w:tc>
          <w:tcPr>
            <w:tcW w:w="392" w:type="pct"/>
            <w:shd w:val="clear" w:color="auto" w:fill="E2EFDA"/>
          </w:tcPr>
          <w:p w14:paraId="7A67FD3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026B224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7.2.3 Boundary Trails</w:t>
            </w:r>
          </w:p>
        </w:tc>
        <w:tc>
          <w:tcPr>
            <w:tcW w:w="578" w:type="pct"/>
            <w:shd w:val="clear" w:color="auto" w:fill="FFFFFF" w:themeFill="background1"/>
          </w:tcPr>
          <w:p w14:paraId="630E768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3CE5DB22" w14:textId="77777777" w:rsidR="00067079" w:rsidRPr="00A31BE0" w:rsidRDefault="00067079" w:rsidP="00C31A7B">
            <w:pPr>
              <w:jc w:val="center"/>
              <w:rPr>
                <w:rFonts w:ascii="Jacobs Chronos" w:hAnsi="Jacobs Chronos" w:cs="Jacobs Chronos"/>
                <w:sz w:val="16"/>
                <w:szCs w:val="16"/>
              </w:rPr>
            </w:pPr>
          </w:p>
        </w:tc>
      </w:tr>
      <w:tr w:rsidR="00067079" w:rsidRPr="00A31BE0" w14:paraId="3872A4FF" w14:textId="77777777" w:rsidTr="00E81409">
        <w:trPr>
          <w:trHeight w:val="397"/>
        </w:trPr>
        <w:tc>
          <w:tcPr>
            <w:tcW w:w="741" w:type="pct"/>
            <w:shd w:val="clear" w:color="auto" w:fill="FFF2CC"/>
          </w:tcPr>
          <w:p w14:paraId="0190734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DA3362C"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1962057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7.2.3.1 Locate boundary trails within the gross coupe boundary and outside buffers, filters and exclusion areas except for sanctioned crossings identified in the Forest Coupe Plan. </w:t>
            </w:r>
          </w:p>
        </w:tc>
        <w:tc>
          <w:tcPr>
            <w:tcW w:w="578" w:type="pct"/>
            <w:shd w:val="clear" w:color="auto" w:fill="FFFFFF" w:themeFill="background1"/>
          </w:tcPr>
          <w:p w14:paraId="607940A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6B2E7C8" w14:textId="77777777" w:rsidR="00067079" w:rsidRPr="00A31BE0" w:rsidRDefault="00067079" w:rsidP="00C31A7B">
            <w:pPr>
              <w:jc w:val="center"/>
              <w:rPr>
                <w:rFonts w:ascii="Jacobs Chronos" w:hAnsi="Jacobs Chronos" w:cs="Jacobs Chronos"/>
                <w:sz w:val="16"/>
                <w:szCs w:val="16"/>
              </w:rPr>
            </w:pPr>
          </w:p>
        </w:tc>
      </w:tr>
      <w:tr w:rsidR="00067079" w:rsidRPr="00A31BE0" w14:paraId="5878529A" w14:textId="77777777" w:rsidTr="00E81409">
        <w:trPr>
          <w:trHeight w:val="397"/>
        </w:trPr>
        <w:tc>
          <w:tcPr>
            <w:tcW w:w="741" w:type="pct"/>
          </w:tcPr>
          <w:p w14:paraId="21308D1A" w14:textId="77777777" w:rsidR="00067079" w:rsidRPr="00A31BE0" w:rsidRDefault="00067079" w:rsidP="00067079">
            <w:pPr>
              <w:rPr>
                <w:rFonts w:ascii="Jacobs Chronos" w:hAnsi="Jacobs Chronos" w:cs="Jacobs Chronos"/>
                <w:sz w:val="16"/>
                <w:szCs w:val="16"/>
              </w:rPr>
            </w:pPr>
          </w:p>
        </w:tc>
        <w:tc>
          <w:tcPr>
            <w:tcW w:w="392" w:type="pct"/>
          </w:tcPr>
          <w:p w14:paraId="5EA1D65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22.15</w:t>
            </w:r>
          </w:p>
        </w:tc>
        <w:tc>
          <w:tcPr>
            <w:tcW w:w="2767" w:type="pct"/>
          </w:tcPr>
          <w:p w14:paraId="01A8B4C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Are boundary trails located consistently with the requirements of MSP 7.2.3.1?</w:t>
            </w:r>
          </w:p>
        </w:tc>
        <w:tc>
          <w:tcPr>
            <w:tcW w:w="578" w:type="pct"/>
            <w:shd w:val="clear" w:color="auto" w:fill="FFFFFF" w:themeFill="background1"/>
          </w:tcPr>
          <w:p w14:paraId="402C02B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w:t>
            </w:r>
          </w:p>
        </w:tc>
        <w:tc>
          <w:tcPr>
            <w:tcW w:w="522" w:type="pct"/>
            <w:shd w:val="clear" w:color="auto" w:fill="FFFFFF" w:themeFill="background1"/>
          </w:tcPr>
          <w:p w14:paraId="7371312C"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0081D8B" w14:textId="77777777" w:rsidTr="00E81409">
        <w:trPr>
          <w:trHeight w:val="397"/>
        </w:trPr>
        <w:tc>
          <w:tcPr>
            <w:tcW w:w="741" w:type="pct"/>
          </w:tcPr>
          <w:p w14:paraId="1B05D442" w14:textId="77777777" w:rsidR="00067079" w:rsidRPr="00A31BE0" w:rsidRDefault="00067079" w:rsidP="00067079">
            <w:pPr>
              <w:rPr>
                <w:rFonts w:ascii="Jacobs Chronos" w:hAnsi="Jacobs Chronos" w:cs="Jacobs Chronos"/>
                <w:sz w:val="16"/>
                <w:szCs w:val="16"/>
              </w:rPr>
            </w:pPr>
          </w:p>
        </w:tc>
        <w:tc>
          <w:tcPr>
            <w:tcW w:w="392" w:type="pct"/>
          </w:tcPr>
          <w:p w14:paraId="49ACBA8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22.16</w:t>
            </w:r>
          </w:p>
        </w:tc>
        <w:tc>
          <w:tcPr>
            <w:tcW w:w="2767" w:type="pct"/>
          </w:tcPr>
          <w:p w14:paraId="027D6D2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boundary trail includes a waterway crossing, is there evidence in the Forest Coupe Plan of the crossing having been sanctioned?</w:t>
            </w:r>
          </w:p>
        </w:tc>
        <w:tc>
          <w:tcPr>
            <w:tcW w:w="578" w:type="pct"/>
            <w:shd w:val="clear" w:color="auto" w:fill="FFFFFF" w:themeFill="background1"/>
          </w:tcPr>
          <w:p w14:paraId="20D0E79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P</w:t>
            </w:r>
          </w:p>
        </w:tc>
        <w:tc>
          <w:tcPr>
            <w:tcW w:w="522" w:type="pct"/>
            <w:shd w:val="clear" w:color="auto" w:fill="FFFFFF" w:themeFill="background1"/>
          </w:tcPr>
          <w:p w14:paraId="0950E905" w14:textId="77777777" w:rsidR="00067079" w:rsidRPr="00A31BE0" w:rsidRDefault="00067079" w:rsidP="00C31A7B">
            <w:pPr>
              <w:jc w:val="center"/>
              <w:rPr>
                <w:rFonts w:ascii="Jacobs Chronos" w:hAnsi="Jacobs Chronos" w:cs="Jacobs Chronos"/>
                <w:sz w:val="16"/>
                <w:szCs w:val="16"/>
              </w:rPr>
            </w:pPr>
          </w:p>
        </w:tc>
      </w:tr>
      <w:tr w:rsidR="00067079" w:rsidRPr="00A31BE0" w14:paraId="233EE770" w14:textId="77777777" w:rsidTr="00E81409">
        <w:trPr>
          <w:trHeight w:val="397"/>
        </w:trPr>
        <w:tc>
          <w:tcPr>
            <w:tcW w:w="741" w:type="pct"/>
            <w:shd w:val="clear" w:color="auto" w:fill="FFF2CC"/>
          </w:tcPr>
          <w:p w14:paraId="5261FDD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454F31D"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19FF48E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7.2.3.2 Minimise debris deposited outside the coupe boundary when constructing boundary trails. </w:t>
            </w:r>
          </w:p>
        </w:tc>
        <w:tc>
          <w:tcPr>
            <w:tcW w:w="578" w:type="pct"/>
            <w:shd w:val="clear" w:color="auto" w:fill="FFFFFF" w:themeFill="background1"/>
          </w:tcPr>
          <w:p w14:paraId="719C5D38"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16B119FE" w14:textId="77777777" w:rsidR="00067079" w:rsidRPr="00A31BE0" w:rsidRDefault="00067079" w:rsidP="00C31A7B">
            <w:pPr>
              <w:jc w:val="center"/>
              <w:rPr>
                <w:rFonts w:ascii="Jacobs Chronos" w:hAnsi="Jacobs Chronos" w:cs="Jacobs Chronos"/>
                <w:sz w:val="16"/>
                <w:szCs w:val="16"/>
              </w:rPr>
            </w:pPr>
          </w:p>
        </w:tc>
      </w:tr>
      <w:tr w:rsidR="00067079" w:rsidRPr="00A31BE0" w14:paraId="04B55146" w14:textId="77777777" w:rsidTr="00E81409">
        <w:trPr>
          <w:trHeight w:val="397"/>
        </w:trPr>
        <w:tc>
          <w:tcPr>
            <w:tcW w:w="741" w:type="pct"/>
          </w:tcPr>
          <w:p w14:paraId="3F417613" w14:textId="77777777" w:rsidR="00067079" w:rsidRPr="00A31BE0" w:rsidRDefault="00067079" w:rsidP="00067079">
            <w:pPr>
              <w:rPr>
                <w:rFonts w:ascii="Jacobs Chronos" w:hAnsi="Jacobs Chronos" w:cs="Jacobs Chronos"/>
                <w:sz w:val="16"/>
                <w:szCs w:val="16"/>
              </w:rPr>
            </w:pPr>
          </w:p>
        </w:tc>
        <w:tc>
          <w:tcPr>
            <w:tcW w:w="392" w:type="pct"/>
          </w:tcPr>
          <w:p w14:paraId="4D5B8E3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22.17</w:t>
            </w:r>
          </w:p>
        </w:tc>
        <w:tc>
          <w:tcPr>
            <w:tcW w:w="2767" w:type="pct"/>
          </w:tcPr>
          <w:p w14:paraId="4C6ADF1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the boundary trail been constructed in a way that has minimised debris deposit outside the gross coupe boundary?</w:t>
            </w:r>
          </w:p>
        </w:tc>
        <w:tc>
          <w:tcPr>
            <w:tcW w:w="578" w:type="pct"/>
            <w:shd w:val="clear" w:color="auto" w:fill="FFFFFF" w:themeFill="background1"/>
          </w:tcPr>
          <w:p w14:paraId="3AFD67C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w:t>
            </w:r>
          </w:p>
        </w:tc>
        <w:tc>
          <w:tcPr>
            <w:tcW w:w="522" w:type="pct"/>
            <w:shd w:val="clear" w:color="auto" w:fill="FFFFFF" w:themeFill="background1"/>
          </w:tcPr>
          <w:p w14:paraId="2682D86B"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F943090" w14:textId="77777777" w:rsidTr="00E81409">
        <w:trPr>
          <w:trHeight w:val="397"/>
        </w:trPr>
        <w:tc>
          <w:tcPr>
            <w:tcW w:w="741" w:type="pct"/>
            <w:shd w:val="clear" w:color="auto" w:fill="FFF2CC"/>
          </w:tcPr>
          <w:p w14:paraId="3AFB9A1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153058C" w14:textId="77777777" w:rsidR="00067079" w:rsidRPr="00A31BE0" w:rsidRDefault="00067079" w:rsidP="00067079">
            <w:pPr>
              <w:rPr>
                <w:rFonts w:ascii="Jacobs Chronos" w:hAnsi="Jacobs Chronos" w:cs="Jacobs Chronos"/>
                <w:sz w:val="16"/>
                <w:szCs w:val="16"/>
              </w:rPr>
            </w:pPr>
          </w:p>
        </w:tc>
        <w:tc>
          <w:tcPr>
            <w:tcW w:w="2767" w:type="pct"/>
            <w:shd w:val="clear" w:color="auto" w:fill="FFF2CC"/>
          </w:tcPr>
          <w:p w14:paraId="4908B7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7.2.3.3 Maintain adequate drainage of boundary trails at all times until rehabilitation is complete.</w:t>
            </w:r>
          </w:p>
        </w:tc>
        <w:tc>
          <w:tcPr>
            <w:tcW w:w="578" w:type="pct"/>
            <w:shd w:val="clear" w:color="auto" w:fill="FFFFFF" w:themeFill="background1"/>
          </w:tcPr>
          <w:p w14:paraId="6E7896CA"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33DA94A" w14:textId="77777777" w:rsidR="00067079" w:rsidRPr="00A31BE0" w:rsidRDefault="00067079" w:rsidP="00C31A7B">
            <w:pPr>
              <w:jc w:val="center"/>
              <w:rPr>
                <w:rFonts w:ascii="Jacobs Chronos" w:hAnsi="Jacobs Chronos" w:cs="Jacobs Chronos"/>
                <w:sz w:val="16"/>
                <w:szCs w:val="16"/>
              </w:rPr>
            </w:pPr>
          </w:p>
        </w:tc>
      </w:tr>
      <w:tr w:rsidR="00067079" w:rsidRPr="00A31BE0" w14:paraId="33E14A93" w14:textId="77777777" w:rsidTr="00E81409">
        <w:trPr>
          <w:trHeight w:val="397"/>
        </w:trPr>
        <w:tc>
          <w:tcPr>
            <w:tcW w:w="741" w:type="pct"/>
          </w:tcPr>
          <w:p w14:paraId="4317AC06" w14:textId="77777777" w:rsidR="00067079" w:rsidRPr="00A31BE0" w:rsidRDefault="00067079" w:rsidP="00067079">
            <w:pPr>
              <w:rPr>
                <w:rFonts w:ascii="Jacobs Chronos" w:hAnsi="Jacobs Chronos" w:cs="Jacobs Chronos"/>
                <w:sz w:val="16"/>
                <w:szCs w:val="16"/>
              </w:rPr>
            </w:pPr>
          </w:p>
        </w:tc>
        <w:tc>
          <w:tcPr>
            <w:tcW w:w="392" w:type="pct"/>
          </w:tcPr>
          <w:p w14:paraId="7E2F465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22.18</w:t>
            </w:r>
          </w:p>
        </w:tc>
        <w:tc>
          <w:tcPr>
            <w:tcW w:w="2767" w:type="pct"/>
          </w:tcPr>
          <w:p w14:paraId="76AB0BA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Has the boundary track been appropriately drained between its construction and rehabilitation?</w:t>
            </w:r>
          </w:p>
        </w:tc>
        <w:tc>
          <w:tcPr>
            <w:tcW w:w="578" w:type="pct"/>
            <w:shd w:val="clear" w:color="auto" w:fill="FFFFFF" w:themeFill="background1"/>
          </w:tcPr>
          <w:p w14:paraId="1AEA72B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I</w:t>
            </w:r>
          </w:p>
        </w:tc>
        <w:tc>
          <w:tcPr>
            <w:tcW w:w="522" w:type="pct"/>
            <w:shd w:val="clear" w:color="auto" w:fill="FFFFFF" w:themeFill="background1"/>
          </w:tcPr>
          <w:p w14:paraId="2F3F8BC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95</w:t>
            </w:r>
          </w:p>
        </w:tc>
      </w:tr>
      <w:tr w:rsidR="00067079" w:rsidRPr="00A31BE0" w14:paraId="16B14FA9" w14:textId="77777777" w:rsidTr="00E81409">
        <w:trPr>
          <w:trHeight w:val="397"/>
        </w:trPr>
        <w:tc>
          <w:tcPr>
            <w:tcW w:w="741" w:type="pct"/>
            <w:shd w:val="clear" w:color="auto" w:fill="FFF2CC"/>
          </w:tcPr>
          <w:p w14:paraId="64F6AC9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6648DA4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3E9B39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7.2.3.4 Rehabilitate boundary trails as soon as practical after any regeneration burns and before commencement of any relevant closure periods.</w:t>
            </w:r>
          </w:p>
        </w:tc>
        <w:tc>
          <w:tcPr>
            <w:tcW w:w="578" w:type="pct"/>
            <w:shd w:val="clear" w:color="auto" w:fill="FFFFFF" w:themeFill="background1"/>
          </w:tcPr>
          <w:p w14:paraId="079ADE9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B5994E1" w14:textId="77777777" w:rsidR="00067079" w:rsidRPr="00A31BE0" w:rsidRDefault="00067079" w:rsidP="00C31A7B">
            <w:pPr>
              <w:jc w:val="center"/>
              <w:rPr>
                <w:rFonts w:ascii="Jacobs Chronos" w:hAnsi="Jacobs Chronos" w:cs="Jacobs Chronos"/>
                <w:sz w:val="16"/>
                <w:szCs w:val="16"/>
              </w:rPr>
            </w:pPr>
          </w:p>
        </w:tc>
      </w:tr>
      <w:tr w:rsidR="00067079" w:rsidRPr="00A31BE0" w14:paraId="6329577F" w14:textId="77777777" w:rsidTr="00E81409">
        <w:trPr>
          <w:trHeight w:val="397"/>
        </w:trPr>
        <w:tc>
          <w:tcPr>
            <w:tcW w:w="741" w:type="pct"/>
          </w:tcPr>
          <w:p w14:paraId="2B49CAA8" w14:textId="77777777" w:rsidR="00067079" w:rsidRPr="00A31BE0" w:rsidRDefault="00067079" w:rsidP="00067079">
            <w:pPr>
              <w:rPr>
                <w:rFonts w:ascii="Jacobs Chronos" w:hAnsi="Jacobs Chronos" w:cs="Jacobs Chronos"/>
                <w:sz w:val="16"/>
                <w:szCs w:val="16"/>
              </w:rPr>
            </w:pPr>
          </w:p>
        </w:tc>
        <w:tc>
          <w:tcPr>
            <w:tcW w:w="392" w:type="pct"/>
          </w:tcPr>
          <w:p w14:paraId="48F054B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22.19</w:t>
            </w:r>
          </w:p>
        </w:tc>
        <w:tc>
          <w:tcPr>
            <w:tcW w:w="2767" w:type="pct"/>
          </w:tcPr>
          <w:p w14:paraId="46EEC77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Have any boundary trails been rehabilitated as soon as reasonably practicable following regeneration burning?</w:t>
            </w:r>
          </w:p>
        </w:tc>
        <w:tc>
          <w:tcPr>
            <w:tcW w:w="578" w:type="pct"/>
            <w:shd w:val="clear" w:color="auto" w:fill="FFFFFF" w:themeFill="background1"/>
          </w:tcPr>
          <w:p w14:paraId="51674260"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W, I</w:t>
            </w:r>
          </w:p>
        </w:tc>
        <w:tc>
          <w:tcPr>
            <w:tcW w:w="522" w:type="pct"/>
            <w:shd w:val="clear" w:color="auto" w:fill="FFFFFF" w:themeFill="background1"/>
          </w:tcPr>
          <w:p w14:paraId="016A396A"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6D5E2C1A" w14:textId="77777777" w:rsidTr="00E81409">
        <w:trPr>
          <w:trHeight w:val="397"/>
        </w:trPr>
        <w:tc>
          <w:tcPr>
            <w:tcW w:w="741" w:type="pct"/>
          </w:tcPr>
          <w:p w14:paraId="440E819F" w14:textId="77777777" w:rsidR="00067079" w:rsidRPr="00A31BE0" w:rsidRDefault="00067079" w:rsidP="00067079">
            <w:pPr>
              <w:rPr>
                <w:rFonts w:ascii="Jacobs Chronos" w:hAnsi="Jacobs Chronos" w:cs="Jacobs Chronos"/>
                <w:sz w:val="16"/>
                <w:szCs w:val="16"/>
              </w:rPr>
            </w:pPr>
          </w:p>
        </w:tc>
        <w:tc>
          <w:tcPr>
            <w:tcW w:w="392" w:type="pct"/>
            <w:shd w:val="clear" w:color="auto" w:fill="E2EFDA"/>
          </w:tcPr>
          <w:p w14:paraId="7B8F97E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E2EFDA"/>
          </w:tcPr>
          <w:p w14:paraId="4EC4B09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7.2.4 Slash and bark management</w:t>
            </w:r>
          </w:p>
        </w:tc>
        <w:tc>
          <w:tcPr>
            <w:tcW w:w="578" w:type="pct"/>
            <w:shd w:val="clear" w:color="auto" w:fill="FFFFFF" w:themeFill="background1"/>
          </w:tcPr>
          <w:p w14:paraId="6AB7B253"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244104B4" w14:textId="77777777" w:rsidR="00067079" w:rsidRPr="00A31BE0" w:rsidRDefault="00067079" w:rsidP="00C31A7B">
            <w:pPr>
              <w:jc w:val="center"/>
              <w:rPr>
                <w:rFonts w:ascii="Jacobs Chronos" w:hAnsi="Jacobs Chronos" w:cs="Jacobs Chronos"/>
                <w:sz w:val="16"/>
                <w:szCs w:val="16"/>
              </w:rPr>
            </w:pPr>
          </w:p>
        </w:tc>
      </w:tr>
      <w:tr w:rsidR="00067079" w:rsidRPr="00A31BE0" w14:paraId="6E3A14F6" w14:textId="77777777" w:rsidTr="00E81409">
        <w:trPr>
          <w:trHeight w:val="397"/>
        </w:trPr>
        <w:tc>
          <w:tcPr>
            <w:tcW w:w="741" w:type="pct"/>
            <w:shd w:val="clear" w:color="auto" w:fill="FFF2CC"/>
          </w:tcPr>
          <w:p w14:paraId="50CEE2E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BE44CC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70624E5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7.2.4.1 Where regeneration burning is planned: (a) place bark piles at least 10 m inside the coupe boundary; (b) place windrows at least 3 m from excluded areas; and (c) ensure slash is not permitted to accumulate within 3 m of the base of any retained habitat tree or Shelterwood 1 tree. </w:t>
            </w:r>
          </w:p>
        </w:tc>
        <w:tc>
          <w:tcPr>
            <w:tcW w:w="578" w:type="pct"/>
            <w:shd w:val="clear" w:color="auto" w:fill="FFFFFF" w:themeFill="background1"/>
          </w:tcPr>
          <w:p w14:paraId="0664A74B"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5E729E91" w14:textId="77777777" w:rsidR="00067079" w:rsidRPr="00A31BE0" w:rsidRDefault="00067079" w:rsidP="00C31A7B">
            <w:pPr>
              <w:jc w:val="center"/>
              <w:rPr>
                <w:rFonts w:ascii="Jacobs Chronos" w:hAnsi="Jacobs Chronos" w:cs="Jacobs Chronos"/>
                <w:sz w:val="16"/>
                <w:szCs w:val="16"/>
              </w:rPr>
            </w:pPr>
          </w:p>
        </w:tc>
      </w:tr>
      <w:tr w:rsidR="00067079" w:rsidRPr="00A31BE0" w14:paraId="1FD99AD1" w14:textId="77777777" w:rsidTr="00E81409">
        <w:trPr>
          <w:trHeight w:val="397"/>
        </w:trPr>
        <w:tc>
          <w:tcPr>
            <w:tcW w:w="741" w:type="pct"/>
          </w:tcPr>
          <w:p w14:paraId="45431DF9" w14:textId="77777777" w:rsidR="00067079" w:rsidRPr="00A31BE0" w:rsidRDefault="00067079" w:rsidP="00067079">
            <w:pPr>
              <w:rPr>
                <w:rFonts w:ascii="Jacobs Chronos" w:hAnsi="Jacobs Chronos" w:cs="Jacobs Chronos"/>
                <w:sz w:val="16"/>
                <w:szCs w:val="16"/>
              </w:rPr>
            </w:pPr>
          </w:p>
        </w:tc>
        <w:tc>
          <w:tcPr>
            <w:tcW w:w="392" w:type="pct"/>
          </w:tcPr>
          <w:p w14:paraId="3AE1B5F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22.20</w:t>
            </w:r>
          </w:p>
        </w:tc>
        <w:tc>
          <w:tcPr>
            <w:tcW w:w="2767" w:type="pct"/>
          </w:tcPr>
          <w:p w14:paraId="000FB7A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bark piles have been located in conformance with MSP 7.2.4.1, where regeneration burning is planned?</w:t>
            </w:r>
          </w:p>
        </w:tc>
        <w:tc>
          <w:tcPr>
            <w:tcW w:w="578" w:type="pct"/>
            <w:shd w:val="clear" w:color="auto" w:fill="FFFFFF" w:themeFill="background1"/>
          </w:tcPr>
          <w:p w14:paraId="7604539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1F086363"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06F5E9DB" w14:textId="77777777" w:rsidTr="00E81409">
        <w:trPr>
          <w:trHeight w:val="397"/>
        </w:trPr>
        <w:tc>
          <w:tcPr>
            <w:tcW w:w="741" w:type="pct"/>
            <w:shd w:val="clear" w:color="auto" w:fill="FFF2CC"/>
          </w:tcPr>
          <w:p w14:paraId="7A15133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158E6C1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3D64D4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7.2.4.2 Limit slash and bark piles to a maximum of 4 m2 (ground area) and 10 m3 (total volume). </w:t>
            </w:r>
          </w:p>
        </w:tc>
        <w:tc>
          <w:tcPr>
            <w:tcW w:w="578" w:type="pct"/>
            <w:shd w:val="clear" w:color="auto" w:fill="FFFFFF" w:themeFill="background1"/>
          </w:tcPr>
          <w:p w14:paraId="1F5EA3B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0CBB4294" w14:textId="77777777" w:rsidR="00067079" w:rsidRPr="00A31BE0" w:rsidRDefault="00067079" w:rsidP="00C31A7B">
            <w:pPr>
              <w:jc w:val="center"/>
              <w:rPr>
                <w:rFonts w:ascii="Jacobs Chronos" w:hAnsi="Jacobs Chronos" w:cs="Jacobs Chronos"/>
                <w:sz w:val="16"/>
                <w:szCs w:val="16"/>
              </w:rPr>
            </w:pPr>
          </w:p>
        </w:tc>
      </w:tr>
      <w:tr w:rsidR="00067079" w:rsidRPr="00A31BE0" w14:paraId="2BFC2F6C" w14:textId="77777777" w:rsidTr="00E81409">
        <w:trPr>
          <w:trHeight w:val="397"/>
        </w:trPr>
        <w:tc>
          <w:tcPr>
            <w:tcW w:w="741" w:type="pct"/>
          </w:tcPr>
          <w:p w14:paraId="231931FB" w14:textId="77777777" w:rsidR="00067079" w:rsidRPr="00A31BE0" w:rsidRDefault="00067079" w:rsidP="00067079">
            <w:pPr>
              <w:rPr>
                <w:rFonts w:ascii="Jacobs Chronos" w:hAnsi="Jacobs Chronos" w:cs="Jacobs Chronos"/>
                <w:sz w:val="16"/>
                <w:szCs w:val="16"/>
              </w:rPr>
            </w:pPr>
          </w:p>
        </w:tc>
        <w:tc>
          <w:tcPr>
            <w:tcW w:w="392" w:type="pct"/>
          </w:tcPr>
          <w:p w14:paraId="189F1F3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22.21</w:t>
            </w:r>
          </w:p>
        </w:tc>
        <w:tc>
          <w:tcPr>
            <w:tcW w:w="2767" w:type="pct"/>
          </w:tcPr>
          <w:p w14:paraId="2B7E0B5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there evidence that slash and bark piles have been restricted to no more than the area and volume specified in MSP 7.2.4.2?</w:t>
            </w:r>
          </w:p>
        </w:tc>
        <w:tc>
          <w:tcPr>
            <w:tcW w:w="578" w:type="pct"/>
            <w:shd w:val="clear" w:color="auto" w:fill="FFFFFF" w:themeFill="background1"/>
          </w:tcPr>
          <w:p w14:paraId="1D864B4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S, I</w:t>
            </w:r>
          </w:p>
        </w:tc>
        <w:tc>
          <w:tcPr>
            <w:tcW w:w="522" w:type="pct"/>
            <w:shd w:val="clear" w:color="auto" w:fill="FFFFFF" w:themeFill="background1"/>
          </w:tcPr>
          <w:p w14:paraId="44026C2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62</w:t>
            </w:r>
          </w:p>
        </w:tc>
      </w:tr>
      <w:tr w:rsidR="00067079" w:rsidRPr="00A31BE0" w14:paraId="219C2D5C" w14:textId="77777777" w:rsidTr="00C31A7B">
        <w:trPr>
          <w:trHeight w:val="397"/>
        </w:trPr>
        <w:tc>
          <w:tcPr>
            <w:tcW w:w="741" w:type="pct"/>
          </w:tcPr>
          <w:p w14:paraId="04B40380" w14:textId="77777777" w:rsidR="00067079" w:rsidRPr="00A31BE0" w:rsidRDefault="00067079" w:rsidP="00067079">
            <w:pPr>
              <w:rPr>
                <w:rFonts w:ascii="Jacobs Chronos" w:hAnsi="Jacobs Chronos" w:cs="Jacobs Chronos"/>
                <w:sz w:val="16"/>
                <w:szCs w:val="16"/>
              </w:rPr>
            </w:pPr>
          </w:p>
        </w:tc>
        <w:tc>
          <w:tcPr>
            <w:tcW w:w="392" w:type="pct"/>
            <w:shd w:val="clear" w:color="auto" w:fill="CEEAB0"/>
          </w:tcPr>
          <w:p w14:paraId="08F700FF"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CEEAB0"/>
          </w:tcPr>
          <w:p w14:paraId="06EDF2A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MSP 7.2.5 Campsites and facilities</w:t>
            </w:r>
          </w:p>
        </w:tc>
        <w:tc>
          <w:tcPr>
            <w:tcW w:w="578" w:type="pct"/>
            <w:shd w:val="clear" w:color="auto" w:fill="FFFFFF" w:themeFill="background1"/>
          </w:tcPr>
          <w:p w14:paraId="7182DD76"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476EE2E" w14:textId="77777777" w:rsidR="00067079" w:rsidRPr="00A31BE0" w:rsidRDefault="00067079" w:rsidP="00C31A7B">
            <w:pPr>
              <w:jc w:val="center"/>
              <w:rPr>
                <w:rFonts w:ascii="Jacobs Chronos" w:hAnsi="Jacobs Chronos" w:cs="Jacobs Chronos"/>
                <w:sz w:val="16"/>
                <w:szCs w:val="16"/>
              </w:rPr>
            </w:pPr>
          </w:p>
        </w:tc>
      </w:tr>
      <w:tr w:rsidR="00067079" w:rsidRPr="00A31BE0" w14:paraId="638BFB77" w14:textId="77777777" w:rsidTr="00E81409">
        <w:trPr>
          <w:trHeight w:val="397"/>
        </w:trPr>
        <w:tc>
          <w:tcPr>
            <w:tcW w:w="741" w:type="pct"/>
            <w:shd w:val="clear" w:color="auto" w:fill="FFF2CC"/>
          </w:tcPr>
          <w:p w14:paraId="7F84E34E"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2811331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36E156F7"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7.2.5.1 Obtain approval from the Minister or delegate in accordance with section 1.4 for any camp site or shower units associated with timber harvesting operations that are not located on a sanctioned coupe. </w:t>
            </w:r>
          </w:p>
        </w:tc>
        <w:tc>
          <w:tcPr>
            <w:tcW w:w="578" w:type="pct"/>
            <w:shd w:val="clear" w:color="auto" w:fill="FFFFFF" w:themeFill="background1"/>
          </w:tcPr>
          <w:p w14:paraId="7DD20D41"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E537A69" w14:textId="77777777" w:rsidR="00067079" w:rsidRPr="00A31BE0" w:rsidRDefault="00067079" w:rsidP="00C31A7B">
            <w:pPr>
              <w:jc w:val="center"/>
              <w:rPr>
                <w:rFonts w:ascii="Jacobs Chronos" w:hAnsi="Jacobs Chronos" w:cs="Jacobs Chronos"/>
                <w:sz w:val="16"/>
                <w:szCs w:val="16"/>
              </w:rPr>
            </w:pPr>
          </w:p>
        </w:tc>
      </w:tr>
      <w:tr w:rsidR="00067079" w:rsidRPr="00A31BE0" w14:paraId="305EDAEC" w14:textId="77777777" w:rsidTr="00E81409">
        <w:trPr>
          <w:trHeight w:val="397"/>
        </w:trPr>
        <w:tc>
          <w:tcPr>
            <w:tcW w:w="741" w:type="pct"/>
          </w:tcPr>
          <w:p w14:paraId="0C3ADEAC" w14:textId="77777777" w:rsidR="00067079" w:rsidRPr="00A31BE0" w:rsidRDefault="00067079" w:rsidP="00067079">
            <w:pPr>
              <w:rPr>
                <w:rFonts w:ascii="Jacobs Chronos" w:hAnsi="Jacobs Chronos" w:cs="Jacobs Chronos"/>
                <w:sz w:val="16"/>
                <w:szCs w:val="16"/>
              </w:rPr>
            </w:pPr>
          </w:p>
        </w:tc>
        <w:tc>
          <w:tcPr>
            <w:tcW w:w="392" w:type="pct"/>
          </w:tcPr>
          <w:p w14:paraId="497D292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22.22</w:t>
            </w:r>
          </w:p>
        </w:tc>
        <w:tc>
          <w:tcPr>
            <w:tcW w:w="2767" w:type="pct"/>
          </w:tcPr>
          <w:p w14:paraId="61A1822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a campsite or shower unit associated with the timber harvesting operation is located outside a sanctioned coupe, has the appropriate approval been provided?</w:t>
            </w:r>
          </w:p>
        </w:tc>
        <w:tc>
          <w:tcPr>
            <w:tcW w:w="578" w:type="pct"/>
            <w:shd w:val="clear" w:color="auto" w:fill="FFFFFF" w:themeFill="background1"/>
          </w:tcPr>
          <w:p w14:paraId="0C0A239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7C039457" w14:textId="64C9352E"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00D4324F" w14:textId="77777777" w:rsidTr="00E81409">
        <w:trPr>
          <w:trHeight w:val="397"/>
        </w:trPr>
        <w:tc>
          <w:tcPr>
            <w:tcW w:w="741" w:type="pct"/>
            <w:shd w:val="clear" w:color="auto" w:fill="FFF2CC"/>
          </w:tcPr>
          <w:p w14:paraId="4201596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48CF1A0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4C259FE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7.2.5.2 Situate camp sites and shower units in a location which requires no additional tree clearance. </w:t>
            </w:r>
          </w:p>
        </w:tc>
        <w:tc>
          <w:tcPr>
            <w:tcW w:w="578" w:type="pct"/>
            <w:shd w:val="clear" w:color="auto" w:fill="FFFFFF" w:themeFill="background1"/>
          </w:tcPr>
          <w:p w14:paraId="5A7477A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411FED02" w14:textId="77777777" w:rsidR="00067079" w:rsidRPr="00A31BE0" w:rsidRDefault="00067079" w:rsidP="00C31A7B">
            <w:pPr>
              <w:jc w:val="center"/>
              <w:rPr>
                <w:rFonts w:ascii="Jacobs Chronos" w:hAnsi="Jacobs Chronos" w:cs="Jacobs Chronos"/>
                <w:sz w:val="16"/>
                <w:szCs w:val="16"/>
              </w:rPr>
            </w:pPr>
          </w:p>
        </w:tc>
      </w:tr>
      <w:tr w:rsidR="00067079" w:rsidRPr="00A31BE0" w14:paraId="25CB213E" w14:textId="77777777" w:rsidTr="00E81409">
        <w:trPr>
          <w:trHeight w:val="397"/>
        </w:trPr>
        <w:tc>
          <w:tcPr>
            <w:tcW w:w="741" w:type="pct"/>
          </w:tcPr>
          <w:p w14:paraId="679AA63C" w14:textId="77777777" w:rsidR="00067079" w:rsidRPr="00A31BE0" w:rsidRDefault="00067079" w:rsidP="00067079">
            <w:pPr>
              <w:rPr>
                <w:rFonts w:ascii="Jacobs Chronos" w:hAnsi="Jacobs Chronos" w:cs="Jacobs Chronos"/>
                <w:sz w:val="16"/>
                <w:szCs w:val="16"/>
              </w:rPr>
            </w:pPr>
          </w:p>
        </w:tc>
        <w:tc>
          <w:tcPr>
            <w:tcW w:w="392" w:type="pct"/>
          </w:tcPr>
          <w:p w14:paraId="32E84C1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22.23</w:t>
            </w:r>
          </w:p>
        </w:tc>
        <w:tc>
          <w:tcPr>
            <w:tcW w:w="2767" w:type="pct"/>
          </w:tcPr>
          <w:p w14:paraId="14BB590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a camp site and/or shower unit has been set up, is there evidence that it was located in an area that did not necessitate additional tree clearance?</w:t>
            </w:r>
          </w:p>
        </w:tc>
        <w:tc>
          <w:tcPr>
            <w:tcW w:w="578" w:type="pct"/>
            <w:shd w:val="clear" w:color="auto" w:fill="FFFFFF" w:themeFill="background1"/>
          </w:tcPr>
          <w:p w14:paraId="72526EF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BD, P</w:t>
            </w:r>
          </w:p>
        </w:tc>
        <w:tc>
          <w:tcPr>
            <w:tcW w:w="522" w:type="pct"/>
            <w:shd w:val="clear" w:color="auto" w:fill="FFFFFF" w:themeFill="background1"/>
          </w:tcPr>
          <w:p w14:paraId="5F785113" w14:textId="0B2CC47B" w:rsidR="00067079" w:rsidRPr="00A31BE0" w:rsidRDefault="00067079" w:rsidP="00C31A7B">
            <w:pPr>
              <w:jc w:val="center"/>
              <w:rPr>
                <w:rFonts w:ascii="Jacobs Chronos" w:hAnsi="Jacobs Chronos" w:cs="Jacobs Chronos"/>
                <w:sz w:val="16"/>
                <w:szCs w:val="16"/>
              </w:rPr>
            </w:pPr>
            <w:r>
              <w:rPr>
                <w:rFonts w:ascii="Jacobs Chronos" w:hAnsi="Jacobs Chronos" w:cs="Jacobs Chronos"/>
                <w:sz w:val="16"/>
                <w:szCs w:val="16"/>
              </w:rPr>
              <w:t>n/a</w:t>
            </w:r>
          </w:p>
        </w:tc>
      </w:tr>
      <w:tr w:rsidR="00067079" w:rsidRPr="00A31BE0" w14:paraId="5B5B3EFB" w14:textId="77777777" w:rsidTr="00E81409">
        <w:trPr>
          <w:trHeight w:val="397"/>
        </w:trPr>
        <w:tc>
          <w:tcPr>
            <w:tcW w:w="741" w:type="pct"/>
            <w:shd w:val="clear" w:color="auto" w:fill="FFF2CC"/>
          </w:tcPr>
          <w:p w14:paraId="7CC70B1B"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M</w:t>
            </w:r>
          </w:p>
        </w:tc>
        <w:tc>
          <w:tcPr>
            <w:tcW w:w="392" w:type="pct"/>
            <w:shd w:val="clear" w:color="auto" w:fill="FFF2CC"/>
          </w:tcPr>
          <w:p w14:paraId="7B0204D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FF2CC"/>
          </w:tcPr>
          <w:p w14:paraId="17818E72"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7.2.5.3 In the Thomson, Tarago and Yarra Tributaries, special water supply catchments serviced sanitary facilities must accompany any operation that is conducted on the land for any extended period. </w:t>
            </w:r>
          </w:p>
        </w:tc>
        <w:tc>
          <w:tcPr>
            <w:tcW w:w="578" w:type="pct"/>
            <w:shd w:val="clear" w:color="auto" w:fill="FFFFFF" w:themeFill="background1"/>
          </w:tcPr>
          <w:p w14:paraId="60425E24"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D2263CA" w14:textId="77777777" w:rsidR="00067079" w:rsidRPr="00A31BE0" w:rsidRDefault="00067079" w:rsidP="00C31A7B">
            <w:pPr>
              <w:jc w:val="center"/>
              <w:rPr>
                <w:rFonts w:ascii="Jacobs Chronos" w:hAnsi="Jacobs Chronos" w:cs="Jacobs Chronos"/>
                <w:sz w:val="16"/>
                <w:szCs w:val="16"/>
              </w:rPr>
            </w:pPr>
          </w:p>
        </w:tc>
      </w:tr>
      <w:tr w:rsidR="00067079" w:rsidRPr="00A31BE0" w14:paraId="65E21ABE" w14:textId="77777777" w:rsidTr="00E81409">
        <w:trPr>
          <w:trHeight w:val="397"/>
        </w:trPr>
        <w:tc>
          <w:tcPr>
            <w:tcW w:w="741" w:type="pct"/>
          </w:tcPr>
          <w:p w14:paraId="568C1419" w14:textId="77777777" w:rsidR="00067079" w:rsidRPr="00A31BE0" w:rsidRDefault="00067079" w:rsidP="00067079">
            <w:pPr>
              <w:rPr>
                <w:rFonts w:ascii="Jacobs Chronos" w:hAnsi="Jacobs Chronos" w:cs="Jacobs Chronos"/>
                <w:sz w:val="16"/>
                <w:szCs w:val="16"/>
              </w:rPr>
            </w:pPr>
          </w:p>
        </w:tc>
        <w:tc>
          <w:tcPr>
            <w:tcW w:w="392" w:type="pct"/>
          </w:tcPr>
          <w:p w14:paraId="56EBF90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22.24</w:t>
            </w:r>
          </w:p>
        </w:tc>
        <w:tc>
          <w:tcPr>
            <w:tcW w:w="2767" w:type="pct"/>
          </w:tcPr>
          <w:p w14:paraId="35BD0AE9"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If the coupe is located in the Thomson, Tarago and Yarra Tributaries special water supply catchments and harvesting is conducted for an extended period, have services sanitary facilities been provided?</w:t>
            </w:r>
          </w:p>
        </w:tc>
        <w:tc>
          <w:tcPr>
            <w:tcW w:w="578" w:type="pct"/>
            <w:shd w:val="clear" w:color="auto" w:fill="FFFFFF" w:themeFill="background1"/>
          </w:tcPr>
          <w:p w14:paraId="30585B2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P</w:t>
            </w:r>
          </w:p>
        </w:tc>
        <w:tc>
          <w:tcPr>
            <w:tcW w:w="522" w:type="pct"/>
            <w:shd w:val="clear" w:color="auto" w:fill="FFFFFF" w:themeFill="background1"/>
          </w:tcPr>
          <w:p w14:paraId="48AE683F"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20B596B3" w14:textId="77777777" w:rsidTr="00E81409">
        <w:trPr>
          <w:trHeight w:val="397"/>
        </w:trPr>
        <w:tc>
          <w:tcPr>
            <w:tcW w:w="741" w:type="pct"/>
            <w:shd w:val="clear" w:color="auto" w:fill="FCE4D6"/>
          </w:tcPr>
          <w:p w14:paraId="2E28CD68"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6E5CD536" w14:textId="77777777" w:rsidR="00067079" w:rsidRPr="00A31BE0" w:rsidRDefault="00067079" w:rsidP="00067079">
            <w:pPr>
              <w:rPr>
                <w:rFonts w:ascii="Jacobs Chronos" w:hAnsi="Jacobs Chronos" w:cs="Jacobs Chronos"/>
                <w:sz w:val="16"/>
                <w:szCs w:val="16"/>
              </w:rPr>
            </w:pPr>
          </w:p>
        </w:tc>
        <w:tc>
          <w:tcPr>
            <w:tcW w:w="2767" w:type="pct"/>
            <w:shd w:val="clear" w:color="auto" w:fill="FCE4D6"/>
          </w:tcPr>
          <w:p w14:paraId="7A6C6EE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2.5.2.4 Snigging and forwarding tracks must be placed at the greatest practicable distance from waterways without compromising operator safety.</w:t>
            </w:r>
          </w:p>
        </w:tc>
        <w:tc>
          <w:tcPr>
            <w:tcW w:w="578" w:type="pct"/>
            <w:shd w:val="clear" w:color="auto" w:fill="FFFFFF" w:themeFill="background1"/>
          </w:tcPr>
          <w:p w14:paraId="2CE8731C"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6C94BA22" w14:textId="77777777" w:rsidR="00067079" w:rsidRPr="00A31BE0" w:rsidRDefault="00067079" w:rsidP="00C31A7B">
            <w:pPr>
              <w:jc w:val="center"/>
              <w:rPr>
                <w:rFonts w:ascii="Jacobs Chronos" w:hAnsi="Jacobs Chronos" w:cs="Jacobs Chronos"/>
                <w:sz w:val="16"/>
                <w:szCs w:val="16"/>
              </w:rPr>
            </w:pPr>
          </w:p>
        </w:tc>
      </w:tr>
      <w:tr w:rsidR="00067079" w:rsidRPr="00A31BE0" w14:paraId="6E46C5B2" w14:textId="77777777" w:rsidTr="00E81409">
        <w:trPr>
          <w:trHeight w:val="397"/>
        </w:trPr>
        <w:tc>
          <w:tcPr>
            <w:tcW w:w="741" w:type="pct"/>
          </w:tcPr>
          <w:p w14:paraId="71631DAD" w14:textId="77777777" w:rsidR="00067079" w:rsidRPr="00A31BE0" w:rsidRDefault="00067079" w:rsidP="00067079">
            <w:pPr>
              <w:rPr>
                <w:rFonts w:ascii="Jacobs Chronos" w:hAnsi="Jacobs Chronos" w:cs="Jacobs Chronos"/>
                <w:sz w:val="16"/>
                <w:szCs w:val="16"/>
              </w:rPr>
            </w:pPr>
          </w:p>
        </w:tc>
        <w:tc>
          <w:tcPr>
            <w:tcW w:w="392" w:type="pct"/>
          </w:tcPr>
          <w:p w14:paraId="02766F16"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22.25</w:t>
            </w:r>
          </w:p>
        </w:tc>
        <w:tc>
          <w:tcPr>
            <w:tcW w:w="2767" w:type="pct"/>
          </w:tcPr>
          <w:p w14:paraId="14904E9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have snig or forwarding tracks been placed at the greatest practicable distance from waterways without compromising operator safety?</w:t>
            </w:r>
          </w:p>
        </w:tc>
        <w:tc>
          <w:tcPr>
            <w:tcW w:w="578" w:type="pct"/>
            <w:shd w:val="clear" w:color="auto" w:fill="FFFFFF" w:themeFill="background1"/>
          </w:tcPr>
          <w:p w14:paraId="7F231DF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w:t>
            </w:r>
          </w:p>
        </w:tc>
        <w:tc>
          <w:tcPr>
            <w:tcW w:w="522" w:type="pct"/>
            <w:shd w:val="clear" w:color="auto" w:fill="FFFFFF" w:themeFill="background1"/>
          </w:tcPr>
          <w:p w14:paraId="014279C9"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3E9E3EC4" w14:textId="77777777" w:rsidTr="00E81409">
        <w:trPr>
          <w:trHeight w:val="397"/>
        </w:trPr>
        <w:tc>
          <w:tcPr>
            <w:tcW w:w="741" w:type="pct"/>
            <w:shd w:val="clear" w:color="auto" w:fill="FCE4D6"/>
          </w:tcPr>
          <w:p w14:paraId="2C1B27EA"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C</w:t>
            </w:r>
          </w:p>
        </w:tc>
        <w:tc>
          <w:tcPr>
            <w:tcW w:w="392" w:type="pct"/>
            <w:shd w:val="clear" w:color="auto" w:fill="FCE4D6"/>
          </w:tcPr>
          <w:p w14:paraId="28D710C1"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 </w:t>
            </w:r>
          </w:p>
        </w:tc>
        <w:tc>
          <w:tcPr>
            <w:tcW w:w="2767" w:type="pct"/>
            <w:shd w:val="clear" w:color="auto" w:fill="FCE4D6"/>
          </w:tcPr>
          <w:p w14:paraId="5DAA804C"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2.5.2.5 Tracks must have effective drainage to prevent soil erosion. Cross-drains, where used, must be spaced and angled as appropriate to the soil erosion hazard, to disperse surface run-off and prevent discharge of turbid water into streams or drainage lines.</w:t>
            </w:r>
          </w:p>
        </w:tc>
        <w:tc>
          <w:tcPr>
            <w:tcW w:w="578" w:type="pct"/>
            <w:shd w:val="clear" w:color="auto" w:fill="FFFFFF" w:themeFill="background1"/>
          </w:tcPr>
          <w:p w14:paraId="7108C8AF" w14:textId="77777777" w:rsidR="00067079" w:rsidRPr="00A31BE0" w:rsidRDefault="00067079" w:rsidP="00067079">
            <w:pPr>
              <w:rPr>
                <w:rFonts w:ascii="Jacobs Chronos" w:hAnsi="Jacobs Chronos" w:cs="Jacobs Chronos"/>
                <w:sz w:val="16"/>
                <w:szCs w:val="16"/>
              </w:rPr>
            </w:pPr>
          </w:p>
        </w:tc>
        <w:tc>
          <w:tcPr>
            <w:tcW w:w="522" w:type="pct"/>
            <w:shd w:val="clear" w:color="auto" w:fill="FFFFFF" w:themeFill="background1"/>
          </w:tcPr>
          <w:p w14:paraId="7907E30C" w14:textId="77777777" w:rsidR="00067079" w:rsidRPr="00A31BE0" w:rsidRDefault="00067079" w:rsidP="00C31A7B">
            <w:pPr>
              <w:jc w:val="center"/>
              <w:rPr>
                <w:rFonts w:ascii="Jacobs Chronos" w:hAnsi="Jacobs Chronos" w:cs="Jacobs Chronos"/>
                <w:sz w:val="16"/>
                <w:szCs w:val="16"/>
              </w:rPr>
            </w:pPr>
          </w:p>
        </w:tc>
      </w:tr>
      <w:tr w:rsidR="00067079" w:rsidRPr="00A31BE0" w14:paraId="2B794439" w14:textId="77777777" w:rsidTr="00E81409">
        <w:trPr>
          <w:trHeight w:val="397"/>
        </w:trPr>
        <w:tc>
          <w:tcPr>
            <w:tcW w:w="741" w:type="pct"/>
          </w:tcPr>
          <w:p w14:paraId="57DAC556" w14:textId="77777777" w:rsidR="00067079" w:rsidRPr="00A31BE0" w:rsidRDefault="00067079" w:rsidP="00067079">
            <w:pPr>
              <w:rPr>
                <w:rFonts w:ascii="Jacobs Chronos" w:hAnsi="Jacobs Chronos" w:cs="Jacobs Chronos"/>
                <w:sz w:val="16"/>
                <w:szCs w:val="16"/>
              </w:rPr>
            </w:pPr>
          </w:p>
        </w:tc>
        <w:tc>
          <w:tcPr>
            <w:tcW w:w="392" w:type="pct"/>
          </w:tcPr>
          <w:p w14:paraId="7ED14FC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22.26</w:t>
            </w:r>
          </w:p>
        </w:tc>
        <w:tc>
          <w:tcPr>
            <w:tcW w:w="2767" w:type="pct"/>
          </w:tcPr>
          <w:p w14:paraId="3EEF6A5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Is snig track and boundary track drainage spacing consistent with soil erosion hazard and slope as per guidance in VicForests’ Utilisation Procedures?</w:t>
            </w:r>
          </w:p>
        </w:tc>
        <w:tc>
          <w:tcPr>
            <w:tcW w:w="578" w:type="pct"/>
            <w:shd w:val="clear" w:color="auto" w:fill="FFFFFF" w:themeFill="background1"/>
          </w:tcPr>
          <w:p w14:paraId="01CEDFED"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 xml:space="preserve">W, I </w:t>
            </w:r>
          </w:p>
        </w:tc>
        <w:tc>
          <w:tcPr>
            <w:tcW w:w="522" w:type="pct"/>
            <w:shd w:val="clear" w:color="auto" w:fill="FFFFFF" w:themeFill="background1"/>
          </w:tcPr>
          <w:p w14:paraId="78713E8B"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r w:rsidR="00067079" w:rsidRPr="00A31BE0" w14:paraId="5DAE61AA" w14:textId="77777777" w:rsidTr="00E81409">
        <w:trPr>
          <w:trHeight w:val="397"/>
        </w:trPr>
        <w:tc>
          <w:tcPr>
            <w:tcW w:w="741" w:type="pct"/>
          </w:tcPr>
          <w:p w14:paraId="663B147F" w14:textId="77777777" w:rsidR="00067079" w:rsidRPr="00A31BE0" w:rsidRDefault="00067079" w:rsidP="00067079">
            <w:pPr>
              <w:rPr>
                <w:rFonts w:ascii="Jacobs Chronos" w:hAnsi="Jacobs Chronos" w:cs="Jacobs Chronos"/>
                <w:sz w:val="16"/>
                <w:szCs w:val="16"/>
              </w:rPr>
            </w:pPr>
          </w:p>
        </w:tc>
        <w:tc>
          <w:tcPr>
            <w:tcW w:w="392" w:type="pct"/>
          </w:tcPr>
          <w:p w14:paraId="038E4B85"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22.27</w:t>
            </w:r>
          </w:p>
        </w:tc>
        <w:tc>
          <w:tcPr>
            <w:tcW w:w="2767" w:type="pct"/>
          </w:tcPr>
          <w:p w14:paraId="04F3D8B4"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ITAO has the snig track drainage been constructed to disperse surface run-off and prevent discharge of turbid water into streams?</w:t>
            </w:r>
          </w:p>
        </w:tc>
        <w:tc>
          <w:tcPr>
            <w:tcW w:w="578" w:type="pct"/>
            <w:shd w:val="clear" w:color="auto" w:fill="FFFFFF" w:themeFill="background1"/>
          </w:tcPr>
          <w:p w14:paraId="19CD2B63" w14:textId="77777777" w:rsidR="00067079" w:rsidRPr="00A31BE0" w:rsidRDefault="00067079" w:rsidP="00067079">
            <w:pPr>
              <w:rPr>
                <w:rFonts w:ascii="Jacobs Chronos" w:hAnsi="Jacobs Chronos" w:cs="Jacobs Chronos"/>
                <w:sz w:val="16"/>
                <w:szCs w:val="16"/>
              </w:rPr>
            </w:pPr>
            <w:r w:rsidRPr="00A31BE0">
              <w:rPr>
                <w:rFonts w:ascii="Jacobs Chronos" w:hAnsi="Jacobs Chronos" w:cs="Jacobs Chronos"/>
                <w:sz w:val="16"/>
                <w:szCs w:val="16"/>
              </w:rPr>
              <w:t>W, I</w:t>
            </w:r>
          </w:p>
        </w:tc>
        <w:tc>
          <w:tcPr>
            <w:tcW w:w="522" w:type="pct"/>
            <w:shd w:val="clear" w:color="auto" w:fill="FFFFFF" w:themeFill="background1"/>
          </w:tcPr>
          <w:p w14:paraId="6F063F11" w14:textId="77777777" w:rsidR="00067079" w:rsidRPr="00A31BE0" w:rsidRDefault="00067079" w:rsidP="00C31A7B">
            <w:pPr>
              <w:jc w:val="center"/>
              <w:rPr>
                <w:rFonts w:ascii="Jacobs Chronos" w:hAnsi="Jacobs Chronos" w:cs="Jacobs Chronos"/>
                <w:sz w:val="16"/>
                <w:szCs w:val="16"/>
              </w:rPr>
            </w:pPr>
            <w:r w:rsidRPr="00A31BE0">
              <w:rPr>
                <w:rFonts w:ascii="Jacobs Chronos" w:hAnsi="Jacobs Chronos" w:cs="Jacobs Chronos"/>
                <w:sz w:val="16"/>
                <w:szCs w:val="16"/>
              </w:rPr>
              <w:t>100</w:t>
            </w:r>
          </w:p>
        </w:tc>
      </w:tr>
    </w:tbl>
    <w:p w14:paraId="1248A523" w14:textId="77777777" w:rsidR="003D71CE" w:rsidRDefault="003D71CE" w:rsidP="00151F2C">
      <w:pPr>
        <w:pStyle w:val="BodyText"/>
        <w:rPr>
          <w:rFonts w:eastAsiaTheme="majorEastAsia" w:cstheme="majorBidi"/>
          <w:b/>
          <w:iCs/>
          <w:sz w:val="22"/>
        </w:rPr>
      </w:pPr>
    </w:p>
    <w:p w14:paraId="6B91B7B0" w14:textId="0E48AE5E" w:rsidR="009657F8" w:rsidRDefault="00D04C28" w:rsidP="00D04C28">
      <w:pPr>
        <w:pStyle w:val="Heading9"/>
      </w:pPr>
      <w:bookmarkStart w:id="228" w:name="_Ref120089846"/>
      <w:bookmarkStart w:id="229" w:name="_Toc131178729"/>
      <w:r>
        <w:lastRenderedPageBreak/>
        <w:t>Environment impact assessment tool</w:t>
      </w:r>
      <w:bookmarkEnd w:id="228"/>
      <w:bookmarkEnd w:id="229"/>
    </w:p>
    <w:p w14:paraId="34799DD4" w14:textId="77777777" w:rsidR="00D04DB0" w:rsidRDefault="005606A0" w:rsidP="005606A0">
      <w:pPr>
        <w:pStyle w:val="BodyText"/>
      </w:pPr>
      <w:r>
        <w:t xml:space="preserve">The assessment of risk of harm to the environment resulting from any instance of non-conformance with the regulatory framework for timber harvesting is assessed using an environmental impact assessment (EIA) tool, as described below. </w:t>
      </w:r>
      <w:r w:rsidR="006166D9">
        <w:t xml:space="preserve">Additional descriptors for waterway crossings were included in the scoring scheme to better </w:t>
      </w:r>
      <w:r w:rsidR="00BF522B">
        <w:t xml:space="preserve">align the EIA score with the actual level of environmental impact. </w:t>
      </w:r>
      <w:r w:rsidR="005B75CF">
        <w:t>Revisions to the EIA scoring scheme were agreed with THCU</w:t>
      </w:r>
      <w:r w:rsidR="00D04DB0">
        <w:t xml:space="preserve"> prior to use in preparing the final audit report. </w:t>
      </w:r>
    </w:p>
    <w:p w14:paraId="02DD7DC7" w14:textId="5858D950" w:rsidR="005606A0" w:rsidRDefault="00BF522B" w:rsidP="005606A0">
      <w:pPr>
        <w:pStyle w:val="BodyText"/>
      </w:pPr>
      <w:r>
        <w:t xml:space="preserve">New descriptor text is </w:t>
      </w:r>
      <w:r w:rsidR="00D04DB0">
        <w:t xml:space="preserve">given in red in </w:t>
      </w:r>
      <w:r w:rsidR="00975B18">
        <w:fldChar w:fldCharType="begin"/>
      </w:r>
      <w:r w:rsidR="00975B18">
        <w:instrText xml:space="preserve"> REF _Ref130795985 \h </w:instrText>
      </w:r>
      <w:r w:rsidR="00975B18">
        <w:fldChar w:fldCharType="separate"/>
      </w:r>
      <w:r w:rsidR="00130DCF" w:rsidRPr="00B85F18">
        <w:t>Table</w:t>
      </w:r>
      <w:r w:rsidR="00130DCF">
        <w:t> </w:t>
      </w:r>
      <w:r w:rsidR="00130DCF">
        <w:rPr>
          <w:noProof/>
        </w:rPr>
        <w:t>B-1</w:t>
      </w:r>
      <w:r w:rsidR="00975B18">
        <w:fldChar w:fldCharType="end"/>
      </w:r>
      <w:r w:rsidR="008D4593">
        <w:t>.</w:t>
      </w:r>
    </w:p>
    <w:p w14:paraId="062EF0B8" w14:textId="3230B578" w:rsidR="005606A0" w:rsidRDefault="005606A0" w:rsidP="005606A0">
      <w:pPr>
        <w:pStyle w:val="AppendixHeading2"/>
      </w:pPr>
      <w:bookmarkStart w:id="230" w:name="_Toc131178730"/>
      <w:r>
        <w:t>Extent and location of impact</w:t>
      </w:r>
      <w:bookmarkEnd w:id="230"/>
    </w:p>
    <w:p w14:paraId="1DE09E73" w14:textId="5A653020" w:rsidR="00D04C28" w:rsidRDefault="005606A0" w:rsidP="005606A0">
      <w:pPr>
        <w:pStyle w:val="BodyText"/>
      </w:pPr>
      <w:r>
        <w:t>The first criterion (Table B</w:t>
      </w:r>
      <w:r w:rsidR="00821175">
        <w:t>-</w:t>
      </w:r>
      <w:r>
        <w:t>1) considers the extent and location of the potential impact resulting from a non-compliance incident.</w:t>
      </w:r>
    </w:p>
    <w:p w14:paraId="6DD2F3EA" w14:textId="40F2327A" w:rsidR="00EF28E5" w:rsidRDefault="00975B18" w:rsidP="00975B18">
      <w:pPr>
        <w:pStyle w:val="TableCaption"/>
      </w:pPr>
      <w:bookmarkStart w:id="231" w:name="_Toc131178745"/>
      <w:bookmarkStart w:id="232" w:name="_Ref130795985"/>
      <w:r w:rsidRPr="00B85F18">
        <w:t>Table</w:t>
      </w:r>
      <w:r>
        <w:t> </w:t>
      </w:r>
      <w:fldSimple w:instr=" STYLEREF &quot;Appendix Heading 1&quot; \s ">
        <w:r w:rsidR="00130DCF">
          <w:rPr>
            <w:noProof/>
          </w:rPr>
          <w:t>B</w:t>
        </w:r>
      </w:fldSimple>
      <w:r>
        <w:rPr>
          <w:noProof/>
        </w:rPr>
        <w:t>-</w:t>
      </w:r>
      <w:fldSimple w:instr=" SEQ Table \* ARABIC \s 9 ">
        <w:r w:rsidR="00130DCF">
          <w:rPr>
            <w:noProof/>
          </w:rPr>
          <w:t>1</w:t>
        </w:r>
        <w:bookmarkEnd w:id="231"/>
      </w:fldSimple>
      <w:bookmarkEnd w:id="232"/>
      <w:r w:rsidRPr="00B85F18">
        <w:t xml:space="preserve"> </w:t>
      </w:r>
      <w:bookmarkStart w:id="233" w:name="_Toc131178746"/>
      <w:r w:rsidR="005606A0" w:rsidRPr="005606A0">
        <w:t>Extent and location of impact assessment criteria and scoring</w:t>
      </w:r>
      <w:bookmarkEnd w:id="233"/>
    </w:p>
    <w:tbl>
      <w:tblPr>
        <w:tblStyle w:val="JacobsTable1accentprimarythemes"/>
        <w:tblW w:w="0" w:type="auto"/>
        <w:tblLook w:val="04A0" w:firstRow="1" w:lastRow="0" w:firstColumn="1" w:lastColumn="0" w:noHBand="0" w:noVBand="1"/>
      </w:tblPr>
      <w:tblGrid>
        <w:gridCol w:w="8505"/>
        <w:gridCol w:w="1133"/>
      </w:tblGrid>
      <w:tr w:rsidR="00821175" w14:paraId="256DB6C6" w14:textId="77777777" w:rsidTr="00821175">
        <w:trPr>
          <w:cnfStyle w:val="100000000000" w:firstRow="1" w:lastRow="0" w:firstColumn="0" w:lastColumn="0" w:oddVBand="0" w:evenVBand="0" w:oddHBand="0" w:evenHBand="0" w:firstRowFirstColumn="0" w:firstRowLastColumn="0" w:lastRowFirstColumn="0" w:lastRowLastColumn="0"/>
        </w:trPr>
        <w:tc>
          <w:tcPr>
            <w:tcW w:w="8505" w:type="dxa"/>
          </w:tcPr>
          <w:p w14:paraId="69D2847D" w14:textId="77777777" w:rsidR="00821175" w:rsidRDefault="00821175" w:rsidP="00821175">
            <w:pPr>
              <w:pStyle w:val="TableText"/>
            </w:pPr>
          </w:p>
        </w:tc>
        <w:tc>
          <w:tcPr>
            <w:tcW w:w="1133" w:type="dxa"/>
          </w:tcPr>
          <w:p w14:paraId="4C3196A9" w14:textId="56F41D17" w:rsidR="00821175" w:rsidRDefault="00821175" w:rsidP="00821175">
            <w:pPr>
              <w:pStyle w:val="TableText"/>
              <w:jc w:val="center"/>
            </w:pPr>
            <w:r>
              <w:t>Score</w:t>
            </w:r>
          </w:p>
        </w:tc>
      </w:tr>
      <w:tr w:rsidR="00821175" w14:paraId="2D74B313" w14:textId="77777777" w:rsidTr="00821175">
        <w:tc>
          <w:tcPr>
            <w:tcW w:w="8505" w:type="dxa"/>
          </w:tcPr>
          <w:p w14:paraId="7CA4486D" w14:textId="77777777" w:rsidR="00821175" w:rsidRDefault="00821175" w:rsidP="00821175">
            <w:pPr>
              <w:pStyle w:val="TableText"/>
            </w:pPr>
            <w:r>
              <w:t xml:space="preserve">Non-conformance leading to impact on general harvest area affects 0-10% marked (net) coupe area. </w:t>
            </w:r>
          </w:p>
          <w:p w14:paraId="457B848B" w14:textId="77777777" w:rsidR="00821175" w:rsidRDefault="00821175" w:rsidP="00821175">
            <w:pPr>
              <w:pStyle w:val="TableText"/>
            </w:pPr>
            <w:r>
              <w:t xml:space="preserve">≤25/25/20 m total length of ICR in excess of permitted effective drainage spacings (for low/mod/high soil erosion hazard; SEH). &lt;30/20/10 m total length of assessed ST or BT (for low/mod/high SEH) in excess of permitted drainage spacing for slopes up to 11° and 20/15/10 m for slopes &gt;11°. </w:t>
            </w:r>
          </w:p>
          <w:p w14:paraId="7D099A8D" w14:textId="2E98A795" w:rsidR="00821175" w:rsidRDefault="00821175" w:rsidP="00821175">
            <w:pPr>
              <w:pStyle w:val="TableText"/>
            </w:pPr>
            <w:r>
              <w:t>Small section (≤20 m) of in-coupe road or landing embankment that is well-removed (&gt;100 m) from a waterway showing signs of failure/mass movement. ≤5 trees that are retained following harvest with bases partly/fully covered by in-coupe road or landing embankment.</w:t>
            </w:r>
            <w:r>
              <w:tab/>
              <w:t>1</w:t>
            </w:r>
          </w:p>
        </w:tc>
        <w:tc>
          <w:tcPr>
            <w:tcW w:w="1133" w:type="dxa"/>
          </w:tcPr>
          <w:p w14:paraId="747AFE24" w14:textId="3161C5DD" w:rsidR="00821175" w:rsidRDefault="00821175" w:rsidP="00821175">
            <w:pPr>
              <w:pStyle w:val="TableText"/>
              <w:jc w:val="center"/>
            </w:pPr>
            <w:r>
              <w:t>1</w:t>
            </w:r>
          </w:p>
        </w:tc>
      </w:tr>
      <w:tr w:rsidR="00821175" w14:paraId="3B0AF66F" w14:textId="77777777" w:rsidTr="00821175">
        <w:tc>
          <w:tcPr>
            <w:tcW w:w="8505" w:type="dxa"/>
          </w:tcPr>
          <w:p w14:paraId="350EC6C6" w14:textId="77777777" w:rsidR="00821175" w:rsidRDefault="00821175" w:rsidP="00821175">
            <w:pPr>
              <w:pStyle w:val="TableText"/>
            </w:pPr>
            <w:r>
              <w:t>Non-conformance leading to impact on general harvest area affects 11-25% marked coupe.</w:t>
            </w:r>
          </w:p>
          <w:p w14:paraId="12EC738C" w14:textId="77777777" w:rsidR="00821175" w:rsidRDefault="00821175" w:rsidP="00821175">
            <w:pPr>
              <w:pStyle w:val="TableText"/>
            </w:pPr>
            <w:r>
              <w:t>26-50/26-45/20-40 m total length of ICR in excess of permitted drainage spacings (for low/mod/high SEH). 31-60/21-30/11-20 m total length of assessed ST or BT (for low/mod/high SEH) in excess of permitted drainage spacing for slopes up to 11° and 21-40/16-30/11-20 m for slopes &gt;11°. Following completion of harvesting and regeneration, landing and adjacent compacted areas have not been effectively rehabilitated to provide suitable conditions for regeneration.</w:t>
            </w:r>
          </w:p>
          <w:p w14:paraId="14197EA1" w14:textId="77777777" w:rsidR="00821175" w:rsidRDefault="00821175" w:rsidP="00821175">
            <w:pPr>
              <w:pStyle w:val="TableText"/>
            </w:pPr>
            <w:r>
              <w:t>Section of in-coupe road or landing embankment &gt;20 m that is well-removed (&gt;100 m) from a waterway showing signs of failure/mass movement. Shorter section of embankment within 100 m of a waterway with signs failure/mass movement or having failed. &gt;5 trees that are retained following harvest with bases partly/fully covered by in-coupe road or landing embankment.</w:t>
            </w:r>
          </w:p>
          <w:p w14:paraId="311BA5E1" w14:textId="77777777" w:rsidR="00821175" w:rsidRDefault="00821175" w:rsidP="00821175">
            <w:pPr>
              <w:pStyle w:val="TableText"/>
            </w:pPr>
            <w:r>
              <w:t>Landing and surrounding areas that have been compacted by machinery traffic have not been rehabilitated in a way that provides suitable conditions for regeneration.</w:t>
            </w:r>
          </w:p>
          <w:p w14:paraId="247F8996" w14:textId="1A9B81BA" w:rsidR="00821175" w:rsidRDefault="00821175" w:rsidP="00821175">
            <w:pPr>
              <w:pStyle w:val="TableText"/>
            </w:pPr>
            <w:r>
              <w:t>Single/localised and low impact incidence(s) of unplanned/unauthorised disturbance within drainage line filter (or buffer) area (e.g., entry of harvesting machine) affecting &lt;10% of filter area.</w:t>
            </w:r>
          </w:p>
        </w:tc>
        <w:tc>
          <w:tcPr>
            <w:tcW w:w="1133" w:type="dxa"/>
          </w:tcPr>
          <w:p w14:paraId="4BCE0E64" w14:textId="0EF074BF" w:rsidR="00821175" w:rsidRDefault="00821175" w:rsidP="00821175">
            <w:pPr>
              <w:pStyle w:val="TableText"/>
              <w:jc w:val="center"/>
            </w:pPr>
            <w:r>
              <w:t>2</w:t>
            </w:r>
          </w:p>
        </w:tc>
      </w:tr>
      <w:tr w:rsidR="00821175" w14:paraId="3ADBFAFF" w14:textId="77777777" w:rsidTr="00821175">
        <w:tc>
          <w:tcPr>
            <w:tcW w:w="8505" w:type="dxa"/>
          </w:tcPr>
          <w:p w14:paraId="146AF68A" w14:textId="77777777" w:rsidR="00821175" w:rsidRDefault="00821175" w:rsidP="00821175">
            <w:pPr>
              <w:pStyle w:val="TableText"/>
            </w:pPr>
            <w:r>
              <w:t xml:space="preserve">Non-conformance leading to impact on general harvest area affects 26-50% marked coupe. </w:t>
            </w:r>
          </w:p>
          <w:p w14:paraId="6680BDF5" w14:textId="77777777" w:rsidR="00821175" w:rsidRDefault="00821175" w:rsidP="00821175">
            <w:pPr>
              <w:pStyle w:val="TableText"/>
            </w:pPr>
            <w:r>
              <w:t xml:space="preserve">51-100/46-90/41-80 m total length of ICR in excess of permitted drainage spacings (for low/mod/high SEH). 61-90/41-60/21-30 m total length of assessed ST or BT (for low/mod/high SEH) in excess of permitted drainage spacing for slopes up to 11° and 41-60/31-45/21-30 m for slopes &gt;11°. </w:t>
            </w:r>
          </w:p>
          <w:p w14:paraId="74045830" w14:textId="77777777" w:rsidR="00821175" w:rsidRDefault="00821175" w:rsidP="00821175">
            <w:pPr>
              <w:pStyle w:val="TableText"/>
            </w:pPr>
            <w:r>
              <w:t>Section of in-coupe road or landing embankment &gt;20 m that is within 100 m of a waterway showing signs of failure/mass movement or having failed.</w:t>
            </w:r>
          </w:p>
          <w:p w14:paraId="752D5C37" w14:textId="05F9B4A4" w:rsidR="00821175" w:rsidRDefault="00821175" w:rsidP="00821175">
            <w:pPr>
              <w:pStyle w:val="TableText"/>
            </w:pPr>
            <w:r>
              <w:t>Single/localised and high impact incidence(s) of unplanned/unauthorised disturbance within drainage line filter (or buffer) area (e.g., entry of harvesting machine) affecting &lt;10% of filter area or low impact disturbance affecting much of a small drainage line filter. Localised (&lt;10% of filter or buffer area) and low impact unplanned/unauthorised disturbance to temporary stream filter or buffer (e.g., single entry of harvesting machine, escape of regeneration burn).</w:t>
            </w:r>
            <w:r w:rsidR="008D4593">
              <w:t xml:space="preserve"> </w:t>
            </w:r>
            <w:r w:rsidR="008D4593" w:rsidRPr="00C31A7B">
              <w:rPr>
                <w:color w:val="FF0000"/>
              </w:rPr>
              <w:t>Non-compliant waterway crossing on temporary stream, low impact with minimal deposited sediment present with 2 m of crossing.</w:t>
            </w:r>
          </w:p>
        </w:tc>
        <w:tc>
          <w:tcPr>
            <w:tcW w:w="1133" w:type="dxa"/>
          </w:tcPr>
          <w:p w14:paraId="6837AC5B" w14:textId="39BB8579" w:rsidR="00821175" w:rsidRDefault="00821175" w:rsidP="00821175">
            <w:pPr>
              <w:pStyle w:val="TableText"/>
              <w:jc w:val="center"/>
            </w:pPr>
            <w:r>
              <w:t>3</w:t>
            </w:r>
          </w:p>
        </w:tc>
      </w:tr>
      <w:tr w:rsidR="00821175" w14:paraId="634D9B50" w14:textId="77777777" w:rsidTr="00821175">
        <w:tc>
          <w:tcPr>
            <w:tcW w:w="8505" w:type="dxa"/>
          </w:tcPr>
          <w:p w14:paraId="5D210523" w14:textId="77777777" w:rsidR="00821175" w:rsidRDefault="00821175" w:rsidP="00821175">
            <w:pPr>
              <w:pStyle w:val="TableText"/>
            </w:pPr>
            <w:r>
              <w:t>Non-conformance leading to impact on general harvest area affects &gt;50% marked coupe. Retained overstorey and/or understory habitat and/or basal area within marked coupe does not meet minimum requirements of MSPs or coupe plan.</w:t>
            </w:r>
          </w:p>
          <w:p w14:paraId="56CEF77D" w14:textId="77777777" w:rsidR="00821175" w:rsidRDefault="00821175" w:rsidP="00821175">
            <w:pPr>
              <w:pStyle w:val="TableText"/>
            </w:pPr>
            <w:r>
              <w:t xml:space="preserve">101-200/91-175/81-155 m total length of ICR in excess of permitted drainage spacings (for low/mod/high SEH). 91-120/61-80/31-40 m total length of assessed ST or BT (for low/mod/high SEH) in excess of permitted drainage spacing for slopes up to 11° and 61-80/46-60/31-40 m for slopes &gt;11°. </w:t>
            </w:r>
          </w:p>
          <w:p w14:paraId="5CF96634" w14:textId="4E7E498E" w:rsidR="00821175" w:rsidRDefault="00821175" w:rsidP="00821175">
            <w:pPr>
              <w:pStyle w:val="TableText"/>
            </w:pPr>
            <w:r>
              <w:t xml:space="preserve">Multiple and/or widespread (&gt;10% of filter area) unplanned/unauthorised disturbance within drainage line filter or buffer area. Localised (&lt;10% of filter or buffer area) but high impact unplanned/unauthorised disturbance to temporary stream filter or buffer (e.g., single entry of harvesting machine, escape of </w:t>
            </w:r>
            <w:r>
              <w:lastRenderedPageBreak/>
              <w:t>regeneration burn). Localised and low impact unplanned/unauthorised disturbance of permanent stream buffer.</w:t>
            </w:r>
          </w:p>
          <w:p w14:paraId="20D78DC6" w14:textId="3F156156" w:rsidR="00821175" w:rsidRDefault="008554A2" w:rsidP="00821175">
            <w:pPr>
              <w:pStyle w:val="TableText"/>
            </w:pPr>
            <w:r w:rsidRPr="00C31A7B">
              <w:rPr>
                <w:color w:val="FF0000"/>
              </w:rPr>
              <w:t>Non-compliant waterway crossing on temporary stream with sediment deposition present but contained within 10 m of the crossing. Outlet of culvert on temporary stream elevated above downstream bed. Non-compliant waterway crossing on permanent stream, low impact with minimal sediment present within 2 m of the crossing.</w:t>
            </w:r>
          </w:p>
        </w:tc>
        <w:tc>
          <w:tcPr>
            <w:tcW w:w="1133" w:type="dxa"/>
          </w:tcPr>
          <w:p w14:paraId="08669ACF" w14:textId="69FC54BC" w:rsidR="00821175" w:rsidRDefault="00821175" w:rsidP="00821175">
            <w:pPr>
              <w:pStyle w:val="TableText"/>
              <w:jc w:val="center"/>
            </w:pPr>
            <w:r>
              <w:lastRenderedPageBreak/>
              <w:t>4</w:t>
            </w:r>
          </w:p>
        </w:tc>
      </w:tr>
      <w:tr w:rsidR="00821175" w14:paraId="4A4C6F58" w14:textId="77777777" w:rsidTr="00821175">
        <w:tc>
          <w:tcPr>
            <w:tcW w:w="8505" w:type="dxa"/>
          </w:tcPr>
          <w:p w14:paraId="4D42A16C" w14:textId="77777777" w:rsidR="00821175" w:rsidRDefault="00821175" w:rsidP="00821175">
            <w:pPr>
              <w:pStyle w:val="TableText"/>
            </w:pPr>
            <w:r>
              <w:t xml:space="preserve">&gt;200/&gt;175/&gt;155 m total length of ICR in excess of permitted drainage spacings (for low/mod/high SEH). &gt;120/80/40 m total length of assessed ST or BT (for low/mod/high SEH) in excess of permitted drainage spacing for slopes up to 11° and 80/60/40 m for slopes &gt;11°. </w:t>
            </w:r>
          </w:p>
          <w:p w14:paraId="103791FE" w14:textId="60483DF8" w:rsidR="00821175" w:rsidRDefault="00821175" w:rsidP="00821175">
            <w:pPr>
              <w:pStyle w:val="TableText"/>
            </w:pPr>
            <w:r>
              <w:t>Multiple and/or widespread (&gt;10% of filter area) unplanned/unauthorised disturbance within temporary stream filter or buffer area. Localised (&lt;10% of buffer area) but high impact unplanned/unauthorised disturbance to permanent stream buffer (e.g., single entry of harvesting machine, escape of regeneration burn).</w:t>
            </w:r>
          </w:p>
          <w:p w14:paraId="3EE86403" w14:textId="2CB96AF0" w:rsidR="00821175" w:rsidRDefault="00821175" w:rsidP="00821175">
            <w:pPr>
              <w:pStyle w:val="TableText"/>
            </w:pPr>
            <w:r>
              <w:t xml:space="preserve">Low impact disturbance (including regeneration burn escape with minimal effect on understorey and little/no canopy scorch) to or harvesting of small area within gross coupe area that should have been excluded from harvesting (e.g., threatened species habitat, rainforest stand and/or rainforest stand buffer, SPZ). Incursion extends ≤10m into and affects no more than 10% of exclusion area.  </w:t>
            </w:r>
          </w:p>
          <w:p w14:paraId="18837F6A" w14:textId="71B8ED82" w:rsidR="00821175" w:rsidRDefault="003C0A27" w:rsidP="00821175">
            <w:pPr>
              <w:pStyle w:val="TableText"/>
            </w:pPr>
            <w:r w:rsidRPr="00C31A7B">
              <w:rPr>
                <w:color w:val="FF0000"/>
              </w:rPr>
              <w:t>Non-compliant waterway crossing on temporary stream with sediment movement extending significantly beyond 10 m from the crossing. Non-compliant waterway crossing disturbs permanent stream, sediment present but contained within 10 m of the crossing.</w:t>
            </w:r>
          </w:p>
        </w:tc>
        <w:tc>
          <w:tcPr>
            <w:tcW w:w="1133" w:type="dxa"/>
          </w:tcPr>
          <w:p w14:paraId="07BBCA4C" w14:textId="104BB213" w:rsidR="00821175" w:rsidRDefault="00821175" w:rsidP="00821175">
            <w:pPr>
              <w:pStyle w:val="TableText"/>
              <w:jc w:val="center"/>
            </w:pPr>
            <w:r>
              <w:t>5</w:t>
            </w:r>
          </w:p>
        </w:tc>
      </w:tr>
      <w:tr w:rsidR="00821175" w14:paraId="5C60A66C" w14:textId="77777777" w:rsidTr="00821175">
        <w:tc>
          <w:tcPr>
            <w:tcW w:w="8505" w:type="dxa"/>
          </w:tcPr>
          <w:p w14:paraId="0D207380" w14:textId="6534915C" w:rsidR="00821175" w:rsidRDefault="00821175" w:rsidP="00821175">
            <w:pPr>
              <w:pStyle w:val="TableText"/>
            </w:pPr>
            <w:r>
              <w:t>Multiple and/or widespread (&gt;10% of buffer area) unplanned/unauthorised disturbance to permanent stream buffer (e.g., single entry of harvesting machine, escape of regeneration burn).</w:t>
            </w:r>
          </w:p>
          <w:p w14:paraId="30FBA53B" w14:textId="0B84155F" w:rsidR="00821175" w:rsidRDefault="00821175" w:rsidP="00821175">
            <w:pPr>
              <w:pStyle w:val="TableText"/>
            </w:pPr>
            <w:r>
              <w:t>High impact disturbance (including regeneration burn escape, with significant impact on understory vegetation and significant canopy scorch) to or harvesting up to 100 m into area within gross coupe area that should have been excluded from harvesting (e.g., threatened species habitat, rainforest stand/rainforest stand buffer, SPZ). Incursion affects no more than 50% of exclusion area. Low impact harvesting related disturbance that extends &lt;10 m beyond gross coupe boundary.</w:t>
            </w:r>
          </w:p>
          <w:p w14:paraId="30A60EBF" w14:textId="72A2D14A" w:rsidR="00821175" w:rsidRDefault="00821175" w:rsidP="00821175">
            <w:pPr>
              <w:pStyle w:val="TableText"/>
            </w:pPr>
            <w:r>
              <w:t xml:space="preserve">Non-compliant waterway crossing disturbs permanent stream, with sediment extending beyond 10 m from the crossing. Non-compliant waterway crossing </w:t>
            </w:r>
            <w:r w:rsidR="003C0A27" w:rsidRPr="00C31A7B">
              <w:rPr>
                <w:color w:val="FF0000"/>
              </w:rPr>
              <w:t xml:space="preserve">on a permanent stream </w:t>
            </w:r>
            <w:r>
              <w:t>does not allow passage of aquatic fauna.</w:t>
            </w:r>
          </w:p>
        </w:tc>
        <w:tc>
          <w:tcPr>
            <w:tcW w:w="1133" w:type="dxa"/>
          </w:tcPr>
          <w:p w14:paraId="6D90858F" w14:textId="42FB4D75" w:rsidR="00821175" w:rsidRDefault="00821175" w:rsidP="00821175">
            <w:pPr>
              <w:pStyle w:val="TableText"/>
              <w:jc w:val="center"/>
            </w:pPr>
            <w:r>
              <w:t>6</w:t>
            </w:r>
          </w:p>
        </w:tc>
      </w:tr>
      <w:tr w:rsidR="00821175" w14:paraId="2E7C8DB2" w14:textId="77777777" w:rsidTr="00821175">
        <w:tc>
          <w:tcPr>
            <w:tcW w:w="8505" w:type="dxa"/>
          </w:tcPr>
          <w:p w14:paraId="12B2D320" w14:textId="4FD3CD9E" w:rsidR="00821175" w:rsidRDefault="00821175" w:rsidP="00821175">
            <w:pPr>
              <w:pStyle w:val="TableText"/>
            </w:pPr>
            <w:r w:rsidRPr="00821175">
              <w:t>Impact involves high impact disturbance or harvesting within gross coupe area that extends &gt;100 m into an area that should have been excluded from harvesting (e.g.</w:t>
            </w:r>
            <w:r>
              <w:t>,</w:t>
            </w:r>
            <w:r w:rsidRPr="00821175">
              <w:t xml:space="preserve"> threatened species habitat, rainforest stand/rainforest stand buffer, SPZ). Incursion affects &gt;50% of exclusion area. High impact disturbance that extends beyond the gross coupe boundary into an area which should not have been harvested or affected by harvesting activities.</w:t>
            </w:r>
          </w:p>
        </w:tc>
        <w:tc>
          <w:tcPr>
            <w:tcW w:w="1133" w:type="dxa"/>
          </w:tcPr>
          <w:p w14:paraId="715A4100" w14:textId="3DD75114" w:rsidR="00821175" w:rsidRDefault="00821175" w:rsidP="00821175">
            <w:pPr>
              <w:pStyle w:val="TableText"/>
              <w:jc w:val="center"/>
            </w:pPr>
            <w:r>
              <w:t>7</w:t>
            </w:r>
          </w:p>
        </w:tc>
      </w:tr>
    </w:tbl>
    <w:p w14:paraId="3F2394AC" w14:textId="4261265B" w:rsidR="00821175" w:rsidRDefault="00821175" w:rsidP="00821175">
      <w:pPr>
        <w:pStyle w:val="AppendixHeading2"/>
      </w:pPr>
      <w:bookmarkStart w:id="234" w:name="_Toc131178731"/>
      <w:r>
        <w:t>Extent and duration of recovery</w:t>
      </w:r>
      <w:bookmarkEnd w:id="234"/>
    </w:p>
    <w:p w14:paraId="530B605A" w14:textId="78E02DC1" w:rsidR="00821175" w:rsidRDefault="00821175" w:rsidP="00821175">
      <w:pPr>
        <w:pStyle w:val="BodyText"/>
      </w:pPr>
      <w:r>
        <w:t>The second criterion considers the expected duration of impact and its likelihood of recovery, as per Table B-2.</w:t>
      </w:r>
    </w:p>
    <w:p w14:paraId="767C3CAD" w14:textId="138F1CF2" w:rsidR="00821175" w:rsidRDefault="00821175" w:rsidP="00821175">
      <w:pPr>
        <w:pStyle w:val="TableCaption"/>
      </w:pPr>
      <w:bookmarkStart w:id="235" w:name="_Toc131178747"/>
      <w:r>
        <w:t>Table B-2. Assessment of the duration and extent of recovery</w:t>
      </w:r>
      <w:bookmarkEnd w:id="235"/>
    </w:p>
    <w:tbl>
      <w:tblPr>
        <w:tblStyle w:val="JacobsTable1accentprimarythemes"/>
        <w:tblW w:w="0" w:type="auto"/>
        <w:tblLook w:val="04A0" w:firstRow="1" w:lastRow="0" w:firstColumn="1" w:lastColumn="0" w:noHBand="0" w:noVBand="1"/>
      </w:tblPr>
      <w:tblGrid>
        <w:gridCol w:w="8505"/>
        <w:gridCol w:w="1133"/>
      </w:tblGrid>
      <w:tr w:rsidR="00821175" w:rsidRPr="00821175" w14:paraId="3ABF1A1B" w14:textId="77777777" w:rsidTr="00821175">
        <w:trPr>
          <w:cnfStyle w:val="100000000000" w:firstRow="1" w:lastRow="0" w:firstColumn="0" w:lastColumn="0" w:oddVBand="0" w:evenVBand="0" w:oddHBand="0" w:evenHBand="0" w:firstRowFirstColumn="0" w:firstRowLastColumn="0" w:lastRowFirstColumn="0" w:lastRowLastColumn="0"/>
        </w:trPr>
        <w:tc>
          <w:tcPr>
            <w:tcW w:w="8505" w:type="dxa"/>
          </w:tcPr>
          <w:p w14:paraId="547E4ACD" w14:textId="77777777" w:rsidR="00821175" w:rsidRPr="00821175" w:rsidRDefault="00821175" w:rsidP="00821175">
            <w:pPr>
              <w:pStyle w:val="TableText"/>
            </w:pPr>
            <w:r w:rsidRPr="00821175">
              <w:t>Duration and recovery from impacts</w:t>
            </w:r>
          </w:p>
        </w:tc>
        <w:tc>
          <w:tcPr>
            <w:tcW w:w="1133" w:type="dxa"/>
          </w:tcPr>
          <w:p w14:paraId="0C08700B" w14:textId="77777777" w:rsidR="00821175" w:rsidRPr="00821175" w:rsidRDefault="00821175" w:rsidP="00821175">
            <w:pPr>
              <w:pStyle w:val="TableText"/>
              <w:jc w:val="center"/>
            </w:pPr>
            <w:r w:rsidRPr="00821175">
              <w:t>Score</w:t>
            </w:r>
          </w:p>
        </w:tc>
      </w:tr>
      <w:tr w:rsidR="00821175" w:rsidRPr="00821175" w14:paraId="12377FFB" w14:textId="77777777" w:rsidTr="00821175">
        <w:tc>
          <w:tcPr>
            <w:tcW w:w="8505" w:type="dxa"/>
          </w:tcPr>
          <w:p w14:paraId="50595BEB" w14:textId="77777777" w:rsidR="00821175" w:rsidRPr="00821175" w:rsidRDefault="00821175" w:rsidP="00821175">
            <w:pPr>
              <w:pStyle w:val="TableText"/>
            </w:pPr>
            <w:r w:rsidRPr="00821175">
              <w:t>Near full recovery from impact or disturbance within 1 year</w:t>
            </w:r>
          </w:p>
        </w:tc>
        <w:tc>
          <w:tcPr>
            <w:tcW w:w="1133" w:type="dxa"/>
          </w:tcPr>
          <w:p w14:paraId="0F28259C" w14:textId="77777777" w:rsidR="00821175" w:rsidRPr="00821175" w:rsidRDefault="00821175" w:rsidP="00821175">
            <w:pPr>
              <w:pStyle w:val="TableText"/>
              <w:jc w:val="center"/>
            </w:pPr>
            <w:r w:rsidRPr="00821175">
              <w:t>1</w:t>
            </w:r>
          </w:p>
        </w:tc>
      </w:tr>
      <w:tr w:rsidR="00821175" w:rsidRPr="00821175" w14:paraId="3408E75A" w14:textId="77777777" w:rsidTr="00821175">
        <w:tc>
          <w:tcPr>
            <w:tcW w:w="8505" w:type="dxa"/>
          </w:tcPr>
          <w:p w14:paraId="76357D66" w14:textId="77777777" w:rsidR="00821175" w:rsidRPr="00821175" w:rsidRDefault="00821175" w:rsidP="00821175">
            <w:pPr>
              <w:pStyle w:val="TableText"/>
            </w:pPr>
            <w:r w:rsidRPr="00821175">
              <w:t>Near full recovery from impact or disturbance within 1-3 years</w:t>
            </w:r>
          </w:p>
        </w:tc>
        <w:tc>
          <w:tcPr>
            <w:tcW w:w="1133" w:type="dxa"/>
          </w:tcPr>
          <w:p w14:paraId="7D189B40" w14:textId="77777777" w:rsidR="00821175" w:rsidRPr="00821175" w:rsidRDefault="00821175" w:rsidP="00821175">
            <w:pPr>
              <w:pStyle w:val="TableText"/>
              <w:jc w:val="center"/>
            </w:pPr>
            <w:r w:rsidRPr="00821175">
              <w:t>2</w:t>
            </w:r>
          </w:p>
        </w:tc>
      </w:tr>
      <w:tr w:rsidR="00821175" w:rsidRPr="00821175" w14:paraId="45DA8831" w14:textId="77777777" w:rsidTr="00821175">
        <w:tc>
          <w:tcPr>
            <w:tcW w:w="8505" w:type="dxa"/>
          </w:tcPr>
          <w:p w14:paraId="54A04056" w14:textId="77777777" w:rsidR="00821175" w:rsidRPr="00821175" w:rsidRDefault="00821175" w:rsidP="00821175">
            <w:pPr>
              <w:pStyle w:val="TableText"/>
            </w:pPr>
            <w:r w:rsidRPr="00821175">
              <w:t>Near full recovery from impact or disturbance within 3-10 years</w:t>
            </w:r>
          </w:p>
        </w:tc>
        <w:tc>
          <w:tcPr>
            <w:tcW w:w="1133" w:type="dxa"/>
          </w:tcPr>
          <w:p w14:paraId="22D0F883" w14:textId="77777777" w:rsidR="00821175" w:rsidRPr="00821175" w:rsidRDefault="00821175" w:rsidP="00821175">
            <w:pPr>
              <w:pStyle w:val="TableText"/>
              <w:jc w:val="center"/>
            </w:pPr>
            <w:r w:rsidRPr="00821175">
              <w:t>3</w:t>
            </w:r>
          </w:p>
        </w:tc>
      </w:tr>
      <w:tr w:rsidR="00821175" w:rsidRPr="00821175" w14:paraId="33930E69" w14:textId="77777777" w:rsidTr="00821175">
        <w:tc>
          <w:tcPr>
            <w:tcW w:w="8505" w:type="dxa"/>
          </w:tcPr>
          <w:p w14:paraId="6BA78808" w14:textId="77777777" w:rsidR="00821175" w:rsidRPr="00821175" w:rsidRDefault="00821175" w:rsidP="00821175">
            <w:pPr>
              <w:pStyle w:val="TableText"/>
            </w:pPr>
            <w:r w:rsidRPr="00821175">
              <w:t>Near full recovery unlikely within harvest cycle.</w:t>
            </w:r>
          </w:p>
        </w:tc>
        <w:tc>
          <w:tcPr>
            <w:tcW w:w="1133" w:type="dxa"/>
          </w:tcPr>
          <w:p w14:paraId="151A78A5" w14:textId="77777777" w:rsidR="00821175" w:rsidRPr="00821175" w:rsidRDefault="00821175" w:rsidP="00821175">
            <w:pPr>
              <w:pStyle w:val="TableText"/>
              <w:jc w:val="center"/>
            </w:pPr>
            <w:r w:rsidRPr="00821175">
              <w:t>4</w:t>
            </w:r>
          </w:p>
        </w:tc>
      </w:tr>
    </w:tbl>
    <w:p w14:paraId="1816384B" w14:textId="409408FD" w:rsidR="00821175" w:rsidRDefault="00821175" w:rsidP="00821175">
      <w:pPr>
        <w:pStyle w:val="AppendixHeading2"/>
      </w:pPr>
      <w:bookmarkStart w:id="236" w:name="_Toc131178732"/>
      <w:r>
        <w:t>Asset</w:t>
      </w:r>
      <w:bookmarkEnd w:id="236"/>
    </w:p>
    <w:p w14:paraId="277A5157" w14:textId="2C56403E" w:rsidR="00821175" w:rsidRDefault="00821175" w:rsidP="00821175">
      <w:pPr>
        <w:pStyle w:val="BodyText"/>
      </w:pPr>
      <w:r>
        <w:t>The third criterion (Table B-3) assesses the consequence or significance of the environmental risk resulting from non-compliance with the regulatory framework.</w:t>
      </w:r>
    </w:p>
    <w:p w14:paraId="1A8F4402" w14:textId="77777777" w:rsidR="00821175" w:rsidRDefault="00821175" w:rsidP="00821175">
      <w:pPr>
        <w:pStyle w:val="TableCaption"/>
      </w:pPr>
      <w:bookmarkStart w:id="237" w:name="_Toc131178748"/>
      <w:r>
        <w:t>Table B.3 Asset or value significance score</w:t>
      </w:r>
      <w:bookmarkEnd w:id="237"/>
    </w:p>
    <w:tbl>
      <w:tblPr>
        <w:tblStyle w:val="JacobsTable1accentprimarythemes"/>
        <w:tblW w:w="0" w:type="auto"/>
        <w:tblLook w:val="04A0" w:firstRow="1" w:lastRow="0" w:firstColumn="1" w:lastColumn="0" w:noHBand="0" w:noVBand="1"/>
      </w:tblPr>
      <w:tblGrid>
        <w:gridCol w:w="8505"/>
        <w:gridCol w:w="1133"/>
      </w:tblGrid>
      <w:tr w:rsidR="00821175" w:rsidRPr="00821175" w14:paraId="5499E3BA" w14:textId="77777777" w:rsidTr="00821175">
        <w:trPr>
          <w:cnfStyle w:val="100000000000" w:firstRow="1" w:lastRow="0" w:firstColumn="0" w:lastColumn="0" w:oddVBand="0" w:evenVBand="0" w:oddHBand="0" w:evenHBand="0" w:firstRowFirstColumn="0" w:firstRowLastColumn="0" w:lastRowFirstColumn="0" w:lastRowLastColumn="0"/>
        </w:trPr>
        <w:tc>
          <w:tcPr>
            <w:tcW w:w="8505" w:type="dxa"/>
          </w:tcPr>
          <w:p w14:paraId="4C5DBE5C" w14:textId="77777777" w:rsidR="00821175" w:rsidRPr="00821175" w:rsidRDefault="00821175" w:rsidP="00821175">
            <w:pPr>
              <w:pStyle w:val="TableText"/>
            </w:pPr>
            <w:r w:rsidRPr="00821175">
              <w:t>Asset or value</w:t>
            </w:r>
          </w:p>
        </w:tc>
        <w:tc>
          <w:tcPr>
            <w:tcW w:w="1133" w:type="dxa"/>
          </w:tcPr>
          <w:p w14:paraId="435CA7B0" w14:textId="77777777" w:rsidR="00821175" w:rsidRPr="00821175" w:rsidRDefault="00821175" w:rsidP="00821175">
            <w:pPr>
              <w:pStyle w:val="TableText"/>
              <w:jc w:val="center"/>
            </w:pPr>
            <w:r w:rsidRPr="00821175">
              <w:t>Score</w:t>
            </w:r>
          </w:p>
        </w:tc>
      </w:tr>
      <w:tr w:rsidR="00821175" w:rsidRPr="00821175" w14:paraId="6DC2C8A5" w14:textId="77777777" w:rsidTr="00821175">
        <w:tc>
          <w:tcPr>
            <w:tcW w:w="8505" w:type="dxa"/>
          </w:tcPr>
          <w:p w14:paraId="2EC239C7" w14:textId="77777777" w:rsidR="00821175" w:rsidRPr="00821175" w:rsidRDefault="00821175" w:rsidP="00821175">
            <w:pPr>
              <w:pStyle w:val="TableText"/>
            </w:pPr>
            <w:r w:rsidRPr="00821175">
              <w:t>General forest</w:t>
            </w:r>
          </w:p>
        </w:tc>
        <w:tc>
          <w:tcPr>
            <w:tcW w:w="1133" w:type="dxa"/>
          </w:tcPr>
          <w:p w14:paraId="6C2F4DA6" w14:textId="77777777" w:rsidR="00821175" w:rsidRPr="00821175" w:rsidRDefault="00821175" w:rsidP="00821175">
            <w:pPr>
              <w:pStyle w:val="TableText"/>
              <w:jc w:val="center"/>
            </w:pPr>
            <w:r w:rsidRPr="00821175">
              <w:t>1</w:t>
            </w:r>
          </w:p>
        </w:tc>
      </w:tr>
      <w:tr w:rsidR="00821175" w:rsidRPr="00821175" w14:paraId="098C412C" w14:textId="77777777" w:rsidTr="00821175">
        <w:tc>
          <w:tcPr>
            <w:tcW w:w="8505" w:type="dxa"/>
          </w:tcPr>
          <w:p w14:paraId="64985F25" w14:textId="77777777" w:rsidR="00821175" w:rsidRPr="00821175" w:rsidRDefault="00821175" w:rsidP="00821175">
            <w:pPr>
              <w:pStyle w:val="TableText"/>
            </w:pPr>
            <w:r w:rsidRPr="00821175">
              <w:t>Riparian filters</w:t>
            </w:r>
          </w:p>
        </w:tc>
        <w:tc>
          <w:tcPr>
            <w:tcW w:w="1133" w:type="dxa"/>
          </w:tcPr>
          <w:p w14:paraId="4486FC5C" w14:textId="77777777" w:rsidR="00821175" w:rsidRPr="00821175" w:rsidRDefault="00821175" w:rsidP="00821175">
            <w:pPr>
              <w:pStyle w:val="TableText"/>
              <w:jc w:val="center"/>
            </w:pPr>
            <w:r w:rsidRPr="00821175">
              <w:t>2</w:t>
            </w:r>
          </w:p>
        </w:tc>
      </w:tr>
      <w:tr w:rsidR="00821175" w:rsidRPr="00821175" w14:paraId="374E605F" w14:textId="77777777" w:rsidTr="00821175">
        <w:tc>
          <w:tcPr>
            <w:tcW w:w="8505" w:type="dxa"/>
          </w:tcPr>
          <w:p w14:paraId="64ACF01A" w14:textId="77777777" w:rsidR="00821175" w:rsidRPr="00821175" w:rsidRDefault="00821175" w:rsidP="00821175">
            <w:pPr>
              <w:pStyle w:val="TableText"/>
            </w:pPr>
            <w:r w:rsidRPr="00821175">
              <w:lastRenderedPageBreak/>
              <w:t>Riparian, rainforest or visual buffers</w:t>
            </w:r>
          </w:p>
        </w:tc>
        <w:tc>
          <w:tcPr>
            <w:tcW w:w="1133" w:type="dxa"/>
          </w:tcPr>
          <w:p w14:paraId="5983FB59" w14:textId="77777777" w:rsidR="00821175" w:rsidRPr="00821175" w:rsidRDefault="00821175" w:rsidP="00821175">
            <w:pPr>
              <w:pStyle w:val="TableText"/>
              <w:jc w:val="center"/>
            </w:pPr>
            <w:r w:rsidRPr="00821175">
              <w:t>3</w:t>
            </w:r>
          </w:p>
        </w:tc>
      </w:tr>
      <w:tr w:rsidR="00821175" w:rsidRPr="00821175" w14:paraId="358A4E92" w14:textId="77777777" w:rsidTr="00821175">
        <w:tc>
          <w:tcPr>
            <w:tcW w:w="8505" w:type="dxa"/>
          </w:tcPr>
          <w:p w14:paraId="6AE3571E" w14:textId="5D0AE293" w:rsidR="00821175" w:rsidRPr="00821175" w:rsidRDefault="00821175" w:rsidP="00821175">
            <w:pPr>
              <w:pStyle w:val="TableText"/>
            </w:pPr>
            <w:r>
              <w:t>Special Protection Zones or other areas that are intended to remain unharvested to protected special forest values (e.g. threatened species habitat; National Parks or other formally acknowledged reserves)</w:t>
            </w:r>
          </w:p>
        </w:tc>
        <w:tc>
          <w:tcPr>
            <w:tcW w:w="1133" w:type="dxa"/>
          </w:tcPr>
          <w:p w14:paraId="2E921708" w14:textId="05A2FCE5" w:rsidR="00821175" w:rsidRPr="00821175" w:rsidRDefault="00821175" w:rsidP="00821175">
            <w:pPr>
              <w:pStyle w:val="TableText"/>
              <w:jc w:val="center"/>
            </w:pPr>
            <w:r>
              <w:t>4</w:t>
            </w:r>
          </w:p>
        </w:tc>
      </w:tr>
    </w:tbl>
    <w:p w14:paraId="08F3E9BE" w14:textId="1C2FC7CE" w:rsidR="00821175" w:rsidRDefault="00821175" w:rsidP="00821175">
      <w:pPr>
        <w:pStyle w:val="AppendixHeading2"/>
      </w:pPr>
      <w:bookmarkStart w:id="238" w:name="_Toc131178733"/>
      <w:r>
        <w:t>Overall environmental risk</w:t>
      </w:r>
      <w:bookmarkEnd w:id="238"/>
    </w:p>
    <w:p w14:paraId="105AD387" w14:textId="78F13F63" w:rsidR="00821175" w:rsidRDefault="00821175" w:rsidP="00821175">
      <w:pPr>
        <w:pStyle w:val="BodyText"/>
      </w:pPr>
      <w:r>
        <w:t xml:space="preserve">Overall environmental risk associated the non-compliance issue is taken as the sum scores for the criteria in Tables B-1 to B-3. This is ranked in five classes as per Table B-4. </w:t>
      </w:r>
    </w:p>
    <w:p w14:paraId="077189AF" w14:textId="77777777" w:rsidR="00821175" w:rsidRDefault="00821175" w:rsidP="00821175">
      <w:pPr>
        <w:pStyle w:val="TableCaption"/>
      </w:pPr>
      <w:bookmarkStart w:id="239" w:name="_Toc131178749"/>
      <w:r>
        <w:t>Table B.4 Ranking of EIA scores</w:t>
      </w:r>
      <w:bookmarkEnd w:id="239"/>
    </w:p>
    <w:tbl>
      <w:tblPr>
        <w:tblStyle w:val="JacobsTable1accentprimarythemes"/>
        <w:tblW w:w="0" w:type="auto"/>
        <w:tblLook w:val="04A0" w:firstRow="1" w:lastRow="0" w:firstColumn="1" w:lastColumn="0" w:noHBand="0" w:noVBand="1"/>
      </w:tblPr>
      <w:tblGrid>
        <w:gridCol w:w="3119"/>
        <w:gridCol w:w="1701"/>
      </w:tblGrid>
      <w:tr w:rsidR="00821175" w:rsidRPr="00821175" w14:paraId="30D5F839" w14:textId="77777777" w:rsidTr="00DE5BF8">
        <w:trPr>
          <w:cnfStyle w:val="100000000000" w:firstRow="1" w:lastRow="0" w:firstColumn="0" w:lastColumn="0" w:oddVBand="0" w:evenVBand="0" w:oddHBand="0" w:evenHBand="0" w:firstRowFirstColumn="0" w:firstRowLastColumn="0" w:lastRowFirstColumn="0" w:lastRowLastColumn="0"/>
        </w:trPr>
        <w:tc>
          <w:tcPr>
            <w:tcW w:w="3119" w:type="dxa"/>
          </w:tcPr>
          <w:p w14:paraId="3001CBC3" w14:textId="77777777" w:rsidR="00821175" w:rsidRPr="00821175" w:rsidRDefault="00821175" w:rsidP="00821175">
            <w:pPr>
              <w:pStyle w:val="TableText"/>
            </w:pPr>
            <w:r w:rsidRPr="00821175">
              <w:t>EIA class</w:t>
            </w:r>
          </w:p>
        </w:tc>
        <w:tc>
          <w:tcPr>
            <w:tcW w:w="1701" w:type="dxa"/>
          </w:tcPr>
          <w:p w14:paraId="4FF2CE02" w14:textId="77777777" w:rsidR="00821175" w:rsidRPr="00821175" w:rsidRDefault="00821175" w:rsidP="00DE5BF8">
            <w:pPr>
              <w:pStyle w:val="TableText"/>
              <w:jc w:val="center"/>
            </w:pPr>
            <w:r w:rsidRPr="00821175">
              <w:t>Overall score</w:t>
            </w:r>
          </w:p>
        </w:tc>
      </w:tr>
      <w:tr w:rsidR="00821175" w:rsidRPr="00821175" w14:paraId="2FE546AC" w14:textId="77777777" w:rsidTr="00DE5BF8">
        <w:tc>
          <w:tcPr>
            <w:tcW w:w="3119" w:type="dxa"/>
          </w:tcPr>
          <w:p w14:paraId="1BA05FDA" w14:textId="77777777" w:rsidR="00821175" w:rsidRPr="00821175" w:rsidRDefault="00821175" w:rsidP="00821175">
            <w:pPr>
              <w:pStyle w:val="TableText"/>
            </w:pPr>
            <w:r w:rsidRPr="00821175">
              <w:t>Negligible</w:t>
            </w:r>
          </w:p>
        </w:tc>
        <w:tc>
          <w:tcPr>
            <w:tcW w:w="1701" w:type="dxa"/>
          </w:tcPr>
          <w:p w14:paraId="7289EA0F" w14:textId="77777777" w:rsidR="00821175" w:rsidRPr="00821175" w:rsidRDefault="00821175" w:rsidP="00DE5BF8">
            <w:pPr>
              <w:pStyle w:val="TableText"/>
              <w:jc w:val="center"/>
            </w:pPr>
            <w:r w:rsidRPr="00821175">
              <w:t>3-4</w:t>
            </w:r>
          </w:p>
        </w:tc>
      </w:tr>
      <w:tr w:rsidR="00821175" w:rsidRPr="00821175" w14:paraId="0B1CCD3B" w14:textId="77777777" w:rsidTr="00DE5BF8">
        <w:tc>
          <w:tcPr>
            <w:tcW w:w="3119" w:type="dxa"/>
          </w:tcPr>
          <w:p w14:paraId="09D50CD4" w14:textId="77777777" w:rsidR="00821175" w:rsidRPr="00821175" w:rsidRDefault="00821175" w:rsidP="00821175">
            <w:pPr>
              <w:pStyle w:val="TableText"/>
            </w:pPr>
            <w:r w:rsidRPr="00821175">
              <w:t>Minor</w:t>
            </w:r>
          </w:p>
        </w:tc>
        <w:tc>
          <w:tcPr>
            <w:tcW w:w="1701" w:type="dxa"/>
          </w:tcPr>
          <w:p w14:paraId="4D59DA69" w14:textId="77777777" w:rsidR="00821175" w:rsidRPr="00821175" w:rsidRDefault="00821175" w:rsidP="00DE5BF8">
            <w:pPr>
              <w:pStyle w:val="TableText"/>
              <w:jc w:val="center"/>
            </w:pPr>
            <w:r w:rsidRPr="00821175">
              <w:t>5-7</w:t>
            </w:r>
          </w:p>
        </w:tc>
      </w:tr>
      <w:tr w:rsidR="00821175" w:rsidRPr="00821175" w14:paraId="158BF1CB" w14:textId="77777777" w:rsidTr="00DE5BF8">
        <w:tc>
          <w:tcPr>
            <w:tcW w:w="3119" w:type="dxa"/>
          </w:tcPr>
          <w:p w14:paraId="6AFA172A" w14:textId="77777777" w:rsidR="00821175" w:rsidRPr="00821175" w:rsidRDefault="00821175" w:rsidP="00821175">
            <w:pPr>
              <w:pStyle w:val="TableText"/>
            </w:pPr>
            <w:r w:rsidRPr="00821175">
              <w:t>Moderate</w:t>
            </w:r>
          </w:p>
        </w:tc>
        <w:tc>
          <w:tcPr>
            <w:tcW w:w="1701" w:type="dxa"/>
          </w:tcPr>
          <w:p w14:paraId="17579215" w14:textId="77777777" w:rsidR="00821175" w:rsidRPr="00821175" w:rsidRDefault="00821175" w:rsidP="00DE5BF8">
            <w:pPr>
              <w:pStyle w:val="TableText"/>
              <w:jc w:val="center"/>
            </w:pPr>
            <w:r w:rsidRPr="00821175">
              <w:t>8-10</w:t>
            </w:r>
          </w:p>
        </w:tc>
      </w:tr>
      <w:tr w:rsidR="00821175" w:rsidRPr="00821175" w14:paraId="05042AE0" w14:textId="77777777" w:rsidTr="00DE5BF8">
        <w:tc>
          <w:tcPr>
            <w:tcW w:w="3119" w:type="dxa"/>
          </w:tcPr>
          <w:p w14:paraId="34C7BB22" w14:textId="77777777" w:rsidR="00821175" w:rsidRPr="00821175" w:rsidRDefault="00821175" w:rsidP="00821175">
            <w:pPr>
              <w:pStyle w:val="TableText"/>
            </w:pPr>
            <w:r w:rsidRPr="00821175">
              <w:t>Major</w:t>
            </w:r>
          </w:p>
        </w:tc>
        <w:tc>
          <w:tcPr>
            <w:tcW w:w="1701" w:type="dxa"/>
          </w:tcPr>
          <w:p w14:paraId="6D62DEA4" w14:textId="77777777" w:rsidR="00821175" w:rsidRPr="00821175" w:rsidRDefault="00821175" w:rsidP="00DE5BF8">
            <w:pPr>
              <w:pStyle w:val="TableText"/>
              <w:jc w:val="center"/>
            </w:pPr>
            <w:r w:rsidRPr="00821175">
              <w:t>11-13</w:t>
            </w:r>
          </w:p>
        </w:tc>
      </w:tr>
      <w:tr w:rsidR="00821175" w:rsidRPr="00821175" w14:paraId="2BEC4428" w14:textId="77777777" w:rsidTr="00DE5BF8">
        <w:tc>
          <w:tcPr>
            <w:tcW w:w="3119" w:type="dxa"/>
          </w:tcPr>
          <w:p w14:paraId="0BED7911" w14:textId="77777777" w:rsidR="00821175" w:rsidRPr="00821175" w:rsidRDefault="00821175" w:rsidP="00821175">
            <w:pPr>
              <w:pStyle w:val="TableText"/>
            </w:pPr>
            <w:r w:rsidRPr="00821175">
              <w:t>Severe</w:t>
            </w:r>
          </w:p>
        </w:tc>
        <w:tc>
          <w:tcPr>
            <w:tcW w:w="1701" w:type="dxa"/>
          </w:tcPr>
          <w:p w14:paraId="304A42AA" w14:textId="77777777" w:rsidR="00821175" w:rsidRPr="00821175" w:rsidRDefault="00821175" w:rsidP="00DE5BF8">
            <w:pPr>
              <w:pStyle w:val="TableText"/>
              <w:jc w:val="center"/>
            </w:pPr>
            <w:r w:rsidRPr="00821175">
              <w:t>14-15</w:t>
            </w:r>
          </w:p>
        </w:tc>
      </w:tr>
    </w:tbl>
    <w:p w14:paraId="0D0ADD5B" w14:textId="77777777" w:rsidR="00821175" w:rsidRPr="00821175" w:rsidRDefault="00821175" w:rsidP="00821175">
      <w:pPr>
        <w:pStyle w:val="BodyText"/>
      </w:pPr>
    </w:p>
    <w:p w14:paraId="63B6FA53" w14:textId="7163D455" w:rsidR="00EF28E5" w:rsidRDefault="00EF28E5" w:rsidP="00EF28E5">
      <w:pPr>
        <w:pStyle w:val="Heading9"/>
      </w:pPr>
      <w:bookmarkStart w:id="240" w:name="_Ref21343207"/>
      <w:bookmarkStart w:id="241" w:name="_Toc26891677"/>
      <w:bookmarkStart w:id="242" w:name="_Toc90913948"/>
      <w:bookmarkStart w:id="243" w:name="_Toc131178734"/>
      <w:r w:rsidRPr="00F54A2D">
        <w:lastRenderedPageBreak/>
        <w:t>Incidents leading to assessments of non-conformance with audit criteria and the regulatory framework for timber harvesting</w:t>
      </w:r>
      <w:bookmarkEnd w:id="240"/>
      <w:bookmarkEnd w:id="241"/>
      <w:bookmarkEnd w:id="242"/>
      <w:bookmarkEnd w:id="243"/>
    </w:p>
    <w:p w14:paraId="00D0B16B" w14:textId="0E53BF0C" w:rsidR="00DE5BF8" w:rsidRDefault="00DE5BF8" w:rsidP="00DE5BF8">
      <w:pPr>
        <w:pStyle w:val="BodyText"/>
      </w:pPr>
      <w:r>
        <w:t>This appendix (Table C-1) describes the incidents resulting in non-conformances with audit criteria and their link to the regulatory framework for timber harvesting. The analysis only considers non-conformances with potential environmental impact.</w:t>
      </w:r>
    </w:p>
    <w:p w14:paraId="61330659" w14:textId="237DBE3E" w:rsidR="00DE5BF8" w:rsidRDefault="00DE5BF8" w:rsidP="00DE5BF8">
      <w:pPr>
        <w:pStyle w:val="TableCaption"/>
      </w:pPr>
      <w:bookmarkStart w:id="244" w:name="_Toc131178750"/>
      <w:r>
        <w:t>Table C-1. Summary of incidents resulting in non-conformances with potential or actual environmental impact</w:t>
      </w:r>
      <w:bookmarkEnd w:id="244"/>
    </w:p>
    <w:tbl>
      <w:tblPr>
        <w:tblStyle w:val="JacobsTable1accentprimarythemes"/>
        <w:tblW w:w="9664" w:type="dxa"/>
        <w:tblLook w:val="04A0" w:firstRow="1" w:lastRow="0" w:firstColumn="1" w:lastColumn="0" w:noHBand="0" w:noVBand="1"/>
      </w:tblPr>
      <w:tblGrid>
        <w:gridCol w:w="656"/>
        <w:gridCol w:w="1398"/>
        <w:gridCol w:w="4208"/>
        <w:gridCol w:w="1643"/>
        <w:gridCol w:w="1759"/>
      </w:tblGrid>
      <w:tr w:rsidR="00D04082" w:rsidRPr="00DE5BF8" w14:paraId="131302D7" w14:textId="77777777" w:rsidTr="00687434">
        <w:trPr>
          <w:cnfStyle w:val="100000000000" w:firstRow="1" w:lastRow="0" w:firstColumn="0" w:lastColumn="0" w:oddVBand="0" w:evenVBand="0" w:oddHBand="0" w:evenHBand="0" w:firstRowFirstColumn="0" w:firstRowLastColumn="0" w:lastRowFirstColumn="0" w:lastRowLastColumn="0"/>
        </w:trPr>
        <w:tc>
          <w:tcPr>
            <w:tcW w:w="656" w:type="dxa"/>
            <w:vAlign w:val="center"/>
          </w:tcPr>
          <w:p w14:paraId="2E9B5A81" w14:textId="77777777" w:rsidR="007B6825" w:rsidRPr="00DE5BF8" w:rsidRDefault="007B6825" w:rsidP="00DE5BF8">
            <w:pPr>
              <w:pStyle w:val="TableText"/>
              <w:jc w:val="center"/>
            </w:pPr>
            <w:r w:rsidRPr="00DE5BF8">
              <w:t>#</w:t>
            </w:r>
          </w:p>
        </w:tc>
        <w:tc>
          <w:tcPr>
            <w:tcW w:w="1398" w:type="dxa"/>
            <w:vAlign w:val="center"/>
          </w:tcPr>
          <w:p w14:paraId="18EBE2F4" w14:textId="77777777" w:rsidR="007B6825" w:rsidRPr="00DE5BF8" w:rsidRDefault="007B6825" w:rsidP="00DE5BF8">
            <w:pPr>
              <w:pStyle w:val="TableText"/>
              <w:jc w:val="center"/>
            </w:pPr>
            <w:r w:rsidRPr="00DE5BF8">
              <w:t>Name</w:t>
            </w:r>
          </w:p>
        </w:tc>
        <w:tc>
          <w:tcPr>
            <w:tcW w:w="4208" w:type="dxa"/>
            <w:vAlign w:val="center"/>
          </w:tcPr>
          <w:p w14:paraId="227946ED" w14:textId="77777777" w:rsidR="007B6825" w:rsidRPr="00DE5BF8" w:rsidRDefault="007B6825" w:rsidP="00DE5BF8">
            <w:pPr>
              <w:pStyle w:val="TableText"/>
              <w:jc w:val="center"/>
            </w:pPr>
            <w:r w:rsidRPr="00DE5BF8">
              <w:t>Non-conformance incident resulting in actual or potential environmental impact (EI)</w:t>
            </w:r>
          </w:p>
        </w:tc>
        <w:tc>
          <w:tcPr>
            <w:tcW w:w="1643" w:type="dxa"/>
            <w:vAlign w:val="center"/>
          </w:tcPr>
          <w:p w14:paraId="21A2A533" w14:textId="77777777" w:rsidR="007B6825" w:rsidRPr="00DE5BF8" w:rsidRDefault="007B6825" w:rsidP="00DE5BF8">
            <w:pPr>
              <w:pStyle w:val="TableText"/>
              <w:jc w:val="center"/>
            </w:pPr>
            <w:r w:rsidRPr="00DE5BF8">
              <w:t>Audit criteria</w:t>
            </w:r>
            <w:r w:rsidRPr="00DE5BF8">
              <w:rPr>
                <w:vertAlign w:val="superscript"/>
              </w:rPr>
              <w:t>2</w:t>
            </w:r>
            <w:r w:rsidRPr="00DE5BF8">
              <w:t xml:space="preserve"> | Compliance element</w:t>
            </w:r>
            <w:r w:rsidRPr="00DE5BF8">
              <w:rPr>
                <w:vertAlign w:val="superscript"/>
              </w:rPr>
              <w:t>3</w:t>
            </w:r>
          </w:p>
        </w:tc>
        <w:tc>
          <w:tcPr>
            <w:tcW w:w="1759" w:type="dxa"/>
            <w:vAlign w:val="center"/>
          </w:tcPr>
          <w:p w14:paraId="77A86AB8" w14:textId="77777777" w:rsidR="007B6825" w:rsidRPr="00DE5BF8" w:rsidRDefault="007B6825" w:rsidP="00DE5BF8">
            <w:pPr>
              <w:pStyle w:val="TableText"/>
              <w:jc w:val="center"/>
            </w:pPr>
            <w:r w:rsidRPr="00DE5BF8">
              <w:t>EI rating</w:t>
            </w:r>
            <w:r w:rsidRPr="00DE5BF8">
              <w:rPr>
                <w:vertAlign w:val="superscript"/>
              </w:rPr>
              <w:t>4</w:t>
            </w:r>
          </w:p>
        </w:tc>
      </w:tr>
      <w:tr w:rsidR="00825AB0" w:rsidRPr="00DE5BF8" w14:paraId="001E7715" w14:textId="77777777" w:rsidTr="00687434">
        <w:tc>
          <w:tcPr>
            <w:tcW w:w="656" w:type="dxa"/>
          </w:tcPr>
          <w:p w14:paraId="5B60BE75" w14:textId="3236B55F" w:rsidR="007B6825" w:rsidRPr="00DE5BF8" w:rsidRDefault="007B6825" w:rsidP="00C25E78">
            <w:pPr>
              <w:pStyle w:val="TableText"/>
            </w:pPr>
            <w:r>
              <w:t>01</w:t>
            </w:r>
          </w:p>
        </w:tc>
        <w:tc>
          <w:tcPr>
            <w:tcW w:w="1398" w:type="dxa"/>
          </w:tcPr>
          <w:p w14:paraId="29776BDE" w14:textId="50639C10" w:rsidR="007B6825" w:rsidRPr="00DE5BF8" w:rsidRDefault="007B6825" w:rsidP="00C25E78">
            <w:pPr>
              <w:pStyle w:val="TableText"/>
            </w:pPr>
            <w:r w:rsidRPr="00DE5476">
              <w:t>Turnbuckle</w:t>
            </w:r>
          </w:p>
        </w:tc>
        <w:tc>
          <w:tcPr>
            <w:tcW w:w="4208" w:type="dxa"/>
          </w:tcPr>
          <w:p w14:paraId="5D33E2D4" w14:textId="4FE72446" w:rsidR="007B6825" w:rsidRPr="00DE5BF8" w:rsidRDefault="007B6825" w:rsidP="00C25E78">
            <w:pPr>
              <w:pStyle w:val="TableText"/>
            </w:pPr>
            <w:r w:rsidRPr="00DE5476">
              <w:t xml:space="preserve">Damage to </w:t>
            </w:r>
            <w:r>
              <w:t>r</w:t>
            </w:r>
            <w:r w:rsidRPr="00DE5476">
              <w:t>etained vegetation from regeneration</w:t>
            </w:r>
            <w:r>
              <w:t xml:space="preserve"> burn</w:t>
            </w:r>
          </w:p>
        </w:tc>
        <w:tc>
          <w:tcPr>
            <w:tcW w:w="1643" w:type="dxa"/>
          </w:tcPr>
          <w:p w14:paraId="2A91BEDA" w14:textId="4903F4A3" w:rsidR="007B6825" w:rsidRPr="00DE5BF8" w:rsidRDefault="007B6825" w:rsidP="00C25E78">
            <w:pPr>
              <w:pStyle w:val="TableText"/>
            </w:pPr>
            <w:r w:rsidRPr="00DE5476">
              <w:t>10.12</w:t>
            </w:r>
            <w:r>
              <w:t>, 13.01 | C2.2.2.5, M4.1.4.5</w:t>
            </w:r>
          </w:p>
        </w:tc>
        <w:tc>
          <w:tcPr>
            <w:tcW w:w="1759" w:type="dxa"/>
          </w:tcPr>
          <w:p w14:paraId="345370E3" w14:textId="50FA59D2" w:rsidR="007B6825" w:rsidRPr="00DE5BF8" w:rsidRDefault="007B6825" w:rsidP="00C25E78">
            <w:pPr>
              <w:pStyle w:val="TableText"/>
            </w:pPr>
            <w:r w:rsidRPr="00DE5476">
              <w:t>Moderate</w:t>
            </w:r>
          </w:p>
        </w:tc>
      </w:tr>
      <w:tr w:rsidR="00825AB0" w:rsidRPr="00EF28E5" w14:paraId="75762AA5" w14:textId="77777777" w:rsidTr="00687434">
        <w:tc>
          <w:tcPr>
            <w:tcW w:w="656" w:type="dxa"/>
            <w:tcBorders>
              <w:bottom w:val="single" w:sz="4" w:space="0" w:color="007D55" w:themeColor="accent1"/>
            </w:tcBorders>
          </w:tcPr>
          <w:p w14:paraId="43A21755" w14:textId="240E62E7" w:rsidR="007B6825" w:rsidRPr="00DE5BF8" w:rsidRDefault="007B6825" w:rsidP="00C25E78">
            <w:pPr>
              <w:pStyle w:val="TableText"/>
            </w:pPr>
            <w:r>
              <w:t>02</w:t>
            </w:r>
          </w:p>
        </w:tc>
        <w:tc>
          <w:tcPr>
            <w:tcW w:w="1398" w:type="dxa"/>
            <w:tcBorders>
              <w:bottom w:val="single" w:sz="4" w:space="0" w:color="007D55" w:themeColor="accent1"/>
            </w:tcBorders>
          </w:tcPr>
          <w:p w14:paraId="3C65F8B0" w14:textId="56F4F8E1" w:rsidR="007B6825" w:rsidRPr="00EF28E5" w:rsidRDefault="007B6825" w:rsidP="00C25E78">
            <w:pPr>
              <w:pStyle w:val="TableText"/>
            </w:pPr>
            <w:r>
              <w:t>Dragonfly</w:t>
            </w:r>
          </w:p>
        </w:tc>
        <w:tc>
          <w:tcPr>
            <w:tcW w:w="4208" w:type="dxa"/>
          </w:tcPr>
          <w:p w14:paraId="0530A62E" w14:textId="71678198" w:rsidR="007B6825" w:rsidRDefault="007B6825" w:rsidP="00C25E78">
            <w:pPr>
              <w:pStyle w:val="TableText"/>
            </w:pPr>
            <w:r>
              <w:t>Waterway crossing allows sediment to wash from WWX into permanent stream</w:t>
            </w:r>
          </w:p>
        </w:tc>
        <w:tc>
          <w:tcPr>
            <w:tcW w:w="1643" w:type="dxa"/>
          </w:tcPr>
          <w:p w14:paraId="3663D70D" w14:textId="5B2A61B3" w:rsidR="007B6825" w:rsidRDefault="007B6825" w:rsidP="00C25E78">
            <w:pPr>
              <w:pStyle w:val="TableText"/>
            </w:pPr>
            <w:r>
              <w:t>6.01, 7.06, 19.06, 21.01 | C2.2.1.2/8, 2.5.1.2, M6.2.4.6</w:t>
            </w:r>
          </w:p>
        </w:tc>
        <w:tc>
          <w:tcPr>
            <w:tcW w:w="1759" w:type="dxa"/>
          </w:tcPr>
          <w:p w14:paraId="2F3DEB3C" w14:textId="5E7C96FA" w:rsidR="007B6825" w:rsidRDefault="00B54F9A" w:rsidP="00C25E78">
            <w:pPr>
              <w:pStyle w:val="TableText"/>
            </w:pPr>
            <w:r>
              <w:t>Moderate</w:t>
            </w:r>
          </w:p>
        </w:tc>
      </w:tr>
      <w:tr w:rsidR="00825AB0" w:rsidRPr="00EF28E5" w14:paraId="11B45222" w14:textId="77777777" w:rsidTr="00687434">
        <w:tc>
          <w:tcPr>
            <w:tcW w:w="656" w:type="dxa"/>
            <w:tcBorders>
              <w:bottom w:val="nil"/>
            </w:tcBorders>
          </w:tcPr>
          <w:p w14:paraId="281FA911" w14:textId="06DD4E43" w:rsidR="007B6825" w:rsidRPr="00DE5BF8" w:rsidRDefault="007B6825" w:rsidP="00C25E78">
            <w:pPr>
              <w:pStyle w:val="TableText"/>
            </w:pPr>
            <w:r>
              <w:t>03</w:t>
            </w:r>
          </w:p>
        </w:tc>
        <w:tc>
          <w:tcPr>
            <w:tcW w:w="1398" w:type="dxa"/>
            <w:tcBorders>
              <w:bottom w:val="nil"/>
            </w:tcBorders>
          </w:tcPr>
          <w:p w14:paraId="61A5C445" w14:textId="73100BDF" w:rsidR="007B6825" w:rsidRPr="00EF28E5" w:rsidRDefault="007B6825" w:rsidP="00C25E78">
            <w:pPr>
              <w:pStyle w:val="TableText"/>
            </w:pPr>
            <w:r>
              <w:t>Gnu</w:t>
            </w:r>
          </w:p>
        </w:tc>
        <w:tc>
          <w:tcPr>
            <w:tcW w:w="4208" w:type="dxa"/>
          </w:tcPr>
          <w:p w14:paraId="2F1DACDB" w14:textId="408281E5" w:rsidR="007B6825" w:rsidRDefault="007B6825" w:rsidP="00C25E78">
            <w:pPr>
              <w:pStyle w:val="TableText"/>
            </w:pPr>
            <w:r>
              <w:t>Bark being placed on uncorded snig track</w:t>
            </w:r>
          </w:p>
        </w:tc>
        <w:tc>
          <w:tcPr>
            <w:tcW w:w="1643" w:type="dxa"/>
          </w:tcPr>
          <w:p w14:paraId="207D206E" w14:textId="107CEB29" w:rsidR="007B6825" w:rsidRDefault="007B6825" w:rsidP="00C25E78">
            <w:pPr>
              <w:pStyle w:val="TableText"/>
            </w:pPr>
            <w:r>
              <w:t>22.02 | M7.2.1.2</w:t>
            </w:r>
          </w:p>
        </w:tc>
        <w:tc>
          <w:tcPr>
            <w:tcW w:w="1759" w:type="dxa"/>
          </w:tcPr>
          <w:p w14:paraId="7B51F1C0" w14:textId="6B251ED1" w:rsidR="007B6825" w:rsidRDefault="007B6825" w:rsidP="00C25E78">
            <w:pPr>
              <w:pStyle w:val="TableText"/>
            </w:pPr>
            <w:r>
              <w:t>Negligible</w:t>
            </w:r>
          </w:p>
        </w:tc>
      </w:tr>
      <w:tr w:rsidR="00825AB0" w:rsidRPr="00EF28E5" w14:paraId="47A7D944" w14:textId="77777777" w:rsidTr="00687434">
        <w:tc>
          <w:tcPr>
            <w:tcW w:w="656" w:type="dxa"/>
            <w:tcBorders>
              <w:top w:val="nil"/>
              <w:bottom w:val="single" w:sz="4" w:space="0" w:color="007D55" w:themeColor="accent1"/>
            </w:tcBorders>
          </w:tcPr>
          <w:p w14:paraId="4DBF8DBC" w14:textId="77777777" w:rsidR="007B6825" w:rsidRPr="00DE5BF8" w:rsidRDefault="007B6825" w:rsidP="00C25E78">
            <w:pPr>
              <w:pStyle w:val="TableText"/>
            </w:pPr>
          </w:p>
        </w:tc>
        <w:tc>
          <w:tcPr>
            <w:tcW w:w="1398" w:type="dxa"/>
            <w:tcBorders>
              <w:top w:val="nil"/>
              <w:bottom w:val="single" w:sz="4" w:space="0" w:color="007D55" w:themeColor="accent1"/>
            </w:tcBorders>
          </w:tcPr>
          <w:p w14:paraId="48AD45A8" w14:textId="77777777" w:rsidR="007B6825" w:rsidRPr="00EF28E5" w:rsidRDefault="007B6825" w:rsidP="00C25E78">
            <w:pPr>
              <w:pStyle w:val="TableText"/>
            </w:pPr>
          </w:p>
        </w:tc>
        <w:tc>
          <w:tcPr>
            <w:tcW w:w="4208" w:type="dxa"/>
          </w:tcPr>
          <w:p w14:paraId="1182F2D8" w14:textId="53CF774C" w:rsidR="007B6825" w:rsidRPr="00CF4CEE" w:rsidRDefault="007B6825" w:rsidP="00CF4CEE">
            <w:pPr>
              <w:pStyle w:val="TableText"/>
            </w:pPr>
            <w:r>
              <w:t>Slash and bark piles exceed 4 m</w:t>
            </w:r>
            <w:r>
              <w:rPr>
                <w:vertAlign w:val="superscript"/>
              </w:rPr>
              <w:t xml:space="preserve">2 </w:t>
            </w:r>
            <w:r>
              <w:t>ground area</w:t>
            </w:r>
          </w:p>
        </w:tc>
        <w:tc>
          <w:tcPr>
            <w:tcW w:w="1643" w:type="dxa"/>
          </w:tcPr>
          <w:p w14:paraId="67AB10EC" w14:textId="139067EF" w:rsidR="007B6825" w:rsidRDefault="007B6825" w:rsidP="00C25E78">
            <w:pPr>
              <w:pStyle w:val="TableText"/>
            </w:pPr>
            <w:r>
              <w:t>22.21 | M7.2.4.2</w:t>
            </w:r>
          </w:p>
        </w:tc>
        <w:tc>
          <w:tcPr>
            <w:tcW w:w="1759" w:type="dxa"/>
          </w:tcPr>
          <w:p w14:paraId="28B52060" w14:textId="38DA7547" w:rsidR="007B6825" w:rsidRDefault="007B6825" w:rsidP="00C25E78">
            <w:pPr>
              <w:pStyle w:val="TableText"/>
            </w:pPr>
            <w:r>
              <w:t>Negligible</w:t>
            </w:r>
          </w:p>
        </w:tc>
      </w:tr>
      <w:tr w:rsidR="00825AB0" w:rsidRPr="00EF28E5" w14:paraId="05BA2D97" w14:textId="77777777" w:rsidTr="00687434">
        <w:tc>
          <w:tcPr>
            <w:tcW w:w="656" w:type="dxa"/>
            <w:tcBorders>
              <w:bottom w:val="nil"/>
            </w:tcBorders>
          </w:tcPr>
          <w:p w14:paraId="3C194F70" w14:textId="0D61B2B4" w:rsidR="007B6825" w:rsidRPr="00DE5BF8" w:rsidRDefault="007B6825" w:rsidP="00C25E78">
            <w:pPr>
              <w:pStyle w:val="TableText"/>
            </w:pPr>
            <w:r>
              <w:t>04</w:t>
            </w:r>
          </w:p>
        </w:tc>
        <w:tc>
          <w:tcPr>
            <w:tcW w:w="1398" w:type="dxa"/>
            <w:tcBorders>
              <w:bottom w:val="nil"/>
            </w:tcBorders>
          </w:tcPr>
          <w:p w14:paraId="32093F6D" w14:textId="78116C4B" w:rsidR="007B6825" w:rsidRPr="00EF28E5" w:rsidRDefault="007B6825" w:rsidP="00C25E78">
            <w:pPr>
              <w:pStyle w:val="TableText"/>
            </w:pPr>
            <w:r>
              <w:t>Sun Downies</w:t>
            </w:r>
          </w:p>
        </w:tc>
        <w:tc>
          <w:tcPr>
            <w:tcW w:w="4208" w:type="dxa"/>
          </w:tcPr>
          <w:p w14:paraId="62E2591F" w14:textId="0AE0F1C4" w:rsidR="007B6825" w:rsidRDefault="007B6825" w:rsidP="00C25E78">
            <w:pPr>
              <w:pStyle w:val="TableText"/>
            </w:pPr>
            <w:r>
              <w:t xml:space="preserve">Culvert outlet is positioned above the downstream bed of </w:t>
            </w:r>
            <w:r w:rsidR="009A5E4A">
              <w:t>temporary stream</w:t>
            </w:r>
          </w:p>
        </w:tc>
        <w:tc>
          <w:tcPr>
            <w:tcW w:w="1643" w:type="dxa"/>
          </w:tcPr>
          <w:p w14:paraId="2081F36C" w14:textId="2DFDCFE7" w:rsidR="007B6825" w:rsidRDefault="007B6825" w:rsidP="00C25E78">
            <w:pPr>
              <w:pStyle w:val="TableText"/>
            </w:pPr>
            <w:r>
              <w:t>19.12, 19.13, 21.01 | C2.5.1.2, M6.2.5.5</w:t>
            </w:r>
          </w:p>
        </w:tc>
        <w:tc>
          <w:tcPr>
            <w:tcW w:w="1759" w:type="dxa"/>
          </w:tcPr>
          <w:p w14:paraId="3464450F" w14:textId="6CB8CD4F" w:rsidR="007B6825" w:rsidRDefault="000421DB" w:rsidP="00C25E78">
            <w:pPr>
              <w:pStyle w:val="TableText"/>
            </w:pPr>
            <w:r>
              <w:t>Minor</w:t>
            </w:r>
          </w:p>
        </w:tc>
      </w:tr>
      <w:tr w:rsidR="00825AB0" w:rsidRPr="00EF28E5" w14:paraId="2AF43418" w14:textId="77777777" w:rsidTr="00687434">
        <w:tc>
          <w:tcPr>
            <w:tcW w:w="656" w:type="dxa"/>
            <w:tcBorders>
              <w:top w:val="nil"/>
            </w:tcBorders>
          </w:tcPr>
          <w:p w14:paraId="5273A4DD" w14:textId="77777777" w:rsidR="007B6825" w:rsidRPr="00DE5BF8" w:rsidRDefault="007B6825" w:rsidP="00C25E78">
            <w:pPr>
              <w:pStyle w:val="TableText"/>
            </w:pPr>
          </w:p>
        </w:tc>
        <w:tc>
          <w:tcPr>
            <w:tcW w:w="1398" w:type="dxa"/>
            <w:tcBorders>
              <w:top w:val="nil"/>
            </w:tcBorders>
          </w:tcPr>
          <w:p w14:paraId="3988962A" w14:textId="77777777" w:rsidR="007B6825" w:rsidRPr="00EF28E5" w:rsidRDefault="007B6825" w:rsidP="00C25E78">
            <w:pPr>
              <w:pStyle w:val="TableText"/>
            </w:pPr>
          </w:p>
        </w:tc>
        <w:tc>
          <w:tcPr>
            <w:tcW w:w="4208" w:type="dxa"/>
          </w:tcPr>
          <w:p w14:paraId="36399F59" w14:textId="25650489" w:rsidR="007B6825" w:rsidRDefault="007B6825" w:rsidP="00CF4CEE">
            <w:pPr>
              <w:pStyle w:val="TableText"/>
            </w:pPr>
            <w:r>
              <w:t>Slash and bark piles exceed 4 m</w:t>
            </w:r>
            <w:r>
              <w:rPr>
                <w:vertAlign w:val="superscript"/>
              </w:rPr>
              <w:t xml:space="preserve">2 </w:t>
            </w:r>
            <w:r>
              <w:t>ground area</w:t>
            </w:r>
          </w:p>
        </w:tc>
        <w:tc>
          <w:tcPr>
            <w:tcW w:w="1643" w:type="dxa"/>
          </w:tcPr>
          <w:p w14:paraId="5BA2F365" w14:textId="594505E7" w:rsidR="007B6825" w:rsidRDefault="007B6825" w:rsidP="00C25E78">
            <w:pPr>
              <w:pStyle w:val="TableText"/>
            </w:pPr>
            <w:r>
              <w:t>22.21 | M7.2.4.2</w:t>
            </w:r>
          </w:p>
        </w:tc>
        <w:tc>
          <w:tcPr>
            <w:tcW w:w="1759" w:type="dxa"/>
          </w:tcPr>
          <w:p w14:paraId="15605045" w14:textId="3F9FF1CF" w:rsidR="007B6825" w:rsidRDefault="007B6825" w:rsidP="00C25E78">
            <w:pPr>
              <w:pStyle w:val="TableText"/>
            </w:pPr>
            <w:r>
              <w:t xml:space="preserve">Negligible </w:t>
            </w:r>
          </w:p>
        </w:tc>
      </w:tr>
      <w:tr w:rsidR="00825AB0" w:rsidRPr="00EF28E5" w14:paraId="3EC00729" w14:textId="77777777" w:rsidTr="00687434">
        <w:tc>
          <w:tcPr>
            <w:tcW w:w="656" w:type="dxa"/>
            <w:tcBorders>
              <w:bottom w:val="single" w:sz="4" w:space="0" w:color="007D55" w:themeColor="accent1"/>
            </w:tcBorders>
          </w:tcPr>
          <w:p w14:paraId="07E0E04A" w14:textId="15805FFD" w:rsidR="007B6825" w:rsidRPr="00DE5BF8" w:rsidRDefault="007B6825" w:rsidP="00C25E78">
            <w:pPr>
              <w:pStyle w:val="TableText"/>
            </w:pPr>
            <w:r>
              <w:t>05</w:t>
            </w:r>
          </w:p>
        </w:tc>
        <w:tc>
          <w:tcPr>
            <w:tcW w:w="1398" w:type="dxa"/>
            <w:tcBorders>
              <w:bottom w:val="single" w:sz="4" w:space="0" w:color="007D55" w:themeColor="accent1"/>
            </w:tcBorders>
          </w:tcPr>
          <w:p w14:paraId="59093CCA" w14:textId="78EF18AA" w:rsidR="007B6825" w:rsidRPr="00EF28E5" w:rsidRDefault="007B6825" w:rsidP="00C25E78">
            <w:pPr>
              <w:pStyle w:val="TableText"/>
            </w:pPr>
            <w:r>
              <w:t>Whitehorse</w:t>
            </w:r>
          </w:p>
        </w:tc>
        <w:tc>
          <w:tcPr>
            <w:tcW w:w="4208" w:type="dxa"/>
          </w:tcPr>
          <w:p w14:paraId="609A7C36" w14:textId="141AEB1B" w:rsidR="007B6825" w:rsidRDefault="007B6825" w:rsidP="00C25E78">
            <w:pPr>
              <w:pStyle w:val="TableText"/>
            </w:pPr>
            <w:r>
              <w:t>ST track running through naturally wet area in coupe has enabled mobilisation of sediment towards waterway</w:t>
            </w:r>
          </w:p>
        </w:tc>
        <w:tc>
          <w:tcPr>
            <w:tcW w:w="1643" w:type="dxa"/>
          </w:tcPr>
          <w:p w14:paraId="219C0148" w14:textId="04E00608" w:rsidR="007B6825" w:rsidRDefault="007B6825" w:rsidP="00C25E78">
            <w:pPr>
              <w:pStyle w:val="TableText"/>
            </w:pPr>
            <w:r>
              <w:t>6.03, 7.06, 8.01 | C2.2.1.3/8/14</w:t>
            </w:r>
          </w:p>
        </w:tc>
        <w:tc>
          <w:tcPr>
            <w:tcW w:w="1759" w:type="dxa"/>
          </w:tcPr>
          <w:p w14:paraId="78E9DC94" w14:textId="060DD086" w:rsidR="007B6825" w:rsidRDefault="007B6825" w:rsidP="00C25E78">
            <w:pPr>
              <w:pStyle w:val="TableText"/>
            </w:pPr>
            <w:r>
              <w:t>Minor</w:t>
            </w:r>
          </w:p>
        </w:tc>
      </w:tr>
      <w:tr w:rsidR="00825AB0" w:rsidRPr="00EF28E5" w14:paraId="503B9D28" w14:textId="77777777" w:rsidTr="00687434">
        <w:tc>
          <w:tcPr>
            <w:tcW w:w="656" w:type="dxa"/>
            <w:tcBorders>
              <w:bottom w:val="nil"/>
            </w:tcBorders>
          </w:tcPr>
          <w:p w14:paraId="1D4BBAAF" w14:textId="36845CB4" w:rsidR="007B6825" w:rsidRPr="00DE5BF8" w:rsidRDefault="007B6825" w:rsidP="00C25E78">
            <w:pPr>
              <w:pStyle w:val="TableText"/>
            </w:pPr>
            <w:r>
              <w:t>06</w:t>
            </w:r>
          </w:p>
        </w:tc>
        <w:tc>
          <w:tcPr>
            <w:tcW w:w="1398" w:type="dxa"/>
            <w:tcBorders>
              <w:bottom w:val="nil"/>
            </w:tcBorders>
          </w:tcPr>
          <w:p w14:paraId="7D457BD3" w14:textId="0EE52708" w:rsidR="007B6825" w:rsidRPr="00EF28E5" w:rsidRDefault="007B6825" w:rsidP="00C25E78">
            <w:pPr>
              <w:pStyle w:val="TableText"/>
            </w:pPr>
            <w:r>
              <w:t>Real Madrid</w:t>
            </w:r>
          </w:p>
        </w:tc>
        <w:tc>
          <w:tcPr>
            <w:tcW w:w="4208" w:type="dxa"/>
          </w:tcPr>
          <w:p w14:paraId="06111DDC" w14:textId="5FA52288" w:rsidR="007B6825" w:rsidRDefault="0037307E" w:rsidP="00C25E78">
            <w:pPr>
              <w:pStyle w:val="TableText"/>
            </w:pPr>
            <w:r>
              <w:t>ST w</w:t>
            </w:r>
            <w:r w:rsidR="007B6825">
              <w:t>aterway crossing allows sediment to wash across fill batter into permanent stream.</w:t>
            </w:r>
          </w:p>
        </w:tc>
        <w:tc>
          <w:tcPr>
            <w:tcW w:w="1643" w:type="dxa"/>
          </w:tcPr>
          <w:p w14:paraId="59B34614" w14:textId="08992B11" w:rsidR="007B6825" w:rsidRDefault="007B6825" w:rsidP="00C25E78">
            <w:pPr>
              <w:pStyle w:val="TableText"/>
            </w:pPr>
            <w:r>
              <w:t>6.01, 7.02, 19.13, 19.16, 21.01 | C2.2.1.1/6, 2.5.1.2, M6.2.5.5/11, 7.2.1.1</w:t>
            </w:r>
          </w:p>
        </w:tc>
        <w:tc>
          <w:tcPr>
            <w:tcW w:w="1759" w:type="dxa"/>
          </w:tcPr>
          <w:p w14:paraId="4D946035" w14:textId="72655E42" w:rsidR="007B6825" w:rsidRDefault="007B6825" w:rsidP="00C25E78">
            <w:pPr>
              <w:pStyle w:val="TableText"/>
            </w:pPr>
            <w:r>
              <w:t>Major</w:t>
            </w:r>
          </w:p>
        </w:tc>
      </w:tr>
      <w:tr w:rsidR="00825AB0" w:rsidRPr="00EF28E5" w14:paraId="333E0624" w14:textId="77777777" w:rsidTr="00687434">
        <w:tc>
          <w:tcPr>
            <w:tcW w:w="656" w:type="dxa"/>
            <w:tcBorders>
              <w:top w:val="nil"/>
              <w:bottom w:val="single" w:sz="4" w:space="0" w:color="007D55" w:themeColor="accent1"/>
            </w:tcBorders>
          </w:tcPr>
          <w:p w14:paraId="1A08E173" w14:textId="77777777" w:rsidR="007B6825" w:rsidRPr="00DE5BF8" w:rsidRDefault="007B6825" w:rsidP="00C25E78">
            <w:pPr>
              <w:pStyle w:val="TableText"/>
            </w:pPr>
          </w:p>
        </w:tc>
        <w:tc>
          <w:tcPr>
            <w:tcW w:w="1398" w:type="dxa"/>
            <w:tcBorders>
              <w:top w:val="nil"/>
              <w:bottom w:val="single" w:sz="4" w:space="0" w:color="007D55" w:themeColor="accent1"/>
            </w:tcBorders>
          </w:tcPr>
          <w:p w14:paraId="61BDAB0D" w14:textId="77777777" w:rsidR="007B6825" w:rsidRPr="00EF28E5" w:rsidRDefault="007B6825" w:rsidP="00C25E78">
            <w:pPr>
              <w:pStyle w:val="TableText"/>
            </w:pPr>
          </w:p>
        </w:tc>
        <w:tc>
          <w:tcPr>
            <w:tcW w:w="4208" w:type="dxa"/>
          </w:tcPr>
          <w:p w14:paraId="01052AAA" w14:textId="6E27EB21" w:rsidR="007B6825" w:rsidRDefault="007B6825" w:rsidP="00C25E78">
            <w:pPr>
              <w:pStyle w:val="TableText"/>
            </w:pPr>
            <w:r>
              <w:t>Effective drain spacings on ST exceeds UP prescriptions</w:t>
            </w:r>
          </w:p>
        </w:tc>
        <w:tc>
          <w:tcPr>
            <w:tcW w:w="1643" w:type="dxa"/>
          </w:tcPr>
          <w:p w14:paraId="3E425DA0" w14:textId="39B11059" w:rsidR="007B6825" w:rsidRDefault="007B6825" w:rsidP="00C25E78">
            <w:pPr>
              <w:pStyle w:val="TableText"/>
            </w:pPr>
            <w:r>
              <w:t>22.01 | C2.5.2.5</w:t>
            </w:r>
          </w:p>
        </w:tc>
        <w:tc>
          <w:tcPr>
            <w:tcW w:w="1759" w:type="dxa"/>
          </w:tcPr>
          <w:p w14:paraId="130EA0DD" w14:textId="62142B46" w:rsidR="007B6825" w:rsidRDefault="007B6825" w:rsidP="00C25E78">
            <w:pPr>
              <w:pStyle w:val="TableText"/>
            </w:pPr>
            <w:r>
              <w:t>Negligible</w:t>
            </w:r>
          </w:p>
        </w:tc>
      </w:tr>
      <w:tr w:rsidR="00825AB0" w:rsidRPr="00EF28E5" w14:paraId="70A9019D" w14:textId="77777777" w:rsidTr="00687434">
        <w:tc>
          <w:tcPr>
            <w:tcW w:w="656" w:type="dxa"/>
            <w:tcBorders>
              <w:bottom w:val="nil"/>
            </w:tcBorders>
          </w:tcPr>
          <w:p w14:paraId="316C701E" w14:textId="29DBC3D0" w:rsidR="007B6825" w:rsidRPr="00DE5BF8" w:rsidRDefault="007B6825" w:rsidP="00C25E78">
            <w:pPr>
              <w:pStyle w:val="TableText"/>
            </w:pPr>
            <w:r>
              <w:t>07</w:t>
            </w:r>
          </w:p>
        </w:tc>
        <w:tc>
          <w:tcPr>
            <w:tcW w:w="1398" w:type="dxa"/>
            <w:tcBorders>
              <w:bottom w:val="nil"/>
            </w:tcBorders>
          </w:tcPr>
          <w:p w14:paraId="2815EB4B" w14:textId="6EF3D2F5" w:rsidR="007B6825" w:rsidRPr="00EF28E5" w:rsidRDefault="007B6825" w:rsidP="00C25E78">
            <w:pPr>
              <w:pStyle w:val="TableText"/>
            </w:pPr>
            <w:r>
              <w:t>Lemon Lime</w:t>
            </w:r>
          </w:p>
        </w:tc>
        <w:tc>
          <w:tcPr>
            <w:tcW w:w="4208" w:type="dxa"/>
          </w:tcPr>
          <w:p w14:paraId="7F7F633C" w14:textId="542003F8" w:rsidR="007B6825" w:rsidRDefault="00913DC7" w:rsidP="00C25E78">
            <w:pPr>
              <w:pStyle w:val="TableText"/>
            </w:pPr>
            <w:r>
              <w:t>Water draining across WWX fill batter has contributed to g</w:t>
            </w:r>
            <w:r w:rsidR="007B6825">
              <w:t xml:space="preserve">eotextile failure </w:t>
            </w:r>
            <w:r>
              <w:t>and bank</w:t>
            </w:r>
            <w:r w:rsidR="007B6825">
              <w:t xml:space="preserve"> erosion of into </w:t>
            </w:r>
            <w:r w:rsidR="00335403">
              <w:t xml:space="preserve">temporary </w:t>
            </w:r>
            <w:r w:rsidR="007B6825">
              <w:t xml:space="preserve">stream </w:t>
            </w:r>
          </w:p>
        </w:tc>
        <w:tc>
          <w:tcPr>
            <w:tcW w:w="1643" w:type="dxa"/>
          </w:tcPr>
          <w:p w14:paraId="550EEF9A" w14:textId="5575E5B6" w:rsidR="007B6825" w:rsidRDefault="007B6825" w:rsidP="00C25E78">
            <w:pPr>
              <w:pStyle w:val="TableText"/>
            </w:pPr>
            <w:r>
              <w:t>6.01, 7.06, 19.06, 21.01 | C2.2.1.2/12, 2.5.1.2, M6.2.4.6</w:t>
            </w:r>
          </w:p>
        </w:tc>
        <w:tc>
          <w:tcPr>
            <w:tcW w:w="1759" w:type="dxa"/>
          </w:tcPr>
          <w:p w14:paraId="390ADC0F" w14:textId="6B451FA7" w:rsidR="007B6825" w:rsidRDefault="000F2FCE" w:rsidP="00C25E78">
            <w:pPr>
              <w:pStyle w:val="TableText"/>
            </w:pPr>
            <w:r>
              <w:t>Moderate</w:t>
            </w:r>
          </w:p>
        </w:tc>
      </w:tr>
      <w:tr w:rsidR="00825AB0" w:rsidRPr="00EF28E5" w14:paraId="29D5B328" w14:textId="77777777" w:rsidTr="00687434">
        <w:tc>
          <w:tcPr>
            <w:tcW w:w="656" w:type="dxa"/>
            <w:tcBorders>
              <w:top w:val="nil"/>
              <w:bottom w:val="nil"/>
            </w:tcBorders>
          </w:tcPr>
          <w:p w14:paraId="1EAFDFE5" w14:textId="77777777" w:rsidR="007B6825" w:rsidRPr="00DE5BF8" w:rsidRDefault="007B6825" w:rsidP="00C25E78">
            <w:pPr>
              <w:pStyle w:val="TableText"/>
            </w:pPr>
          </w:p>
        </w:tc>
        <w:tc>
          <w:tcPr>
            <w:tcW w:w="1398" w:type="dxa"/>
            <w:tcBorders>
              <w:top w:val="nil"/>
              <w:bottom w:val="nil"/>
            </w:tcBorders>
          </w:tcPr>
          <w:p w14:paraId="5C2D1168" w14:textId="77777777" w:rsidR="007B6825" w:rsidRPr="00EF28E5" w:rsidRDefault="007B6825" w:rsidP="00C25E78">
            <w:pPr>
              <w:pStyle w:val="TableText"/>
            </w:pPr>
          </w:p>
        </w:tc>
        <w:tc>
          <w:tcPr>
            <w:tcW w:w="4208" w:type="dxa"/>
          </w:tcPr>
          <w:p w14:paraId="032F96ED" w14:textId="55DC2C59" w:rsidR="007B6825" w:rsidRDefault="007B6825" w:rsidP="00C25E78">
            <w:pPr>
              <w:pStyle w:val="TableText"/>
            </w:pPr>
            <w:r>
              <w:t xml:space="preserve">Waterway crossing allows sediment to wash across WWX fill batter into </w:t>
            </w:r>
            <w:r w:rsidR="00335403">
              <w:t xml:space="preserve">temporary </w:t>
            </w:r>
            <w:r>
              <w:t>stream</w:t>
            </w:r>
          </w:p>
        </w:tc>
        <w:tc>
          <w:tcPr>
            <w:tcW w:w="1643" w:type="dxa"/>
          </w:tcPr>
          <w:p w14:paraId="53BDB44C" w14:textId="0288ED44" w:rsidR="007B6825" w:rsidRDefault="007B6825" w:rsidP="00C25E78">
            <w:pPr>
              <w:pStyle w:val="TableText"/>
            </w:pPr>
            <w:r>
              <w:t>7.05 | C2.2.1.8</w:t>
            </w:r>
          </w:p>
        </w:tc>
        <w:tc>
          <w:tcPr>
            <w:tcW w:w="1759" w:type="dxa"/>
          </w:tcPr>
          <w:p w14:paraId="2FBABC47" w14:textId="7A9E34B6" w:rsidR="007B6825" w:rsidRDefault="000F2FCE" w:rsidP="00C25E78">
            <w:pPr>
              <w:pStyle w:val="TableText"/>
            </w:pPr>
            <w:r>
              <w:t>Moderate</w:t>
            </w:r>
          </w:p>
        </w:tc>
      </w:tr>
      <w:tr w:rsidR="00E57010" w:rsidRPr="00EF28E5" w14:paraId="19C39A35" w14:textId="77777777" w:rsidTr="00687434">
        <w:tc>
          <w:tcPr>
            <w:tcW w:w="656" w:type="dxa"/>
            <w:tcBorders>
              <w:top w:val="nil"/>
              <w:bottom w:val="nil"/>
            </w:tcBorders>
          </w:tcPr>
          <w:p w14:paraId="5C14364B" w14:textId="77777777" w:rsidR="00E57010" w:rsidRPr="00DE5BF8" w:rsidRDefault="00E57010" w:rsidP="00E57010">
            <w:pPr>
              <w:pStyle w:val="TableText"/>
            </w:pPr>
          </w:p>
        </w:tc>
        <w:tc>
          <w:tcPr>
            <w:tcW w:w="1398" w:type="dxa"/>
            <w:tcBorders>
              <w:top w:val="nil"/>
              <w:bottom w:val="nil"/>
            </w:tcBorders>
          </w:tcPr>
          <w:p w14:paraId="0E73B7A3" w14:textId="77777777" w:rsidR="00E57010" w:rsidRPr="00EF28E5" w:rsidRDefault="00E57010" w:rsidP="00E57010">
            <w:pPr>
              <w:pStyle w:val="TableText"/>
            </w:pPr>
          </w:p>
        </w:tc>
        <w:tc>
          <w:tcPr>
            <w:tcW w:w="4208" w:type="dxa"/>
          </w:tcPr>
          <w:p w14:paraId="08589A45" w14:textId="069C71F2" w:rsidR="00E57010" w:rsidRDefault="00E57010" w:rsidP="00E57010">
            <w:pPr>
              <w:pStyle w:val="TableText"/>
            </w:pPr>
            <w:r>
              <w:t>Outlet of WWX projects above downstream bed of temporary stream, potentially disrupting movement of aquatic fauna</w:t>
            </w:r>
          </w:p>
        </w:tc>
        <w:tc>
          <w:tcPr>
            <w:tcW w:w="1643" w:type="dxa"/>
          </w:tcPr>
          <w:p w14:paraId="4A23096E" w14:textId="3ACC1540" w:rsidR="00E57010" w:rsidRDefault="00E57010" w:rsidP="00E57010">
            <w:pPr>
              <w:pStyle w:val="TableText"/>
            </w:pPr>
            <w:r>
              <w:t>19.16 | M6.2.5.11</w:t>
            </w:r>
          </w:p>
        </w:tc>
        <w:tc>
          <w:tcPr>
            <w:tcW w:w="1759" w:type="dxa"/>
          </w:tcPr>
          <w:p w14:paraId="3D2D9BED" w14:textId="425804E7" w:rsidR="00E57010" w:rsidRDefault="00E57010" w:rsidP="00E57010">
            <w:pPr>
              <w:pStyle w:val="TableText"/>
            </w:pPr>
            <w:r>
              <w:t>Moderate</w:t>
            </w:r>
          </w:p>
        </w:tc>
      </w:tr>
      <w:tr w:rsidR="00E57010" w:rsidRPr="00EF28E5" w14:paraId="0E5410D8" w14:textId="77777777" w:rsidTr="00687434">
        <w:tc>
          <w:tcPr>
            <w:tcW w:w="656" w:type="dxa"/>
            <w:tcBorders>
              <w:top w:val="nil"/>
              <w:bottom w:val="nil"/>
            </w:tcBorders>
          </w:tcPr>
          <w:p w14:paraId="0646C453" w14:textId="77777777" w:rsidR="00E57010" w:rsidRPr="00DE5BF8" w:rsidRDefault="00E57010" w:rsidP="00E57010">
            <w:pPr>
              <w:pStyle w:val="TableText"/>
            </w:pPr>
          </w:p>
        </w:tc>
        <w:tc>
          <w:tcPr>
            <w:tcW w:w="1398" w:type="dxa"/>
            <w:tcBorders>
              <w:top w:val="nil"/>
              <w:bottom w:val="nil"/>
            </w:tcBorders>
          </w:tcPr>
          <w:p w14:paraId="63E65FDE" w14:textId="77777777" w:rsidR="00E57010" w:rsidRPr="00EF28E5" w:rsidRDefault="00E57010" w:rsidP="00E57010">
            <w:pPr>
              <w:pStyle w:val="TableText"/>
            </w:pPr>
          </w:p>
        </w:tc>
        <w:tc>
          <w:tcPr>
            <w:tcW w:w="4208" w:type="dxa"/>
          </w:tcPr>
          <w:p w14:paraId="3CC1B742" w14:textId="4177AB4B" w:rsidR="00E57010" w:rsidRDefault="00E57010" w:rsidP="00E57010">
            <w:pPr>
              <w:pStyle w:val="TableText"/>
            </w:pPr>
            <w:r>
              <w:t>Mass movement from ICR fill batter</w:t>
            </w:r>
          </w:p>
        </w:tc>
        <w:tc>
          <w:tcPr>
            <w:tcW w:w="1643" w:type="dxa"/>
          </w:tcPr>
          <w:p w14:paraId="6EA0300C" w14:textId="2B9B875B" w:rsidR="00E57010" w:rsidRDefault="00E57010" w:rsidP="00E57010">
            <w:pPr>
              <w:pStyle w:val="TableText"/>
            </w:pPr>
            <w:r>
              <w:t>8.02, 18.01, 18.03 | C2.2.1.14, 2.4.3.3, M6.2.2.3</w:t>
            </w:r>
          </w:p>
        </w:tc>
        <w:tc>
          <w:tcPr>
            <w:tcW w:w="1759" w:type="dxa"/>
          </w:tcPr>
          <w:p w14:paraId="12602ABB" w14:textId="04C2FE18" w:rsidR="00E57010" w:rsidRDefault="00E57010" w:rsidP="00E57010">
            <w:pPr>
              <w:pStyle w:val="TableText"/>
            </w:pPr>
            <w:r>
              <w:t>Minor</w:t>
            </w:r>
          </w:p>
        </w:tc>
      </w:tr>
      <w:tr w:rsidR="00E57010" w:rsidRPr="00EF28E5" w14:paraId="526C6407" w14:textId="77777777" w:rsidTr="00687434">
        <w:tc>
          <w:tcPr>
            <w:tcW w:w="656" w:type="dxa"/>
            <w:tcBorders>
              <w:top w:val="nil"/>
              <w:bottom w:val="nil"/>
            </w:tcBorders>
          </w:tcPr>
          <w:p w14:paraId="4A16D7D4" w14:textId="77777777" w:rsidR="00E57010" w:rsidRPr="00DE5BF8" w:rsidRDefault="00E57010" w:rsidP="00E57010">
            <w:pPr>
              <w:pStyle w:val="TableText"/>
            </w:pPr>
          </w:p>
        </w:tc>
        <w:tc>
          <w:tcPr>
            <w:tcW w:w="1398" w:type="dxa"/>
            <w:tcBorders>
              <w:top w:val="nil"/>
              <w:bottom w:val="nil"/>
            </w:tcBorders>
          </w:tcPr>
          <w:p w14:paraId="6962C40B" w14:textId="77777777" w:rsidR="00E57010" w:rsidRPr="00EF28E5" w:rsidRDefault="00E57010" w:rsidP="00E57010">
            <w:pPr>
              <w:pStyle w:val="TableText"/>
            </w:pPr>
          </w:p>
        </w:tc>
        <w:tc>
          <w:tcPr>
            <w:tcW w:w="4208" w:type="dxa"/>
          </w:tcPr>
          <w:p w14:paraId="7E5C69F3" w14:textId="4ED0DEF5" w:rsidR="00E57010" w:rsidRDefault="00E57010" w:rsidP="00E57010">
            <w:pPr>
              <w:pStyle w:val="TableText"/>
            </w:pPr>
            <w:r>
              <w:t>Spacing of effective drainage structures on ICR exceeds MSP prescriptions</w:t>
            </w:r>
          </w:p>
        </w:tc>
        <w:tc>
          <w:tcPr>
            <w:tcW w:w="1643" w:type="dxa"/>
          </w:tcPr>
          <w:p w14:paraId="3A599074" w14:textId="4F96B479" w:rsidR="00E57010" w:rsidRDefault="00E57010" w:rsidP="00E57010">
            <w:pPr>
              <w:pStyle w:val="TableText"/>
            </w:pPr>
            <w:r>
              <w:t>19.01 | C2.4.2.5, M6.2.4.1</w:t>
            </w:r>
          </w:p>
        </w:tc>
        <w:tc>
          <w:tcPr>
            <w:tcW w:w="1759" w:type="dxa"/>
          </w:tcPr>
          <w:p w14:paraId="190791AD" w14:textId="7B088F24" w:rsidR="00E57010" w:rsidRDefault="00E57010" w:rsidP="00E57010">
            <w:pPr>
              <w:pStyle w:val="TableText"/>
            </w:pPr>
            <w:r>
              <w:t>Minor</w:t>
            </w:r>
          </w:p>
        </w:tc>
      </w:tr>
      <w:tr w:rsidR="00E57010" w:rsidRPr="00EF28E5" w14:paraId="54BFADC9" w14:textId="77777777" w:rsidTr="00687434">
        <w:tc>
          <w:tcPr>
            <w:tcW w:w="656" w:type="dxa"/>
            <w:tcBorders>
              <w:top w:val="nil"/>
              <w:bottom w:val="nil"/>
            </w:tcBorders>
          </w:tcPr>
          <w:p w14:paraId="234633A4" w14:textId="77777777" w:rsidR="00E57010" w:rsidRPr="00DE5BF8" w:rsidRDefault="00E57010" w:rsidP="00E57010">
            <w:pPr>
              <w:pStyle w:val="TableText"/>
            </w:pPr>
          </w:p>
        </w:tc>
        <w:tc>
          <w:tcPr>
            <w:tcW w:w="1398" w:type="dxa"/>
            <w:tcBorders>
              <w:top w:val="nil"/>
              <w:bottom w:val="nil"/>
            </w:tcBorders>
          </w:tcPr>
          <w:p w14:paraId="5737DEE9" w14:textId="77777777" w:rsidR="00E57010" w:rsidRPr="00EF28E5" w:rsidRDefault="00E57010" w:rsidP="00E57010">
            <w:pPr>
              <w:pStyle w:val="TableText"/>
            </w:pPr>
          </w:p>
        </w:tc>
        <w:tc>
          <w:tcPr>
            <w:tcW w:w="4208" w:type="dxa"/>
            <w:vMerge w:val="restart"/>
          </w:tcPr>
          <w:p w14:paraId="721ABD43" w14:textId="0976E0FF" w:rsidR="00E57010" w:rsidRDefault="00E57010" w:rsidP="00E57010">
            <w:pPr>
              <w:pStyle w:val="TableText"/>
            </w:pPr>
            <w:r>
              <w:t>Culverts on ICR drain has not proper discharge controls leading to potential for erosion</w:t>
            </w:r>
          </w:p>
        </w:tc>
        <w:tc>
          <w:tcPr>
            <w:tcW w:w="1643" w:type="dxa"/>
            <w:vMerge w:val="restart"/>
          </w:tcPr>
          <w:p w14:paraId="06DBAF80" w14:textId="75BDFC4D" w:rsidR="00E57010" w:rsidRDefault="00E57010" w:rsidP="00E57010">
            <w:pPr>
              <w:pStyle w:val="TableText"/>
            </w:pPr>
            <w:r>
              <w:t>19.04, 19.13 | C2.4.2.9, M6.2.4.4, 6.2.5.5</w:t>
            </w:r>
          </w:p>
        </w:tc>
        <w:tc>
          <w:tcPr>
            <w:tcW w:w="1759" w:type="dxa"/>
            <w:vMerge w:val="restart"/>
          </w:tcPr>
          <w:p w14:paraId="34E8743A" w14:textId="29352517" w:rsidR="00E57010" w:rsidRDefault="00E57010" w:rsidP="00E57010">
            <w:pPr>
              <w:pStyle w:val="TableText"/>
            </w:pPr>
            <w:r>
              <w:t>Minor</w:t>
            </w:r>
          </w:p>
        </w:tc>
      </w:tr>
      <w:tr w:rsidR="00E57010" w:rsidRPr="00EF28E5" w14:paraId="7213488F" w14:textId="77777777" w:rsidTr="00687434">
        <w:tc>
          <w:tcPr>
            <w:tcW w:w="656" w:type="dxa"/>
            <w:tcBorders>
              <w:top w:val="nil"/>
            </w:tcBorders>
          </w:tcPr>
          <w:p w14:paraId="5CF22B88" w14:textId="77777777" w:rsidR="00E57010" w:rsidRPr="00DE5BF8" w:rsidRDefault="00E57010" w:rsidP="00E57010">
            <w:pPr>
              <w:pStyle w:val="TableText"/>
            </w:pPr>
          </w:p>
        </w:tc>
        <w:tc>
          <w:tcPr>
            <w:tcW w:w="1398" w:type="dxa"/>
            <w:tcBorders>
              <w:top w:val="nil"/>
            </w:tcBorders>
          </w:tcPr>
          <w:p w14:paraId="517CD560" w14:textId="77777777" w:rsidR="00E57010" w:rsidRPr="00EF28E5" w:rsidRDefault="00E57010" w:rsidP="00E57010">
            <w:pPr>
              <w:pStyle w:val="TableText"/>
            </w:pPr>
          </w:p>
        </w:tc>
        <w:tc>
          <w:tcPr>
            <w:tcW w:w="4208" w:type="dxa"/>
            <w:vMerge/>
          </w:tcPr>
          <w:p w14:paraId="0E1C8873" w14:textId="2964C2B8" w:rsidR="00E57010" w:rsidRDefault="00E57010" w:rsidP="00E57010">
            <w:pPr>
              <w:pStyle w:val="TableText"/>
            </w:pPr>
          </w:p>
        </w:tc>
        <w:tc>
          <w:tcPr>
            <w:tcW w:w="1643" w:type="dxa"/>
            <w:vMerge/>
          </w:tcPr>
          <w:p w14:paraId="77AB59A6" w14:textId="6E0400A0" w:rsidR="00E57010" w:rsidRDefault="00E57010" w:rsidP="00E57010">
            <w:pPr>
              <w:pStyle w:val="TableText"/>
            </w:pPr>
          </w:p>
        </w:tc>
        <w:tc>
          <w:tcPr>
            <w:tcW w:w="1759" w:type="dxa"/>
            <w:vMerge/>
          </w:tcPr>
          <w:p w14:paraId="039B2627" w14:textId="00136191" w:rsidR="00E57010" w:rsidRDefault="00E57010" w:rsidP="00E57010">
            <w:pPr>
              <w:pStyle w:val="TableText"/>
            </w:pPr>
          </w:p>
        </w:tc>
      </w:tr>
      <w:tr w:rsidR="00E57010" w:rsidRPr="00EF28E5" w14:paraId="665EB905" w14:textId="77777777" w:rsidTr="00C31A7B">
        <w:tc>
          <w:tcPr>
            <w:tcW w:w="0" w:type="dxa"/>
            <w:tcBorders>
              <w:bottom w:val="single" w:sz="4" w:space="0" w:color="007D55" w:themeColor="accent1"/>
            </w:tcBorders>
            <w:shd w:val="clear" w:color="auto" w:fill="F7D4DB" w:themeFill="accent3" w:themeFillTint="33"/>
          </w:tcPr>
          <w:p w14:paraId="100FF144" w14:textId="760D7268" w:rsidR="00E57010" w:rsidRPr="00DE5BF8" w:rsidRDefault="00E57010" w:rsidP="00E57010">
            <w:pPr>
              <w:pStyle w:val="TableText"/>
            </w:pPr>
            <w:r>
              <w:t>08</w:t>
            </w:r>
          </w:p>
        </w:tc>
        <w:tc>
          <w:tcPr>
            <w:tcW w:w="0" w:type="dxa"/>
            <w:tcBorders>
              <w:bottom w:val="single" w:sz="4" w:space="0" w:color="007D55" w:themeColor="accent1"/>
            </w:tcBorders>
            <w:shd w:val="clear" w:color="auto" w:fill="F7D4DB" w:themeFill="accent3" w:themeFillTint="33"/>
          </w:tcPr>
          <w:p w14:paraId="4EA76F3B" w14:textId="7CEB06A6" w:rsidR="00E57010" w:rsidRPr="00EF28E5" w:rsidRDefault="00E57010" w:rsidP="00E57010">
            <w:pPr>
              <w:pStyle w:val="TableText"/>
            </w:pPr>
            <w:r>
              <w:t>Philadelphia</w:t>
            </w:r>
          </w:p>
        </w:tc>
        <w:tc>
          <w:tcPr>
            <w:tcW w:w="0" w:type="dxa"/>
            <w:shd w:val="clear" w:color="auto" w:fill="F7D4DB" w:themeFill="accent3" w:themeFillTint="33"/>
          </w:tcPr>
          <w:p w14:paraId="5A069ED5" w14:textId="4BC6D201" w:rsidR="00E57010" w:rsidRDefault="00E57010" w:rsidP="00E57010">
            <w:pPr>
              <w:pStyle w:val="TableText"/>
            </w:pPr>
            <w:r>
              <w:t>Not applicable</w:t>
            </w:r>
          </w:p>
        </w:tc>
        <w:tc>
          <w:tcPr>
            <w:tcW w:w="0" w:type="dxa"/>
            <w:shd w:val="clear" w:color="auto" w:fill="F7D4DB" w:themeFill="accent3" w:themeFillTint="33"/>
          </w:tcPr>
          <w:p w14:paraId="4B083C3A" w14:textId="77777777" w:rsidR="00E57010" w:rsidRDefault="00E57010" w:rsidP="00E57010">
            <w:pPr>
              <w:pStyle w:val="TableText"/>
            </w:pPr>
          </w:p>
        </w:tc>
        <w:tc>
          <w:tcPr>
            <w:tcW w:w="0" w:type="dxa"/>
            <w:shd w:val="clear" w:color="auto" w:fill="F7D4DB" w:themeFill="accent3" w:themeFillTint="33"/>
          </w:tcPr>
          <w:p w14:paraId="15FB57A9" w14:textId="77777777" w:rsidR="00E57010" w:rsidRDefault="00E57010" w:rsidP="00E57010">
            <w:pPr>
              <w:pStyle w:val="TableText"/>
            </w:pPr>
          </w:p>
        </w:tc>
      </w:tr>
      <w:tr w:rsidR="00E57010" w:rsidRPr="00EF28E5" w14:paraId="3412FEF0" w14:textId="77777777" w:rsidTr="00C31A7B">
        <w:tc>
          <w:tcPr>
            <w:tcW w:w="0" w:type="dxa"/>
            <w:tcBorders>
              <w:bottom w:val="single" w:sz="4" w:space="0" w:color="007D55" w:themeColor="accent1"/>
            </w:tcBorders>
          </w:tcPr>
          <w:p w14:paraId="5AECF1B8" w14:textId="5F6B0CB5" w:rsidR="00E57010" w:rsidRPr="00DE5BF8" w:rsidRDefault="00E57010" w:rsidP="00E57010">
            <w:pPr>
              <w:pStyle w:val="TableText"/>
            </w:pPr>
            <w:r>
              <w:t>09</w:t>
            </w:r>
          </w:p>
        </w:tc>
        <w:tc>
          <w:tcPr>
            <w:tcW w:w="0" w:type="dxa"/>
            <w:tcBorders>
              <w:bottom w:val="single" w:sz="4" w:space="0" w:color="007D55" w:themeColor="accent1"/>
            </w:tcBorders>
          </w:tcPr>
          <w:p w14:paraId="4F02182E" w14:textId="28D36614" w:rsidR="00E57010" w:rsidRPr="00EF28E5" w:rsidRDefault="00E57010" w:rsidP="00E57010">
            <w:pPr>
              <w:pStyle w:val="TableText"/>
            </w:pPr>
            <w:r>
              <w:t>Quinn</w:t>
            </w:r>
          </w:p>
        </w:tc>
        <w:tc>
          <w:tcPr>
            <w:tcW w:w="0" w:type="dxa"/>
          </w:tcPr>
          <w:p w14:paraId="5A3B23C6" w14:textId="0B1F9230" w:rsidR="00E57010" w:rsidRDefault="00E57010" w:rsidP="00E57010">
            <w:pPr>
              <w:pStyle w:val="TableText"/>
            </w:pPr>
            <w:r>
              <w:t>Spacing between effective BT drainage structures exceeds UP prescriptions</w:t>
            </w:r>
          </w:p>
        </w:tc>
        <w:tc>
          <w:tcPr>
            <w:tcW w:w="0" w:type="dxa"/>
          </w:tcPr>
          <w:p w14:paraId="29D8568C" w14:textId="4FC533F2" w:rsidR="00E57010" w:rsidRDefault="00E57010" w:rsidP="00E57010">
            <w:pPr>
              <w:pStyle w:val="TableText"/>
            </w:pPr>
            <w:r>
              <w:t>22.18, 22.26 | M7.2.3.3, 2.5.2.5</w:t>
            </w:r>
          </w:p>
        </w:tc>
        <w:tc>
          <w:tcPr>
            <w:tcW w:w="0" w:type="dxa"/>
          </w:tcPr>
          <w:p w14:paraId="6B7CF6BF" w14:textId="178C1DB5" w:rsidR="00E57010" w:rsidRDefault="00E57010" w:rsidP="00E57010">
            <w:pPr>
              <w:pStyle w:val="TableText"/>
            </w:pPr>
            <w:r>
              <w:t>Negligible</w:t>
            </w:r>
          </w:p>
        </w:tc>
      </w:tr>
      <w:tr w:rsidR="00E57010" w:rsidRPr="00EF28E5" w14:paraId="14FC5059" w14:textId="77777777" w:rsidTr="00C31A7B">
        <w:tc>
          <w:tcPr>
            <w:tcW w:w="0" w:type="dxa"/>
            <w:tcBorders>
              <w:top w:val="single" w:sz="4" w:space="0" w:color="007D55" w:themeColor="accent1"/>
              <w:bottom w:val="single" w:sz="4" w:space="0" w:color="007D55" w:themeColor="accent1"/>
            </w:tcBorders>
          </w:tcPr>
          <w:p w14:paraId="57CB1946" w14:textId="77777777" w:rsidR="00E57010" w:rsidRPr="00DE5BF8" w:rsidRDefault="00E57010" w:rsidP="00E57010">
            <w:pPr>
              <w:pStyle w:val="TableText"/>
            </w:pPr>
          </w:p>
        </w:tc>
        <w:tc>
          <w:tcPr>
            <w:tcW w:w="0" w:type="dxa"/>
            <w:tcBorders>
              <w:top w:val="single" w:sz="4" w:space="0" w:color="007D55" w:themeColor="accent1"/>
              <w:bottom w:val="single" w:sz="4" w:space="0" w:color="007D55" w:themeColor="accent1"/>
            </w:tcBorders>
          </w:tcPr>
          <w:p w14:paraId="25957556" w14:textId="77777777" w:rsidR="00E57010" w:rsidRPr="00EF28E5" w:rsidRDefault="00E57010" w:rsidP="00E57010">
            <w:pPr>
              <w:pStyle w:val="TableText"/>
            </w:pPr>
          </w:p>
        </w:tc>
        <w:tc>
          <w:tcPr>
            <w:tcW w:w="0" w:type="dxa"/>
          </w:tcPr>
          <w:p w14:paraId="68D88CD1" w14:textId="2AD83B59" w:rsidR="00E57010" w:rsidRDefault="00E57010" w:rsidP="00E57010">
            <w:pPr>
              <w:pStyle w:val="TableText"/>
            </w:pPr>
            <w:r>
              <w:t>Barrier to entry to rehabilitated coupe removed and not reinstated</w:t>
            </w:r>
          </w:p>
        </w:tc>
        <w:tc>
          <w:tcPr>
            <w:tcW w:w="0" w:type="dxa"/>
          </w:tcPr>
          <w:p w14:paraId="569F29A2" w14:textId="2B709E8C" w:rsidR="00E57010" w:rsidRDefault="00E57010" w:rsidP="00E57010">
            <w:pPr>
              <w:pStyle w:val="TableText"/>
            </w:pPr>
            <w:r>
              <w:t>20.04 | M6.4.1.3</w:t>
            </w:r>
          </w:p>
        </w:tc>
        <w:tc>
          <w:tcPr>
            <w:tcW w:w="0" w:type="dxa"/>
          </w:tcPr>
          <w:p w14:paraId="330D016C" w14:textId="766FF0E4" w:rsidR="00E57010" w:rsidRDefault="00E57010" w:rsidP="00E57010">
            <w:pPr>
              <w:pStyle w:val="TableText"/>
            </w:pPr>
            <w:r>
              <w:t>Negligible</w:t>
            </w:r>
          </w:p>
        </w:tc>
      </w:tr>
      <w:tr w:rsidR="00E57010" w:rsidRPr="00EF28E5" w14:paraId="5430AC64" w14:textId="77777777" w:rsidTr="00687434">
        <w:tc>
          <w:tcPr>
            <w:tcW w:w="656" w:type="dxa"/>
            <w:tcBorders>
              <w:bottom w:val="nil"/>
            </w:tcBorders>
          </w:tcPr>
          <w:p w14:paraId="4745AD01" w14:textId="39343F2E" w:rsidR="00E57010" w:rsidRPr="00DE5BF8" w:rsidRDefault="00E57010" w:rsidP="00E57010">
            <w:pPr>
              <w:pStyle w:val="TableText"/>
            </w:pPr>
            <w:r>
              <w:t>10</w:t>
            </w:r>
          </w:p>
        </w:tc>
        <w:tc>
          <w:tcPr>
            <w:tcW w:w="1398" w:type="dxa"/>
            <w:tcBorders>
              <w:bottom w:val="nil"/>
            </w:tcBorders>
          </w:tcPr>
          <w:p w14:paraId="570AD216" w14:textId="24688E72" w:rsidR="00E57010" w:rsidRPr="00EF28E5" w:rsidRDefault="00E57010" w:rsidP="00E57010">
            <w:pPr>
              <w:pStyle w:val="TableText"/>
            </w:pPr>
            <w:r>
              <w:t>Amity Island</w:t>
            </w:r>
          </w:p>
        </w:tc>
        <w:tc>
          <w:tcPr>
            <w:tcW w:w="4208" w:type="dxa"/>
            <w:vMerge w:val="restart"/>
          </w:tcPr>
          <w:p w14:paraId="58D1A762" w14:textId="64F13B09" w:rsidR="00E57010" w:rsidRDefault="00E57010" w:rsidP="00E57010">
            <w:pPr>
              <w:pStyle w:val="TableText"/>
            </w:pPr>
            <w:r>
              <w:t>Harvesting activity incursion into Leadbeaters Possum SPZ</w:t>
            </w:r>
          </w:p>
        </w:tc>
        <w:tc>
          <w:tcPr>
            <w:tcW w:w="1643" w:type="dxa"/>
            <w:vMerge w:val="restart"/>
          </w:tcPr>
          <w:p w14:paraId="7E0F52C8" w14:textId="12B932D5" w:rsidR="00E57010" w:rsidRDefault="00E57010" w:rsidP="00E57010">
            <w:pPr>
              <w:pStyle w:val="TableText"/>
            </w:pPr>
            <w:r>
              <w:t>9.04, 13.01, 14.04, 21.01, 21.04 | C2.2.2.4/5, 2.3.1.2, 2.5.1.2 M2.4.1.1, 7.1.2.1</w:t>
            </w:r>
          </w:p>
        </w:tc>
        <w:tc>
          <w:tcPr>
            <w:tcW w:w="1759" w:type="dxa"/>
            <w:vMerge w:val="restart"/>
          </w:tcPr>
          <w:p w14:paraId="2CE7D059" w14:textId="0E779028" w:rsidR="00E57010" w:rsidRDefault="00E57010" w:rsidP="00E57010">
            <w:pPr>
              <w:pStyle w:val="TableText"/>
            </w:pPr>
            <w:r>
              <w:t>Major</w:t>
            </w:r>
          </w:p>
        </w:tc>
      </w:tr>
      <w:tr w:rsidR="00E57010" w:rsidRPr="00EF28E5" w14:paraId="07133152" w14:textId="77777777" w:rsidTr="00687434">
        <w:tc>
          <w:tcPr>
            <w:tcW w:w="656" w:type="dxa"/>
            <w:tcBorders>
              <w:top w:val="nil"/>
              <w:bottom w:val="nil"/>
            </w:tcBorders>
          </w:tcPr>
          <w:p w14:paraId="6A524BCC" w14:textId="77777777" w:rsidR="00E57010" w:rsidRPr="00DE5BF8" w:rsidRDefault="00E57010" w:rsidP="00E57010">
            <w:pPr>
              <w:pStyle w:val="TableText"/>
            </w:pPr>
          </w:p>
        </w:tc>
        <w:tc>
          <w:tcPr>
            <w:tcW w:w="1398" w:type="dxa"/>
            <w:tcBorders>
              <w:top w:val="nil"/>
              <w:bottom w:val="nil"/>
            </w:tcBorders>
          </w:tcPr>
          <w:p w14:paraId="7232B848" w14:textId="77777777" w:rsidR="00E57010" w:rsidRPr="00EF28E5" w:rsidRDefault="00E57010" w:rsidP="00E57010">
            <w:pPr>
              <w:pStyle w:val="TableText"/>
            </w:pPr>
          </w:p>
        </w:tc>
        <w:tc>
          <w:tcPr>
            <w:tcW w:w="4208" w:type="dxa"/>
            <w:vMerge/>
          </w:tcPr>
          <w:p w14:paraId="5F14CD34" w14:textId="0F6BBD88" w:rsidR="00E57010" w:rsidRDefault="00E57010" w:rsidP="00E57010">
            <w:pPr>
              <w:pStyle w:val="TableText"/>
            </w:pPr>
          </w:p>
        </w:tc>
        <w:tc>
          <w:tcPr>
            <w:tcW w:w="1643" w:type="dxa"/>
            <w:vMerge/>
          </w:tcPr>
          <w:p w14:paraId="3C112E70" w14:textId="3330C430" w:rsidR="00E57010" w:rsidRDefault="00E57010" w:rsidP="00E57010">
            <w:pPr>
              <w:pStyle w:val="TableText"/>
            </w:pPr>
          </w:p>
        </w:tc>
        <w:tc>
          <w:tcPr>
            <w:tcW w:w="1759" w:type="dxa"/>
            <w:vMerge/>
          </w:tcPr>
          <w:p w14:paraId="7A2F63C3" w14:textId="12D86FA1" w:rsidR="00E57010" w:rsidRDefault="00E57010" w:rsidP="00E57010">
            <w:pPr>
              <w:pStyle w:val="TableText"/>
            </w:pPr>
          </w:p>
        </w:tc>
      </w:tr>
      <w:tr w:rsidR="00E57010" w:rsidRPr="00EF28E5" w14:paraId="222D4F35" w14:textId="77777777" w:rsidTr="00687434">
        <w:tc>
          <w:tcPr>
            <w:tcW w:w="656" w:type="dxa"/>
            <w:tcBorders>
              <w:top w:val="nil"/>
            </w:tcBorders>
          </w:tcPr>
          <w:p w14:paraId="0657C579" w14:textId="77777777" w:rsidR="00E57010" w:rsidRPr="00DE5BF8" w:rsidRDefault="00E57010" w:rsidP="00E57010">
            <w:pPr>
              <w:pStyle w:val="TableText"/>
            </w:pPr>
          </w:p>
        </w:tc>
        <w:tc>
          <w:tcPr>
            <w:tcW w:w="1398" w:type="dxa"/>
            <w:tcBorders>
              <w:top w:val="nil"/>
            </w:tcBorders>
          </w:tcPr>
          <w:p w14:paraId="703F6CA6" w14:textId="77777777" w:rsidR="00E57010" w:rsidRPr="00EF28E5" w:rsidRDefault="00E57010" w:rsidP="00E57010">
            <w:pPr>
              <w:pStyle w:val="TableText"/>
            </w:pPr>
          </w:p>
        </w:tc>
        <w:tc>
          <w:tcPr>
            <w:tcW w:w="4208" w:type="dxa"/>
          </w:tcPr>
          <w:p w14:paraId="1EE14207" w14:textId="70FFFA5D" w:rsidR="00E57010" w:rsidRDefault="00E57010" w:rsidP="00E57010">
            <w:pPr>
              <w:pStyle w:val="TableText"/>
            </w:pPr>
            <w:r>
              <w:t>Effective drain spacings on ST exceeds UP prescriptions</w:t>
            </w:r>
          </w:p>
        </w:tc>
        <w:tc>
          <w:tcPr>
            <w:tcW w:w="1643" w:type="dxa"/>
          </w:tcPr>
          <w:p w14:paraId="42AED478" w14:textId="716C4B75" w:rsidR="00E57010" w:rsidRDefault="00E57010" w:rsidP="00E57010">
            <w:pPr>
              <w:pStyle w:val="TableText"/>
            </w:pPr>
            <w:r>
              <w:t>22.26 | C2.5.2.5</w:t>
            </w:r>
          </w:p>
        </w:tc>
        <w:tc>
          <w:tcPr>
            <w:tcW w:w="1759" w:type="dxa"/>
          </w:tcPr>
          <w:p w14:paraId="4819D5D6" w14:textId="05402F9A" w:rsidR="00E57010" w:rsidRDefault="00E57010" w:rsidP="00E57010">
            <w:pPr>
              <w:pStyle w:val="TableText"/>
            </w:pPr>
            <w:r>
              <w:t>Minor</w:t>
            </w:r>
          </w:p>
        </w:tc>
      </w:tr>
      <w:tr w:rsidR="00E57010" w:rsidRPr="00EF28E5" w14:paraId="6A106BBD" w14:textId="77777777" w:rsidTr="00687434">
        <w:tc>
          <w:tcPr>
            <w:tcW w:w="656" w:type="dxa"/>
            <w:tcBorders>
              <w:bottom w:val="single" w:sz="4" w:space="0" w:color="007D55" w:themeColor="accent1"/>
            </w:tcBorders>
            <w:shd w:val="clear" w:color="auto" w:fill="F7D4DB" w:themeFill="accent3" w:themeFillTint="33"/>
          </w:tcPr>
          <w:p w14:paraId="0281945B" w14:textId="48691F50" w:rsidR="00E57010" w:rsidRPr="00DE5BF8" w:rsidRDefault="00E57010" w:rsidP="00E57010">
            <w:pPr>
              <w:pStyle w:val="TableText"/>
            </w:pPr>
            <w:r>
              <w:t>11</w:t>
            </w:r>
          </w:p>
        </w:tc>
        <w:tc>
          <w:tcPr>
            <w:tcW w:w="1398" w:type="dxa"/>
            <w:tcBorders>
              <w:bottom w:val="single" w:sz="4" w:space="0" w:color="007D55" w:themeColor="accent1"/>
            </w:tcBorders>
            <w:shd w:val="clear" w:color="auto" w:fill="F7D4DB" w:themeFill="accent3" w:themeFillTint="33"/>
          </w:tcPr>
          <w:p w14:paraId="40250FD2" w14:textId="03E319D5" w:rsidR="00E57010" w:rsidRPr="00EF28E5" w:rsidRDefault="00E57010" w:rsidP="00E57010">
            <w:pPr>
              <w:pStyle w:val="TableText"/>
            </w:pPr>
            <w:r>
              <w:t>Annex</w:t>
            </w:r>
          </w:p>
        </w:tc>
        <w:tc>
          <w:tcPr>
            <w:tcW w:w="4208" w:type="dxa"/>
            <w:shd w:val="clear" w:color="auto" w:fill="F7D4DB" w:themeFill="accent3" w:themeFillTint="33"/>
          </w:tcPr>
          <w:p w14:paraId="7AE1AB5D" w14:textId="5459BC94" w:rsidR="00E57010" w:rsidRDefault="00E57010" w:rsidP="00E57010">
            <w:pPr>
              <w:pStyle w:val="TableText"/>
            </w:pPr>
            <w:r>
              <w:t>Not applicable</w:t>
            </w:r>
          </w:p>
        </w:tc>
        <w:tc>
          <w:tcPr>
            <w:tcW w:w="1643" w:type="dxa"/>
            <w:shd w:val="clear" w:color="auto" w:fill="F7D4DB" w:themeFill="accent3" w:themeFillTint="33"/>
          </w:tcPr>
          <w:p w14:paraId="3E78071F" w14:textId="77777777" w:rsidR="00E57010" w:rsidRDefault="00E57010" w:rsidP="00E57010">
            <w:pPr>
              <w:pStyle w:val="TableText"/>
            </w:pPr>
          </w:p>
        </w:tc>
        <w:tc>
          <w:tcPr>
            <w:tcW w:w="1759" w:type="dxa"/>
            <w:shd w:val="clear" w:color="auto" w:fill="F7D4DB" w:themeFill="accent3" w:themeFillTint="33"/>
          </w:tcPr>
          <w:p w14:paraId="1DB5FF50" w14:textId="77777777" w:rsidR="00E57010" w:rsidRDefault="00E57010" w:rsidP="00E57010">
            <w:pPr>
              <w:pStyle w:val="TableText"/>
            </w:pPr>
          </w:p>
        </w:tc>
      </w:tr>
      <w:tr w:rsidR="00E57010" w:rsidRPr="00EF28E5" w14:paraId="2AD5CBE4" w14:textId="77777777" w:rsidTr="00687434">
        <w:tc>
          <w:tcPr>
            <w:tcW w:w="656" w:type="dxa"/>
            <w:tcBorders>
              <w:bottom w:val="nil"/>
            </w:tcBorders>
          </w:tcPr>
          <w:p w14:paraId="13021D09" w14:textId="3A62A4B8" w:rsidR="00E57010" w:rsidRPr="00DE5BF8" w:rsidRDefault="00E57010" w:rsidP="00E57010">
            <w:pPr>
              <w:pStyle w:val="TableText"/>
            </w:pPr>
            <w:r>
              <w:t>12</w:t>
            </w:r>
          </w:p>
        </w:tc>
        <w:tc>
          <w:tcPr>
            <w:tcW w:w="1398" w:type="dxa"/>
            <w:tcBorders>
              <w:bottom w:val="nil"/>
            </w:tcBorders>
          </w:tcPr>
          <w:p w14:paraId="5320A0E9" w14:textId="7556045A" w:rsidR="00E57010" w:rsidRPr="00EF28E5" w:rsidRDefault="00E57010" w:rsidP="00E57010">
            <w:pPr>
              <w:pStyle w:val="TableText"/>
            </w:pPr>
            <w:r>
              <w:t>Puerile</w:t>
            </w:r>
          </w:p>
        </w:tc>
        <w:tc>
          <w:tcPr>
            <w:tcW w:w="4208" w:type="dxa"/>
          </w:tcPr>
          <w:p w14:paraId="4C74C48C" w14:textId="4B849518" w:rsidR="00E57010" w:rsidRDefault="00E57010" w:rsidP="00E57010">
            <w:pPr>
              <w:pStyle w:val="TableText"/>
            </w:pPr>
            <w:r>
              <w:t>Spacing of effective drainage structures on ICR exceeds MSP prescriptions</w:t>
            </w:r>
          </w:p>
        </w:tc>
        <w:tc>
          <w:tcPr>
            <w:tcW w:w="1643" w:type="dxa"/>
          </w:tcPr>
          <w:p w14:paraId="36A50E8B" w14:textId="091D7379" w:rsidR="00E57010" w:rsidRDefault="00E57010" w:rsidP="00E57010">
            <w:pPr>
              <w:pStyle w:val="TableText"/>
            </w:pPr>
            <w:r>
              <w:t>17.02, 19.01, 21.01 | C2.4.3.2, 2.4.2.5, 2.5.1.2, M6.2.4.1</w:t>
            </w:r>
          </w:p>
        </w:tc>
        <w:tc>
          <w:tcPr>
            <w:tcW w:w="1759" w:type="dxa"/>
          </w:tcPr>
          <w:p w14:paraId="752BC29C" w14:textId="373F30E6" w:rsidR="00E57010" w:rsidRDefault="00E57010" w:rsidP="00E57010">
            <w:pPr>
              <w:pStyle w:val="TableText"/>
            </w:pPr>
            <w:r>
              <w:t>Minor</w:t>
            </w:r>
          </w:p>
        </w:tc>
      </w:tr>
      <w:tr w:rsidR="00E57010" w:rsidRPr="00EF28E5" w14:paraId="0493B588" w14:textId="77777777" w:rsidTr="00687434">
        <w:tc>
          <w:tcPr>
            <w:tcW w:w="656" w:type="dxa"/>
            <w:tcBorders>
              <w:top w:val="nil"/>
              <w:bottom w:val="single" w:sz="4" w:space="0" w:color="007D55" w:themeColor="accent1"/>
            </w:tcBorders>
          </w:tcPr>
          <w:p w14:paraId="66FBAEFC" w14:textId="77777777" w:rsidR="00E57010" w:rsidRPr="00DE5BF8" w:rsidRDefault="00E57010" w:rsidP="00E57010">
            <w:pPr>
              <w:pStyle w:val="TableText"/>
            </w:pPr>
          </w:p>
        </w:tc>
        <w:tc>
          <w:tcPr>
            <w:tcW w:w="1398" w:type="dxa"/>
            <w:tcBorders>
              <w:top w:val="nil"/>
              <w:bottom w:val="single" w:sz="4" w:space="0" w:color="007D55" w:themeColor="accent1"/>
            </w:tcBorders>
          </w:tcPr>
          <w:p w14:paraId="6074EC7C" w14:textId="77777777" w:rsidR="00E57010" w:rsidRPr="00EF28E5" w:rsidRDefault="00E57010" w:rsidP="00E57010">
            <w:pPr>
              <w:pStyle w:val="TableText"/>
            </w:pPr>
          </w:p>
        </w:tc>
        <w:tc>
          <w:tcPr>
            <w:tcW w:w="4208" w:type="dxa"/>
          </w:tcPr>
          <w:p w14:paraId="45A02DFA" w14:textId="4ECF1B10" w:rsidR="00E57010" w:rsidRDefault="00E57010" w:rsidP="00E57010">
            <w:pPr>
              <w:pStyle w:val="TableText"/>
            </w:pPr>
            <w:r>
              <w:t xml:space="preserve">Damage to ST drainage contributing to soil movement </w:t>
            </w:r>
          </w:p>
        </w:tc>
        <w:tc>
          <w:tcPr>
            <w:tcW w:w="1643" w:type="dxa"/>
          </w:tcPr>
          <w:p w14:paraId="2D10A877" w14:textId="38543DD5" w:rsidR="00E57010" w:rsidRDefault="00E57010" w:rsidP="00E57010">
            <w:pPr>
              <w:pStyle w:val="TableText"/>
            </w:pPr>
            <w:r>
              <w:t>22.06 | M7.2.2.1</w:t>
            </w:r>
          </w:p>
        </w:tc>
        <w:tc>
          <w:tcPr>
            <w:tcW w:w="1759" w:type="dxa"/>
          </w:tcPr>
          <w:p w14:paraId="731B9799" w14:textId="2D51D742" w:rsidR="00E57010" w:rsidRDefault="00E57010" w:rsidP="00E57010">
            <w:pPr>
              <w:pStyle w:val="TableText"/>
            </w:pPr>
            <w:r>
              <w:t>Negligible</w:t>
            </w:r>
          </w:p>
        </w:tc>
      </w:tr>
      <w:tr w:rsidR="00E57010" w:rsidRPr="00EF28E5" w14:paraId="58F51BF4" w14:textId="77777777" w:rsidTr="00687434">
        <w:tc>
          <w:tcPr>
            <w:tcW w:w="656" w:type="dxa"/>
            <w:tcBorders>
              <w:bottom w:val="nil"/>
            </w:tcBorders>
          </w:tcPr>
          <w:p w14:paraId="6BBFF18B" w14:textId="4722482C" w:rsidR="00E57010" w:rsidRPr="00DE5BF8" w:rsidRDefault="00E57010" w:rsidP="00E57010">
            <w:pPr>
              <w:pStyle w:val="TableText"/>
            </w:pPr>
            <w:r>
              <w:t>13</w:t>
            </w:r>
          </w:p>
        </w:tc>
        <w:tc>
          <w:tcPr>
            <w:tcW w:w="1398" w:type="dxa"/>
            <w:tcBorders>
              <w:bottom w:val="nil"/>
            </w:tcBorders>
          </w:tcPr>
          <w:p w14:paraId="3DA25DCD" w14:textId="0937A2E5" w:rsidR="00E57010" w:rsidRPr="00EF28E5" w:rsidRDefault="00E57010" w:rsidP="00E57010">
            <w:pPr>
              <w:pStyle w:val="TableText"/>
            </w:pPr>
            <w:r>
              <w:t>Jandles</w:t>
            </w:r>
          </w:p>
        </w:tc>
        <w:tc>
          <w:tcPr>
            <w:tcW w:w="4208" w:type="dxa"/>
          </w:tcPr>
          <w:p w14:paraId="19B6C6FA" w14:textId="556C6C11" w:rsidR="00E57010" w:rsidRDefault="00E57010" w:rsidP="00E57010">
            <w:pPr>
              <w:pStyle w:val="TableText"/>
            </w:pPr>
            <w:r>
              <w:t>Spacing of effective drainage structures on ST exceeds UP prescriptions</w:t>
            </w:r>
          </w:p>
        </w:tc>
        <w:tc>
          <w:tcPr>
            <w:tcW w:w="1643" w:type="dxa"/>
          </w:tcPr>
          <w:p w14:paraId="13FC1B72" w14:textId="14D552AE" w:rsidR="00E57010" w:rsidRDefault="00E57010" w:rsidP="00E57010">
            <w:pPr>
              <w:pStyle w:val="TableText"/>
            </w:pPr>
            <w:r>
              <w:t>22.26 | C2.5.2.5</w:t>
            </w:r>
          </w:p>
        </w:tc>
        <w:tc>
          <w:tcPr>
            <w:tcW w:w="1759" w:type="dxa"/>
          </w:tcPr>
          <w:p w14:paraId="49B5A7D9" w14:textId="306AFD42" w:rsidR="00E57010" w:rsidRDefault="00E57010" w:rsidP="00E57010">
            <w:pPr>
              <w:pStyle w:val="TableText"/>
            </w:pPr>
            <w:r>
              <w:t>Minor</w:t>
            </w:r>
          </w:p>
        </w:tc>
      </w:tr>
      <w:tr w:rsidR="00E57010" w:rsidRPr="00EF28E5" w14:paraId="30F6DDD4" w14:textId="77777777" w:rsidTr="00687434">
        <w:tc>
          <w:tcPr>
            <w:tcW w:w="656" w:type="dxa"/>
            <w:tcBorders>
              <w:top w:val="nil"/>
            </w:tcBorders>
          </w:tcPr>
          <w:p w14:paraId="4E3E3D9A" w14:textId="77777777" w:rsidR="00E57010" w:rsidRPr="00DE5BF8" w:rsidRDefault="00E57010" w:rsidP="00E57010">
            <w:pPr>
              <w:pStyle w:val="TableText"/>
            </w:pPr>
          </w:p>
        </w:tc>
        <w:tc>
          <w:tcPr>
            <w:tcW w:w="1398" w:type="dxa"/>
            <w:tcBorders>
              <w:top w:val="nil"/>
            </w:tcBorders>
          </w:tcPr>
          <w:p w14:paraId="44CE0E3E" w14:textId="77777777" w:rsidR="00E57010" w:rsidRPr="00EF28E5" w:rsidRDefault="00E57010" w:rsidP="00E57010">
            <w:pPr>
              <w:pStyle w:val="TableText"/>
            </w:pPr>
          </w:p>
        </w:tc>
        <w:tc>
          <w:tcPr>
            <w:tcW w:w="4208" w:type="dxa"/>
          </w:tcPr>
          <w:p w14:paraId="5412AE27" w14:textId="40DBA9D5" w:rsidR="00E57010" w:rsidRDefault="00E57010" w:rsidP="00E57010">
            <w:pPr>
              <w:pStyle w:val="TableText"/>
            </w:pPr>
            <w:r>
              <w:t>ST constructed through temporary stream</w:t>
            </w:r>
          </w:p>
        </w:tc>
        <w:tc>
          <w:tcPr>
            <w:tcW w:w="1643" w:type="dxa"/>
          </w:tcPr>
          <w:p w14:paraId="6BAFFE69" w14:textId="123B6552" w:rsidR="00E57010" w:rsidRDefault="00E57010" w:rsidP="00E57010">
            <w:pPr>
              <w:pStyle w:val="TableText"/>
            </w:pPr>
            <w:r>
              <w:t>6.01, 6.03, 21.01, 22.01 | C2.2.1.1/3, 2.5.1.2, M7.2.1.1</w:t>
            </w:r>
          </w:p>
        </w:tc>
        <w:tc>
          <w:tcPr>
            <w:tcW w:w="1759" w:type="dxa"/>
          </w:tcPr>
          <w:p w14:paraId="59BFDFBB" w14:textId="3B7AA251" w:rsidR="00E57010" w:rsidRDefault="00E57010" w:rsidP="00E57010">
            <w:pPr>
              <w:pStyle w:val="TableText"/>
            </w:pPr>
            <w:r>
              <w:t>Moderate</w:t>
            </w:r>
          </w:p>
        </w:tc>
      </w:tr>
      <w:tr w:rsidR="00E57010" w:rsidRPr="00EF28E5" w14:paraId="32846285" w14:textId="77777777" w:rsidTr="00687434">
        <w:tc>
          <w:tcPr>
            <w:tcW w:w="656" w:type="dxa"/>
          </w:tcPr>
          <w:p w14:paraId="6734A16C" w14:textId="376A8AE6" w:rsidR="00E57010" w:rsidRPr="00DE5BF8" w:rsidRDefault="00E57010" w:rsidP="00E57010">
            <w:pPr>
              <w:pStyle w:val="TableText"/>
            </w:pPr>
            <w:r>
              <w:t>14</w:t>
            </w:r>
          </w:p>
        </w:tc>
        <w:tc>
          <w:tcPr>
            <w:tcW w:w="1398" w:type="dxa"/>
          </w:tcPr>
          <w:p w14:paraId="69218D57" w14:textId="448B14DD" w:rsidR="00E57010" w:rsidRPr="00EF28E5" w:rsidRDefault="00E57010" w:rsidP="00E57010">
            <w:pPr>
              <w:pStyle w:val="TableText"/>
            </w:pPr>
            <w:r>
              <w:t>Gibb Range 1</w:t>
            </w:r>
          </w:p>
        </w:tc>
        <w:tc>
          <w:tcPr>
            <w:tcW w:w="4208" w:type="dxa"/>
          </w:tcPr>
          <w:p w14:paraId="50FDF82F" w14:textId="6AB1C49B" w:rsidR="00E57010" w:rsidRDefault="00E57010" w:rsidP="00E57010">
            <w:pPr>
              <w:pStyle w:val="TableText"/>
            </w:pPr>
            <w:r>
              <w:t>Spacing of effective drainage structures on ST exceeds UP prescriptions</w:t>
            </w:r>
          </w:p>
        </w:tc>
        <w:tc>
          <w:tcPr>
            <w:tcW w:w="1643" w:type="dxa"/>
          </w:tcPr>
          <w:p w14:paraId="3A2715A4" w14:textId="4725800C" w:rsidR="00E57010" w:rsidRDefault="00E57010" w:rsidP="00E57010">
            <w:pPr>
              <w:pStyle w:val="TableText"/>
            </w:pPr>
            <w:r>
              <w:t>15.10, 21.01, 22.26 | C2.5.1.2, 2.5.2.5, M8.1.5.5</w:t>
            </w:r>
          </w:p>
        </w:tc>
        <w:tc>
          <w:tcPr>
            <w:tcW w:w="1759" w:type="dxa"/>
          </w:tcPr>
          <w:p w14:paraId="08760401" w14:textId="310048DE" w:rsidR="00E57010" w:rsidRDefault="00E57010" w:rsidP="00E57010">
            <w:pPr>
              <w:pStyle w:val="TableText"/>
            </w:pPr>
            <w:r>
              <w:t>Minor</w:t>
            </w:r>
          </w:p>
        </w:tc>
      </w:tr>
      <w:tr w:rsidR="00E57010" w:rsidRPr="00EF28E5" w14:paraId="23D08964" w14:textId="77777777" w:rsidTr="00687434">
        <w:tc>
          <w:tcPr>
            <w:tcW w:w="656" w:type="dxa"/>
            <w:shd w:val="clear" w:color="auto" w:fill="F7D4DB" w:themeFill="accent3" w:themeFillTint="33"/>
          </w:tcPr>
          <w:p w14:paraId="25D793A9" w14:textId="3BC64306" w:rsidR="00E57010" w:rsidRPr="00DE5BF8" w:rsidRDefault="00E57010" w:rsidP="00E57010">
            <w:pPr>
              <w:pStyle w:val="TableText"/>
            </w:pPr>
            <w:r>
              <w:t>15</w:t>
            </w:r>
          </w:p>
        </w:tc>
        <w:tc>
          <w:tcPr>
            <w:tcW w:w="1398" w:type="dxa"/>
            <w:shd w:val="clear" w:color="auto" w:fill="F7D4DB" w:themeFill="accent3" w:themeFillTint="33"/>
          </w:tcPr>
          <w:p w14:paraId="5A489129" w14:textId="4006143A" w:rsidR="00E57010" w:rsidRPr="00EF28E5" w:rsidRDefault="00E57010" w:rsidP="00E57010">
            <w:pPr>
              <w:pStyle w:val="TableText"/>
            </w:pPr>
            <w:r>
              <w:t>Lower Gibb</w:t>
            </w:r>
          </w:p>
        </w:tc>
        <w:tc>
          <w:tcPr>
            <w:tcW w:w="4208" w:type="dxa"/>
            <w:shd w:val="clear" w:color="auto" w:fill="F7D4DB" w:themeFill="accent3" w:themeFillTint="33"/>
          </w:tcPr>
          <w:p w14:paraId="69BE4677" w14:textId="2A77879F" w:rsidR="00E57010" w:rsidRDefault="00E57010" w:rsidP="00E57010">
            <w:pPr>
              <w:pStyle w:val="TableText"/>
            </w:pPr>
            <w:r>
              <w:t>Not applicable</w:t>
            </w:r>
          </w:p>
        </w:tc>
        <w:tc>
          <w:tcPr>
            <w:tcW w:w="1643" w:type="dxa"/>
            <w:shd w:val="clear" w:color="auto" w:fill="F7D4DB" w:themeFill="accent3" w:themeFillTint="33"/>
          </w:tcPr>
          <w:p w14:paraId="43A22875" w14:textId="77777777" w:rsidR="00E57010" w:rsidRDefault="00E57010" w:rsidP="00E57010">
            <w:pPr>
              <w:pStyle w:val="TableText"/>
            </w:pPr>
          </w:p>
        </w:tc>
        <w:tc>
          <w:tcPr>
            <w:tcW w:w="1759" w:type="dxa"/>
            <w:shd w:val="clear" w:color="auto" w:fill="F7D4DB" w:themeFill="accent3" w:themeFillTint="33"/>
          </w:tcPr>
          <w:p w14:paraId="3EF6F98E" w14:textId="77777777" w:rsidR="00E57010" w:rsidRDefault="00E57010" w:rsidP="00E57010">
            <w:pPr>
              <w:pStyle w:val="TableText"/>
            </w:pPr>
          </w:p>
        </w:tc>
      </w:tr>
      <w:tr w:rsidR="00E57010" w:rsidRPr="00EF28E5" w14:paraId="4F509EBA" w14:textId="77777777" w:rsidTr="00687434">
        <w:tc>
          <w:tcPr>
            <w:tcW w:w="656" w:type="dxa"/>
          </w:tcPr>
          <w:p w14:paraId="12337BC6" w14:textId="4442D953" w:rsidR="00E57010" w:rsidRPr="00DE5BF8" w:rsidRDefault="00E57010" w:rsidP="00E57010">
            <w:pPr>
              <w:pStyle w:val="TableText"/>
            </w:pPr>
            <w:r>
              <w:t>16</w:t>
            </w:r>
          </w:p>
        </w:tc>
        <w:tc>
          <w:tcPr>
            <w:tcW w:w="1398" w:type="dxa"/>
          </w:tcPr>
          <w:p w14:paraId="5C20287B" w14:textId="53982057" w:rsidR="00E57010" w:rsidRPr="00EF28E5" w:rsidRDefault="00E57010" w:rsidP="00E57010">
            <w:pPr>
              <w:pStyle w:val="TableText"/>
            </w:pPr>
            <w:r>
              <w:t>Sheik</w:t>
            </w:r>
          </w:p>
        </w:tc>
        <w:tc>
          <w:tcPr>
            <w:tcW w:w="4208" w:type="dxa"/>
          </w:tcPr>
          <w:p w14:paraId="04F2967C" w14:textId="29208038" w:rsidR="00E57010" w:rsidRDefault="00E57010" w:rsidP="00E57010">
            <w:pPr>
              <w:pStyle w:val="TableText"/>
            </w:pPr>
            <w:r>
              <w:t>Rehabilitation of STX on entry to coupe has enabled sediment to be mobilised during flow event</w:t>
            </w:r>
          </w:p>
        </w:tc>
        <w:tc>
          <w:tcPr>
            <w:tcW w:w="1643" w:type="dxa"/>
          </w:tcPr>
          <w:p w14:paraId="6983CA31" w14:textId="7760233B" w:rsidR="00E57010" w:rsidRDefault="00E57010" w:rsidP="00E57010">
            <w:pPr>
              <w:pStyle w:val="TableText"/>
            </w:pPr>
            <w:r>
              <w:t>14.01, 20.03, 21.01, 22.07 | C2.3.1.1, 2.5.1.2, M6.4.1.2, 7.2.2.1</w:t>
            </w:r>
          </w:p>
        </w:tc>
        <w:tc>
          <w:tcPr>
            <w:tcW w:w="1759" w:type="dxa"/>
          </w:tcPr>
          <w:p w14:paraId="7FF0AE03" w14:textId="7F13EA35" w:rsidR="00E57010" w:rsidRDefault="00E57010" w:rsidP="00E57010">
            <w:pPr>
              <w:pStyle w:val="TableText"/>
            </w:pPr>
            <w:r>
              <w:t>Moderate</w:t>
            </w:r>
          </w:p>
        </w:tc>
      </w:tr>
      <w:tr w:rsidR="00E57010" w:rsidRPr="00EF28E5" w14:paraId="406018B2" w14:textId="77777777" w:rsidTr="00687434">
        <w:tc>
          <w:tcPr>
            <w:tcW w:w="656" w:type="dxa"/>
            <w:tcBorders>
              <w:bottom w:val="single" w:sz="4" w:space="0" w:color="007D55" w:themeColor="accent1"/>
            </w:tcBorders>
          </w:tcPr>
          <w:p w14:paraId="4364B6BD" w14:textId="038C95DA" w:rsidR="00E57010" w:rsidRPr="00DE5BF8" w:rsidRDefault="00E57010" w:rsidP="00E57010">
            <w:pPr>
              <w:pStyle w:val="TableText"/>
            </w:pPr>
            <w:r>
              <w:t>17</w:t>
            </w:r>
          </w:p>
        </w:tc>
        <w:tc>
          <w:tcPr>
            <w:tcW w:w="1398" w:type="dxa"/>
            <w:tcBorders>
              <w:bottom w:val="single" w:sz="4" w:space="0" w:color="007D55" w:themeColor="accent1"/>
            </w:tcBorders>
          </w:tcPr>
          <w:p w14:paraId="09C3572A" w14:textId="435D873D" w:rsidR="00E57010" w:rsidRPr="00EF28E5" w:rsidRDefault="00E57010" w:rsidP="00E57010">
            <w:pPr>
              <w:pStyle w:val="TableText"/>
            </w:pPr>
            <w:r>
              <w:t>Olin</w:t>
            </w:r>
          </w:p>
        </w:tc>
        <w:tc>
          <w:tcPr>
            <w:tcW w:w="4208" w:type="dxa"/>
          </w:tcPr>
          <w:p w14:paraId="102672E6" w14:textId="780E5644" w:rsidR="00E57010" w:rsidRDefault="00E57010" w:rsidP="00E57010">
            <w:pPr>
              <w:pStyle w:val="TableText"/>
            </w:pPr>
            <w:r>
              <w:t>Compacted area near landing has not been ripped during rehabilitation</w:t>
            </w:r>
          </w:p>
        </w:tc>
        <w:tc>
          <w:tcPr>
            <w:tcW w:w="1643" w:type="dxa"/>
          </w:tcPr>
          <w:p w14:paraId="2E12A25E" w14:textId="25D32C5B" w:rsidR="00E57010" w:rsidRDefault="00E57010" w:rsidP="00E57010">
            <w:pPr>
              <w:pStyle w:val="TableText"/>
            </w:pPr>
            <w:r>
              <w:t>22.12 | M7.2.2.6</w:t>
            </w:r>
          </w:p>
        </w:tc>
        <w:tc>
          <w:tcPr>
            <w:tcW w:w="1759" w:type="dxa"/>
          </w:tcPr>
          <w:p w14:paraId="1BEBCE90" w14:textId="4A9EBE97" w:rsidR="00E57010" w:rsidRDefault="00E57010" w:rsidP="00E57010">
            <w:pPr>
              <w:pStyle w:val="TableText"/>
            </w:pPr>
            <w:r>
              <w:t>Minor</w:t>
            </w:r>
          </w:p>
        </w:tc>
      </w:tr>
      <w:tr w:rsidR="00E57010" w:rsidRPr="00EF28E5" w14:paraId="19DA0635" w14:textId="77777777" w:rsidTr="00687434">
        <w:tc>
          <w:tcPr>
            <w:tcW w:w="656" w:type="dxa"/>
            <w:tcBorders>
              <w:bottom w:val="nil"/>
            </w:tcBorders>
          </w:tcPr>
          <w:p w14:paraId="41A028D9" w14:textId="47027621" w:rsidR="00E57010" w:rsidRPr="00DE5BF8" w:rsidRDefault="00E57010" w:rsidP="00E57010">
            <w:pPr>
              <w:pStyle w:val="TableText"/>
            </w:pPr>
            <w:r>
              <w:t>18</w:t>
            </w:r>
          </w:p>
        </w:tc>
        <w:tc>
          <w:tcPr>
            <w:tcW w:w="1398" w:type="dxa"/>
            <w:tcBorders>
              <w:bottom w:val="nil"/>
            </w:tcBorders>
          </w:tcPr>
          <w:p w14:paraId="384BF1E9" w14:textId="447AB092" w:rsidR="00E57010" w:rsidRPr="00EF28E5" w:rsidRDefault="00E57010" w:rsidP="00E57010">
            <w:pPr>
              <w:pStyle w:val="TableText"/>
            </w:pPr>
            <w:r>
              <w:t>South Buck</w:t>
            </w:r>
          </w:p>
        </w:tc>
        <w:tc>
          <w:tcPr>
            <w:tcW w:w="4208" w:type="dxa"/>
          </w:tcPr>
          <w:p w14:paraId="264FB186" w14:textId="231B7761" w:rsidR="00E57010" w:rsidRDefault="00E57010" w:rsidP="00E57010">
            <w:pPr>
              <w:pStyle w:val="TableText"/>
            </w:pPr>
            <w:r>
              <w:t>WWX on temporary stream constructed without appropriate structures to intercept road drainage ~20m before waterway</w:t>
            </w:r>
          </w:p>
        </w:tc>
        <w:tc>
          <w:tcPr>
            <w:tcW w:w="1643" w:type="dxa"/>
          </w:tcPr>
          <w:p w14:paraId="5A5A1B60" w14:textId="42C8E7D2" w:rsidR="00E57010" w:rsidRDefault="00E57010" w:rsidP="00E57010">
            <w:pPr>
              <w:pStyle w:val="TableText"/>
            </w:pPr>
            <w:r>
              <w:t>6.01, 7.05, 7.06, 14.01, 15.10, 15.11, 19.04, 19.05, 19.06, 21.01 | C2.2.1.2/8, 2.3.1.1, 2.4.2.9, 2.5.1.2, M8.1.5.5/6, 6.2.4.4/5/6</w:t>
            </w:r>
          </w:p>
        </w:tc>
        <w:tc>
          <w:tcPr>
            <w:tcW w:w="1759" w:type="dxa"/>
          </w:tcPr>
          <w:p w14:paraId="4DD90678" w14:textId="13D05EFE" w:rsidR="00E57010" w:rsidRDefault="00E57010" w:rsidP="00E57010">
            <w:pPr>
              <w:pStyle w:val="TableText"/>
            </w:pPr>
            <w:r>
              <w:t>Moderate</w:t>
            </w:r>
          </w:p>
        </w:tc>
      </w:tr>
      <w:tr w:rsidR="006C58E8" w:rsidRPr="00EF28E5" w14:paraId="396A9589" w14:textId="77777777" w:rsidTr="00687434">
        <w:tc>
          <w:tcPr>
            <w:tcW w:w="656" w:type="dxa"/>
            <w:tcBorders>
              <w:top w:val="nil"/>
              <w:bottom w:val="nil"/>
            </w:tcBorders>
          </w:tcPr>
          <w:p w14:paraId="5303FFEA" w14:textId="77777777" w:rsidR="006C58E8" w:rsidRPr="00DE5BF8" w:rsidRDefault="006C58E8" w:rsidP="006C58E8">
            <w:pPr>
              <w:pStyle w:val="TableText"/>
            </w:pPr>
          </w:p>
        </w:tc>
        <w:tc>
          <w:tcPr>
            <w:tcW w:w="1398" w:type="dxa"/>
            <w:tcBorders>
              <w:top w:val="nil"/>
              <w:bottom w:val="nil"/>
            </w:tcBorders>
          </w:tcPr>
          <w:p w14:paraId="5B7D9351" w14:textId="77777777" w:rsidR="006C58E8" w:rsidRPr="00EF28E5" w:rsidRDefault="006C58E8" w:rsidP="006C58E8">
            <w:pPr>
              <w:pStyle w:val="TableText"/>
            </w:pPr>
          </w:p>
        </w:tc>
        <w:tc>
          <w:tcPr>
            <w:tcW w:w="4208" w:type="dxa"/>
          </w:tcPr>
          <w:p w14:paraId="7B89660F" w14:textId="0ACF4650" w:rsidR="006C58E8" w:rsidRDefault="006C58E8" w:rsidP="006C58E8">
            <w:pPr>
              <w:pStyle w:val="TableText"/>
            </w:pPr>
            <w:r>
              <w:t>Culvert outlet projects above the downstream bed of a temporary stream</w:t>
            </w:r>
          </w:p>
        </w:tc>
        <w:tc>
          <w:tcPr>
            <w:tcW w:w="1643" w:type="dxa"/>
          </w:tcPr>
          <w:p w14:paraId="611D5345" w14:textId="4CC92881" w:rsidR="006C58E8" w:rsidRDefault="006C58E8" w:rsidP="006C58E8">
            <w:pPr>
              <w:pStyle w:val="TableText"/>
            </w:pPr>
            <w:r>
              <w:t>19.16 | M6.2.5.11</w:t>
            </w:r>
          </w:p>
        </w:tc>
        <w:tc>
          <w:tcPr>
            <w:tcW w:w="1759" w:type="dxa"/>
          </w:tcPr>
          <w:p w14:paraId="3D1067CA" w14:textId="5C23B49A" w:rsidR="006C58E8" w:rsidRDefault="006C58E8" w:rsidP="006C58E8">
            <w:pPr>
              <w:pStyle w:val="TableText"/>
            </w:pPr>
            <w:r>
              <w:t>Moderate</w:t>
            </w:r>
          </w:p>
        </w:tc>
      </w:tr>
      <w:tr w:rsidR="006C58E8" w:rsidRPr="00EF28E5" w14:paraId="17A8948A" w14:textId="77777777" w:rsidTr="00687434">
        <w:tc>
          <w:tcPr>
            <w:tcW w:w="656" w:type="dxa"/>
            <w:tcBorders>
              <w:top w:val="nil"/>
              <w:bottom w:val="nil"/>
            </w:tcBorders>
          </w:tcPr>
          <w:p w14:paraId="5C2CE636" w14:textId="77777777" w:rsidR="006C58E8" w:rsidRPr="00DE5BF8" w:rsidRDefault="006C58E8" w:rsidP="006C58E8">
            <w:pPr>
              <w:pStyle w:val="TableText"/>
            </w:pPr>
          </w:p>
        </w:tc>
        <w:tc>
          <w:tcPr>
            <w:tcW w:w="1398" w:type="dxa"/>
            <w:tcBorders>
              <w:top w:val="nil"/>
              <w:bottom w:val="nil"/>
            </w:tcBorders>
          </w:tcPr>
          <w:p w14:paraId="41887FFB" w14:textId="77777777" w:rsidR="006C58E8" w:rsidRPr="00EF28E5" w:rsidRDefault="006C58E8" w:rsidP="006C58E8">
            <w:pPr>
              <w:pStyle w:val="TableText"/>
            </w:pPr>
          </w:p>
        </w:tc>
        <w:tc>
          <w:tcPr>
            <w:tcW w:w="4208" w:type="dxa"/>
          </w:tcPr>
          <w:p w14:paraId="7551E5F8" w14:textId="40D05D94" w:rsidR="006C58E8" w:rsidRDefault="006C58E8" w:rsidP="006C58E8">
            <w:pPr>
              <w:pStyle w:val="TableText"/>
            </w:pPr>
            <w:r>
              <w:t>Spacing of effective drainage structures on ST exceeds UP prescriptions</w:t>
            </w:r>
          </w:p>
        </w:tc>
        <w:tc>
          <w:tcPr>
            <w:tcW w:w="1643" w:type="dxa"/>
          </w:tcPr>
          <w:p w14:paraId="61F0524E" w14:textId="3F27CB0E" w:rsidR="006C58E8" w:rsidRDefault="006C58E8" w:rsidP="006C58E8">
            <w:pPr>
              <w:pStyle w:val="TableText"/>
            </w:pPr>
            <w:r>
              <w:t>15.10, 22.26 | C2.5.2.5, M8.1.5.5</w:t>
            </w:r>
          </w:p>
        </w:tc>
        <w:tc>
          <w:tcPr>
            <w:tcW w:w="1759" w:type="dxa"/>
          </w:tcPr>
          <w:p w14:paraId="5B9253E0" w14:textId="1B258EF8" w:rsidR="006C58E8" w:rsidRDefault="006C58E8" w:rsidP="006C58E8">
            <w:pPr>
              <w:pStyle w:val="TableText"/>
            </w:pPr>
            <w:r>
              <w:t>Minor</w:t>
            </w:r>
          </w:p>
        </w:tc>
      </w:tr>
      <w:tr w:rsidR="00687434" w:rsidRPr="00EF28E5" w14:paraId="76646991" w14:textId="77777777" w:rsidTr="00687434">
        <w:tc>
          <w:tcPr>
            <w:tcW w:w="656" w:type="dxa"/>
            <w:tcBorders>
              <w:bottom w:val="nil"/>
            </w:tcBorders>
          </w:tcPr>
          <w:p w14:paraId="28361CAA" w14:textId="637D1F5E" w:rsidR="00687434" w:rsidRPr="00DE5BF8" w:rsidRDefault="00687434" w:rsidP="00687434">
            <w:pPr>
              <w:pStyle w:val="TableText"/>
            </w:pPr>
            <w:r>
              <w:t>19</w:t>
            </w:r>
          </w:p>
        </w:tc>
        <w:tc>
          <w:tcPr>
            <w:tcW w:w="1398" w:type="dxa"/>
            <w:tcBorders>
              <w:bottom w:val="nil"/>
            </w:tcBorders>
          </w:tcPr>
          <w:p w14:paraId="3EF66D3D" w14:textId="5229360F" w:rsidR="00687434" w:rsidRPr="00EF28E5" w:rsidRDefault="00687434" w:rsidP="00687434">
            <w:pPr>
              <w:pStyle w:val="TableText"/>
            </w:pPr>
            <w:r>
              <w:t>Rossignol</w:t>
            </w:r>
          </w:p>
        </w:tc>
        <w:tc>
          <w:tcPr>
            <w:tcW w:w="4208" w:type="dxa"/>
          </w:tcPr>
          <w:p w14:paraId="685659CA" w14:textId="66931BEE" w:rsidR="00687434" w:rsidRDefault="00687434" w:rsidP="00687434">
            <w:pPr>
              <w:pStyle w:val="TableText"/>
            </w:pPr>
            <w:r>
              <w:t>Culvert outlet projects above the downstream bed of temporary stream</w:t>
            </w:r>
          </w:p>
        </w:tc>
        <w:tc>
          <w:tcPr>
            <w:tcW w:w="1643" w:type="dxa"/>
          </w:tcPr>
          <w:p w14:paraId="53BF7FE9" w14:textId="34A360B7" w:rsidR="00687434" w:rsidRDefault="00687434" w:rsidP="00687434">
            <w:pPr>
              <w:pStyle w:val="TableText"/>
            </w:pPr>
            <w:r>
              <w:t>6.01, 19.16, 21.01 | C2.2.1.2, 2.5.1.2, M6.2.5.11</w:t>
            </w:r>
          </w:p>
        </w:tc>
        <w:tc>
          <w:tcPr>
            <w:tcW w:w="1759" w:type="dxa"/>
          </w:tcPr>
          <w:p w14:paraId="749AEC33" w14:textId="7AC20B7E" w:rsidR="00687434" w:rsidRDefault="00687434" w:rsidP="00687434">
            <w:pPr>
              <w:pStyle w:val="TableText"/>
            </w:pPr>
            <w:r>
              <w:t>Moderate</w:t>
            </w:r>
          </w:p>
        </w:tc>
      </w:tr>
      <w:tr w:rsidR="00687434" w:rsidRPr="00EF28E5" w14:paraId="3AAD0208" w14:textId="77777777" w:rsidTr="00687434">
        <w:tc>
          <w:tcPr>
            <w:tcW w:w="656" w:type="dxa"/>
            <w:tcBorders>
              <w:top w:val="nil"/>
              <w:bottom w:val="nil"/>
            </w:tcBorders>
          </w:tcPr>
          <w:p w14:paraId="0532E86D" w14:textId="77777777" w:rsidR="00687434" w:rsidRPr="00DE5BF8" w:rsidRDefault="00687434" w:rsidP="00687434">
            <w:pPr>
              <w:pStyle w:val="TableText"/>
            </w:pPr>
          </w:p>
        </w:tc>
        <w:tc>
          <w:tcPr>
            <w:tcW w:w="1398" w:type="dxa"/>
            <w:tcBorders>
              <w:top w:val="nil"/>
              <w:bottom w:val="nil"/>
            </w:tcBorders>
          </w:tcPr>
          <w:p w14:paraId="0D0B3DBF" w14:textId="77777777" w:rsidR="00687434" w:rsidRPr="00EF28E5" w:rsidRDefault="00687434" w:rsidP="00687434">
            <w:pPr>
              <w:pStyle w:val="TableText"/>
            </w:pPr>
          </w:p>
        </w:tc>
        <w:tc>
          <w:tcPr>
            <w:tcW w:w="4208" w:type="dxa"/>
          </w:tcPr>
          <w:p w14:paraId="27C88401" w14:textId="013FD7C4" w:rsidR="00687434" w:rsidRDefault="00687434" w:rsidP="00687434">
            <w:pPr>
              <w:pStyle w:val="TableText"/>
            </w:pPr>
            <w:r>
              <w:t>Spacing of effective drainage structures on ST exceeds UP prescriptions</w:t>
            </w:r>
          </w:p>
        </w:tc>
        <w:tc>
          <w:tcPr>
            <w:tcW w:w="1643" w:type="dxa"/>
          </w:tcPr>
          <w:p w14:paraId="527CD4A9" w14:textId="1AE0ABB4" w:rsidR="00687434" w:rsidRDefault="00687434" w:rsidP="00687434">
            <w:pPr>
              <w:pStyle w:val="TableText"/>
            </w:pPr>
            <w:r>
              <w:t>15.10, 22.26 | C2.5.2.5, M8.1.5.5</w:t>
            </w:r>
          </w:p>
        </w:tc>
        <w:tc>
          <w:tcPr>
            <w:tcW w:w="1759" w:type="dxa"/>
          </w:tcPr>
          <w:p w14:paraId="19F72E04" w14:textId="6AE44863" w:rsidR="00687434" w:rsidRDefault="00687434" w:rsidP="00687434">
            <w:pPr>
              <w:pStyle w:val="TableText"/>
            </w:pPr>
            <w:r>
              <w:t>Minor</w:t>
            </w:r>
          </w:p>
        </w:tc>
      </w:tr>
      <w:tr w:rsidR="00687434" w:rsidRPr="00EF28E5" w14:paraId="1E528199" w14:textId="77777777" w:rsidTr="00C31A7B">
        <w:tc>
          <w:tcPr>
            <w:tcW w:w="0" w:type="dxa"/>
            <w:tcBorders>
              <w:top w:val="nil"/>
              <w:bottom w:val="single" w:sz="4" w:space="0" w:color="007D55" w:themeColor="accent1"/>
            </w:tcBorders>
          </w:tcPr>
          <w:p w14:paraId="1A33B7B0" w14:textId="77777777" w:rsidR="00687434" w:rsidRPr="00DE5BF8" w:rsidRDefault="00687434" w:rsidP="00687434">
            <w:pPr>
              <w:pStyle w:val="TableText"/>
            </w:pPr>
          </w:p>
        </w:tc>
        <w:tc>
          <w:tcPr>
            <w:tcW w:w="0" w:type="dxa"/>
            <w:tcBorders>
              <w:top w:val="nil"/>
              <w:bottom w:val="single" w:sz="4" w:space="0" w:color="007D55" w:themeColor="accent1"/>
            </w:tcBorders>
          </w:tcPr>
          <w:p w14:paraId="4D1A990D" w14:textId="77777777" w:rsidR="00687434" w:rsidRPr="00EF28E5" w:rsidRDefault="00687434" w:rsidP="00687434">
            <w:pPr>
              <w:pStyle w:val="TableText"/>
            </w:pPr>
          </w:p>
        </w:tc>
        <w:tc>
          <w:tcPr>
            <w:tcW w:w="0" w:type="dxa"/>
          </w:tcPr>
          <w:p w14:paraId="78F75C92" w14:textId="5493730B" w:rsidR="00687434" w:rsidRDefault="00687434" w:rsidP="00687434">
            <w:pPr>
              <w:pStyle w:val="TableText"/>
            </w:pPr>
            <w:r>
              <w:t>Bark placed on uncorded ST</w:t>
            </w:r>
          </w:p>
        </w:tc>
        <w:tc>
          <w:tcPr>
            <w:tcW w:w="0" w:type="dxa"/>
          </w:tcPr>
          <w:p w14:paraId="44A75077" w14:textId="37B1529A" w:rsidR="00687434" w:rsidRDefault="00687434" w:rsidP="00687434">
            <w:pPr>
              <w:pStyle w:val="TableText"/>
            </w:pPr>
            <w:r>
              <w:t>22.02 | M7.2.1.2</w:t>
            </w:r>
          </w:p>
        </w:tc>
        <w:tc>
          <w:tcPr>
            <w:tcW w:w="0" w:type="dxa"/>
          </w:tcPr>
          <w:p w14:paraId="61C6AFC8" w14:textId="28BA9D1D" w:rsidR="00687434" w:rsidRDefault="00687434" w:rsidP="00687434">
            <w:pPr>
              <w:pStyle w:val="TableText"/>
            </w:pPr>
            <w:r>
              <w:t>Negligible</w:t>
            </w:r>
          </w:p>
        </w:tc>
      </w:tr>
      <w:tr w:rsidR="00687434" w:rsidRPr="00EF28E5" w14:paraId="7C899864" w14:textId="77777777" w:rsidTr="00C31A7B">
        <w:tc>
          <w:tcPr>
            <w:tcW w:w="0" w:type="dxa"/>
            <w:tcBorders>
              <w:bottom w:val="single" w:sz="4" w:space="0" w:color="007D55" w:themeColor="accent1"/>
            </w:tcBorders>
          </w:tcPr>
          <w:p w14:paraId="69B12EDD" w14:textId="214481B6" w:rsidR="00687434" w:rsidRPr="00DE5BF8" w:rsidRDefault="00687434" w:rsidP="00687434">
            <w:pPr>
              <w:pStyle w:val="TableText"/>
            </w:pPr>
            <w:r>
              <w:t>20</w:t>
            </w:r>
          </w:p>
        </w:tc>
        <w:tc>
          <w:tcPr>
            <w:tcW w:w="0" w:type="dxa"/>
            <w:tcBorders>
              <w:bottom w:val="single" w:sz="4" w:space="0" w:color="007D55" w:themeColor="accent1"/>
            </w:tcBorders>
          </w:tcPr>
          <w:p w14:paraId="4D5FB1CC" w14:textId="5C30ECC5" w:rsidR="00687434" w:rsidRPr="00EF28E5" w:rsidRDefault="00687434" w:rsidP="00687434">
            <w:pPr>
              <w:pStyle w:val="TableText"/>
            </w:pPr>
            <w:r>
              <w:t>Telemark</w:t>
            </w:r>
          </w:p>
        </w:tc>
        <w:tc>
          <w:tcPr>
            <w:tcW w:w="0" w:type="dxa"/>
          </w:tcPr>
          <w:p w14:paraId="6093F4DA" w14:textId="6313D134" w:rsidR="00687434" w:rsidRDefault="00687434" w:rsidP="00687434">
            <w:pPr>
              <w:pStyle w:val="TableText"/>
            </w:pPr>
            <w:r>
              <w:t>Slash and bark piles exceed 4 m</w:t>
            </w:r>
            <w:r>
              <w:rPr>
                <w:vertAlign w:val="superscript"/>
              </w:rPr>
              <w:t xml:space="preserve">2 </w:t>
            </w:r>
            <w:r>
              <w:t>ground area</w:t>
            </w:r>
          </w:p>
        </w:tc>
        <w:tc>
          <w:tcPr>
            <w:tcW w:w="0" w:type="dxa"/>
          </w:tcPr>
          <w:p w14:paraId="27254582" w14:textId="7E934A32" w:rsidR="00687434" w:rsidRDefault="00687434" w:rsidP="00687434">
            <w:pPr>
              <w:pStyle w:val="TableText"/>
            </w:pPr>
            <w:r>
              <w:t>22.08, 22.21 | M7.2.2.3, 7.2.4.2</w:t>
            </w:r>
          </w:p>
        </w:tc>
        <w:tc>
          <w:tcPr>
            <w:tcW w:w="0" w:type="dxa"/>
          </w:tcPr>
          <w:p w14:paraId="5BE85ECC" w14:textId="1A4CE897" w:rsidR="00687434" w:rsidRDefault="00687434" w:rsidP="00687434">
            <w:pPr>
              <w:pStyle w:val="TableText"/>
            </w:pPr>
            <w:r>
              <w:t>Minor</w:t>
            </w:r>
          </w:p>
        </w:tc>
      </w:tr>
      <w:tr w:rsidR="00687434" w:rsidRPr="00EF28E5" w14:paraId="21073ABB" w14:textId="77777777" w:rsidTr="00C31A7B">
        <w:tc>
          <w:tcPr>
            <w:tcW w:w="656" w:type="dxa"/>
            <w:tcBorders>
              <w:top w:val="single" w:sz="4" w:space="0" w:color="007D55" w:themeColor="accent1"/>
              <w:bottom w:val="single" w:sz="4" w:space="0" w:color="007D55" w:themeColor="accent1"/>
            </w:tcBorders>
          </w:tcPr>
          <w:p w14:paraId="45A81DD4" w14:textId="77777777" w:rsidR="00687434" w:rsidRPr="00DE5BF8" w:rsidRDefault="00687434" w:rsidP="00687434">
            <w:pPr>
              <w:pStyle w:val="TableText"/>
            </w:pPr>
          </w:p>
        </w:tc>
        <w:tc>
          <w:tcPr>
            <w:tcW w:w="1398" w:type="dxa"/>
            <w:tcBorders>
              <w:top w:val="single" w:sz="4" w:space="0" w:color="007D55" w:themeColor="accent1"/>
              <w:bottom w:val="single" w:sz="4" w:space="0" w:color="007D55" w:themeColor="accent1"/>
            </w:tcBorders>
          </w:tcPr>
          <w:p w14:paraId="5D8D1E43" w14:textId="77777777" w:rsidR="00687434" w:rsidRPr="00EF28E5" w:rsidRDefault="00687434" w:rsidP="00687434">
            <w:pPr>
              <w:pStyle w:val="TableText"/>
            </w:pPr>
          </w:p>
        </w:tc>
        <w:tc>
          <w:tcPr>
            <w:tcW w:w="4208" w:type="dxa"/>
          </w:tcPr>
          <w:p w14:paraId="604594D1" w14:textId="1A2A19BC" w:rsidR="00687434" w:rsidRDefault="00687434" w:rsidP="00687434">
            <w:pPr>
              <w:pStyle w:val="TableText"/>
            </w:pPr>
            <w:r>
              <w:t>Spacing of effective drainage structures on ST exceeds UP prescriptions</w:t>
            </w:r>
          </w:p>
        </w:tc>
        <w:tc>
          <w:tcPr>
            <w:tcW w:w="1643" w:type="dxa"/>
          </w:tcPr>
          <w:p w14:paraId="686B00EC" w14:textId="5D98CD32" w:rsidR="00687434" w:rsidRDefault="00687434" w:rsidP="00687434">
            <w:pPr>
              <w:pStyle w:val="TableText"/>
            </w:pPr>
            <w:r>
              <w:t>22.26 | C2.5.2.5</w:t>
            </w:r>
          </w:p>
        </w:tc>
        <w:tc>
          <w:tcPr>
            <w:tcW w:w="1759" w:type="dxa"/>
          </w:tcPr>
          <w:p w14:paraId="6C0F4642" w14:textId="15B9DD90" w:rsidR="00687434" w:rsidRDefault="00687434" w:rsidP="00687434">
            <w:pPr>
              <w:pStyle w:val="TableText"/>
            </w:pPr>
            <w:r>
              <w:t>Negligible</w:t>
            </w:r>
          </w:p>
        </w:tc>
      </w:tr>
      <w:tr w:rsidR="00687434" w:rsidRPr="00EF28E5" w14:paraId="5E66268E" w14:textId="77777777" w:rsidTr="00C31A7B">
        <w:tc>
          <w:tcPr>
            <w:tcW w:w="656" w:type="dxa"/>
            <w:tcBorders>
              <w:bottom w:val="nil"/>
            </w:tcBorders>
          </w:tcPr>
          <w:p w14:paraId="569BD668" w14:textId="6DFC80FF" w:rsidR="00687434" w:rsidRPr="00DE5BF8" w:rsidRDefault="00687434" w:rsidP="00687434">
            <w:pPr>
              <w:pStyle w:val="TableText"/>
            </w:pPr>
            <w:r>
              <w:t>21</w:t>
            </w:r>
          </w:p>
        </w:tc>
        <w:tc>
          <w:tcPr>
            <w:tcW w:w="1398" w:type="dxa"/>
            <w:tcBorders>
              <w:bottom w:val="nil"/>
            </w:tcBorders>
          </w:tcPr>
          <w:p w14:paraId="337D308B" w14:textId="0AEDA53C" w:rsidR="00687434" w:rsidRPr="00EF28E5" w:rsidRDefault="00687434" w:rsidP="00687434">
            <w:pPr>
              <w:pStyle w:val="TableText"/>
            </w:pPr>
            <w:r>
              <w:t>Dow Jones</w:t>
            </w:r>
          </w:p>
        </w:tc>
        <w:tc>
          <w:tcPr>
            <w:tcW w:w="4208" w:type="dxa"/>
          </w:tcPr>
          <w:p w14:paraId="1F26E374" w14:textId="5724ED04" w:rsidR="00687434" w:rsidRDefault="00687434" w:rsidP="00687434">
            <w:pPr>
              <w:pStyle w:val="TableText"/>
            </w:pPr>
            <w:r>
              <w:t>WWX on drainage line constructed without appropriate structures to intercept road drainage ~20m before waterway in fire salvage coupe</w:t>
            </w:r>
          </w:p>
        </w:tc>
        <w:tc>
          <w:tcPr>
            <w:tcW w:w="1643" w:type="dxa"/>
          </w:tcPr>
          <w:p w14:paraId="31F08F9D" w14:textId="66F67B42" w:rsidR="00687434" w:rsidRDefault="00687434" w:rsidP="00687434">
            <w:pPr>
              <w:pStyle w:val="TableText"/>
            </w:pPr>
            <w:r>
              <w:t>15.11, 21.01 | C2.5.1.2, M8.1.5.6</w:t>
            </w:r>
          </w:p>
        </w:tc>
        <w:tc>
          <w:tcPr>
            <w:tcW w:w="1759" w:type="dxa"/>
          </w:tcPr>
          <w:p w14:paraId="74C255E5" w14:textId="19D6D7D1" w:rsidR="00687434" w:rsidRDefault="00687434" w:rsidP="00687434">
            <w:pPr>
              <w:pStyle w:val="TableText"/>
            </w:pPr>
            <w:r>
              <w:t>Moderate</w:t>
            </w:r>
          </w:p>
        </w:tc>
      </w:tr>
      <w:tr w:rsidR="00687434" w:rsidRPr="00EF28E5" w14:paraId="28C780FF" w14:textId="77777777" w:rsidTr="00C31A7B">
        <w:tc>
          <w:tcPr>
            <w:tcW w:w="656" w:type="dxa"/>
            <w:tcBorders>
              <w:top w:val="nil"/>
              <w:bottom w:val="nil"/>
            </w:tcBorders>
          </w:tcPr>
          <w:p w14:paraId="0FE1F2E0" w14:textId="77777777" w:rsidR="00687434" w:rsidRPr="00DE5BF8" w:rsidRDefault="00687434" w:rsidP="00687434">
            <w:pPr>
              <w:pStyle w:val="TableText"/>
            </w:pPr>
          </w:p>
        </w:tc>
        <w:tc>
          <w:tcPr>
            <w:tcW w:w="1398" w:type="dxa"/>
            <w:tcBorders>
              <w:top w:val="nil"/>
              <w:bottom w:val="nil"/>
            </w:tcBorders>
          </w:tcPr>
          <w:p w14:paraId="6A2F3451" w14:textId="77777777" w:rsidR="00687434" w:rsidRPr="00EF28E5" w:rsidRDefault="00687434" w:rsidP="00687434">
            <w:pPr>
              <w:pStyle w:val="TableText"/>
            </w:pPr>
          </w:p>
        </w:tc>
        <w:tc>
          <w:tcPr>
            <w:tcW w:w="4208" w:type="dxa"/>
          </w:tcPr>
          <w:p w14:paraId="33317A0F" w14:textId="1028D5E2" w:rsidR="00687434" w:rsidRDefault="00687434" w:rsidP="00687434">
            <w:pPr>
              <w:pStyle w:val="TableText"/>
            </w:pPr>
            <w:r>
              <w:t>Soil disturbance following construction of ST through drainage line</w:t>
            </w:r>
          </w:p>
        </w:tc>
        <w:tc>
          <w:tcPr>
            <w:tcW w:w="1643" w:type="dxa"/>
          </w:tcPr>
          <w:p w14:paraId="0C2454AA" w14:textId="1EA9130F" w:rsidR="00687434" w:rsidRDefault="00687434" w:rsidP="00687434">
            <w:pPr>
              <w:pStyle w:val="TableText"/>
            </w:pPr>
            <w:r>
              <w:t>8.01 | C2.2.1.14</w:t>
            </w:r>
          </w:p>
        </w:tc>
        <w:tc>
          <w:tcPr>
            <w:tcW w:w="1759" w:type="dxa"/>
          </w:tcPr>
          <w:p w14:paraId="68D0AE9C" w14:textId="5C29FD9D" w:rsidR="00687434" w:rsidRDefault="00687434" w:rsidP="00687434">
            <w:pPr>
              <w:pStyle w:val="TableText"/>
            </w:pPr>
            <w:r>
              <w:t>Minor</w:t>
            </w:r>
          </w:p>
        </w:tc>
      </w:tr>
      <w:tr w:rsidR="00687434" w:rsidRPr="00EF28E5" w14:paraId="7C032FF9" w14:textId="77777777" w:rsidTr="00687434">
        <w:tc>
          <w:tcPr>
            <w:tcW w:w="656" w:type="dxa"/>
            <w:tcBorders>
              <w:top w:val="nil"/>
              <w:bottom w:val="nil"/>
            </w:tcBorders>
          </w:tcPr>
          <w:p w14:paraId="08AC86D0" w14:textId="77777777" w:rsidR="00687434" w:rsidRPr="00DE5BF8" w:rsidRDefault="00687434" w:rsidP="00687434">
            <w:pPr>
              <w:pStyle w:val="TableText"/>
            </w:pPr>
          </w:p>
        </w:tc>
        <w:tc>
          <w:tcPr>
            <w:tcW w:w="1398" w:type="dxa"/>
            <w:tcBorders>
              <w:top w:val="nil"/>
              <w:bottom w:val="nil"/>
            </w:tcBorders>
          </w:tcPr>
          <w:p w14:paraId="5DBC9AAC" w14:textId="77777777" w:rsidR="00687434" w:rsidRPr="00EF28E5" w:rsidRDefault="00687434" w:rsidP="00687434">
            <w:pPr>
              <w:pStyle w:val="TableText"/>
            </w:pPr>
          </w:p>
        </w:tc>
        <w:tc>
          <w:tcPr>
            <w:tcW w:w="4208" w:type="dxa"/>
          </w:tcPr>
          <w:p w14:paraId="7584F3D3" w14:textId="7EAAB96E" w:rsidR="00687434" w:rsidRDefault="00687434" w:rsidP="00687434">
            <w:pPr>
              <w:pStyle w:val="TableText"/>
            </w:pPr>
            <w:r>
              <w:t>Spacing of effective drainage structures on ICR exceeds MSP prescriptions</w:t>
            </w:r>
          </w:p>
        </w:tc>
        <w:tc>
          <w:tcPr>
            <w:tcW w:w="1643" w:type="dxa"/>
          </w:tcPr>
          <w:p w14:paraId="088AD1B4" w14:textId="7D2EADAB" w:rsidR="00687434" w:rsidRDefault="00687434" w:rsidP="00687434">
            <w:pPr>
              <w:pStyle w:val="TableText"/>
            </w:pPr>
            <w:r>
              <w:t>15.10, 19.01, 22.26 | C2.5.2.5, M6.2.4.1, 8.1.5.5</w:t>
            </w:r>
          </w:p>
        </w:tc>
        <w:tc>
          <w:tcPr>
            <w:tcW w:w="1759" w:type="dxa"/>
          </w:tcPr>
          <w:p w14:paraId="509B972B" w14:textId="795F720F" w:rsidR="00687434" w:rsidRDefault="00687434" w:rsidP="00687434">
            <w:pPr>
              <w:pStyle w:val="TableText"/>
            </w:pPr>
            <w:r>
              <w:t>Minor</w:t>
            </w:r>
          </w:p>
        </w:tc>
      </w:tr>
      <w:tr w:rsidR="00687434" w:rsidRPr="00EF28E5" w14:paraId="25438AF8" w14:textId="77777777" w:rsidTr="00687434">
        <w:tc>
          <w:tcPr>
            <w:tcW w:w="656" w:type="dxa"/>
            <w:tcBorders>
              <w:top w:val="nil"/>
            </w:tcBorders>
          </w:tcPr>
          <w:p w14:paraId="21545E1E" w14:textId="77777777" w:rsidR="00687434" w:rsidRPr="00DE5BF8" w:rsidRDefault="00687434" w:rsidP="00687434">
            <w:pPr>
              <w:pStyle w:val="TableText"/>
            </w:pPr>
          </w:p>
        </w:tc>
        <w:tc>
          <w:tcPr>
            <w:tcW w:w="1398" w:type="dxa"/>
            <w:tcBorders>
              <w:top w:val="nil"/>
            </w:tcBorders>
          </w:tcPr>
          <w:p w14:paraId="3CAB65B6" w14:textId="77777777" w:rsidR="00687434" w:rsidRPr="00EF28E5" w:rsidRDefault="00687434" w:rsidP="00687434">
            <w:pPr>
              <w:pStyle w:val="TableText"/>
            </w:pPr>
          </w:p>
        </w:tc>
        <w:tc>
          <w:tcPr>
            <w:tcW w:w="4208" w:type="dxa"/>
          </w:tcPr>
          <w:p w14:paraId="753170C9" w14:textId="3967C08A" w:rsidR="00687434" w:rsidRDefault="00687434" w:rsidP="00687434">
            <w:pPr>
              <w:pStyle w:val="TableText"/>
            </w:pPr>
            <w:r>
              <w:t>Slash and bark piles exceed 4 m</w:t>
            </w:r>
            <w:r>
              <w:rPr>
                <w:vertAlign w:val="superscript"/>
              </w:rPr>
              <w:t xml:space="preserve">2 </w:t>
            </w:r>
            <w:r>
              <w:t>ground area</w:t>
            </w:r>
          </w:p>
        </w:tc>
        <w:tc>
          <w:tcPr>
            <w:tcW w:w="1643" w:type="dxa"/>
          </w:tcPr>
          <w:p w14:paraId="04C0B992" w14:textId="075F0541" w:rsidR="00687434" w:rsidRDefault="00687434" w:rsidP="00687434">
            <w:pPr>
              <w:pStyle w:val="TableText"/>
            </w:pPr>
            <w:r>
              <w:t>22.21 | M7.2.4.2</w:t>
            </w:r>
          </w:p>
        </w:tc>
        <w:tc>
          <w:tcPr>
            <w:tcW w:w="1759" w:type="dxa"/>
          </w:tcPr>
          <w:p w14:paraId="709BD4E7" w14:textId="65113389" w:rsidR="00687434" w:rsidRDefault="00687434" w:rsidP="00687434">
            <w:pPr>
              <w:pStyle w:val="TableText"/>
            </w:pPr>
            <w:r>
              <w:t>Minor</w:t>
            </w:r>
          </w:p>
        </w:tc>
      </w:tr>
      <w:tr w:rsidR="00687434" w:rsidRPr="00EF28E5" w14:paraId="2D8E2239" w14:textId="77777777" w:rsidTr="00687434">
        <w:tc>
          <w:tcPr>
            <w:tcW w:w="656" w:type="dxa"/>
            <w:shd w:val="clear" w:color="auto" w:fill="F7D4DB" w:themeFill="accent3" w:themeFillTint="33"/>
          </w:tcPr>
          <w:p w14:paraId="2B37190C" w14:textId="71FE8163" w:rsidR="00687434" w:rsidRPr="00DE5BF8" w:rsidRDefault="00687434" w:rsidP="00687434">
            <w:pPr>
              <w:pStyle w:val="TableText"/>
            </w:pPr>
            <w:r>
              <w:t>22</w:t>
            </w:r>
          </w:p>
        </w:tc>
        <w:tc>
          <w:tcPr>
            <w:tcW w:w="1398" w:type="dxa"/>
            <w:shd w:val="clear" w:color="auto" w:fill="F7D4DB" w:themeFill="accent3" w:themeFillTint="33"/>
          </w:tcPr>
          <w:p w14:paraId="7BC8A9BD" w14:textId="1260F8C2" w:rsidR="00687434" w:rsidRPr="00EF28E5" w:rsidRDefault="00687434" w:rsidP="00687434">
            <w:pPr>
              <w:pStyle w:val="TableText"/>
            </w:pPr>
            <w:r>
              <w:t>Yazoo</w:t>
            </w:r>
          </w:p>
        </w:tc>
        <w:tc>
          <w:tcPr>
            <w:tcW w:w="4208" w:type="dxa"/>
            <w:shd w:val="clear" w:color="auto" w:fill="F7D4DB" w:themeFill="accent3" w:themeFillTint="33"/>
          </w:tcPr>
          <w:p w14:paraId="049ACE79" w14:textId="392D12F2" w:rsidR="00687434" w:rsidRDefault="00687434" w:rsidP="00687434">
            <w:pPr>
              <w:pStyle w:val="TableText"/>
            </w:pPr>
            <w:r>
              <w:t>Not applicable</w:t>
            </w:r>
          </w:p>
        </w:tc>
        <w:tc>
          <w:tcPr>
            <w:tcW w:w="1643" w:type="dxa"/>
            <w:shd w:val="clear" w:color="auto" w:fill="F7D4DB" w:themeFill="accent3" w:themeFillTint="33"/>
          </w:tcPr>
          <w:p w14:paraId="41EF9C39" w14:textId="077E9B91" w:rsidR="00687434" w:rsidRDefault="00687434" w:rsidP="00687434">
            <w:pPr>
              <w:pStyle w:val="TableText"/>
            </w:pPr>
          </w:p>
        </w:tc>
        <w:tc>
          <w:tcPr>
            <w:tcW w:w="1759" w:type="dxa"/>
            <w:shd w:val="clear" w:color="auto" w:fill="F7D4DB" w:themeFill="accent3" w:themeFillTint="33"/>
          </w:tcPr>
          <w:p w14:paraId="20490D40" w14:textId="5FF2FA71" w:rsidR="00687434" w:rsidRDefault="00687434" w:rsidP="00687434">
            <w:pPr>
              <w:pStyle w:val="TableText"/>
            </w:pPr>
          </w:p>
        </w:tc>
      </w:tr>
      <w:tr w:rsidR="00687434" w:rsidRPr="00EF28E5" w14:paraId="14AC69C9" w14:textId="77777777" w:rsidTr="00C31A7B">
        <w:tc>
          <w:tcPr>
            <w:tcW w:w="0" w:type="dxa"/>
            <w:tcBorders>
              <w:bottom w:val="single" w:sz="4" w:space="0" w:color="007D55" w:themeColor="accent1"/>
            </w:tcBorders>
            <w:shd w:val="clear" w:color="auto" w:fill="F7D4DB" w:themeFill="accent3" w:themeFillTint="33"/>
          </w:tcPr>
          <w:p w14:paraId="25A38E92" w14:textId="0717D44E" w:rsidR="00687434" w:rsidRDefault="00687434" w:rsidP="00687434">
            <w:pPr>
              <w:pStyle w:val="TableText"/>
            </w:pPr>
            <w:r>
              <w:t>23</w:t>
            </w:r>
          </w:p>
        </w:tc>
        <w:tc>
          <w:tcPr>
            <w:tcW w:w="0" w:type="dxa"/>
            <w:tcBorders>
              <w:bottom w:val="single" w:sz="4" w:space="0" w:color="007D55" w:themeColor="accent1"/>
            </w:tcBorders>
            <w:shd w:val="clear" w:color="auto" w:fill="F7D4DB" w:themeFill="accent3" w:themeFillTint="33"/>
          </w:tcPr>
          <w:p w14:paraId="0EA12EDD" w14:textId="002D1E1D" w:rsidR="00687434" w:rsidRDefault="00687434" w:rsidP="00687434">
            <w:pPr>
              <w:pStyle w:val="TableText"/>
            </w:pPr>
            <w:r>
              <w:t>Bayliss Spur</w:t>
            </w:r>
          </w:p>
        </w:tc>
        <w:tc>
          <w:tcPr>
            <w:tcW w:w="0" w:type="dxa"/>
            <w:shd w:val="clear" w:color="auto" w:fill="F7D4DB" w:themeFill="accent3" w:themeFillTint="33"/>
          </w:tcPr>
          <w:p w14:paraId="1732602D" w14:textId="5EE9B4E1" w:rsidR="00687434" w:rsidRDefault="00687434" w:rsidP="00687434">
            <w:pPr>
              <w:pStyle w:val="TableText"/>
            </w:pPr>
            <w:r>
              <w:t>Not applicable</w:t>
            </w:r>
          </w:p>
        </w:tc>
        <w:tc>
          <w:tcPr>
            <w:tcW w:w="0" w:type="dxa"/>
            <w:shd w:val="clear" w:color="auto" w:fill="F7D4DB" w:themeFill="accent3" w:themeFillTint="33"/>
          </w:tcPr>
          <w:p w14:paraId="02A05BF1" w14:textId="77777777" w:rsidR="00687434" w:rsidRDefault="00687434" w:rsidP="00687434">
            <w:pPr>
              <w:pStyle w:val="TableText"/>
            </w:pPr>
          </w:p>
        </w:tc>
        <w:tc>
          <w:tcPr>
            <w:tcW w:w="0" w:type="dxa"/>
            <w:shd w:val="clear" w:color="auto" w:fill="F7D4DB" w:themeFill="accent3" w:themeFillTint="33"/>
          </w:tcPr>
          <w:p w14:paraId="5CF3EBDD" w14:textId="77777777" w:rsidR="00687434" w:rsidRDefault="00687434" w:rsidP="00687434">
            <w:pPr>
              <w:pStyle w:val="TableText"/>
            </w:pPr>
          </w:p>
        </w:tc>
      </w:tr>
      <w:tr w:rsidR="00687434" w:rsidRPr="00EF28E5" w14:paraId="64B3B793" w14:textId="77777777" w:rsidTr="00687434">
        <w:tc>
          <w:tcPr>
            <w:tcW w:w="656" w:type="dxa"/>
            <w:tcBorders>
              <w:bottom w:val="nil"/>
            </w:tcBorders>
          </w:tcPr>
          <w:p w14:paraId="4137B2B5" w14:textId="49209149" w:rsidR="00687434" w:rsidRDefault="00687434" w:rsidP="00687434">
            <w:pPr>
              <w:pStyle w:val="TableText"/>
            </w:pPr>
            <w:r>
              <w:t>24</w:t>
            </w:r>
          </w:p>
        </w:tc>
        <w:tc>
          <w:tcPr>
            <w:tcW w:w="1398" w:type="dxa"/>
            <w:tcBorders>
              <w:bottom w:val="nil"/>
            </w:tcBorders>
          </w:tcPr>
          <w:p w14:paraId="10CF9AE8" w14:textId="6FE00E73" w:rsidR="00687434" w:rsidRDefault="00687434" w:rsidP="00687434">
            <w:pPr>
              <w:pStyle w:val="TableText"/>
            </w:pPr>
            <w:r>
              <w:t>Bayled Up</w:t>
            </w:r>
          </w:p>
        </w:tc>
        <w:tc>
          <w:tcPr>
            <w:tcW w:w="4208" w:type="dxa"/>
          </w:tcPr>
          <w:p w14:paraId="63233BE6" w14:textId="6A391908" w:rsidR="00687434" w:rsidRDefault="00687434" w:rsidP="00687434">
            <w:pPr>
              <w:pStyle w:val="TableText"/>
            </w:pPr>
            <w:r>
              <w:t>Management of drainage on WWX on approach to coupe enables sediment to be washed from fill batter into permanent stream</w:t>
            </w:r>
          </w:p>
        </w:tc>
        <w:tc>
          <w:tcPr>
            <w:tcW w:w="1643" w:type="dxa"/>
          </w:tcPr>
          <w:p w14:paraId="59BDD60C" w14:textId="0D69B630" w:rsidR="00687434" w:rsidRDefault="00687434" w:rsidP="00687434">
            <w:pPr>
              <w:pStyle w:val="TableText"/>
            </w:pPr>
            <w:r>
              <w:t>6.01, 7.05, 7.06, 9.04, 14.01, 19.04, 19.05, 19.06, 19.11, 21.01 | C2.2.1.2/8, 2.2.2.4, 2.3.1.1, 2.5.1.2, M6.2.4.4/5/6, 6.2.5.4</w:t>
            </w:r>
          </w:p>
        </w:tc>
        <w:tc>
          <w:tcPr>
            <w:tcW w:w="1759" w:type="dxa"/>
          </w:tcPr>
          <w:p w14:paraId="62C96EFC" w14:textId="053733D9" w:rsidR="00687434" w:rsidRDefault="00687434" w:rsidP="00687434">
            <w:pPr>
              <w:pStyle w:val="TableText"/>
            </w:pPr>
            <w:r>
              <w:t>Major</w:t>
            </w:r>
          </w:p>
        </w:tc>
      </w:tr>
      <w:tr w:rsidR="00CD2815" w:rsidRPr="00EF28E5" w14:paraId="480DC9B5" w14:textId="77777777" w:rsidTr="00C31A7B">
        <w:tc>
          <w:tcPr>
            <w:tcW w:w="0" w:type="dxa"/>
            <w:tcBorders>
              <w:top w:val="nil"/>
              <w:bottom w:val="nil"/>
            </w:tcBorders>
          </w:tcPr>
          <w:p w14:paraId="7EE116D3" w14:textId="77777777" w:rsidR="00CD2815" w:rsidRDefault="00CD2815" w:rsidP="00CD2815">
            <w:pPr>
              <w:pStyle w:val="TableText"/>
            </w:pPr>
          </w:p>
        </w:tc>
        <w:tc>
          <w:tcPr>
            <w:tcW w:w="0" w:type="dxa"/>
            <w:tcBorders>
              <w:top w:val="nil"/>
              <w:bottom w:val="nil"/>
            </w:tcBorders>
          </w:tcPr>
          <w:p w14:paraId="1C3589FA" w14:textId="77777777" w:rsidR="00CD2815" w:rsidRDefault="00CD2815" w:rsidP="00CD2815">
            <w:pPr>
              <w:pStyle w:val="TableText"/>
            </w:pPr>
          </w:p>
        </w:tc>
        <w:tc>
          <w:tcPr>
            <w:tcW w:w="0" w:type="dxa"/>
          </w:tcPr>
          <w:p w14:paraId="4CFAEFE5" w14:textId="13F95344" w:rsidR="00CD2815" w:rsidRDefault="00CD2815" w:rsidP="00CD2815">
            <w:pPr>
              <w:pStyle w:val="TableText"/>
            </w:pPr>
            <w:r>
              <w:t>Slash and bark piles exceed 4 m</w:t>
            </w:r>
            <w:r>
              <w:rPr>
                <w:vertAlign w:val="superscript"/>
              </w:rPr>
              <w:t xml:space="preserve">2 </w:t>
            </w:r>
            <w:r>
              <w:t>ground area</w:t>
            </w:r>
          </w:p>
        </w:tc>
        <w:tc>
          <w:tcPr>
            <w:tcW w:w="0" w:type="dxa"/>
          </w:tcPr>
          <w:p w14:paraId="51D2073F" w14:textId="5EFC23FB" w:rsidR="00CD2815" w:rsidRDefault="00CD2815" w:rsidP="00CD2815">
            <w:pPr>
              <w:pStyle w:val="TableText"/>
            </w:pPr>
            <w:r>
              <w:t>22.21 | M7.2.4.2</w:t>
            </w:r>
          </w:p>
        </w:tc>
        <w:tc>
          <w:tcPr>
            <w:tcW w:w="0" w:type="dxa"/>
          </w:tcPr>
          <w:p w14:paraId="016CDAAD" w14:textId="09FD2A94" w:rsidR="00CD2815" w:rsidRDefault="00CD2815" w:rsidP="00CD2815">
            <w:pPr>
              <w:pStyle w:val="TableText"/>
            </w:pPr>
            <w:r>
              <w:t>Minor</w:t>
            </w:r>
          </w:p>
        </w:tc>
      </w:tr>
      <w:tr w:rsidR="00CD2815" w:rsidRPr="00EF28E5" w14:paraId="7DC4A4DB" w14:textId="77777777" w:rsidTr="00687434">
        <w:tc>
          <w:tcPr>
            <w:tcW w:w="656" w:type="dxa"/>
            <w:tcBorders>
              <w:top w:val="nil"/>
              <w:bottom w:val="nil"/>
            </w:tcBorders>
          </w:tcPr>
          <w:p w14:paraId="23CFAD5A" w14:textId="77777777" w:rsidR="00CD2815" w:rsidRDefault="00CD2815" w:rsidP="00CD2815">
            <w:pPr>
              <w:pStyle w:val="TableText"/>
            </w:pPr>
          </w:p>
        </w:tc>
        <w:tc>
          <w:tcPr>
            <w:tcW w:w="1398" w:type="dxa"/>
            <w:tcBorders>
              <w:top w:val="nil"/>
              <w:bottom w:val="nil"/>
            </w:tcBorders>
          </w:tcPr>
          <w:p w14:paraId="713A1F7F" w14:textId="77777777" w:rsidR="00CD2815" w:rsidRDefault="00CD2815" w:rsidP="00CD2815">
            <w:pPr>
              <w:pStyle w:val="TableText"/>
            </w:pPr>
          </w:p>
        </w:tc>
        <w:tc>
          <w:tcPr>
            <w:tcW w:w="4208" w:type="dxa"/>
          </w:tcPr>
          <w:p w14:paraId="26F67FD7" w14:textId="59F41409" w:rsidR="00CD2815" w:rsidRDefault="00CD2815" w:rsidP="00CD2815">
            <w:pPr>
              <w:pStyle w:val="TableText"/>
            </w:pPr>
            <w:r>
              <w:t>Management of road drainage mobilises sediment towards a waterway in a galaxid catchment</w:t>
            </w:r>
          </w:p>
        </w:tc>
        <w:tc>
          <w:tcPr>
            <w:tcW w:w="1643" w:type="dxa"/>
          </w:tcPr>
          <w:p w14:paraId="599325E2" w14:textId="03B18F17" w:rsidR="00CD2815" w:rsidRDefault="00CD2815" w:rsidP="00CD2815">
            <w:pPr>
              <w:pStyle w:val="TableText"/>
            </w:pPr>
            <w:r>
              <w:t>9.04 | C2.2.2.4</w:t>
            </w:r>
          </w:p>
        </w:tc>
        <w:tc>
          <w:tcPr>
            <w:tcW w:w="1759" w:type="dxa"/>
          </w:tcPr>
          <w:p w14:paraId="7D213394" w14:textId="4DCB1575" w:rsidR="00CD2815" w:rsidRDefault="00CD2815" w:rsidP="00CD2815">
            <w:pPr>
              <w:pStyle w:val="TableText"/>
            </w:pPr>
            <w:r>
              <w:t>Minor</w:t>
            </w:r>
          </w:p>
        </w:tc>
      </w:tr>
      <w:tr w:rsidR="00CD2815" w:rsidRPr="00EF28E5" w14:paraId="490AA24D" w14:textId="77777777" w:rsidTr="00687434">
        <w:tc>
          <w:tcPr>
            <w:tcW w:w="656" w:type="dxa"/>
            <w:tcBorders>
              <w:top w:val="nil"/>
              <w:bottom w:val="nil"/>
            </w:tcBorders>
          </w:tcPr>
          <w:p w14:paraId="34554157" w14:textId="77777777" w:rsidR="00CD2815" w:rsidRDefault="00CD2815" w:rsidP="00CD2815">
            <w:pPr>
              <w:pStyle w:val="TableText"/>
            </w:pPr>
          </w:p>
        </w:tc>
        <w:tc>
          <w:tcPr>
            <w:tcW w:w="1398" w:type="dxa"/>
            <w:tcBorders>
              <w:top w:val="nil"/>
              <w:bottom w:val="nil"/>
            </w:tcBorders>
          </w:tcPr>
          <w:p w14:paraId="45B87954" w14:textId="77777777" w:rsidR="00CD2815" w:rsidRDefault="00CD2815" w:rsidP="00CD2815">
            <w:pPr>
              <w:pStyle w:val="TableText"/>
            </w:pPr>
          </w:p>
        </w:tc>
        <w:tc>
          <w:tcPr>
            <w:tcW w:w="4208" w:type="dxa"/>
          </w:tcPr>
          <w:p w14:paraId="6D7244C4" w14:textId="65B006A3" w:rsidR="00CD2815" w:rsidRDefault="00CD2815" w:rsidP="00CD2815">
            <w:pPr>
              <w:pStyle w:val="TableText"/>
            </w:pPr>
            <w:r>
              <w:t>Spacing of effective drainage structures on ICR exceeds MSP prescriptions</w:t>
            </w:r>
          </w:p>
        </w:tc>
        <w:tc>
          <w:tcPr>
            <w:tcW w:w="1643" w:type="dxa"/>
          </w:tcPr>
          <w:p w14:paraId="53C50A90" w14:textId="2CFB82FE" w:rsidR="00CD2815" w:rsidRDefault="00CD2815" w:rsidP="00CD2815">
            <w:pPr>
              <w:pStyle w:val="TableText"/>
            </w:pPr>
            <w:r>
              <w:t xml:space="preserve">19.01, 22.26 | C2.5.2.5, M6.2.4.1, </w:t>
            </w:r>
          </w:p>
        </w:tc>
        <w:tc>
          <w:tcPr>
            <w:tcW w:w="1759" w:type="dxa"/>
          </w:tcPr>
          <w:p w14:paraId="49331DCA" w14:textId="47DD13B4" w:rsidR="00CD2815" w:rsidRDefault="00CD2815" w:rsidP="00CD2815">
            <w:pPr>
              <w:pStyle w:val="TableText"/>
            </w:pPr>
            <w:r>
              <w:t>Negligible</w:t>
            </w:r>
          </w:p>
        </w:tc>
      </w:tr>
      <w:tr w:rsidR="00CD2815" w:rsidRPr="00EF28E5" w14:paraId="45F02C33" w14:textId="77777777" w:rsidTr="00687434">
        <w:tc>
          <w:tcPr>
            <w:tcW w:w="656" w:type="dxa"/>
            <w:shd w:val="clear" w:color="auto" w:fill="F7D4DB" w:themeFill="accent3" w:themeFillTint="33"/>
          </w:tcPr>
          <w:p w14:paraId="21B29B76" w14:textId="66D9257F" w:rsidR="00CD2815" w:rsidRDefault="00CD2815" w:rsidP="00CD2815">
            <w:pPr>
              <w:pStyle w:val="TableText"/>
            </w:pPr>
            <w:r>
              <w:t>25</w:t>
            </w:r>
          </w:p>
        </w:tc>
        <w:tc>
          <w:tcPr>
            <w:tcW w:w="1398" w:type="dxa"/>
            <w:shd w:val="clear" w:color="auto" w:fill="F7D4DB" w:themeFill="accent3" w:themeFillTint="33"/>
          </w:tcPr>
          <w:p w14:paraId="5C02D24F" w14:textId="33806ABB" w:rsidR="00CD2815" w:rsidRDefault="00CD2815" w:rsidP="00CD2815">
            <w:pPr>
              <w:pStyle w:val="TableText"/>
            </w:pPr>
            <w:r>
              <w:t>Lior</w:t>
            </w:r>
          </w:p>
        </w:tc>
        <w:tc>
          <w:tcPr>
            <w:tcW w:w="4208" w:type="dxa"/>
            <w:shd w:val="clear" w:color="auto" w:fill="F7D4DB" w:themeFill="accent3" w:themeFillTint="33"/>
          </w:tcPr>
          <w:p w14:paraId="228DC2DD" w14:textId="2322D303" w:rsidR="00CD2815" w:rsidRDefault="00CD2815" w:rsidP="00CD2815">
            <w:pPr>
              <w:pStyle w:val="TableText"/>
            </w:pPr>
            <w:r>
              <w:t>Not applicable</w:t>
            </w:r>
          </w:p>
        </w:tc>
        <w:tc>
          <w:tcPr>
            <w:tcW w:w="1643" w:type="dxa"/>
            <w:shd w:val="clear" w:color="auto" w:fill="F7D4DB" w:themeFill="accent3" w:themeFillTint="33"/>
          </w:tcPr>
          <w:p w14:paraId="33794B9D" w14:textId="77777777" w:rsidR="00CD2815" w:rsidRDefault="00CD2815" w:rsidP="00CD2815">
            <w:pPr>
              <w:pStyle w:val="TableText"/>
            </w:pPr>
          </w:p>
        </w:tc>
        <w:tc>
          <w:tcPr>
            <w:tcW w:w="1759" w:type="dxa"/>
            <w:shd w:val="clear" w:color="auto" w:fill="F7D4DB" w:themeFill="accent3" w:themeFillTint="33"/>
          </w:tcPr>
          <w:p w14:paraId="4F5689C5" w14:textId="77777777" w:rsidR="00CD2815" w:rsidRDefault="00CD2815" w:rsidP="00CD2815">
            <w:pPr>
              <w:pStyle w:val="TableText"/>
            </w:pPr>
          </w:p>
        </w:tc>
      </w:tr>
      <w:tr w:rsidR="00CD2815" w:rsidRPr="00EF28E5" w14:paraId="0C3D81F1" w14:textId="77777777" w:rsidTr="00687434">
        <w:tc>
          <w:tcPr>
            <w:tcW w:w="656" w:type="dxa"/>
            <w:shd w:val="clear" w:color="auto" w:fill="F7D4DB" w:themeFill="accent3" w:themeFillTint="33"/>
          </w:tcPr>
          <w:p w14:paraId="29DC6E01" w14:textId="608B497F" w:rsidR="00CD2815" w:rsidRDefault="00CD2815" w:rsidP="00CD2815">
            <w:pPr>
              <w:pStyle w:val="TableText"/>
            </w:pPr>
            <w:r>
              <w:t>26</w:t>
            </w:r>
          </w:p>
        </w:tc>
        <w:tc>
          <w:tcPr>
            <w:tcW w:w="1398" w:type="dxa"/>
            <w:shd w:val="clear" w:color="auto" w:fill="F7D4DB" w:themeFill="accent3" w:themeFillTint="33"/>
          </w:tcPr>
          <w:p w14:paraId="0874EF2A" w14:textId="5A8F6480" w:rsidR="00CD2815" w:rsidRDefault="00CD2815" w:rsidP="00CD2815">
            <w:pPr>
              <w:pStyle w:val="TableText"/>
            </w:pPr>
            <w:r w:rsidRPr="0020316C">
              <w:t>Electromotive</w:t>
            </w:r>
          </w:p>
        </w:tc>
        <w:tc>
          <w:tcPr>
            <w:tcW w:w="4208" w:type="dxa"/>
            <w:shd w:val="clear" w:color="auto" w:fill="F7D4DB" w:themeFill="accent3" w:themeFillTint="33"/>
          </w:tcPr>
          <w:p w14:paraId="0A5F5DFC" w14:textId="0A05D00B" w:rsidR="00CD2815" w:rsidRDefault="00CD2815" w:rsidP="00CD2815">
            <w:pPr>
              <w:pStyle w:val="TableText"/>
            </w:pPr>
            <w:r>
              <w:t>Not applicable</w:t>
            </w:r>
          </w:p>
        </w:tc>
        <w:tc>
          <w:tcPr>
            <w:tcW w:w="1643" w:type="dxa"/>
            <w:shd w:val="clear" w:color="auto" w:fill="F7D4DB" w:themeFill="accent3" w:themeFillTint="33"/>
          </w:tcPr>
          <w:p w14:paraId="07A5378F" w14:textId="77777777" w:rsidR="00CD2815" w:rsidRDefault="00CD2815" w:rsidP="00CD2815">
            <w:pPr>
              <w:pStyle w:val="TableText"/>
            </w:pPr>
          </w:p>
        </w:tc>
        <w:tc>
          <w:tcPr>
            <w:tcW w:w="1759" w:type="dxa"/>
            <w:shd w:val="clear" w:color="auto" w:fill="F7D4DB" w:themeFill="accent3" w:themeFillTint="33"/>
          </w:tcPr>
          <w:p w14:paraId="68512677" w14:textId="77777777" w:rsidR="00CD2815" w:rsidRDefault="00CD2815" w:rsidP="00CD2815">
            <w:pPr>
              <w:pStyle w:val="TableText"/>
            </w:pPr>
          </w:p>
        </w:tc>
      </w:tr>
      <w:tr w:rsidR="00CD2815" w:rsidRPr="00EF28E5" w14:paraId="0CFFE252" w14:textId="77777777" w:rsidTr="00687434">
        <w:tc>
          <w:tcPr>
            <w:tcW w:w="656" w:type="dxa"/>
            <w:shd w:val="clear" w:color="auto" w:fill="F7D4DB" w:themeFill="accent3" w:themeFillTint="33"/>
          </w:tcPr>
          <w:p w14:paraId="2EAEC4CE" w14:textId="4A0F7AC2" w:rsidR="00CD2815" w:rsidRDefault="00CD2815" w:rsidP="00CD2815">
            <w:pPr>
              <w:pStyle w:val="TableText"/>
            </w:pPr>
            <w:r>
              <w:t>27</w:t>
            </w:r>
          </w:p>
        </w:tc>
        <w:tc>
          <w:tcPr>
            <w:tcW w:w="1398" w:type="dxa"/>
            <w:shd w:val="clear" w:color="auto" w:fill="F7D4DB" w:themeFill="accent3" w:themeFillTint="33"/>
          </w:tcPr>
          <w:p w14:paraId="01C0ECE7" w14:textId="4EE552C5" w:rsidR="00CD2815" w:rsidRDefault="00CD2815" w:rsidP="00CD2815">
            <w:pPr>
              <w:pStyle w:val="TableText"/>
            </w:pPr>
            <w:r>
              <w:t>Grandfinal</w:t>
            </w:r>
          </w:p>
        </w:tc>
        <w:tc>
          <w:tcPr>
            <w:tcW w:w="4208" w:type="dxa"/>
            <w:shd w:val="clear" w:color="auto" w:fill="F7D4DB" w:themeFill="accent3" w:themeFillTint="33"/>
          </w:tcPr>
          <w:p w14:paraId="65F05761" w14:textId="1C0AE115" w:rsidR="00CD2815" w:rsidRDefault="00CD2815" w:rsidP="00CD2815">
            <w:pPr>
              <w:pStyle w:val="TableText"/>
            </w:pPr>
            <w:r>
              <w:t>Not applicable</w:t>
            </w:r>
          </w:p>
        </w:tc>
        <w:tc>
          <w:tcPr>
            <w:tcW w:w="1643" w:type="dxa"/>
            <w:shd w:val="clear" w:color="auto" w:fill="F7D4DB" w:themeFill="accent3" w:themeFillTint="33"/>
          </w:tcPr>
          <w:p w14:paraId="50550A97" w14:textId="77777777" w:rsidR="00CD2815" w:rsidRDefault="00CD2815" w:rsidP="00CD2815">
            <w:pPr>
              <w:pStyle w:val="TableText"/>
            </w:pPr>
          </w:p>
        </w:tc>
        <w:tc>
          <w:tcPr>
            <w:tcW w:w="1759" w:type="dxa"/>
            <w:shd w:val="clear" w:color="auto" w:fill="F7D4DB" w:themeFill="accent3" w:themeFillTint="33"/>
          </w:tcPr>
          <w:p w14:paraId="69842156" w14:textId="77777777" w:rsidR="00CD2815" w:rsidRDefault="00CD2815" w:rsidP="00CD2815">
            <w:pPr>
              <w:pStyle w:val="TableText"/>
            </w:pPr>
          </w:p>
        </w:tc>
      </w:tr>
      <w:tr w:rsidR="00CD2815" w:rsidRPr="00EF28E5" w14:paraId="00974972" w14:textId="77777777" w:rsidTr="00687434">
        <w:tc>
          <w:tcPr>
            <w:tcW w:w="656" w:type="dxa"/>
            <w:tcBorders>
              <w:bottom w:val="single" w:sz="4" w:space="0" w:color="007D55" w:themeColor="accent1"/>
            </w:tcBorders>
            <w:shd w:val="clear" w:color="auto" w:fill="F7D4DB" w:themeFill="accent3" w:themeFillTint="33"/>
          </w:tcPr>
          <w:p w14:paraId="04669DD9" w14:textId="4EA537CB" w:rsidR="00CD2815" w:rsidRDefault="00CD2815" w:rsidP="00CD2815">
            <w:pPr>
              <w:pStyle w:val="TableText"/>
            </w:pPr>
            <w:r>
              <w:t>28</w:t>
            </w:r>
          </w:p>
        </w:tc>
        <w:tc>
          <w:tcPr>
            <w:tcW w:w="1398" w:type="dxa"/>
            <w:tcBorders>
              <w:bottom w:val="single" w:sz="4" w:space="0" w:color="007D55" w:themeColor="accent1"/>
            </w:tcBorders>
            <w:shd w:val="clear" w:color="auto" w:fill="F7D4DB" w:themeFill="accent3" w:themeFillTint="33"/>
          </w:tcPr>
          <w:p w14:paraId="6FC24966" w14:textId="335A33A0" w:rsidR="00CD2815" w:rsidRDefault="00CD2815" w:rsidP="00CD2815">
            <w:pPr>
              <w:pStyle w:val="TableText"/>
            </w:pPr>
            <w:r>
              <w:t>Scarface</w:t>
            </w:r>
          </w:p>
        </w:tc>
        <w:tc>
          <w:tcPr>
            <w:tcW w:w="4208" w:type="dxa"/>
            <w:shd w:val="clear" w:color="auto" w:fill="F7D4DB" w:themeFill="accent3" w:themeFillTint="33"/>
          </w:tcPr>
          <w:p w14:paraId="4A36D33E" w14:textId="6869A71C" w:rsidR="00CD2815" w:rsidRDefault="00CD2815" w:rsidP="00CD2815">
            <w:pPr>
              <w:pStyle w:val="TableText"/>
            </w:pPr>
            <w:r>
              <w:t>Not applicable</w:t>
            </w:r>
          </w:p>
        </w:tc>
        <w:tc>
          <w:tcPr>
            <w:tcW w:w="1643" w:type="dxa"/>
            <w:shd w:val="clear" w:color="auto" w:fill="F7D4DB" w:themeFill="accent3" w:themeFillTint="33"/>
          </w:tcPr>
          <w:p w14:paraId="3452CFC9" w14:textId="77777777" w:rsidR="00CD2815" w:rsidRDefault="00CD2815" w:rsidP="00CD2815">
            <w:pPr>
              <w:pStyle w:val="TableText"/>
            </w:pPr>
          </w:p>
        </w:tc>
        <w:tc>
          <w:tcPr>
            <w:tcW w:w="1759" w:type="dxa"/>
            <w:shd w:val="clear" w:color="auto" w:fill="F7D4DB" w:themeFill="accent3" w:themeFillTint="33"/>
          </w:tcPr>
          <w:p w14:paraId="67FA18D3" w14:textId="77777777" w:rsidR="00CD2815" w:rsidRDefault="00CD2815" w:rsidP="00CD2815">
            <w:pPr>
              <w:pStyle w:val="TableText"/>
            </w:pPr>
          </w:p>
        </w:tc>
      </w:tr>
      <w:tr w:rsidR="00CD2815" w:rsidRPr="00EF28E5" w14:paraId="340B2EEC" w14:textId="77777777" w:rsidTr="00687434">
        <w:tc>
          <w:tcPr>
            <w:tcW w:w="656" w:type="dxa"/>
            <w:tcBorders>
              <w:bottom w:val="nil"/>
            </w:tcBorders>
          </w:tcPr>
          <w:p w14:paraId="46E95861" w14:textId="267B428A" w:rsidR="00CD2815" w:rsidRDefault="00CD2815" w:rsidP="00CD2815">
            <w:pPr>
              <w:pStyle w:val="TableText"/>
            </w:pPr>
            <w:r>
              <w:t>29</w:t>
            </w:r>
          </w:p>
        </w:tc>
        <w:tc>
          <w:tcPr>
            <w:tcW w:w="1398" w:type="dxa"/>
            <w:tcBorders>
              <w:bottom w:val="nil"/>
            </w:tcBorders>
          </w:tcPr>
          <w:p w14:paraId="00F06366" w14:textId="61B47190" w:rsidR="00CD2815" w:rsidRDefault="00CD2815" w:rsidP="00CD2815">
            <w:pPr>
              <w:pStyle w:val="TableText"/>
            </w:pPr>
            <w:r>
              <w:t>Pinball Wizard</w:t>
            </w:r>
          </w:p>
        </w:tc>
        <w:tc>
          <w:tcPr>
            <w:tcW w:w="4208" w:type="dxa"/>
          </w:tcPr>
          <w:p w14:paraId="2FF589A8" w14:textId="7EA9F944" w:rsidR="00CD2815" w:rsidRDefault="00CD2815" w:rsidP="00CD2815">
            <w:pPr>
              <w:pStyle w:val="TableText"/>
            </w:pPr>
            <w:r>
              <w:t>Harvesting incursion into buffer on temporary stream</w:t>
            </w:r>
          </w:p>
        </w:tc>
        <w:tc>
          <w:tcPr>
            <w:tcW w:w="1643" w:type="dxa"/>
          </w:tcPr>
          <w:p w14:paraId="79AEBE45" w14:textId="47A259D4" w:rsidR="00CD2815" w:rsidRDefault="00CD2815" w:rsidP="00CD2815">
            <w:pPr>
              <w:pStyle w:val="TableText"/>
            </w:pPr>
            <w:r>
              <w:t>3.01, 6.01, 8.01, 15.09, 21.01, 21.04 | C2.2.1.2/14, 2.5.1.2, M3.3.1.1, 8.1.5.4, 7.1.2.1</w:t>
            </w:r>
          </w:p>
        </w:tc>
        <w:tc>
          <w:tcPr>
            <w:tcW w:w="1759" w:type="dxa"/>
          </w:tcPr>
          <w:p w14:paraId="3FC64328" w14:textId="3E30B10F" w:rsidR="00CD2815" w:rsidRDefault="00CD2815" w:rsidP="00CD2815">
            <w:pPr>
              <w:pStyle w:val="TableText"/>
            </w:pPr>
            <w:r>
              <w:t>Moderate</w:t>
            </w:r>
          </w:p>
        </w:tc>
      </w:tr>
      <w:tr w:rsidR="00CD2815" w:rsidRPr="00EF28E5" w14:paraId="3A10ABD4" w14:textId="77777777" w:rsidTr="00687434">
        <w:tc>
          <w:tcPr>
            <w:tcW w:w="656" w:type="dxa"/>
            <w:tcBorders>
              <w:top w:val="nil"/>
            </w:tcBorders>
          </w:tcPr>
          <w:p w14:paraId="2C13E1F6" w14:textId="77777777" w:rsidR="00CD2815" w:rsidRDefault="00CD2815" w:rsidP="00CD2815">
            <w:pPr>
              <w:pStyle w:val="TableText"/>
            </w:pPr>
          </w:p>
        </w:tc>
        <w:tc>
          <w:tcPr>
            <w:tcW w:w="1398" w:type="dxa"/>
            <w:tcBorders>
              <w:top w:val="nil"/>
            </w:tcBorders>
          </w:tcPr>
          <w:p w14:paraId="11D0661F" w14:textId="77777777" w:rsidR="00CD2815" w:rsidRDefault="00CD2815" w:rsidP="00CD2815">
            <w:pPr>
              <w:pStyle w:val="TableText"/>
            </w:pPr>
          </w:p>
        </w:tc>
        <w:tc>
          <w:tcPr>
            <w:tcW w:w="4208" w:type="dxa"/>
          </w:tcPr>
          <w:p w14:paraId="7920280A" w14:textId="6C6F5648" w:rsidR="00CD2815" w:rsidRDefault="00CD2815" w:rsidP="00CD2815">
            <w:pPr>
              <w:pStyle w:val="TableText"/>
            </w:pPr>
            <w:r>
              <w:t>Drains on ICR not constructed to function as planned</w:t>
            </w:r>
          </w:p>
        </w:tc>
        <w:tc>
          <w:tcPr>
            <w:tcW w:w="1643" w:type="dxa"/>
          </w:tcPr>
          <w:p w14:paraId="61AD0284" w14:textId="19EE09B1" w:rsidR="00CD2815" w:rsidRDefault="00CD2815" w:rsidP="00CD2815">
            <w:pPr>
              <w:pStyle w:val="TableText"/>
            </w:pPr>
            <w:r>
              <w:t>19.02 | M6.2.4.2</w:t>
            </w:r>
          </w:p>
        </w:tc>
        <w:tc>
          <w:tcPr>
            <w:tcW w:w="1759" w:type="dxa"/>
          </w:tcPr>
          <w:p w14:paraId="45466EAD" w14:textId="670FB186" w:rsidR="00CD2815" w:rsidRDefault="00CD2815" w:rsidP="00CD2815">
            <w:pPr>
              <w:pStyle w:val="TableText"/>
            </w:pPr>
            <w:r>
              <w:t>Negligible</w:t>
            </w:r>
          </w:p>
        </w:tc>
      </w:tr>
      <w:tr w:rsidR="00CD2815" w:rsidRPr="00EF28E5" w14:paraId="1729CCFF" w14:textId="77777777" w:rsidTr="00687434">
        <w:tc>
          <w:tcPr>
            <w:tcW w:w="656" w:type="dxa"/>
            <w:shd w:val="clear" w:color="auto" w:fill="F7D4DB" w:themeFill="accent3" w:themeFillTint="33"/>
          </w:tcPr>
          <w:p w14:paraId="4FA3134C" w14:textId="1F9D02E8" w:rsidR="00CD2815" w:rsidRDefault="00CD2815" w:rsidP="00CD2815">
            <w:pPr>
              <w:pStyle w:val="TableText"/>
            </w:pPr>
            <w:r>
              <w:t>30</w:t>
            </w:r>
          </w:p>
        </w:tc>
        <w:tc>
          <w:tcPr>
            <w:tcW w:w="1398" w:type="dxa"/>
            <w:shd w:val="clear" w:color="auto" w:fill="F7D4DB" w:themeFill="accent3" w:themeFillTint="33"/>
          </w:tcPr>
          <w:p w14:paraId="3E2830F6" w14:textId="7E34998A" w:rsidR="00CD2815" w:rsidRDefault="00CD2815" w:rsidP="00CD2815">
            <w:pPr>
              <w:pStyle w:val="TableText"/>
            </w:pPr>
            <w:r>
              <w:t>Plastic Moon</w:t>
            </w:r>
          </w:p>
        </w:tc>
        <w:tc>
          <w:tcPr>
            <w:tcW w:w="4208" w:type="dxa"/>
            <w:shd w:val="clear" w:color="auto" w:fill="F7D4DB" w:themeFill="accent3" w:themeFillTint="33"/>
          </w:tcPr>
          <w:p w14:paraId="26FE25E9" w14:textId="3C426FDE" w:rsidR="00CD2815" w:rsidRDefault="00CD2815" w:rsidP="00CD2815">
            <w:pPr>
              <w:pStyle w:val="TableText"/>
            </w:pPr>
            <w:r>
              <w:t>Not applicable</w:t>
            </w:r>
          </w:p>
        </w:tc>
        <w:tc>
          <w:tcPr>
            <w:tcW w:w="1643" w:type="dxa"/>
            <w:shd w:val="clear" w:color="auto" w:fill="F7D4DB" w:themeFill="accent3" w:themeFillTint="33"/>
          </w:tcPr>
          <w:p w14:paraId="7F011BB4" w14:textId="77777777" w:rsidR="00CD2815" w:rsidRDefault="00CD2815" w:rsidP="00CD2815">
            <w:pPr>
              <w:pStyle w:val="TableText"/>
            </w:pPr>
          </w:p>
        </w:tc>
        <w:tc>
          <w:tcPr>
            <w:tcW w:w="1759" w:type="dxa"/>
            <w:shd w:val="clear" w:color="auto" w:fill="F7D4DB" w:themeFill="accent3" w:themeFillTint="33"/>
          </w:tcPr>
          <w:p w14:paraId="6890D434" w14:textId="77777777" w:rsidR="00CD2815" w:rsidRDefault="00CD2815" w:rsidP="00CD2815">
            <w:pPr>
              <w:pStyle w:val="TableText"/>
            </w:pPr>
          </w:p>
        </w:tc>
      </w:tr>
      <w:tr w:rsidR="00CD2815" w:rsidRPr="00EF28E5" w14:paraId="558FA89A" w14:textId="77777777" w:rsidTr="00687434">
        <w:tc>
          <w:tcPr>
            <w:tcW w:w="656" w:type="dxa"/>
            <w:shd w:val="clear" w:color="auto" w:fill="F7D4DB" w:themeFill="accent3" w:themeFillTint="33"/>
          </w:tcPr>
          <w:p w14:paraId="39AA2103" w14:textId="4600010A" w:rsidR="00CD2815" w:rsidRDefault="00CD2815" w:rsidP="00CD2815">
            <w:pPr>
              <w:pStyle w:val="TableText"/>
            </w:pPr>
            <w:r>
              <w:t>31</w:t>
            </w:r>
          </w:p>
        </w:tc>
        <w:tc>
          <w:tcPr>
            <w:tcW w:w="1398" w:type="dxa"/>
            <w:shd w:val="clear" w:color="auto" w:fill="F7D4DB" w:themeFill="accent3" w:themeFillTint="33"/>
          </w:tcPr>
          <w:p w14:paraId="4EC149C7" w14:textId="0934B786" w:rsidR="00CD2815" w:rsidRDefault="00CD2815" w:rsidP="00CD2815">
            <w:pPr>
              <w:pStyle w:val="TableText"/>
            </w:pPr>
            <w:r w:rsidRPr="00B33DF5">
              <w:t>Harkerscorner</w:t>
            </w:r>
          </w:p>
        </w:tc>
        <w:tc>
          <w:tcPr>
            <w:tcW w:w="4208" w:type="dxa"/>
            <w:shd w:val="clear" w:color="auto" w:fill="F7D4DB" w:themeFill="accent3" w:themeFillTint="33"/>
          </w:tcPr>
          <w:p w14:paraId="51317AF5" w14:textId="5BCA7E26" w:rsidR="00CD2815" w:rsidRDefault="00CD2815" w:rsidP="00CD2815">
            <w:pPr>
              <w:pStyle w:val="TableText"/>
            </w:pPr>
            <w:r>
              <w:t>Not applicable</w:t>
            </w:r>
          </w:p>
        </w:tc>
        <w:tc>
          <w:tcPr>
            <w:tcW w:w="1643" w:type="dxa"/>
            <w:shd w:val="clear" w:color="auto" w:fill="F7D4DB" w:themeFill="accent3" w:themeFillTint="33"/>
          </w:tcPr>
          <w:p w14:paraId="7246FCD7" w14:textId="77777777" w:rsidR="00CD2815" w:rsidRDefault="00CD2815" w:rsidP="00CD2815">
            <w:pPr>
              <w:pStyle w:val="TableText"/>
            </w:pPr>
          </w:p>
        </w:tc>
        <w:tc>
          <w:tcPr>
            <w:tcW w:w="1759" w:type="dxa"/>
            <w:shd w:val="clear" w:color="auto" w:fill="F7D4DB" w:themeFill="accent3" w:themeFillTint="33"/>
          </w:tcPr>
          <w:p w14:paraId="285EBD44" w14:textId="77777777" w:rsidR="00CD2815" w:rsidRDefault="00CD2815" w:rsidP="00CD2815">
            <w:pPr>
              <w:pStyle w:val="TableText"/>
            </w:pPr>
          </w:p>
        </w:tc>
      </w:tr>
      <w:tr w:rsidR="00CD2815" w:rsidRPr="00EF28E5" w14:paraId="65355C48" w14:textId="77777777" w:rsidTr="00687434">
        <w:tc>
          <w:tcPr>
            <w:tcW w:w="656" w:type="dxa"/>
            <w:shd w:val="clear" w:color="auto" w:fill="F7D4DB" w:themeFill="accent3" w:themeFillTint="33"/>
          </w:tcPr>
          <w:p w14:paraId="0344000E" w14:textId="46714FD1" w:rsidR="00CD2815" w:rsidRDefault="00CD2815" w:rsidP="00CD2815">
            <w:pPr>
              <w:pStyle w:val="TableText"/>
            </w:pPr>
            <w:r>
              <w:t>32</w:t>
            </w:r>
          </w:p>
        </w:tc>
        <w:tc>
          <w:tcPr>
            <w:tcW w:w="1398" w:type="dxa"/>
            <w:shd w:val="clear" w:color="auto" w:fill="F7D4DB" w:themeFill="accent3" w:themeFillTint="33"/>
          </w:tcPr>
          <w:p w14:paraId="62C2BFF9" w14:textId="040FF15A" w:rsidR="00CD2815" w:rsidRDefault="00CD2815" w:rsidP="00CD2815">
            <w:pPr>
              <w:pStyle w:val="TableText"/>
            </w:pPr>
            <w:r>
              <w:t xml:space="preserve">Paw Print </w:t>
            </w:r>
          </w:p>
        </w:tc>
        <w:tc>
          <w:tcPr>
            <w:tcW w:w="4208" w:type="dxa"/>
            <w:shd w:val="clear" w:color="auto" w:fill="F7D4DB" w:themeFill="accent3" w:themeFillTint="33"/>
          </w:tcPr>
          <w:p w14:paraId="4308134F" w14:textId="0256643B" w:rsidR="00CD2815" w:rsidRDefault="00CD2815" w:rsidP="00CD2815">
            <w:pPr>
              <w:pStyle w:val="TableText"/>
            </w:pPr>
            <w:r>
              <w:t>Not applicable</w:t>
            </w:r>
          </w:p>
        </w:tc>
        <w:tc>
          <w:tcPr>
            <w:tcW w:w="1643" w:type="dxa"/>
            <w:shd w:val="clear" w:color="auto" w:fill="F7D4DB" w:themeFill="accent3" w:themeFillTint="33"/>
          </w:tcPr>
          <w:p w14:paraId="27D990A6" w14:textId="77777777" w:rsidR="00CD2815" w:rsidRDefault="00CD2815" w:rsidP="00CD2815">
            <w:pPr>
              <w:pStyle w:val="TableText"/>
            </w:pPr>
          </w:p>
        </w:tc>
        <w:tc>
          <w:tcPr>
            <w:tcW w:w="1759" w:type="dxa"/>
            <w:shd w:val="clear" w:color="auto" w:fill="F7D4DB" w:themeFill="accent3" w:themeFillTint="33"/>
          </w:tcPr>
          <w:p w14:paraId="608EE6B3" w14:textId="77777777" w:rsidR="00CD2815" w:rsidRDefault="00CD2815" w:rsidP="00CD2815">
            <w:pPr>
              <w:pStyle w:val="TableText"/>
            </w:pPr>
          </w:p>
        </w:tc>
      </w:tr>
    </w:tbl>
    <w:p w14:paraId="72EB336D" w14:textId="209F8422" w:rsidR="00EF28E5" w:rsidRDefault="00441C4E" w:rsidP="00441C4E">
      <w:pPr>
        <w:pStyle w:val="Heading9"/>
      </w:pPr>
      <w:bookmarkStart w:id="245" w:name="_Ref131151417"/>
      <w:bookmarkStart w:id="246" w:name="_Toc131178735"/>
      <w:r>
        <w:lastRenderedPageBreak/>
        <w:t>VicForests’ substantive comments on the draft audit report</w:t>
      </w:r>
      <w:bookmarkEnd w:id="245"/>
      <w:bookmarkEnd w:id="246"/>
    </w:p>
    <w:p w14:paraId="53F37EB7" w14:textId="79917568" w:rsidR="00C830E7" w:rsidRDefault="001B0628" w:rsidP="00C830E7">
      <w:pPr>
        <w:pStyle w:val="BodyText"/>
      </w:pPr>
      <w:r>
        <w:fldChar w:fldCharType="begin"/>
      </w:r>
      <w:r>
        <w:instrText xml:space="preserve"> REF _Ref131172400 \h </w:instrText>
      </w:r>
      <w:r>
        <w:fldChar w:fldCharType="separate"/>
      </w:r>
      <w:r w:rsidR="00130DCF" w:rsidRPr="00B85F18">
        <w:t>Table</w:t>
      </w:r>
      <w:r w:rsidR="00130DCF">
        <w:t> </w:t>
      </w:r>
      <w:r w:rsidR="00130DCF">
        <w:rPr>
          <w:noProof/>
        </w:rPr>
        <w:t>D-1</w:t>
      </w:r>
      <w:r>
        <w:fldChar w:fldCharType="end"/>
      </w:r>
      <w:r>
        <w:t xml:space="preserve"> summarises </w:t>
      </w:r>
      <w:r w:rsidR="00F120F3">
        <w:t xml:space="preserve">VicForests’ substantive comments on the draft </w:t>
      </w:r>
      <w:r w:rsidR="007330A6">
        <w:t xml:space="preserve">of this </w:t>
      </w:r>
      <w:r w:rsidR="00F120F3">
        <w:t>audit report</w:t>
      </w:r>
      <w:r w:rsidR="007330A6">
        <w:t xml:space="preserve"> and the audit team’s response. </w:t>
      </w:r>
    </w:p>
    <w:p w14:paraId="6C2A685C" w14:textId="5476587D" w:rsidR="005B26BE" w:rsidRDefault="005B26BE" w:rsidP="00FD6D9F">
      <w:pPr>
        <w:pStyle w:val="TableCaption"/>
      </w:pPr>
      <w:bookmarkStart w:id="247" w:name="_Ref131172400"/>
      <w:bookmarkStart w:id="248" w:name="_Toc131178751"/>
      <w:r w:rsidRPr="00B85F18">
        <w:t>Table</w:t>
      </w:r>
      <w:r>
        <w:t> </w:t>
      </w:r>
      <w:fldSimple w:instr=" STYLEREF &quot;Appendix Heading 1&quot; \s ">
        <w:r w:rsidR="00130DCF">
          <w:rPr>
            <w:noProof/>
          </w:rPr>
          <w:t>D</w:t>
        </w:r>
      </w:fldSimple>
      <w:r>
        <w:rPr>
          <w:noProof/>
        </w:rPr>
        <w:t>-</w:t>
      </w:r>
      <w:fldSimple w:instr=" SEQ Table \* ARABIC \s 9 ">
        <w:r w:rsidR="00130DCF">
          <w:rPr>
            <w:noProof/>
          </w:rPr>
          <w:t>1</w:t>
        </w:r>
      </w:fldSimple>
      <w:bookmarkEnd w:id="247"/>
      <w:r w:rsidRPr="00B85F18">
        <w:t xml:space="preserve"> </w:t>
      </w:r>
      <w:r w:rsidR="003858E9">
        <w:t>VicForests substantive comments on the draft 2022 FAP audit reports and audit team’s responses</w:t>
      </w:r>
      <w:bookmarkEnd w:id="248"/>
    </w:p>
    <w:tbl>
      <w:tblPr>
        <w:tblStyle w:val="JacobsTable1accentprimarythemes"/>
        <w:tblW w:w="0" w:type="auto"/>
        <w:tblLook w:val="04A0" w:firstRow="1" w:lastRow="0" w:firstColumn="1" w:lastColumn="0" w:noHBand="0" w:noVBand="1"/>
      </w:tblPr>
      <w:tblGrid>
        <w:gridCol w:w="1843"/>
        <w:gridCol w:w="3897"/>
        <w:gridCol w:w="3898"/>
      </w:tblGrid>
      <w:tr w:rsidR="00032466" w14:paraId="0804136F" w14:textId="77777777" w:rsidTr="00032466">
        <w:trPr>
          <w:cnfStyle w:val="100000000000" w:firstRow="1" w:lastRow="0" w:firstColumn="0" w:lastColumn="0" w:oddVBand="0" w:evenVBand="0" w:oddHBand="0" w:evenHBand="0" w:firstRowFirstColumn="0" w:firstRowLastColumn="0" w:lastRowFirstColumn="0" w:lastRowLastColumn="0"/>
        </w:trPr>
        <w:tc>
          <w:tcPr>
            <w:tcW w:w="1843" w:type="dxa"/>
          </w:tcPr>
          <w:p w14:paraId="53EE9329" w14:textId="28076070" w:rsidR="001B0628" w:rsidRDefault="001B0628" w:rsidP="00C31A7B">
            <w:pPr>
              <w:pStyle w:val="TableText"/>
            </w:pPr>
            <w:r>
              <w:t>Section reference</w:t>
            </w:r>
          </w:p>
        </w:tc>
        <w:tc>
          <w:tcPr>
            <w:tcW w:w="3897" w:type="dxa"/>
          </w:tcPr>
          <w:p w14:paraId="029070AD" w14:textId="3DFD62BA" w:rsidR="001B0628" w:rsidRDefault="001B0628" w:rsidP="00C31A7B">
            <w:pPr>
              <w:pStyle w:val="TableText"/>
            </w:pPr>
            <w:r>
              <w:t>VicForests’ comment</w:t>
            </w:r>
          </w:p>
        </w:tc>
        <w:tc>
          <w:tcPr>
            <w:tcW w:w="3898" w:type="dxa"/>
          </w:tcPr>
          <w:p w14:paraId="7A3F5C15" w14:textId="582FA921" w:rsidR="001B0628" w:rsidRDefault="001B0628" w:rsidP="00C31A7B">
            <w:pPr>
              <w:pStyle w:val="TableText"/>
            </w:pPr>
            <w:r>
              <w:t>Audit team’s response</w:t>
            </w:r>
          </w:p>
        </w:tc>
      </w:tr>
      <w:tr w:rsidR="001B0628" w14:paraId="7DE1E64B" w14:textId="77777777" w:rsidTr="00C31A7B">
        <w:tc>
          <w:tcPr>
            <w:tcW w:w="1843" w:type="dxa"/>
          </w:tcPr>
          <w:p w14:paraId="3DF3ECE1" w14:textId="2964BB9D" w:rsidR="001B0628" w:rsidRDefault="00032466" w:rsidP="00C31A7B">
            <w:pPr>
              <w:pStyle w:val="TableText"/>
            </w:pPr>
            <w:r>
              <w:t>3.1 Coupe selection</w:t>
            </w:r>
          </w:p>
        </w:tc>
        <w:tc>
          <w:tcPr>
            <w:tcW w:w="3897" w:type="dxa"/>
          </w:tcPr>
          <w:p w14:paraId="51D34D6D" w14:textId="5CCD227B" w:rsidR="001B0628" w:rsidRDefault="006A7F72" w:rsidP="00C31A7B">
            <w:pPr>
              <w:pStyle w:val="TableText"/>
            </w:pPr>
            <w:r>
              <w:t xml:space="preserve">Comment on text describing average and maximum slope on the </w:t>
            </w:r>
            <w:r w:rsidR="008F7D49">
              <w:t>coupes selected for audit.</w:t>
            </w:r>
          </w:p>
        </w:tc>
        <w:tc>
          <w:tcPr>
            <w:tcW w:w="3898" w:type="dxa"/>
          </w:tcPr>
          <w:p w14:paraId="324E38B3" w14:textId="5D1060C9" w:rsidR="001B0628" w:rsidRDefault="008F7D49" w:rsidP="00C31A7B">
            <w:pPr>
              <w:pStyle w:val="TableText"/>
            </w:pPr>
            <w:r>
              <w:t xml:space="preserve">Average slope refers to information provided by VicForests to support </w:t>
            </w:r>
            <w:r w:rsidR="00377A13">
              <w:t>audit target selection. Reference to slopes exceeding 30</w:t>
            </w:r>
            <w:r w:rsidR="00377A13">
              <w:rPr>
                <w:rFonts w:cstheme="minorHAnsi"/>
              </w:rPr>
              <w:t>°</w:t>
            </w:r>
            <w:r w:rsidR="00377A13">
              <w:t xml:space="preserve"> </w:t>
            </w:r>
            <w:r w:rsidR="00230F52">
              <w:t>is in reference to the gross coupe area. The field component of the audit assessed whether any areas &gt;30</w:t>
            </w:r>
            <w:r w:rsidR="00230F52">
              <w:rPr>
                <w:rFonts w:cstheme="minorHAnsi"/>
              </w:rPr>
              <w:t>°</w:t>
            </w:r>
            <w:r w:rsidR="00230F52">
              <w:t xml:space="preserve"> slope were harvested.</w:t>
            </w:r>
          </w:p>
        </w:tc>
      </w:tr>
      <w:tr w:rsidR="001B0628" w14:paraId="7CC52F2B" w14:textId="77777777" w:rsidTr="00C31A7B">
        <w:tc>
          <w:tcPr>
            <w:tcW w:w="1843" w:type="dxa"/>
            <w:tcBorders>
              <w:bottom w:val="single" w:sz="4" w:space="0" w:color="007D55" w:themeColor="accent1"/>
            </w:tcBorders>
          </w:tcPr>
          <w:p w14:paraId="5E4CBF15" w14:textId="4F8F1025" w:rsidR="001B0628" w:rsidRDefault="00230F52" w:rsidP="00C31A7B">
            <w:pPr>
              <w:pStyle w:val="TableText"/>
            </w:pPr>
            <w:r>
              <w:t xml:space="preserve">3.4 </w:t>
            </w:r>
            <w:r w:rsidR="00C6446E">
              <w:t>Environmental</w:t>
            </w:r>
            <w:r>
              <w:t xml:space="preserve"> impact assessment</w:t>
            </w:r>
          </w:p>
        </w:tc>
        <w:tc>
          <w:tcPr>
            <w:tcW w:w="3897" w:type="dxa"/>
          </w:tcPr>
          <w:p w14:paraId="414B81F0" w14:textId="69E3687A" w:rsidR="001B0628" w:rsidRDefault="00C6446E" w:rsidP="00C31A7B">
            <w:pPr>
              <w:pStyle w:val="TableText"/>
            </w:pPr>
            <w:r>
              <w:t xml:space="preserve">Concern expressed that the EIA rating tool may overstate the </w:t>
            </w:r>
            <w:r w:rsidR="00842C86">
              <w:t>severity of impact of non-conformance. Request to review the EIA rating approach.</w:t>
            </w:r>
          </w:p>
        </w:tc>
        <w:tc>
          <w:tcPr>
            <w:tcW w:w="3898" w:type="dxa"/>
          </w:tcPr>
          <w:p w14:paraId="61E0EDD7" w14:textId="77777777" w:rsidR="005B29A5" w:rsidRDefault="00F001FC" w:rsidP="001B0628">
            <w:pPr>
              <w:pStyle w:val="TableText"/>
            </w:pPr>
            <w:r>
              <w:t xml:space="preserve">The audit team has </w:t>
            </w:r>
            <w:r w:rsidR="00167740">
              <w:t>observed that the EIA rating scheme likely overstates the actual level of environmental impact in some situations</w:t>
            </w:r>
            <w:r w:rsidR="005B29A5">
              <w:t>, particularly for some waterway crossing non-conformance incidents</w:t>
            </w:r>
            <w:r w:rsidR="00167740">
              <w:t xml:space="preserve">. </w:t>
            </w:r>
          </w:p>
          <w:p w14:paraId="08C4B0F4" w14:textId="517FB35E" w:rsidR="001B0628" w:rsidRDefault="0083255D" w:rsidP="00C31A7B">
            <w:pPr>
              <w:pStyle w:val="TableText"/>
            </w:pPr>
            <w:r>
              <w:t xml:space="preserve">Independently of this request, the lead auditor and THCU personnel reviewed the EIA tool and agreed on the modifications shown in </w:t>
            </w:r>
            <w:r>
              <w:fldChar w:fldCharType="begin"/>
            </w:r>
            <w:r>
              <w:instrText xml:space="preserve"> REF _Ref120089846 \r \h </w:instrText>
            </w:r>
            <w:r>
              <w:fldChar w:fldCharType="separate"/>
            </w:r>
            <w:r w:rsidR="00130DCF">
              <w:t>Appendix B</w:t>
            </w:r>
            <w:r>
              <w:fldChar w:fldCharType="end"/>
            </w:r>
            <w:r>
              <w:t xml:space="preserve">. This revised scheme, applied </w:t>
            </w:r>
            <w:r w:rsidR="009936B6">
              <w:t>here</w:t>
            </w:r>
            <w:r w:rsidR="005B29A5">
              <w:t xml:space="preserve"> in the final audit report</w:t>
            </w:r>
            <w:r w:rsidR="009936B6">
              <w:t xml:space="preserve">, provides a more reliable assessment of the </w:t>
            </w:r>
            <w:r w:rsidR="005B29A5">
              <w:t xml:space="preserve">potential environmental </w:t>
            </w:r>
            <w:r w:rsidR="009936B6">
              <w:t xml:space="preserve">impact of </w:t>
            </w:r>
            <w:r w:rsidR="00A24E0B">
              <w:t>waterway crossing defects. It led to the reclassification of some, but not all, waterway crossing incidents observed in this audit.</w:t>
            </w:r>
          </w:p>
        </w:tc>
      </w:tr>
      <w:tr w:rsidR="008A4AC9" w14:paraId="484FE60F" w14:textId="77777777" w:rsidTr="00C31A7B">
        <w:tc>
          <w:tcPr>
            <w:tcW w:w="1843" w:type="dxa"/>
            <w:tcBorders>
              <w:bottom w:val="nil"/>
            </w:tcBorders>
          </w:tcPr>
          <w:p w14:paraId="45B6E9A3" w14:textId="204C3F10" w:rsidR="008A4AC9" w:rsidRDefault="008A4AC9" w:rsidP="001B0628">
            <w:pPr>
              <w:pStyle w:val="TableText"/>
            </w:pPr>
            <w:r>
              <w:t>4.2.2 Compliance elements related to the protection of water flows, water quality and river health</w:t>
            </w:r>
          </w:p>
        </w:tc>
        <w:tc>
          <w:tcPr>
            <w:tcW w:w="3897" w:type="dxa"/>
          </w:tcPr>
          <w:p w14:paraId="152DF426" w14:textId="5BCE5213" w:rsidR="008A4AC9" w:rsidRDefault="009251A8" w:rsidP="001B0628">
            <w:pPr>
              <w:pStyle w:val="TableText"/>
            </w:pPr>
            <w:r>
              <w:t>The report should note the extreme weather and rainfall experienced prior to the audit.</w:t>
            </w:r>
          </w:p>
        </w:tc>
        <w:tc>
          <w:tcPr>
            <w:tcW w:w="3898" w:type="dxa"/>
          </w:tcPr>
          <w:p w14:paraId="1EFC18CB" w14:textId="43C94620" w:rsidR="008A4AC9" w:rsidRDefault="00B81D01" w:rsidP="001B0628">
            <w:pPr>
              <w:pStyle w:val="TableText"/>
            </w:pPr>
            <w:r>
              <w:t xml:space="preserve">This issue is discussed in Section </w:t>
            </w:r>
            <w:r>
              <w:fldChar w:fldCharType="begin"/>
            </w:r>
            <w:r>
              <w:instrText xml:space="preserve"> REF _Ref131173404 \r \h </w:instrText>
            </w:r>
            <w:r>
              <w:fldChar w:fldCharType="separate"/>
            </w:r>
            <w:r w:rsidR="00130DCF">
              <w:t>5.5.4</w:t>
            </w:r>
            <w:r>
              <w:fldChar w:fldCharType="end"/>
            </w:r>
            <w:r>
              <w:t xml:space="preserve">. It appears </w:t>
            </w:r>
            <w:r w:rsidR="00442F2F">
              <w:t xml:space="preserve">from Bureau of Meteorology records </w:t>
            </w:r>
            <w:r>
              <w:t xml:space="preserve">that </w:t>
            </w:r>
            <w:r w:rsidR="00442F2F">
              <w:t>rainfall at about the time of audit was not exceptional</w:t>
            </w:r>
            <w:r w:rsidR="003C2FA8">
              <w:t xml:space="preserve">, with the likely exception of the time of audit for coupes in North East FMA. </w:t>
            </w:r>
          </w:p>
        </w:tc>
      </w:tr>
      <w:tr w:rsidR="00ED5320" w14:paraId="1CB633EB" w14:textId="77777777" w:rsidTr="00C31A7B">
        <w:tc>
          <w:tcPr>
            <w:tcW w:w="1843" w:type="dxa"/>
            <w:tcBorders>
              <w:top w:val="nil"/>
              <w:bottom w:val="single" w:sz="4" w:space="0" w:color="007D55" w:themeColor="accent1"/>
            </w:tcBorders>
          </w:tcPr>
          <w:p w14:paraId="76526B66" w14:textId="77777777" w:rsidR="00ED5320" w:rsidRDefault="00ED5320" w:rsidP="001B0628">
            <w:pPr>
              <w:pStyle w:val="TableText"/>
            </w:pPr>
          </w:p>
        </w:tc>
        <w:tc>
          <w:tcPr>
            <w:tcW w:w="3897" w:type="dxa"/>
          </w:tcPr>
          <w:p w14:paraId="52EF2064" w14:textId="45B44006" w:rsidR="00ED5320" w:rsidRDefault="00ED5320" w:rsidP="001B0628">
            <w:pPr>
              <w:pStyle w:val="TableText"/>
            </w:pPr>
            <w:r>
              <w:t>Question regarding possibility of double counting</w:t>
            </w:r>
            <w:r w:rsidR="007A742C">
              <w:t xml:space="preserve"> of non-conformances </w:t>
            </w:r>
            <w:r w:rsidR="00A22F23">
              <w:t>against multiple themes.</w:t>
            </w:r>
          </w:p>
        </w:tc>
        <w:tc>
          <w:tcPr>
            <w:tcW w:w="3898" w:type="dxa"/>
          </w:tcPr>
          <w:p w14:paraId="51538567" w14:textId="319F9611" w:rsidR="00ED5320" w:rsidRDefault="00A22F23" w:rsidP="001B0628">
            <w:pPr>
              <w:pStyle w:val="TableText"/>
            </w:pPr>
            <w:r>
              <w:t>Non-conformance inciden</w:t>
            </w:r>
            <w:r w:rsidR="003962BA">
              <w:t>ts</w:t>
            </w:r>
            <w:r>
              <w:t xml:space="preserve"> are reported overall and, independently, against each applicable audit theme or sub-theme. </w:t>
            </w:r>
          </w:p>
          <w:p w14:paraId="3ABA6B61" w14:textId="3EF57258" w:rsidR="00F87E0D" w:rsidRDefault="00F87E0D" w:rsidP="001B0628">
            <w:pPr>
              <w:pStyle w:val="TableText"/>
            </w:pPr>
            <w:r>
              <w:t>“</w:t>
            </w:r>
            <w:r w:rsidR="00BF7609">
              <w:t>Incidents</w:t>
            </w:r>
            <w:r>
              <w:t>” may trigger non-conformances against multiple audit criteria</w:t>
            </w:r>
            <w:r w:rsidR="007879BC">
              <w:t xml:space="preserve"> that are applicable to several audit themes/sub-themes. Hence </w:t>
            </w:r>
            <w:r w:rsidR="00232B69">
              <w:t xml:space="preserve">the 44 non-conformance incidents observed were responsible for </w:t>
            </w:r>
            <w:r w:rsidR="001F213D">
              <w:t>106 individual non-conformances.</w:t>
            </w:r>
          </w:p>
        </w:tc>
      </w:tr>
      <w:tr w:rsidR="001F213D" w14:paraId="40296937" w14:textId="77777777" w:rsidTr="00C31A7B">
        <w:tc>
          <w:tcPr>
            <w:tcW w:w="1843" w:type="dxa"/>
            <w:tcBorders>
              <w:bottom w:val="nil"/>
            </w:tcBorders>
          </w:tcPr>
          <w:p w14:paraId="1BB177C4" w14:textId="279BABCF" w:rsidR="001F213D" w:rsidRDefault="00174830" w:rsidP="001B0628">
            <w:pPr>
              <w:pStyle w:val="TableText"/>
            </w:pPr>
            <w:r>
              <w:t>4.3 Conservation of biodiversity</w:t>
            </w:r>
          </w:p>
        </w:tc>
        <w:tc>
          <w:tcPr>
            <w:tcW w:w="3897" w:type="dxa"/>
          </w:tcPr>
          <w:p w14:paraId="024C4FEE" w14:textId="59EAD735" w:rsidR="001F213D" w:rsidRDefault="00693784" w:rsidP="001B0628">
            <w:pPr>
              <w:pStyle w:val="TableText"/>
            </w:pPr>
            <w:r>
              <w:t xml:space="preserve">Question regarding </w:t>
            </w:r>
            <w:r w:rsidR="00A67C55">
              <w:t>the overstating of the consequence of a non-conformance incident if it is report against water and biodiversity themes.</w:t>
            </w:r>
          </w:p>
        </w:tc>
        <w:tc>
          <w:tcPr>
            <w:tcW w:w="3898" w:type="dxa"/>
          </w:tcPr>
          <w:p w14:paraId="44A31A01" w14:textId="16AF4611" w:rsidR="001F213D" w:rsidRDefault="00A67C55" w:rsidP="001B0628">
            <w:pPr>
              <w:pStyle w:val="TableText"/>
            </w:pPr>
            <w:r>
              <w:t>As per response above, the reporting on each theme is independent</w:t>
            </w:r>
            <w:r w:rsidR="004970E2">
              <w:t xml:space="preserve">. Incidents may affect water quality and (aquatic) biodiversity values and should be reported against each. The narrative </w:t>
            </w:r>
            <w:r w:rsidR="009025BB">
              <w:t>does not dwell on issues/incidents that have been discussed previously.</w:t>
            </w:r>
          </w:p>
        </w:tc>
      </w:tr>
      <w:tr w:rsidR="009025BB" w14:paraId="53A3F8F6" w14:textId="77777777" w:rsidTr="00C31A7B">
        <w:tc>
          <w:tcPr>
            <w:tcW w:w="1843" w:type="dxa"/>
            <w:tcBorders>
              <w:top w:val="nil"/>
              <w:bottom w:val="nil"/>
            </w:tcBorders>
          </w:tcPr>
          <w:p w14:paraId="2D815C4F" w14:textId="77777777" w:rsidR="009025BB" w:rsidRDefault="009025BB" w:rsidP="001B0628">
            <w:pPr>
              <w:pStyle w:val="TableText"/>
            </w:pPr>
          </w:p>
        </w:tc>
        <w:tc>
          <w:tcPr>
            <w:tcW w:w="3897" w:type="dxa"/>
          </w:tcPr>
          <w:p w14:paraId="56BF1F76" w14:textId="77FAD0C6" w:rsidR="009025BB" w:rsidRDefault="009025BB" w:rsidP="001B0628">
            <w:pPr>
              <w:pStyle w:val="TableText"/>
            </w:pPr>
            <w:r>
              <w:t xml:space="preserve">Comment that incursion </w:t>
            </w:r>
            <w:r w:rsidR="00954427">
              <w:t>into Leadbeaters Possum SPZ was due to GPS erro preharvest.</w:t>
            </w:r>
          </w:p>
        </w:tc>
        <w:tc>
          <w:tcPr>
            <w:tcW w:w="3898" w:type="dxa"/>
          </w:tcPr>
          <w:p w14:paraId="7D26C6C2" w14:textId="6A4069E5" w:rsidR="009025BB" w:rsidRDefault="00667BB9" w:rsidP="001B0628">
            <w:pPr>
              <w:pStyle w:val="TableText"/>
            </w:pPr>
            <w:r>
              <w:t>This comment has been included in the relevant text.</w:t>
            </w:r>
          </w:p>
        </w:tc>
      </w:tr>
      <w:tr w:rsidR="004B6428" w14:paraId="497AC470" w14:textId="77777777" w:rsidTr="00C31A7B">
        <w:tc>
          <w:tcPr>
            <w:tcW w:w="1843" w:type="dxa"/>
            <w:tcBorders>
              <w:top w:val="nil"/>
            </w:tcBorders>
          </w:tcPr>
          <w:p w14:paraId="618DAB70" w14:textId="77777777" w:rsidR="004B6428" w:rsidRDefault="004B6428" w:rsidP="001B0628">
            <w:pPr>
              <w:pStyle w:val="TableText"/>
            </w:pPr>
          </w:p>
        </w:tc>
        <w:tc>
          <w:tcPr>
            <w:tcW w:w="3897" w:type="dxa"/>
          </w:tcPr>
          <w:p w14:paraId="12F6CB6C" w14:textId="25E61127" w:rsidR="004B6428" w:rsidRDefault="004B6428" w:rsidP="001B0628">
            <w:pPr>
              <w:pStyle w:val="TableText"/>
            </w:pPr>
            <w:r>
              <w:t xml:space="preserve">Comment that there was no incursion of the regeneration burn on 10 Amity Island into retained vegetation. The fire impact </w:t>
            </w:r>
            <w:r w:rsidR="006D5FB6">
              <w:t>observed was the result of wildfire in 2019.</w:t>
            </w:r>
          </w:p>
        </w:tc>
        <w:tc>
          <w:tcPr>
            <w:tcW w:w="3898" w:type="dxa"/>
          </w:tcPr>
          <w:p w14:paraId="20E698A5" w14:textId="032DD9FF" w:rsidR="004B6428" w:rsidRDefault="006D5FB6" w:rsidP="001B0628">
            <w:pPr>
              <w:pStyle w:val="TableText"/>
            </w:pPr>
            <w:r>
              <w:t xml:space="preserve">The comment is accepted and the </w:t>
            </w:r>
            <w:r w:rsidR="00BF7609">
              <w:t>respective</w:t>
            </w:r>
            <w:r>
              <w:t xml:space="preserve"> non-conformance reported in the draft report has been </w:t>
            </w:r>
            <w:r w:rsidR="00C835E4">
              <w:t>withdrawn. Audit results have been corrected accordingly.</w:t>
            </w:r>
          </w:p>
        </w:tc>
      </w:tr>
      <w:tr w:rsidR="00C835E4" w14:paraId="44A01378" w14:textId="77777777" w:rsidTr="00032466">
        <w:tc>
          <w:tcPr>
            <w:tcW w:w="1843" w:type="dxa"/>
          </w:tcPr>
          <w:p w14:paraId="095A8B93" w14:textId="5A568459" w:rsidR="00C835E4" w:rsidRDefault="00FD64FD" w:rsidP="001B0628">
            <w:pPr>
              <w:pStyle w:val="TableText"/>
            </w:pPr>
            <w:r>
              <w:t xml:space="preserve">4.5.2 Compliance elements related to in-coupe road and </w:t>
            </w:r>
            <w:r>
              <w:lastRenderedPageBreak/>
              <w:t>waterway crossing construction</w:t>
            </w:r>
          </w:p>
        </w:tc>
        <w:tc>
          <w:tcPr>
            <w:tcW w:w="3897" w:type="dxa"/>
          </w:tcPr>
          <w:p w14:paraId="71A9389A" w14:textId="4679D0A9" w:rsidR="00C835E4" w:rsidRDefault="009C39DD" w:rsidP="001B0628">
            <w:pPr>
              <w:pStyle w:val="TableText"/>
            </w:pPr>
            <w:r>
              <w:lastRenderedPageBreak/>
              <w:t xml:space="preserve">Concern that reporting of non-conformance incidents against multiple themes skews graphs </w:t>
            </w:r>
            <w:r>
              <w:lastRenderedPageBreak/>
              <w:t>and results</w:t>
            </w:r>
            <w:r w:rsidR="00592EA6">
              <w:t>. Request to consider highlighting “new” non-conformances,</w:t>
            </w:r>
          </w:p>
        </w:tc>
        <w:tc>
          <w:tcPr>
            <w:tcW w:w="3898" w:type="dxa"/>
          </w:tcPr>
          <w:p w14:paraId="03ED609D" w14:textId="1D1452E0" w:rsidR="00C835E4" w:rsidRDefault="00592EA6" w:rsidP="001B0628">
            <w:pPr>
              <w:pStyle w:val="TableText"/>
            </w:pPr>
            <w:r>
              <w:lastRenderedPageBreak/>
              <w:t>As per comments above, each theme is discussed independently</w:t>
            </w:r>
            <w:r w:rsidR="000E2D18">
              <w:t xml:space="preserve"> and so there are no “new” non-conformances</w:t>
            </w:r>
            <w:r w:rsidR="00604823">
              <w:t xml:space="preserve">. </w:t>
            </w:r>
            <w:r w:rsidR="007A6254">
              <w:t xml:space="preserve">Many of the criteria </w:t>
            </w:r>
            <w:r w:rsidR="007A6254">
              <w:lastRenderedPageBreak/>
              <w:t xml:space="preserve">are relevant to multiple themes (as highlighted by </w:t>
            </w:r>
            <w:r w:rsidR="007A6254">
              <w:fldChar w:fldCharType="begin"/>
            </w:r>
            <w:r w:rsidR="007A6254">
              <w:instrText xml:space="preserve"> REF _Ref131174657 \r \h </w:instrText>
            </w:r>
            <w:r w:rsidR="007A6254">
              <w:fldChar w:fldCharType="separate"/>
            </w:r>
            <w:r w:rsidR="00130DCF">
              <w:t>Appendix A</w:t>
            </w:r>
            <w:r w:rsidR="007A6254">
              <w:fldChar w:fldCharType="end"/>
            </w:r>
            <w:r w:rsidR="00AC595E">
              <w:t xml:space="preserve">). </w:t>
            </w:r>
          </w:p>
        </w:tc>
      </w:tr>
      <w:tr w:rsidR="000E2D18" w14:paraId="510ACB94" w14:textId="77777777" w:rsidTr="00032466">
        <w:tc>
          <w:tcPr>
            <w:tcW w:w="1843" w:type="dxa"/>
          </w:tcPr>
          <w:p w14:paraId="1956D692" w14:textId="0E493A44" w:rsidR="000E2D18" w:rsidRDefault="00B97404" w:rsidP="001B0628">
            <w:pPr>
              <w:pStyle w:val="TableText"/>
            </w:pPr>
            <w:r>
              <w:lastRenderedPageBreak/>
              <w:t xml:space="preserve">4.5.3 </w:t>
            </w:r>
            <w:r w:rsidR="00E411D1" w:rsidRPr="00E411D1">
              <w:t>Compliance elements related to in-coupe road and waterway crossing maintenance and closure</w:t>
            </w:r>
          </w:p>
        </w:tc>
        <w:tc>
          <w:tcPr>
            <w:tcW w:w="3897" w:type="dxa"/>
          </w:tcPr>
          <w:p w14:paraId="33727150" w14:textId="1214C17F" w:rsidR="000E2D18" w:rsidRDefault="00001E9F" w:rsidP="001B0628">
            <w:pPr>
              <w:pStyle w:val="TableText"/>
            </w:pPr>
            <w:r>
              <w:t xml:space="preserve">Comment that 75% full conformance for 09 Quinn seems low, given that there were </w:t>
            </w:r>
            <w:r w:rsidR="00537AF7">
              <w:t>just two non-conformance incidents.</w:t>
            </w:r>
          </w:p>
        </w:tc>
        <w:tc>
          <w:tcPr>
            <w:tcW w:w="3898" w:type="dxa"/>
          </w:tcPr>
          <w:p w14:paraId="4871CE79" w14:textId="254AA507" w:rsidR="000E2D18" w:rsidRDefault="00B97404" w:rsidP="001B0628">
            <w:pPr>
              <w:pStyle w:val="TableText"/>
            </w:pPr>
            <w:r>
              <w:t xml:space="preserve">There were only </w:t>
            </w:r>
            <w:r w:rsidR="00E411D1">
              <w:t>four applicable criteria relevant to this theme for 09 Quinn, one of which was a non-conformance with potential environmental impact – hence the 75% score.</w:t>
            </w:r>
          </w:p>
        </w:tc>
      </w:tr>
      <w:tr w:rsidR="004D3272" w14:paraId="11230D57" w14:textId="77777777" w:rsidTr="00C31A7B">
        <w:tc>
          <w:tcPr>
            <w:tcW w:w="1843" w:type="dxa"/>
            <w:tcBorders>
              <w:bottom w:val="single" w:sz="4" w:space="0" w:color="007D55" w:themeColor="accent1"/>
            </w:tcBorders>
          </w:tcPr>
          <w:p w14:paraId="51494BF9" w14:textId="0EF68C92" w:rsidR="004D3272" w:rsidRDefault="002D3DAE" w:rsidP="001B0628">
            <w:pPr>
              <w:pStyle w:val="TableText"/>
            </w:pPr>
            <w:r w:rsidRPr="002D3DAE">
              <w:t>5.1.1</w:t>
            </w:r>
            <w:r>
              <w:t xml:space="preserve"> </w:t>
            </w:r>
            <w:r w:rsidRPr="002D3DAE">
              <w:t>Conformance with audit criteria and potential environmental impact</w:t>
            </w:r>
          </w:p>
        </w:tc>
        <w:tc>
          <w:tcPr>
            <w:tcW w:w="3897" w:type="dxa"/>
          </w:tcPr>
          <w:p w14:paraId="03F47CA2" w14:textId="6937A262" w:rsidR="004D3272" w:rsidRDefault="002D3DAE" w:rsidP="001B0628">
            <w:pPr>
              <w:pStyle w:val="TableText"/>
            </w:pPr>
            <w:r>
              <w:t>Comment on Fig 5-1 th</w:t>
            </w:r>
            <w:r w:rsidR="00BA027D">
              <w:t xml:space="preserve">at the graph suggests non-conformance (with environmental impact) is high if </w:t>
            </w:r>
            <w:r w:rsidR="00602AA6">
              <w:t>the right axis is not considered.</w:t>
            </w:r>
          </w:p>
        </w:tc>
        <w:tc>
          <w:tcPr>
            <w:tcW w:w="3898" w:type="dxa"/>
          </w:tcPr>
          <w:p w14:paraId="555DF8EA" w14:textId="08FAEC2E" w:rsidR="004D3272" w:rsidRDefault="00602AA6" w:rsidP="001B0628">
            <w:pPr>
              <w:pStyle w:val="TableText"/>
            </w:pPr>
            <w:r>
              <w:t xml:space="preserve">The level of full conformance is plotted against the left Y axis and the </w:t>
            </w:r>
            <w:r w:rsidR="00561F79">
              <w:t xml:space="preserve">% criteria in each EIA class is </w:t>
            </w:r>
            <w:r w:rsidR="00BF7609">
              <w:t>plotted</w:t>
            </w:r>
            <w:r w:rsidR="00561F79">
              <w:t xml:space="preserve"> against the right Y axis, as per the titles for the axes</w:t>
            </w:r>
            <w:r w:rsidR="00666266">
              <w:t xml:space="preserve"> and the notes below the graph.</w:t>
            </w:r>
          </w:p>
        </w:tc>
      </w:tr>
      <w:tr w:rsidR="00724756" w14:paraId="2041F889" w14:textId="77777777" w:rsidTr="00C31A7B">
        <w:tc>
          <w:tcPr>
            <w:tcW w:w="1843" w:type="dxa"/>
            <w:tcBorders>
              <w:bottom w:val="nil"/>
            </w:tcBorders>
          </w:tcPr>
          <w:p w14:paraId="3744D695" w14:textId="2C5250AA" w:rsidR="00724756" w:rsidRPr="002D3DAE" w:rsidRDefault="00724756" w:rsidP="001B0628">
            <w:pPr>
              <w:pStyle w:val="TableText"/>
            </w:pPr>
            <w:r>
              <w:t>5.1.2 Incidents resulting in non-conformance with audit criteria</w:t>
            </w:r>
          </w:p>
        </w:tc>
        <w:tc>
          <w:tcPr>
            <w:tcW w:w="3897" w:type="dxa"/>
          </w:tcPr>
          <w:p w14:paraId="66E8F2DC" w14:textId="571DBA15" w:rsidR="00724756" w:rsidRDefault="00171180" w:rsidP="001B0628">
            <w:pPr>
              <w:pStyle w:val="TableText"/>
            </w:pPr>
            <w:r>
              <w:t>Query at the reference to harvesting of a large tree (&gt;2.5m; 24 Bayled Up)</w:t>
            </w:r>
            <w:r w:rsidR="006E43B9">
              <w:t xml:space="preserve">. Evidence provided that the diameter at 1m was 223cm. The prescription to not harvest large trees (in 2021 MSP update was </w:t>
            </w:r>
            <w:r w:rsidR="004D3E31">
              <w:t xml:space="preserve">also </w:t>
            </w:r>
            <w:r w:rsidR="006E43B9">
              <w:t>not applicable at the time of harvest.</w:t>
            </w:r>
          </w:p>
        </w:tc>
        <w:tc>
          <w:tcPr>
            <w:tcW w:w="3898" w:type="dxa"/>
          </w:tcPr>
          <w:p w14:paraId="11B9CEDF" w14:textId="7C774385" w:rsidR="00724756" w:rsidRDefault="004D3E31" w:rsidP="001B0628">
            <w:pPr>
              <w:pStyle w:val="TableText"/>
            </w:pPr>
            <w:r>
              <w:t>Evidence and challenge to draft report accepted. Non-conformance withdrawn and audit results corrected accordingly.</w:t>
            </w:r>
          </w:p>
        </w:tc>
      </w:tr>
      <w:tr w:rsidR="004D3E31" w14:paraId="0F698A3F" w14:textId="77777777" w:rsidTr="00C31A7B">
        <w:tc>
          <w:tcPr>
            <w:tcW w:w="1843" w:type="dxa"/>
            <w:tcBorders>
              <w:top w:val="nil"/>
              <w:bottom w:val="single" w:sz="4" w:space="0" w:color="007D55" w:themeColor="accent1"/>
            </w:tcBorders>
          </w:tcPr>
          <w:p w14:paraId="77186F8E" w14:textId="77777777" w:rsidR="004D3E31" w:rsidRDefault="004D3E31" w:rsidP="001B0628">
            <w:pPr>
              <w:pStyle w:val="TableText"/>
            </w:pPr>
          </w:p>
        </w:tc>
        <w:tc>
          <w:tcPr>
            <w:tcW w:w="3897" w:type="dxa"/>
          </w:tcPr>
          <w:p w14:paraId="7F7C8462" w14:textId="2639DA84" w:rsidR="004D3E31" w:rsidRDefault="00341383" w:rsidP="001B0628">
            <w:pPr>
              <w:pStyle w:val="TableText"/>
            </w:pPr>
            <w:r>
              <w:t>Query at reference to excessive drainage spacing</w:t>
            </w:r>
            <w:r w:rsidR="0069228D">
              <w:t xml:space="preserve">. </w:t>
            </w:r>
          </w:p>
        </w:tc>
        <w:tc>
          <w:tcPr>
            <w:tcW w:w="3898" w:type="dxa"/>
          </w:tcPr>
          <w:p w14:paraId="66EF8FB9" w14:textId="00375B1B" w:rsidR="004D3E31" w:rsidRDefault="0069228D" w:rsidP="001B0628">
            <w:pPr>
              <w:pStyle w:val="TableText"/>
            </w:pPr>
            <w:r>
              <w:t>Text has been revised to clarify. The issue is not that there are excessive cross-drainage structures, but that the spacings between effective structures exc</w:t>
            </w:r>
            <w:r w:rsidR="00290EEA">
              <w:t>eeds MSP or UP prescriptions, based on slope and soil erosion hazard.</w:t>
            </w:r>
          </w:p>
        </w:tc>
      </w:tr>
      <w:tr w:rsidR="00290EEA" w14:paraId="51B60151" w14:textId="77777777" w:rsidTr="00C31A7B">
        <w:tc>
          <w:tcPr>
            <w:tcW w:w="1843" w:type="dxa"/>
            <w:tcBorders>
              <w:bottom w:val="nil"/>
            </w:tcBorders>
          </w:tcPr>
          <w:p w14:paraId="34A19634" w14:textId="54424F26" w:rsidR="00290EEA" w:rsidRDefault="00D16D41" w:rsidP="001B0628">
            <w:pPr>
              <w:pStyle w:val="TableText"/>
            </w:pPr>
            <w:r>
              <w:t>5.3 Comparison with previous audits</w:t>
            </w:r>
          </w:p>
        </w:tc>
        <w:tc>
          <w:tcPr>
            <w:tcW w:w="3897" w:type="dxa"/>
          </w:tcPr>
          <w:p w14:paraId="360C1757" w14:textId="3CFA2678" w:rsidR="00290EEA" w:rsidRDefault="00D16D41" w:rsidP="001B0628">
            <w:pPr>
              <w:pStyle w:val="TableText"/>
            </w:pPr>
            <w:r>
              <w:t>Query at reference to Central Highlands coupes in Table 5-3</w:t>
            </w:r>
          </w:p>
        </w:tc>
        <w:tc>
          <w:tcPr>
            <w:tcW w:w="3898" w:type="dxa"/>
          </w:tcPr>
          <w:p w14:paraId="08E84544" w14:textId="5EFD1A12" w:rsidR="00290EEA" w:rsidRDefault="00D16D41" w:rsidP="001B0628">
            <w:pPr>
              <w:pStyle w:val="TableText"/>
            </w:pPr>
            <w:r>
              <w:t xml:space="preserve">Table 5-3 is included because </w:t>
            </w:r>
            <w:r w:rsidR="004352F2">
              <w:t>the 2019-20 audit included 15 coupes from western Victoria</w:t>
            </w:r>
            <w:r w:rsidR="00B87A61">
              <w:t xml:space="preserve"> and 15 from the Central Highlands RFA region. It only includes the historical results from audits in that region. Numbers of coupes are given </w:t>
            </w:r>
            <w:r w:rsidR="00141EC5">
              <w:t xml:space="preserve">to calibrate </w:t>
            </w:r>
            <w:r w:rsidR="00426CC5">
              <w:t>readers’</w:t>
            </w:r>
            <w:r w:rsidR="00BF7609">
              <w:t xml:space="preserve"> </w:t>
            </w:r>
            <w:r w:rsidR="00141EC5">
              <w:t>interpretation of the total number of non-conformances and number with major EIA rating.</w:t>
            </w:r>
          </w:p>
        </w:tc>
      </w:tr>
      <w:tr w:rsidR="004602AC" w14:paraId="3E141FE5" w14:textId="77777777" w:rsidTr="00C31A7B">
        <w:tc>
          <w:tcPr>
            <w:tcW w:w="1843" w:type="dxa"/>
            <w:tcBorders>
              <w:top w:val="nil"/>
            </w:tcBorders>
          </w:tcPr>
          <w:p w14:paraId="51202D01" w14:textId="77777777" w:rsidR="004602AC" w:rsidRDefault="004602AC" w:rsidP="001B0628">
            <w:pPr>
              <w:pStyle w:val="TableText"/>
            </w:pPr>
          </w:p>
        </w:tc>
        <w:tc>
          <w:tcPr>
            <w:tcW w:w="3897" w:type="dxa"/>
          </w:tcPr>
          <w:p w14:paraId="5A6B6617" w14:textId="1DF74AFE" w:rsidR="004602AC" w:rsidRDefault="0022484F" w:rsidP="001B0628">
            <w:pPr>
              <w:pStyle w:val="TableText"/>
            </w:pPr>
            <w:r>
              <w:t xml:space="preserve">Query regarding whether </w:t>
            </w:r>
            <w:r w:rsidR="00E74EAD">
              <w:t>Fig 5-3 is labelled correctly.</w:t>
            </w:r>
          </w:p>
        </w:tc>
        <w:tc>
          <w:tcPr>
            <w:tcW w:w="3898" w:type="dxa"/>
          </w:tcPr>
          <w:p w14:paraId="65385B51" w14:textId="5A6627B7" w:rsidR="004602AC" w:rsidRDefault="00E74EAD" w:rsidP="001B0628">
            <w:pPr>
              <w:pStyle w:val="TableText"/>
            </w:pPr>
            <w:r>
              <w:t xml:space="preserve">Non-conformances </w:t>
            </w:r>
            <w:r w:rsidR="00985F3A">
              <w:t>with potential environmental impact were incorrectly labelled as Non-EI in Fig 5-3. This has been corrected.</w:t>
            </w:r>
          </w:p>
        </w:tc>
      </w:tr>
      <w:tr w:rsidR="00985F3A" w14:paraId="4E4DB5E6" w14:textId="77777777" w:rsidTr="00032466">
        <w:tc>
          <w:tcPr>
            <w:tcW w:w="1843" w:type="dxa"/>
          </w:tcPr>
          <w:p w14:paraId="0B001617" w14:textId="5C653785" w:rsidR="00985F3A" w:rsidRDefault="00513663" w:rsidP="001B0628">
            <w:pPr>
              <w:pStyle w:val="TableText"/>
            </w:pPr>
            <w:r>
              <w:t>6.2 Recommendation</w:t>
            </w:r>
          </w:p>
        </w:tc>
        <w:tc>
          <w:tcPr>
            <w:tcW w:w="3897" w:type="dxa"/>
          </w:tcPr>
          <w:p w14:paraId="1D5C2D93" w14:textId="5AFF09F6" w:rsidR="00985F3A" w:rsidRDefault="00513663" w:rsidP="001B0628">
            <w:pPr>
              <w:pStyle w:val="TableText"/>
            </w:pPr>
            <w:r>
              <w:t>Comment in relation to recommendation V-01</w:t>
            </w:r>
            <w:r w:rsidR="0099508D">
              <w:t xml:space="preserve"> </w:t>
            </w:r>
            <w:r>
              <w:t xml:space="preserve">that VicForests may </w:t>
            </w:r>
            <w:r w:rsidR="0099508D">
              <w:t xml:space="preserve">keep records of all biodiversity values searched for and not just those </w:t>
            </w:r>
            <w:r w:rsidR="00BA0067">
              <w:t>found within 500m of the coupe.</w:t>
            </w:r>
          </w:p>
        </w:tc>
        <w:tc>
          <w:tcPr>
            <w:tcW w:w="3898" w:type="dxa"/>
          </w:tcPr>
          <w:p w14:paraId="744D233C" w14:textId="331D7DB5" w:rsidR="00985F3A" w:rsidRDefault="00BA0067" w:rsidP="001B0628">
            <w:pPr>
              <w:pStyle w:val="TableText"/>
            </w:pPr>
            <w:r>
              <w:t xml:space="preserve">Noted. </w:t>
            </w:r>
            <w:r w:rsidR="00181E85">
              <w:t>However, given uncertainty in this response the recommendation has been retained.</w:t>
            </w:r>
          </w:p>
        </w:tc>
      </w:tr>
      <w:tr w:rsidR="00181E85" w14:paraId="341CD7FC" w14:textId="77777777" w:rsidTr="00032466">
        <w:tc>
          <w:tcPr>
            <w:tcW w:w="1843" w:type="dxa"/>
          </w:tcPr>
          <w:p w14:paraId="64C25D14" w14:textId="6619C246" w:rsidR="00181E85" w:rsidRDefault="008E79D7" w:rsidP="001B0628">
            <w:pPr>
              <w:pStyle w:val="TableText"/>
            </w:pPr>
            <w:r>
              <w:t>Appendix A Audit compliance criteria</w:t>
            </w:r>
          </w:p>
        </w:tc>
        <w:tc>
          <w:tcPr>
            <w:tcW w:w="3897" w:type="dxa"/>
          </w:tcPr>
          <w:p w14:paraId="0F79AC73" w14:textId="7B1CA4F5" w:rsidR="00181E85" w:rsidRDefault="008E79D7" w:rsidP="001B0628">
            <w:pPr>
              <w:pStyle w:val="TableText"/>
            </w:pPr>
            <w:r>
              <w:t xml:space="preserve">Comment that 10.03 </w:t>
            </w:r>
            <w:r w:rsidR="00544F14">
              <w:t>“</w:t>
            </w:r>
            <w:r w:rsidR="00544F14" w:rsidRPr="00544F14">
              <w:t>Have all large (≥2.5m) living trees been retained and protected from direct effects of timber harvesting operations and regeneration burning? This includes not having accumulating slash within 3m of the base of large trees prior to regeneration burns</w:t>
            </w:r>
            <w:r w:rsidR="00544F14">
              <w:t xml:space="preserve">.” </w:t>
            </w:r>
            <w:r w:rsidR="00811ED8">
              <w:t>Was not applicable when some of the audit coupes were harvested</w:t>
            </w:r>
          </w:p>
        </w:tc>
        <w:tc>
          <w:tcPr>
            <w:tcW w:w="3898" w:type="dxa"/>
          </w:tcPr>
          <w:p w14:paraId="49D965A2" w14:textId="739D6FE1" w:rsidR="00181E85" w:rsidRDefault="00811ED8" w:rsidP="001B0628">
            <w:pPr>
              <w:pStyle w:val="TableText"/>
            </w:pPr>
            <w:r>
              <w:t>The only non-conformance against this criterion was for 24 Bayled Up</w:t>
            </w:r>
            <w:r w:rsidR="00FF23B9">
              <w:t>, which was harvested prior to the publication of the 2021 MSP update. This non-conformance has been withdrawn and results adjusted accordingly.</w:t>
            </w:r>
          </w:p>
        </w:tc>
      </w:tr>
      <w:tr w:rsidR="00FF23B9" w14:paraId="14AF0B02" w14:textId="77777777" w:rsidTr="00032466">
        <w:tc>
          <w:tcPr>
            <w:tcW w:w="1843" w:type="dxa"/>
          </w:tcPr>
          <w:p w14:paraId="1E52A2C1" w14:textId="1EFA83D1" w:rsidR="00FF23B9" w:rsidRDefault="00BA1280" w:rsidP="001B0628">
            <w:pPr>
              <w:pStyle w:val="TableText"/>
            </w:pPr>
            <w:r>
              <w:t>Appendix C Incidents leading to assessmetns of non-conformance with audit criteria</w:t>
            </w:r>
          </w:p>
        </w:tc>
        <w:tc>
          <w:tcPr>
            <w:tcW w:w="3897" w:type="dxa"/>
          </w:tcPr>
          <w:p w14:paraId="633A8D12" w14:textId="38652389" w:rsidR="00FF23B9" w:rsidRDefault="00BA1280" w:rsidP="001B0628">
            <w:pPr>
              <w:pStyle w:val="TableText"/>
            </w:pPr>
            <w:r>
              <w:t>02 Dragonfly</w:t>
            </w:r>
            <w:r w:rsidR="001C7158">
              <w:t>: query the appropriateness of the major EIA rating</w:t>
            </w:r>
            <w:r w:rsidR="00BA2CF6">
              <w:t xml:space="preserve"> for the waterway crossing non-conformance.</w:t>
            </w:r>
          </w:p>
        </w:tc>
        <w:tc>
          <w:tcPr>
            <w:tcW w:w="3898" w:type="dxa"/>
          </w:tcPr>
          <w:p w14:paraId="5842C5E7" w14:textId="779918B2" w:rsidR="00FF23B9" w:rsidRDefault="00BA2CF6" w:rsidP="001B0628">
            <w:pPr>
              <w:pStyle w:val="TableText"/>
            </w:pPr>
            <w:r>
              <w:t xml:space="preserve">Incident reassessed </w:t>
            </w:r>
            <w:r w:rsidR="00C71D7C">
              <w:t>under the revised EIA rating scheme as moderate</w:t>
            </w:r>
            <w:r w:rsidR="00D00FE7">
              <w:t xml:space="preserve"> (compared with major in draft report)</w:t>
            </w:r>
            <w:r w:rsidR="00222859">
              <w:t>.</w:t>
            </w:r>
          </w:p>
        </w:tc>
      </w:tr>
      <w:tr w:rsidR="00222859" w14:paraId="5DCB042E" w14:textId="77777777" w:rsidTr="00032466">
        <w:tc>
          <w:tcPr>
            <w:tcW w:w="1843" w:type="dxa"/>
          </w:tcPr>
          <w:p w14:paraId="0B8BF5BA" w14:textId="77777777" w:rsidR="00222859" w:rsidRDefault="00222859" w:rsidP="001B0628">
            <w:pPr>
              <w:pStyle w:val="TableText"/>
            </w:pPr>
          </w:p>
        </w:tc>
        <w:tc>
          <w:tcPr>
            <w:tcW w:w="3897" w:type="dxa"/>
          </w:tcPr>
          <w:p w14:paraId="135E96F9" w14:textId="22D838FE" w:rsidR="00222859" w:rsidRDefault="00426CC5" w:rsidP="001B0628">
            <w:pPr>
              <w:pStyle w:val="TableText"/>
            </w:pPr>
            <w:r>
              <w:t>04 Sun</w:t>
            </w:r>
            <w:r w:rsidR="000F57C8">
              <w:t xml:space="preserve"> </w:t>
            </w:r>
            <w:r>
              <w:t xml:space="preserve">Downies: </w:t>
            </w:r>
            <w:r w:rsidR="005D15FE">
              <w:t>waterway crossing on this coupe is constructed on a temporary stream</w:t>
            </w:r>
            <w:r w:rsidR="000F57C8">
              <w:t>.</w:t>
            </w:r>
          </w:p>
        </w:tc>
        <w:tc>
          <w:tcPr>
            <w:tcW w:w="3898" w:type="dxa"/>
          </w:tcPr>
          <w:p w14:paraId="2ED2887E" w14:textId="4FDFFD16" w:rsidR="00222859" w:rsidRDefault="000F57C8" w:rsidP="001B0628">
            <w:pPr>
              <w:pStyle w:val="TableText"/>
            </w:pPr>
            <w:r>
              <w:t>Noted. This was how the non-conformance was assessed. No change made to moderate EIA assessment.</w:t>
            </w:r>
          </w:p>
        </w:tc>
      </w:tr>
      <w:tr w:rsidR="000F57C8" w14:paraId="5667A1F2" w14:textId="77777777" w:rsidTr="00032466">
        <w:tc>
          <w:tcPr>
            <w:tcW w:w="1843" w:type="dxa"/>
          </w:tcPr>
          <w:p w14:paraId="00CE8C62" w14:textId="77777777" w:rsidR="000F57C8" w:rsidRDefault="000F57C8" w:rsidP="001B0628">
            <w:pPr>
              <w:pStyle w:val="TableText"/>
            </w:pPr>
          </w:p>
        </w:tc>
        <w:tc>
          <w:tcPr>
            <w:tcW w:w="3897" w:type="dxa"/>
          </w:tcPr>
          <w:p w14:paraId="0EEC34E4" w14:textId="2E8DD812" w:rsidR="000F57C8" w:rsidRDefault="0064608B" w:rsidP="001B0628">
            <w:pPr>
              <w:pStyle w:val="TableText"/>
            </w:pPr>
            <w:r>
              <w:t>07 Lemon Lime: waterway crossing on this coupe is constructed on a temporary stream</w:t>
            </w:r>
            <w:r w:rsidR="00885AD9">
              <w:t xml:space="preserve">. Queried there being two incidents for the waterway crossing </w:t>
            </w:r>
            <w:r w:rsidR="003D2B9A">
              <w:t xml:space="preserve">relating to erosion of the fill </w:t>
            </w:r>
            <w:r w:rsidR="003D2B9A">
              <w:lastRenderedPageBreak/>
              <w:t>batter and narrative about the role of geotextile</w:t>
            </w:r>
          </w:p>
        </w:tc>
        <w:tc>
          <w:tcPr>
            <w:tcW w:w="3898" w:type="dxa"/>
          </w:tcPr>
          <w:p w14:paraId="5FE2C5F2" w14:textId="77777777" w:rsidR="003D2B9A" w:rsidRDefault="0064608B" w:rsidP="001B0628">
            <w:pPr>
              <w:pStyle w:val="TableText"/>
            </w:pPr>
            <w:r>
              <w:lastRenderedPageBreak/>
              <w:t xml:space="preserve">Noted. </w:t>
            </w:r>
          </w:p>
          <w:p w14:paraId="7F46FD8F" w14:textId="6957AB96" w:rsidR="000F57C8" w:rsidRDefault="0064608B" w:rsidP="001B0628">
            <w:pPr>
              <w:pStyle w:val="TableText"/>
            </w:pPr>
            <w:r>
              <w:t>Photographic records</w:t>
            </w:r>
            <w:r w:rsidR="00721DD4">
              <w:t xml:space="preserve"> and GIS data were reviewed. We agree that the waterway was incorrectly classified as a permanent </w:t>
            </w:r>
            <w:r w:rsidR="007B6B67">
              <w:t xml:space="preserve">stream. </w:t>
            </w:r>
            <w:r w:rsidR="007B6B67">
              <w:lastRenderedPageBreak/>
              <w:t>EIA rating</w:t>
            </w:r>
            <w:r w:rsidR="00A32F9D">
              <w:t>s for the crossing have been</w:t>
            </w:r>
            <w:r w:rsidR="007B6B67">
              <w:t xml:space="preserve"> revised as moderate (from major in draft report). </w:t>
            </w:r>
          </w:p>
          <w:p w14:paraId="0C6680D7" w14:textId="77777777" w:rsidR="003D2B9A" w:rsidRDefault="003D2B9A" w:rsidP="001B0628">
            <w:pPr>
              <w:pStyle w:val="TableText"/>
            </w:pPr>
            <w:r>
              <w:t>The narrative regarding erosion and the geotextile has been revised</w:t>
            </w:r>
            <w:r w:rsidR="00A32F9D">
              <w:t xml:space="preserve"> to address the comment in the final report.</w:t>
            </w:r>
          </w:p>
          <w:p w14:paraId="16B5C588" w14:textId="0C3F4EDA" w:rsidR="00A32F9D" w:rsidRDefault="00A32F9D" w:rsidP="001B0628">
            <w:pPr>
              <w:pStyle w:val="TableText"/>
            </w:pPr>
            <w:r>
              <w:t>Note that the crossing has three moderate non-conformance incidents relating to separate defects in construction/</w:t>
            </w:r>
            <w:r w:rsidR="000F2D4F">
              <w:t>maintenance.</w:t>
            </w:r>
          </w:p>
        </w:tc>
      </w:tr>
      <w:tr w:rsidR="00D00FE7" w14:paraId="2A185724" w14:textId="77777777" w:rsidTr="00032466">
        <w:tc>
          <w:tcPr>
            <w:tcW w:w="1843" w:type="dxa"/>
          </w:tcPr>
          <w:p w14:paraId="62797074" w14:textId="77777777" w:rsidR="00D00FE7" w:rsidRDefault="00D00FE7" w:rsidP="001B0628">
            <w:pPr>
              <w:pStyle w:val="TableText"/>
            </w:pPr>
          </w:p>
        </w:tc>
        <w:tc>
          <w:tcPr>
            <w:tcW w:w="3897" w:type="dxa"/>
          </w:tcPr>
          <w:p w14:paraId="67DBEF46" w14:textId="0C7145E9" w:rsidR="00D00FE7" w:rsidRDefault="00040978" w:rsidP="001B0628">
            <w:pPr>
              <w:pStyle w:val="TableText"/>
            </w:pPr>
            <w:r>
              <w:t xml:space="preserve">09 Quinn: </w:t>
            </w:r>
            <w:r w:rsidR="00B91682">
              <w:t>queried</w:t>
            </w:r>
            <w:r w:rsidR="00E65553">
              <w:t xml:space="preserve"> the references to effective drainage spacings </w:t>
            </w:r>
            <w:r w:rsidR="00ED04CC">
              <w:t>exceeding UP prescriptions being a non-conformance.</w:t>
            </w:r>
          </w:p>
        </w:tc>
        <w:tc>
          <w:tcPr>
            <w:tcW w:w="3898" w:type="dxa"/>
          </w:tcPr>
          <w:p w14:paraId="1F755066" w14:textId="77777777" w:rsidR="009A17F7" w:rsidRDefault="00ED04CC" w:rsidP="001B0628">
            <w:pPr>
              <w:pStyle w:val="TableText"/>
            </w:pPr>
            <w:r>
              <w:t xml:space="preserve">As per response to a similar comment above, </w:t>
            </w:r>
            <w:r w:rsidR="004A6BC2">
              <w:t xml:space="preserve">the issue was not that there were excessive drainage structures, but that the spacing between effective drainage structures was greater than permitted by the Ups (for snig tracks). </w:t>
            </w:r>
          </w:p>
          <w:p w14:paraId="7B774829" w14:textId="42A61EEF" w:rsidR="00D00FE7" w:rsidRDefault="004A6BC2" w:rsidP="001B0628">
            <w:pPr>
              <w:pStyle w:val="TableText"/>
            </w:pPr>
            <w:r>
              <w:t xml:space="preserve">Wording </w:t>
            </w:r>
            <w:r w:rsidR="009A17F7">
              <w:t>of this incident type has been revised in the text to help clarify this point.</w:t>
            </w:r>
          </w:p>
        </w:tc>
      </w:tr>
      <w:tr w:rsidR="0080019B" w14:paraId="3A54F29C" w14:textId="77777777" w:rsidTr="00032466">
        <w:tc>
          <w:tcPr>
            <w:tcW w:w="1843" w:type="dxa"/>
          </w:tcPr>
          <w:p w14:paraId="00E8FEB1" w14:textId="77777777" w:rsidR="0080019B" w:rsidRDefault="0080019B" w:rsidP="001B0628">
            <w:pPr>
              <w:pStyle w:val="TableText"/>
            </w:pPr>
          </w:p>
        </w:tc>
        <w:tc>
          <w:tcPr>
            <w:tcW w:w="3897" w:type="dxa"/>
          </w:tcPr>
          <w:p w14:paraId="057F6C99" w14:textId="14DCC1A2" w:rsidR="0080019B" w:rsidRDefault="0080019B" w:rsidP="001B0628">
            <w:pPr>
              <w:pStyle w:val="TableText"/>
            </w:pPr>
            <w:r>
              <w:t xml:space="preserve">24 Bayled Up: challenged the non-conformance </w:t>
            </w:r>
            <w:r w:rsidR="00EC1C53">
              <w:t>relating to harvesting a large tree (&gt;2.5m diameter).</w:t>
            </w:r>
          </w:p>
        </w:tc>
        <w:tc>
          <w:tcPr>
            <w:tcW w:w="3898" w:type="dxa"/>
          </w:tcPr>
          <w:p w14:paraId="0475E814" w14:textId="0935BEDD" w:rsidR="0080019B" w:rsidRDefault="00EC1C53" w:rsidP="001B0628">
            <w:pPr>
              <w:pStyle w:val="TableText"/>
            </w:pPr>
            <w:r>
              <w:t>Accept both the evidence of the measurement and that this prescription was not applicable at the time of harvest (as per comments above). Non-conformance has been withdrawn.</w:t>
            </w:r>
          </w:p>
        </w:tc>
      </w:tr>
      <w:tr w:rsidR="00EC1C53" w14:paraId="5A07DD51" w14:textId="77777777" w:rsidTr="00032466">
        <w:tc>
          <w:tcPr>
            <w:tcW w:w="1843" w:type="dxa"/>
          </w:tcPr>
          <w:p w14:paraId="5D418221" w14:textId="77777777" w:rsidR="00EC1C53" w:rsidRDefault="00EC1C53" w:rsidP="001B0628">
            <w:pPr>
              <w:pStyle w:val="TableText"/>
            </w:pPr>
          </w:p>
        </w:tc>
        <w:tc>
          <w:tcPr>
            <w:tcW w:w="3897" w:type="dxa"/>
          </w:tcPr>
          <w:p w14:paraId="352A0EBF" w14:textId="07957028" w:rsidR="00EC1C53" w:rsidRDefault="00EC1C53" w:rsidP="001B0628">
            <w:pPr>
              <w:pStyle w:val="TableText"/>
            </w:pPr>
            <w:r>
              <w:t xml:space="preserve">29 Pinball Wizard: </w:t>
            </w:r>
            <w:r w:rsidR="005D6D0C">
              <w:t>query at the severity of the non-conformance relating to harvesting incursion into the temporary stream buffer</w:t>
            </w:r>
            <w:r w:rsidR="00A6140A">
              <w:t>, particularly given the dense regeneration.</w:t>
            </w:r>
          </w:p>
        </w:tc>
        <w:tc>
          <w:tcPr>
            <w:tcW w:w="3898" w:type="dxa"/>
          </w:tcPr>
          <w:p w14:paraId="2984784D" w14:textId="26072EF3" w:rsidR="00EC1C53" w:rsidRDefault="005F053B" w:rsidP="001B0628">
            <w:pPr>
              <w:pStyle w:val="TableText"/>
            </w:pPr>
            <w:r>
              <w:t xml:space="preserve">Comment noted. However, </w:t>
            </w:r>
            <w:r w:rsidR="008A55F1">
              <w:t xml:space="preserve">the extended buffers are provided </w:t>
            </w:r>
            <w:r w:rsidR="00CB5DB6">
              <w:t xml:space="preserve">to protect waterways when vegetation and soil cover has been removed by fire. </w:t>
            </w:r>
            <w:r w:rsidR="007F050C">
              <w:t>EIA score was reviewed but the rating remains.</w:t>
            </w:r>
          </w:p>
        </w:tc>
      </w:tr>
    </w:tbl>
    <w:p w14:paraId="2394F343" w14:textId="77777777" w:rsidR="001B0628" w:rsidRPr="001B0628" w:rsidRDefault="001B0628" w:rsidP="00C31A7B">
      <w:pPr>
        <w:pStyle w:val="BodyText"/>
      </w:pPr>
    </w:p>
    <w:p w14:paraId="33707D31" w14:textId="77777777" w:rsidR="005B26BE" w:rsidRPr="00C830E7" w:rsidRDefault="005B26BE" w:rsidP="001B0628">
      <w:pPr>
        <w:pStyle w:val="BodyText"/>
      </w:pPr>
    </w:p>
    <w:sectPr w:rsidR="005B26BE" w:rsidRPr="00C830E7" w:rsidSect="0064586A">
      <w:headerReference w:type="default" r:id="rId116"/>
      <w:footerReference w:type="default" r:id="rId117"/>
      <w:pgSz w:w="11906" w:h="16838" w:code="9"/>
      <w:pgMar w:top="1134" w:right="1134" w:bottom="567" w:left="1134" w:header="56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B19139" w14:textId="77777777" w:rsidR="008861B0" w:rsidRDefault="008861B0" w:rsidP="00066DE7">
      <w:r>
        <w:separator/>
      </w:r>
    </w:p>
    <w:p w14:paraId="431D3AC2" w14:textId="77777777" w:rsidR="008861B0" w:rsidRDefault="008861B0"/>
  </w:endnote>
  <w:endnote w:type="continuationSeparator" w:id="0">
    <w:p w14:paraId="3C5A0F88" w14:textId="77777777" w:rsidR="008861B0" w:rsidRDefault="008861B0" w:rsidP="00066DE7">
      <w:r>
        <w:continuationSeparator/>
      </w:r>
    </w:p>
    <w:p w14:paraId="6612ACBF" w14:textId="77777777" w:rsidR="008861B0" w:rsidRDefault="008861B0"/>
  </w:endnote>
  <w:endnote w:type="continuationNotice" w:id="1">
    <w:p w14:paraId="63A49986" w14:textId="77777777" w:rsidR="008861B0" w:rsidRDefault="008861B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Jacobs Chronos">
    <w:charset w:val="00"/>
    <w:family w:val="swiss"/>
    <w:pitch w:val="variable"/>
    <w:sig w:usb0="A00000EF" w:usb1="0000E0EB" w:usb2="00000008" w:usb3="00000000" w:csb0="00000001" w:csb1="00000000"/>
    <w:embedRegular r:id="rId1" w:fontKey="{E50170DB-4866-4D49-920B-270251C96586}"/>
    <w:embedBold r:id="rId2" w:fontKey="{D5D1F40B-42BD-4772-926F-DE08BA3A9AE8}"/>
    <w:embedItalic r:id="rId3" w:fontKey="{CDE3EE44-B143-45BF-8839-2CF3AE6D812E}"/>
    <w:embedBoldItalic r:id="rId4" w:fontKey="{32FD24C4-ED3E-49A2-B690-5BFEB39F9BCE}"/>
  </w:font>
  <w:font w:name="Times New Roman">
    <w:panose1 w:val="02020603050405020304"/>
    <w:charset w:val="00"/>
    <w:family w:val="roman"/>
    <w:pitch w:val="variable"/>
    <w:sig w:usb0="E0002EFF" w:usb1="C000785B" w:usb2="00000009" w:usb3="00000000" w:csb0="000001FF" w:csb1="00000000"/>
  </w:font>
  <w:font w:name="Jacobs Chronos Light">
    <w:charset w:val="00"/>
    <w:family w:val="swiss"/>
    <w:pitch w:val="variable"/>
    <w:sig w:usb0="A00000EF" w:usb1="0000E0EB" w:usb2="00000008" w:usb3="00000000" w:csb0="00000001" w:csb1="00000000"/>
    <w:embedRegular r:id="rId5" w:fontKey="{F3A02EB4-EFCF-4D56-A6E4-8B92005F9AA9}"/>
    <w:embedBold r:id="rId6" w:fontKey="{104B380F-AB90-4A4D-A53C-B812AC33567F}"/>
    <w:embedItalic r:id="rId7" w:fontKey="{B696D6E4-FAC5-4716-B543-62A070733DE5}"/>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8" w:fontKey="{12D496DF-4A66-48CB-A8DF-7296E8CF69C0}"/>
  </w:font>
  <w:font w:name="Courier New">
    <w:panose1 w:val="02070309020205020404"/>
    <w:charset w:val="00"/>
    <w:family w:val="modern"/>
    <w:pitch w:val="fixed"/>
    <w:sig w:usb0="E0002EFF" w:usb1="C0007843"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9" w:fontKey="{31E97D67-6BCB-4A03-85C7-82A49C1513BA}"/>
  </w:font>
  <w:font w:name="Consolas">
    <w:panose1 w:val="020B0609020204030204"/>
    <w:charset w:val="00"/>
    <w:family w:val="modern"/>
    <w:pitch w:val="fixed"/>
    <w:sig w:usb0="E00006FF" w:usb1="0000FCFF" w:usb2="00000001" w:usb3="00000000" w:csb0="0000019F" w:csb1="00000000"/>
    <w:embedRegular r:id="rId10" w:fontKey="{7C12E49E-7FC8-42E2-949B-081F8C41A1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C7882" w14:textId="77777777" w:rsidR="00B05C84" w:rsidRDefault="00B05C8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C61A1D" w14:paraId="7D1414B1" w14:textId="77777777" w:rsidTr="00C27BED">
      <w:trPr>
        <w:trHeight w:val="170"/>
      </w:trPr>
      <w:tc>
        <w:tcPr>
          <w:tcW w:w="4074" w:type="pct"/>
          <w:tcBorders>
            <w:top w:val="nil"/>
            <w:bottom w:val="single" w:sz="2" w:space="0" w:color="007D55" w:themeColor="accent1"/>
          </w:tcBorders>
          <w:tcMar>
            <w:top w:w="0" w:type="dxa"/>
            <w:left w:w="0" w:type="dxa"/>
            <w:right w:w="0" w:type="dxa"/>
          </w:tcMar>
          <w:vAlign w:val="center"/>
        </w:tcPr>
        <w:p w14:paraId="3656EED3" w14:textId="274B3F1D" w:rsidR="00C61A1D" w:rsidRDefault="00B2295B" w:rsidP="003D4A8B">
          <w:pPr>
            <w:pStyle w:val="Footer"/>
            <w:ind w:right="568"/>
          </w:pPr>
          <w:r>
            <w:rPr>
              <w:noProof/>
            </w:rPr>
            <mc:AlternateContent>
              <mc:Choice Requires="wps">
                <w:drawing>
                  <wp:anchor distT="0" distB="0" distL="114300" distR="114300" simplePos="0" relativeHeight="251668766" behindDoc="0" locked="0" layoutInCell="0" allowOverlap="1" wp14:anchorId="0CC0FF46" wp14:editId="7EEC7E74">
                    <wp:simplePos x="0" y="0"/>
                    <wp:positionH relativeFrom="page">
                      <wp:align>center</wp:align>
                    </wp:positionH>
                    <wp:positionV relativeFrom="page">
                      <wp:align>bottom</wp:align>
                    </wp:positionV>
                    <wp:extent cx="7772400" cy="463550"/>
                    <wp:effectExtent l="0" t="0" r="0" b="12700"/>
                    <wp:wrapNone/>
                    <wp:docPr id="15" name="MSIPCM1ed142dea72e7ea252bef767" descr="{&quot;HashCode&quot;:1862493762,&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D53AA9" w14:textId="42A44173"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CC0FF46" id="_x0000_t202" coordsize="21600,21600" o:spt="202" path="m,l,21600r21600,l21600,xe">
                    <v:stroke joinstyle="miter"/>
                    <v:path gradientshapeok="t" o:connecttype="rect"/>
                  </v:shapetype>
                  <v:shape id="MSIPCM1ed142dea72e7ea252bef767" o:spid="_x0000_s1033" type="#_x0000_t202" alt="{&quot;HashCode&quot;:1862493762,&quot;Height&quot;:9999999.0,&quot;Width&quot;:9999999.0,&quot;Placement&quot;:&quot;Footer&quot;,&quot;Index&quot;:&quot;Primary&quot;,&quot;Section&quot;:5,&quot;Top&quot;:0.0,&quot;Left&quot;:0.0}" style="position:absolute;margin-left:0;margin-top:0;width:612pt;height:36.5pt;z-index:25166876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fill o:detectmouseclick="t"/>
                    <v:textbox inset=",0,,0">
                      <w:txbxContent>
                        <w:p w14:paraId="3FD53AA9" w14:textId="42A44173"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4014E7F9" w14:textId="77777777" w:rsidR="00C61A1D" w:rsidRPr="00C36AD8" w:rsidRDefault="00C61A1D" w:rsidP="003D4A8B">
          <w:pPr>
            <w:pStyle w:val="Footer"/>
            <w:ind w:left="3131" w:hanging="3131"/>
            <w:jc w:val="right"/>
            <w:rPr>
              <w:sz w:val="22"/>
            </w:rPr>
          </w:pPr>
        </w:p>
      </w:tc>
    </w:tr>
    <w:tr w:rsidR="00C61A1D" w:rsidRPr="00360972" w14:paraId="7B7C4433"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62704885"/>
            <w:placeholder>
              <w:docPart w:val="D2B7F524414740F2995068374239F420"/>
            </w:placeholder>
            <w:dataBinding w:xpath="/*[local-name()='root']/*[local-name()='DocumentNumber']" w:storeItemID="{8F33FB8F-8118-4915-86A8-F93B7C2B254E}"/>
            <w:text/>
          </w:sdtPr>
          <w:sdtContent>
            <w:p w14:paraId="066AD752" w14:textId="77777777" w:rsidR="00C61A1D" w:rsidRDefault="00492A74" w:rsidP="00FC5F07">
              <w:pPr>
                <w:pStyle w:val="Footer"/>
              </w:pPr>
              <w:r>
                <w:t>IS427600-03</w:t>
              </w:r>
            </w:p>
          </w:sdtContent>
        </w:sdt>
      </w:tc>
      <w:tc>
        <w:tcPr>
          <w:tcW w:w="926" w:type="pct"/>
          <w:tcBorders>
            <w:top w:val="single" w:sz="2" w:space="0" w:color="007D55" w:themeColor="accent1"/>
          </w:tcBorders>
          <w:tcMar>
            <w:top w:w="113" w:type="dxa"/>
            <w:right w:w="0" w:type="dxa"/>
          </w:tcMar>
        </w:tcPr>
        <w:p w14:paraId="4BD31292" w14:textId="77777777" w:rsidR="00C61A1D" w:rsidRPr="00661DA6" w:rsidRDefault="00C61A1D"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69515E92" w14:textId="77777777" w:rsidR="00C61A1D" w:rsidRPr="006902C0" w:rsidRDefault="00C61A1D" w:rsidP="003D4A8B">
    <w:pPr>
      <w:pStyle w:val="HeaderSpac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C61A1D" w14:paraId="02720B43" w14:textId="77777777" w:rsidTr="00045D54">
      <w:trPr>
        <w:trHeight w:val="170"/>
      </w:trPr>
      <w:tc>
        <w:tcPr>
          <w:tcW w:w="4074" w:type="pct"/>
          <w:tcBorders>
            <w:top w:val="nil"/>
            <w:bottom w:val="single" w:sz="2" w:space="0" w:color="007D55" w:themeColor="accent1"/>
          </w:tcBorders>
          <w:tcMar>
            <w:top w:w="0" w:type="dxa"/>
            <w:left w:w="0" w:type="dxa"/>
            <w:right w:w="0" w:type="dxa"/>
          </w:tcMar>
          <w:vAlign w:val="center"/>
        </w:tcPr>
        <w:p w14:paraId="72BC7175" w14:textId="00002985" w:rsidR="00C61A1D" w:rsidRDefault="00B2295B" w:rsidP="003D4A8B">
          <w:pPr>
            <w:pStyle w:val="Footer"/>
            <w:ind w:right="568"/>
          </w:pPr>
          <w:r>
            <w:rPr>
              <w:noProof/>
            </w:rPr>
            <mc:AlternateContent>
              <mc:Choice Requires="wps">
                <w:drawing>
                  <wp:anchor distT="0" distB="0" distL="114300" distR="114300" simplePos="0" relativeHeight="251668878" behindDoc="0" locked="0" layoutInCell="0" allowOverlap="1" wp14:anchorId="2145787C" wp14:editId="46CEED15">
                    <wp:simplePos x="0" y="0"/>
                    <wp:positionH relativeFrom="page">
                      <wp:align>center</wp:align>
                    </wp:positionH>
                    <wp:positionV relativeFrom="page">
                      <wp:align>bottom</wp:align>
                    </wp:positionV>
                    <wp:extent cx="7772400" cy="463550"/>
                    <wp:effectExtent l="0" t="0" r="0" b="12700"/>
                    <wp:wrapNone/>
                    <wp:docPr id="16" name="MSIPCM915f4359acf8ff60044d33b2" descr="{&quot;HashCode&quot;:1862493762,&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B648A85" w14:textId="53972F1C"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145787C" id="_x0000_t202" coordsize="21600,21600" o:spt="202" path="m,l,21600r21600,l21600,xe">
                    <v:stroke joinstyle="miter"/>
                    <v:path gradientshapeok="t" o:connecttype="rect"/>
                  </v:shapetype>
                  <v:shape id="MSIPCM915f4359acf8ff60044d33b2" o:spid="_x0000_s1034" type="#_x0000_t202" alt="{&quot;HashCode&quot;:1862493762,&quot;Height&quot;:9999999.0,&quot;Width&quot;:9999999.0,&quot;Placement&quot;:&quot;Footer&quot;,&quot;Index&quot;:&quot;Primary&quot;,&quot;Section&quot;:6,&quot;Top&quot;:0.0,&quot;Left&quot;:0.0}" style="position:absolute;margin-left:0;margin-top:0;width:612pt;height:36.5pt;z-index:25166887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fill o:detectmouseclick="t"/>
                    <v:textbox inset=",0,,0">
                      <w:txbxContent>
                        <w:p w14:paraId="2B648A85" w14:textId="53972F1C"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425999E7" w14:textId="77777777" w:rsidR="00C61A1D" w:rsidRPr="00C36AD8" w:rsidRDefault="00C61A1D" w:rsidP="003D4A8B">
          <w:pPr>
            <w:pStyle w:val="Footer"/>
            <w:ind w:left="3131" w:hanging="3131"/>
            <w:jc w:val="right"/>
            <w:rPr>
              <w:sz w:val="22"/>
            </w:rPr>
          </w:pPr>
        </w:p>
      </w:tc>
    </w:tr>
    <w:tr w:rsidR="00C61A1D" w:rsidRPr="00360972" w14:paraId="564EDE56"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394581393"/>
            <w:placeholder>
              <w:docPart w:val="B7215DC7CA8B44A782C879675A3102C7"/>
            </w:placeholder>
            <w:dataBinding w:xpath="/*[local-name()='root']/*[local-name()='DocumentNumber']" w:storeItemID="{8F33FB8F-8118-4915-86A8-F93B7C2B254E}"/>
            <w:text/>
          </w:sdtPr>
          <w:sdtContent>
            <w:p w14:paraId="6C26C2BC" w14:textId="77777777" w:rsidR="00C61A1D" w:rsidRDefault="00492A74" w:rsidP="00FC5F07">
              <w:pPr>
                <w:pStyle w:val="Footer"/>
              </w:pPr>
              <w:r>
                <w:t>IS427600-03</w:t>
              </w:r>
            </w:p>
          </w:sdtContent>
        </w:sdt>
      </w:tc>
      <w:tc>
        <w:tcPr>
          <w:tcW w:w="926" w:type="pct"/>
          <w:tcBorders>
            <w:top w:val="single" w:sz="2" w:space="0" w:color="007D55" w:themeColor="accent1"/>
          </w:tcBorders>
          <w:tcMar>
            <w:top w:w="113" w:type="dxa"/>
            <w:right w:w="0" w:type="dxa"/>
          </w:tcMar>
        </w:tcPr>
        <w:p w14:paraId="26098563" w14:textId="77777777" w:rsidR="00C61A1D" w:rsidRPr="00661DA6" w:rsidRDefault="00C61A1D"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2AB46C00" w14:textId="77777777" w:rsidR="00C61A1D" w:rsidRPr="006902C0" w:rsidRDefault="00C61A1D" w:rsidP="003D4A8B">
    <w:pPr>
      <w:pStyle w:val="HeaderSpac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29"/>
      <w:gridCol w:w="12641"/>
    </w:tblGrid>
    <w:tr w:rsidR="00B36A05" w:rsidRPr="007A1ECA" w14:paraId="1D512A42"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11547F88" w14:textId="77777777" w:rsidR="00B36A05" w:rsidRPr="007A1ECA" w:rsidRDefault="00B36A05"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71AD382E" w14:textId="77777777" w:rsidR="00B36A05" w:rsidRPr="007A1ECA" w:rsidRDefault="00B36A05" w:rsidP="00F23FC0">
          <w:pPr>
            <w:pStyle w:val="Footer"/>
            <w:spacing w:line="216" w:lineRule="auto"/>
          </w:pPr>
        </w:p>
      </w:tc>
    </w:tr>
    <w:tr w:rsidR="00B36A05" w:rsidRPr="007A1ECA" w14:paraId="348B0D77"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4DCEEF08" w14:textId="77777777" w:rsidR="00B36A05" w:rsidRPr="007A1ECA" w:rsidRDefault="00B36A05"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575781275"/>
            <w:placeholder>
              <w:docPart w:val="5E579324A24D4911B701C2404EE6E51A"/>
            </w:placeholder>
            <w:dataBinding w:xpath="/*[local-name()='root']/*[local-name()='DocumentNumber']" w:storeItemID="{8F33FB8F-8118-4915-86A8-F93B7C2B254E}"/>
            <w:text/>
          </w:sdtPr>
          <w:sdtContent>
            <w:p w14:paraId="16B4E392" w14:textId="77777777" w:rsidR="00B36A05" w:rsidRPr="007A1ECA" w:rsidRDefault="00B36A05" w:rsidP="00FC5F07">
              <w:pPr>
                <w:pStyle w:val="Footer"/>
                <w:jc w:val="right"/>
              </w:pPr>
              <w:r>
                <w:t>IS427600-03</w:t>
              </w:r>
            </w:p>
          </w:sdtContent>
        </w:sdt>
      </w:tc>
    </w:tr>
  </w:tbl>
  <w:p w14:paraId="55905543" w14:textId="77777777" w:rsidR="00B36A05" w:rsidRPr="007A1ECA" w:rsidRDefault="00B36A05" w:rsidP="00F23FC0">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11872"/>
      <w:gridCol w:w="2698"/>
    </w:tblGrid>
    <w:tr w:rsidR="00B36A05" w14:paraId="59196D34" w14:textId="77777777" w:rsidTr="003D4A8B">
      <w:trPr>
        <w:trHeight w:val="170"/>
      </w:trPr>
      <w:tc>
        <w:tcPr>
          <w:tcW w:w="4074" w:type="pct"/>
          <w:tcBorders>
            <w:top w:val="nil"/>
            <w:bottom w:val="single" w:sz="2" w:space="0" w:color="007D55" w:themeColor="accent1"/>
          </w:tcBorders>
          <w:tcMar>
            <w:top w:w="0" w:type="dxa"/>
            <w:left w:w="0" w:type="dxa"/>
            <w:right w:w="0" w:type="dxa"/>
          </w:tcMar>
          <w:vAlign w:val="center"/>
        </w:tcPr>
        <w:p w14:paraId="2C7F6160" w14:textId="79D8EC44" w:rsidR="00B36A05" w:rsidRDefault="00B2295B" w:rsidP="003D4A8B">
          <w:pPr>
            <w:pStyle w:val="Footer"/>
            <w:ind w:right="568"/>
          </w:pPr>
          <w:r>
            <w:rPr>
              <w:noProof/>
            </w:rPr>
            <mc:AlternateContent>
              <mc:Choice Requires="wps">
                <w:drawing>
                  <wp:anchor distT="0" distB="0" distL="114300" distR="114300" simplePos="0" relativeHeight="251668991" behindDoc="0" locked="0" layoutInCell="0" allowOverlap="1" wp14:anchorId="11ECF500" wp14:editId="270B8D39">
                    <wp:simplePos x="0" y="0"/>
                    <wp:positionH relativeFrom="page">
                      <wp:align>center</wp:align>
                    </wp:positionH>
                    <wp:positionV relativeFrom="page">
                      <wp:align>bottom</wp:align>
                    </wp:positionV>
                    <wp:extent cx="7772400" cy="463550"/>
                    <wp:effectExtent l="0" t="0" r="0" b="12700"/>
                    <wp:wrapNone/>
                    <wp:docPr id="21" name="MSIPCMc1154049a72d46f902427134" descr="{&quot;HashCode&quot;:1862493762,&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935BEC" w14:textId="75A312E2" w:rsidR="00B2295B" w:rsidRPr="00652047" w:rsidRDefault="00652047" w:rsidP="00652047">
                                <w:pPr>
                                  <w:jc w:val="center"/>
                                  <w:rPr>
                                    <w:rFonts w:ascii="Calibri" w:hAnsi="Calibri" w:cs="Calibri"/>
                                    <w:color w:val="000000"/>
                                    <w:sz w:val="24"/>
                                  </w:rPr>
                                </w:pPr>
                                <w:r w:rsidRPr="0065204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1ECF500" id="_x0000_t202" coordsize="21600,21600" o:spt="202" path="m,l,21600r21600,l21600,xe">
                    <v:stroke joinstyle="miter"/>
                    <v:path gradientshapeok="t" o:connecttype="rect"/>
                  </v:shapetype>
                  <v:shape id="MSIPCMc1154049a72d46f902427134" o:spid="_x0000_s1035" type="#_x0000_t202" alt="{&quot;HashCode&quot;:1862493762,&quot;Height&quot;:9999999.0,&quot;Width&quot;:9999999.0,&quot;Placement&quot;:&quot;Footer&quot;,&quot;Index&quot;:&quot;Primary&quot;,&quot;Section&quot;:7,&quot;Top&quot;:0.0,&quot;Left&quot;:0.0}" style="position:absolute;margin-left:0;margin-top:0;width:612pt;height:36.5pt;z-index:25166899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fill o:detectmouseclick="t"/>
                    <v:textbox inset=",0,,0">
                      <w:txbxContent>
                        <w:p w14:paraId="3E935BEC" w14:textId="75A312E2" w:rsidR="00B2295B" w:rsidRPr="00652047" w:rsidRDefault="00652047" w:rsidP="00652047">
                          <w:pPr>
                            <w:jc w:val="center"/>
                            <w:rPr>
                              <w:rFonts w:ascii="Calibri" w:hAnsi="Calibri" w:cs="Calibri"/>
                              <w:color w:val="000000"/>
                              <w:sz w:val="24"/>
                            </w:rPr>
                          </w:pPr>
                          <w:r w:rsidRPr="00652047">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2DC77D2A" w14:textId="77777777" w:rsidR="00B36A05" w:rsidRPr="00C36AD8" w:rsidRDefault="00B36A05" w:rsidP="003D4A8B">
          <w:pPr>
            <w:pStyle w:val="Footer"/>
            <w:ind w:left="3131" w:hanging="3131"/>
            <w:jc w:val="right"/>
            <w:rPr>
              <w:sz w:val="22"/>
            </w:rPr>
          </w:pPr>
        </w:p>
      </w:tc>
    </w:tr>
    <w:tr w:rsidR="00B36A05" w:rsidRPr="00360972" w14:paraId="2D6E0113" w14:textId="77777777" w:rsidTr="003D4A8B">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487477632"/>
            <w:dataBinding w:xpath="/*[local-name()='root']/*[local-name()='DocumentNumber']" w:storeItemID="{8F33FB8F-8118-4915-86A8-F93B7C2B254E}"/>
            <w:text/>
          </w:sdtPr>
          <w:sdtContent>
            <w:p w14:paraId="3F7F3F87" w14:textId="7E007C77" w:rsidR="00B36A05" w:rsidRDefault="00B36A05" w:rsidP="003D4A8B">
              <w:pPr>
                <w:pStyle w:val="Footer"/>
              </w:pPr>
              <w:r>
                <w:t>IS427600-03</w:t>
              </w:r>
            </w:p>
          </w:sdtContent>
        </w:sdt>
      </w:tc>
      <w:tc>
        <w:tcPr>
          <w:tcW w:w="926" w:type="pct"/>
          <w:tcBorders>
            <w:top w:val="single" w:sz="2" w:space="0" w:color="007D55" w:themeColor="accent1"/>
          </w:tcBorders>
          <w:tcMar>
            <w:top w:w="113" w:type="dxa"/>
            <w:right w:w="0" w:type="dxa"/>
          </w:tcMar>
        </w:tcPr>
        <w:p w14:paraId="0FB4FD81" w14:textId="77777777" w:rsidR="00B36A05" w:rsidRPr="00661DA6" w:rsidRDefault="00B36A05"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702C0D1E" w14:textId="77777777" w:rsidR="00B36A05" w:rsidRPr="006902C0" w:rsidRDefault="00B36A05" w:rsidP="003D4A8B">
    <w:pPr>
      <w:pStyle w:val="HeaderSpac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A0F27" w14:textId="7D742950" w:rsidR="00B36A05" w:rsidRPr="005516D1" w:rsidRDefault="00B2295B" w:rsidP="003E5FDF">
    <w:pPr>
      <w:pStyle w:val="Footer"/>
    </w:pPr>
    <w:r>
      <w:rPr>
        <w:noProof/>
      </w:rPr>
      <mc:AlternateContent>
        <mc:Choice Requires="wps">
          <w:drawing>
            <wp:anchor distT="0" distB="0" distL="114300" distR="114300" simplePos="0" relativeHeight="251669247" behindDoc="0" locked="0" layoutInCell="0" allowOverlap="1" wp14:anchorId="6C61EB2E" wp14:editId="623727C6">
              <wp:simplePos x="0" y="9403953"/>
              <wp:positionH relativeFrom="page">
                <wp:align>center</wp:align>
              </wp:positionH>
              <wp:positionV relativeFrom="page">
                <wp:align>bottom</wp:align>
              </wp:positionV>
              <wp:extent cx="7772400" cy="463550"/>
              <wp:effectExtent l="0" t="0" r="0" b="12700"/>
              <wp:wrapNone/>
              <wp:docPr id="22" name="MSIPCM322e4c1994ce5d28c4636907" descr="{&quot;HashCode&quot;:1862493762,&quot;Height&quot;:9999999.0,&quot;Width&quot;:9999999.0,&quot;Placement&quot;:&quot;Footer&quot;,&quot;Index&quot;:&quot;FirstPage&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FF0C2B5" w14:textId="12303EBC" w:rsidR="00B2295B" w:rsidRPr="00652047" w:rsidRDefault="00652047" w:rsidP="00652047">
                          <w:pPr>
                            <w:jc w:val="center"/>
                            <w:rPr>
                              <w:rFonts w:ascii="Calibri" w:hAnsi="Calibri" w:cs="Calibri"/>
                              <w:color w:val="000000"/>
                              <w:sz w:val="24"/>
                            </w:rPr>
                          </w:pPr>
                          <w:r w:rsidRPr="0065204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C61EB2E" id="_x0000_t202" coordsize="21600,21600" o:spt="202" path="m,l,21600r21600,l21600,xe">
              <v:stroke joinstyle="miter"/>
              <v:path gradientshapeok="t" o:connecttype="rect"/>
            </v:shapetype>
            <v:shape id="MSIPCM322e4c1994ce5d28c4636907" o:spid="_x0000_s1036" type="#_x0000_t202" alt="{&quot;HashCode&quot;:1862493762,&quot;Height&quot;:9999999.0,&quot;Width&quot;:9999999.0,&quot;Placement&quot;:&quot;Footer&quot;,&quot;Index&quot;:&quot;FirstPage&quot;,&quot;Section&quot;:7,&quot;Top&quot;:0.0,&quot;Left&quot;:0.0}" style="position:absolute;margin-left:0;margin-top:0;width:612pt;height:36.5pt;z-index:251669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fill o:detectmouseclick="t"/>
              <v:textbox inset=",0,,0">
                <w:txbxContent>
                  <w:p w14:paraId="7FF0C2B5" w14:textId="12303EBC" w:rsidR="00B2295B" w:rsidRPr="00652047" w:rsidRDefault="00652047" w:rsidP="00652047">
                    <w:pPr>
                      <w:jc w:val="center"/>
                      <w:rPr>
                        <w:rFonts w:ascii="Calibri" w:hAnsi="Calibri" w:cs="Calibri"/>
                        <w:color w:val="000000"/>
                        <w:sz w:val="24"/>
                      </w:rPr>
                    </w:pPr>
                    <w:r w:rsidRPr="00652047">
                      <w:rPr>
                        <w:rFonts w:ascii="Calibri" w:hAnsi="Calibri" w:cs="Calibri"/>
                        <w:color w:val="000000"/>
                        <w:sz w:val="24"/>
                      </w:rPr>
                      <w:t>OFFICIAL</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B36A05" w:rsidRPr="007A1ECA" w14:paraId="608257EA"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742BC39C" w14:textId="77777777" w:rsidR="00B36A05" w:rsidRPr="007A1ECA" w:rsidRDefault="00B36A05"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4DFC3B78" w14:textId="77777777" w:rsidR="00B36A05" w:rsidRPr="007A1ECA" w:rsidRDefault="00B36A05" w:rsidP="00F23FC0">
          <w:pPr>
            <w:pStyle w:val="Footer"/>
            <w:spacing w:line="216" w:lineRule="auto"/>
          </w:pPr>
        </w:p>
      </w:tc>
    </w:tr>
    <w:tr w:rsidR="00B36A05" w:rsidRPr="007A1ECA" w14:paraId="732DBE7C"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03738660" w14:textId="77777777" w:rsidR="00B36A05" w:rsidRPr="007A1ECA" w:rsidRDefault="00B36A05"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139418208"/>
            <w:placeholder>
              <w:docPart w:val="57E4A4D04D374F11BA95D0A244E3D652"/>
            </w:placeholder>
            <w:dataBinding w:xpath="/*[local-name()='root']/*[local-name()='DocumentNumber']" w:storeItemID="{8F33FB8F-8118-4915-86A8-F93B7C2B254E}"/>
            <w:text/>
          </w:sdtPr>
          <w:sdtContent>
            <w:p w14:paraId="01F6C69A" w14:textId="77777777" w:rsidR="00B36A05" w:rsidRPr="007A1ECA" w:rsidRDefault="00B36A05" w:rsidP="00FC5F07">
              <w:pPr>
                <w:pStyle w:val="Footer"/>
                <w:jc w:val="right"/>
              </w:pPr>
              <w:r>
                <w:t>IS427600-03</w:t>
              </w:r>
            </w:p>
          </w:sdtContent>
        </w:sdt>
      </w:tc>
    </w:tr>
  </w:tbl>
  <w:p w14:paraId="3CF19243" w14:textId="77777777" w:rsidR="00B36A05" w:rsidRPr="007A1ECA" w:rsidRDefault="00B36A05" w:rsidP="00F23FC0">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B36A05" w14:paraId="4E5B5BF8" w14:textId="77777777" w:rsidTr="00045D54">
      <w:trPr>
        <w:trHeight w:val="170"/>
      </w:trPr>
      <w:tc>
        <w:tcPr>
          <w:tcW w:w="4074" w:type="pct"/>
          <w:tcBorders>
            <w:top w:val="nil"/>
            <w:bottom w:val="single" w:sz="2" w:space="0" w:color="007D55" w:themeColor="accent1"/>
          </w:tcBorders>
          <w:tcMar>
            <w:top w:w="0" w:type="dxa"/>
            <w:left w:w="0" w:type="dxa"/>
            <w:right w:w="0" w:type="dxa"/>
          </w:tcMar>
          <w:vAlign w:val="center"/>
        </w:tcPr>
        <w:p w14:paraId="08CA6567" w14:textId="7C939AFD" w:rsidR="00B36A05" w:rsidRDefault="00B2295B" w:rsidP="003D4A8B">
          <w:pPr>
            <w:pStyle w:val="Footer"/>
            <w:ind w:right="568"/>
          </w:pPr>
          <w:r>
            <w:rPr>
              <w:noProof/>
            </w:rPr>
            <mc:AlternateContent>
              <mc:Choice Requires="wps">
                <w:drawing>
                  <wp:anchor distT="0" distB="0" distL="114300" distR="114300" simplePos="0" relativeHeight="251669504" behindDoc="0" locked="0" layoutInCell="0" allowOverlap="1" wp14:anchorId="45ADD1D9" wp14:editId="70B8CE43">
                    <wp:simplePos x="0" y="0"/>
                    <wp:positionH relativeFrom="page">
                      <wp:align>center</wp:align>
                    </wp:positionH>
                    <wp:positionV relativeFrom="page">
                      <wp:align>bottom</wp:align>
                    </wp:positionV>
                    <wp:extent cx="7772400" cy="463550"/>
                    <wp:effectExtent l="0" t="0" r="0" b="12700"/>
                    <wp:wrapNone/>
                    <wp:docPr id="23" name="MSIPCMb5874f369922589b53f5be05" descr="{&quot;HashCode&quot;:1862493762,&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26182B" w14:textId="325710D7" w:rsidR="00B2295B" w:rsidRPr="00B2295B" w:rsidRDefault="00B2295B" w:rsidP="00B2295B">
                                <w:pPr>
                                  <w:jc w:val="center"/>
                                  <w:rPr>
                                    <w:rFonts w:ascii="Calibri" w:hAnsi="Calibri" w:cs="Calibri"/>
                                    <w:color w:val="000000"/>
                                    <w:sz w:val="24"/>
                                  </w:rPr>
                                </w:pPr>
                                <w:r w:rsidRPr="00B229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5ADD1D9" id="_x0000_t202" coordsize="21600,21600" o:spt="202" path="m,l,21600r21600,l21600,xe">
                    <v:stroke joinstyle="miter"/>
                    <v:path gradientshapeok="t" o:connecttype="rect"/>
                  </v:shapetype>
                  <v:shape id="MSIPCMb5874f369922589b53f5be05" o:spid="_x0000_s1037" type="#_x0000_t202" alt="{&quot;HashCode&quot;:1862493762,&quot;Height&quot;:9999999.0,&quot;Width&quot;:9999999.0,&quot;Placement&quot;:&quot;Footer&quot;,&quot;Index&quot;:&quot;Primary&quot;,&quot;Section&quot;:8,&quot;Top&quot;:0.0,&quot;Left&quot;:0.0}" style="position:absolute;margin-left:0;margin-top:0;width:612pt;height:36.5pt;z-index:2516695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fill o:detectmouseclick="t"/>
                    <v:textbox inset=",0,,0">
                      <w:txbxContent>
                        <w:p w14:paraId="6726182B" w14:textId="325710D7" w:rsidR="00B2295B" w:rsidRPr="00B2295B" w:rsidRDefault="00B2295B" w:rsidP="00B2295B">
                          <w:pPr>
                            <w:jc w:val="center"/>
                            <w:rPr>
                              <w:rFonts w:ascii="Calibri" w:hAnsi="Calibri" w:cs="Calibri"/>
                              <w:color w:val="000000"/>
                              <w:sz w:val="24"/>
                            </w:rPr>
                          </w:pPr>
                          <w:r w:rsidRPr="00B2295B">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57A0C967" w14:textId="77777777" w:rsidR="00B36A05" w:rsidRPr="00C36AD8" w:rsidRDefault="00B36A05" w:rsidP="003D4A8B">
          <w:pPr>
            <w:pStyle w:val="Footer"/>
            <w:ind w:left="3131" w:hanging="3131"/>
            <w:jc w:val="right"/>
            <w:rPr>
              <w:sz w:val="22"/>
            </w:rPr>
          </w:pPr>
        </w:p>
      </w:tc>
    </w:tr>
    <w:tr w:rsidR="00B36A05" w:rsidRPr="00360972" w14:paraId="270CA7FF"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635789066"/>
            <w:placeholder>
              <w:docPart w:val="702EF1BFF9354998A824776117827778"/>
            </w:placeholder>
            <w:dataBinding w:xpath="/*[local-name()='root']/*[local-name()='DocumentNumber']" w:storeItemID="{8F33FB8F-8118-4915-86A8-F93B7C2B254E}"/>
            <w:text/>
          </w:sdtPr>
          <w:sdtContent>
            <w:p w14:paraId="21E413FC" w14:textId="77777777" w:rsidR="00B36A05" w:rsidRDefault="00B36A05" w:rsidP="00FC5F07">
              <w:pPr>
                <w:pStyle w:val="Footer"/>
              </w:pPr>
              <w:r>
                <w:t>IS427600-03</w:t>
              </w:r>
            </w:p>
          </w:sdtContent>
        </w:sdt>
      </w:tc>
      <w:tc>
        <w:tcPr>
          <w:tcW w:w="926" w:type="pct"/>
          <w:tcBorders>
            <w:top w:val="single" w:sz="2" w:space="0" w:color="007D55" w:themeColor="accent1"/>
          </w:tcBorders>
          <w:tcMar>
            <w:top w:w="113" w:type="dxa"/>
            <w:right w:w="0" w:type="dxa"/>
          </w:tcMar>
        </w:tcPr>
        <w:p w14:paraId="45DF6AAF" w14:textId="77777777" w:rsidR="00B36A05" w:rsidRPr="00661DA6" w:rsidRDefault="00B36A05"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2B95B51C" w14:textId="77777777" w:rsidR="00B36A05" w:rsidRPr="006902C0" w:rsidRDefault="00B36A05" w:rsidP="003D4A8B">
    <w:pPr>
      <w:pStyle w:val="HeaderSpac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F863A" w14:textId="7E6EA5CB" w:rsidR="00B36A05" w:rsidRPr="005516D1" w:rsidRDefault="00B2295B" w:rsidP="003E5FDF">
    <w:pPr>
      <w:pStyle w:val="Footer"/>
    </w:pPr>
    <w:r>
      <w:rPr>
        <w:noProof/>
      </w:rPr>
      <mc:AlternateContent>
        <mc:Choice Requires="wps">
          <w:drawing>
            <wp:anchor distT="0" distB="0" distL="114300" distR="114300" simplePos="0" relativeHeight="251670528" behindDoc="0" locked="0" layoutInCell="0" allowOverlap="1" wp14:anchorId="75DB6BA2" wp14:editId="62331132">
              <wp:simplePos x="0" y="9403953"/>
              <wp:positionH relativeFrom="page">
                <wp:align>center</wp:align>
              </wp:positionH>
              <wp:positionV relativeFrom="page">
                <wp:align>bottom</wp:align>
              </wp:positionV>
              <wp:extent cx="7772400" cy="463550"/>
              <wp:effectExtent l="0" t="0" r="0" b="12700"/>
              <wp:wrapNone/>
              <wp:docPr id="24" name="MSIPCMa58048b8960f08b1bc88e15f" descr="{&quot;HashCode&quot;:1862493762,&quot;Height&quot;:9999999.0,&quot;Width&quot;:9999999.0,&quot;Placement&quot;:&quot;Footer&quot;,&quot;Index&quot;:&quot;FirstPage&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1395EC" w14:textId="7424F515" w:rsidR="00B2295B" w:rsidRPr="00B2295B" w:rsidRDefault="00B2295B" w:rsidP="00B2295B">
                          <w:pPr>
                            <w:jc w:val="center"/>
                            <w:rPr>
                              <w:rFonts w:ascii="Calibri" w:hAnsi="Calibri" w:cs="Calibri"/>
                              <w:color w:val="000000"/>
                              <w:sz w:val="24"/>
                            </w:rPr>
                          </w:pPr>
                          <w:r w:rsidRPr="00B229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5DB6BA2" id="_x0000_t202" coordsize="21600,21600" o:spt="202" path="m,l,21600r21600,l21600,xe">
              <v:stroke joinstyle="miter"/>
              <v:path gradientshapeok="t" o:connecttype="rect"/>
            </v:shapetype>
            <v:shape id="MSIPCMa58048b8960f08b1bc88e15f" o:spid="_x0000_s1038" type="#_x0000_t202" alt="{&quot;HashCode&quot;:1862493762,&quot;Height&quot;:9999999.0,&quot;Width&quot;:9999999.0,&quot;Placement&quot;:&quot;Footer&quot;,&quot;Index&quot;:&quot;FirstPage&quot;,&quot;Section&quot;:8,&quot;Top&quot;:0.0,&quot;Left&quot;:0.0}" style="position:absolute;margin-left:0;margin-top:0;width:612pt;height:36.5pt;z-index:2516705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fill o:detectmouseclick="t"/>
              <v:textbox inset=",0,,0">
                <w:txbxContent>
                  <w:p w14:paraId="791395EC" w14:textId="7424F515" w:rsidR="00B2295B" w:rsidRPr="00B2295B" w:rsidRDefault="00B2295B" w:rsidP="00B2295B">
                    <w:pPr>
                      <w:jc w:val="center"/>
                      <w:rPr>
                        <w:rFonts w:ascii="Calibri" w:hAnsi="Calibri" w:cs="Calibri"/>
                        <w:color w:val="000000"/>
                        <w:sz w:val="24"/>
                      </w:rPr>
                    </w:pPr>
                    <w:r w:rsidRPr="00B2295B">
                      <w:rPr>
                        <w:rFonts w:ascii="Calibri" w:hAnsi="Calibri" w:cs="Calibri"/>
                        <w:color w:val="000000"/>
                        <w:sz w:val="24"/>
                      </w:rPr>
                      <w:t>OFFICIAL</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29"/>
      <w:gridCol w:w="12641"/>
    </w:tblGrid>
    <w:tr w:rsidR="004F0387" w:rsidRPr="007A1ECA" w14:paraId="6CDCB578"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0DB6597D" w14:textId="77777777" w:rsidR="004F0387" w:rsidRPr="007A1ECA" w:rsidRDefault="004F0387"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2793D199" w14:textId="77777777" w:rsidR="004F0387" w:rsidRPr="007A1ECA" w:rsidRDefault="004F0387" w:rsidP="00F23FC0">
          <w:pPr>
            <w:pStyle w:val="Footer"/>
            <w:spacing w:line="216" w:lineRule="auto"/>
          </w:pPr>
        </w:p>
      </w:tc>
    </w:tr>
    <w:tr w:rsidR="004F0387" w:rsidRPr="007A1ECA" w14:paraId="56A1848C"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6A2AA318" w14:textId="77777777" w:rsidR="004F0387" w:rsidRPr="007A1ECA" w:rsidRDefault="004F0387"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555843960"/>
            <w:placeholder>
              <w:docPart w:val="8EA6BC9C9AF74472B7BDB75B5C163BF3"/>
            </w:placeholder>
            <w:dataBinding w:xpath="/*[local-name()='root']/*[local-name()='DocumentNumber']" w:storeItemID="{8F33FB8F-8118-4915-86A8-F93B7C2B254E}"/>
            <w:text/>
          </w:sdtPr>
          <w:sdtContent>
            <w:p w14:paraId="00BFBC25" w14:textId="77777777" w:rsidR="004F0387" w:rsidRPr="007A1ECA" w:rsidRDefault="004F0387" w:rsidP="00FC5F07">
              <w:pPr>
                <w:pStyle w:val="Footer"/>
                <w:jc w:val="right"/>
              </w:pPr>
              <w:r>
                <w:t>IS427600-03</w:t>
              </w:r>
            </w:p>
          </w:sdtContent>
        </w:sdt>
      </w:tc>
    </w:tr>
  </w:tbl>
  <w:p w14:paraId="0D66D60A" w14:textId="77777777" w:rsidR="004F0387" w:rsidRPr="007A1ECA" w:rsidRDefault="004F0387" w:rsidP="00F23FC0">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11872"/>
      <w:gridCol w:w="2698"/>
    </w:tblGrid>
    <w:tr w:rsidR="004F0387" w14:paraId="28EBE490" w14:textId="77777777" w:rsidTr="00FB2E1B">
      <w:trPr>
        <w:trHeight w:val="170"/>
      </w:trPr>
      <w:tc>
        <w:tcPr>
          <w:tcW w:w="4074" w:type="pct"/>
          <w:tcBorders>
            <w:top w:val="nil"/>
            <w:bottom w:val="single" w:sz="2" w:space="0" w:color="007D55" w:themeColor="accent1"/>
          </w:tcBorders>
          <w:tcMar>
            <w:top w:w="0" w:type="dxa"/>
            <w:left w:w="0" w:type="dxa"/>
            <w:right w:w="0" w:type="dxa"/>
          </w:tcMar>
          <w:vAlign w:val="center"/>
        </w:tcPr>
        <w:p w14:paraId="443112E4" w14:textId="77777777" w:rsidR="004F0387" w:rsidRDefault="004F0387" w:rsidP="00FB2E1B">
          <w:pPr>
            <w:pStyle w:val="Footer"/>
            <w:ind w:right="568"/>
          </w:pPr>
        </w:p>
      </w:tc>
      <w:tc>
        <w:tcPr>
          <w:tcW w:w="926" w:type="pct"/>
          <w:tcBorders>
            <w:top w:val="nil"/>
            <w:bottom w:val="single" w:sz="2" w:space="0" w:color="007D55" w:themeColor="accent1"/>
          </w:tcBorders>
          <w:tcMar>
            <w:top w:w="0" w:type="dxa"/>
            <w:right w:w="0" w:type="dxa"/>
          </w:tcMar>
          <w:vAlign w:val="center"/>
        </w:tcPr>
        <w:p w14:paraId="29AE908B" w14:textId="77777777" w:rsidR="004F0387" w:rsidRPr="00C36AD8" w:rsidRDefault="004F0387" w:rsidP="00FB2E1B">
          <w:pPr>
            <w:pStyle w:val="Footer"/>
            <w:ind w:left="3131" w:hanging="3131"/>
            <w:jc w:val="right"/>
            <w:rPr>
              <w:sz w:val="22"/>
            </w:rPr>
          </w:pPr>
        </w:p>
      </w:tc>
    </w:tr>
    <w:tr w:rsidR="004F0387" w:rsidRPr="00360972" w14:paraId="3BD29D9B" w14:textId="77777777" w:rsidTr="00FB2E1B">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761450002"/>
            <w:dataBinding w:xpath="/*[local-name()='root']/*[local-name()='DocumentNumber']" w:storeItemID="{8F33FB8F-8118-4915-86A8-F93B7C2B254E}"/>
            <w:text/>
          </w:sdtPr>
          <w:sdtContent>
            <w:p w14:paraId="7CAC2766" w14:textId="2F127EA9" w:rsidR="004F0387" w:rsidRDefault="004F0387" w:rsidP="00FB2E1B">
              <w:pPr>
                <w:pStyle w:val="Footer"/>
              </w:pPr>
              <w:r>
                <w:t>IS427600-03</w:t>
              </w:r>
            </w:p>
          </w:sdtContent>
        </w:sdt>
      </w:tc>
      <w:tc>
        <w:tcPr>
          <w:tcW w:w="926" w:type="pct"/>
          <w:tcBorders>
            <w:top w:val="single" w:sz="2" w:space="0" w:color="007D55" w:themeColor="accent1"/>
          </w:tcBorders>
          <w:tcMar>
            <w:top w:w="113" w:type="dxa"/>
            <w:right w:w="0" w:type="dxa"/>
          </w:tcMar>
        </w:tcPr>
        <w:p w14:paraId="73707202" w14:textId="77777777" w:rsidR="004F0387" w:rsidRPr="00661DA6" w:rsidRDefault="004F0387" w:rsidP="00FB2E1B">
          <w:pPr>
            <w:pStyle w:val="Footer"/>
            <w:jc w:val="right"/>
          </w:pPr>
          <w:r>
            <w:fldChar w:fldCharType="begin"/>
          </w:r>
          <w:r>
            <w:instrText xml:space="preserve"> PAGE   \* MERGEFORMAT </w:instrText>
          </w:r>
          <w:r>
            <w:fldChar w:fldCharType="separate"/>
          </w:r>
          <w:r>
            <w:t>1</w:t>
          </w:r>
          <w:r>
            <w:rPr>
              <w:noProof/>
            </w:rPr>
            <w:fldChar w:fldCharType="end"/>
          </w:r>
        </w:p>
      </w:tc>
    </w:tr>
  </w:tbl>
  <w:p w14:paraId="19F505EC" w14:textId="77777777" w:rsidR="004F0387" w:rsidRPr="006902C0" w:rsidRDefault="004F0387" w:rsidP="00FB2E1B">
    <w:pPr>
      <w:pStyle w:val="HeaderSpac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9F35C" w14:textId="007679AA" w:rsidR="00B2295B" w:rsidRDefault="00B2295B">
    <w:pPr>
      <w:pStyle w:val="Footer"/>
    </w:pPr>
    <w:r>
      <w:rPr>
        <w:noProof/>
      </w:rPr>
      <mc:AlternateContent>
        <mc:Choice Requires="wps">
          <w:drawing>
            <wp:anchor distT="0" distB="0" distL="114300" distR="114300" simplePos="0" relativeHeight="251663197" behindDoc="0" locked="0" layoutInCell="0" allowOverlap="1" wp14:anchorId="5C26181E" wp14:editId="426678A1">
              <wp:simplePos x="0" y="9403953"/>
              <wp:positionH relativeFrom="page">
                <wp:align>center</wp:align>
              </wp:positionH>
              <wp:positionV relativeFrom="page">
                <wp:align>bottom</wp:align>
              </wp:positionV>
              <wp:extent cx="7772400" cy="463550"/>
              <wp:effectExtent l="0" t="0" r="0" b="12700"/>
              <wp:wrapNone/>
              <wp:docPr id="1" name="MSIPCM76074bbfbae3596effb405d3"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2001C24" w14:textId="3D361C78"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26181E" id="_x0000_t202" coordsize="21600,21600" o:spt="202" path="m,l,21600r21600,l21600,xe">
              <v:stroke joinstyle="miter"/>
              <v:path gradientshapeok="t" o:connecttype="rect"/>
            </v:shapetype>
            <v:shape id="MSIPCM76074bbfbae3596effb405d3" o:spid="_x0000_s1027" type="#_x0000_t202" alt="{&quot;HashCode&quot;:1862493762,&quot;Height&quot;:9999999.0,&quot;Width&quot;:9999999.0,&quot;Placement&quot;:&quot;Footer&quot;,&quot;Index&quot;:&quot;Primary&quot;,&quot;Section&quot;:1,&quot;Top&quot;:0.0,&quot;Left&quot;:0.0}" style="position:absolute;margin-left:0;margin-top:0;width:612pt;height:36.5pt;z-index:25166319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fill o:detectmouseclick="t"/>
              <v:textbox inset=",0,,0">
                <w:txbxContent>
                  <w:p w14:paraId="22001C24" w14:textId="3D361C78"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E9DE4" w14:textId="77777777" w:rsidR="004F0387" w:rsidRPr="005516D1" w:rsidRDefault="004F0387" w:rsidP="003E5FDF">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4F0387" w:rsidRPr="007A1ECA" w14:paraId="2260E17B"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50D85BFD" w14:textId="77777777" w:rsidR="004F0387" w:rsidRPr="007A1ECA" w:rsidRDefault="004F0387"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174DE542" w14:textId="77777777" w:rsidR="004F0387" w:rsidRPr="007A1ECA" w:rsidRDefault="004F0387" w:rsidP="00F23FC0">
          <w:pPr>
            <w:pStyle w:val="Footer"/>
            <w:spacing w:line="216" w:lineRule="auto"/>
          </w:pPr>
        </w:p>
      </w:tc>
    </w:tr>
    <w:tr w:rsidR="004F0387" w:rsidRPr="007A1ECA" w14:paraId="13D869AB"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79B6F09D" w14:textId="77777777" w:rsidR="004F0387" w:rsidRPr="007A1ECA" w:rsidRDefault="004F0387"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268668334"/>
            <w:dataBinding w:xpath="/*[local-name()='root']/*[local-name()='DocumentNumber']" w:storeItemID="{8F33FB8F-8118-4915-86A8-F93B7C2B254E}"/>
            <w:text/>
          </w:sdtPr>
          <w:sdtContent>
            <w:p w14:paraId="7A39BB6E" w14:textId="77777777" w:rsidR="004F0387" w:rsidRPr="007A1ECA" w:rsidRDefault="004F0387" w:rsidP="00FC5F07">
              <w:pPr>
                <w:pStyle w:val="Footer"/>
                <w:jc w:val="right"/>
              </w:pPr>
              <w:r>
                <w:t>IS427600-03</w:t>
              </w:r>
            </w:p>
          </w:sdtContent>
        </w:sdt>
      </w:tc>
    </w:tr>
  </w:tbl>
  <w:p w14:paraId="705A7E97" w14:textId="77777777" w:rsidR="004F0387" w:rsidRPr="007A1ECA" w:rsidRDefault="004F0387" w:rsidP="00F23FC0">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4F0387" w14:paraId="36E33D73" w14:textId="77777777" w:rsidTr="00045D54">
      <w:trPr>
        <w:trHeight w:val="170"/>
      </w:trPr>
      <w:tc>
        <w:tcPr>
          <w:tcW w:w="4074" w:type="pct"/>
          <w:tcBorders>
            <w:top w:val="nil"/>
            <w:bottom w:val="single" w:sz="2" w:space="0" w:color="007D55" w:themeColor="accent1"/>
          </w:tcBorders>
          <w:tcMar>
            <w:top w:w="0" w:type="dxa"/>
            <w:left w:w="0" w:type="dxa"/>
            <w:right w:w="0" w:type="dxa"/>
          </w:tcMar>
          <w:vAlign w:val="center"/>
        </w:tcPr>
        <w:p w14:paraId="3BC3EE0A" w14:textId="77777777" w:rsidR="004F0387" w:rsidRDefault="004F0387" w:rsidP="003D4A8B">
          <w:pPr>
            <w:pStyle w:val="Footer"/>
            <w:ind w:right="568"/>
          </w:pPr>
        </w:p>
      </w:tc>
      <w:tc>
        <w:tcPr>
          <w:tcW w:w="926" w:type="pct"/>
          <w:tcBorders>
            <w:top w:val="nil"/>
            <w:bottom w:val="single" w:sz="2" w:space="0" w:color="007D55" w:themeColor="accent1"/>
          </w:tcBorders>
          <w:tcMar>
            <w:top w:w="0" w:type="dxa"/>
            <w:right w:w="0" w:type="dxa"/>
          </w:tcMar>
          <w:vAlign w:val="center"/>
        </w:tcPr>
        <w:p w14:paraId="668FD4CA" w14:textId="77777777" w:rsidR="004F0387" w:rsidRPr="00C36AD8" w:rsidRDefault="004F0387" w:rsidP="003D4A8B">
          <w:pPr>
            <w:pStyle w:val="Footer"/>
            <w:ind w:left="3131" w:hanging="3131"/>
            <w:jc w:val="right"/>
            <w:rPr>
              <w:sz w:val="22"/>
            </w:rPr>
          </w:pPr>
        </w:p>
      </w:tc>
    </w:tr>
    <w:tr w:rsidR="004F0387" w:rsidRPr="00360972" w14:paraId="12721AAF"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809714196"/>
            <w:placeholder>
              <w:docPart w:val="90EAD92A896D4C8183762E504E5B9427"/>
            </w:placeholder>
            <w:dataBinding w:xpath="/*[local-name()='root']/*[local-name()='DocumentNumber']" w:storeItemID="{8F33FB8F-8118-4915-86A8-F93B7C2B254E}"/>
            <w:text/>
          </w:sdtPr>
          <w:sdtContent>
            <w:p w14:paraId="46B9261D" w14:textId="77777777" w:rsidR="004F0387" w:rsidRDefault="004F0387" w:rsidP="00FC5F07">
              <w:pPr>
                <w:pStyle w:val="Footer"/>
              </w:pPr>
              <w:r>
                <w:t>IS427600-03</w:t>
              </w:r>
            </w:p>
          </w:sdtContent>
        </w:sdt>
      </w:tc>
      <w:tc>
        <w:tcPr>
          <w:tcW w:w="926" w:type="pct"/>
          <w:tcBorders>
            <w:top w:val="single" w:sz="2" w:space="0" w:color="007D55" w:themeColor="accent1"/>
          </w:tcBorders>
          <w:tcMar>
            <w:top w:w="113" w:type="dxa"/>
            <w:right w:w="0" w:type="dxa"/>
          </w:tcMar>
        </w:tcPr>
        <w:p w14:paraId="47F80F5C" w14:textId="77777777" w:rsidR="004F0387" w:rsidRPr="00661DA6" w:rsidRDefault="004F0387"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3E767262" w14:textId="77777777" w:rsidR="004F0387" w:rsidRPr="006902C0" w:rsidRDefault="004F0387" w:rsidP="003D4A8B">
    <w:pPr>
      <w:pStyle w:val="HeaderSpac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9FCCC" w14:textId="77777777" w:rsidR="004F0387" w:rsidRPr="005516D1" w:rsidRDefault="004F0387" w:rsidP="003E5FDF">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29"/>
      <w:gridCol w:w="12641"/>
    </w:tblGrid>
    <w:tr w:rsidR="003D51D9" w:rsidRPr="007A1ECA" w14:paraId="0E5B6580"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1CDB3040" w14:textId="77777777" w:rsidR="003D51D9" w:rsidRPr="007A1ECA" w:rsidRDefault="003D51D9"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1FD6CBF6" w14:textId="77777777" w:rsidR="003D51D9" w:rsidRPr="007A1ECA" w:rsidRDefault="003D51D9" w:rsidP="00F23FC0">
          <w:pPr>
            <w:pStyle w:val="Footer"/>
            <w:spacing w:line="216" w:lineRule="auto"/>
          </w:pPr>
        </w:p>
      </w:tc>
    </w:tr>
    <w:tr w:rsidR="003D51D9" w:rsidRPr="007A1ECA" w14:paraId="1C85156C"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63519DC3" w14:textId="77777777" w:rsidR="003D51D9" w:rsidRPr="007A1ECA" w:rsidRDefault="003D51D9"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640486396"/>
            <w:dataBinding w:xpath="/*[local-name()='root']/*[local-name()='DocumentNumber']" w:storeItemID="{8F33FB8F-8118-4915-86A8-F93B7C2B254E}"/>
            <w:text/>
          </w:sdtPr>
          <w:sdtContent>
            <w:p w14:paraId="4D1E3FDE" w14:textId="77777777" w:rsidR="003D51D9" w:rsidRPr="007A1ECA" w:rsidRDefault="003D51D9" w:rsidP="00FC5F07">
              <w:pPr>
                <w:pStyle w:val="Footer"/>
                <w:jc w:val="right"/>
              </w:pPr>
              <w:r>
                <w:t>IS427600-03</w:t>
              </w:r>
            </w:p>
          </w:sdtContent>
        </w:sdt>
      </w:tc>
    </w:tr>
  </w:tbl>
  <w:p w14:paraId="389387AF" w14:textId="77777777" w:rsidR="003D51D9" w:rsidRPr="007A1ECA" w:rsidRDefault="003D51D9" w:rsidP="00F23FC0">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11872"/>
      <w:gridCol w:w="2698"/>
    </w:tblGrid>
    <w:tr w:rsidR="003D51D9" w14:paraId="38DDB67D" w14:textId="77777777" w:rsidTr="00FB2E1B">
      <w:trPr>
        <w:trHeight w:val="170"/>
      </w:trPr>
      <w:tc>
        <w:tcPr>
          <w:tcW w:w="4074" w:type="pct"/>
          <w:tcBorders>
            <w:top w:val="nil"/>
            <w:bottom w:val="single" w:sz="2" w:space="0" w:color="007D55" w:themeColor="accent1"/>
          </w:tcBorders>
          <w:tcMar>
            <w:top w:w="0" w:type="dxa"/>
            <w:left w:w="0" w:type="dxa"/>
            <w:right w:w="0" w:type="dxa"/>
          </w:tcMar>
          <w:vAlign w:val="center"/>
        </w:tcPr>
        <w:p w14:paraId="335B85D4" w14:textId="77777777" w:rsidR="003D51D9" w:rsidRDefault="003D51D9" w:rsidP="00FB2E1B">
          <w:pPr>
            <w:pStyle w:val="Footer"/>
            <w:ind w:right="568"/>
          </w:pPr>
        </w:p>
      </w:tc>
      <w:tc>
        <w:tcPr>
          <w:tcW w:w="926" w:type="pct"/>
          <w:tcBorders>
            <w:top w:val="nil"/>
            <w:bottom w:val="single" w:sz="2" w:space="0" w:color="007D55" w:themeColor="accent1"/>
          </w:tcBorders>
          <w:tcMar>
            <w:top w:w="0" w:type="dxa"/>
            <w:right w:w="0" w:type="dxa"/>
          </w:tcMar>
          <w:vAlign w:val="center"/>
        </w:tcPr>
        <w:p w14:paraId="5929EFB4" w14:textId="77777777" w:rsidR="003D51D9" w:rsidRPr="00C36AD8" w:rsidRDefault="003D51D9" w:rsidP="00FB2E1B">
          <w:pPr>
            <w:pStyle w:val="Footer"/>
            <w:ind w:left="3131" w:hanging="3131"/>
            <w:jc w:val="right"/>
            <w:rPr>
              <w:sz w:val="22"/>
            </w:rPr>
          </w:pPr>
        </w:p>
      </w:tc>
    </w:tr>
    <w:tr w:rsidR="003D51D9" w:rsidRPr="00360972" w14:paraId="2EB08EC1" w14:textId="77777777" w:rsidTr="00FB2E1B">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103961108"/>
            <w:dataBinding w:xpath="/*[local-name()='root']/*[local-name()='DocumentNumber']" w:storeItemID="{8F33FB8F-8118-4915-86A8-F93B7C2B254E}"/>
            <w:text/>
          </w:sdtPr>
          <w:sdtContent>
            <w:p w14:paraId="2CAEBB0B" w14:textId="0F6EAF58" w:rsidR="003D51D9" w:rsidRDefault="003D51D9" w:rsidP="00FB2E1B">
              <w:pPr>
                <w:pStyle w:val="Footer"/>
              </w:pPr>
              <w:r>
                <w:t>IS427600-03</w:t>
              </w:r>
            </w:p>
          </w:sdtContent>
        </w:sdt>
      </w:tc>
      <w:tc>
        <w:tcPr>
          <w:tcW w:w="926" w:type="pct"/>
          <w:tcBorders>
            <w:top w:val="single" w:sz="2" w:space="0" w:color="007D55" w:themeColor="accent1"/>
          </w:tcBorders>
          <w:tcMar>
            <w:top w:w="113" w:type="dxa"/>
            <w:right w:w="0" w:type="dxa"/>
          </w:tcMar>
        </w:tcPr>
        <w:p w14:paraId="464A6279" w14:textId="77777777" w:rsidR="003D51D9" w:rsidRPr="00661DA6" w:rsidRDefault="003D51D9" w:rsidP="00FB2E1B">
          <w:pPr>
            <w:pStyle w:val="Footer"/>
            <w:jc w:val="right"/>
          </w:pPr>
          <w:r>
            <w:fldChar w:fldCharType="begin"/>
          </w:r>
          <w:r>
            <w:instrText xml:space="preserve"> PAGE   \* MERGEFORMAT </w:instrText>
          </w:r>
          <w:r>
            <w:fldChar w:fldCharType="separate"/>
          </w:r>
          <w:r>
            <w:t>1</w:t>
          </w:r>
          <w:r>
            <w:rPr>
              <w:noProof/>
            </w:rPr>
            <w:fldChar w:fldCharType="end"/>
          </w:r>
        </w:p>
      </w:tc>
    </w:tr>
  </w:tbl>
  <w:p w14:paraId="466150F0" w14:textId="77777777" w:rsidR="003D51D9" w:rsidRPr="006902C0" w:rsidRDefault="003D51D9" w:rsidP="00FB2E1B">
    <w:pPr>
      <w:pStyle w:val="HeaderSpac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5DF54" w14:textId="77777777" w:rsidR="003D51D9" w:rsidRPr="005516D1" w:rsidRDefault="003D51D9" w:rsidP="003E5FDF">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3D51D9" w:rsidRPr="007A1ECA" w14:paraId="2A24B700"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01ECE268" w14:textId="77777777" w:rsidR="003D51D9" w:rsidRPr="007A1ECA" w:rsidRDefault="003D51D9"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77B65D42" w14:textId="77777777" w:rsidR="003D51D9" w:rsidRPr="007A1ECA" w:rsidRDefault="003D51D9" w:rsidP="00F23FC0">
          <w:pPr>
            <w:pStyle w:val="Footer"/>
            <w:spacing w:line="216" w:lineRule="auto"/>
          </w:pPr>
        </w:p>
      </w:tc>
    </w:tr>
    <w:tr w:rsidR="003D51D9" w:rsidRPr="007A1ECA" w14:paraId="11DEFE63"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5D8D3584" w14:textId="77777777" w:rsidR="003D51D9" w:rsidRPr="007A1ECA" w:rsidRDefault="003D51D9"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410131513"/>
            <w:dataBinding w:xpath="/*[local-name()='root']/*[local-name()='DocumentNumber']" w:storeItemID="{8F33FB8F-8118-4915-86A8-F93B7C2B254E}"/>
            <w:text/>
          </w:sdtPr>
          <w:sdtContent>
            <w:p w14:paraId="0D4B03D7" w14:textId="77777777" w:rsidR="003D51D9" w:rsidRPr="007A1ECA" w:rsidRDefault="003D51D9" w:rsidP="00FC5F07">
              <w:pPr>
                <w:pStyle w:val="Footer"/>
                <w:jc w:val="right"/>
              </w:pPr>
              <w:r>
                <w:t>IS427600-03</w:t>
              </w:r>
            </w:p>
          </w:sdtContent>
        </w:sdt>
      </w:tc>
    </w:tr>
  </w:tbl>
  <w:p w14:paraId="32D1E70B" w14:textId="77777777" w:rsidR="003D51D9" w:rsidRPr="007A1ECA" w:rsidRDefault="003D51D9" w:rsidP="00F23FC0">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3D51D9" w14:paraId="413D47AC" w14:textId="77777777" w:rsidTr="00045D54">
      <w:trPr>
        <w:trHeight w:val="170"/>
      </w:trPr>
      <w:tc>
        <w:tcPr>
          <w:tcW w:w="4074" w:type="pct"/>
          <w:tcBorders>
            <w:top w:val="nil"/>
            <w:bottom w:val="single" w:sz="2" w:space="0" w:color="007D55" w:themeColor="accent1"/>
          </w:tcBorders>
          <w:tcMar>
            <w:top w:w="0" w:type="dxa"/>
            <w:left w:w="0" w:type="dxa"/>
            <w:right w:w="0" w:type="dxa"/>
          </w:tcMar>
          <w:vAlign w:val="center"/>
        </w:tcPr>
        <w:p w14:paraId="2916134B" w14:textId="77777777" w:rsidR="003D51D9" w:rsidRDefault="003D51D9" w:rsidP="003D4A8B">
          <w:pPr>
            <w:pStyle w:val="Footer"/>
            <w:ind w:right="568"/>
          </w:pPr>
        </w:p>
      </w:tc>
      <w:tc>
        <w:tcPr>
          <w:tcW w:w="926" w:type="pct"/>
          <w:tcBorders>
            <w:top w:val="nil"/>
            <w:bottom w:val="single" w:sz="2" w:space="0" w:color="007D55" w:themeColor="accent1"/>
          </w:tcBorders>
          <w:tcMar>
            <w:top w:w="0" w:type="dxa"/>
            <w:right w:w="0" w:type="dxa"/>
          </w:tcMar>
          <w:vAlign w:val="center"/>
        </w:tcPr>
        <w:p w14:paraId="4EEEFBC3" w14:textId="77777777" w:rsidR="003D51D9" w:rsidRPr="00C36AD8" w:rsidRDefault="003D51D9" w:rsidP="003D4A8B">
          <w:pPr>
            <w:pStyle w:val="Footer"/>
            <w:ind w:left="3131" w:hanging="3131"/>
            <w:jc w:val="right"/>
            <w:rPr>
              <w:sz w:val="22"/>
            </w:rPr>
          </w:pPr>
        </w:p>
      </w:tc>
    </w:tr>
    <w:tr w:rsidR="003D51D9" w:rsidRPr="00360972" w14:paraId="49F28438"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873304496"/>
            <w:placeholder>
              <w:docPart w:val="5A1CDE27DD0049E187905CEF1FA8C612"/>
            </w:placeholder>
            <w:dataBinding w:xpath="/*[local-name()='root']/*[local-name()='DocumentNumber']" w:storeItemID="{8F33FB8F-8118-4915-86A8-F93B7C2B254E}"/>
            <w:text/>
          </w:sdtPr>
          <w:sdtContent>
            <w:p w14:paraId="66F37789" w14:textId="77777777" w:rsidR="003D51D9" w:rsidRDefault="003D51D9" w:rsidP="00FC5F07">
              <w:pPr>
                <w:pStyle w:val="Footer"/>
              </w:pPr>
              <w:r>
                <w:t>IS427600-03</w:t>
              </w:r>
            </w:p>
          </w:sdtContent>
        </w:sdt>
      </w:tc>
      <w:tc>
        <w:tcPr>
          <w:tcW w:w="926" w:type="pct"/>
          <w:tcBorders>
            <w:top w:val="single" w:sz="2" w:space="0" w:color="007D55" w:themeColor="accent1"/>
          </w:tcBorders>
          <w:tcMar>
            <w:top w:w="113" w:type="dxa"/>
            <w:right w:w="0" w:type="dxa"/>
          </w:tcMar>
        </w:tcPr>
        <w:p w14:paraId="253DABBF" w14:textId="77777777" w:rsidR="003D51D9" w:rsidRPr="00661DA6" w:rsidRDefault="003D51D9"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77C73D45" w14:textId="77777777" w:rsidR="003D51D9" w:rsidRPr="006902C0" w:rsidRDefault="003D51D9" w:rsidP="003D4A8B">
    <w:pPr>
      <w:pStyle w:val="HeaderSpac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1E9DD" w14:textId="77777777" w:rsidR="003D51D9" w:rsidRPr="005516D1" w:rsidRDefault="003D51D9" w:rsidP="003E5FD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BB3AB" w14:textId="15AFAE5C" w:rsidR="00B2295B" w:rsidRDefault="00B2295B">
    <w:pPr>
      <w:pStyle w:val="Footer"/>
    </w:pPr>
    <w:r>
      <w:rPr>
        <w:noProof/>
      </w:rPr>
      <mc:AlternateContent>
        <mc:Choice Requires="wps">
          <w:drawing>
            <wp:anchor distT="0" distB="0" distL="114300" distR="114300" simplePos="0" relativeHeight="251663597" behindDoc="0" locked="0" layoutInCell="0" allowOverlap="1" wp14:anchorId="0FC0BFF0" wp14:editId="442965C7">
              <wp:simplePos x="0" y="0"/>
              <wp:positionH relativeFrom="page">
                <wp:align>center</wp:align>
              </wp:positionH>
              <wp:positionV relativeFrom="page">
                <wp:align>bottom</wp:align>
              </wp:positionV>
              <wp:extent cx="7772400" cy="463550"/>
              <wp:effectExtent l="0" t="0" r="0" b="12700"/>
              <wp:wrapNone/>
              <wp:docPr id="3" name="MSIPCM806f48c7857f3fea1cfea885"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24ED73" w14:textId="63B90AB9"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FC0BFF0" id="_x0000_t202" coordsize="21600,21600" o:spt="202" path="m,l,21600r21600,l21600,xe">
              <v:stroke joinstyle="miter"/>
              <v:path gradientshapeok="t" o:connecttype="rect"/>
            </v:shapetype>
            <v:shape id="MSIPCM806f48c7857f3fea1cfea885" o:spid="_x0000_s1028" type="#_x0000_t202" alt="{&quot;HashCode&quot;:1862493762,&quot;Height&quot;:9999999.0,&quot;Width&quot;:9999999.0,&quot;Placement&quot;:&quot;Footer&quot;,&quot;Index&quot;:&quot;FirstPage&quot;,&quot;Section&quot;:1,&quot;Top&quot;:0.0,&quot;Left&quot;:0.0}" style="position:absolute;margin-left:0;margin-top:0;width:612pt;height:36.5pt;z-index:25166359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fill o:detectmouseclick="t"/>
              <v:textbox inset=",0,,0">
                <w:txbxContent>
                  <w:p w14:paraId="2A24ED73" w14:textId="63B90AB9"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704ADC" w14:paraId="4D929E93" w14:textId="77777777" w:rsidTr="00961D5A">
      <w:trPr>
        <w:trHeight w:val="170"/>
      </w:trPr>
      <w:tc>
        <w:tcPr>
          <w:tcW w:w="4074" w:type="pct"/>
          <w:tcBorders>
            <w:top w:val="nil"/>
            <w:bottom w:val="single" w:sz="2" w:space="0" w:color="007D55" w:themeColor="accent1"/>
          </w:tcBorders>
          <w:tcMar>
            <w:top w:w="0" w:type="dxa"/>
            <w:left w:w="0" w:type="dxa"/>
            <w:right w:w="0" w:type="dxa"/>
          </w:tcMar>
          <w:vAlign w:val="center"/>
        </w:tcPr>
        <w:p w14:paraId="548017AD" w14:textId="77777777" w:rsidR="00704ADC" w:rsidRDefault="00704ADC" w:rsidP="003D4A8B">
          <w:pPr>
            <w:pStyle w:val="Footer"/>
            <w:ind w:right="568"/>
          </w:pPr>
        </w:p>
      </w:tc>
      <w:tc>
        <w:tcPr>
          <w:tcW w:w="926" w:type="pct"/>
          <w:tcBorders>
            <w:top w:val="nil"/>
            <w:bottom w:val="single" w:sz="2" w:space="0" w:color="007D55" w:themeColor="accent1"/>
          </w:tcBorders>
          <w:tcMar>
            <w:top w:w="0" w:type="dxa"/>
            <w:right w:w="0" w:type="dxa"/>
          </w:tcMar>
          <w:vAlign w:val="center"/>
        </w:tcPr>
        <w:p w14:paraId="51192AFA" w14:textId="77777777" w:rsidR="00704ADC" w:rsidRPr="00C36AD8" w:rsidRDefault="00704ADC" w:rsidP="003D4A8B">
          <w:pPr>
            <w:pStyle w:val="Footer"/>
            <w:ind w:left="3131" w:hanging="3131"/>
            <w:jc w:val="right"/>
            <w:rPr>
              <w:sz w:val="22"/>
            </w:rPr>
          </w:pPr>
        </w:p>
      </w:tc>
    </w:tr>
    <w:tr w:rsidR="00704ADC" w:rsidRPr="00360972" w14:paraId="364EF124"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545032016"/>
            <w:placeholder>
              <w:docPart w:val="F3C55329BF69497A812B25F0A83AD0F7"/>
            </w:placeholder>
            <w:dataBinding w:xpath="/*[local-name()='root']/*[local-name()='DocumentNumber']" w:storeItemID="{8F33FB8F-8118-4915-86A8-F93B7C2B254E}"/>
            <w:text/>
          </w:sdtPr>
          <w:sdtContent>
            <w:p w14:paraId="0CDA3A82" w14:textId="77777777" w:rsidR="00704ADC" w:rsidRDefault="00492A74" w:rsidP="00FC5F07">
              <w:pPr>
                <w:pStyle w:val="Footer"/>
              </w:pPr>
              <w:r>
                <w:t>IS427600-03</w:t>
              </w:r>
            </w:p>
          </w:sdtContent>
        </w:sdt>
      </w:tc>
      <w:tc>
        <w:tcPr>
          <w:tcW w:w="926" w:type="pct"/>
          <w:tcBorders>
            <w:top w:val="single" w:sz="2" w:space="0" w:color="007D55" w:themeColor="accent1"/>
          </w:tcBorders>
          <w:tcMar>
            <w:top w:w="113" w:type="dxa"/>
            <w:right w:w="0" w:type="dxa"/>
          </w:tcMar>
        </w:tcPr>
        <w:p w14:paraId="2B033D2F" w14:textId="77777777" w:rsidR="00704ADC" w:rsidRPr="00661DA6" w:rsidRDefault="00704ADC"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0D85CD58" w14:textId="77777777" w:rsidR="00704ADC" w:rsidRPr="006902C0" w:rsidRDefault="00704ADC" w:rsidP="003D4A8B">
    <w:pPr>
      <w:pStyle w:val="HeaderSpac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C8A1E" w14:textId="77777777" w:rsidR="005516D1" w:rsidRPr="005516D1" w:rsidRDefault="005516D1" w:rsidP="003E5FD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49AD" w14:textId="5415235F" w:rsidR="005516D1" w:rsidRPr="005516D1" w:rsidRDefault="00B2295B" w:rsidP="003E5FDF">
    <w:pPr>
      <w:pStyle w:val="Footer"/>
    </w:pPr>
    <w:r>
      <w:rPr>
        <w:noProof/>
      </w:rPr>
      <mc:AlternateContent>
        <mc:Choice Requires="wps">
          <w:drawing>
            <wp:anchor distT="0" distB="0" distL="114300" distR="114300" simplePos="0" relativeHeight="251665245" behindDoc="0" locked="0" layoutInCell="0" allowOverlap="1" wp14:anchorId="49FAD3DF" wp14:editId="07228A3A">
              <wp:simplePos x="0" y="0"/>
              <wp:positionH relativeFrom="page">
                <wp:align>center</wp:align>
              </wp:positionH>
              <wp:positionV relativeFrom="page">
                <wp:align>bottom</wp:align>
              </wp:positionV>
              <wp:extent cx="7772400" cy="463550"/>
              <wp:effectExtent l="0" t="0" r="0" b="12700"/>
              <wp:wrapNone/>
              <wp:docPr id="7" name="MSIPCMa5094495bcbd9a75ed0fc401" descr="{&quot;HashCode&quot;:1862493762,&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9ECFFF" w14:textId="5F5B4659"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9FAD3DF" id="_x0000_t202" coordsize="21600,21600" o:spt="202" path="m,l,21600r21600,l21600,xe">
              <v:stroke joinstyle="miter"/>
              <v:path gradientshapeok="t" o:connecttype="rect"/>
            </v:shapetype>
            <v:shape id="MSIPCMa5094495bcbd9a75ed0fc401" o:spid="_x0000_s1029" type="#_x0000_t202" alt="{&quot;HashCode&quot;:1862493762,&quot;Height&quot;:9999999.0,&quot;Width&quot;:9999999.0,&quot;Placement&quot;:&quot;Footer&quot;,&quot;Index&quot;:&quot;Primary&quot;,&quot;Section&quot;:2,&quot;Top&quot;:0.0,&quot;Left&quot;:0.0}" style="position:absolute;margin-left:0;margin-top:0;width:612pt;height:36.5pt;z-index:251665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fill o:detectmouseclick="t"/>
              <v:textbox inset=",0,,0">
                <w:txbxContent>
                  <w:p w14:paraId="509ECFFF" w14:textId="5F5B4659"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FA01F" w14:textId="1DB9319B" w:rsidR="005516D1" w:rsidRPr="005516D1" w:rsidRDefault="00B2295B" w:rsidP="003E5FDF">
    <w:pPr>
      <w:pStyle w:val="Footer"/>
    </w:pPr>
    <w:r>
      <w:rPr>
        <w:noProof/>
      </w:rPr>
      <mc:AlternateContent>
        <mc:Choice Requires="wps">
          <w:drawing>
            <wp:anchor distT="0" distB="0" distL="114300" distR="114300" simplePos="0" relativeHeight="251665645" behindDoc="0" locked="0" layoutInCell="0" allowOverlap="1" wp14:anchorId="64B0D84E" wp14:editId="0D00F41B">
              <wp:simplePos x="0" y="9403953"/>
              <wp:positionH relativeFrom="page">
                <wp:align>center</wp:align>
              </wp:positionH>
              <wp:positionV relativeFrom="page">
                <wp:align>bottom</wp:align>
              </wp:positionV>
              <wp:extent cx="7772400" cy="463550"/>
              <wp:effectExtent l="0" t="0" r="0" b="12700"/>
              <wp:wrapNone/>
              <wp:docPr id="9" name="MSIPCM39e74b339306876b14ccf7bc" descr="{&quot;HashCode&quot;:1862493762,&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AC597D" w14:textId="20C900ED"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4B0D84E" id="_x0000_t202" coordsize="21600,21600" o:spt="202" path="m,l,21600r21600,l21600,xe">
              <v:stroke joinstyle="miter"/>
              <v:path gradientshapeok="t" o:connecttype="rect"/>
            </v:shapetype>
            <v:shape id="MSIPCM39e74b339306876b14ccf7bc" o:spid="_x0000_s1030" type="#_x0000_t202" alt="{&quot;HashCode&quot;:1862493762,&quot;Height&quot;:9999999.0,&quot;Width&quot;:9999999.0,&quot;Placement&quot;:&quot;Footer&quot;,&quot;Index&quot;:&quot;FirstPage&quot;,&quot;Section&quot;:2,&quot;Top&quot;:0.0,&quot;Left&quot;:0.0}" style="position:absolute;margin-left:0;margin-top:0;width:612pt;height:36.5pt;z-index:2516656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fill o:detectmouseclick="t"/>
              <v:textbox inset=",0,,0">
                <w:txbxContent>
                  <w:p w14:paraId="52AC597D" w14:textId="20C900ED"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007D55"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F23FC0" w:rsidRPr="007A1ECA" w14:paraId="1195F9E8" w14:textId="77777777" w:rsidTr="004678CC">
      <w:trPr>
        <w:trHeight w:val="170"/>
      </w:trPr>
      <w:tc>
        <w:tcPr>
          <w:tcW w:w="1276" w:type="dxa"/>
          <w:tcBorders>
            <w:top w:val="nil"/>
            <w:bottom w:val="single" w:sz="2" w:space="0" w:color="007D55" w:themeColor="accent1"/>
          </w:tcBorders>
          <w:tcMar>
            <w:top w:w="0" w:type="dxa"/>
            <w:left w:w="0" w:type="dxa"/>
            <w:right w:w="0" w:type="dxa"/>
          </w:tcMar>
          <w:vAlign w:val="center"/>
        </w:tcPr>
        <w:p w14:paraId="37A4D340" w14:textId="77777777" w:rsidR="00F23FC0" w:rsidRPr="007A1ECA" w:rsidRDefault="00F23FC0" w:rsidP="00F23FC0">
          <w:pPr>
            <w:pStyle w:val="Footer"/>
            <w:spacing w:line="216" w:lineRule="auto"/>
          </w:pPr>
        </w:p>
      </w:tc>
      <w:tc>
        <w:tcPr>
          <w:tcW w:w="8362" w:type="dxa"/>
          <w:tcBorders>
            <w:top w:val="nil"/>
            <w:bottom w:val="single" w:sz="2" w:space="0" w:color="007D55" w:themeColor="accent1"/>
          </w:tcBorders>
          <w:tcMar>
            <w:top w:w="0" w:type="dxa"/>
            <w:right w:w="0" w:type="dxa"/>
          </w:tcMar>
          <w:vAlign w:val="center"/>
        </w:tcPr>
        <w:p w14:paraId="494906C8" w14:textId="77777777" w:rsidR="00F23FC0" w:rsidRPr="007A1ECA" w:rsidRDefault="00F23FC0" w:rsidP="00F23FC0">
          <w:pPr>
            <w:pStyle w:val="Footer"/>
            <w:spacing w:line="216" w:lineRule="auto"/>
          </w:pPr>
        </w:p>
      </w:tc>
    </w:tr>
    <w:tr w:rsidR="00F23FC0" w:rsidRPr="007A1ECA" w14:paraId="18EFE43D" w14:textId="77777777" w:rsidTr="00ED7BC5">
      <w:trPr>
        <w:trHeight w:val="737"/>
      </w:trPr>
      <w:tc>
        <w:tcPr>
          <w:tcW w:w="1276" w:type="dxa"/>
          <w:tcBorders>
            <w:top w:val="single" w:sz="2" w:space="0" w:color="007D55" w:themeColor="accent1"/>
            <w:bottom w:val="nil"/>
          </w:tcBorders>
          <w:tcMar>
            <w:top w:w="113" w:type="dxa"/>
            <w:left w:w="0" w:type="dxa"/>
            <w:right w:w="0" w:type="dxa"/>
          </w:tcMar>
        </w:tcPr>
        <w:p w14:paraId="41A0E531" w14:textId="77777777" w:rsidR="00F23FC0" w:rsidRPr="007A1ECA" w:rsidRDefault="00F23FC0"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007D55"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104621160"/>
            <w:placeholder>
              <w:docPart w:val="4E163CDAA8D54BD18783D54649FA3AE8"/>
            </w:placeholder>
            <w:dataBinding w:xpath="/*[local-name()='root']/*[local-name()='DocumentNumber']" w:storeItemID="{8F33FB8F-8118-4915-86A8-F93B7C2B254E}"/>
            <w:text/>
          </w:sdtPr>
          <w:sdtContent>
            <w:p w14:paraId="54854D36" w14:textId="77777777" w:rsidR="005516D1" w:rsidRPr="007A1ECA" w:rsidRDefault="00492A74" w:rsidP="00FC5F07">
              <w:pPr>
                <w:pStyle w:val="Footer"/>
                <w:jc w:val="right"/>
              </w:pPr>
              <w:r>
                <w:t>IS427600-03</w:t>
              </w:r>
            </w:p>
          </w:sdtContent>
        </w:sdt>
      </w:tc>
    </w:tr>
  </w:tbl>
  <w:p w14:paraId="4613C6E9" w14:textId="77777777" w:rsidR="00F23FC0" w:rsidRPr="007A1ECA" w:rsidRDefault="00F23FC0" w:rsidP="00F23FC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D25740" w14:paraId="3B071DF5" w14:textId="77777777" w:rsidTr="00111D53">
      <w:trPr>
        <w:trHeight w:val="170"/>
      </w:trPr>
      <w:tc>
        <w:tcPr>
          <w:tcW w:w="4074" w:type="pct"/>
          <w:tcBorders>
            <w:top w:val="nil"/>
            <w:bottom w:val="single" w:sz="2" w:space="0" w:color="007D55" w:themeColor="accent1"/>
          </w:tcBorders>
          <w:tcMar>
            <w:top w:w="0" w:type="dxa"/>
            <w:left w:w="0" w:type="dxa"/>
            <w:right w:w="0" w:type="dxa"/>
          </w:tcMar>
          <w:vAlign w:val="center"/>
        </w:tcPr>
        <w:p w14:paraId="6AB9370E" w14:textId="5C52A7E2" w:rsidR="00D25740" w:rsidRDefault="00B2295B" w:rsidP="003D4A8B">
          <w:pPr>
            <w:pStyle w:val="Footer"/>
            <w:ind w:right="568"/>
          </w:pPr>
          <w:r>
            <w:rPr>
              <w:noProof/>
            </w:rPr>
            <mc:AlternateContent>
              <mc:Choice Requires="wps">
                <w:drawing>
                  <wp:anchor distT="0" distB="0" distL="114300" distR="114300" simplePos="0" relativeHeight="251667293" behindDoc="0" locked="0" layoutInCell="0" allowOverlap="1" wp14:anchorId="69FF6C4E" wp14:editId="4F827832">
                    <wp:simplePos x="0" y="0"/>
                    <wp:positionH relativeFrom="page">
                      <wp:align>center</wp:align>
                    </wp:positionH>
                    <wp:positionV relativeFrom="page">
                      <wp:align>bottom</wp:align>
                    </wp:positionV>
                    <wp:extent cx="7772400" cy="463550"/>
                    <wp:effectExtent l="0" t="0" r="0" b="12700"/>
                    <wp:wrapNone/>
                    <wp:docPr id="12" name="MSIPCM08d14f9185c12034da3b6d5f" descr="{&quot;HashCode&quot;:186249376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5C9BA7" w14:textId="6143B5AB"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9FF6C4E" id="_x0000_t202" coordsize="21600,21600" o:spt="202" path="m,l,21600r21600,l21600,xe">
                    <v:stroke joinstyle="miter"/>
                    <v:path gradientshapeok="t" o:connecttype="rect"/>
                  </v:shapetype>
                  <v:shape id="MSIPCM08d14f9185c12034da3b6d5f" o:spid="_x0000_s1031" type="#_x0000_t202" alt="{&quot;HashCode&quot;:1862493762,&quot;Height&quot;:9999999.0,&quot;Width&quot;:9999999.0,&quot;Placement&quot;:&quot;Footer&quot;,&quot;Index&quot;:&quot;Primary&quot;,&quot;Section&quot;:3,&quot;Top&quot;:0.0,&quot;Left&quot;:0.0}" style="position:absolute;margin-left:0;margin-top:0;width:612pt;height:36.5pt;z-index:25166729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fill o:detectmouseclick="t"/>
                    <v:textbox inset=",0,,0">
                      <w:txbxContent>
                        <w:p w14:paraId="625C9BA7" w14:textId="6143B5AB"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5E81F7AA" w14:textId="77777777" w:rsidR="00D25740" w:rsidRPr="00C36AD8" w:rsidRDefault="00D25740" w:rsidP="003D4A8B">
          <w:pPr>
            <w:pStyle w:val="Footer"/>
            <w:ind w:left="3131" w:hanging="3131"/>
            <w:jc w:val="right"/>
            <w:rPr>
              <w:sz w:val="22"/>
            </w:rPr>
          </w:pPr>
        </w:p>
      </w:tc>
    </w:tr>
    <w:tr w:rsidR="00D25740" w:rsidRPr="00360972" w14:paraId="58EF4628"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539970552"/>
            <w:placeholder>
              <w:docPart w:val="073E0D5B3B364AF6AE9049BC7887DD3A"/>
            </w:placeholder>
            <w:dataBinding w:xpath="/*[local-name()='root']/*[local-name()='DocumentNumber']" w:storeItemID="{8F33FB8F-8118-4915-86A8-F93B7C2B254E}"/>
            <w:text/>
          </w:sdtPr>
          <w:sdtContent>
            <w:p w14:paraId="1B151ABF" w14:textId="77777777" w:rsidR="005516D1" w:rsidRDefault="00492A74" w:rsidP="00FC5F07">
              <w:pPr>
                <w:pStyle w:val="Footer"/>
              </w:pPr>
              <w:r>
                <w:t>IS427600-03</w:t>
              </w:r>
            </w:p>
          </w:sdtContent>
        </w:sdt>
      </w:tc>
      <w:tc>
        <w:tcPr>
          <w:tcW w:w="926" w:type="pct"/>
          <w:tcBorders>
            <w:top w:val="single" w:sz="2" w:space="0" w:color="007D55" w:themeColor="accent1"/>
          </w:tcBorders>
          <w:tcMar>
            <w:top w:w="113" w:type="dxa"/>
            <w:right w:w="0" w:type="dxa"/>
          </w:tcMar>
        </w:tcPr>
        <w:p w14:paraId="13AFC397" w14:textId="77777777" w:rsidR="00D25740" w:rsidRPr="00661DA6" w:rsidRDefault="00D25740"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6E633F40" w14:textId="77777777" w:rsidR="00D25740" w:rsidRPr="006902C0" w:rsidRDefault="00D25740" w:rsidP="003D4A8B">
    <w:pPr>
      <w:pStyle w:val="HeaderSpac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704ADC" w14:paraId="3AF797D7" w14:textId="77777777" w:rsidTr="006F3D5B">
      <w:trPr>
        <w:trHeight w:val="170"/>
      </w:trPr>
      <w:tc>
        <w:tcPr>
          <w:tcW w:w="4074" w:type="pct"/>
          <w:tcBorders>
            <w:top w:val="nil"/>
            <w:bottom w:val="single" w:sz="2" w:space="0" w:color="007D55" w:themeColor="accent1"/>
          </w:tcBorders>
          <w:tcMar>
            <w:top w:w="0" w:type="dxa"/>
            <w:left w:w="0" w:type="dxa"/>
            <w:right w:w="0" w:type="dxa"/>
          </w:tcMar>
          <w:vAlign w:val="center"/>
        </w:tcPr>
        <w:p w14:paraId="7A7A9D71" w14:textId="6153B3DD" w:rsidR="00704ADC" w:rsidRDefault="00B2295B" w:rsidP="003D4A8B">
          <w:pPr>
            <w:pStyle w:val="Footer"/>
            <w:ind w:right="568"/>
          </w:pPr>
          <w:r>
            <w:rPr>
              <w:noProof/>
            </w:rPr>
            <mc:AlternateContent>
              <mc:Choice Requires="wps">
                <w:drawing>
                  <wp:anchor distT="0" distB="0" distL="114300" distR="114300" simplePos="0" relativeHeight="251667693" behindDoc="0" locked="0" layoutInCell="0" allowOverlap="1" wp14:anchorId="6327FCCD" wp14:editId="760F5E0C">
                    <wp:simplePos x="0" y="0"/>
                    <wp:positionH relativeFrom="page">
                      <wp:align>center</wp:align>
                    </wp:positionH>
                    <wp:positionV relativeFrom="page">
                      <wp:align>bottom</wp:align>
                    </wp:positionV>
                    <wp:extent cx="7772400" cy="463550"/>
                    <wp:effectExtent l="0" t="0" r="0" b="12700"/>
                    <wp:wrapNone/>
                    <wp:docPr id="13" name="MSIPCMc6404f2ca7f5fcbeca95a897" descr="{&quot;HashCode&quot;:186249376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6880F0" w14:textId="0CE344EB"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327FCCD" id="_x0000_t202" coordsize="21600,21600" o:spt="202" path="m,l,21600r21600,l21600,xe">
                    <v:stroke joinstyle="miter"/>
                    <v:path gradientshapeok="t" o:connecttype="rect"/>
                  </v:shapetype>
                  <v:shape id="MSIPCMc6404f2ca7f5fcbeca95a897" o:spid="_x0000_s1032" type="#_x0000_t202" alt="{&quot;HashCode&quot;:1862493762,&quot;Height&quot;:9999999.0,&quot;Width&quot;:9999999.0,&quot;Placement&quot;:&quot;Footer&quot;,&quot;Index&quot;:&quot;Primary&quot;,&quot;Section&quot;:4,&quot;Top&quot;:0.0,&quot;Left&quot;:0.0}" style="position:absolute;margin-left:0;margin-top:0;width:612pt;height:36.5pt;z-index:25166769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fill o:detectmouseclick="t"/>
                    <v:textbox inset=",0,,0">
                      <w:txbxContent>
                        <w:p w14:paraId="666880F0" w14:textId="0CE344EB" w:rsidR="00B2295B" w:rsidRPr="00B05C84" w:rsidRDefault="00B05C84" w:rsidP="00B05C84">
                          <w:pPr>
                            <w:jc w:val="center"/>
                            <w:rPr>
                              <w:rFonts w:ascii="Calibri" w:hAnsi="Calibri" w:cs="Calibri"/>
                              <w:color w:val="000000"/>
                              <w:sz w:val="24"/>
                            </w:rPr>
                          </w:pPr>
                          <w:r w:rsidRPr="00B05C84">
                            <w:rPr>
                              <w:rFonts w:ascii="Calibri" w:hAnsi="Calibri" w:cs="Calibri"/>
                              <w:color w:val="000000"/>
                              <w:sz w:val="24"/>
                            </w:rPr>
                            <w:t>OFFICIAL</w:t>
                          </w:r>
                        </w:p>
                      </w:txbxContent>
                    </v:textbox>
                    <w10:wrap anchorx="page" anchory="page"/>
                  </v:shape>
                </w:pict>
              </mc:Fallback>
            </mc:AlternateContent>
          </w:r>
        </w:p>
      </w:tc>
      <w:tc>
        <w:tcPr>
          <w:tcW w:w="926" w:type="pct"/>
          <w:tcBorders>
            <w:top w:val="nil"/>
            <w:bottom w:val="single" w:sz="2" w:space="0" w:color="007D55" w:themeColor="accent1"/>
          </w:tcBorders>
          <w:tcMar>
            <w:top w:w="0" w:type="dxa"/>
            <w:right w:w="0" w:type="dxa"/>
          </w:tcMar>
          <w:vAlign w:val="center"/>
        </w:tcPr>
        <w:p w14:paraId="4CF7013E" w14:textId="77777777" w:rsidR="00704ADC" w:rsidRPr="00C36AD8" w:rsidRDefault="00704ADC" w:rsidP="003D4A8B">
          <w:pPr>
            <w:pStyle w:val="Footer"/>
            <w:ind w:left="3131" w:hanging="3131"/>
            <w:jc w:val="right"/>
            <w:rPr>
              <w:sz w:val="22"/>
            </w:rPr>
          </w:pPr>
        </w:p>
      </w:tc>
    </w:tr>
    <w:tr w:rsidR="00704ADC" w:rsidRPr="00360972" w14:paraId="3328673F" w14:textId="77777777" w:rsidTr="00ED7BC5">
      <w:trPr>
        <w:trHeight w:val="737"/>
      </w:trPr>
      <w:tc>
        <w:tcPr>
          <w:tcW w:w="4074" w:type="pct"/>
          <w:tcBorders>
            <w:top w:val="single" w:sz="2" w:space="0" w:color="007D55"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144736089"/>
            <w:placeholder>
              <w:docPart w:val="F096010F1B174286A03B8976BA3D15FC"/>
            </w:placeholder>
            <w:dataBinding w:xpath="/*[local-name()='root']/*[local-name()='DocumentNumber']" w:storeItemID="{8F33FB8F-8118-4915-86A8-F93B7C2B254E}"/>
            <w:text/>
          </w:sdtPr>
          <w:sdtContent>
            <w:p w14:paraId="4788F7A9" w14:textId="77777777" w:rsidR="00704ADC" w:rsidRDefault="00492A74" w:rsidP="00FC5F07">
              <w:pPr>
                <w:pStyle w:val="Footer"/>
              </w:pPr>
              <w:r>
                <w:t>IS427600-03</w:t>
              </w:r>
            </w:p>
          </w:sdtContent>
        </w:sdt>
      </w:tc>
      <w:tc>
        <w:tcPr>
          <w:tcW w:w="926" w:type="pct"/>
          <w:tcBorders>
            <w:top w:val="single" w:sz="2" w:space="0" w:color="007D55" w:themeColor="accent1"/>
          </w:tcBorders>
          <w:tcMar>
            <w:top w:w="113" w:type="dxa"/>
            <w:right w:w="0" w:type="dxa"/>
          </w:tcMar>
        </w:tcPr>
        <w:p w14:paraId="6C91DF17" w14:textId="77777777" w:rsidR="00704ADC" w:rsidRPr="00661DA6" w:rsidRDefault="00704ADC" w:rsidP="003D4A8B">
          <w:pPr>
            <w:pStyle w:val="Footer"/>
            <w:jc w:val="right"/>
          </w:pPr>
          <w:r>
            <w:fldChar w:fldCharType="begin"/>
          </w:r>
          <w:r>
            <w:instrText xml:space="preserve"> PAGE   \* MERGEFORMAT </w:instrText>
          </w:r>
          <w:r>
            <w:fldChar w:fldCharType="separate"/>
          </w:r>
          <w:r>
            <w:t>1</w:t>
          </w:r>
          <w:r>
            <w:rPr>
              <w:noProof/>
            </w:rPr>
            <w:fldChar w:fldCharType="end"/>
          </w:r>
        </w:p>
      </w:tc>
    </w:tr>
  </w:tbl>
  <w:p w14:paraId="300DB953" w14:textId="77777777" w:rsidR="00704ADC" w:rsidRPr="006902C0" w:rsidRDefault="00704ADC" w:rsidP="003D4A8B">
    <w:pPr>
      <w:pStyle w:val="HeaderSpac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05285" w14:textId="77777777" w:rsidR="008861B0" w:rsidRDefault="008861B0" w:rsidP="00066DE7">
      <w:r>
        <w:separator/>
      </w:r>
    </w:p>
    <w:p w14:paraId="4ABAAACE" w14:textId="77777777" w:rsidR="008861B0" w:rsidRDefault="008861B0"/>
  </w:footnote>
  <w:footnote w:type="continuationSeparator" w:id="0">
    <w:p w14:paraId="4C8EEC4F" w14:textId="77777777" w:rsidR="008861B0" w:rsidRDefault="008861B0" w:rsidP="00066DE7">
      <w:r>
        <w:continuationSeparator/>
      </w:r>
    </w:p>
    <w:p w14:paraId="220C693E" w14:textId="77777777" w:rsidR="008861B0" w:rsidRDefault="008861B0"/>
    <w:p w14:paraId="512E417F" w14:textId="77777777" w:rsidR="008861B0" w:rsidRDefault="008861B0"/>
    <w:p w14:paraId="76937409" w14:textId="77777777" w:rsidR="008861B0" w:rsidRDefault="008861B0"/>
    <w:p w14:paraId="11D76160" w14:textId="77777777" w:rsidR="008861B0" w:rsidRDefault="008861B0"/>
    <w:p w14:paraId="0EBF6D21" w14:textId="77777777" w:rsidR="008861B0" w:rsidRDefault="008861B0"/>
    <w:p w14:paraId="60CA48E1" w14:textId="77777777" w:rsidR="008861B0" w:rsidRDefault="008861B0"/>
    <w:p w14:paraId="4B5ABAED" w14:textId="77777777" w:rsidR="008861B0" w:rsidRDefault="008861B0"/>
    <w:p w14:paraId="72C1F21B" w14:textId="77777777" w:rsidR="008861B0" w:rsidRDefault="008861B0"/>
  </w:footnote>
  <w:footnote w:type="continuationNotice" w:id="1">
    <w:p w14:paraId="50481F37" w14:textId="77777777" w:rsidR="008861B0" w:rsidRDefault="008861B0">
      <w:pPr>
        <w:spacing w:line="240" w:lineRule="auto"/>
      </w:pPr>
    </w:p>
  </w:footnote>
  <w:footnote w:id="2">
    <w:p w14:paraId="1D7C5622" w14:textId="1C6B47C0" w:rsidR="008C7F1F" w:rsidRDefault="008C7F1F">
      <w:pPr>
        <w:pStyle w:val="FootnoteText"/>
      </w:pPr>
      <w:r>
        <w:rPr>
          <w:rStyle w:val="FootnoteReference"/>
        </w:rPr>
        <w:footnoteRef/>
      </w:r>
      <w:r>
        <w:t xml:space="preserve"> This does not reflect a sampling issue, as audit target selection is weighted towards high risk features such as waterway crossings.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3A4E0" w14:textId="77777777" w:rsidR="00372B54" w:rsidRDefault="00372B54" w:rsidP="002A0C7E">
    <w:r>
      <w:rPr>
        <w:noProof/>
      </w:rPr>
      <w:drawing>
        <wp:inline distT="0" distB="0" distL="0" distR="0" wp14:anchorId="40B74149" wp14:editId="515055C0">
          <wp:extent cx="1371600" cy="321107"/>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cobs_logo_rgb_BL.emf"/>
                  <pic:cNvPicPr/>
                </pic:nvPicPr>
                <pic:blipFill>
                  <a:blip r:embed="rId1">
                    <a:extLst>
                      <a:ext uri="{28A0092B-C50C-407E-A947-70E740481C1C}">
                        <a14:useLocalDpi xmlns:a14="http://schemas.microsoft.com/office/drawing/2010/main" val="0"/>
                      </a:ext>
                    </a:extLst>
                  </a:blip>
                  <a:stretch>
                    <a:fillRect/>
                  </a:stretch>
                </pic:blipFill>
                <pic:spPr>
                  <a:xfrm>
                    <a:off x="0" y="0"/>
                    <a:ext cx="1371600" cy="321107"/>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704ADC" w14:paraId="1B0821F8" w14:textId="77777777" w:rsidTr="008F48AA">
      <w:trPr>
        <w:trHeight w:val="851"/>
      </w:trPr>
      <w:tc>
        <w:tcPr>
          <w:tcW w:w="5000" w:type="pct"/>
          <w:tcMar>
            <w:left w:w="0" w:type="dxa"/>
          </w:tcMar>
          <w:vAlign w:val="bottom"/>
        </w:tcPr>
        <w:p w14:paraId="14BC68AB" w14:textId="74A69A98" w:rsidR="00704ADC" w:rsidRPr="00934315" w:rsidRDefault="00000000" w:rsidP="003D4A8B">
          <w:pPr>
            <w:pStyle w:val="Header"/>
          </w:pPr>
          <w:sdt>
            <w:sdtPr>
              <w:alias w:val="Document title"/>
              <w:tag w:val="Document title"/>
              <w:id w:val="-1286353743"/>
              <w:placeholder>
                <w:docPart w:val="8F1BF411868B4F2ABF8F4A739C948AEB"/>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220BE343" w14:textId="77777777" w:rsidR="00704ADC" w:rsidRPr="00E52712" w:rsidRDefault="00704ADC" w:rsidP="003D4A8B">
    <w:pPr>
      <w:pStyle w:val="HeaderSpac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C61A1D" w14:paraId="47BDE8F5" w14:textId="77777777" w:rsidTr="00614918">
      <w:trPr>
        <w:trHeight w:val="851"/>
      </w:trPr>
      <w:tc>
        <w:tcPr>
          <w:tcW w:w="5000" w:type="pct"/>
          <w:tcMar>
            <w:left w:w="0" w:type="dxa"/>
          </w:tcMar>
          <w:vAlign w:val="bottom"/>
        </w:tcPr>
        <w:p w14:paraId="09316A0B" w14:textId="43D96DF7" w:rsidR="00C61A1D" w:rsidRPr="00934315" w:rsidRDefault="00000000" w:rsidP="003D4A8B">
          <w:pPr>
            <w:pStyle w:val="Header"/>
          </w:pPr>
          <w:sdt>
            <w:sdtPr>
              <w:alias w:val="Document title"/>
              <w:tag w:val="Document title"/>
              <w:id w:val="1298253118"/>
              <w:placeholder>
                <w:docPart w:val="FE58711B747645A6A90E854D9D1DC68D"/>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5B9EEB59" w14:textId="77777777" w:rsidR="00C61A1D" w:rsidRPr="00E52712" w:rsidRDefault="00C61A1D" w:rsidP="003D4A8B">
    <w:pPr>
      <w:pStyle w:val="HeaderSpac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B36A05" w14:paraId="15729BB3" w14:textId="77777777" w:rsidTr="00BB12DE">
      <w:trPr>
        <w:trHeight w:val="851"/>
      </w:trPr>
      <w:tc>
        <w:tcPr>
          <w:tcW w:w="5000" w:type="pct"/>
          <w:tcMar>
            <w:left w:w="0" w:type="dxa"/>
          </w:tcMar>
          <w:vAlign w:val="bottom"/>
        </w:tcPr>
        <w:p w14:paraId="01041A53" w14:textId="7E6C112B" w:rsidR="00B36A05" w:rsidRPr="00934315" w:rsidRDefault="00000000" w:rsidP="00B64A2E">
          <w:pPr>
            <w:pStyle w:val="Header"/>
            <w:jc w:val="right"/>
          </w:pPr>
          <w:sdt>
            <w:sdtPr>
              <w:alias w:val="Document title"/>
              <w:tag w:val="Document title"/>
              <w:id w:val="1852988685"/>
              <w:placeholder>
                <w:docPart w:val="DB79BB1A84C74676A91B3F6D22066FA7"/>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68CBE8AF" w14:textId="77777777" w:rsidR="00B36A05" w:rsidRPr="00E52712" w:rsidRDefault="00B36A05" w:rsidP="00B64A2E">
    <w:pPr>
      <w:pStyle w:val="HeaderSpac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14570"/>
    </w:tblGrid>
    <w:tr w:rsidR="00B36A05" w14:paraId="5FA3E67F" w14:textId="77777777" w:rsidTr="003D4A8B">
      <w:trPr>
        <w:trHeight w:val="851"/>
      </w:trPr>
      <w:tc>
        <w:tcPr>
          <w:tcW w:w="5000" w:type="pct"/>
          <w:tcMar>
            <w:left w:w="0" w:type="dxa"/>
          </w:tcMar>
          <w:vAlign w:val="bottom"/>
        </w:tcPr>
        <w:p w14:paraId="42234F3E" w14:textId="0E20F9B6" w:rsidR="00B36A05" w:rsidRPr="00934315" w:rsidRDefault="00000000" w:rsidP="003D4A8B">
          <w:pPr>
            <w:pStyle w:val="Header"/>
          </w:pPr>
          <w:sdt>
            <w:sdtPr>
              <w:alias w:val="Document title"/>
              <w:tag w:val="Document title"/>
              <w:id w:val="-146051214"/>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2DCE8256" w14:textId="77777777" w:rsidR="00B36A05" w:rsidRPr="00E52712" w:rsidRDefault="00B36A05" w:rsidP="003D4A8B">
    <w:pPr>
      <w:pStyle w:val="HeaderSpac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38DF2" w14:textId="77777777" w:rsidR="00B36A05" w:rsidRPr="005516D1" w:rsidRDefault="00B36A05" w:rsidP="003E5FD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B36A05" w14:paraId="7F707E2C" w14:textId="77777777" w:rsidTr="00BB12DE">
      <w:trPr>
        <w:trHeight w:val="851"/>
      </w:trPr>
      <w:tc>
        <w:tcPr>
          <w:tcW w:w="5000" w:type="pct"/>
          <w:tcMar>
            <w:left w:w="0" w:type="dxa"/>
          </w:tcMar>
          <w:vAlign w:val="bottom"/>
        </w:tcPr>
        <w:p w14:paraId="5FB009B0" w14:textId="1D00186D" w:rsidR="00B36A05" w:rsidRPr="00934315" w:rsidRDefault="00000000" w:rsidP="00B64A2E">
          <w:pPr>
            <w:pStyle w:val="Header"/>
            <w:jc w:val="right"/>
          </w:pPr>
          <w:sdt>
            <w:sdtPr>
              <w:alias w:val="Document title"/>
              <w:tag w:val="Document title"/>
              <w:id w:val="-1137725057"/>
              <w:placeholder>
                <w:docPart w:val="095BCB95B2524C469F175CCA3312AE9F"/>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19A56B01" w14:textId="77777777" w:rsidR="00B36A05" w:rsidRPr="00E52712" w:rsidRDefault="00B36A05" w:rsidP="00B64A2E">
    <w:pPr>
      <w:pStyle w:val="HeaderSpac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B36A05" w14:paraId="716AE6B3" w14:textId="77777777" w:rsidTr="00614918">
      <w:trPr>
        <w:trHeight w:val="851"/>
      </w:trPr>
      <w:tc>
        <w:tcPr>
          <w:tcW w:w="5000" w:type="pct"/>
          <w:tcMar>
            <w:left w:w="0" w:type="dxa"/>
          </w:tcMar>
          <w:vAlign w:val="bottom"/>
        </w:tcPr>
        <w:p w14:paraId="06C29215" w14:textId="663BFD6A" w:rsidR="00B36A05" w:rsidRPr="00934315" w:rsidRDefault="00000000" w:rsidP="003D4A8B">
          <w:pPr>
            <w:pStyle w:val="Header"/>
          </w:pPr>
          <w:sdt>
            <w:sdtPr>
              <w:alias w:val="Document title"/>
              <w:tag w:val="Document title"/>
              <w:id w:val="1300031470"/>
              <w:placeholder>
                <w:docPart w:val="32F52D99413D465FB09DC0F4A3C0E6A2"/>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2D214E46" w14:textId="77777777" w:rsidR="00B36A05" w:rsidRPr="00E52712" w:rsidRDefault="00B36A05" w:rsidP="003D4A8B">
    <w:pPr>
      <w:pStyle w:val="HeaderSpac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27756" w14:textId="77777777" w:rsidR="00B36A05" w:rsidRPr="005516D1" w:rsidRDefault="00B36A05" w:rsidP="003E5FD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4F0387" w14:paraId="70A8D6B2" w14:textId="77777777" w:rsidTr="00BB12DE">
      <w:trPr>
        <w:trHeight w:val="851"/>
      </w:trPr>
      <w:tc>
        <w:tcPr>
          <w:tcW w:w="5000" w:type="pct"/>
          <w:tcMar>
            <w:left w:w="0" w:type="dxa"/>
          </w:tcMar>
          <w:vAlign w:val="bottom"/>
        </w:tcPr>
        <w:p w14:paraId="41122882" w14:textId="04F48E9A" w:rsidR="004F0387" w:rsidRPr="00934315" w:rsidRDefault="00000000" w:rsidP="00B64A2E">
          <w:pPr>
            <w:pStyle w:val="Header"/>
            <w:jc w:val="right"/>
          </w:pPr>
          <w:sdt>
            <w:sdtPr>
              <w:alias w:val="Document title"/>
              <w:tag w:val="Document title"/>
              <w:id w:val="-964119954"/>
              <w:placeholder>
                <w:docPart w:val="8D8673D27CC44F298BC31B6D7BE1EB9D"/>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184151D8" w14:textId="77777777" w:rsidR="004F0387" w:rsidRPr="00E52712" w:rsidRDefault="004F0387" w:rsidP="00B64A2E">
    <w:pPr>
      <w:pStyle w:val="HeaderSpac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14570"/>
    </w:tblGrid>
    <w:tr w:rsidR="004F0387" w14:paraId="12D36AA2" w14:textId="77777777" w:rsidTr="00FB2E1B">
      <w:trPr>
        <w:trHeight w:val="851"/>
      </w:trPr>
      <w:tc>
        <w:tcPr>
          <w:tcW w:w="5000" w:type="pct"/>
          <w:tcMar>
            <w:left w:w="0" w:type="dxa"/>
          </w:tcMar>
          <w:vAlign w:val="bottom"/>
        </w:tcPr>
        <w:p w14:paraId="6FFE88CF" w14:textId="36588396" w:rsidR="004F0387" w:rsidRPr="00934315" w:rsidRDefault="00000000" w:rsidP="00FB2E1B">
          <w:pPr>
            <w:pStyle w:val="Header"/>
          </w:pPr>
          <w:sdt>
            <w:sdtPr>
              <w:alias w:val="Document title"/>
              <w:tag w:val="Document title"/>
              <w:id w:val="2115008938"/>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53AE7F06" w14:textId="77777777" w:rsidR="004F0387" w:rsidRPr="00E52712" w:rsidRDefault="004F0387" w:rsidP="00FB2E1B">
    <w:pPr>
      <w:pStyle w:val="HeaderSpac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8EDED" w14:textId="77777777" w:rsidR="00B05C84" w:rsidRDefault="00B05C8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7F551" w14:textId="77777777" w:rsidR="004F0387" w:rsidRPr="005516D1" w:rsidRDefault="004F0387" w:rsidP="003E5FD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4F0387" w14:paraId="65737FB5" w14:textId="77777777" w:rsidTr="00BB12DE">
      <w:trPr>
        <w:trHeight w:val="851"/>
      </w:trPr>
      <w:tc>
        <w:tcPr>
          <w:tcW w:w="5000" w:type="pct"/>
          <w:tcMar>
            <w:left w:w="0" w:type="dxa"/>
          </w:tcMar>
          <w:vAlign w:val="bottom"/>
        </w:tcPr>
        <w:p w14:paraId="2541B96E" w14:textId="65343554" w:rsidR="004F0387" w:rsidRPr="00934315" w:rsidRDefault="00000000" w:rsidP="00B64A2E">
          <w:pPr>
            <w:pStyle w:val="Header"/>
            <w:jc w:val="right"/>
          </w:pPr>
          <w:sdt>
            <w:sdtPr>
              <w:alias w:val="Document title"/>
              <w:tag w:val="Document title"/>
              <w:id w:val="-2052911643"/>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1AF73F4A" w14:textId="77777777" w:rsidR="004F0387" w:rsidRPr="00E52712" w:rsidRDefault="004F0387" w:rsidP="00B64A2E">
    <w:pPr>
      <w:pStyle w:val="HeaderSpac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4F0387" w14:paraId="262DDA93" w14:textId="77777777" w:rsidTr="00614918">
      <w:trPr>
        <w:trHeight w:val="851"/>
      </w:trPr>
      <w:tc>
        <w:tcPr>
          <w:tcW w:w="5000" w:type="pct"/>
          <w:tcMar>
            <w:left w:w="0" w:type="dxa"/>
          </w:tcMar>
          <w:vAlign w:val="bottom"/>
        </w:tcPr>
        <w:p w14:paraId="55AE98EF" w14:textId="2A573632" w:rsidR="004F0387" w:rsidRPr="00934315" w:rsidRDefault="00000000" w:rsidP="003D4A8B">
          <w:pPr>
            <w:pStyle w:val="Header"/>
          </w:pPr>
          <w:sdt>
            <w:sdtPr>
              <w:alias w:val="Document title"/>
              <w:tag w:val="Document title"/>
              <w:id w:val="-561646154"/>
              <w:placeholder>
                <w:docPart w:val="1166C7B2BDB448CC8992ED5199F3DA90"/>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4826F366" w14:textId="77777777" w:rsidR="004F0387" w:rsidRPr="00E52712" w:rsidRDefault="004F0387" w:rsidP="003D4A8B">
    <w:pPr>
      <w:pStyle w:val="HeaderSpac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EAE58" w14:textId="77777777" w:rsidR="004F0387" w:rsidRPr="005516D1" w:rsidRDefault="004F0387" w:rsidP="003E5FD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3D51D9" w14:paraId="37326F10" w14:textId="77777777" w:rsidTr="00BB12DE">
      <w:trPr>
        <w:trHeight w:val="851"/>
      </w:trPr>
      <w:tc>
        <w:tcPr>
          <w:tcW w:w="5000" w:type="pct"/>
          <w:tcMar>
            <w:left w:w="0" w:type="dxa"/>
          </w:tcMar>
          <w:vAlign w:val="bottom"/>
        </w:tcPr>
        <w:p w14:paraId="25C950EE" w14:textId="4BD2F30E" w:rsidR="003D51D9" w:rsidRPr="00934315" w:rsidRDefault="00000000" w:rsidP="00B64A2E">
          <w:pPr>
            <w:pStyle w:val="Header"/>
            <w:jc w:val="right"/>
          </w:pPr>
          <w:sdt>
            <w:sdtPr>
              <w:alias w:val="Document title"/>
              <w:tag w:val="Document title"/>
              <w:id w:val="1270127524"/>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24DB7FEC" w14:textId="77777777" w:rsidR="003D51D9" w:rsidRPr="00E52712" w:rsidRDefault="003D51D9" w:rsidP="00B64A2E">
    <w:pPr>
      <w:pStyle w:val="HeaderSpac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14570"/>
    </w:tblGrid>
    <w:tr w:rsidR="003D51D9" w14:paraId="28520E98" w14:textId="77777777" w:rsidTr="00FB2E1B">
      <w:trPr>
        <w:trHeight w:val="851"/>
      </w:trPr>
      <w:tc>
        <w:tcPr>
          <w:tcW w:w="5000" w:type="pct"/>
          <w:tcMar>
            <w:left w:w="0" w:type="dxa"/>
          </w:tcMar>
          <w:vAlign w:val="bottom"/>
        </w:tcPr>
        <w:p w14:paraId="58A40B4B" w14:textId="2312FDBF" w:rsidR="003D51D9" w:rsidRPr="00934315" w:rsidRDefault="00000000" w:rsidP="00FB2E1B">
          <w:pPr>
            <w:pStyle w:val="Header"/>
          </w:pPr>
          <w:sdt>
            <w:sdtPr>
              <w:alias w:val="Document title"/>
              <w:tag w:val="Document title"/>
              <w:id w:val="-583301340"/>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6F06A898" w14:textId="77777777" w:rsidR="003D51D9" w:rsidRPr="00E52712" w:rsidRDefault="003D51D9" w:rsidP="00FB2E1B">
    <w:pPr>
      <w:pStyle w:val="HeaderSpac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6B294" w14:textId="77777777" w:rsidR="003D51D9" w:rsidRPr="005516D1" w:rsidRDefault="003D51D9" w:rsidP="003E5FD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3D51D9" w14:paraId="0114D20F" w14:textId="77777777" w:rsidTr="00BB12DE">
      <w:trPr>
        <w:trHeight w:val="851"/>
      </w:trPr>
      <w:tc>
        <w:tcPr>
          <w:tcW w:w="5000" w:type="pct"/>
          <w:tcMar>
            <w:left w:w="0" w:type="dxa"/>
          </w:tcMar>
          <w:vAlign w:val="bottom"/>
        </w:tcPr>
        <w:p w14:paraId="52FAF84F" w14:textId="6C45B934" w:rsidR="003D51D9" w:rsidRPr="00934315" w:rsidRDefault="00000000" w:rsidP="00B64A2E">
          <w:pPr>
            <w:pStyle w:val="Header"/>
            <w:jc w:val="right"/>
          </w:pPr>
          <w:sdt>
            <w:sdtPr>
              <w:alias w:val="Document title"/>
              <w:tag w:val="Document title"/>
              <w:id w:val="-34577755"/>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16CB3762" w14:textId="77777777" w:rsidR="003D51D9" w:rsidRPr="00E52712" w:rsidRDefault="003D51D9" w:rsidP="00B64A2E">
    <w:pPr>
      <w:pStyle w:val="HeaderSpac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3D51D9" w14:paraId="3623B1C5" w14:textId="77777777" w:rsidTr="00614918">
      <w:trPr>
        <w:trHeight w:val="851"/>
      </w:trPr>
      <w:tc>
        <w:tcPr>
          <w:tcW w:w="5000" w:type="pct"/>
          <w:tcMar>
            <w:left w:w="0" w:type="dxa"/>
          </w:tcMar>
          <w:vAlign w:val="bottom"/>
        </w:tcPr>
        <w:p w14:paraId="7CC895B1" w14:textId="65662E8A" w:rsidR="003D51D9" w:rsidRPr="00934315" w:rsidRDefault="00000000" w:rsidP="003D4A8B">
          <w:pPr>
            <w:pStyle w:val="Header"/>
          </w:pPr>
          <w:sdt>
            <w:sdtPr>
              <w:alias w:val="Document title"/>
              <w:tag w:val="Document title"/>
              <w:id w:val="-1397423810"/>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1267AB5C" w14:textId="77777777" w:rsidR="003D51D9" w:rsidRPr="00E52712" w:rsidRDefault="003D51D9" w:rsidP="003D4A8B">
    <w:pPr>
      <w:pStyle w:val="HeaderSpac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9BCA" w14:textId="77777777" w:rsidR="003D51D9" w:rsidRPr="005516D1" w:rsidRDefault="003D51D9" w:rsidP="003E5FD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B79D9" w14:textId="6D9AB49D" w:rsidR="00372B54" w:rsidRDefault="003D51D9" w:rsidP="003D4A8B">
    <w:pPr>
      <w:pStyle w:val="Header"/>
      <w:tabs>
        <w:tab w:val="left" w:pos="3829"/>
        <w:tab w:val="left" w:pos="4150"/>
      </w:tabs>
      <w:jc w:val="right"/>
    </w:pPr>
    <w:r>
      <w:rPr>
        <w:noProof/>
      </w:rPr>
      <w:drawing>
        <wp:inline distT="0" distB="0" distL="0" distR="0" wp14:anchorId="630FE1F2" wp14:editId="4B256170">
          <wp:extent cx="1978152" cy="457200"/>
          <wp:effectExtent l="0" t="0" r="3175" b="0"/>
          <wp:docPr id="8" name="Picture 8" descr="Brand Cover Logo"/>
          <wp:cNvGraphicFramePr/>
          <a:graphic xmlns:a="http://schemas.openxmlformats.org/drawingml/2006/main">
            <a:graphicData uri="http://schemas.openxmlformats.org/drawingml/2006/picture">
              <pic:pic xmlns:pic="http://schemas.openxmlformats.org/drawingml/2006/picture">
                <pic:nvPicPr>
                  <pic:cNvPr id="8" name="Picture 8"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44FE4762" w14:textId="77777777" w:rsidR="00372B54" w:rsidRDefault="00372B54" w:rsidP="00D676D9">
    <w:pPr>
      <w:pStyle w:val="Header"/>
      <w:tabs>
        <w:tab w:val="left" w:pos="4150"/>
      </w:tabs>
      <w:jc w:val="righ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704ADC" w14:paraId="47E3DB24" w14:textId="77777777" w:rsidTr="003D4237">
      <w:trPr>
        <w:trHeight w:val="851"/>
      </w:trPr>
      <w:tc>
        <w:tcPr>
          <w:tcW w:w="5000" w:type="pct"/>
          <w:tcMar>
            <w:left w:w="0" w:type="dxa"/>
          </w:tcMar>
          <w:vAlign w:val="bottom"/>
        </w:tcPr>
        <w:p w14:paraId="2303125A" w14:textId="52438C7A" w:rsidR="00704ADC" w:rsidRPr="00934315" w:rsidRDefault="00000000" w:rsidP="003D4A8B">
          <w:pPr>
            <w:pStyle w:val="Header"/>
          </w:pPr>
          <w:sdt>
            <w:sdtPr>
              <w:alias w:val="Document title"/>
              <w:tag w:val="Document title"/>
              <w:id w:val="332272327"/>
              <w:placeholder>
                <w:docPart w:val="9DDB85735AF84940A8FA98FDAA0A4786"/>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0B5AC2C2" w14:textId="77777777" w:rsidR="00704ADC" w:rsidRPr="00E52712" w:rsidRDefault="00704ADC" w:rsidP="003D4A8B">
    <w:pPr>
      <w:pStyle w:val="HeaderSpac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6D99A" w14:textId="0EF0D222" w:rsidR="00A8503A" w:rsidRPr="00A8503A" w:rsidRDefault="003D51D9" w:rsidP="00F916F3">
    <w:pPr>
      <w:pStyle w:val="Header"/>
      <w:jc w:val="right"/>
    </w:pPr>
    <w:r>
      <w:rPr>
        <w:noProof/>
      </w:rPr>
      <w:drawing>
        <wp:inline distT="0" distB="0" distL="0" distR="0" wp14:anchorId="47BA2736" wp14:editId="30AD8DC9">
          <wp:extent cx="1978152" cy="457200"/>
          <wp:effectExtent l="0" t="0" r="3175" b="0"/>
          <wp:docPr id="2" name="Picture 2" descr="Brand Cover Logo"/>
          <wp:cNvGraphicFramePr/>
          <a:graphic xmlns:a="http://schemas.openxmlformats.org/drawingml/2006/main">
            <a:graphicData uri="http://schemas.openxmlformats.org/drawingml/2006/picture">
              <pic:pic xmlns:pic="http://schemas.openxmlformats.org/drawingml/2006/picture">
                <pic:nvPicPr>
                  <pic:cNvPr id="2" name="Picture 2"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2BA6DE96" w14:textId="77777777" w:rsidR="00A8503A" w:rsidRPr="00A8503A" w:rsidRDefault="00A8503A" w:rsidP="00A8503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A16DE" w14:textId="05683576" w:rsidR="00894C74" w:rsidRDefault="003D51D9" w:rsidP="00046B55">
    <w:pPr>
      <w:pStyle w:val="HeaderSpacer"/>
      <w:jc w:val="right"/>
    </w:pPr>
    <w:r>
      <w:rPr>
        <w:noProof/>
      </w:rPr>
      <w:drawing>
        <wp:inline distT="0" distB="0" distL="0" distR="0" wp14:anchorId="09D7ADFD" wp14:editId="18D411C6">
          <wp:extent cx="1978152" cy="457200"/>
          <wp:effectExtent l="0" t="0" r="3175" b="0"/>
          <wp:docPr id="6" name="Picture 6" descr="Brand Cover Logo"/>
          <wp:cNvGraphicFramePr/>
          <a:graphic xmlns:a="http://schemas.openxmlformats.org/drawingml/2006/main">
            <a:graphicData uri="http://schemas.openxmlformats.org/drawingml/2006/picture">
              <pic:pic xmlns:pic="http://schemas.openxmlformats.org/drawingml/2006/picture">
                <pic:nvPicPr>
                  <pic:cNvPr id="6" name="Picture 6"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146C2089" w14:textId="77777777" w:rsidR="00894C74" w:rsidRPr="00017D9E" w:rsidRDefault="00894C74" w:rsidP="00A8503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8E8CB" w14:textId="77777777" w:rsidR="00547F9A" w:rsidRPr="005516D1" w:rsidRDefault="00547F9A" w:rsidP="003E5FD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B64A2E" w14:paraId="595D7970" w14:textId="77777777" w:rsidTr="00BB12DE">
      <w:trPr>
        <w:trHeight w:val="851"/>
      </w:trPr>
      <w:tc>
        <w:tcPr>
          <w:tcW w:w="5000" w:type="pct"/>
          <w:tcMar>
            <w:left w:w="0" w:type="dxa"/>
          </w:tcMar>
          <w:vAlign w:val="bottom"/>
        </w:tcPr>
        <w:p w14:paraId="6615474E" w14:textId="474F696D" w:rsidR="00B64A2E" w:rsidRPr="00934315" w:rsidRDefault="00000000" w:rsidP="00B64A2E">
          <w:pPr>
            <w:pStyle w:val="Header"/>
            <w:jc w:val="right"/>
          </w:pPr>
          <w:sdt>
            <w:sdtPr>
              <w:alias w:val="Document title"/>
              <w:tag w:val="Document title"/>
              <w:id w:val="658500831"/>
              <w:placeholder>
                <w:docPart w:val="B4819E3238394F2B920C9A68BE5CBF69"/>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7208B26C" w14:textId="77777777" w:rsidR="00B64A2E" w:rsidRPr="00E52712" w:rsidRDefault="00B64A2E" w:rsidP="00B64A2E">
    <w:pPr>
      <w:pStyle w:val="HeaderSpac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B64A2E" w14:paraId="1F0601E7" w14:textId="77777777" w:rsidTr="00CC51F0">
      <w:trPr>
        <w:trHeight w:val="851"/>
      </w:trPr>
      <w:tc>
        <w:tcPr>
          <w:tcW w:w="5000" w:type="pct"/>
          <w:tcMar>
            <w:left w:w="0" w:type="dxa"/>
          </w:tcMar>
          <w:vAlign w:val="bottom"/>
        </w:tcPr>
        <w:bookmarkStart w:id="19" w:name="_Hlk64878789"/>
        <w:bookmarkStart w:id="20" w:name="_Hlk64878790"/>
        <w:bookmarkStart w:id="21" w:name="_Hlk64878791"/>
        <w:bookmarkStart w:id="22" w:name="_Hlk64878792"/>
        <w:bookmarkStart w:id="23" w:name="_Hlk64878793"/>
        <w:bookmarkStart w:id="24" w:name="_Hlk64878794"/>
        <w:bookmarkStart w:id="25" w:name="_Hlk64878805"/>
        <w:bookmarkStart w:id="26" w:name="_Hlk64878806"/>
        <w:bookmarkStart w:id="27" w:name="_Hlk64878807"/>
        <w:bookmarkStart w:id="28" w:name="_Hlk64878808"/>
        <w:bookmarkStart w:id="29" w:name="_Hlk64878809"/>
        <w:bookmarkStart w:id="30" w:name="_Hlk64878810"/>
        <w:bookmarkStart w:id="31" w:name="_Hlk64878842"/>
        <w:bookmarkStart w:id="32" w:name="_Hlk64878843"/>
        <w:bookmarkStart w:id="33" w:name="_Hlk64878844"/>
        <w:bookmarkStart w:id="34" w:name="_Hlk64878845"/>
        <w:bookmarkStart w:id="35" w:name="_Hlk64878846"/>
        <w:bookmarkStart w:id="36" w:name="_Hlk64878847"/>
        <w:bookmarkStart w:id="37" w:name="_Hlk64878866"/>
        <w:bookmarkStart w:id="38" w:name="_Hlk64878867"/>
        <w:bookmarkStart w:id="39" w:name="_Hlk64878868"/>
        <w:bookmarkStart w:id="40" w:name="_Hlk64878869"/>
        <w:bookmarkStart w:id="41" w:name="_Hlk64878870"/>
        <w:bookmarkStart w:id="42" w:name="_Hlk64878871"/>
        <w:bookmarkStart w:id="43" w:name="_Hlk64878889"/>
        <w:bookmarkStart w:id="44" w:name="_Hlk64878890"/>
        <w:bookmarkStart w:id="45" w:name="_Hlk64878891"/>
        <w:bookmarkStart w:id="46" w:name="_Hlk64878892"/>
        <w:bookmarkStart w:id="47" w:name="_Hlk64878893"/>
        <w:bookmarkStart w:id="48" w:name="_Hlk64878894"/>
        <w:bookmarkStart w:id="49" w:name="_Hlk64878905"/>
        <w:bookmarkStart w:id="50" w:name="_Hlk64878906"/>
        <w:bookmarkStart w:id="51" w:name="_Hlk64878907"/>
        <w:bookmarkStart w:id="52" w:name="_Hlk64878908"/>
        <w:bookmarkStart w:id="53" w:name="_Hlk64878909"/>
        <w:bookmarkStart w:id="54" w:name="_Hlk64878910"/>
        <w:p w14:paraId="0BE9AFB2" w14:textId="409B46D3" w:rsidR="00B64A2E" w:rsidRPr="00934315" w:rsidRDefault="00000000" w:rsidP="003D4A8B">
          <w:pPr>
            <w:pStyle w:val="Header"/>
          </w:pPr>
          <w:sdt>
            <w:sdtPr>
              <w:alias w:val="Document title"/>
              <w:tag w:val="Document title"/>
              <w:id w:val="1455299655"/>
              <w:placeholder>
                <w:docPart w:val="F975C42BA9C6495185C46725D901DD20"/>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tbl>
  <w:p w14:paraId="4483C446" w14:textId="77777777" w:rsidR="00B64A2E" w:rsidRPr="00E52712" w:rsidRDefault="00B64A2E" w:rsidP="003D4A8B">
    <w:pPr>
      <w:pStyle w:val="HeaderSpac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007D55"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704ADC" w14:paraId="4B384A5B" w14:textId="77777777" w:rsidTr="004D778B">
      <w:trPr>
        <w:trHeight w:val="851"/>
      </w:trPr>
      <w:tc>
        <w:tcPr>
          <w:tcW w:w="5000" w:type="pct"/>
          <w:tcMar>
            <w:left w:w="0" w:type="dxa"/>
          </w:tcMar>
          <w:vAlign w:val="bottom"/>
        </w:tcPr>
        <w:p w14:paraId="5096FB6C" w14:textId="161BF1AB" w:rsidR="00704ADC" w:rsidRPr="00934315" w:rsidRDefault="00000000" w:rsidP="003D4A8B">
          <w:pPr>
            <w:pStyle w:val="Header"/>
          </w:pPr>
          <w:sdt>
            <w:sdtPr>
              <w:alias w:val="Document title"/>
              <w:tag w:val="Document title"/>
              <w:id w:val="696896672"/>
              <w:placeholder>
                <w:docPart w:val="4E6644A5109D4A5A9154A109AE01E149"/>
              </w:placeholder>
              <w:dataBinding w:xpath="/*[local-name()='root']/*[local-name()='DocumentTitle']" w:storeItemID="{8F33FB8F-8118-4915-86A8-F93B7C2B254E}"/>
              <w:text/>
            </w:sdtPr>
            <w:sdtContent>
              <w:r w:rsidR="00E2694E">
                <w:t>Audit of timber harvesting operations in Victoria’s State forests: Report of the 2022 Forest Audit Program</w:t>
              </w:r>
            </w:sdtContent>
          </w:sdt>
        </w:p>
      </w:tc>
    </w:tr>
  </w:tbl>
  <w:p w14:paraId="49896305" w14:textId="77777777" w:rsidR="00704ADC" w:rsidRPr="00E52712" w:rsidRDefault="00704ADC" w:rsidP="003D4A8B">
    <w:pPr>
      <w:pStyle w:val="HeaderSpac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262C1"/>
    <w:multiLevelType w:val="multilevel"/>
    <w:tmpl w:val="2DE4E372"/>
    <w:styleLink w:val="JacobsSequential111Format"/>
    <w:lvl w:ilvl="0">
      <w:start w:val="1"/>
      <w:numFmt w:val="decimal"/>
      <w:lvlText w:val="%1."/>
      <w:lvlJc w:val="left"/>
      <w:pPr>
        <w:ind w:left="1134" w:hanging="1134"/>
      </w:pPr>
      <w:rPr>
        <w:rFonts w:ascii="Jacobs Chronos" w:hAnsi="Jacobs Chronos" w:hint="default"/>
        <w:b/>
        <w:i w:val="0"/>
        <w:sz w:val="32"/>
      </w:rPr>
    </w:lvl>
    <w:lvl w:ilvl="1">
      <w:start w:val="1"/>
      <w:numFmt w:val="decimal"/>
      <w:lvlText w:val="%1.%2"/>
      <w:lvlJc w:val="left"/>
      <w:pPr>
        <w:ind w:left="1134" w:hanging="1134"/>
      </w:pPr>
      <w:rPr>
        <w:rFonts w:ascii="Jacobs Chronos" w:hAnsi="Jacobs Chronos" w:hint="default"/>
        <w:b/>
        <w:i w:val="0"/>
        <w:sz w:val="30"/>
      </w:rPr>
    </w:lvl>
    <w:lvl w:ilvl="2">
      <w:start w:val="1"/>
      <w:numFmt w:val="decimal"/>
      <w:lvlRestart w:val="1"/>
      <w:lvlText w:val="%1.%2.%3"/>
      <w:lvlJc w:val="left"/>
      <w:pPr>
        <w:ind w:left="1134" w:hanging="1134"/>
      </w:pPr>
      <w:rPr>
        <w:rFonts w:ascii="Jacobs Chronos" w:hAnsi="Jacobs Chronos" w:hint="default"/>
        <w:b/>
        <w:i w:val="0"/>
        <w:sz w:val="28"/>
      </w:rPr>
    </w:lvl>
    <w:lvl w:ilvl="3">
      <w:start w:val="1"/>
      <w:numFmt w:val="decimal"/>
      <w:lvlText w:val="%1.%2.%3.%4"/>
      <w:lvlJc w:val="left"/>
      <w:pPr>
        <w:ind w:left="1134" w:hanging="1134"/>
      </w:pPr>
      <w:rPr>
        <w:rFonts w:ascii="Jacobs Chronos Light" w:hAnsi="Jacobs Chronos Light" w:hint="default"/>
        <w:b/>
        <w:i w:val="0"/>
        <w:sz w:val="26"/>
      </w:rPr>
    </w:lvl>
    <w:lvl w:ilvl="4">
      <w:start w:val="1"/>
      <w:numFmt w:val="decimal"/>
      <w:lvlText w:val="%1.%2.%3.%4.%5"/>
      <w:lvlJc w:val="left"/>
      <w:pPr>
        <w:ind w:left="1134" w:hanging="1134"/>
      </w:pPr>
      <w:rPr>
        <w:rFonts w:ascii="Jacobs Chronos Light" w:hAnsi="Jacobs Chronos Light" w:hint="default"/>
        <w:b/>
        <w:i w:val="0"/>
        <w:sz w:val="24"/>
      </w:rPr>
    </w:lvl>
    <w:lvl w:ilvl="5">
      <w:start w:val="1"/>
      <w:numFmt w:val="decimal"/>
      <w:lvlText w:val="%1.%2.%3.%4.%5.%6"/>
      <w:lvlJc w:val="left"/>
      <w:pPr>
        <w:ind w:left="1134" w:hanging="1134"/>
      </w:pPr>
      <w:rPr>
        <w:rFonts w:ascii="Jacobs Chronos Light" w:hAnsi="Jacobs Chronos Light" w:hint="default"/>
        <w:b/>
        <w:i w:val="0"/>
        <w:sz w:val="22"/>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9."/>
      <w:lvlJc w:val="left"/>
      <w:pPr>
        <w:ind w:left="1134" w:hanging="1134"/>
      </w:pPr>
      <w:rPr>
        <w:rFonts w:hint="default"/>
        <w:b/>
        <w:i w:val="0"/>
        <w:color w:val="auto"/>
        <w:sz w:val="32"/>
      </w:rPr>
    </w:lvl>
  </w:abstractNum>
  <w:abstractNum w:abstractNumId="1" w15:restartNumberingAfterBreak="0">
    <w:nsid w:val="07CE24F7"/>
    <w:multiLevelType w:val="multilevel"/>
    <w:tmpl w:val="E9E46496"/>
    <w:styleLink w:val="TableBullets"/>
    <w:lvl w:ilvl="0">
      <w:start w:val="1"/>
      <w:numFmt w:val="bullet"/>
      <w:pStyle w:val="TableBullet"/>
      <w:lvlText w:val=""/>
      <w:lvlJc w:val="left"/>
      <w:pPr>
        <w:ind w:left="284" w:hanging="284"/>
      </w:pPr>
      <w:rPr>
        <w:rFonts w:ascii="Wingdings" w:hAnsi="Wingdings" w:cs="Times New Roman" w:hint="default"/>
      </w:rPr>
    </w:lvl>
    <w:lvl w:ilvl="1">
      <w:start w:val="1"/>
      <w:numFmt w:val="bullet"/>
      <w:pStyle w:val="TableBullet2"/>
      <w:lvlText w:val="-"/>
      <w:lvlJc w:val="left"/>
      <w:pPr>
        <w:ind w:left="567" w:hanging="283"/>
      </w:pPr>
      <w:rPr>
        <w:rFonts w:ascii="Arial" w:hAnsi="Arial" w:cs="Arial" w:hint="default"/>
      </w:rPr>
    </w:lvl>
    <w:lvl w:ilvl="2">
      <w:start w:val="1"/>
      <w:numFmt w:val="bullet"/>
      <w:pStyle w:val="TableBullet3"/>
      <w:lvlText w:val=""/>
      <w:lvlJc w:val="left"/>
      <w:pPr>
        <w:ind w:left="851" w:hanging="284"/>
      </w:pPr>
      <w:rPr>
        <w:rFonts w:ascii="Wingdings" w:hAnsi="Wingdings"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A982D84"/>
    <w:multiLevelType w:val="multilevel"/>
    <w:tmpl w:val="633A2704"/>
    <w:styleLink w:val="JacobsTableNumbersList"/>
    <w:lvl w:ilvl="0">
      <w:start w:val="1"/>
      <w:numFmt w:val="decimal"/>
      <w:lvlText w:val="%1."/>
      <w:lvlJc w:val="left"/>
      <w:pPr>
        <w:ind w:left="284" w:hanging="284"/>
      </w:pPr>
      <w:rPr>
        <w:rFonts w:asciiTheme="minorHAnsi" w:hAnsiTheme="minorHAnsi" w:hint="default"/>
        <w:b w:val="0"/>
        <w:i w:val="0"/>
        <w:color w:val="auto"/>
        <w:sz w:val="18"/>
      </w:rPr>
    </w:lvl>
    <w:lvl w:ilvl="1">
      <w:start w:val="1"/>
      <w:numFmt w:val="lowerLetter"/>
      <w:lvlText w:val="%2. "/>
      <w:lvlJc w:val="left"/>
      <w:pPr>
        <w:tabs>
          <w:tab w:val="num" w:pos="284"/>
        </w:tabs>
        <w:ind w:left="567" w:hanging="283"/>
      </w:pPr>
      <w:rPr>
        <w:rFonts w:asciiTheme="minorHAnsi" w:hAnsiTheme="minorHAnsi" w:hint="default"/>
        <w:b w:val="0"/>
        <w:i w:val="0"/>
        <w:color w:val="auto"/>
        <w:sz w:val="18"/>
      </w:rPr>
    </w:lvl>
    <w:lvl w:ilvl="2">
      <w:start w:val="1"/>
      <w:numFmt w:val="lowerRoman"/>
      <w:lvlText w:val="%3"/>
      <w:lvlJc w:val="left"/>
      <w:pPr>
        <w:tabs>
          <w:tab w:val="num" w:pos="567"/>
        </w:tabs>
        <w:ind w:left="851" w:hanging="284"/>
      </w:pPr>
      <w:rPr>
        <w:rFonts w:asciiTheme="minorHAnsi" w:hAnsiTheme="minorHAnsi" w:hint="default"/>
        <w:b w:val="0"/>
        <w:i w:val="0"/>
        <w:sz w:val="18"/>
      </w:rPr>
    </w:lvl>
    <w:lvl w:ilvl="3">
      <w:start w:val="1"/>
      <w:numFmt w:val="none"/>
      <w:lvlText w:val=""/>
      <w:lvlJc w:val="left"/>
      <w:pPr>
        <w:ind w:left="0" w:firstLine="0"/>
      </w:pPr>
      <w:rPr>
        <w:rFonts w:asciiTheme="minorHAnsi" w:hAnsiTheme="minorHAnsi" w:hint="default"/>
        <w:b w:val="0"/>
        <w:i w:val="0"/>
        <w:sz w:val="20"/>
      </w:rPr>
    </w:lvl>
    <w:lvl w:ilvl="4">
      <w:start w:val="1"/>
      <w:numFmt w:val="none"/>
      <w:lvlText w:val=""/>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3" w15:restartNumberingAfterBreak="0">
    <w:nsid w:val="0B4C097B"/>
    <w:multiLevelType w:val="multilevel"/>
    <w:tmpl w:val="6D0608D6"/>
    <w:styleLink w:val="JacobsSingleSequentialList"/>
    <w:lvl w:ilvl="0">
      <w:start w:val="1"/>
      <w:numFmt w:val="decimal"/>
      <w:lvlText w:val="%1."/>
      <w:lvlJc w:val="left"/>
      <w:pPr>
        <w:ind w:left="851" w:hanging="851"/>
      </w:pPr>
      <w:rPr>
        <w:rFonts w:asciiTheme="majorHAnsi" w:hAnsiTheme="majorHAnsi" w:hint="default"/>
        <w:sz w:val="20"/>
      </w:rPr>
    </w:lvl>
    <w:lvl w:ilvl="1">
      <w:start w:val="1"/>
      <w:numFmt w:val="none"/>
      <w:lvlText w:val=""/>
      <w:lvlJc w:val="left"/>
      <w:pPr>
        <w:ind w:left="851" w:hanging="851"/>
      </w:pPr>
      <w:rPr>
        <w:rFonts w:hint="default"/>
      </w:rPr>
    </w:lvl>
    <w:lvl w:ilvl="2">
      <w:start w:val="1"/>
      <w:numFmt w:val="none"/>
      <w:lvlText w:val=""/>
      <w:lvlJc w:val="left"/>
      <w:pPr>
        <w:ind w:left="851" w:hanging="851"/>
      </w:pPr>
      <w:rPr>
        <w:rFonts w:hint="default"/>
      </w:rPr>
    </w:lvl>
    <w:lvl w:ilvl="3">
      <w:start w:val="1"/>
      <w:numFmt w:val="none"/>
      <w:lvlText w:val=""/>
      <w:lvlJc w:val="left"/>
      <w:pPr>
        <w:ind w:left="851" w:hanging="851"/>
      </w:pPr>
      <w:rPr>
        <w:rFonts w:hint="default"/>
      </w:rPr>
    </w:lvl>
    <w:lvl w:ilvl="4">
      <w:start w:val="1"/>
      <w:numFmt w:val="none"/>
      <w:lvlText w:val=""/>
      <w:lvlJc w:val="left"/>
      <w:pPr>
        <w:ind w:left="851" w:hanging="851"/>
      </w:pPr>
      <w:rPr>
        <w:rFonts w:hint="default"/>
      </w:rPr>
    </w:lvl>
    <w:lvl w:ilvl="5">
      <w:start w:val="1"/>
      <w:numFmt w:val="none"/>
      <w:lvlText w:val=""/>
      <w:lvlJc w:val="left"/>
      <w:pPr>
        <w:ind w:left="851" w:hanging="851"/>
      </w:pPr>
      <w:rPr>
        <w:rFonts w:hint="default"/>
      </w:rPr>
    </w:lvl>
    <w:lvl w:ilvl="6">
      <w:start w:val="1"/>
      <w:numFmt w:val="none"/>
      <w:lvlText w:val=""/>
      <w:lvlJc w:val="left"/>
      <w:pPr>
        <w:ind w:left="851" w:hanging="851"/>
      </w:pPr>
      <w:rPr>
        <w:rFonts w:hint="default"/>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4" w15:restartNumberingAfterBreak="0">
    <w:nsid w:val="0BCE067D"/>
    <w:multiLevelType w:val="multilevel"/>
    <w:tmpl w:val="8E7A81B4"/>
    <w:styleLink w:val="JacobsParagraphLevels"/>
    <w:lvl w:ilvl="0">
      <w:start w:val="1"/>
      <w:numFmt w:val="decimal"/>
      <w:lvlText w:val="%1."/>
      <w:lvlJc w:val="left"/>
      <w:pPr>
        <w:ind w:left="357" w:hanging="357"/>
      </w:pPr>
      <w:rPr>
        <w:rFonts w:hint="default"/>
        <w:b w:val="0"/>
        <w:i w:val="0"/>
        <w:color w:val="auto"/>
        <w:sz w:val="20"/>
      </w:rPr>
    </w:lvl>
    <w:lvl w:ilvl="1">
      <w:start w:val="1"/>
      <w:numFmt w:val="lowerLetter"/>
      <w:lvlText w:val="%2."/>
      <w:lvlJc w:val="left"/>
      <w:pPr>
        <w:ind w:left="714" w:hanging="357"/>
      </w:pPr>
      <w:rPr>
        <w:rFonts w:asciiTheme="majorHAnsi" w:hAnsiTheme="majorHAnsi" w:hint="default"/>
        <w:b w:val="0"/>
        <w:i w:val="0"/>
        <w:sz w:val="20"/>
      </w:rPr>
    </w:lvl>
    <w:lvl w:ilvl="2">
      <w:start w:val="1"/>
      <w:numFmt w:val="lowerRoman"/>
      <w:lvlText w:val="%3."/>
      <w:lvlJc w:val="left"/>
      <w:pPr>
        <w:tabs>
          <w:tab w:val="num" w:pos="714"/>
        </w:tabs>
        <w:ind w:left="1072" w:hanging="358"/>
      </w:pPr>
      <w:rPr>
        <w:rFonts w:asciiTheme="majorHAnsi" w:hAnsiTheme="majorHAnsi" w:hint="default"/>
        <w:b w:val="0"/>
        <w:i w:val="0"/>
        <w:sz w:val="20"/>
      </w:rPr>
    </w:lvl>
    <w:lvl w:ilvl="3">
      <w:start w:val="1"/>
      <w:numFmt w:val="decimal"/>
      <w:lvlText w:val="%4)"/>
      <w:lvlJc w:val="left"/>
      <w:pPr>
        <w:tabs>
          <w:tab w:val="num" w:pos="1072"/>
        </w:tabs>
        <w:ind w:left="1429" w:hanging="357"/>
      </w:pPr>
      <w:rPr>
        <w:rFonts w:asciiTheme="majorHAnsi" w:hAnsiTheme="majorHAnsi" w:hint="default"/>
        <w:b w:val="0"/>
        <w:i w:val="0"/>
        <w:sz w:val="20"/>
      </w:rPr>
    </w:lvl>
    <w:lvl w:ilvl="4">
      <w:start w:val="1"/>
      <w:numFmt w:val="none"/>
      <w:lvlText w:val=""/>
      <w:lvlJc w:val="left"/>
      <w:pPr>
        <w:ind w:left="284" w:hanging="284"/>
      </w:pPr>
      <w:rPr>
        <w:rFonts w:hint="default"/>
      </w:rPr>
    </w:lvl>
    <w:lvl w:ilvl="5">
      <w:start w:val="1"/>
      <w:numFmt w:val="none"/>
      <w:lvlText w:val=" "/>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5" w15:restartNumberingAfterBreak="0">
    <w:nsid w:val="0BE73C3E"/>
    <w:multiLevelType w:val="multilevel"/>
    <w:tmpl w:val="808E483A"/>
    <w:styleLink w:val="Headings"/>
    <w:lvl w:ilvl="0">
      <w:start w:val="1"/>
      <w:numFmt w:val="decimal"/>
      <w:pStyle w:val="Heading1"/>
      <w:lvlText w:val="%1."/>
      <w:lvlJc w:val="left"/>
      <w:pPr>
        <w:ind w:left="1134" w:hanging="1134"/>
      </w:pPr>
      <w:rPr>
        <w:rFonts w:hint="default"/>
      </w:rPr>
    </w:lvl>
    <w:lvl w:ilvl="1">
      <w:start w:val="1"/>
      <w:numFmt w:val="decimal"/>
      <w:pStyle w:val="Heading2"/>
      <w:lvlText w:val="%1.%2"/>
      <w:lvlJc w:val="left"/>
      <w:pPr>
        <w:ind w:left="1134" w:hanging="1134"/>
      </w:pPr>
      <w:rPr>
        <w:rFonts w:hint="default"/>
      </w:rPr>
    </w:lvl>
    <w:lvl w:ilvl="2">
      <w:start w:val="1"/>
      <w:numFmt w:val="decimal"/>
      <w:pStyle w:val="Heading3"/>
      <w:lvlText w:val="%1.%2.%3"/>
      <w:lvlJc w:val="left"/>
      <w:pPr>
        <w:ind w:left="1134" w:hanging="1134"/>
      </w:pPr>
      <w:rPr>
        <w:rFonts w:hint="default"/>
      </w:rPr>
    </w:lvl>
    <w:lvl w:ilvl="3">
      <w:start w:val="1"/>
      <w:numFmt w:val="decimal"/>
      <w:pStyle w:val="Heading4"/>
      <w:lvlText w:val="%1.%2.%3.%4"/>
      <w:lvlJc w:val="left"/>
      <w:pPr>
        <w:ind w:left="1134" w:hanging="1134"/>
      </w:pPr>
      <w:rPr>
        <w:rFonts w:hint="default"/>
      </w:rPr>
    </w:lvl>
    <w:lvl w:ilvl="4">
      <w:start w:val="1"/>
      <w:numFmt w:val="decimal"/>
      <w:pStyle w:val="Heading5"/>
      <w:lvlText w:val="%1.%2.%3.%4.%5"/>
      <w:lvlJc w:val="left"/>
      <w:pPr>
        <w:ind w:left="1134" w:hanging="1134"/>
      </w:pPr>
      <w:rPr>
        <w:rFonts w:hint="default"/>
      </w:rPr>
    </w:lvl>
    <w:lvl w:ilvl="5">
      <w:start w:val="1"/>
      <w:numFmt w:val="decimal"/>
      <w:pStyle w:val="Heading6"/>
      <w:lvlText w:val="%1.%2.%3.%4.%5.%6"/>
      <w:lvlJc w:val="left"/>
      <w:pPr>
        <w:ind w:left="1134" w:hanging="1134"/>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C832BEE"/>
    <w:multiLevelType w:val="multilevel"/>
    <w:tmpl w:val="9752981C"/>
    <w:styleLink w:val="PhotologNumberList"/>
    <w:lvl w:ilvl="0">
      <w:start w:val="1"/>
      <w:numFmt w:val="decimal"/>
      <w:suff w:val="space"/>
      <w:lvlText w:val="Photograph %1:"/>
      <w:lvlJc w:val="left"/>
      <w:pPr>
        <w:ind w:left="360" w:hanging="360"/>
      </w:pPr>
      <w:rPr>
        <w:rFonts w:asciiTheme="majorHAnsi" w:hAnsiTheme="majorHAnsi" w:hint="default"/>
        <w:b/>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D813282"/>
    <w:multiLevelType w:val="multilevel"/>
    <w:tmpl w:val="AFE0CE1E"/>
    <w:lvl w:ilvl="0">
      <w:start w:val="1"/>
      <w:numFmt w:val="bullet"/>
      <w:pStyle w:val="CVResumeBullet"/>
      <w:lvlText w:val=""/>
      <w:lvlJc w:val="left"/>
      <w:pPr>
        <w:ind w:left="360" w:hanging="360"/>
      </w:pPr>
      <w:rPr>
        <w:rFonts w:ascii="Wingdings" w:hAnsi="Wingdings" w:hint="default"/>
        <w:color w:val="auto"/>
        <w:sz w:val="14"/>
      </w:rPr>
    </w:lvl>
    <w:lvl w:ilvl="1">
      <w:start w:val="1"/>
      <w:numFmt w:val="bullet"/>
      <w:lvlRestart w:val="0"/>
      <w:lvlText w:val=""/>
      <w:lvlJc w:val="left"/>
      <w:pPr>
        <w:ind w:left="3799" w:hanging="3601"/>
      </w:pPr>
      <w:rPr>
        <w:rFonts w:ascii="Symbol" w:hAnsi="Symbol" w:hint="default"/>
        <w:color w:val="auto"/>
      </w:rPr>
    </w:lvl>
    <w:lvl w:ilvl="2">
      <w:numFmt w:val="none"/>
      <w:lvlRestart w:val="0"/>
      <w:lvlText w:val=""/>
      <w:lvlJc w:val="left"/>
      <w:pPr>
        <w:ind w:left="3799" w:hanging="3601"/>
      </w:pPr>
      <w:rPr>
        <w:rFonts w:hint="default"/>
      </w:rPr>
    </w:lvl>
    <w:lvl w:ilvl="3">
      <w:numFmt w:val="none"/>
      <w:lvlRestart w:val="0"/>
      <w:lvlText w:val=""/>
      <w:lvlJc w:val="left"/>
      <w:pPr>
        <w:ind w:left="3799" w:hanging="3601"/>
      </w:pPr>
      <w:rPr>
        <w:rFonts w:hint="default"/>
      </w:rPr>
    </w:lvl>
    <w:lvl w:ilvl="4">
      <w:numFmt w:val="none"/>
      <w:lvlRestart w:val="0"/>
      <w:lvlText w:val=""/>
      <w:lvlJc w:val="left"/>
      <w:pPr>
        <w:ind w:left="3799" w:hanging="3601"/>
      </w:pPr>
      <w:rPr>
        <w:rFonts w:hint="default"/>
      </w:rPr>
    </w:lvl>
    <w:lvl w:ilvl="5">
      <w:numFmt w:val="none"/>
      <w:lvlRestart w:val="0"/>
      <w:lvlText w:val=""/>
      <w:lvlJc w:val="left"/>
      <w:pPr>
        <w:ind w:left="3799" w:hanging="3601"/>
      </w:pPr>
      <w:rPr>
        <w:rFonts w:hint="default"/>
      </w:rPr>
    </w:lvl>
    <w:lvl w:ilvl="6">
      <w:numFmt w:val="none"/>
      <w:lvlRestart w:val="0"/>
      <w:lvlText w:val=""/>
      <w:lvlJc w:val="left"/>
      <w:pPr>
        <w:ind w:left="3799" w:hanging="3601"/>
      </w:pPr>
      <w:rPr>
        <w:rFonts w:hint="default"/>
      </w:rPr>
    </w:lvl>
    <w:lvl w:ilvl="7">
      <w:numFmt w:val="none"/>
      <w:lvlRestart w:val="0"/>
      <w:lvlText w:val=""/>
      <w:lvlJc w:val="left"/>
      <w:pPr>
        <w:ind w:left="3799" w:hanging="3601"/>
      </w:pPr>
      <w:rPr>
        <w:rFonts w:hint="default"/>
      </w:rPr>
    </w:lvl>
    <w:lvl w:ilvl="8">
      <w:numFmt w:val="none"/>
      <w:lvlRestart w:val="0"/>
      <w:lvlText w:val=""/>
      <w:lvlJc w:val="left"/>
      <w:pPr>
        <w:ind w:left="3799" w:hanging="3601"/>
      </w:pPr>
      <w:rPr>
        <w:rFonts w:hint="default"/>
      </w:rPr>
    </w:lvl>
  </w:abstractNum>
  <w:abstractNum w:abstractNumId="8" w15:restartNumberingAfterBreak="0">
    <w:nsid w:val="0D983731"/>
    <w:multiLevelType w:val="multilevel"/>
    <w:tmpl w:val="19567D56"/>
    <w:styleLink w:val="JacobsTableNumberTitle"/>
    <w:lvl w:ilvl="0">
      <w:start w:val="1"/>
      <w:numFmt w:val="decimal"/>
      <w:lvlText w:val="Table %1: "/>
      <w:lvlJc w:val="left"/>
      <w:pPr>
        <w:ind w:left="907" w:hanging="907"/>
      </w:pPr>
      <w:rPr>
        <w:rFonts w:asciiTheme="majorHAnsi" w:hAnsiTheme="majorHAnsi" w:hint="default"/>
        <w:b/>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F9E46AD"/>
    <w:multiLevelType w:val="multilevel"/>
    <w:tmpl w:val="0720D5DE"/>
    <w:styleLink w:val="InstructionNumbering"/>
    <w:lvl w:ilvl="0">
      <w:start w:val="1"/>
      <w:numFmt w:val="decimal"/>
      <w:pStyle w:val="InstructionNumber"/>
      <w:lvlText w:val="%1."/>
      <w:lvlJc w:val="left"/>
      <w:pPr>
        <w:ind w:left="720" w:hanging="720"/>
      </w:pPr>
      <w:rPr>
        <w:rFonts w:hint="default"/>
      </w:rPr>
    </w:lvl>
    <w:lvl w:ilvl="1">
      <w:start w:val="1"/>
      <w:numFmt w:val="bullet"/>
      <w:pStyle w:val="InstructionBullet"/>
      <w:lvlText w:val="◦"/>
      <w:lvlJc w:val="left"/>
      <w:pPr>
        <w:ind w:left="1077" w:hanging="357"/>
      </w:pPr>
      <w:rPr>
        <w:rFonts w:ascii="Calibri" w:hAnsi="Calibri" w:cs="Times New Roman" w:hint="default"/>
        <w:color w:val="007D55" w:themeColor="accen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0925DD9"/>
    <w:multiLevelType w:val="multilevel"/>
    <w:tmpl w:val="6726B982"/>
    <w:styleLink w:val="FigureNumberTitle"/>
    <w:lvl w:ilvl="0">
      <w:start w:val="1"/>
      <w:numFmt w:val="decimal"/>
      <w:lvlText w:val="Figure %1: "/>
      <w:lvlJc w:val="left"/>
      <w:pPr>
        <w:ind w:left="964" w:hanging="964"/>
      </w:pPr>
      <w:rPr>
        <w:rFonts w:asciiTheme="majorHAnsi" w:hAnsiTheme="majorHAnsi" w:hint="default"/>
        <w:b/>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5A9308E"/>
    <w:multiLevelType w:val="multilevel"/>
    <w:tmpl w:val="556A30FC"/>
    <w:styleLink w:val="SingleSequentialNumbering"/>
    <w:lvl w:ilvl="0">
      <w:start w:val="1"/>
      <w:numFmt w:val="decimal"/>
      <w:pStyle w:val="SingleSequential"/>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6520CF1"/>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A1B4193"/>
    <w:multiLevelType w:val="multilevel"/>
    <w:tmpl w:val="0A026A64"/>
    <w:styleLink w:val="ProjectBullets"/>
    <w:lvl w:ilvl="0">
      <w:start w:val="1"/>
      <w:numFmt w:val="bullet"/>
      <w:pStyle w:val="ProjectBullet"/>
      <w:lvlText w:val=""/>
      <w:lvlJc w:val="left"/>
      <w:pPr>
        <w:ind w:left="170" w:hanging="170"/>
      </w:pPr>
      <w:rPr>
        <w:rFonts w:ascii="Wingdings" w:hAnsi="Wingdings" w:cs="Times New Roman" w:hint="default"/>
      </w:rPr>
    </w:lvl>
    <w:lvl w:ilvl="1">
      <w:start w:val="1"/>
      <w:numFmt w:val="bullet"/>
      <w:pStyle w:val="ProjectBullet2ndLevel"/>
      <w:lvlText w:val="-"/>
      <w:lvlJc w:val="left"/>
      <w:pPr>
        <w:ind w:left="340" w:hanging="170"/>
      </w:pPr>
      <w:rPr>
        <w:rFonts w:ascii="Arial" w:hAnsi="Arial" w:cs="Times New Roman"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BA54DAE"/>
    <w:multiLevelType w:val="hybridMultilevel"/>
    <w:tmpl w:val="B7BE842C"/>
    <w:lvl w:ilvl="0" w:tplc="5E28B674">
      <w:start w:val="1"/>
      <w:numFmt w:val="bullet"/>
      <w:pStyle w:val="CVResumeBullet2ndLevel"/>
      <w:lvlText w:val="-"/>
      <w:lvlJc w:val="left"/>
      <w:pPr>
        <w:ind w:left="720" w:hanging="360"/>
      </w:pPr>
      <w:rPr>
        <w:rFonts w:ascii="Jacobs Chronos" w:hAnsi="Jacobs Chronos" w:hint="default"/>
        <w14:numSpacing w14:val="tabula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1E617B"/>
    <w:multiLevelType w:val="multilevel"/>
    <w:tmpl w:val="808E483A"/>
    <w:numStyleLink w:val="Headings"/>
  </w:abstractNum>
  <w:abstractNum w:abstractNumId="16" w15:restartNumberingAfterBreak="0">
    <w:nsid w:val="1C6634C9"/>
    <w:multiLevelType w:val="multilevel"/>
    <w:tmpl w:val="4DF8833E"/>
    <w:styleLink w:val="Bullets"/>
    <w:lvl w:ilvl="0">
      <w:start w:val="1"/>
      <w:numFmt w:val="bullet"/>
      <w:pStyle w:val="BulletLevel1"/>
      <w:lvlText w:val=""/>
      <w:lvlJc w:val="left"/>
      <w:pPr>
        <w:ind w:left="284" w:hanging="284"/>
      </w:pPr>
      <w:rPr>
        <w:rFonts w:ascii="Wingdings" w:hAnsi="Wingdings" w:cs="Times New Roman" w:hint="default"/>
      </w:rPr>
    </w:lvl>
    <w:lvl w:ilvl="1">
      <w:start w:val="1"/>
      <w:numFmt w:val="bullet"/>
      <w:pStyle w:val="BulletLevel2"/>
      <w:lvlText w:val="-"/>
      <w:lvlJc w:val="left"/>
      <w:pPr>
        <w:ind w:left="567" w:hanging="283"/>
      </w:pPr>
      <w:rPr>
        <w:rFonts w:ascii="Jacobs Chronos" w:hAnsi="Jacobs Chronos" w:cs="Times New Roman" w:hint="default"/>
      </w:rPr>
    </w:lvl>
    <w:lvl w:ilvl="2">
      <w:start w:val="1"/>
      <w:numFmt w:val="bullet"/>
      <w:pStyle w:val="BulletLevel3"/>
      <w:lvlText w:val=""/>
      <w:lvlJc w:val="left"/>
      <w:pPr>
        <w:ind w:left="851" w:hanging="284"/>
      </w:pPr>
      <w:rPr>
        <w:rFonts w:ascii="Wingdings" w:hAnsi="Wingdings"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D591D7F"/>
    <w:multiLevelType w:val="multilevel"/>
    <w:tmpl w:val="DA66FA1E"/>
    <w:styleLink w:val="CapabilityBullets"/>
    <w:lvl w:ilvl="0">
      <w:start w:val="1"/>
      <w:numFmt w:val="bullet"/>
      <w:pStyle w:val="CapabilityBullet"/>
      <w:lvlText w:val=""/>
      <w:lvlJc w:val="left"/>
      <w:pPr>
        <w:ind w:left="170" w:hanging="170"/>
      </w:pPr>
      <w:rPr>
        <w:rFonts w:ascii="Wingdings" w:hAnsi="Wingdings" w:cs="Times New Roman" w:hint="default"/>
      </w:rPr>
    </w:lvl>
    <w:lvl w:ilvl="1">
      <w:start w:val="1"/>
      <w:numFmt w:val="bullet"/>
      <w:pStyle w:val="CapabilityBullet2ndLevel"/>
      <w:lvlText w:val="-"/>
      <w:lvlJc w:val="left"/>
      <w:pPr>
        <w:ind w:left="340" w:hanging="170"/>
      </w:pPr>
      <w:rPr>
        <w:rFonts w:ascii="Arial" w:hAnsi="Arial" w:cs="Times New Roman"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DBE2BFD"/>
    <w:multiLevelType w:val="multilevel"/>
    <w:tmpl w:val="531CB01E"/>
    <w:styleLink w:val="TableNumbers"/>
    <w:lvl w:ilvl="0">
      <w:start w:val="1"/>
      <w:numFmt w:val="decimal"/>
      <w:pStyle w:val="TableNumber"/>
      <w:lvlText w:val="%1."/>
      <w:lvlJc w:val="left"/>
      <w:pPr>
        <w:ind w:left="284" w:hanging="284"/>
      </w:pPr>
      <w:rPr>
        <w:rFonts w:hint="default"/>
      </w:rPr>
    </w:lvl>
    <w:lvl w:ilvl="1">
      <w:start w:val="1"/>
      <w:numFmt w:val="lowerLetter"/>
      <w:pStyle w:val="TableNumber2"/>
      <w:lvlText w:val="%2."/>
      <w:lvlJc w:val="left"/>
      <w:pPr>
        <w:ind w:left="567" w:hanging="283"/>
      </w:pPr>
      <w:rPr>
        <w:rFonts w:hint="default"/>
      </w:rPr>
    </w:lvl>
    <w:lvl w:ilvl="2">
      <w:start w:val="1"/>
      <w:numFmt w:val="lowerRoman"/>
      <w:pStyle w:val="TableNumber3"/>
      <w:lvlText w:val="%3."/>
      <w:lvlJc w:val="left"/>
      <w:pPr>
        <w:tabs>
          <w:tab w:val="num" w:pos="567"/>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397085C"/>
    <w:multiLevelType w:val="multilevel"/>
    <w:tmpl w:val="D64CD9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79D771B"/>
    <w:multiLevelType w:val="multilevel"/>
    <w:tmpl w:val="AF42FE90"/>
    <w:styleLink w:val="REMOVE"/>
    <w:lvl w:ilvl="0">
      <w:start w:val="1"/>
      <w:numFmt w:val="decimal"/>
      <w:lvlText w:val="%1."/>
      <w:lvlJc w:val="left"/>
      <w:pPr>
        <w:ind w:left="1134" w:hanging="1134"/>
      </w:pPr>
      <w:rPr>
        <w:rFonts w:ascii="Jacobs Chronos" w:hAnsi="Jacobs Chronos" w:hint="default"/>
        <w:b/>
        <w:i w:val="0"/>
        <w:color w:val="007D55" w:themeColor="accent1"/>
        <w:sz w:val="32"/>
      </w:rPr>
    </w:lvl>
    <w:lvl w:ilvl="1">
      <w:start w:val="1"/>
      <w:numFmt w:val="decimal"/>
      <w:lvlText w:val="%1.%2."/>
      <w:lvlJc w:val="left"/>
      <w:pPr>
        <w:ind w:left="1134" w:hanging="1134"/>
      </w:pPr>
      <w:rPr>
        <w:rFonts w:ascii="Jacobs Chronos" w:hAnsi="Jacobs Chronos" w:hint="default"/>
        <w:b/>
        <w:i w:val="0"/>
        <w:color w:val="auto"/>
        <w:sz w:val="30"/>
      </w:rPr>
    </w:lvl>
    <w:lvl w:ilvl="2">
      <w:start w:val="1"/>
      <w:numFmt w:val="decimal"/>
      <w:lvlText w:val="%3.%1.%2"/>
      <w:lvlJc w:val="left"/>
      <w:pPr>
        <w:ind w:left="1134" w:hanging="1134"/>
      </w:pPr>
      <w:rPr>
        <w:rFonts w:ascii="Jacobs Chronos" w:hAnsi="Jacobs Chronos" w:hint="default"/>
        <w:b/>
        <w:i w:val="0"/>
        <w:color w:val="auto"/>
        <w:sz w:val="28"/>
      </w:rPr>
    </w:lvl>
    <w:lvl w:ilvl="3">
      <w:start w:val="1"/>
      <w:numFmt w:val="decimal"/>
      <w:lvlText w:val="%4.%1.%2.%3"/>
      <w:lvlJc w:val="left"/>
      <w:pPr>
        <w:ind w:left="1134" w:hanging="1134"/>
      </w:pPr>
      <w:rPr>
        <w:rFonts w:ascii="Jacobs Chronos" w:hAnsi="Jacobs Chronos" w:hint="default"/>
        <w:b/>
        <w:i w:val="0"/>
        <w:color w:val="auto"/>
        <w:sz w:val="26"/>
      </w:rPr>
    </w:lvl>
    <w:lvl w:ilvl="4">
      <w:start w:val="1"/>
      <w:numFmt w:val="decimal"/>
      <w:lvlText w:val="%5.%1.%2.%3.%4"/>
      <w:lvlJc w:val="left"/>
      <w:pPr>
        <w:ind w:left="1134" w:hanging="1134"/>
      </w:pPr>
      <w:rPr>
        <w:rFonts w:ascii="Jacobs Chronos Light" w:hAnsi="Jacobs Chronos Light" w:hint="default"/>
        <w:b/>
        <w:i w:val="0"/>
        <w:color w:val="auto"/>
        <w:sz w:val="24"/>
      </w:rPr>
    </w:lvl>
    <w:lvl w:ilvl="5">
      <w:start w:val="1"/>
      <w:numFmt w:val="decimal"/>
      <w:lvlText w:val="%6.%1.%2."/>
      <w:lvlJc w:val="left"/>
      <w:pPr>
        <w:ind w:left="-32767" w:firstLine="32767"/>
      </w:pPr>
      <w:rPr>
        <w:rFonts w:ascii="Jacobs Chronos Light" w:hAnsi="Jacobs Chronos Light" w:hint="default"/>
        <w:b/>
        <w:i w:val="0"/>
        <w:color w:val="auto"/>
        <w:sz w:val="22"/>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decimal"/>
      <w:lvlText w:val="%9.%1."/>
      <w:lvlJc w:val="left"/>
      <w:pPr>
        <w:ind w:left="851" w:hanging="851"/>
      </w:pPr>
      <w:rPr>
        <w:rFonts w:hint="default"/>
      </w:rPr>
    </w:lvl>
  </w:abstractNum>
  <w:abstractNum w:abstractNumId="21" w15:restartNumberingAfterBreak="0">
    <w:nsid w:val="333F47C0"/>
    <w:multiLevelType w:val="multilevel"/>
    <w:tmpl w:val="E9E46496"/>
    <w:numStyleLink w:val="TableBullets"/>
  </w:abstractNum>
  <w:abstractNum w:abstractNumId="22" w15:restartNumberingAfterBreak="0">
    <w:nsid w:val="39C02F23"/>
    <w:multiLevelType w:val="hybridMultilevel"/>
    <w:tmpl w:val="09E61F80"/>
    <w:lvl w:ilvl="0" w:tplc="E31E9090">
      <w:start w:val="1"/>
      <w:numFmt w:val="bullet"/>
      <w:pStyle w:val="TableBullet2ndLevel"/>
      <w:lvlText w:val="-"/>
      <w:lvlJc w:val="left"/>
      <w:pPr>
        <w:ind w:left="890" w:hanging="360"/>
      </w:pPr>
      <w:rPr>
        <w:rFonts w:ascii="Jacobs Chronos" w:hAnsi="Jacobs Chronos" w:hint="default"/>
      </w:rPr>
    </w:lvl>
    <w:lvl w:ilvl="1" w:tplc="AD8C6614" w:tentative="1">
      <w:start w:val="1"/>
      <w:numFmt w:val="bullet"/>
      <w:lvlText w:val="o"/>
      <w:lvlJc w:val="left"/>
      <w:pPr>
        <w:ind w:left="1610" w:hanging="360"/>
      </w:pPr>
      <w:rPr>
        <w:rFonts w:ascii="Courier New" w:hAnsi="Courier New" w:cs="Courier New" w:hint="default"/>
      </w:rPr>
    </w:lvl>
    <w:lvl w:ilvl="2" w:tplc="79F08AC2" w:tentative="1">
      <w:start w:val="1"/>
      <w:numFmt w:val="bullet"/>
      <w:lvlText w:val=""/>
      <w:lvlJc w:val="left"/>
      <w:pPr>
        <w:ind w:left="2330" w:hanging="360"/>
      </w:pPr>
      <w:rPr>
        <w:rFonts w:ascii="Wingdings" w:hAnsi="Wingdings" w:hint="default"/>
      </w:rPr>
    </w:lvl>
    <w:lvl w:ilvl="3" w:tplc="A8C04D1A" w:tentative="1">
      <w:start w:val="1"/>
      <w:numFmt w:val="bullet"/>
      <w:lvlText w:val=""/>
      <w:lvlJc w:val="left"/>
      <w:pPr>
        <w:ind w:left="3050" w:hanging="360"/>
      </w:pPr>
      <w:rPr>
        <w:rFonts w:ascii="Symbol" w:hAnsi="Symbol" w:hint="default"/>
      </w:rPr>
    </w:lvl>
    <w:lvl w:ilvl="4" w:tplc="573C031C" w:tentative="1">
      <w:start w:val="1"/>
      <w:numFmt w:val="bullet"/>
      <w:lvlText w:val="o"/>
      <w:lvlJc w:val="left"/>
      <w:pPr>
        <w:ind w:left="3770" w:hanging="360"/>
      </w:pPr>
      <w:rPr>
        <w:rFonts w:ascii="Courier New" w:hAnsi="Courier New" w:cs="Courier New" w:hint="default"/>
      </w:rPr>
    </w:lvl>
    <w:lvl w:ilvl="5" w:tplc="A31E4A58" w:tentative="1">
      <w:start w:val="1"/>
      <w:numFmt w:val="bullet"/>
      <w:lvlText w:val=""/>
      <w:lvlJc w:val="left"/>
      <w:pPr>
        <w:ind w:left="4490" w:hanging="360"/>
      </w:pPr>
      <w:rPr>
        <w:rFonts w:ascii="Wingdings" w:hAnsi="Wingdings" w:hint="default"/>
      </w:rPr>
    </w:lvl>
    <w:lvl w:ilvl="6" w:tplc="6E5ADCBA" w:tentative="1">
      <w:start w:val="1"/>
      <w:numFmt w:val="bullet"/>
      <w:lvlText w:val=""/>
      <w:lvlJc w:val="left"/>
      <w:pPr>
        <w:ind w:left="5210" w:hanging="360"/>
      </w:pPr>
      <w:rPr>
        <w:rFonts w:ascii="Symbol" w:hAnsi="Symbol" w:hint="default"/>
      </w:rPr>
    </w:lvl>
    <w:lvl w:ilvl="7" w:tplc="79ECEFC6" w:tentative="1">
      <w:start w:val="1"/>
      <w:numFmt w:val="bullet"/>
      <w:lvlText w:val="o"/>
      <w:lvlJc w:val="left"/>
      <w:pPr>
        <w:ind w:left="5930" w:hanging="360"/>
      </w:pPr>
      <w:rPr>
        <w:rFonts w:ascii="Courier New" w:hAnsi="Courier New" w:cs="Courier New" w:hint="default"/>
      </w:rPr>
    </w:lvl>
    <w:lvl w:ilvl="8" w:tplc="03DC882A" w:tentative="1">
      <w:start w:val="1"/>
      <w:numFmt w:val="bullet"/>
      <w:lvlText w:val=""/>
      <w:lvlJc w:val="left"/>
      <w:pPr>
        <w:ind w:left="6650" w:hanging="360"/>
      </w:pPr>
      <w:rPr>
        <w:rFonts w:ascii="Wingdings" w:hAnsi="Wingdings" w:hint="default"/>
      </w:rPr>
    </w:lvl>
  </w:abstractNum>
  <w:abstractNum w:abstractNumId="23" w15:restartNumberingAfterBreak="0">
    <w:nsid w:val="3D912658"/>
    <w:multiLevelType w:val="multilevel"/>
    <w:tmpl w:val="E91C8E08"/>
    <w:styleLink w:val="JacobsNumberedHeadings"/>
    <w:lvl w:ilvl="0">
      <w:start w:val="1"/>
      <w:numFmt w:val="decimal"/>
      <w:lvlText w:val="%1."/>
      <w:lvlJc w:val="left"/>
      <w:pPr>
        <w:ind w:left="1134" w:hanging="1134"/>
      </w:pPr>
      <w:rPr>
        <w:rFonts w:hint="default"/>
        <w:b/>
        <w:i w:val="0"/>
        <w:sz w:val="32"/>
      </w:rPr>
    </w:lvl>
    <w:lvl w:ilvl="1">
      <w:start w:val="1"/>
      <w:numFmt w:val="decimal"/>
      <w:lvlText w:val="%1.%2"/>
      <w:lvlJc w:val="left"/>
      <w:pPr>
        <w:ind w:left="1134" w:hanging="1134"/>
      </w:pPr>
      <w:rPr>
        <w:rFonts w:asciiTheme="majorHAnsi" w:hAnsiTheme="majorHAnsi" w:hint="default"/>
        <w:b/>
        <w:i w:val="0"/>
        <w:sz w:val="28"/>
      </w:rPr>
    </w:lvl>
    <w:lvl w:ilvl="2">
      <w:start w:val="1"/>
      <w:numFmt w:val="decimal"/>
      <w:lvlRestart w:val="1"/>
      <w:lvlText w:val="%1.%2.%3"/>
      <w:lvlJc w:val="left"/>
      <w:pPr>
        <w:ind w:left="1134" w:hanging="1134"/>
      </w:pPr>
      <w:rPr>
        <w:rFonts w:asciiTheme="majorHAnsi" w:hAnsiTheme="majorHAnsi" w:hint="default"/>
        <w:b/>
        <w:i w:val="0"/>
        <w:sz w:val="26"/>
      </w:rPr>
    </w:lvl>
    <w:lvl w:ilvl="3">
      <w:start w:val="1"/>
      <w:numFmt w:val="decimal"/>
      <w:lvlText w:val="%1.%2.%3.%4"/>
      <w:lvlJc w:val="left"/>
      <w:pPr>
        <w:ind w:left="1134" w:hanging="1134"/>
      </w:pPr>
      <w:rPr>
        <w:rFonts w:asciiTheme="minorHAnsi" w:hAnsiTheme="minorHAnsi" w:hint="default"/>
        <w:b/>
        <w:i w:val="0"/>
        <w:sz w:val="24"/>
      </w:rPr>
    </w:lvl>
    <w:lvl w:ilvl="4">
      <w:start w:val="1"/>
      <w:numFmt w:val="decimal"/>
      <w:lvlText w:val="%1.%2.%3.%4.%5"/>
      <w:lvlJc w:val="left"/>
      <w:pPr>
        <w:ind w:left="1134" w:hanging="1134"/>
      </w:pPr>
      <w:rPr>
        <w:rFonts w:asciiTheme="minorHAnsi" w:hAnsiTheme="minorHAnsi" w:hint="default"/>
        <w:b/>
        <w:i w:val="0"/>
        <w:sz w:val="22"/>
      </w:rPr>
    </w:lvl>
    <w:lvl w:ilvl="5">
      <w:start w:val="1"/>
      <w:numFmt w:val="decimal"/>
      <w:lvlText w:val="%1.%2.%3.%4.%5.%6"/>
      <w:lvlJc w:val="left"/>
      <w:pPr>
        <w:ind w:left="1134" w:hanging="1134"/>
      </w:pPr>
      <w:rPr>
        <w:rFonts w:asciiTheme="minorHAnsi" w:hAnsiTheme="minorHAnsi" w:hint="default"/>
        <w:b/>
        <w:i w:val="0"/>
        <w:sz w:val="20"/>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9."/>
      <w:lvlJc w:val="left"/>
      <w:pPr>
        <w:ind w:left="1134" w:hanging="1134"/>
      </w:pPr>
      <w:rPr>
        <w:rFonts w:hint="default"/>
        <w:b/>
        <w:i w:val="0"/>
        <w:color w:val="auto"/>
        <w:sz w:val="32"/>
      </w:rPr>
    </w:lvl>
  </w:abstractNum>
  <w:abstractNum w:abstractNumId="24" w15:restartNumberingAfterBreak="0">
    <w:nsid w:val="3F107EE6"/>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8AB7BBD"/>
    <w:multiLevelType w:val="hybridMultilevel"/>
    <w:tmpl w:val="D144A650"/>
    <w:lvl w:ilvl="0" w:tplc="8B20F716">
      <w:start w:val="1"/>
      <w:numFmt w:val="bullet"/>
      <w:pStyle w:val="TableBullet3rdLevel"/>
      <w:lvlText w:val=""/>
      <w:lvlJc w:val="left"/>
      <w:pPr>
        <w:ind w:left="700" w:hanging="360"/>
      </w:pPr>
      <w:rPr>
        <w:rFonts w:ascii="Wingdings" w:hAnsi="Wingdings"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6" w15:restartNumberingAfterBreak="0">
    <w:nsid w:val="4B6058FA"/>
    <w:multiLevelType w:val="multilevel"/>
    <w:tmpl w:val="562643DE"/>
    <w:styleLink w:val="JacobsAppendixHeadings"/>
    <w:lvl w:ilvl="0">
      <w:start w:val="1"/>
      <w:numFmt w:val="upperLetter"/>
      <w:lvlText w:val="Appendix %1. "/>
      <w:lvlJc w:val="left"/>
      <w:pPr>
        <w:ind w:left="1134" w:hanging="1134"/>
      </w:pPr>
      <w:rPr>
        <w:rFonts w:asciiTheme="majorHAnsi" w:hAnsiTheme="majorHAnsi" w:hint="default"/>
        <w:b/>
        <w:bCs w:val="0"/>
        <w:i w:val="0"/>
        <w:iCs w:val="0"/>
        <w:caps w:val="0"/>
        <w:smallCaps w:val="0"/>
        <w:strike w:val="0"/>
        <w:dstrike w:val="0"/>
        <w:outline w:val="0"/>
        <w:shadow w:val="0"/>
        <w:emboss w:val="0"/>
        <w:imprint w:val="0"/>
        <w:noProof w:val="0"/>
        <w:vanish w:val="0"/>
        <w:color w:val="007D55" w:themeColor="accent1"/>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34" w:hanging="1134"/>
      </w:pPr>
      <w:rPr>
        <w:rFonts w:asciiTheme="majorHAnsi" w:hAnsiTheme="majorHAnsi" w:hint="default"/>
        <w:b/>
        <w:i w:val="0"/>
        <w:caps w:val="0"/>
        <w:strike w:val="0"/>
        <w:dstrike w:val="0"/>
        <w:vanish w:val="0"/>
        <w:color w:val="000000" w:themeColor="text1"/>
        <w:sz w:val="28"/>
        <w:vertAlign w:val="baseline"/>
      </w:rPr>
    </w:lvl>
    <w:lvl w:ilvl="2">
      <w:start w:val="1"/>
      <w:numFmt w:val="decimal"/>
      <w:lvlText w:val="%1.%2.%3"/>
      <w:lvlJc w:val="left"/>
      <w:pPr>
        <w:ind w:left="1134" w:hanging="1134"/>
      </w:pPr>
      <w:rPr>
        <w:rFonts w:asciiTheme="majorHAnsi" w:hAnsiTheme="majorHAnsi" w:hint="default"/>
        <w:b/>
        <w:i w:val="0"/>
        <w:caps w:val="0"/>
        <w:strike w:val="0"/>
        <w:dstrike w:val="0"/>
        <w:vanish w:val="0"/>
        <w:color w:val="000000" w:themeColor="text1"/>
        <w:sz w:val="24"/>
        <w:vertAlign w:val="baseline"/>
      </w:rPr>
    </w:lvl>
    <w:lvl w:ilvl="3">
      <w:start w:val="1"/>
      <w:numFmt w:val="decimal"/>
      <w:lvlText w:val="%1.%2.%3.%4"/>
      <w:lvlJc w:val="left"/>
      <w:pPr>
        <w:ind w:left="1134" w:hanging="1134"/>
      </w:pPr>
      <w:rPr>
        <w:rFonts w:asciiTheme="majorHAnsi" w:hAnsiTheme="majorHAnsi" w:hint="default"/>
        <w:b/>
        <w:i w:val="0"/>
        <w:color w:val="auto"/>
        <w:sz w:val="22"/>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left"/>
      <w:pPr>
        <w:ind w:left="1134" w:hanging="1134"/>
      </w:pPr>
      <w:rPr>
        <w:rFonts w:hint="default"/>
      </w:rPr>
    </w:lvl>
  </w:abstractNum>
  <w:abstractNum w:abstractNumId="27" w15:restartNumberingAfterBreak="0">
    <w:nsid w:val="4D7D6ECC"/>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8" w15:restartNumberingAfterBreak="0">
    <w:nsid w:val="54016FAD"/>
    <w:multiLevelType w:val="multilevel"/>
    <w:tmpl w:val="19567D56"/>
    <w:lvl w:ilvl="0">
      <w:numFmt w:val="decimal"/>
      <w:pStyle w:val="TableNumberandTitle"/>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8FB56D5"/>
    <w:multiLevelType w:val="multilevel"/>
    <w:tmpl w:val="556A30FC"/>
    <w:numStyleLink w:val="SingleSequentialNumbering"/>
  </w:abstractNum>
  <w:abstractNum w:abstractNumId="30" w15:restartNumberingAfterBreak="0">
    <w:nsid w:val="5D0E370E"/>
    <w:multiLevelType w:val="multilevel"/>
    <w:tmpl w:val="8892ACDC"/>
    <w:styleLink w:val="BodyTextNumbering"/>
    <w:lvl w:ilvl="0">
      <w:start w:val="1"/>
      <w:numFmt w:val="decimal"/>
      <w:pStyle w:val="BodyText1Number"/>
      <w:lvlText w:val="%1."/>
      <w:lvlJc w:val="left"/>
      <w:pPr>
        <w:ind w:left="360" w:hanging="360"/>
      </w:pPr>
      <w:rPr>
        <w:rFonts w:hint="default"/>
      </w:rPr>
    </w:lvl>
    <w:lvl w:ilvl="1">
      <w:start w:val="1"/>
      <w:numFmt w:val="lowerLetter"/>
      <w:pStyle w:val="BodyText2Letter"/>
      <w:lvlText w:val="%2."/>
      <w:lvlJc w:val="left"/>
      <w:pPr>
        <w:ind w:left="720" w:hanging="360"/>
      </w:pPr>
      <w:rPr>
        <w:rFonts w:hint="default"/>
      </w:rPr>
    </w:lvl>
    <w:lvl w:ilvl="2">
      <w:start w:val="1"/>
      <w:numFmt w:val="lowerRoman"/>
      <w:pStyle w:val="BodyText3Roman"/>
      <w:lvlText w:val="%3."/>
      <w:lvlJc w:val="left"/>
      <w:pPr>
        <w:ind w:left="1072" w:hanging="358"/>
      </w:pPr>
      <w:rPr>
        <w:rFonts w:hint="default"/>
      </w:rPr>
    </w:lvl>
    <w:lvl w:ilvl="3">
      <w:start w:val="1"/>
      <w:numFmt w:val="decimal"/>
      <w:pStyle w:val="BodyText4Number"/>
      <w:lvlText w:val="%4)"/>
      <w:lvlJc w:val="left"/>
      <w:pPr>
        <w:ind w:left="1429" w:hanging="35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3230E7C"/>
    <w:multiLevelType w:val="hybridMultilevel"/>
    <w:tmpl w:val="1988CF56"/>
    <w:lvl w:ilvl="0" w:tplc="A348698E">
      <w:start w:val="1"/>
      <w:numFmt w:val="decimal"/>
      <w:pStyle w:val="Footnote"/>
      <w:lvlText w:val="%1"/>
      <w:lvlJc w:val="left"/>
      <w:pPr>
        <w:ind w:left="360" w:hanging="360"/>
      </w:pPr>
      <w:rPr>
        <w:rFonts w:ascii="Jacobs Chronos Light" w:hAnsi="Jacobs Chronos Light" w:hint="default"/>
        <w:b w:val="0"/>
        <w:i w:val="0"/>
        <w:caps w:val="0"/>
        <w:strike w:val="0"/>
        <w:dstrike w:val="0"/>
        <w:vanish w:val="0"/>
        <w:color w:val="auto"/>
        <w:sz w:val="16"/>
        <w:vertAlign w:val="superscript"/>
      </w:rPr>
    </w:lvl>
    <w:lvl w:ilvl="1" w:tplc="D322472A" w:tentative="1">
      <w:start w:val="1"/>
      <w:numFmt w:val="lowerLetter"/>
      <w:lvlText w:val="%2."/>
      <w:lvlJc w:val="left"/>
      <w:pPr>
        <w:ind w:left="1440" w:hanging="360"/>
      </w:pPr>
    </w:lvl>
    <w:lvl w:ilvl="2" w:tplc="9948DDEE" w:tentative="1">
      <w:start w:val="1"/>
      <w:numFmt w:val="lowerRoman"/>
      <w:lvlText w:val="%3."/>
      <w:lvlJc w:val="right"/>
      <w:pPr>
        <w:ind w:left="2160" w:hanging="180"/>
      </w:pPr>
    </w:lvl>
    <w:lvl w:ilvl="3" w:tplc="AC363A22" w:tentative="1">
      <w:start w:val="1"/>
      <w:numFmt w:val="decimal"/>
      <w:lvlText w:val="%4."/>
      <w:lvlJc w:val="left"/>
      <w:pPr>
        <w:ind w:left="2880" w:hanging="360"/>
      </w:pPr>
    </w:lvl>
    <w:lvl w:ilvl="4" w:tplc="A4B8BB58" w:tentative="1">
      <w:start w:val="1"/>
      <w:numFmt w:val="lowerLetter"/>
      <w:lvlText w:val="%5."/>
      <w:lvlJc w:val="left"/>
      <w:pPr>
        <w:ind w:left="3600" w:hanging="360"/>
      </w:pPr>
    </w:lvl>
    <w:lvl w:ilvl="5" w:tplc="979831B0" w:tentative="1">
      <w:start w:val="1"/>
      <w:numFmt w:val="lowerRoman"/>
      <w:lvlText w:val="%6."/>
      <w:lvlJc w:val="right"/>
      <w:pPr>
        <w:ind w:left="4320" w:hanging="180"/>
      </w:pPr>
    </w:lvl>
    <w:lvl w:ilvl="6" w:tplc="932A2B16" w:tentative="1">
      <w:start w:val="1"/>
      <w:numFmt w:val="decimal"/>
      <w:lvlText w:val="%7."/>
      <w:lvlJc w:val="left"/>
      <w:pPr>
        <w:ind w:left="5040" w:hanging="360"/>
      </w:pPr>
    </w:lvl>
    <w:lvl w:ilvl="7" w:tplc="4F8E5E14" w:tentative="1">
      <w:start w:val="1"/>
      <w:numFmt w:val="lowerLetter"/>
      <w:lvlText w:val="%8."/>
      <w:lvlJc w:val="left"/>
      <w:pPr>
        <w:ind w:left="5760" w:hanging="360"/>
      </w:pPr>
    </w:lvl>
    <w:lvl w:ilvl="8" w:tplc="7F9E6782" w:tentative="1">
      <w:start w:val="1"/>
      <w:numFmt w:val="lowerRoman"/>
      <w:lvlText w:val="%9."/>
      <w:lvlJc w:val="right"/>
      <w:pPr>
        <w:ind w:left="6480" w:hanging="180"/>
      </w:pPr>
    </w:lvl>
  </w:abstractNum>
  <w:abstractNum w:abstractNumId="32" w15:restartNumberingAfterBreak="0">
    <w:nsid w:val="69E24B6B"/>
    <w:multiLevelType w:val="multilevel"/>
    <w:tmpl w:val="0D049A4A"/>
    <w:lvl w:ilvl="0">
      <w:start w:val="1"/>
      <w:numFmt w:val="decimal"/>
      <w:pStyle w:val="PhotologNumber"/>
      <w:suff w:val="space"/>
      <w:lvlText w:val="Photograph %1:"/>
      <w:lvlJc w:val="left"/>
      <w:pPr>
        <w:ind w:left="0" w:firstLine="0"/>
      </w:pPr>
      <w:rPr>
        <w:rFonts w:asciiTheme="majorHAnsi" w:hAnsiTheme="majorHAnsi" w:hint="default"/>
        <w:b/>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8274333"/>
    <w:multiLevelType w:val="multilevel"/>
    <w:tmpl w:val="531CB01E"/>
    <w:numStyleLink w:val="TableNumbers"/>
  </w:abstractNum>
  <w:abstractNum w:abstractNumId="34" w15:restartNumberingAfterBreak="0">
    <w:nsid w:val="7BD455B9"/>
    <w:multiLevelType w:val="multilevel"/>
    <w:tmpl w:val="1BE694E6"/>
    <w:styleLink w:val="AppendixHeadings"/>
    <w:lvl w:ilvl="0">
      <w:start w:val="1"/>
      <w:numFmt w:val="upperLetter"/>
      <w:pStyle w:val="Heading9"/>
      <w:suff w:val="space"/>
      <w:lvlText w:val="Appendix %1."/>
      <w:lvlJc w:val="left"/>
      <w:pPr>
        <w:ind w:left="1985" w:hanging="1985"/>
      </w:pPr>
      <w:rPr>
        <w:rFonts w:hint="default"/>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379674563">
    <w:abstractNumId w:val="3"/>
  </w:num>
  <w:num w:numId="2" w16cid:durableId="1655571600">
    <w:abstractNumId w:val="4"/>
  </w:num>
  <w:num w:numId="3" w16cid:durableId="922302932">
    <w:abstractNumId w:val="27"/>
  </w:num>
  <w:num w:numId="4" w16cid:durableId="678890232">
    <w:abstractNumId w:val="31"/>
  </w:num>
  <w:num w:numId="5" w16cid:durableId="260376550">
    <w:abstractNumId w:val="20"/>
  </w:num>
  <w:num w:numId="6" w16cid:durableId="904486307">
    <w:abstractNumId w:val="22"/>
  </w:num>
  <w:num w:numId="7" w16cid:durableId="402021448">
    <w:abstractNumId w:val="0"/>
  </w:num>
  <w:num w:numId="8" w16cid:durableId="1501000840">
    <w:abstractNumId w:val="2"/>
  </w:num>
  <w:num w:numId="9" w16cid:durableId="1085109997">
    <w:abstractNumId w:val="26"/>
  </w:num>
  <w:num w:numId="10" w16cid:durableId="250434487">
    <w:abstractNumId w:val="23"/>
  </w:num>
  <w:num w:numId="11" w16cid:durableId="795639599">
    <w:abstractNumId w:val="25"/>
  </w:num>
  <w:num w:numId="12" w16cid:durableId="376242410">
    <w:abstractNumId w:val="8"/>
  </w:num>
  <w:num w:numId="13" w16cid:durableId="430711661">
    <w:abstractNumId w:val="10"/>
  </w:num>
  <w:num w:numId="14" w16cid:durableId="329065168">
    <w:abstractNumId w:val="28"/>
  </w:num>
  <w:num w:numId="15" w16cid:durableId="1416786292">
    <w:abstractNumId w:val="24"/>
  </w:num>
  <w:num w:numId="16" w16cid:durableId="1233079231">
    <w:abstractNumId w:val="12"/>
  </w:num>
  <w:num w:numId="17" w16cid:durableId="10729641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098446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08038262">
    <w:abstractNumId w:val="5"/>
  </w:num>
  <w:num w:numId="20" w16cid:durableId="1906377713">
    <w:abstractNumId w:val="1"/>
  </w:num>
  <w:num w:numId="21" w16cid:durableId="209343194">
    <w:abstractNumId w:val="15"/>
  </w:num>
  <w:num w:numId="22" w16cid:durableId="9596513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26597223">
    <w:abstractNumId w:val="7"/>
  </w:num>
  <w:num w:numId="24" w16cid:durableId="523254485">
    <w:abstractNumId w:val="14"/>
  </w:num>
  <w:num w:numId="25" w16cid:durableId="215898572">
    <w:abstractNumId w:val="6"/>
  </w:num>
  <w:num w:numId="26" w16cid:durableId="1504467520">
    <w:abstractNumId w:val="13"/>
  </w:num>
  <w:num w:numId="27" w16cid:durableId="2011907219">
    <w:abstractNumId w:val="32"/>
  </w:num>
  <w:num w:numId="28" w16cid:durableId="1453015535">
    <w:abstractNumId w:val="11"/>
  </w:num>
  <w:num w:numId="29" w16cid:durableId="2016112290">
    <w:abstractNumId w:val="29"/>
  </w:num>
  <w:num w:numId="30" w16cid:durableId="1045370266">
    <w:abstractNumId w:val="33"/>
  </w:num>
  <w:num w:numId="31" w16cid:durableId="2070111948">
    <w:abstractNumId w:val="16"/>
  </w:num>
  <w:num w:numId="32" w16cid:durableId="2147116456">
    <w:abstractNumId w:val="17"/>
  </w:num>
  <w:num w:numId="33" w16cid:durableId="359279707">
    <w:abstractNumId w:val="9"/>
  </w:num>
  <w:num w:numId="34" w16cid:durableId="212078989">
    <w:abstractNumId w:val="21"/>
  </w:num>
  <w:num w:numId="35" w16cid:durableId="672024729">
    <w:abstractNumId w:val="19"/>
  </w:num>
  <w:num w:numId="36" w16cid:durableId="441732159">
    <w:abstractNumId w:val="18"/>
  </w:num>
  <w:num w:numId="37" w16cid:durableId="1307053359">
    <w:abstractNumId w:val="30"/>
  </w:num>
  <w:num w:numId="38" w16cid:durableId="257100019">
    <w:abstractNumId w:val="34"/>
  </w:num>
  <w:num w:numId="39" w16cid:durableId="570990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4209010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9212270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9346776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0591801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44"/>
  <w:drawingGridVerticalSpacing w:val="144"/>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astSelectedNamespace" w:val="http://schemas.macroview.com.au/documentsettings"/>
  </w:docVars>
  <w:rsids>
    <w:rsidRoot w:val="00492A74"/>
    <w:rsid w:val="00000004"/>
    <w:rsid w:val="000006A9"/>
    <w:rsid w:val="0000134C"/>
    <w:rsid w:val="00001E9F"/>
    <w:rsid w:val="00001FD9"/>
    <w:rsid w:val="00002088"/>
    <w:rsid w:val="000025CA"/>
    <w:rsid w:val="000025F2"/>
    <w:rsid w:val="0000271B"/>
    <w:rsid w:val="00002D39"/>
    <w:rsid w:val="00002EF3"/>
    <w:rsid w:val="00003AD2"/>
    <w:rsid w:val="00003BE9"/>
    <w:rsid w:val="00003E2F"/>
    <w:rsid w:val="00003FF2"/>
    <w:rsid w:val="00004BA2"/>
    <w:rsid w:val="00004F9B"/>
    <w:rsid w:val="00005237"/>
    <w:rsid w:val="000058A6"/>
    <w:rsid w:val="00007361"/>
    <w:rsid w:val="00011C24"/>
    <w:rsid w:val="00011C59"/>
    <w:rsid w:val="0001212E"/>
    <w:rsid w:val="0001236B"/>
    <w:rsid w:val="000144C5"/>
    <w:rsid w:val="00014825"/>
    <w:rsid w:val="00014BA8"/>
    <w:rsid w:val="00014CF7"/>
    <w:rsid w:val="0001687B"/>
    <w:rsid w:val="000171CD"/>
    <w:rsid w:val="0001727E"/>
    <w:rsid w:val="0001754F"/>
    <w:rsid w:val="00017B6A"/>
    <w:rsid w:val="00017D9E"/>
    <w:rsid w:val="00020196"/>
    <w:rsid w:val="00020DB3"/>
    <w:rsid w:val="000214FF"/>
    <w:rsid w:val="00021CB2"/>
    <w:rsid w:val="00022A4D"/>
    <w:rsid w:val="000239F9"/>
    <w:rsid w:val="0002443C"/>
    <w:rsid w:val="0002445A"/>
    <w:rsid w:val="00025088"/>
    <w:rsid w:val="000252D8"/>
    <w:rsid w:val="00025A74"/>
    <w:rsid w:val="00025ACF"/>
    <w:rsid w:val="0002782F"/>
    <w:rsid w:val="00027BCB"/>
    <w:rsid w:val="00030BCA"/>
    <w:rsid w:val="00031BE3"/>
    <w:rsid w:val="00032466"/>
    <w:rsid w:val="00033C36"/>
    <w:rsid w:val="00034DBF"/>
    <w:rsid w:val="00040549"/>
    <w:rsid w:val="00040978"/>
    <w:rsid w:val="00040F02"/>
    <w:rsid w:val="000421DB"/>
    <w:rsid w:val="00043CAA"/>
    <w:rsid w:val="000449AA"/>
    <w:rsid w:val="00044FF2"/>
    <w:rsid w:val="00045532"/>
    <w:rsid w:val="00045D54"/>
    <w:rsid w:val="00046130"/>
    <w:rsid w:val="000463FE"/>
    <w:rsid w:val="000464CA"/>
    <w:rsid w:val="00046B55"/>
    <w:rsid w:val="000470D0"/>
    <w:rsid w:val="00047FAE"/>
    <w:rsid w:val="0005097C"/>
    <w:rsid w:val="00052C5D"/>
    <w:rsid w:val="0005480C"/>
    <w:rsid w:val="000552B0"/>
    <w:rsid w:val="000562C7"/>
    <w:rsid w:val="00056878"/>
    <w:rsid w:val="000578C5"/>
    <w:rsid w:val="000600E6"/>
    <w:rsid w:val="00060223"/>
    <w:rsid w:val="000608F9"/>
    <w:rsid w:val="00060C7A"/>
    <w:rsid w:val="000610A2"/>
    <w:rsid w:val="000612BD"/>
    <w:rsid w:val="00063687"/>
    <w:rsid w:val="00063973"/>
    <w:rsid w:val="0006489E"/>
    <w:rsid w:val="00065515"/>
    <w:rsid w:val="00066DE7"/>
    <w:rsid w:val="00067079"/>
    <w:rsid w:val="000705AB"/>
    <w:rsid w:val="0007079A"/>
    <w:rsid w:val="00070E46"/>
    <w:rsid w:val="000712A2"/>
    <w:rsid w:val="00071A27"/>
    <w:rsid w:val="00071CAA"/>
    <w:rsid w:val="0007262D"/>
    <w:rsid w:val="0007292A"/>
    <w:rsid w:val="00072CFE"/>
    <w:rsid w:val="00073109"/>
    <w:rsid w:val="0007371B"/>
    <w:rsid w:val="00074886"/>
    <w:rsid w:val="00075302"/>
    <w:rsid w:val="000753C4"/>
    <w:rsid w:val="000761D9"/>
    <w:rsid w:val="000773B9"/>
    <w:rsid w:val="000803B3"/>
    <w:rsid w:val="00080BB2"/>
    <w:rsid w:val="00081C55"/>
    <w:rsid w:val="000822F4"/>
    <w:rsid w:val="00082319"/>
    <w:rsid w:val="000825AA"/>
    <w:rsid w:val="00082FE9"/>
    <w:rsid w:val="000832AA"/>
    <w:rsid w:val="00083C5D"/>
    <w:rsid w:val="00084A35"/>
    <w:rsid w:val="00087814"/>
    <w:rsid w:val="00090AF4"/>
    <w:rsid w:val="00090C5F"/>
    <w:rsid w:val="000913C5"/>
    <w:rsid w:val="00091CED"/>
    <w:rsid w:val="000938ED"/>
    <w:rsid w:val="00093BC3"/>
    <w:rsid w:val="00094CF5"/>
    <w:rsid w:val="00095532"/>
    <w:rsid w:val="0009618B"/>
    <w:rsid w:val="00096C90"/>
    <w:rsid w:val="000A061B"/>
    <w:rsid w:val="000A0751"/>
    <w:rsid w:val="000A07A4"/>
    <w:rsid w:val="000A1B5A"/>
    <w:rsid w:val="000A254F"/>
    <w:rsid w:val="000A2F8E"/>
    <w:rsid w:val="000A3C09"/>
    <w:rsid w:val="000A487E"/>
    <w:rsid w:val="000A5B6B"/>
    <w:rsid w:val="000B03DD"/>
    <w:rsid w:val="000B0ED1"/>
    <w:rsid w:val="000B132D"/>
    <w:rsid w:val="000B15CD"/>
    <w:rsid w:val="000B23B9"/>
    <w:rsid w:val="000B25A0"/>
    <w:rsid w:val="000B2C7C"/>
    <w:rsid w:val="000B36A8"/>
    <w:rsid w:val="000B3904"/>
    <w:rsid w:val="000B3FC3"/>
    <w:rsid w:val="000B4645"/>
    <w:rsid w:val="000B4C9D"/>
    <w:rsid w:val="000B64EE"/>
    <w:rsid w:val="000B67BF"/>
    <w:rsid w:val="000C019E"/>
    <w:rsid w:val="000C28F2"/>
    <w:rsid w:val="000C29F2"/>
    <w:rsid w:val="000C2A60"/>
    <w:rsid w:val="000C2C36"/>
    <w:rsid w:val="000C4415"/>
    <w:rsid w:val="000C46BA"/>
    <w:rsid w:val="000C56DD"/>
    <w:rsid w:val="000C74ED"/>
    <w:rsid w:val="000C7C60"/>
    <w:rsid w:val="000C7EE0"/>
    <w:rsid w:val="000D1896"/>
    <w:rsid w:val="000D2D8B"/>
    <w:rsid w:val="000D380E"/>
    <w:rsid w:val="000D3FC4"/>
    <w:rsid w:val="000D403A"/>
    <w:rsid w:val="000D464C"/>
    <w:rsid w:val="000D4976"/>
    <w:rsid w:val="000D4E69"/>
    <w:rsid w:val="000D5996"/>
    <w:rsid w:val="000D6F6E"/>
    <w:rsid w:val="000D6FF3"/>
    <w:rsid w:val="000E07DF"/>
    <w:rsid w:val="000E0B2A"/>
    <w:rsid w:val="000E2D18"/>
    <w:rsid w:val="000E2F44"/>
    <w:rsid w:val="000E2F53"/>
    <w:rsid w:val="000E3960"/>
    <w:rsid w:val="000E3EF6"/>
    <w:rsid w:val="000E5C0D"/>
    <w:rsid w:val="000E62FF"/>
    <w:rsid w:val="000E7DC0"/>
    <w:rsid w:val="000F1404"/>
    <w:rsid w:val="000F197C"/>
    <w:rsid w:val="000F1991"/>
    <w:rsid w:val="000F2D4F"/>
    <w:rsid w:val="000F2FCE"/>
    <w:rsid w:val="000F4D2A"/>
    <w:rsid w:val="000F55EB"/>
    <w:rsid w:val="000F57C8"/>
    <w:rsid w:val="000F7A9F"/>
    <w:rsid w:val="000F7BE8"/>
    <w:rsid w:val="00100310"/>
    <w:rsid w:val="00100C07"/>
    <w:rsid w:val="00102B52"/>
    <w:rsid w:val="001030C8"/>
    <w:rsid w:val="0010323B"/>
    <w:rsid w:val="00103BF0"/>
    <w:rsid w:val="001045FF"/>
    <w:rsid w:val="0010641A"/>
    <w:rsid w:val="00106706"/>
    <w:rsid w:val="001076CF"/>
    <w:rsid w:val="00110248"/>
    <w:rsid w:val="00111D53"/>
    <w:rsid w:val="00111E71"/>
    <w:rsid w:val="0011206B"/>
    <w:rsid w:val="00112305"/>
    <w:rsid w:val="00113E36"/>
    <w:rsid w:val="0011559D"/>
    <w:rsid w:val="00116EFA"/>
    <w:rsid w:val="00117162"/>
    <w:rsid w:val="00117CCA"/>
    <w:rsid w:val="00117D03"/>
    <w:rsid w:val="00117E89"/>
    <w:rsid w:val="00120563"/>
    <w:rsid w:val="0012117E"/>
    <w:rsid w:val="0012141F"/>
    <w:rsid w:val="001218A9"/>
    <w:rsid w:val="00121AF8"/>
    <w:rsid w:val="0012290C"/>
    <w:rsid w:val="0012301A"/>
    <w:rsid w:val="00123FC9"/>
    <w:rsid w:val="00125E1C"/>
    <w:rsid w:val="001264DF"/>
    <w:rsid w:val="00126711"/>
    <w:rsid w:val="001277DA"/>
    <w:rsid w:val="00127850"/>
    <w:rsid w:val="0012785F"/>
    <w:rsid w:val="00130240"/>
    <w:rsid w:val="00130620"/>
    <w:rsid w:val="00130BEC"/>
    <w:rsid w:val="00130DCF"/>
    <w:rsid w:val="00132982"/>
    <w:rsid w:val="0013485A"/>
    <w:rsid w:val="00134FE6"/>
    <w:rsid w:val="00135334"/>
    <w:rsid w:val="00136205"/>
    <w:rsid w:val="0013642F"/>
    <w:rsid w:val="00136C3C"/>
    <w:rsid w:val="00137C6A"/>
    <w:rsid w:val="00141007"/>
    <w:rsid w:val="00141E02"/>
    <w:rsid w:val="00141EC5"/>
    <w:rsid w:val="001431A1"/>
    <w:rsid w:val="0014332E"/>
    <w:rsid w:val="0014421B"/>
    <w:rsid w:val="00144478"/>
    <w:rsid w:val="001445E4"/>
    <w:rsid w:val="0014475C"/>
    <w:rsid w:val="00145E7F"/>
    <w:rsid w:val="00146592"/>
    <w:rsid w:val="001465F2"/>
    <w:rsid w:val="0014665D"/>
    <w:rsid w:val="001466DE"/>
    <w:rsid w:val="00146DF9"/>
    <w:rsid w:val="00147074"/>
    <w:rsid w:val="001472C8"/>
    <w:rsid w:val="00147BC5"/>
    <w:rsid w:val="00147C51"/>
    <w:rsid w:val="00150C14"/>
    <w:rsid w:val="00151007"/>
    <w:rsid w:val="00151348"/>
    <w:rsid w:val="00151F2C"/>
    <w:rsid w:val="001522D9"/>
    <w:rsid w:val="00153A92"/>
    <w:rsid w:val="00154379"/>
    <w:rsid w:val="0015625F"/>
    <w:rsid w:val="001568D3"/>
    <w:rsid w:val="0015726B"/>
    <w:rsid w:val="001575B1"/>
    <w:rsid w:val="00161812"/>
    <w:rsid w:val="00162741"/>
    <w:rsid w:val="0016276A"/>
    <w:rsid w:val="00162FA5"/>
    <w:rsid w:val="0016410C"/>
    <w:rsid w:val="00164AEF"/>
    <w:rsid w:val="00164D4B"/>
    <w:rsid w:val="00164E3E"/>
    <w:rsid w:val="00165C0A"/>
    <w:rsid w:val="001661E6"/>
    <w:rsid w:val="001674EA"/>
    <w:rsid w:val="001674ED"/>
    <w:rsid w:val="00167740"/>
    <w:rsid w:val="00167932"/>
    <w:rsid w:val="00167D32"/>
    <w:rsid w:val="00170D0A"/>
    <w:rsid w:val="00171180"/>
    <w:rsid w:val="0017168F"/>
    <w:rsid w:val="00171E08"/>
    <w:rsid w:val="00172EFF"/>
    <w:rsid w:val="00173A43"/>
    <w:rsid w:val="00173ABA"/>
    <w:rsid w:val="00174830"/>
    <w:rsid w:val="0017508F"/>
    <w:rsid w:val="00180D68"/>
    <w:rsid w:val="00181280"/>
    <w:rsid w:val="001813AB"/>
    <w:rsid w:val="00181E85"/>
    <w:rsid w:val="00181EB8"/>
    <w:rsid w:val="00182D93"/>
    <w:rsid w:val="00183AB9"/>
    <w:rsid w:val="00183AE5"/>
    <w:rsid w:val="001840DC"/>
    <w:rsid w:val="001840F6"/>
    <w:rsid w:val="00186011"/>
    <w:rsid w:val="0018700A"/>
    <w:rsid w:val="001870A7"/>
    <w:rsid w:val="001872E8"/>
    <w:rsid w:val="0018772C"/>
    <w:rsid w:val="00190CA1"/>
    <w:rsid w:val="00193043"/>
    <w:rsid w:val="0019337C"/>
    <w:rsid w:val="00193631"/>
    <w:rsid w:val="001954A3"/>
    <w:rsid w:val="00195D2F"/>
    <w:rsid w:val="00195FD8"/>
    <w:rsid w:val="0019603C"/>
    <w:rsid w:val="00197971"/>
    <w:rsid w:val="001A0019"/>
    <w:rsid w:val="001A119B"/>
    <w:rsid w:val="001A1566"/>
    <w:rsid w:val="001A294E"/>
    <w:rsid w:val="001A29C0"/>
    <w:rsid w:val="001A2A7F"/>
    <w:rsid w:val="001A3136"/>
    <w:rsid w:val="001A3F47"/>
    <w:rsid w:val="001A3F4D"/>
    <w:rsid w:val="001A4D66"/>
    <w:rsid w:val="001A6B37"/>
    <w:rsid w:val="001B02C3"/>
    <w:rsid w:val="001B0628"/>
    <w:rsid w:val="001B0645"/>
    <w:rsid w:val="001B0667"/>
    <w:rsid w:val="001B3DE6"/>
    <w:rsid w:val="001B3EB2"/>
    <w:rsid w:val="001B423D"/>
    <w:rsid w:val="001B452A"/>
    <w:rsid w:val="001B4CF3"/>
    <w:rsid w:val="001B5641"/>
    <w:rsid w:val="001B56CC"/>
    <w:rsid w:val="001B5A6C"/>
    <w:rsid w:val="001B65D3"/>
    <w:rsid w:val="001B672C"/>
    <w:rsid w:val="001B68BA"/>
    <w:rsid w:val="001C03EB"/>
    <w:rsid w:val="001C166C"/>
    <w:rsid w:val="001C4EFF"/>
    <w:rsid w:val="001C5700"/>
    <w:rsid w:val="001C5899"/>
    <w:rsid w:val="001C5BE9"/>
    <w:rsid w:val="001C602D"/>
    <w:rsid w:val="001C6E4A"/>
    <w:rsid w:val="001C7158"/>
    <w:rsid w:val="001D0418"/>
    <w:rsid w:val="001D084C"/>
    <w:rsid w:val="001D15EE"/>
    <w:rsid w:val="001D1FF2"/>
    <w:rsid w:val="001D2B4A"/>
    <w:rsid w:val="001D34C7"/>
    <w:rsid w:val="001D3A7A"/>
    <w:rsid w:val="001D5396"/>
    <w:rsid w:val="001D54A9"/>
    <w:rsid w:val="001D6876"/>
    <w:rsid w:val="001D6E7E"/>
    <w:rsid w:val="001D7D35"/>
    <w:rsid w:val="001E00AD"/>
    <w:rsid w:val="001E0B65"/>
    <w:rsid w:val="001E11FD"/>
    <w:rsid w:val="001E1A72"/>
    <w:rsid w:val="001E2064"/>
    <w:rsid w:val="001E271B"/>
    <w:rsid w:val="001E310A"/>
    <w:rsid w:val="001E316A"/>
    <w:rsid w:val="001E3A92"/>
    <w:rsid w:val="001E3DD9"/>
    <w:rsid w:val="001E4D95"/>
    <w:rsid w:val="001E4E0A"/>
    <w:rsid w:val="001E547F"/>
    <w:rsid w:val="001E5D01"/>
    <w:rsid w:val="001E7EDE"/>
    <w:rsid w:val="001F213D"/>
    <w:rsid w:val="001F2281"/>
    <w:rsid w:val="001F381A"/>
    <w:rsid w:val="001F422E"/>
    <w:rsid w:val="001F4527"/>
    <w:rsid w:val="001F45E5"/>
    <w:rsid w:val="001F46C1"/>
    <w:rsid w:val="001F46FA"/>
    <w:rsid w:val="001F47F8"/>
    <w:rsid w:val="001F5219"/>
    <w:rsid w:val="001F64AA"/>
    <w:rsid w:val="001F64C0"/>
    <w:rsid w:val="001F66EC"/>
    <w:rsid w:val="001F6B32"/>
    <w:rsid w:val="001F6DCD"/>
    <w:rsid w:val="001F77B3"/>
    <w:rsid w:val="00200144"/>
    <w:rsid w:val="00200DC0"/>
    <w:rsid w:val="0020139F"/>
    <w:rsid w:val="0020292F"/>
    <w:rsid w:val="00202F1E"/>
    <w:rsid w:val="00203284"/>
    <w:rsid w:val="00203BB5"/>
    <w:rsid w:val="002051D6"/>
    <w:rsid w:val="0021064A"/>
    <w:rsid w:val="00211821"/>
    <w:rsid w:val="00211A29"/>
    <w:rsid w:val="00211DD1"/>
    <w:rsid w:val="0021306E"/>
    <w:rsid w:val="00213687"/>
    <w:rsid w:val="00213B30"/>
    <w:rsid w:val="002149D0"/>
    <w:rsid w:val="0021564E"/>
    <w:rsid w:val="0021587F"/>
    <w:rsid w:val="00215D33"/>
    <w:rsid w:val="00216B56"/>
    <w:rsid w:val="0021755B"/>
    <w:rsid w:val="00220778"/>
    <w:rsid w:val="00220A35"/>
    <w:rsid w:val="00220AFD"/>
    <w:rsid w:val="00222317"/>
    <w:rsid w:val="00222859"/>
    <w:rsid w:val="00222F57"/>
    <w:rsid w:val="00223553"/>
    <w:rsid w:val="00223A3A"/>
    <w:rsid w:val="0022484F"/>
    <w:rsid w:val="00224E42"/>
    <w:rsid w:val="00224F74"/>
    <w:rsid w:val="0022502A"/>
    <w:rsid w:val="002259FD"/>
    <w:rsid w:val="00226F76"/>
    <w:rsid w:val="0023016D"/>
    <w:rsid w:val="0023030C"/>
    <w:rsid w:val="00230F52"/>
    <w:rsid w:val="00231399"/>
    <w:rsid w:val="00231833"/>
    <w:rsid w:val="00231AA0"/>
    <w:rsid w:val="00232471"/>
    <w:rsid w:val="00232994"/>
    <w:rsid w:val="00232B69"/>
    <w:rsid w:val="00233EC7"/>
    <w:rsid w:val="00233F55"/>
    <w:rsid w:val="00234610"/>
    <w:rsid w:val="00235444"/>
    <w:rsid w:val="00236AB9"/>
    <w:rsid w:val="00236C1E"/>
    <w:rsid w:val="002376B9"/>
    <w:rsid w:val="002379D5"/>
    <w:rsid w:val="002400DB"/>
    <w:rsid w:val="00241707"/>
    <w:rsid w:val="002426FE"/>
    <w:rsid w:val="00242B7E"/>
    <w:rsid w:val="00244678"/>
    <w:rsid w:val="002446C0"/>
    <w:rsid w:val="00244BE2"/>
    <w:rsid w:val="00245172"/>
    <w:rsid w:val="002471A3"/>
    <w:rsid w:val="002500F5"/>
    <w:rsid w:val="00250342"/>
    <w:rsid w:val="00252E3B"/>
    <w:rsid w:val="00253AC3"/>
    <w:rsid w:val="00253F47"/>
    <w:rsid w:val="00254DDE"/>
    <w:rsid w:val="00255635"/>
    <w:rsid w:val="002564F8"/>
    <w:rsid w:val="00256AB9"/>
    <w:rsid w:val="00261760"/>
    <w:rsid w:val="00261899"/>
    <w:rsid w:val="00261D77"/>
    <w:rsid w:val="002627A6"/>
    <w:rsid w:val="00263E34"/>
    <w:rsid w:val="00265696"/>
    <w:rsid w:val="00265993"/>
    <w:rsid w:val="00265D54"/>
    <w:rsid w:val="002667C9"/>
    <w:rsid w:val="00266BD5"/>
    <w:rsid w:val="00266C2E"/>
    <w:rsid w:val="002674A0"/>
    <w:rsid w:val="00267FA8"/>
    <w:rsid w:val="00270235"/>
    <w:rsid w:val="00270C5E"/>
    <w:rsid w:val="00271B2E"/>
    <w:rsid w:val="00271BBA"/>
    <w:rsid w:val="00272A4F"/>
    <w:rsid w:val="00272E94"/>
    <w:rsid w:val="0027318F"/>
    <w:rsid w:val="002734C3"/>
    <w:rsid w:val="002738CF"/>
    <w:rsid w:val="00273F94"/>
    <w:rsid w:val="0027641D"/>
    <w:rsid w:val="00276B58"/>
    <w:rsid w:val="00276B9C"/>
    <w:rsid w:val="002779C6"/>
    <w:rsid w:val="00277B66"/>
    <w:rsid w:val="0028033A"/>
    <w:rsid w:val="002823A6"/>
    <w:rsid w:val="00283446"/>
    <w:rsid w:val="002844EB"/>
    <w:rsid w:val="002858E3"/>
    <w:rsid w:val="00285E35"/>
    <w:rsid w:val="00286484"/>
    <w:rsid w:val="00286A4A"/>
    <w:rsid w:val="00286AB4"/>
    <w:rsid w:val="002870B9"/>
    <w:rsid w:val="00287783"/>
    <w:rsid w:val="00287A8A"/>
    <w:rsid w:val="00287CE3"/>
    <w:rsid w:val="002903B6"/>
    <w:rsid w:val="00290475"/>
    <w:rsid w:val="00290D1E"/>
    <w:rsid w:val="00290EEA"/>
    <w:rsid w:val="0029153E"/>
    <w:rsid w:val="0029179C"/>
    <w:rsid w:val="00291AA7"/>
    <w:rsid w:val="00291EBB"/>
    <w:rsid w:val="00293377"/>
    <w:rsid w:val="002935D3"/>
    <w:rsid w:val="0029464D"/>
    <w:rsid w:val="00294874"/>
    <w:rsid w:val="00296AFD"/>
    <w:rsid w:val="00296BEE"/>
    <w:rsid w:val="002972FE"/>
    <w:rsid w:val="002978C8"/>
    <w:rsid w:val="002A0442"/>
    <w:rsid w:val="002A0C7E"/>
    <w:rsid w:val="002A0CF6"/>
    <w:rsid w:val="002A1165"/>
    <w:rsid w:val="002A20D6"/>
    <w:rsid w:val="002A30D1"/>
    <w:rsid w:val="002A3B29"/>
    <w:rsid w:val="002A4456"/>
    <w:rsid w:val="002A5A95"/>
    <w:rsid w:val="002A5BDA"/>
    <w:rsid w:val="002B1721"/>
    <w:rsid w:val="002B1874"/>
    <w:rsid w:val="002B1916"/>
    <w:rsid w:val="002B3522"/>
    <w:rsid w:val="002B38F3"/>
    <w:rsid w:val="002B3AE6"/>
    <w:rsid w:val="002B3D91"/>
    <w:rsid w:val="002B3FC7"/>
    <w:rsid w:val="002B453B"/>
    <w:rsid w:val="002B4A6B"/>
    <w:rsid w:val="002B5A44"/>
    <w:rsid w:val="002B5B16"/>
    <w:rsid w:val="002B6869"/>
    <w:rsid w:val="002B6B2D"/>
    <w:rsid w:val="002B74C4"/>
    <w:rsid w:val="002B7966"/>
    <w:rsid w:val="002B7E6B"/>
    <w:rsid w:val="002C03FF"/>
    <w:rsid w:val="002C21B7"/>
    <w:rsid w:val="002C245B"/>
    <w:rsid w:val="002C2BF2"/>
    <w:rsid w:val="002C5D6A"/>
    <w:rsid w:val="002C6ED1"/>
    <w:rsid w:val="002C74EF"/>
    <w:rsid w:val="002D03CC"/>
    <w:rsid w:val="002D117F"/>
    <w:rsid w:val="002D2E6B"/>
    <w:rsid w:val="002D3DAE"/>
    <w:rsid w:val="002D5868"/>
    <w:rsid w:val="002D5B69"/>
    <w:rsid w:val="002D5BF1"/>
    <w:rsid w:val="002D6A9D"/>
    <w:rsid w:val="002D7A04"/>
    <w:rsid w:val="002E11F3"/>
    <w:rsid w:val="002E13C8"/>
    <w:rsid w:val="002E1B03"/>
    <w:rsid w:val="002E2655"/>
    <w:rsid w:val="002E28FC"/>
    <w:rsid w:val="002E2AF6"/>
    <w:rsid w:val="002E31FF"/>
    <w:rsid w:val="002E3598"/>
    <w:rsid w:val="002E3899"/>
    <w:rsid w:val="002E39A3"/>
    <w:rsid w:val="002E5899"/>
    <w:rsid w:val="002E60EF"/>
    <w:rsid w:val="002E6DCB"/>
    <w:rsid w:val="002E731B"/>
    <w:rsid w:val="002F01CC"/>
    <w:rsid w:val="002F0DA3"/>
    <w:rsid w:val="002F1642"/>
    <w:rsid w:val="002F2637"/>
    <w:rsid w:val="002F3483"/>
    <w:rsid w:val="002F4502"/>
    <w:rsid w:val="002F5029"/>
    <w:rsid w:val="002F5AAB"/>
    <w:rsid w:val="00301F36"/>
    <w:rsid w:val="0030210A"/>
    <w:rsid w:val="003025E7"/>
    <w:rsid w:val="003031E0"/>
    <w:rsid w:val="003032FC"/>
    <w:rsid w:val="0030351C"/>
    <w:rsid w:val="00303AAC"/>
    <w:rsid w:val="00303B3C"/>
    <w:rsid w:val="00303B8A"/>
    <w:rsid w:val="00304131"/>
    <w:rsid w:val="003042EB"/>
    <w:rsid w:val="003046E1"/>
    <w:rsid w:val="0030527E"/>
    <w:rsid w:val="0030530B"/>
    <w:rsid w:val="00305B89"/>
    <w:rsid w:val="00307BA7"/>
    <w:rsid w:val="00310C00"/>
    <w:rsid w:val="00310E2F"/>
    <w:rsid w:val="00310F05"/>
    <w:rsid w:val="00311FB1"/>
    <w:rsid w:val="003122A6"/>
    <w:rsid w:val="00312B4F"/>
    <w:rsid w:val="00312C82"/>
    <w:rsid w:val="003134B6"/>
    <w:rsid w:val="0031571C"/>
    <w:rsid w:val="00315B24"/>
    <w:rsid w:val="00315F5F"/>
    <w:rsid w:val="003160DC"/>
    <w:rsid w:val="003166A2"/>
    <w:rsid w:val="00316B15"/>
    <w:rsid w:val="00317CBA"/>
    <w:rsid w:val="00321125"/>
    <w:rsid w:val="003212F2"/>
    <w:rsid w:val="00322B34"/>
    <w:rsid w:val="0032429E"/>
    <w:rsid w:val="00324B5B"/>
    <w:rsid w:val="00324B89"/>
    <w:rsid w:val="003253F8"/>
    <w:rsid w:val="0032540A"/>
    <w:rsid w:val="003258CB"/>
    <w:rsid w:val="003262DF"/>
    <w:rsid w:val="00326E5A"/>
    <w:rsid w:val="00327B5B"/>
    <w:rsid w:val="00330D6D"/>
    <w:rsid w:val="00331DC3"/>
    <w:rsid w:val="0033229D"/>
    <w:rsid w:val="00332FFB"/>
    <w:rsid w:val="003339BC"/>
    <w:rsid w:val="0033419F"/>
    <w:rsid w:val="0033521F"/>
    <w:rsid w:val="00335403"/>
    <w:rsid w:val="00335D26"/>
    <w:rsid w:val="003361A6"/>
    <w:rsid w:val="00337709"/>
    <w:rsid w:val="003407B6"/>
    <w:rsid w:val="00341383"/>
    <w:rsid w:val="00342EFA"/>
    <w:rsid w:val="0034410A"/>
    <w:rsid w:val="00346232"/>
    <w:rsid w:val="0034654A"/>
    <w:rsid w:val="003465F4"/>
    <w:rsid w:val="00347399"/>
    <w:rsid w:val="003475F6"/>
    <w:rsid w:val="0034762E"/>
    <w:rsid w:val="00350A06"/>
    <w:rsid w:val="00350FBF"/>
    <w:rsid w:val="003513B7"/>
    <w:rsid w:val="00351987"/>
    <w:rsid w:val="003529A1"/>
    <w:rsid w:val="00353872"/>
    <w:rsid w:val="003542FD"/>
    <w:rsid w:val="0035447E"/>
    <w:rsid w:val="003562B2"/>
    <w:rsid w:val="00360205"/>
    <w:rsid w:val="00360972"/>
    <w:rsid w:val="00360E66"/>
    <w:rsid w:val="00361395"/>
    <w:rsid w:val="00362498"/>
    <w:rsid w:val="003634D8"/>
    <w:rsid w:val="003634F6"/>
    <w:rsid w:val="00363E6F"/>
    <w:rsid w:val="003647C7"/>
    <w:rsid w:val="00364C05"/>
    <w:rsid w:val="00364DAE"/>
    <w:rsid w:val="003650E6"/>
    <w:rsid w:val="00365787"/>
    <w:rsid w:val="00365DF3"/>
    <w:rsid w:val="00367093"/>
    <w:rsid w:val="00370C2B"/>
    <w:rsid w:val="0037106C"/>
    <w:rsid w:val="00371181"/>
    <w:rsid w:val="003725B2"/>
    <w:rsid w:val="00372B54"/>
    <w:rsid w:val="00372C15"/>
    <w:rsid w:val="00372C7C"/>
    <w:rsid w:val="0037307E"/>
    <w:rsid w:val="00374C8C"/>
    <w:rsid w:val="0037521A"/>
    <w:rsid w:val="003777D3"/>
    <w:rsid w:val="00377A13"/>
    <w:rsid w:val="0038004B"/>
    <w:rsid w:val="003801FC"/>
    <w:rsid w:val="00381774"/>
    <w:rsid w:val="00382C71"/>
    <w:rsid w:val="00382F1A"/>
    <w:rsid w:val="00383136"/>
    <w:rsid w:val="0038375D"/>
    <w:rsid w:val="003840C8"/>
    <w:rsid w:val="00385559"/>
    <w:rsid w:val="003855E5"/>
    <w:rsid w:val="003858E9"/>
    <w:rsid w:val="0038698D"/>
    <w:rsid w:val="0038718C"/>
    <w:rsid w:val="00387920"/>
    <w:rsid w:val="00391007"/>
    <w:rsid w:val="0039100E"/>
    <w:rsid w:val="00392BA9"/>
    <w:rsid w:val="00392CA7"/>
    <w:rsid w:val="00392D1A"/>
    <w:rsid w:val="00393677"/>
    <w:rsid w:val="003939EE"/>
    <w:rsid w:val="00393DF2"/>
    <w:rsid w:val="003962BA"/>
    <w:rsid w:val="003973D0"/>
    <w:rsid w:val="00397732"/>
    <w:rsid w:val="00397B94"/>
    <w:rsid w:val="00397F27"/>
    <w:rsid w:val="003A0B66"/>
    <w:rsid w:val="003A207E"/>
    <w:rsid w:val="003A24FD"/>
    <w:rsid w:val="003A270C"/>
    <w:rsid w:val="003A35A5"/>
    <w:rsid w:val="003A3AB4"/>
    <w:rsid w:val="003A3FFE"/>
    <w:rsid w:val="003A4A28"/>
    <w:rsid w:val="003A4B95"/>
    <w:rsid w:val="003A566D"/>
    <w:rsid w:val="003A723D"/>
    <w:rsid w:val="003A785C"/>
    <w:rsid w:val="003A7EF0"/>
    <w:rsid w:val="003B0B5E"/>
    <w:rsid w:val="003B1696"/>
    <w:rsid w:val="003B23EB"/>
    <w:rsid w:val="003B2B01"/>
    <w:rsid w:val="003B30E2"/>
    <w:rsid w:val="003B5FDF"/>
    <w:rsid w:val="003B60F0"/>
    <w:rsid w:val="003B6719"/>
    <w:rsid w:val="003B69C4"/>
    <w:rsid w:val="003B6A50"/>
    <w:rsid w:val="003B76F9"/>
    <w:rsid w:val="003C0061"/>
    <w:rsid w:val="003C0634"/>
    <w:rsid w:val="003C0A27"/>
    <w:rsid w:val="003C1219"/>
    <w:rsid w:val="003C12CA"/>
    <w:rsid w:val="003C1D39"/>
    <w:rsid w:val="003C1E27"/>
    <w:rsid w:val="003C2FA8"/>
    <w:rsid w:val="003C30B3"/>
    <w:rsid w:val="003C3C33"/>
    <w:rsid w:val="003C3F34"/>
    <w:rsid w:val="003C3FB3"/>
    <w:rsid w:val="003C4A70"/>
    <w:rsid w:val="003C5225"/>
    <w:rsid w:val="003C54ED"/>
    <w:rsid w:val="003C5B93"/>
    <w:rsid w:val="003C6AE0"/>
    <w:rsid w:val="003C6D93"/>
    <w:rsid w:val="003C6DF2"/>
    <w:rsid w:val="003D08F6"/>
    <w:rsid w:val="003D0F0B"/>
    <w:rsid w:val="003D1674"/>
    <w:rsid w:val="003D1C3C"/>
    <w:rsid w:val="003D1F13"/>
    <w:rsid w:val="003D2529"/>
    <w:rsid w:val="003D2544"/>
    <w:rsid w:val="003D2552"/>
    <w:rsid w:val="003D269F"/>
    <w:rsid w:val="003D2B9A"/>
    <w:rsid w:val="003D2FCC"/>
    <w:rsid w:val="003D4237"/>
    <w:rsid w:val="003D4A8B"/>
    <w:rsid w:val="003D51D9"/>
    <w:rsid w:val="003D5C9E"/>
    <w:rsid w:val="003D71CE"/>
    <w:rsid w:val="003E0128"/>
    <w:rsid w:val="003E0557"/>
    <w:rsid w:val="003E0E77"/>
    <w:rsid w:val="003E1A01"/>
    <w:rsid w:val="003E2387"/>
    <w:rsid w:val="003E2917"/>
    <w:rsid w:val="003E293D"/>
    <w:rsid w:val="003E3640"/>
    <w:rsid w:val="003E4DDB"/>
    <w:rsid w:val="003E53A0"/>
    <w:rsid w:val="003E5FDF"/>
    <w:rsid w:val="003E61AD"/>
    <w:rsid w:val="003E6CCB"/>
    <w:rsid w:val="003E6D91"/>
    <w:rsid w:val="003E7769"/>
    <w:rsid w:val="003E7F5C"/>
    <w:rsid w:val="003F1213"/>
    <w:rsid w:val="003F1609"/>
    <w:rsid w:val="003F1741"/>
    <w:rsid w:val="003F2494"/>
    <w:rsid w:val="003F2E37"/>
    <w:rsid w:val="003F30F6"/>
    <w:rsid w:val="003F31B2"/>
    <w:rsid w:val="003F3C05"/>
    <w:rsid w:val="003F3D36"/>
    <w:rsid w:val="003F540F"/>
    <w:rsid w:val="003F6119"/>
    <w:rsid w:val="00400086"/>
    <w:rsid w:val="004004B6"/>
    <w:rsid w:val="00400A47"/>
    <w:rsid w:val="00400C72"/>
    <w:rsid w:val="00400EE3"/>
    <w:rsid w:val="004013A4"/>
    <w:rsid w:val="00401FB7"/>
    <w:rsid w:val="0040202A"/>
    <w:rsid w:val="00402448"/>
    <w:rsid w:val="00402611"/>
    <w:rsid w:val="00402D22"/>
    <w:rsid w:val="00402DA1"/>
    <w:rsid w:val="00404685"/>
    <w:rsid w:val="00405ABC"/>
    <w:rsid w:val="0040645A"/>
    <w:rsid w:val="004064BF"/>
    <w:rsid w:val="004104B3"/>
    <w:rsid w:val="0041099C"/>
    <w:rsid w:val="00412698"/>
    <w:rsid w:val="00412C03"/>
    <w:rsid w:val="00413F92"/>
    <w:rsid w:val="004140A5"/>
    <w:rsid w:val="00414541"/>
    <w:rsid w:val="004145F3"/>
    <w:rsid w:val="00414C42"/>
    <w:rsid w:val="00414E37"/>
    <w:rsid w:val="00414F27"/>
    <w:rsid w:val="0041598E"/>
    <w:rsid w:val="0041765A"/>
    <w:rsid w:val="004200FB"/>
    <w:rsid w:val="004244DE"/>
    <w:rsid w:val="00424C6F"/>
    <w:rsid w:val="004253AD"/>
    <w:rsid w:val="00425A16"/>
    <w:rsid w:val="00426CC5"/>
    <w:rsid w:val="00433AFC"/>
    <w:rsid w:val="00433D4A"/>
    <w:rsid w:val="00433E92"/>
    <w:rsid w:val="0043429D"/>
    <w:rsid w:val="004343CE"/>
    <w:rsid w:val="00434E36"/>
    <w:rsid w:val="004352F2"/>
    <w:rsid w:val="0043682C"/>
    <w:rsid w:val="00437576"/>
    <w:rsid w:val="0044095B"/>
    <w:rsid w:val="00440C6A"/>
    <w:rsid w:val="00441C4E"/>
    <w:rsid w:val="004425FC"/>
    <w:rsid w:val="0044266C"/>
    <w:rsid w:val="00442839"/>
    <w:rsid w:val="00442F2F"/>
    <w:rsid w:val="00442FD4"/>
    <w:rsid w:val="004430BA"/>
    <w:rsid w:val="00443195"/>
    <w:rsid w:val="0044319D"/>
    <w:rsid w:val="004449CD"/>
    <w:rsid w:val="00444AC2"/>
    <w:rsid w:val="0044500E"/>
    <w:rsid w:val="00445670"/>
    <w:rsid w:val="004464AC"/>
    <w:rsid w:val="00446A0B"/>
    <w:rsid w:val="0044713E"/>
    <w:rsid w:val="00450295"/>
    <w:rsid w:val="0045097A"/>
    <w:rsid w:val="00451692"/>
    <w:rsid w:val="004519FD"/>
    <w:rsid w:val="00451F3E"/>
    <w:rsid w:val="004526C2"/>
    <w:rsid w:val="00455008"/>
    <w:rsid w:val="0045516F"/>
    <w:rsid w:val="00455ADB"/>
    <w:rsid w:val="00455CF1"/>
    <w:rsid w:val="004569EB"/>
    <w:rsid w:val="00456ACF"/>
    <w:rsid w:val="00457493"/>
    <w:rsid w:val="00457892"/>
    <w:rsid w:val="00457A02"/>
    <w:rsid w:val="004602AC"/>
    <w:rsid w:val="00461126"/>
    <w:rsid w:val="004621A2"/>
    <w:rsid w:val="004641EA"/>
    <w:rsid w:val="004646EA"/>
    <w:rsid w:val="00464ABF"/>
    <w:rsid w:val="00465CD6"/>
    <w:rsid w:val="00466630"/>
    <w:rsid w:val="00467335"/>
    <w:rsid w:val="00467379"/>
    <w:rsid w:val="004674E7"/>
    <w:rsid w:val="00467719"/>
    <w:rsid w:val="004678CC"/>
    <w:rsid w:val="00470156"/>
    <w:rsid w:val="00471861"/>
    <w:rsid w:val="00472494"/>
    <w:rsid w:val="0047268F"/>
    <w:rsid w:val="0047272B"/>
    <w:rsid w:val="00472A73"/>
    <w:rsid w:val="00473DBC"/>
    <w:rsid w:val="00474906"/>
    <w:rsid w:val="0047496C"/>
    <w:rsid w:val="00474DE1"/>
    <w:rsid w:val="004759F6"/>
    <w:rsid w:val="00475F3E"/>
    <w:rsid w:val="00476897"/>
    <w:rsid w:val="00477183"/>
    <w:rsid w:val="00477EBE"/>
    <w:rsid w:val="004805B8"/>
    <w:rsid w:val="00481AAE"/>
    <w:rsid w:val="00482251"/>
    <w:rsid w:val="00482E2B"/>
    <w:rsid w:val="00484963"/>
    <w:rsid w:val="00484D20"/>
    <w:rsid w:val="00485433"/>
    <w:rsid w:val="0048653E"/>
    <w:rsid w:val="00487485"/>
    <w:rsid w:val="00487AEE"/>
    <w:rsid w:val="00487E7F"/>
    <w:rsid w:val="00492A74"/>
    <w:rsid w:val="004933BB"/>
    <w:rsid w:val="0049344C"/>
    <w:rsid w:val="00493F4C"/>
    <w:rsid w:val="00494A70"/>
    <w:rsid w:val="00494A92"/>
    <w:rsid w:val="0049534B"/>
    <w:rsid w:val="00496614"/>
    <w:rsid w:val="00496ED2"/>
    <w:rsid w:val="00497036"/>
    <w:rsid w:val="004970E2"/>
    <w:rsid w:val="00497219"/>
    <w:rsid w:val="004A08F5"/>
    <w:rsid w:val="004A2CD8"/>
    <w:rsid w:val="004A4AB4"/>
    <w:rsid w:val="004A4F86"/>
    <w:rsid w:val="004A5C6D"/>
    <w:rsid w:val="004A5D86"/>
    <w:rsid w:val="004A5FD6"/>
    <w:rsid w:val="004A6AB0"/>
    <w:rsid w:val="004A6BC2"/>
    <w:rsid w:val="004A71AC"/>
    <w:rsid w:val="004A7CFE"/>
    <w:rsid w:val="004B00D1"/>
    <w:rsid w:val="004B068B"/>
    <w:rsid w:val="004B086F"/>
    <w:rsid w:val="004B0AE9"/>
    <w:rsid w:val="004B1E2F"/>
    <w:rsid w:val="004B2105"/>
    <w:rsid w:val="004B2792"/>
    <w:rsid w:val="004B2ECC"/>
    <w:rsid w:val="004B532E"/>
    <w:rsid w:val="004B54A8"/>
    <w:rsid w:val="004B581D"/>
    <w:rsid w:val="004B5EB1"/>
    <w:rsid w:val="004B6282"/>
    <w:rsid w:val="004B6428"/>
    <w:rsid w:val="004B6764"/>
    <w:rsid w:val="004B6B0B"/>
    <w:rsid w:val="004B6B68"/>
    <w:rsid w:val="004B6C96"/>
    <w:rsid w:val="004C126F"/>
    <w:rsid w:val="004C19EA"/>
    <w:rsid w:val="004C1ABC"/>
    <w:rsid w:val="004C211C"/>
    <w:rsid w:val="004C23BB"/>
    <w:rsid w:val="004C2F10"/>
    <w:rsid w:val="004C2F52"/>
    <w:rsid w:val="004C35FD"/>
    <w:rsid w:val="004C38A9"/>
    <w:rsid w:val="004C3C03"/>
    <w:rsid w:val="004C4B3B"/>
    <w:rsid w:val="004C4D26"/>
    <w:rsid w:val="004C5650"/>
    <w:rsid w:val="004C7437"/>
    <w:rsid w:val="004D03F5"/>
    <w:rsid w:val="004D0559"/>
    <w:rsid w:val="004D05AC"/>
    <w:rsid w:val="004D16FE"/>
    <w:rsid w:val="004D319B"/>
    <w:rsid w:val="004D3272"/>
    <w:rsid w:val="004D35C9"/>
    <w:rsid w:val="004D3E31"/>
    <w:rsid w:val="004D4CDD"/>
    <w:rsid w:val="004D56F4"/>
    <w:rsid w:val="004D5FC6"/>
    <w:rsid w:val="004D65FF"/>
    <w:rsid w:val="004D6AB3"/>
    <w:rsid w:val="004D6E7C"/>
    <w:rsid w:val="004D738C"/>
    <w:rsid w:val="004D778B"/>
    <w:rsid w:val="004E010B"/>
    <w:rsid w:val="004E013E"/>
    <w:rsid w:val="004E2FD8"/>
    <w:rsid w:val="004E30A6"/>
    <w:rsid w:val="004E53E0"/>
    <w:rsid w:val="004E5EC5"/>
    <w:rsid w:val="004E648E"/>
    <w:rsid w:val="004E76E8"/>
    <w:rsid w:val="004E770D"/>
    <w:rsid w:val="004E7B02"/>
    <w:rsid w:val="004E7B23"/>
    <w:rsid w:val="004E7F78"/>
    <w:rsid w:val="004E7FFC"/>
    <w:rsid w:val="004F0035"/>
    <w:rsid w:val="004F0387"/>
    <w:rsid w:val="004F2927"/>
    <w:rsid w:val="004F2DE5"/>
    <w:rsid w:val="004F3539"/>
    <w:rsid w:val="004F3A07"/>
    <w:rsid w:val="004F3EC5"/>
    <w:rsid w:val="004F5F86"/>
    <w:rsid w:val="004F7EAB"/>
    <w:rsid w:val="00500994"/>
    <w:rsid w:val="00500DFF"/>
    <w:rsid w:val="0050166B"/>
    <w:rsid w:val="005021BC"/>
    <w:rsid w:val="00502ABD"/>
    <w:rsid w:val="00502DC6"/>
    <w:rsid w:val="0050523F"/>
    <w:rsid w:val="00505752"/>
    <w:rsid w:val="00505F48"/>
    <w:rsid w:val="005067AF"/>
    <w:rsid w:val="00506F26"/>
    <w:rsid w:val="00507FCA"/>
    <w:rsid w:val="0051052A"/>
    <w:rsid w:val="00511A34"/>
    <w:rsid w:val="00511FA1"/>
    <w:rsid w:val="00512148"/>
    <w:rsid w:val="00512898"/>
    <w:rsid w:val="00513663"/>
    <w:rsid w:val="00514487"/>
    <w:rsid w:val="00515426"/>
    <w:rsid w:val="00517004"/>
    <w:rsid w:val="005173A4"/>
    <w:rsid w:val="00517536"/>
    <w:rsid w:val="00520C34"/>
    <w:rsid w:val="0052158F"/>
    <w:rsid w:val="00521AA7"/>
    <w:rsid w:val="00522E45"/>
    <w:rsid w:val="00523011"/>
    <w:rsid w:val="005233C5"/>
    <w:rsid w:val="00524D2B"/>
    <w:rsid w:val="005254A5"/>
    <w:rsid w:val="00525A59"/>
    <w:rsid w:val="0052682D"/>
    <w:rsid w:val="00526E5C"/>
    <w:rsid w:val="00527988"/>
    <w:rsid w:val="00530718"/>
    <w:rsid w:val="005325C3"/>
    <w:rsid w:val="00534AEB"/>
    <w:rsid w:val="00535462"/>
    <w:rsid w:val="0053550D"/>
    <w:rsid w:val="0053599D"/>
    <w:rsid w:val="0053634A"/>
    <w:rsid w:val="005363B6"/>
    <w:rsid w:val="005368E5"/>
    <w:rsid w:val="00536905"/>
    <w:rsid w:val="00537AF7"/>
    <w:rsid w:val="00541403"/>
    <w:rsid w:val="005417D5"/>
    <w:rsid w:val="005420E0"/>
    <w:rsid w:val="005421DE"/>
    <w:rsid w:val="005434B2"/>
    <w:rsid w:val="00543F8B"/>
    <w:rsid w:val="00544F14"/>
    <w:rsid w:val="00545220"/>
    <w:rsid w:val="005456BB"/>
    <w:rsid w:val="005458C1"/>
    <w:rsid w:val="00547ED0"/>
    <w:rsid w:val="00547F14"/>
    <w:rsid w:val="00547F9A"/>
    <w:rsid w:val="0055050F"/>
    <w:rsid w:val="005505AA"/>
    <w:rsid w:val="00550A7E"/>
    <w:rsid w:val="00550E24"/>
    <w:rsid w:val="005516D1"/>
    <w:rsid w:val="00551982"/>
    <w:rsid w:val="00552795"/>
    <w:rsid w:val="00552B1D"/>
    <w:rsid w:val="00553853"/>
    <w:rsid w:val="00553B9B"/>
    <w:rsid w:val="0055456E"/>
    <w:rsid w:val="00554929"/>
    <w:rsid w:val="00557AC2"/>
    <w:rsid w:val="005606A0"/>
    <w:rsid w:val="005607A7"/>
    <w:rsid w:val="00561F79"/>
    <w:rsid w:val="00562E2D"/>
    <w:rsid w:val="00563197"/>
    <w:rsid w:val="00563405"/>
    <w:rsid w:val="00563E3A"/>
    <w:rsid w:val="00563E66"/>
    <w:rsid w:val="00564231"/>
    <w:rsid w:val="00564E19"/>
    <w:rsid w:val="0056522F"/>
    <w:rsid w:val="005655E4"/>
    <w:rsid w:val="0056636F"/>
    <w:rsid w:val="00566BE7"/>
    <w:rsid w:val="00567BCC"/>
    <w:rsid w:val="00567FD2"/>
    <w:rsid w:val="005706BA"/>
    <w:rsid w:val="005714FE"/>
    <w:rsid w:val="005715E9"/>
    <w:rsid w:val="005716A3"/>
    <w:rsid w:val="005724F0"/>
    <w:rsid w:val="00573214"/>
    <w:rsid w:val="00573493"/>
    <w:rsid w:val="005734D6"/>
    <w:rsid w:val="00573ABF"/>
    <w:rsid w:val="00574A74"/>
    <w:rsid w:val="00575EBC"/>
    <w:rsid w:val="005760AD"/>
    <w:rsid w:val="005772EC"/>
    <w:rsid w:val="0057730E"/>
    <w:rsid w:val="0057759F"/>
    <w:rsid w:val="00577B1A"/>
    <w:rsid w:val="00577B2F"/>
    <w:rsid w:val="00580B98"/>
    <w:rsid w:val="005837F2"/>
    <w:rsid w:val="005840C8"/>
    <w:rsid w:val="005855B7"/>
    <w:rsid w:val="00585698"/>
    <w:rsid w:val="00585843"/>
    <w:rsid w:val="00585EF9"/>
    <w:rsid w:val="005864F5"/>
    <w:rsid w:val="005904A9"/>
    <w:rsid w:val="00590F31"/>
    <w:rsid w:val="00591150"/>
    <w:rsid w:val="00591DFD"/>
    <w:rsid w:val="00592364"/>
    <w:rsid w:val="00592EA6"/>
    <w:rsid w:val="00594592"/>
    <w:rsid w:val="00595320"/>
    <w:rsid w:val="0059649A"/>
    <w:rsid w:val="0059655D"/>
    <w:rsid w:val="00596C1F"/>
    <w:rsid w:val="00597093"/>
    <w:rsid w:val="00597151"/>
    <w:rsid w:val="005979B5"/>
    <w:rsid w:val="005A194B"/>
    <w:rsid w:val="005A3274"/>
    <w:rsid w:val="005A3F02"/>
    <w:rsid w:val="005A40AE"/>
    <w:rsid w:val="005A4474"/>
    <w:rsid w:val="005A5056"/>
    <w:rsid w:val="005A63B0"/>
    <w:rsid w:val="005A6D82"/>
    <w:rsid w:val="005A7471"/>
    <w:rsid w:val="005A7997"/>
    <w:rsid w:val="005B0141"/>
    <w:rsid w:val="005B077C"/>
    <w:rsid w:val="005B0CAC"/>
    <w:rsid w:val="005B16EC"/>
    <w:rsid w:val="005B18EA"/>
    <w:rsid w:val="005B1AFA"/>
    <w:rsid w:val="005B26BE"/>
    <w:rsid w:val="005B29A5"/>
    <w:rsid w:val="005B3450"/>
    <w:rsid w:val="005B4C7B"/>
    <w:rsid w:val="005B4F12"/>
    <w:rsid w:val="005B5FA3"/>
    <w:rsid w:val="005B652E"/>
    <w:rsid w:val="005B75CF"/>
    <w:rsid w:val="005C0B21"/>
    <w:rsid w:val="005C1A1D"/>
    <w:rsid w:val="005C1EF7"/>
    <w:rsid w:val="005C25A2"/>
    <w:rsid w:val="005C35CC"/>
    <w:rsid w:val="005C37B5"/>
    <w:rsid w:val="005C39ED"/>
    <w:rsid w:val="005C3E79"/>
    <w:rsid w:val="005C41CC"/>
    <w:rsid w:val="005C4363"/>
    <w:rsid w:val="005C4681"/>
    <w:rsid w:val="005C4B4D"/>
    <w:rsid w:val="005C74B1"/>
    <w:rsid w:val="005C776C"/>
    <w:rsid w:val="005D15FE"/>
    <w:rsid w:val="005D1FD1"/>
    <w:rsid w:val="005D201C"/>
    <w:rsid w:val="005D3E29"/>
    <w:rsid w:val="005D4279"/>
    <w:rsid w:val="005D471F"/>
    <w:rsid w:val="005D4F1D"/>
    <w:rsid w:val="005D60D6"/>
    <w:rsid w:val="005D68A5"/>
    <w:rsid w:val="005D6D0C"/>
    <w:rsid w:val="005D78C5"/>
    <w:rsid w:val="005E0230"/>
    <w:rsid w:val="005E0ABF"/>
    <w:rsid w:val="005E17D5"/>
    <w:rsid w:val="005E272A"/>
    <w:rsid w:val="005E31F8"/>
    <w:rsid w:val="005E383C"/>
    <w:rsid w:val="005E3E9A"/>
    <w:rsid w:val="005E43B2"/>
    <w:rsid w:val="005E6168"/>
    <w:rsid w:val="005E64A3"/>
    <w:rsid w:val="005E69FE"/>
    <w:rsid w:val="005F053B"/>
    <w:rsid w:val="005F05C9"/>
    <w:rsid w:val="005F0A24"/>
    <w:rsid w:val="005F0AF7"/>
    <w:rsid w:val="005F0BD0"/>
    <w:rsid w:val="005F0F1E"/>
    <w:rsid w:val="005F1EB4"/>
    <w:rsid w:val="005F41F9"/>
    <w:rsid w:val="005F585E"/>
    <w:rsid w:val="005F6018"/>
    <w:rsid w:val="005F6508"/>
    <w:rsid w:val="005F7FF4"/>
    <w:rsid w:val="0060058E"/>
    <w:rsid w:val="006014A7"/>
    <w:rsid w:val="00602323"/>
    <w:rsid w:val="00602AA6"/>
    <w:rsid w:val="00604770"/>
    <w:rsid w:val="00604823"/>
    <w:rsid w:val="00604ADA"/>
    <w:rsid w:val="00604FFD"/>
    <w:rsid w:val="0060542F"/>
    <w:rsid w:val="00605553"/>
    <w:rsid w:val="00606E67"/>
    <w:rsid w:val="00607605"/>
    <w:rsid w:val="00607F9E"/>
    <w:rsid w:val="00610CC1"/>
    <w:rsid w:val="00610E8A"/>
    <w:rsid w:val="00610FE9"/>
    <w:rsid w:val="00611126"/>
    <w:rsid w:val="00612342"/>
    <w:rsid w:val="006128AD"/>
    <w:rsid w:val="006137EB"/>
    <w:rsid w:val="00613ED4"/>
    <w:rsid w:val="00614918"/>
    <w:rsid w:val="00614935"/>
    <w:rsid w:val="00614B3E"/>
    <w:rsid w:val="006160DB"/>
    <w:rsid w:val="006162A0"/>
    <w:rsid w:val="00616306"/>
    <w:rsid w:val="006166D9"/>
    <w:rsid w:val="006175CB"/>
    <w:rsid w:val="006207B9"/>
    <w:rsid w:val="00620827"/>
    <w:rsid w:val="00620886"/>
    <w:rsid w:val="006213C2"/>
    <w:rsid w:val="00622CBB"/>
    <w:rsid w:val="00623BE5"/>
    <w:rsid w:val="00623C95"/>
    <w:rsid w:val="00624148"/>
    <w:rsid w:val="0062429F"/>
    <w:rsid w:val="006249F8"/>
    <w:rsid w:val="00625650"/>
    <w:rsid w:val="00625BAE"/>
    <w:rsid w:val="00626896"/>
    <w:rsid w:val="006268B9"/>
    <w:rsid w:val="00627030"/>
    <w:rsid w:val="006300F4"/>
    <w:rsid w:val="006306A6"/>
    <w:rsid w:val="006308D0"/>
    <w:rsid w:val="0063486C"/>
    <w:rsid w:val="00634A5C"/>
    <w:rsid w:val="006353C4"/>
    <w:rsid w:val="0063569E"/>
    <w:rsid w:val="006367EF"/>
    <w:rsid w:val="00636D46"/>
    <w:rsid w:val="00636F1A"/>
    <w:rsid w:val="006408FC"/>
    <w:rsid w:val="00641449"/>
    <w:rsid w:val="00641749"/>
    <w:rsid w:val="00642EA0"/>
    <w:rsid w:val="006447C2"/>
    <w:rsid w:val="00644E2C"/>
    <w:rsid w:val="00645785"/>
    <w:rsid w:val="0064586A"/>
    <w:rsid w:val="0064608B"/>
    <w:rsid w:val="0064696E"/>
    <w:rsid w:val="006474EE"/>
    <w:rsid w:val="00651071"/>
    <w:rsid w:val="006512C6"/>
    <w:rsid w:val="0065141C"/>
    <w:rsid w:val="0065170B"/>
    <w:rsid w:val="00652047"/>
    <w:rsid w:val="00652390"/>
    <w:rsid w:val="006534C1"/>
    <w:rsid w:val="00654DEA"/>
    <w:rsid w:val="00655816"/>
    <w:rsid w:val="006574DB"/>
    <w:rsid w:val="00657A2B"/>
    <w:rsid w:val="0066080E"/>
    <w:rsid w:val="00660BE8"/>
    <w:rsid w:val="00660F0A"/>
    <w:rsid w:val="00661D11"/>
    <w:rsid w:val="00661DA6"/>
    <w:rsid w:val="00663893"/>
    <w:rsid w:val="00663948"/>
    <w:rsid w:val="006659BF"/>
    <w:rsid w:val="00666266"/>
    <w:rsid w:val="006663A5"/>
    <w:rsid w:val="00666B81"/>
    <w:rsid w:val="0066733F"/>
    <w:rsid w:val="006673EC"/>
    <w:rsid w:val="00667BB9"/>
    <w:rsid w:val="00667BDC"/>
    <w:rsid w:val="00667E56"/>
    <w:rsid w:val="00670231"/>
    <w:rsid w:val="00670A97"/>
    <w:rsid w:val="00670E57"/>
    <w:rsid w:val="00672A7E"/>
    <w:rsid w:val="00674C2B"/>
    <w:rsid w:val="0067505A"/>
    <w:rsid w:val="00675242"/>
    <w:rsid w:val="0067528C"/>
    <w:rsid w:val="00675D8D"/>
    <w:rsid w:val="00676C70"/>
    <w:rsid w:val="006773A8"/>
    <w:rsid w:val="006774A1"/>
    <w:rsid w:val="006778D8"/>
    <w:rsid w:val="00677B7C"/>
    <w:rsid w:val="006801BB"/>
    <w:rsid w:val="00680220"/>
    <w:rsid w:val="006804FF"/>
    <w:rsid w:val="006810A1"/>
    <w:rsid w:val="00681162"/>
    <w:rsid w:val="006819CF"/>
    <w:rsid w:val="00682085"/>
    <w:rsid w:val="00683CB7"/>
    <w:rsid w:val="00685463"/>
    <w:rsid w:val="00685A62"/>
    <w:rsid w:val="00686CBC"/>
    <w:rsid w:val="0068704B"/>
    <w:rsid w:val="006872E9"/>
    <w:rsid w:val="00687434"/>
    <w:rsid w:val="00687982"/>
    <w:rsid w:val="00687A37"/>
    <w:rsid w:val="00687B3F"/>
    <w:rsid w:val="00687DFD"/>
    <w:rsid w:val="006902C0"/>
    <w:rsid w:val="0069196A"/>
    <w:rsid w:val="0069228D"/>
    <w:rsid w:val="00692540"/>
    <w:rsid w:val="006925BF"/>
    <w:rsid w:val="00692720"/>
    <w:rsid w:val="00692CD9"/>
    <w:rsid w:val="006931FF"/>
    <w:rsid w:val="006935D7"/>
    <w:rsid w:val="00693784"/>
    <w:rsid w:val="00693EBD"/>
    <w:rsid w:val="00696250"/>
    <w:rsid w:val="00696855"/>
    <w:rsid w:val="00697243"/>
    <w:rsid w:val="00697CAE"/>
    <w:rsid w:val="006A07A2"/>
    <w:rsid w:val="006A0A6F"/>
    <w:rsid w:val="006A21AB"/>
    <w:rsid w:val="006A3098"/>
    <w:rsid w:val="006A3444"/>
    <w:rsid w:val="006A4230"/>
    <w:rsid w:val="006A4BCE"/>
    <w:rsid w:val="006A5731"/>
    <w:rsid w:val="006A57B8"/>
    <w:rsid w:val="006A5849"/>
    <w:rsid w:val="006A6038"/>
    <w:rsid w:val="006A65FE"/>
    <w:rsid w:val="006A6EF7"/>
    <w:rsid w:val="006A77CE"/>
    <w:rsid w:val="006A7B81"/>
    <w:rsid w:val="006A7F72"/>
    <w:rsid w:val="006B05DD"/>
    <w:rsid w:val="006B0E48"/>
    <w:rsid w:val="006B2272"/>
    <w:rsid w:val="006B347A"/>
    <w:rsid w:val="006B421C"/>
    <w:rsid w:val="006B511A"/>
    <w:rsid w:val="006B608B"/>
    <w:rsid w:val="006B6A98"/>
    <w:rsid w:val="006B6CC6"/>
    <w:rsid w:val="006B6DBC"/>
    <w:rsid w:val="006B6EA1"/>
    <w:rsid w:val="006B7196"/>
    <w:rsid w:val="006C0BE8"/>
    <w:rsid w:val="006C0DDA"/>
    <w:rsid w:val="006C14B1"/>
    <w:rsid w:val="006C2554"/>
    <w:rsid w:val="006C25B3"/>
    <w:rsid w:val="006C27D3"/>
    <w:rsid w:val="006C429F"/>
    <w:rsid w:val="006C45C3"/>
    <w:rsid w:val="006C462C"/>
    <w:rsid w:val="006C4F17"/>
    <w:rsid w:val="006C53EE"/>
    <w:rsid w:val="006C5736"/>
    <w:rsid w:val="006C58E8"/>
    <w:rsid w:val="006C691B"/>
    <w:rsid w:val="006C6A5D"/>
    <w:rsid w:val="006C74D6"/>
    <w:rsid w:val="006C762E"/>
    <w:rsid w:val="006C7DEE"/>
    <w:rsid w:val="006D0C60"/>
    <w:rsid w:val="006D0D50"/>
    <w:rsid w:val="006D1277"/>
    <w:rsid w:val="006D1475"/>
    <w:rsid w:val="006D229D"/>
    <w:rsid w:val="006D42FA"/>
    <w:rsid w:val="006D43D0"/>
    <w:rsid w:val="006D5E0A"/>
    <w:rsid w:val="006D5FB6"/>
    <w:rsid w:val="006D6DF7"/>
    <w:rsid w:val="006D75DD"/>
    <w:rsid w:val="006E04C5"/>
    <w:rsid w:val="006E13CB"/>
    <w:rsid w:val="006E211A"/>
    <w:rsid w:val="006E25C8"/>
    <w:rsid w:val="006E35F9"/>
    <w:rsid w:val="006E43B9"/>
    <w:rsid w:val="006E548A"/>
    <w:rsid w:val="006E5654"/>
    <w:rsid w:val="006E56A7"/>
    <w:rsid w:val="006E5E25"/>
    <w:rsid w:val="006E5EA9"/>
    <w:rsid w:val="006E5ECC"/>
    <w:rsid w:val="006E5F4E"/>
    <w:rsid w:val="006E65F5"/>
    <w:rsid w:val="006E74FB"/>
    <w:rsid w:val="006E7691"/>
    <w:rsid w:val="006F0CDD"/>
    <w:rsid w:val="006F157A"/>
    <w:rsid w:val="006F19BF"/>
    <w:rsid w:val="006F19F8"/>
    <w:rsid w:val="006F2FB6"/>
    <w:rsid w:val="006F3D5B"/>
    <w:rsid w:val="006F4965"/>
    <w:rsid w:val="006F4DA6"/>
    <w:rsid w:val="006F4DAA"/>
    <w:rsid w:val="006F4F9A"/>
    <w:rsid w:val="006F556D"/>
    <w:rsid w:val="006F6A29"/>
    <w:rsid w:val="006F7F1B"/>
    <w:rsid w:val="00703414"/>
    <w:rsid w:val="0070386E"/>
    <w:rsid w:val="00704ADC"/>
    <w:rsid w:val="00705825"/>
    <w:rsid w:val="00705EC7"/>
    <w:rsid w:val="00706223"/>
    <w:rsid w:val="007063A9"/>
    <w:rsid w:val="007103C3"/>
    <w:rsid w:val="00710A31"/>
    <w:rsid w:val="00710AE6"/>
    <w:rsid w:val="00711226"/>
    <w:rsid w:val="00711AEC"/>
    <w:rsid w:val="00712362"/>
    <w:rsid w:val="00712711"/>
    <w:rsid w:val="00712B95"/>
    <w:rsid w:val="00713CBF"/>
    <w:rsid w:val="00715907"/>
    <w:rsid w:val="00717DF5"/>
    <w:rsid w:val="00717EA0"/>
    <w:rsid w:val="00720FAE"/>
    <w:rsid w:val="00721DD4"/>
    <w:rsid w:val="00724756"/>
    <w:rsid w:val="00724FFE"/>
    <w:rsid w:val="00725C13"/>
    <w:rsid w:val="00725FC9"/>
    <w:rsid w:val="00726308"/>
    <w:rsid w:val="007266F4"/>
    <w:rsid w:val="007302D5"/>
    <w:rsid w:val="00732AAD"/>
    <w:rsid w:val="007330A6"/>
    <w:rsid w:val="0073381B"/>
    <w:rsid w:val="007341AE"/>
    <w:rsid w:val="00734A43"/>
    <w:rsid w:val="007353A8"/>
    <w:rsid w:val="00735E07"/>
    <w:rsid w:val="00736BD6"/>
    <w:rsid w:val="0074028B"/>
    <w:rsid w:val="00741457"/>
    <w:rsid w:val="00741BAF"/>
    <w:rsid w:val="00742BA7"/>
    <w:rsid w:val="007440A3"/>
    <w:rsid w:val="0074446D"/>
    <w:rsid w:val="00745AEE"/>
    <w:rsid w:val="00747152"/>
    <w:rsid w:val="00747D12"/>
    <w:rsid w:val="007502DD"/>
    <w:rsid w:val="0075145F"/>
    <w:rsid w:val="00752FBF"/>
    <w:rsid w:val="007549E9"/>
    <w:rsid w:val="00755B2D"/>
    <w:rsid w:val="00756BBB"/>
    <w:rsid w:val="0075783E"/>
    <w:rsid w:val="0076059D"/>
    <w:rsid w:val="00760D5A"/>
    <w:rsid w:val="00760EA2"/>
    <w:rsid w:val="00761051"/>
    <w:rsid w:val="00761DBB"/>
    <w:rsid w:val="007626AB"/>
    <w:rsid w:val="007639A4"/>
    <w:rsid w:val="00764922"/>
    <w:rsid w:val="007657E5"/>
    <w:rsid w:val="00765D89"/>
    <w:rsid w:val="00765E98"/>
    <w:rsid w:val="00766031"/>
    <w:rsid w:val="00767E98"/>
    <w:rsid w:val="00770E66"/>
    <w:rsid w:val="0077117E"/>
    <w:rsid w:val="007711F9"/>
    <w:rsid w:val="00771270"/>
    <w:rsid w:val="007713F8"/>
    <w:rsid w:val="00771493"/>
    <w:rsid w:val="00771654"/>
    <w:rsid w:val="00773265"/>
    <w:rsid w:val="00773476"/>
    <w:rsid w:val="00773A7E"/>
    <w:rsid w:val="00773BBF"/>
    <w:rsid w:val="00773D50"/>
    <w:rsid w:val="00773E1A"/>
    <w:rsid w:val="00774D68"/>
    <w:rsid w:val="00777D77"/>
    <w:rsid w:val="00777FB8"/>
    <w:rsid w:val="00780725"/>
    <w:rsid w:val="0078083B"/>
    <w:rsid w:val="007817EB"/>
    <w:rsid w:val="00781925"/>
    <w:rsid w:val="00781CA0"/>
    <w:rsid w:val="007824FA"/>
    <w:rsid w:val="00783945"/>
    <w:rsid w:val="007847D1"/>
    <w:rsid w:val="00785653"/>
    <w:rsid w:val="00785840"/>
    <w:rsid w:val="00785FA8"/>
    <w:rsid w:val="007879AF"/>
    <w:rsid w:val="007879BC"/>
    <w:rsid w:val="00787CE1"/>
    <w:rsid w:val="0079094C"/>
    <w:rsid w:val="00790BDB"/>
    <w:rsid w:val="0079116B"/>
    <w:rsid w:val="00793330"/>
    <w:rsid w:val="00793B86"/>
    <w:rsid w:val="00793E73"/>
    <w:rsid w:val="00794D4D"/>
    <w:rsid w:val="00794D96"/>
    <w:rsid w:val="0079508D"/>
    <w:rsid w:val="00795A44"/>
    <w:rsid w:val="00795ED0"/>
    <w:rsid w:val="0079681A"/>
    <w:rsid w:val="007968E7"/>
    <w:rsid w:val="00797778"/>
    <w:rsid w:val="007A01C0"/>
    <w:rsid w:val="007A07FC"/>
    <w:rsid w:val="007A1B83"/>
    <w:rsid w:val="007A3589"/>
    <w:rsid w:val="007A4309"/>
    <w:rsid w:val="007A563F"/>
    <w:rsid w:val="007A6254"/>
    <w:rsid w:val="007A6807"/>
    <w:rsid w:val="007A742C"/>
    <w:rsid w:val="007A7AD3"/>
    <w:rsid w:val="007B0473"/>
    <w:rsid w:val="007B0847"/>
    <w:rsid w:val="007B0C41"/>
    <w:rsid w:val="007B118F"/>
    <w:rsid w:val="007B15E3"/>
    <w:rsid w:val="007B1930"/>
    <w:rsid w:val="007B1D90"/>
    <w:rsid w:val="007B1DA2"/>
    <w:rsid w:val="007B1EB5"/>
    <w:rsid w:val="007B3EF0"/>
    <w:rsid w:val="007B4352"/>
    <w:rsid w:val="007B4893"/>
    <w:rsid w:val="007B4BF9"/>
    <w:rsid w:val="007B506D"/>
    <w:rsid w:val="007B5939"/>
    <w:rsid w:val="007B64F0"/>
    <w:rsid w:val="007B6825"/>
    <w:rsid w:val="007B6B67"/>
    <w:rsid w:val="007B6B8C"/>
    <w:rsid w:val="007B7FD0"/>
    <w:rsid w:val="007C046D"/>
    <w:rsid w:val="007C1210"/>
    <w:rsid w:val="007C24DC"/>
    <w:rsid w:val="007C2BF8"/>
    <w:rsid w:val="007C32DF"/>
    <w:rsid w:val="007C4214"/>
    <w:rsid w:val="007C4997"/>
    <w:rsid w:val="007C54FB"/>
    <w:rsid w:val="007C5D58"/>
    <w:rsid w:val="007C5E0C"/>
    <w:rsid w:val="007D1199"/>
    <w:rsid w:val="007D2B8E"/>
    <w:rsid w:val="007D2BA5"/>
    <w:rsid w:val="007D3C06"/>
    <w:rsid w:val="007D4215"/>
    <w:rsid w:val="007D45BF"/>
    <w:rsid w:val="007D467C"/>
    <w:rsid w:val="007D49BB"/>
    <w:rsid w:val="007D4CE0"/>
    <w:rsid w:val="007D6257"/>
    <w:rsid w:val="007D75D1"/>
    <w:rsid w:val="007D7730"/>
    <w:rsid w:val="007D784C"/>
    <w:rsid w:val="007E0717"/>
    <w:rsid w:val="007E0B3F"/>
    <w:rsid w:val="007E0F38"/>
    <w:rsid w:val="007E1126"/>
    <w:rsid w:val="007E22D5"/>
    <w:rsid w:val="007E2651"/>
    <w:rsid w:val="007E2998"/>
    <w:rsid w:val="007E5FD2"/>
    <w:rsid w:val="007E60FD"/>
    <w:rsid w:val="007E725B"/>
    <w:rsid w:val="007F050C"/>
    <w:rsid w:val="007F3853"/>
    <w:rsid w:val="007F3D05"/>
    <w:rsid w:val="007F414F"/>
    <w:rsid w:val="007F49D7"/>
    <w:rsid w:val="007F4EEA"/>
    <w:rsid w:val="007F612D"/>
    <w:rsid w:val="007F619D"/>
    <w:rsid w:val="007F65F5"/>
    <w:rsid w:val="007F6AEC"/>
    <w:rsid w:val="007F6B41"/>
    <w:rsid w:val="007F6C0B"/>
    <w:rsid w:val="007F6F74"/>
    <w:rsid w:val="007F728D"/>
    <w:rsid w:val="0080019B"/>
    <w:rsid w:val="00800E92"/>
    <w:rsid w:val="00801D61"/>
    <w:rsid w:val="00801F57"/>
    <w:rsid w:val="00801FA0"/>
    <w:rsid w:val="008037A5"/>
    <w:rsid w:val="00804059"/>
    <w:rsid w:val="008044BB"/>
    <w:rsid w:val="008064BE"/>
    <w:rsid w:val="008071D8"/>
    <w:rsid w:val="00811103"/>
    <w:rsid w:val="0081174E"/>
    <w:rsid w:val="00811ED8"/>
    <w:rsid w:val="00812EC1"/>
    <w:rsid w:val="0081318D"/>
    <w:rsid w:val="00813976"/>
    <w:rsid w:val="0081569B"/>
    <w:rsid w:val="00815738"/>
    <w:rsid w:val="00815942"/>
    <w:rsid w:val="00816113"/>
    <w:rsid w:val="00816356"/>
    <w:rsid w:val="00816A98"/>
    <w:rsid w:val="00817B77"/>
    <w:rsid w:val="00817E19"/>
    <w:rsid w:val="008202F1"/>
    <w:rsid w:val="00821175"/>
    <w:rsid w:val="00821CE3"/>
    <w:rsid w:val="00821D93"/>
    <w:rsid w:val="008245EE"/>
    <w:rsid w:val="008256B5"/>
    <w:rsid w:val="00825AB0"/>
    <w:rsid w:val="00825E0C"/>
    <w:rsid w:val="00826493"/>
    <w:rsid w:val="0082653B"/>
    <w:rsid w:val="008265C4"/>
    <w:rsid w:val="00827D37"/>
    <w:rsid w:val="008301BC"/>
    <w:rsid w:val="0083162A"/>
    <w:rsid w:val="00831E5C"/>
    <w:rsid w:val="0083255D"/>
    <w:rsid w:val="00832A44"/>
    <w:rsid w:val="008332CA"/>
    <w:rsid w:val="008341B4"/>
    <w:rsid w:val="00834E37"/>
    <w:rsid w:val="00835580"/>
    <w:rsid w:val="00836E02"/>
    <w:rsid w:val="00836E10"/>
    <w:rsid w:val="00836F1E"/>
    <w:rsid w:val="00842712"/>
    <w:rsid w:val="00842745"/>
    <w:rsid w:val="00842C86"/>
    <w:rsid w:val="00843756"/>
    <w:rsid w:val="00843AEF"/>
    <w:rsid w:val="00843BEF"/>
    <w:rsid w:val="00843F28"/>
    <w:rsid w:val="00844139"/>
    <w:rsid w:val="00844C9C"/>
    <w:rsid w:val="00845274"/>
    <w:rsid w:val="00845809"/>
    <w:rsid w:val="0084669A"/>
    <w:rsid w:val="0085099D"/>
    <w:rsid w:val="00850EA8"/>
    <w:rsid w:val="00852FA7"/>
    <w:rsid w:val="008554A2"/>
    <w:rsid w:val="00857630"/>
    <w:rsid w:val="008619CD"/>
    <w:rsid w:val="0086330F"/>
    <w:rsid w:val="00864BD8"/>
    <w:rsid w:val="00864C41"/>
    <w:rsid w:val="00865737"/>
    <w:rsid w:val="00865F1E"/>
    <w:rsid w:val="0086622B"/>
    <w:rsid w:val="00870478"/>
    <w:rsid w:val="00871491"/>
    <w:rsid w:val="00871B29"/>
    <w:rsid w:val="00871F97"/>
    <w:rsid w:val="0087288A"/>
    <w:rsid w:val="00872A8B"/>
    <w:rsid w:val="00872BAA"/>
    <w:rsid w:val="008758C7"/>
    <w:rsid w:val="00875A22"/>
    <w:rsid w:val="00875DCE"/>
    <w:rsid w:val="008766CD"/>
    <w:rsid w:val="00876787"/>
    <w:rsid w:val="0087755B"/>
    <w:rsid w:val="0087772C"/>
    <w:rsid w:val="00880A32"/>
    <w:rsid w:val="008813FF"/>
    <w:rsid w:val="0088280F"/>
    <w:rsid w:val="008842E3"/>
    <w:rsid w:val="00884FCD"/>
    <w:rsid w:val="00885AD9"/>
    <w:rsid w:val="00885F52"/>
    <w:rsid w:val="008861B0"/>
    <w:rsid w:val="00886650"/>
    <w:rsid w:val="00886F42"/>
    <w:rsid w:val="00887A74"/>
    <w:rsid w:val="00887C17"/>
    <w:rsid w:val="008917AC"/>
    <w:rsid w:val="00891A7C"/>
    <w:rsid w:val="008924DD"/>
    <w:rsid w:val="0089298E"/>
    <w:rsid w:val="00893862"/>
    <w:rsid w:val="00894ACB"/>
    <w:rsid w:val="00894C74"/>
    <w:rsid w:val="00894C7D"/>
    <w:rsid w:val="00895921"/>
    <w:rsid w:val="00895F50"/>
    <w:rsid w:val="0089713E"/>
    <w:rsid w:val="00897A85"/>
    <w:rsid w:val="008A0969"/>
    <w:rsid w:val="008A0D0D"/>
    <w:rsid w:val="008A2766"/>
    <w:rsid w:val="008A3CF7"/>
    <w:rsid w:val="008A45D7"/>
    <w:rsid w:val="008A4AC9"/>
    <w:rsid w:val="008A4CEE"/>
    <w:rsid w:val="008A55F1"/>
    <w:rsid w:val="008A5A5C"/>
    <w:rsid w:val="008A6868"/>
    <w:rsid w:val="008A6AF1"/>
    <w:rsid w:val="008A6B67"/>
    <w:rsid w:val="008A6D8B"/>
    <w:rsid w:val="008A7E24"/>
    <w:rsid w:val="008B019C"/>
    <w:rsid w:val="008B277A"/>
    <w:rsid w:val="008B2FE1"/>
    <w:rsid w:val="008B3347"/>
    <w:rsid w:val="008B3669"/>
    <w:rsid w:val="008B45C7"/>
    <w:rsid w:val="008B59CC"/>
    <w:rsid w:val="008B619B"/>
    <w:rsid w:val="008B748E"/>
    <w:rsid w:val="008C1793"/>
    <w:rsid w:val="008C18A1"/>
    <w:rsid w:val="008C1DDB"/>
    <w:rsid w:val="008C2EB8"/>
    <w:rsid w:val="008C2F64"/>
    <w:rsid w:val="008C4715"/>
    <w:rsid w:val="008C4E1E"/>
    <w:rsid w:val="008C5659"/>
    <w:rsid w:val="008C58CF"/>
    <w:rsid w:val="008C72F2"/>
    <w:rsid w:val="008C7EC8"/>
    <w:rsid w:val="008C7F1F"/>
    <w:rsid w:val="008D021D"/>
    <w:rsid w:val="008D092B"/>
    <w:rsid w:val="008D10AE"/>
    <w:rsid w:val="008D127F"/>
    <w:rsid w:val="008D1CCE"/>
    <w:rsid w:val="008D25F6"/>
    <w:rsid w:val="008D2D15"/>
    <w:rsid w:val="008D36DC"/>
    <w:rsid w:val="008D41BD"/>
    <w:rsid w:val="008D4593"/>
    <w:rsid w:val="008D4B2E"/>
    <w:rsid w:val="008D4C7D"/>
    <w:rsid w:val="008D5DEA"/>
    <w:rsid w:val="008D6779"/>
    <w:rsid w:val="008D76DE"/>
    <w:rsid w:val="008E02D5"/>
    <w:rsid w:val="008E0318"/>
    <w:rsid w:val="008E08DB"/>
    <w:rsid w:val="008E112C"/>
    <w:rsid w:val="008E1511"/>
    <w:rsid w:val="008E1B7C"/>
    <w:rsid w:val="008E2979"/>
    <w:rsid w:val="008E2C63"/>
    <w:rsid w:val="008E484D"/>
    <w:rsid w:val="008E5C49"/>
    <w:rsid w:val="008E63A2"/>
    <w:rsid w:val="008E67F7"/>
    <w:rsid w:val="008E6DF5"/>
    <w:rsid w:val="008E7432"/>
    <w:rsid w:val="008E79D7"/>
    <w:rsid w:val="008F0A37"/>
    <w:rsid w:val="008F1243"/>
    <w:rsid w:val="008F1724"/>
    <w:rsid w:val="008F20D2"/>
    <w:rsid w:val="008F307E"/>
    <w:rsid w:val="008F3439"/>
    <w:rsid w:val="008F3526"/>
    <w:rsid w:val="008F3FB1"/>
    <w:rsid w:val="008F48AA"/>
    <w:rsid w:val="008F494F"/>
    <w:rsid w:val="008F5221"/>
    <w:rsid w:val="008F5352"/>
    <w:rsid w:val="008F5361"/>
    <w:rsid w:val="008F59E2"/>
    <w:rsid w:val="008F5DF9"/>
    <w:rsid w:val="008F69AE"/>
    <w:rsid w:val="008F7D49"/>
    <w:rsid w:val="009025BB"/>
    <w:rsid w:val="00903AEE"/>
    <w:rsid w:val="009048A4"/>
    <w:rsid w:val="00904A6A"/>
    <w:rsid w:val="0090580C"/>
    <w:rsid w:val="0090593F"/>
    <w:rsid w:val="009059BF"/>
    <w:rsid w:val="00905D55"/>
    <w:rsid w:val="009062C1"/>
    <w:rsid w:val="009069B7"/>
    <w:rsid w:val="00906CF0"/>
    <w:rsid w:val="00907689"/>
    <w:rsid w:val="00907C07"/>
    <w:rsid w:val="009129AC"/>
    <w:rsid w:val="00912CA5"/>
    <w:rsid w:val="00912CF7"/>
    <w:rsid w:val="00913AF8"/>
    <w:rsid w:val="00913DC7"/>
    <w:rsid w:val="0091480F"/>
    <w:rsid w:val="00914F52"/>
    <w:rsid w:val="00916749"/>
    <w:rsid w:val="00916AEE"/>
    <w:rsid w:val="00917168"/>
    <w:rsid w:val="00917C92"/>
    <w:rsid w:val="00917E22"/>
    <w:rsid w:val="009201EC"/>
    <w:rsid w:val="00920442"/>
    <w:rsid w:val="00920B66"/>
    <w:rsid w:val="009236A0"/>
    <w:rsid w:val="00924D05"/>
    <w:rsid w:val="009251A8"/>
    <w:rsid w:val="009253EA"/>
    <w:rsid w:val="00926043"/>
    <w:rsid w:val="00926A48"/>
    <w:rsid w:val="00926B7F"/>
    <w:rsid w:val="00931C5B"/>
    <w:rsid w:val="00931D99"/>
    <w:rsid w:val="00931F5C"/>
    <w:rsid w:val="00931F99"/>
    <w:rsid w:val="0093225D"/>
    <w:rsid w:val="0093250A"/>
    <w:rsid w:val="00933E8C"/>
    <w:rsid w:val="00933F21"/>
    <w:rsid w:val="009340C0"/>
    <w:rsid w:val="00934315"/>
    <w:rsid w:val="00935032"/>
    <w:rsid w:val="009352DD"/>
    <w:rsid w:val="00935F50"/>
    <w:rsid w:val="00936350"/>
    <w:rsid w:val="00941042"/>
    <w:rsid w:val="00943188"/>
    <w:rsid w:val="00943BFD"/>
    <w:rsid w:val="00944680"/>
    <w:rsid w:val="00945C2C"/>
    <w:rsid w:val="00947507"/>
    <w:rsid w:val="00947E1B"/>
    <w:rsid w:val="0095189C"/>
    <w:rsid w:val="009520CF"/>
    <w:rsid w:val="009525AB"/>
    <w:rsid w:val="0095373F"/>
    <w:rsid w:val="00954139"/>
    <w:rsid w:val="00954427"/>
    <w:rsid w:val="00954D4E"/>
    <w:rsid w:val="0095592B"/>
    <w:rsid w:val="00955B07"/>
    <w:rsid w:val="0095611B"/>
    <w:rsid w:val="00957053"/>
    <w:rsid w:val="0096006B"/>
    <w:rsid w:val="009607F8"/>
    <w:rsid w:val="00960FEC"/>
    <w:rsid w:val="00961D5A"/>
    <w:rsid w:val="009621E7"/>
    <w:rsid w:val="009623E3"/>
    <w:rsid w:val="00963610"/>
    <w:rsid w:val="00963DDB"/>
    <w:rsid w:val="00965038"/>
    <w:rsid w:val="009654A8"/>
    <w:rsid w:val="009657F8"/>
    <w:rsid w:val="00965ACD"/>
    <w:rsid w:val="00965CF1"/>
    <w:rsid w:val="00965D72"/>
    <w:rsid w:val="00965DCF"/>
    <w:rsid w:val="009661BD"/>
    <w:rsid w:val="009713B9"/>
    <w:rsid w:val="00971750"/>
    <w:rsid w:val="00972B55"/>
    <w:rsid w:val="00972FF9"/>
    <w:rsid w:val="009740E6"/>
    <w:rsid w:val="00974A83"/>
    <w:rsid w:val="00974D64"/>
    <w:rsid w:val="00975B18"/>
    <w:rsid w:val="00975B85"/>
    <w:rsid w:val="00977162"/>
    <w:rsid w:val="009775BD"/>
    <w:rsid w:val="009801E4"/>
    <w:rsid w:val="0098067C"/>
    <w:rsid w:val="00980926"/>
    <w:rsid w:val="00980DA0"/>
    <w:rsid w:val="0098113E"/>
    <w:rsid w:val="0098134C"/>
    <w:rsid w:val="00981C2C"/>
    <w:rsid w:val="0098294D"/>
    <w:rsid w:val="009838EC"/>
    <w:rsid w:val="00984C37"/>
    <w:rsid w:val="00984EA7"/>
    <w:rsid w:val="00985F3A"/>
    <w:rsid w:val="00985FD3"/>
    <w:rsid w:val="00986140"/>
    <w:rsid w:val="009936B6"/>
    <w:rsid w:val="00994255"/>
    <w:rsid w:val="0099432C"/>
    <w:rsid w:val="00994348"/>
    <w:rsid w:val="0099507D"/>
    <w:rsid w:val="0099508D"/>
    <w:rsid w:val="00995820"/>
    <w:rsid w:val="00996695"/>
    <w:rsid w:val="00996BE1"/>
    <w:rsid w:val="00997E85"/>
    <w:rsid w:val="009A04D1"/>
    <w:rsid w:val="009A0ECC"/>
    <w:rsid w:val="009A1071"/>
    <w:rsid w:val="009A17F7"/>
    <w:rsid w:val="009A1DAB"/>
    <w:rsid w:val="009A22CF"/>
    <w:rsid w:val="009A2B03"/>
    <w:rsid w:val="009A35C8"/>
    <w:rsid w:val="009A3617"/>
    <w:rsid w:val="009A4172"/>
    <w:rsid w:val="009A5E4A"/>
    <w:rsid w:val="009A61BF"/>
    <w:rsid w:val="009A6308"/>
    <w:rsid w:val="009A690E"/>
    <w:rsid w:val="009B01DE"/>
    <w:rsid w:val="009B0F35"/>
    <w:rsid w:val="009B175E"/>
    <w:rsid w:val="009B1D0C"/>
    <w:rsid w:val="009B207B"/>
    <w:rsid w:val="009B287A"/>
    <w:rsid w:val="009B2AD4"/>
    <w:rsid w:val="009B2C18"/>
    <w:rsid w:val="009B2E81"/>
    <w:rsid w:val="009B3095"/>
    <w:rsid w:val="009B3A99"/>
    <w:rsid w:val="009B3E84"/>
    <w:rsid w:val="009B65FD"/>
    <w:rsid w:val="009B7058"/>
    <w:rsid w:val="009C0939"/>
    <w:rsid w:val="009C1A0F"/>
    <w:rsid w:val="009C2CED"/>
    <w:rsid w:val="009C31CC"/>
    <w:rsid w:val="009C39DD"/>
    <w:rsid w:val="009C49B4"/>
    <w:rsid w:val="009C51CF"/>
    <w:rsid w:val="009C5456"/>
    <w:rsid w:val="009C67FE"/>
    <w:rsid w:val="009C6B2A"/>
    <w:rsid w:val="009C73D0"/>
    <w:rsid w:val="009C7473"/>
    <w:rsid w:val="009D0D46"/>
    <w:rsid w:val="009D1E6C"/>
    <w:rsid w:val="009D2C84"/>
    <w:rsid w:val="009D3D05"/>
    <w:rsid w:val="009D441E"/>
    <w:rsid w:val="009D497B"/>
    <w:rsid w:val="009D57D7"/>
    <w:rsid w:val="009E01B3"/>
    <w:rsid w:val="009E0ABF"/>
    <w:rsid w:val="009E2768"/>
    <w:rsid w:val="009E3055"/>
    <w:rsid w:val="009E3D29"/>
    <w:rsid w:val="009E428A"/>
    <w:rsid w:val="009E4472"/>
    <w:rsid w:val="009E6D57"/>
    <w:rsid w:val="009E7105"/>
    <w:rsid w:val="009E752C"/>
    <w:rsid w:val="009F07DF"/>
    <w:rsid w:val="009F09B6"/>
    <w:rsid w:val="009F12B8"/>
    <w:rsid w:val="009F24D5"/>
    <w:rsid w:val="009F3AAF"/>
    <w:rsid w:val="009F4512"/>
    <w:rsid w:val="009F4AF8"/>
    <w:rsid w:val="009F550B"/>
    <w:rsid w:val="009F597B"/>
    <w:rsid w:val="00A0079A"/>
    <w:rsid w:val="00A00D62"/>
    <w:rsid w:val="00A01429"/>
    <w:rsid w:val="00A01999"/>
    <w:rsid w:val="00A02179"/>
    <w:rsid w:val="00A03203"/>
    <w:rsid w:val="00A034F7"/>
    <w:rsid w:val="00A03927"/>
    <w:rsid w:val="00A04981"/>
    <w:rsid w:val="00A04A28"/>
    <w:rsid w:val="00A054D5"/>
    <w:rsid w:val="00A06453"/>
    <w:rsid w:val="00A0716F"/>
    <w:rsid w:val="00A10BE7"/>
    <w:rsid w:val="00A11249"/>
    <w:rsid w:val="00A11543"/>
    <w:rsid w:val="00A11571"/>
    <w:rsid w:val="00A118A0"/>
    <w:rsid w:val="00A12358"/>
    <w:rsid w:val="00A135F7"/>
    <w:rsid w:val="00A140D5"/>
    <w:rsid w:val="00A14196"/>
    <w:rsid w:val="00A14965"/>
    <w:rsid w:val="00A14CEC"/>
    <w:rsid w:val="00A22183"/>
    <w:rsid w:val="00A22F23"/>
    <w:rsid w:val="00A23036"/>
    <w:rsid w:val="00A2367C"/>
    <w:rsid w:val="00A24E0B"/>
    <w:rsid w:val="00A276CC"/>
    <w:rsid w:val="00A276F6"/>
    <w:rsid w:val="00A309A1"/>
    <w:rsid w:val="00A31C12"/>
    <w:rsid w:val="00A32E71"/>
    <w:rsid w:val="00A32F10"/>
    <w:rsid w:val="00A32F9D"/>
    <w:rsid w:val="00A33026"/>
    <w:rsid w:val="00A3325B"/>
    <w:rsid w:val="00A3338F"/>
    <w:rsid w:val="00A346D1"/>
    <w:rsid w:val="00A357DA"/>
    <w:rsid w:val="00A358D8"/>
    <w:rsid w:val="00A36C8D"/>
    <w:rsid w:val="00A377C3"/>
    <w:rsid w:val="00A37F72"/>
    <w:rsid w:val="00A4126F"/>
    <w:rsid w:val="00A412A6"/>
    <w:rsid w:val="00A41E1B"/>
    <w:rsid w:val="00A42247"/>
    <w:rsid w:val="00A42499"/>
    <w:rsid w:val="00A42AB3"/>
    <w:rsid w:val="00A4329E"/>
    <w:rsid w:val="00A44D4D"/>
    <w:rsid w:val="00A454B8"/>
    <w:rsid w:val="00A45834"/>
    <w:rsid w:val="00A45F88"/>
    <w:rsid w:val="00A46420"/>
    <w:rsid w:val="00A47642"/>
    <w:rsid w:val="00A527EC"/>
    <w:rsid w:val="00A52807"/>
    <w:rsid w:val="00A5442C"/>
    <w:rsid w:val="00A54973"/>
    <w:rsid w:val="00A55AA3"/>
    <w:rsid w:val="00A56F26"/>
    <w:rsid w:val="00A6140A"/>
    <w:rsid w:val="00A61A42"/>
    <w:rsid w:val="00A61B0B"/>
    <w:rsid w:val="00A6205E"/>
    <w:rsid w:val="00A6226F"/>
    <w:rsid w:val="00A632E4"/>
    <w:rsid w:val="00A63C74"/>
    <w:rsid w:val="00A63E82"/>
    <w:rsid w:val="00A641A3"/>
    <w:rsid w:val="00A6672F"/>
    <w:rsid w:val="00A66AA9"/>
    <w:rsid w:val="00A66ACA"/>
    <w:rsid w:val="00A67C06"/>
    <w:rsid w:val="00A67C55"/>
    <w:rsid w:val="00A717CF"/>
    <w:rsid w:val="00A71877"/>
    <w:rsid w:val="00A720D0"/>
    <w:rsid w:val="00A723E9"/>
    <w:rsid w:val="00A72425"/>
    <w:rsid w:val="00A725AA"/>
    <w:rsid w:val="00A7274A"/>
    <w:rsid w:val="00A738E2"/>
    <w:rsid w:val="00A73DE2"/>
    <w:rsid w:val="00A7465A"/>
    <w:rsid w:val="00A76EA6"/>
    <w:rsid w:val="00A7707E"/>
    <w:rsid w:val="00A80C7E"/>
    <w:rsid w:val="00A81889"/>
    <w:rsid w:val="00A81BFE"/>
    <w:rsid w:val="00A84884"/>
    <w:rsid w:val="00A84992"/>
    <w:rsid w:val="00A84F72"/>
    <w:rsid w:val="00A8503A"/>
    <w:rsid w:val="00A85BE4"/>
    <w:rsid w:val="00A86FC3"/>
    <w:rsid w:val="00A90659"/>
    <w:rsid w:val="00A91318"/>
    <w:rsid w:val="00A9423C"/>
    <w:rsid w:val="00A94363"/>
    <w:rsid w:val="00A9449E"/>
    <w:rsid w:val="00A94915"/>
    <w:rsid w:val="00A95461"/>
    <w:rsid w:val="00A964E0"/>
    <w:rsid w:val="00A964F5"/>
    <w:rsid w:val="00AA06DE"/>
    <w:rsid w:val="00AA1978"/>
    <w:rsid w:val="00AA1EE9"/>
    <w:rsid w:val="00AA23AD"/>
    <w:rsid w:val="00AA2524"/>
    <w:rsid w:val="00AA3AC7"/>
    <w:rsid w:val="00AA3BEA"/>
    <w:rsid w:val="00AA4433"/>
    <w:rsid w:val="00AA459F"/>
    <w:rsid w:val="00AA4B46"/>
    <w:rsid w:val="00AA569B"/>
    <w:rsid w:val="00AA5882"/>
    <w:rsid w:val="00AB0218"/>
    <w:rsid w:val="00AB0E64"/>
    <w:rsid w:val="00AB1101"/>
    <w:rsid w:val="00AB15EF"/>
    <w:rsid w:val="00AB20E6"/>
    <w:rsid w:val="00AB2342"/>
    <w:rsid w:val="00AB311F"/>
    <w:rsid w:val="00AB3953"/>
    <w:rsid w:val="00AB3ED2"/>
    <w:rsid w:val="00AB3F69"/>
    <w:rsid w:val="00AB46D7"/>
    <w:rsid w:val="00AB53C3"/>
    <w:rsid w:val="00AB5DCE"/>
    <w:rsid w:val="00AB7C85"/>
    <w:rsid w:val="00AC0020"/>
    <w:rsid w:val="00AC010D"/>
    <w:rsid w:val="00AC14A9"/>
    <w:rsid w:val="00AC1EA2"/>
    <w:rsid w:val="00AC302F"/>
    <w:rsid w:val="00AC3A46"/>
    <w:rsid w:val="00AC41DD"/>
    <w:rsid w:val="00AC4EAA"/>
    <w:rsid w:val="00AC5062"/>
    <w:rsid w:val="00AC5643"/>
    <w:rsid w:val="00AC595E"/>
    <w:rsid w:val="00AC5AA3"/>
    <w:rsid w:val="00AC608B"/>
    <w:rsid w:val="00AC6A56"/>
    <w:rsid w:val="00AC6F92"/>
    <w:rsid w:val="00AC7B1C"/>
    <w:rsid w:val="00AD2549"/>
    <w:rsid w:val="00AD588D"/>
    <w:rsid w:val="00AD5B49"/>
    <w:rsid w:val="00AD6D4F"/>
    <w:rsid w:val="00AD6E46"/>
    <w:rsid w:val="00AD763B"/>
    <w:rsid w:val="00AD79F4"/>
    <w:rsid w:val="00AE077D"/>
    <w:rsid w:val="00AE1145"/>
    <w:rsid w:val="00AE142B"/>
    <w:rsid w:val="00AE14A7"/>
    <w:rsid w:val="00AE34E5"/>
    <w:rsid w:val="00AE35DA"/>
    <w:rsid w:val="00AE48B1"/>
    <w:rsid w:val="00AE49D1"/>
    <w:rsid w:val="00AE4A48"/>
    <w:rsid w:val="00AE4B7A"/>
    <w:rsid w:val="00AE56C6"/>
    <w:rsid w:val="00AE57EC"/>
    <w:rsid w:val="00AE5B7D"/>
    <w:rsid w:val="00AE5E85"/>
    <w:rsid w:val="00AF2A19"/>
    <w:rsid w:val="00AF2D90"/>
    <w:rsid w:val="00AF31EB"/>
    <w:rsid w:val="00AF3AE8"/>
    <w:rsid w:val="00AF4046"/>
    <w:rsid w:val="00AF4B69"/>
    <w:rsid w:val="00AF4D0F"/>
    <w:rsid w:val="00AF62DD"/>
    <w:rsid w:val="00AF633E"/>
    <w:rsid w:val="00AF6A9F"/>
    <w:rsid w:val="00AF6D4E"/>
    <w:rsid w:val="00AF792C"/>
    <w:rsid w:val="00B00E53"/>
    <w:rsid w:val="00B01E14"/>
    <w:rsid w:val="00B01E99"/>
    <w:rsid w:val="00B020F2"/>
    <w:rsid w:val="00B0236E"/>
    <w:rsid w:val="00B0424A"/>
    <w:rsid w:val="00B05C84"/>
    <w:rsid w:val="00B05E98"/>
    <w:rsid w:val="00B063AB"/>
    <w:rsid w:val="00B06C02"/>
    <w:rsid w:val="00B0749F"/>
    <w:rsid w:val="00B07707"/>
    <w:rsid w:val="00B07D98"/>
    <w:rsid w:val="00B1181B"/>
    <w:rsid w:val="00B11F6E"/>
    <w:rsid w:val="00B12128"/>
    <w:rsid w:val="00B1411E"/>
    <w:rsid w:val="00B15A58"/>
    <w:rsid w:val="00B16712"/>
    <w:rsid w:val="00B17244"/>
    <w:rsid w:val="00B17530"/>
    <w:rsid w:val="00B20596"/>
    <w:rsid w:val="00B20B46"/>
    <w:rsid w:val="00B21599"/>
    <w:rsid w:val="00B2192D"/>
    <w:rsid w:val="00B22550"/>
    <w:rsid w:val="00B2295B"/>
    <w:rsid w:val="00B22AA0"/>
    <w:rsid w:val="00B23F4F"/>
    <w:rsid w:val="00B242EB"/>
    <w:rsid w:val="00B2668C"/>
    <w:rsid w:val="00B3004A"/>
    <w:rsid w:val="00B329B3"/>
    <w:rsid w:val="00B32B3C"/>
    <w:rsid w:val="00B338B7"/>
    <w:rsid w:val="00B36A05"/>
    <w:rsid w:val="00B36EB8"/>
    <w:rsid w:val="00B3725D"/>
    <w:rsid w:val="00B37F9A"/>
    <w:rsid w:val="00B41950"/>
    <w:rsid w:val="00B41C6B"/>
    <w:rsid w:val="00B46D23"/>
    <w:rsid w:val="00B46DCF"/>
    <w:rsid w:val="00B46F37"/>
    <w:rsid w:val="00B47178"/>
    <w:rsid w:val="00B4771B"/>
    <w:rsid w:val="00B47ECE"/>
    <w:rsid w:val="00B51E09"/>
    <w:rsid w:val="00B52095"/>
    <w:rsid w:val="00B522BF"/>
    <w:rsid w:val="00B53551"/>
    <w:rsid w:val="00B54F9A"/>
    <w:rsid w:val="00B55D47"/>
    <w:rsid w:val="00B57B91"/>
    <w:rsid w:val="00B60B9E"/>
    <w:rsid w:val="00B6270B"/>
    <w:rsid w:val="00B628AD"/>
    <w:rsid w:val="00B62BB3"/>
    <w:rsid w:val="00B62D01"/>
    <w:rsid w:val="00B64A2E"/>
    <w:rsid w:val="00B64F92"/>
    <w:rsid w:val="00B652F7"/>
    <w:rsid w:val="00B6543B"/>
    <w:rsid w:val="00B65779"/>
    <w:rsid w:val="00B65A46"/>
    <w:rsid w:val="00B65EF2"/>
    <w:rsid w:val="00B66024"/>
    <w:rsid w:val="00B661AC"/>
    <w:rsid w:val="00B670E3"/>
    <w:rsid w:val="00B6735D"/>
    <w:rsid w:val="00B67A92"/>
    <w:rsid w:val="00B707CE"/>
    <w:rsid w:val="00B7109E"/>
    <w:rsid w:val="00B7129A"/>
    <w:rsid w:val="00B716BC"/>
    <w:rsid w:val="00B71D81"/>
    <w:rsid w:val="00B72163"/>
    <w:rsid w:val="00B729B7"/>
    <w:rsid w:val="00B72C27"/>
    <w:rsid w:val="00B73BE6"/>
    <w:rsid w:val="00B74A00"/>
    <w:rsid w:val="00B767EE"/>
    <w:rsid w:val="00B76AAD"/>
    <w:rsid w:val="00B776F4"/>
    <w:rsid w:val="00B77A13"/>
    <w:rsid w:val="00B80FF7"/>
    <w:rsid w:val="00B81D01"/>
    <w:rsid w:val="00B825DD"/>
    <w:rsid w:val="00B8299B"/>
    <w:rsid w:val="00B82AFD"/>
    <w:rsid w:val="00B849D0"/>
    <w:rsid w:val="00B84E0F"/>
    <w:rsid w:val="00B84ED3"/>
    <w:rsid w:val="00B85982"/>
    <w:rsid w:val="00B85A29"/>
    <w:rsid w:val="00B85B2C"/>
    <w:rsid w:val="00B85CB2"/>
    <w:rsid w:val="00B8795B"/>
    <w:rsid w:val="00B87A61"/>
    <w:rsid w:val="00B87C1F"/>
    <w:rsid w:val="00B900D8"/>
    <w:rsid w:val="00B906D2"/>
    <w:rsid w:val="00B90B1A"/>
    <w:rsid w:val="00B91682"/>
    <w:rsid w:val="00B91690"/>
    <w:rsid w:val="00B91F5B"/>
    <w:rsid w:val="00B92B5E"/>
    <w:rsid w:val="00B92E92"/>
    <w:rsid w:val="00B93025"/>
    <w:rsid w:val="00B945D7"/>
    <w:rsid w:val="00B94A56"/>
    <w:rsid w:val="00B953A5"/>
    <w:rsid w:val="00B95749"/>
    <w:rsid w:val="00B962C2"/>
    <w:rsid w:val="00B9678D"/>
    <w:rsid w:val="00B96B25"/>
    <w:rsid w:val="00B97404"/>
    <w:rsid w:val="00B97873"/>
    <w:rsid w:val="00BA0067"/>
    <w:rsid w:val="00BA027D"/>
    <w:rsid w:val="00BA02E8"/>
    <w:rsid w:val="00BA04C4"/>
    <w:rsid w:val="00BA04F8"/>
    <w:rsid w:val="00BA0667"/>
    <w:rsid w:val="00BA1280"/>
    <w:rsid w:val="00BA17A9"/>
    <w:rsid w:val="00BA19A8"/>
    <w:rsid w:val="00BA1FFD"/>
    <w:rsid w:val="00BA25F1"/>
    <w:rsid w:val="00BA2CF6"/>
    <w:rsid w:val="00BA300B"/>
    <w:rsid w:val="00BA5E06"/>
    <w:rsid w:val="00BA60A4"/>
    <w:rsid w:val="00BA72B8"/>
    <w:rsid w:val="00BB12DE"/>
    <w:rsid w:val="00BB17D5"/>
    <w:rsid w:val="00BB29E8"/>
    <w:rsid w:val="00BB3981"/>
    <w:rsid w:val="00BB4904"/>
    <w:rsid w:val="00BB6CB4"/>
    <w:rsid w:val="00BB6D14"/>
    <w:rsid w:val="00BB7939"/>
    <w:rsid w:val="00BB7A32"/>
    <w:rsid w:val="00BC069C"/>
    <w:rsid w:val="00BC14E0"/>
    <w:rsid w:val="00BC2EE9"/>
    <w:rsid w:val="00BC2FA1"/>
    <w:rsid w:val="00BC31AE"/>
    <w:rsid w:val="00BC404C"/>
    <w:rsid w:val="00BC51B7"/>
    <w:rsid w:val="00BC549B"/>
    <w:rsid w:val="00BC5BE8"/>
    <w:rsid w:val="00BC5EAB"/>
    <w:rsid w:val="00BC6203"/>
    <w:rsid w:val="00BC62F5"/>
    <w:rsid w:val="00BC68EF"/>
    <w:rsid w:val="00BC730A"/>
    <w:rsid w:val="00BC779E"/>
    <w:rsid w:val="00BC7905"/>
    <w:rsid w:val="00BD0645"/>
    <w:rsid w:val="00BD0D97"/>
    <w:rsid w:val="00BD0F87"/>
    <w:rsid w:val="00BD16E2"/>
    <w:rsid w:val="00BD1EDC"/>
    <w:rsid w:val="00BD1FFF"/>
    <w:rsid w:val="00BD2F98"/>
    <w:rsid w:val="00BD3279"/>
    <w:rsid w:val="00BD3D8C"/>
    <w:rsid w:val="00BD4398"/>
    <w:rsid w:val="00BD48B7"/>
    <w:rsid w:val="00BD5362"/>
    <w:rsid w:val="00BD56BB"/>
    <w:rsid w:val="00BD5BE5"/>
    <w:rsid w:val="00BD5C9C"/>
    <w:rsid w:val="00BD5D2D"/>
    <w:rsid w:val="00BD6221"/>
    <w:rsid w:val="00BD66A1"/>
    <w:rsid w:val="00BD7CB2"/>
    <w:rsid w:val="00BD7EBB"/>
    <w:rsid w:val="00BE001E"/>
    <w:rsid w:val="00BE1A59"/>
    <w:rsid w:val="00BE51E2"/>
    <w:rsid w:val="00BE63A8"/>
    <w:rsid w:val="00BE6BE0"/>
    <w:rsid w:val="00BE6C48"/>
    <w:rsid w:val="00BE6E62"/>
    <w:rsid w:val="00BE6FAF"/>
    <w:rsid w:val="00BF00E3"/>
    <w:rsid w:val="00BF1006"/>
    <w:rsid w:val="00BF1141"/>
    <w:rsid w:val="00BF188D"/>
    <w:rsid w:val="00BF2424"/>
    <w:rsid w:val="00BF2C69"/>
    <w:rsid w:val="00BF414F"/>
    <w:rsid w:val="00BF4A3E"/>
    <w:rsid w:val="00BF5140"/>
    <w:rsid w:val="00BF522B"/>
    <w:rsid w:val="00BF57AC"/>
    <w:rsid w:val="00BF6246"/>
    <w:rsid w:val="00BF65D2"/>
    <w:rsid w:val="00BF738B"/>
    <w:rsid w:val="00BF73B1"/>
    <w:rsid w:val="00BF7609"/>
    <w:rsid w:val="00BF780F"/>
    <w:rsid w:val="00BF7EB5"/>
    <w:rsid w:val="00BF7FD7"/>
    <w:rsid w:val="00C005BB"/>
    <w:rsid w:val="00C007B2"/>
    <w:rsid w:val="00C02D49"/>
    <w:rsid w:val="00C04014"/>
    <w:rsid w:val="00C04428"/>
    <w:rsid w:val="00C045AC"/>
    <w:rsid w:val="00C05173"/>
    <w:rsid w:val="00C054F5"/>
    <w:rsid w:val="00C05768"/>
    <w:rsid w:val="00C06F26"/>
    <w:rsid w:val="00C07278"/>
    <w:rsid w:val="00C07632"/>
    <w:rsid w:val="00C07972"/>
    <w:rsid w:val="00C07E8A"/>
    <w:rsid w:val="00C133FE"/>
    <w:rsid w:val="00C14BE0"/>
    <w:rsid w:val="00C15ADA"/>
    <w:rsid w:val="00C17646"/>
    <w:rsid w:val="00C20941"/>
    <w:rsid w:val="00C21589"/>
    <w:rsid w:val="00C21F89"/>
    <w:rsid w:val="00C2295D"/>
    <w:rsid w:val="00C231F1"/>
    <w:rsid w:val="00C23C36"/>
    <w:rsid w:val="00C23D80"/>
    <w:rsid w:val="00C24779"/>
    <w:rsid w:val="00C25B51"/>
    <w:rsid w:val="00C25CDD"/>
    <w:rsid w:val="00C25E78"/>
    <w:rsid w:val="00C26597"/>
    <w:rsid w:val="00C27BED"/>
    <w:rsid w:val="00C316C8"/>
    <w:rsid w:val="00C31A5A"/>
    <w:rsid w:val="00C31A7B"/>
    <w:rsid w:val="00C32375"/>
    <w:rsid w:val="00C32845"/>
    <w:rsid w:val="00C32F4D"/>
    <w:rsid w:val="00C33B84"/>
    <w:rsid w:val="00C356D7"/>
    <w:rsid w:val="00C35D65"/>
    <w:rsid w:val="00C35D78"/>
    <w:rsid w:val="00C36AD8"/>
    <w:rsid w:val="00C3733F"/>
    <w:rsid w:val="00C40353"/>
    <w:rsid w:val="00C41348"/>
    <w:rsid w:val="00C420BF"/>
    <w:rsid w:val="00C42410"/>
    <w:rsid w:val="00C443A2"/>
    <w:rsid w:val="00C45837"/>
    <w:rsid w:val="00C467A5"/>
    <w:rsid w:val="00C476AF"/>
    <w:rsid w:val="00C52245"/>
    <w:rsid w:val="00C522E9"/>
    <w:rsid w:val="00C524C8"/>
    <w:rsid w:val="00C525DA"/>
    <w:rsid w:val="00C5315B"/>
    <w:rsid w:val="00C53BBE"/>
    <w:rsid w:val="00C53CC6"/>
    <w:rsid w:val="00C54011"/>
    <w:rsid w:val="00C56F47"/>
    <w:rsid w:val="00C60B9F"/>
    <w:rsid w:val="00C617EC"/>
    <w:rsid w:val="00C61A1D"/>
    <w:rsid w:val="00C6319A"/>
    <w:rsid w:val="00C6439E"/>
    <w:rsid w:val="00C6446E"/>
    <w:rsid w:val="00C655C2"/>
    <w:rsid w:val="00C65C9B"/>
    <w:rsid w:val="00C65EDC"/>
    <w:rsid w:val="00C704C4"/>
    <w:rsid w:val="00C70BC9"/>
    <w:rsid w:val="00C71D7C"/>
    <w:rsid w:val="00C72328"/>
    <w:rsid w:val="00C726A1"/>
    <w:rsid w:val="00C73156"/>
    <w:rsid w:val="00C73A42"/>
    <w:rsid w:val="00C748C0"/>
    <w:rsid w:val="00C74FF9"/>
    <w:rsid w:val="00C7530B"/>
    <w:rsid w:val="00C75640"/>
    <w:rsid w:val="00C764F0"/>
    <w:rsid w:val="00C76930"/>
    <w:rsid w:val="00C77008"/>
    <w:rsid w:val="00C81D5A"/>
    <w:rsid w:val="00C830E7"/>
    <w:rsid w:val="00C835E4"/>
    <w:rsid w:val="00C8451E"/>
    <w:rsid w:val="00C850C4"/>
    <w:rsid w:val="00C85A3B"/>
    <w:rsid w:val="00C85AE7"/>
    <w:rsid w:val="00C85FD3"/>
    <w:rsid w:val="00C86049"/>
    <w:rsid w:val="00C86332"/>
    <w:rsid w:val="00C876F3"/>
    <w:rsid w:val="00C90797"/>
    <w:rsid w:val="00C90B98"/>
    <w:rsid w:val="00C92BD7"/>
    <w:rsid w:val="00C92DFA"/>
    <w:rsid w:val="00C93B4C"/>
    <w:rsid w:val="00C93B54"/>
    <w:rsid w:val="00C93C06"/>
    <w:rsid w:val="00C94047"/>
    <w:rsid w:val="00C940FE"/>
    <w:rsid w:val="00C94725"/>
    <w:rsid w:val="00CA07ED"/>
    <w:rsid w:val="00CA10CF"/>
    <w:rsid w:val="00CA158C"/>
    <w:rsid w:val="00CA1DBF"/>
    <w:rsid w:val="00CA1EB4"/>
    <w:rsid w:val="00CA2378"/>
    <w:rsid w:val="00CA3097"/>
    <w:rsid w:val="00CA3392"/>
    <w:rsid w:val="00CA4964"/>
    <w:rsid w:val="00CA53D3"/>
    <w:rsid w:val="00CA572A"/>
    <w:rsid w:val="00CA5A67"/>
    <w:rsid w:val="00CA5DA7"/>
    <w:rsid w:val="00CA5DF3"/>
    <w:rsid w:val="00CB0A0D"/>
    <w:rsid w:val="00CB0AB3"/>
    <w:rsid w:val="00CB15F2"/>
    <w:rsid w:val="00CB1FD1"/>
    <w:rsid w:val="00CB32FB"/>
    <w:rsid w:val="00CB4912"/>
    <w:rsid w:val="00CB4EDE"/>
    <w:rsid w:val="00CB5396"/>
    <w:rsid w:val="00CB5DB6"/>
    <w:rsid w:val="00CC03A2"/>
    <w:rsid w:val="00CC0990"/>
    <w:rsid w:val="00CC1560"/>
    <w:rsid w:val="00CC2990"/>
    <w:rsid w:val="00CC3F11"/>
    <w:rsid w:val="00CC4236"/>
    <w:rsid w:val="00CC51F0"/>
    <w:rsid w:val="00CC6E2F"/>
    <w:rsid w:val="00CC705C"/>
    <w:rsid w:val="00CC7096"/>
    <w:rsid w:val="00CC7657"/>
    <w:rsid w:val="00CC7D99"/>
    <w:rsid w:val="00CD101B"/>
    <w:rsid w:val="00CD115F"/>
    <w:rsid w:val="00CD1A7A"/>
    <w:rsid w:val="00CD2815"/>
    <w:rsid w:val="00CD3435"/>
    <w:rsid w:val="00CD40C8"/>
    <w:rsid w:val="00CD492E"/>
    <w:rsid w:val="00CD5630"/>
    <w:rsid w:val="00CD7001"/>
    <w:rsid w:val="00CD7A7E"/>
    <w:rsid w:val="00CE0297"/>
    <w:rsid w:val="00CE0EB0"/>
    <w:rsid w:val="00CE2655"/>
    <w:rsid w:val="00CE3055"/>
    <w:rsid w:val="00CE35B5"/>
    <w:rsid w:val="00CE3633"/>
    <w:rsid w:val="00CE4690"/>
    <w:rsid w:val="00CE553C"/>
    <w:rsid w:val="00CE5D1A"/>
    <w:rsid w:val="00CE5F74"/>
    <w:rsid w:val="00CE61F2"/>
    <w:rsid w:val="00CE6779"/>
    <w:rsid w:val="00CF01CD"/>
    <w:rsid w:val="00CF0B09"/>
    <w:rsid w:val="00CF2105"/>
    <w:rsid w:val="00CF2411"/>
    <w:rsid w:val="00CF28BF"/>
    <w:rsid w:val="00CF3373"/>
    <w:rsid w:val="00CF37D5"/>
    <w:rsid w:val="00CF3959"/>
    <w:rsid w:val="00CF47F8"/>
    <w:rsid w:val="00CF4B11"/>
    <w:rsid w:val="00CF4CEE"/>
    <w:rsid w:val="00CF52AF"/>
    <w:rsid w:val="00CF5BFE"/>
    <w:rsid w:val="00CF5DD6"/>
    <w:rsid w:val="00CF5E82"/>
    <w:rsid w:val="00CF646F"/>
    <w:rsid w:val="00CF6582"/>
    <w:rsid w:val="00CF6FA9"/>
    <w:rsid w:val="00CF7FF5"/>
    <w:rsid w:val="00D003C6"/>
    <w:rsid w:val="00D00A48"/>
    <w:rsid w:val="00D00FE7"/>
    <w:rsid w:val="00D01085"/>
    <w:rsid w:val="00D01942"/>
    <w:rsid w:val="00D04082"/>
    <w:rsid w:val="00D046C7"/>
    <w:rsid w:val="00D04C28"/>
    <w:rsid w:val="00D04DB0"/>
    <w:rsid w:val="00D06C7B"/>
    <w:rsid w:val="00D06FDE"/>
    <w:rsid w:val="00D10539"/>
    <w:rsid w:val="00D10A8C"/>
    <w:rsid w:val="00D1248E"/>
    <w:rsid w:val="00D12AC9"/>
    <w:rsid w:val="00D12ADB"/>
    <w:rsid w:val="00D14237"/>
    <w:rsid w:val="00D15B8F"/>
    <w:rsid w:val="00D15E3C"/>
    <w:rsid w:val="00D169FD"/>
    <w:rsid w:val="00D16CBF"/>
    <w:rsid w:val="00D16D41"/>
    <w:rsid w:val="00D20654"/>
    <w:rsid w:val="00D21793"/>
    <w:rsid w:val="00D22B83"/>
    <w:rsid w:val="00D23B79"/>
    <w:rsid w:val="00D2429A"/>
    <w:rsid w:val="00D24A05"/>
    <w:rsid w:val="00D25740"/>
    <w:rsid w:val="00D25838"/>
    <w:rsid w:val="00D25C09"/>
    <w:rsid w:val="00D30071"/>
    <w:rsid w:val="00D30174"/>
    <w:rsid w:val="00D303A2"/>
    <w:rsid w:val="00D30741"/>
    <w:rsid w:val="00D325F9"/>
    <w:rsid w:val="00D33259"/>
    <w:rsid w:val="00D33617"/>
    <w:rsid w:val="00D3410D"/>
    <w:rsid w:val="00D34857"/>
    <w:rsid w:val="00D34B25"/>
    <w:rsid w:val="00D35835"/>
    <w:rsid w:val="00D413F3"/>
    <w:rsid w:val="00D41B8D"/>
    <w:rsid w:val="00D41BF9"/>
    <w:rsid w:val="00D41F99"/>
    <w:rsid w:val="00D41FCE"/>
    <w:rsid w:val="00D41FFA"/>
    <w:rsid w:val="00D4218B"/>
    <w:rsid w:val="00D42A8B"/>
    <w:rsid w:val="00D43F36"/>
    <w:rsid w:val="00D453ED"/>
    <w:rsid w:val="00D46691"/>
    <w:rsid w:val="00D4756D"/>
    <w:rsid w:val="00D47E91"/>
    <w:rsid w:val="00D50C91"/>
    <w:rsid w:val="00D5108B"/>
    <w:rsid w:val="00D51309"/>
    <w:rsid w:val="00D513B2"/>
    <w:rsid w:val="00D5157A"/>
    <w:rsid w:val="00D51DD9"/>
    <w:rsid w:val="00D526F7"/>
    <w:rsid w:val="00D52B43"/>
    <w:rsid w:val="00D53778"/>
    <w:rsid w:val="00D545ED"/>
    <w:rsid w:val="00D545F1"/>
    <w:rsid w:val="00D54E1F"/>
    <w:rsid w:val="00D554DF"/>
    <w:rsid w:val="00D5559E"/>
    <w:rsid w:val="00D563ED"/>
    <w:rsid w:val="00D56DFB"/>
    <w:rsid w:val="00D579DC"/>
    <w:rsid w:val="00D57CF7"/>
    <w:rsid w:val="00D57EDC"/>
    <w:rsid w:val="00D60869"/>
    <w:rsid w:val="00D60C8F"/>
    <w:rsid w:val="00D611BA"/>
    <w:rsid w:val="00D611EB"/>
    <w:rsid w:val="00D626A4"/>
    <w:rsid w:val="00D629AC"/>
    <w:rsid w:val="00D642E9"/>
    <w:rsid w:val="00D6510D"/>
    <w:rsid w:val="00D6538A"/>
    <w:rsid w:val="00D65EF3"/>
    <w:rsid w:val="00D66E6D"/>
    <w:rsid w:val="00D675C1"/>
    <w:rsid w:val="00D676D9"/>
    <w:rsid w:val="00D67BBE"/>
    <w:rsid w:val="00D70702"/>
    <w:rsid w:val="00D70749"/>
    <w:rsid w:val="00D7156D"/>
    <w:rsid w:val="00D71FF3"/>
    <w:rsid w:val="00D7254D"/>
    <w:rsid w:val="00D72703"/>
    <w:rsid w:val="00D72AB8"/>
    <w:rsid w:val="00D73360"/>
    <w:rsid w:val="00D74109"/>
    <w:rsid w:val="00D743AC"/>
    <w:rsid w:val="00D745C5"/>
    <w:rsid w:val="00D7583F"/>
    <w:rsid w:val="00D7653E"/>
    <w:rsid w:val="00D765FE"/>
    <w:rsid w:val="00D774E9"/>
    <w:rsid w:val="00D776A4"/>
    <w:rsid w:val="00D77758"/>
    <w:rsid w:val="00D77CF3"/>
    <w:rsid w:val="00D77D0E"/>
    <w:rsid w:val="00D80F3E"/>
    <w:rsid w:val="00D811A2"/>
    <w:rsid w:val="00D8140A"/>
    <w:rsid w:val="00D81C04"/>
    <w:rsid w:val="00D82902"/>
    <w:rsid w:val="00D82923"/>
    <w:rsid w:val="00D82FFB"/>
    <w:rsid w:val="00D847C8"/>
    <w:rsid w:val="00D865EC"/>
    <w:rsid w:val="00D8799F"/>
    <w:rsid w:val="00D87B9F"/>
    <w:rsid w:val="00D901BC"/>
    <w:rsid w:val="00D923AE"/>
    <w:rsid w:val="00D924A1"/>
    <w:rsid w:val="00D92D75"/>
    <w:rsid w:val="00D94898"/>
    <w:rsid w:val="00D94BC1"/>
    <w:rsid w:val="00D9503C"/>
    <w:rsid w:val="00D951D8"/>
    <w:rsid w:val="00D95323"/>
    <w:rsid w:val="00D953AB"/>
    <w:rsid w:val="00D95578"/>
    <w:rsid w:val="00D96A95"/>
    <w:rsid w:val="00D97078"/>
    <w:rsid w:val="00DA017F"/>
    <w:rsid w:val="00DA0A3F"/>
    <w:rsid w:val="00DA1DE3"/>
    <w:rsid w:val="00DA2197"/>
    <w:rsid w:val="00DA3AF3"/>
    <w:rsid w:val="00DA4F06"/>
    <w:rsid w:val="00DA53E4"/>
    <w:rsid w:val="00DA6027"/>
    <w:rsid w:val="00DA74CC"/>
    <w:rsid w:val="00DA7753"/>
    <w:rsid w:val="00DA7F9A"/>
    <w:rsid w:val="00DB02E6"/>
    <w:rsid w:val="00DB1BB2"/>
    <w:rsid w:val="00DB29E9"/>
    <w:rsid w:val="00DB4F81"/>
    <w:rsid w:val="00DB6BD3"/>
    <w:rsid w:val="00DB7964"/>
    <w:rsid w:val="00DB7E56"/>
    <w:rsid w:val="00DC0F07"/>
    <w:rsid w:val="00DC1DA8"/>
    <w:rsid w:val="00DC1E09"/>
    <w:rsid w:val="00DC47D3"/>
    <w:rsid w:val="00DC4A13"/>
    <w:rsid w:val="00DC4C64"/>
    <w:rsid w:val="00DC5358"/>
    <w:rsid w:val="00DC5461"/>
    <w:rsid w:val="00DC5898"/>
    <w:rsid w:val="00DC6E05"/>
    <w:rsid w:val="00DC6E30"/>
    <w:rsid w:val="00DC74BF"/>
    <w:rsid w:val="00DC750B"/>
    <w:rsid w:val="00DC7B3E"/>
    <w:rsid w:val="00DD06C4"/>
    <w:rsid w:val="00DD0BA5"/>
    <w:rsid w:val="00DD0F4D"/>
    <w:rsid w:val="00DD1B43"/>
    <w:rsid w:val="00DD1EFE"/>
    <w:rsid w:val="00DD21AF"/>
    <w:rsid w:val="00DD254D"/>
    <w:rsid w:val="00DD3203"/>
    <w:rsid w:val="00DD471A"/>
    <w:rsid w:val="00DD49E3"/>
    <w:rsid w:val="00DD6972"/>
    <w:rsid w:val="00DD7AF0"/>
    <w:rsid w:val="00DE033D"/>
    <w:rsid w:val="00DE06F7"/>
    <w:rsid w:val="00DE0A08"/>
    <w:rsid w:val="00DE0DA8"/>
    <w:rsid w:val="00DE19D1"/>
    <w:rsid w:val="00DE2216"/>
    <w:rsid w:val="00DE2FD6"/>
    <w:rsid w:val="00DE3209"/>
    <w:rsid w:val="00DE3B28"/>
    <w:rsid w:val="00DE5863"/>
    <w:rsid w:val="00DE5962"/>
    <w:rsid w:val="00DE5BF8"/>
    <w:rsid w:val="00DE63C9"/>
    <w:rsid w:val="00DE7334"/>
    <w:rsid w:val="00DF0DBC"/>
    <w:rsid w:val="00DF1CB8"/>
    <w:rsid w:val="00DF1E40"/>
    <w:rsid w:val="00DF236C"/>
    <w:rsid w:val="00DF23AB"/>
    <w:rsid w:val="00DF298C"/>
    <w:rsid w:val="00DF3348"/>
    <w:rsid w:val="00DF45CC"/>
    <w:rsid w:val="00DF4CF0"/>
    <w:rsid w:val="00DF4E07"/>
    <w:rsid w:val="00DF4ECD"/>
    <w:rsid w:val="00DF503D"/>
    <w:rsid w:val="00DF55A7"/>
    <w:rsid w:val="00DF5646"/>
    <w:rsid w:val="00DF5D11"/>
    <w:rsid w:val="00DF65E1"/>
    <w:rsid w:val="00DF672D"/>
    <w:rsid w:val="00E01862"/>
    <w:rsid w:val="00E028EA"/>
    <w:rsid w:val="00E02F79"/>
    <w:rsid w:val="00E04287"/>
    <w:rsid w:val="00E056B0"/>
    <w:rsid w:val="00E058B1"/>
    <w:rsid w:val="00E05DC6"/>
    <w:rsid w:val="00E07756"/>
    <w:rsid w:val="00E079E2"/>
    <w:rsid w:val="00E10850"/>
    <w:rsid w:val="00E109E4"/>
    <w:rsid w:val="00E10FD6"/>
    <w:rsid w:val="00E11017"/>
    <w:rsid w:val="00E11F8A"/>
    <w:rsid w:val="00E12B84"/>
    <w:rsid w:val="00E12CD5"/>
    <w:rsid w:val="00E13B7E"/>
    <w:rsid w:val="00E140B0"/>
    <w:rsid w:val="00E14660"/>
    <w:rsid w:val="00E167BC"/>
    <w:rsid w:val="00E169E9"/>
    <w:rsid w:val="00E2099A"/>
    <w:rsid w:val="00E20B70"/>
    <w:rsid w:val="00E20E06"/>
    <w:rsid w:val="00E23B56"/>
    <w:rsid w:val="00E23C74"/>
    <w:rsid w:val="00E23E0C"/>
    <w:rsid w:val="00E2507E"/>
    <w:rsid w:val="00E25EE6"/>
    <w:rsid w:val="00E262A3"/>
    <w:rsid w:val="00E2694E"/>
    <w:rsid w:val="00E273F9"/>
    <w:rsid w:val="00E31173"/>
    <w:rsid w:val="00E31B00"/>
    <w:rsid w:val="00E32E48"/>
    <w:rsid w:val="00E3383C"/>
    <w:rsid w:val="00E35098"/>
    <w:rsid w:val="00E35211"/>
    <w:rsid w:val="00E35237"/>
    <w:rsid w:val="00E353B3"/>
    <w:rsid w:val="00E365C2"/>
    <w:rsid w:val="00E36CAD"/>
    <w:rsid w:val="00E40058"/>
    <w:rsid w:val="00E411D1"/>
    <w:rsid w:val="00E4141F"/>
    <w:rsid w:val="00E41B98"/>
    <w:rsid w:val="00E42282"/>
    <w:rsid w:val="00E4263A"/>
    <w:rsid w:val="00E428AD"/>
    <w:rsid w:val="00E42B08"/>
    <w:rsid w:val="00E43DB3"/>
    <w:rsid w:val="00E445F6"/>
    <w:rsid w:val="00E44AEA"/>
    <w:rsid w:val="00E44E7F"/>
    <w:rsid w:val="00E45B07"/>
    <w:rsid w:val="00E45B5F"/>
    <w:rsid w:val="00E45BC2"/>
    <w:rsid w:val="00E461F8"/>
    <w:rsid w:val="00E463D1"/>
    <w:rsid w:val="00E46BE7"/>
    <w:rsid w:val="00E46DB2"/>
    <w:rsid w:val="00E475DE"/>
    <w:rsid w:val="00E50342"/>
    <w:rsid w:val="00E51830"/>
    <w:rsid w:val="00E51A2F"/>
    <w:rsid w:val="00E51AFF"/>
    <w:rsid w:val="00E5205D"/>
    <w:rsid w:val="00E523FD"/>
    <w:rsid w:val="00E52599"/>
    <w:rsid w:val="00E525D6"/>
    <w:rsid w:val="00E52712"/>
    <w:rsid w:val="00E52D39"/>
    <w:rsid w:val="00E53767"/>
    <w:rsid w:val="00E53F7C"/>
    <w:rsid w:val="00E53FFD"/>
    <w:rsid w:val="00E55CF5"/>
    <w:rsid w:val="00E56575"/>
    <w:rsid w:val="00E56704"/>
    <w:rsid w:val="00E57010"/>
    <w:rsid w:val="00E6009D"/>
    <w:rsid w:val="00E6047B"/>
    <w:rsid w:val="00E61F9C"/>
    <w:rsid w:val="00E62CEA"/>
    <w:rsid w:val="00E62D0C"/>
    <w:rsid w:val="00E6345A"/>
    <w:rsid w:val="00E63C99"/>
    <w:rsid w:val="00E64306"/>
    <w:rsid w:val="00E65325"/>
    <w:rsid w:val="00E65553"/>
    <w:rsid w:val="00E65F0F"/>
    <w:rsid w:val="00E6606C"/>
    <w:rsid w:val="00E6774D"/>
    <w:rsid w:val="00E67976"/>
    <w:rsid w:val="00E70E0C"/>
    <w:rsid w:val="00E71CFA"/>
    <w:rsid w:val="00E72D42"/>
    <w:rsid w:val="00E7398F"/>
    <w:rsid w:val="00E741A5"/>
    <w:rsid w:val="00E7436A"/>
    <w:rsid w:val="00E74658"/>
    <w:rsid w:val="00E74EAD"/>
    <w:rsid w:val="00E7566A"/>
    <w:rsid w:val="00E75B86"/>
    <w:rsid w:val="00E75C79"/>
    <w:rsid w:val="00E75DDE"/>
    <w:rsid w:val="00E76914"/>
    <w:rsid w:val="00E76A16"/>
    <w:rsid w:val="00E76E84"/>
    <w:rsid w:val="00E77223"/>
    <w:rsid w:val="00E77BAA"/>
    <w:rsid w:val="00E77D07"/>
    <w:rsid w:val="00E80613"/>
    <w:rsid w:val="00E81409"/>
    <w:rsid w:val="00E815F9"/>
    <w:rsid w:val="00E8180E"/>
    <w:rsid w:val="00E8228E"/>
    <w:rsid w:val="00E825EF"/>
    <w:rsid w:val="00E82B63"/>
    <w:rsid w:val="00E840AC"/>
    <w:rsid w:val="00E84E32"/>
    <w:rsid w:val="00E85453"/>
    <w:rsid w:val="00E86691"/>
    <w:rsid w:val="00E86D16"/>
    <w:rsid w:val="00E9039F"/>
    <w:rsid w:val="00E90516"/>
    <w:rsid w:val="00E909BC"/>
    <w:rsid w:val="00E912AB"/>
    <w:rsid w:val="00E92BB4"/>
    <w:rsid w:val="00E92C05"/>
    <w:rsid w:val="00E9372E"/>
    <w:rsid w:val="00E93C63"/>
    <w:rsid w:val="00E94370"/>
    <w:rsid w:val="00E94994"/>
    <w:rsid w:val="00E95B4B"/>
    <w:rsid w:val="00E96C45"/>
    <w:rsid w:val="00E97603"/>
    <w:rsid w:val="00E97E8F"/>
    <w:rsid w:val="00EA0FB5"/>
    <w:rsid w:val="00EA1981"/>
    <w:rsid w:val="00EA22D3"/>
    <w:rsid w:val="00EA26BA"/>
    <w:rsid w:val="00EA391B"/>
    <w:rsid w:val="00EA3AE4"/>
    <w:rsid w:val="00EA40D4"/>
    <w:rsid w:val="00EA4F20"/>
    <w:rsid w:val="00EA5F50"/>
    <w:rsid w:val="00EB150E"/>
    <w:rsid w:val="00EB1C1B"/>
    <w:rsid w:val="00EB22E3"/>
    <w:rsid w:val="00EB458A"/>
    <w:rsid w:val="00EB6426"/>
    <w:rsid w:val="00EB6E33"/>
    <w:rsid w:val="00EC0F58"/>
    <w:rsid w:val="00EC15F6"/>
    <w:rsid w:val="00EC1C53"/>
    <w:rsid w:val="00EC2BC7"/>
    <w:rsid w:val="00EC3712"/>
    <w:rsid w:val="00EC3DC4"/>
    <w:rsid w:val="00EC3E67"/>
    <w:rsid w:val="00EC4980"/>
    <w:rsid w:val="00EC5540"/>
    <w:rsid w:val="00EC57D8"/>
    <w:rsid w:val="00ED04CC"/>
    <w:rsid w:val="00ED2240"/>
    <w:rsid w:val="00ED3923"/>
    <w:rsid w:val="00ED393B"/>
    <w:rsid w:val="00ED5320"/>
    <w:rsid w:val="00ED5407"/>
    <w:rsid w:val="00ED7B83"/>
    <w:rsid w:val="00ED7BC5"/>
    <w:rsid w:val="00EE014A"/>
    <w:rsid w:val="00EE25E2"/>
    <w:rsid w:val="00EE3867"/>
    <w:rsid w:val="00EE4478"/>
    <w:rsid w:val="00EE462E"/>
    <w:rsid w:val="00EE483A"/>
    <w:rsid w:val="00EE4C78"/>
    <w:rsid w:val="00EE565A"/>
    <w:rsid w:val="00EF0873"/>
    <w:rsid w:val="00EF0B4B"/>
    <w:rsid w:val="00EF16BC"/>
    <w:rsid w:val="00EF28E5"/>
    <w:rsid w:val="00EF2A5C"/>
    <w:rsid w:val="00EF2B87"/>
    <w:rsid w:val="00EF5F7B"/>
    <w:rsid w:val="00EF712E"/>
    <w:rsid w:val="00F001FC"/>
    <w:rsid w:val="00F0243A"/>
    <w:rsid w:val="00F02824"/>
    <w:rsid w:val="00F05619"/>
    <w:rsid w:val="00F0562A"/>
    <w:rsid w:val="00F06269"/>
    <w:rsid w:val="00F07B47"/>
    <w:rsid w:val="00F116D9"/>
    <w:rsid w:val="00F11EF9"/>
    <w:rsid w:val="00F120F3"/>
    <w:rsid w:val="00F1285E"/>
    <w:rsid w:val="00F12CCC"/>
    <w:rsid w:val="00F12EB8"/>
    <w:rsid w:val="00F135EA"/>
    <w:rsid w:val="00F1370C"/>
    <w:rsid w:val="00F14060"/>
    <w:rsid w:val="00F14549"/>
    <w:rsid w:val="00F145B9"/>
    <w:rsid w:val="00F15C51"/>
    <w:rsid w:val="00F178E0"/>
    <w:rsid w:val="00F17A85"/>
    <w:rsid w:val="00F20738"/>
    <w:rsid w:val="00F22160"/>
    <w:rsid w:val="00F22558"/>
    <w:rsid w:val="00F2335F"/>
    <w:rsid w:val="00F23522"/>
    <w:rsid w:val="00F2362D"/>
    <w:rsid w:val="00F236CA"/>
    <w:rsid w:val="00F23A55"/>
    <w:rsid w:val="00F23FC0"/>
    <w:rsid w:val="00F2538C"/>
    <w:rsid w:val="00F2580F"/>
    <w:rsid w:val="00F25F32"/>
    <w:rsid w:val="00F261A2"/>
    <w:rsid w:val="00F270B4"/>
    <w:rsid w:val="00F270E0"/>
    <w:rsid w:val="00F30348"/>
    <w:rsid w:val="00F310E2"/>
    <w:rsid w:val="00F315F7"/>
    <w:rsid w:val="00F31B52"/>
    <w:rsid w:val="00F31E55"/>
    <w:rsid w:val="00F3209B"/>
    <w:rsid w:val="00F32340"/>
    <w:rsid w:val="00F32E04"/>
    <w:rsid w:val="00F331D7"/>
    <w:rsid w:val="00F33575"/>
    <w:rsid w:val="00F3396B"/>
    <w:rsid w:val="00F33C0B"/>
    <w:rsid w:val="00F34F69"/>
    <w:rsid w:val="00F35690"/>
    <w:rsid w:val="00F357B6"/>
    <w:rsid w:val="00F35CDB"/>
    <w:rsid w:val="00F3732D"/>
    <w:rsid w:val="00F403A7"/>
    <w:rsid w:val="00F415FC"/>
    <w:rsid w:val="00F41B42"/>
    <w:rsid w:val="00F421DB"/>
    <w:rsid w:val="00F42260"/>
    <w:rsid w:val="00F43018"/>
    <w:rsid w:val="00F4357C"/>
    <w:rsid w:val="00F43A73"/>
    <w:rsid w:val="00F44DCC"/>
    <w:rsid w:val="00F4605B"/>
    <w:rsid w:val="00F465AD"/>
    <w:rsid w:val="00F4678C"/>
    <w:rsid w:val="00F468B4"/>
    <w:rsid w:val="00F51421"/>
    <w:rsid w:val="00F51A3C"/>
    <w:rsid w:val="00F522DD"/>
    <w:rsid w:val="00F52599"/>
    <w:rsid w:val="00F52F31"/>
    <w:rsid w:val="00F53D6E"/>
    <w:rsid w:val="00F53DD4"/>
    <w:rsid w:val="00F54FF5"/>
    <w:rsid w:val="00F54FFC"/>
    <w:rsid w:val="00F562F4"/>
    <w:rsid w:val="00F569E6"/>
    <w:rsid w:val="00F601A7"/>
    <w:rsid w:val="00F60262"/>
    <w:rsid w:val="00F60A7A"/>
    <w:rsid w:val="00F60D13"/>
    <w:rsid w:val="00F6137D"/>
    <w:rsid w:val="00F61AEC"/>
    <w:rsid w:val="00F61C6B"/>
    <w:rsid w:val="00F6201D"/>
    <w:rsid w:val="00F6201E"/>
    <w:rsid w:val="00F62484"/>
    <w:rsid w:val="00F62833"/>
    <w:rsid w:val="00F62CB0"/>
    <w:rsid w:val="00F64BD0"/>
    <w:rsid w:val="00F667E0"/>
    <w:rsid w:val="00F67BD7"/>
    <w:rsid w:val="00F71361"/>
    <w:rsid w:val="00F718B1"/>
    <w:rsid w:val="00F729A6"/>
    <w:rsid w:val="00F72C8A"/>
    <w:rsid w:val="00F72F2B"/>
    <w:rsid w:val="00F7425B"/>
    <w:rsid w:val="00F74A18"/>
    <w:rsid w:val="00F750B5"/>
    <w:rsid w:val="00F7535C"/>
    <w:rsid w:val="00F75441"/>
    <w:rsid w:val="00F768BB"/>
    <w:rsid w:val="00F805B4"/>
    <w:rsid w:val="00F81381"/>
    <w:rsid w:val="00F8164A"/>
    <w:rsid w:val="00F82533"/>
    <w:rsid w:val="00F82DEF"/>
    <w:rsid w:val="00F82FB0"/>
    <w:rsid w:val="00F83D2C"/>
    <w:rsid w:val="00F84985"/>
    <w:rsid w:val="00F84EFC"/>
    <w:rsid w:val="00F8501A"/>
    <w:rsid w:val="00F8591B"/>
    <w:rsid w:val="00F85DB0"/>
    <w:rsid w:val="00F8721C"/>
    <w:rsid w:val="00F87E0D"/>
    <w:rsid w:val="00F907CE"/>
    <w:rsid w:val="00F916F3"/>
    <w:rsid w:val="00F92DA4"/>
    <w:rsid w:val="00F93116"/>
    <w:rsid w:val="00F93951"/>
    <w:rsid w:val="00F93BFE"/>
    <w:rsid w:val="00F93FEF"/>
    <w:rsid w:val="00F94450"/>
    <w:rsid w:val="00F96E0B"/>
    <w:rsid w:val="00F970A6"/>
    <w:rsid w:val="00F970B5"/>
    <w:rsid w:val="00F9740B"/>
    <w:rsid w:val="00F97CFB"/>
    <w:rsid w:val="00F97E0A"/>
    <w:rsid w:val="00FA1BDC"/>
    <w:rsid w:val="00FA2822"/>
    <w:rsid w:val="00FA2EF5"/>
    <w:rsid w:val="00FA37D6"/>
    <w:rsid w:val="00FA4F1C"/>
    <w:rsid w:val="00FA5C48"/>
    <w:rsid w:val="00FA7925"/>
    <w:rsid w:val="00FA7BAF"/>
    <w:rsid w:val="00FA7D81"/>
    <w:rsid w:val="00FA7F75"/>
    <w:rsid w:val="00FB07B2"/>
    <w:rsid w:val="00FB1C5B"/>
    <w:rsid w:val="00FB1D26"/>
    <w:rsid w:val="00FB2C79"/>
    <w:rsid w:val="00FB2E1B"/>
    <w:rsid w:val="00FB3482"/>
    <w:rsid w:val="00FB43FC"/>
    <w:rsid w:val="00FB4482"/>
    <w:rsid w:val="00FB465F"/>
    <w:rsid w:val="00FB4765"/>
    <w:rsid w:val="00FB5305"/>
    <w:rsid w:val="00FB5E0F"/>
    <w:rsid w:val="00FB6E6B"/>
    <w:rsid w:val="00FB757D"/>
    <w:rsid w:val="00FC199C"/>
    <w:rsid w:val="00FC23A2"/>
    <w:rsid w:val="00FC2B42"/>
    <w:rsid w:val="00FC33F8"/>
    <w:rsid w:val="00FC59FD"/>
    <w:rsid w:val="00FC5DBF"/>
    <w:rsid w:val="00FC5F07"/>
    <w:rsid w:val="00FC5FBA"/>
    <w:rsid w:val="00FC6A48"/>
    <w:rsid w:val="00FC6D19"/>
    <w:rsid w:val="00FC77EB"/>
    <w:rsid w:val="00FD1ED6"/>
    <w:rsid w:val="00FD29C0"/>
    <w:rsid w:val="00FD2D00"/>
    <w:rsid w:val="00FD3404"/>
    <w:rsid w:val="00FD36BD"/>
    <w:rsid w:val="00FD3B4A"/>
    <w:rsid w:val="00FD5174"/>
    <w:rsid w:val="00FD5345"/>
    <w:rsid w:val="00FD5C71"/>
    <w:rsid w:val="00FD5CC2"/>
    <w:rsid w:val="00FD64FD"/>
    <w:rsid w:val="00FD7405"/>
    <w:rsid w:val="00FE05DD"/>
    <w:rsid w:val="00FE0F4B"/>
    <w:rsid w:val="00FE36BD"/>
    <w:rsid w:val="00FE3FF2"/>
    <w:rsid w:val="00FE483E"/>
    <w:rsid w:val="00FE491F"/>
    <w:rsid w:val="00FE6D33"/>
    <w:rsid w:val="00FF17EC"/>
    <w:rsid w:val="00FF1D9B"/>
    <w:rsid w:val="00FF2207"/>
    <w:rsid w:val="00FF23B9"/>
    <w:rsid w:val="00FF37C2"/>
    <w:rsid w:val="00FF4871"/>
    <w:rsid w:val="00FF49EB"/>
    <w:rsid w:val="00FF4DF3"/>
    <w:rsid w:val="00FF4F2D"/>
    <w:rsid w:val="00FF53DC"/>
    <w:rsid w:val="00FF56DA"/>
    <w:rsid w:val="00FF57F3"/>
    <w:rsid w:val="00FF69E3"/>
    <w:rsid w:val="00FF6A5B"/>
    <w:rsid w:val="0D5D4FEA"/>
    <w:rsid w:val="1C659E53"/>
    <w:rsid w:val="6464833C"/>
    <w:rsid w:val="6D4CF23E"/>
    <w:rsid w:val="7878111A"/>
    <w:rsid w:val="7A9B3FA3"/>
    <w:rsid w:val="7FCC6A7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4580BF"/>
  <w15:chartTrackingRefBased/>
  <w15:docId w15:val="{C0CC1FB0-C6C4-4B82-AEBD-140B293FD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EastAsia" w:hAnsiTheme="majorHAnsi" w:cstheme="minorBidi"/>
        <w:lang w:val="en-AU" w:eastAsia="en-AU" w:bidi="ar-SA"/>
      </w:rPr>
    </w:rPrDefault>
    <w:pPrDefault>
      <w:pPr>
        <w:spacing w:line="216" w:lineRule="auto"/>
      </w:pPr>
    </w:pPrDefault>
  </w:docDefaults>
  <w:latentStyles w:defLockedState="1" w:defUIPriority="99" w:defSemiHidden="0" w:defUnhideWhenUsed="0" w:defQFormat="0" w:count="376">
    <w:lsdException w:name="Normal" w:locked="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locked="0" w:semiHidden="1" w:uiPriority="0" w:unhideWhenUsed="1" w:qFormat="1"/>
    <w:lsdException w:name="heading 7" w:semiHidden="1" w:unhideWhenUsed="1" w:qFormat="1"/>
    <w:lsdException w:name="heading 8" w:semiHidden="1" w:unhideWhenUsed="1" w:qFormat="1"/>
    <w:lsdException w:name="heading 9" w:semiHidden="1" w:uiPriority="1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semiHidden="1" w:unhideWhenUsed="1" w:qFormat="1"/>
    <w:lsdException w:name="Closing" w:semiHidden="1" w:unhideWhenUsed="1"/>
    <w:lsdException w:name="Signature" w:semiHidden="1" w:unhideWhenUsed="1"/>
    <w:lsdException w:name="Default Paragraph Font" w:locked="0" w:semiHidden="1" w:unhideWhenUsed="1"/>
    <w:lsdException w:name="Body Text" w:locked="0"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semiHidden="1" w:unhideWhenUsed="1" w:qFormat="1"/>
    <w:lsdException w:name="Quote" w:semiHidden="1" w:unhideWhenUsed="1" w:qFormat="1"/>
    <w:lsdException w:name="Intense Quote"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nhideWhenUsed="1" w:qFormat="1"/>
    <w:lsdException w:name="Intense Reference" w:semiHidden="1" w:unhideWhenUsed="1" w:qFormat="1"/>
    <w:lsdException w:name="Book Title" w:semiHidden="1" w:unhideWhenUsed="1" w:qFormat="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locked="0" w:semiHidden="1" w:unhideWhenUsed="1"/>
  </w:latentStyles>
  <w:style w:type="paragraph" w:default="1" w:styleId="Normal">
    <w:name w:val="Normal"/>
    <w:uiPriority w:val="99"/>
    <w:qFormat/>
    <w:rsid w:val="006308D0"/>
  </w:style>
  <w:style w:type="paragraph" w:styleId="Heading1">
    <w:name w:val="heading 1"/>
    <w:basedOn w:val="Normal"/>
    <w:next w:val="BodyText"/>
    <w:link w:val="Heading1Char"/>
    <w:qFormat/>
    <w:rsid w:val="006308D0"/>
    <w:pPr>
      <w:keepNext/>
      <w:keepLines/>
      <w:pageBreakBefore/>
      <w:numPr>
        <w:numId w:val="21"/>
      </w:numPr>
      <w:spacing w:before="240" w:after="120"/>
      <w:outlineLvl w:val="0"/>
    </w:pPr>
    <w:rPr>
      <w:rFonts w:eastAsiaTheme="majorEastAsia" w:cstheme="majorBidi"/>
      <w:b/>
      <w:color w:val="007D55" w:themeColor="accent1"/>
      <w:sz w:val="32"/>
      <w:szCs w:val="32"/>
    </w:rPr>
  </w:style>
  <w:style w:type="paragraph" w:styleId="Heading2">
    <w:name w:val="heading 2"/>
    <w:basedOn w:val="Normal"/>
    <w:next w:val="BodyText"/>
    <w:link w:val="Heading2Char"/>
    <w:qFormat/>
    <w:rsid w:val="006308D0"/>
    <w:pPr>
      <w:keepNext/>
      <w:keepLines/>
      <w:numPr>
        <w:ilvl w:val="1"/>
        <w:numId w:val="21"/>
      </w:numPr>
      <w:spacing w:before="240" w:after="120"/>
      <w:outlineLvl w:val="1"/>
    </w:pPr>
    <w:rPr>
      <w:rFonts w:eastAsiaTheme="majorEastAsia" w:cstheme="majorBidi"/>
      <w:b/>
      <w:sz w:val="28"/>
      <w:szCs w:val="26"/>
    </w:rPr>
  </w:style>
  <w:style w:type="paragraph" w:styleId="Heading3">
    <w:name w:val="heading 3"/>
    <w:basedOn w:val="Normal"/>
    <w:next w:val="BodyText"/>
    <w:link w:val="Heading3Char"/>
    <w:qFormat/>
    <w:rsid w:val="006308D0"/>
    <w:pPr>
      <w:keepNext/>
      <w:keepLines/>
      <w:numPr>
        <w:ilvl w:val="2"/>
        <w:numId w:val="21"/>
      </w:numPr>
      <w:spacing w:before="240" w:after="120"/>
      <w:outlineLvl w:val="2"/>
    </w:pPr>
    <w:rPr>
      <w:rFonts w:eastAsiaTheme="majorEastAsia" w:cstheme="majorBidi"/>
      <w:b/>
      <w:sz w:val="26"/>
      <w:szCs w:val="24"/>
    </w:rPr>
  </w:style>
  <w:style w:type="paragraph" w:styleId="Heading4">
    <w:name w:val="heading 4"/>
    <w:basedOn w:val="Normal"/>
    <w:next w:val="BodyText"/>
    <w:link w:val="Heading4Char"/>
    <w:qFormat/>
    <w:rsid w:val="006308D0"/>
    <w:pPr>
      <w:keepNext/>
      <w:keepLines/>
      <w:numPr>
        <w:ilvl w:val="3"/>
        <w:numId w:val="21"/>
      </w:numPr>
      <w:spacing w:before="240" w:after="120"/>
      <w:outlineLvl w:val="3"/>
    </w:pPr>
    <w:rPr>
      <w:rFonts w:eastAsiaTheme="majorEastAsia" w:cstheme="majorBidi"/>
      <w:b/>
      <w:iCs/>
      <w:sz w:val="24"/>
    </w:rPr>
  </w:style>
  <w:style w:type="paragraph" w:styleId="Heading5">
    <w:name w:val="heading 5"/>
    <w:basedOn w:val="Normal"/>
    <w:next w:val="BodyText"/>
    <w:link w:val="Heading5Char"/>
    <w:qFormat/>
    <w:rsid w:val="006308D0"/>
    <w:pPr>
      <w:keepNext/>
      <w:keepLines/>
      <w:numPr>
        <w:ilvl w:val="4"/>
        <w:numId w:val="21"/>
      </w:numPr>
      <w:spacing w:before="240" w:after="120"/>
      <w:outlineLvl w:val="4"/>
    </w:pPr>
    <w:rPr>
      <w:rFonts w:eastAsiaTheme="majorEastAsia" w:cstheme="majorBidi"/>
      <w:b/>
      <w:sz w:val="22"/>
    </w:rPr>
  </w:style>
  <w:style w:type="paragraph" w:styleId="Heading6">
    <w:name w:val="heading 6"/>
    <w:basedOn w:val="Normal"/>
    <w:next w:val="BodyText"/>
    <w:link w:val="Heading6Char"/>
    <w:qFormat/>
    <w:rsid w:val="006308D0"/>
    <w:pPr>
      <w:keepNext/>
      <w:keepLines/>
      <w:numPr>
        <w:ilvl w:val="5"/>
        <w:numId w:val="21"/>
      </w:numPr>
      <w:spacing w:before="240" w:after="120"/>
      <w:outlineLvl w:val="5"/>
    </w:pPr>
    <w:rPr>
      <w:rFonts w:eastAsiaTheme="majorEastAsia" w:cstheme="majorBidi"/>
      <w:b/>
    </w:rPr>
  </w:style>
  <w:style w:type="paragraph" w:styleId="Heading7">
    <w:name w:val="heading 7"/>
    <w:basedOn w:val="Normal"/>
    <w:next w:val="Normal"/>
    <w:link w:val="Heading7Char"/>
    <w:uiPriority w:val="99"/>
    <w:semiHidden/>
    <w:qFormat/>
    <w:rsid w:val="006308D0"/>
    <w:pPr>
      <w:keepNext/>
      <w:keepLines/>
      <w:spacing w:before="40"/>
      <w:outlineLvl w:val="6"/>
    </w:pPr>
    <w:rPr>
      <w:rFonts w:eastAsiaTheme="majorEastAsia" w:cstheme="majorBidi"/>
      <w:i/>
      <w:iCs/>
      <w:color w:val="003E2A" w:themeColor="accent1" w:themeShade="7F"/>
    </w:rPr>
  </w:style>
  <w:style w:type="paragraph" w:styleId="Heading8">
    <w:name w:val="heading 8"/>
    <w:basedOn w:val="Normal"/>
    <w:next w:val="Normal"/>
    <w:link w:val="Heading8Char"/>
    <w:uiPriority w:val="99"/>
    <w:semiHidden/>
    <w:qFormat/>
    <w:rsid w:val="006308D0"/>
    <w:pPr>
      <w:keepNext/>
      <w:keepLines/>
      <w:spacing w:before="40"/>
      <w:outlineLvl w:val="7"/>
    </w:pPr>
    <w:rPr>
      <w:rFonts w:eastAsiaTheme="majorEastAsia" w:cstheme="majorBidi"/>
      <w:color w:val="272727" w:themeColor="text1" w:themeTint="D8"/>
      <w:sz w:val="21"/>
      <w:szCs w:val="21"/>
    </w:rPr>
  </w:style>
  <w:style w:type="paragraph" w:styleId="Heading9">
    <w:name w:val="heading 9"/>
    <w:aliases w:val="Appendix,Appendix Heading 1"/>
    <w:basedOn w:val="Normal"/>
    <w:next w:val="BodyText"/>
    <w:link w:val="Heading9Char"/>
    <w:uiPriority w:val="19"/>
    <w:rsid w:val="006308D0"/>
    <w:pPr>
      <w:keepNext/>
      <w:keepLines/>
      <w:pageBreakBefore/>
      <w:numPr>
        <w:numId w:val="18"/>
      </w:numPr>
      <w:spacing w:before="240" w:after="120"/>
      <w:outlineLvl w:val="8"/>
    </w:pPr>
    <w:rPr>
      <w:rFonts w:eastAsiaTheme="majorEastAsia" w:cstheme="majorBidi"/>
      <w:b/>
      <w:iCs/>
      <w:color w:val="007D55" w:themeColor="accent1"/>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308D0"/>
    <w:rPr>
      <w:rFonts w:asciiTheme="minorHAnsi" w:hAnsiTheme="minorHAnsi"/>
      <w:color w:val="333333" w:themeColor="text2"/>
      <w:sz w:val="24"/>
    </w:rPr>
  </w:style>
  <w:style w:type="character" w:customStyle="1" w:styleId="HeaderChar">
    <w:name w:val="Header Char"/>
    <w:basedOn w:val="DefaultParagraphFont"/>
    <w:link w:val="Header"/>
    <w:uiPriority w:val="99"/>
    <w:rsid w:val="006308D0"/>
    <w:rPr>
      <w:rFonts w:asciiTheme="minorHAnsi" w:hAnsiTheme="minorHAnsi"/>
      <w:color w:val="333333" w:themeColor="text2"/>
      <w:sz w:val="24"/>
    </w:rPr>
  </w:style>
  <w:style w:type="paragraph" w:styleId="Footer">
    <w:name w:val="footer"/>
    <w:basedOn w:val="Normal"/>
    <w:link w:val="FooterChar"/>
    <w:uiPriority w:val="99"/>
    <w:semiHidden/>
    <w:rsid w:val="006308D0"/>
    <w:rPr>
      <w:rFonts w:asciiTheme="minorHAnsi" w:hAnsiTheme="minorHAnsi"/>
      <w:color w:val="333333" w:themeColor="text2"/>
      <w:sz w:val="16"/>
    </w:rPr>
  </w:style>
  <w:style w:type="character" w:customStyle="1" w:styleId="FooterChar">
    <w:name w:val="Footer Char"/>
    <w:basedOn w:val="DefaultParagraphFont"/>
    <w:link w:val="Footer"/>
    <w:uiPriority w:val="99"/>
    <w:semiHidden/>
    <w:rsid w:val="006308D0"/>
    <w:rPr>
      <w:rFonts w:asciiTheme="minorHAnsi" w:hAnsiTheme="minorHAnsi"/>
      <w:color w:val="333333" w:themeColor="text2"/>
      <w:sz w:val="16"/>
    </w:rPr>
  </w:style>
  <w:style w:type="table" w:styleId="TableGrid">
    <w:name w:val="Table Grid"/>
    <w:basedOn w:val="TableNormal"/>
    <w:uiPriority w:val="39"/>
    <w:rsid w:val="006308D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Number">
    <w:name w:val="Body Text 1 Number"/>
    <w:basedOn w:val="Normal"/>
    <w:uiPriority w:val="2"/>
    <w:rsid w:val="006308D0"/>
    <w:pPr>
      <w:numPr>
        <w:numId w:val="22"/>
      </w:numPr>
      <w:spacing w:before="180" w:after="120"/>
      <w:ind w:left="357" w:hanging="357"/>
      <w:contextualSpacing/>
    </w:pPr>
  </w:style>
  <w:style w:type="paragraph" w:customStyle="1" w:styleId="BodyText2Letter">
    <w:name w:val="Body Text 2 Letter"/>
    <w:basedOn w:val="Normal"/>
    <w:uiPriority w:val="2"/>
    <w:rsid w:val="006308D0"/>
    <w:pPr>
      <w:numPr>
        <w:ilvl w:val="1"/>
        <w:numId w:val="22"/>
      </w:numPr>
      <w:spacing w:after="120"/>
      <w:ind w:left="714" w:hanging="357"/>
      <w:contextualSpacing/>
    </w:pPr>
  </w:style>
  <w:style w:type="paragraph" w:customStyle="1" w:styleId="BodyText3Roman">
    <w:name w:val="Body Text 3 Roman"/>
    <w:basedOn w:val="Normal"/>
    <w:uiPriority w:val="2"/>
    <w:rsid w:val="006308D0"/>
    <w:pPr>
      <w:numPr>
        <w:ilvl w:val="2"/>
        <w:numId w:val="22"/>
      </w:numPr>
      <w:spacing w:after="120"/>
      <w:ind w:left="1071" w:hanging="357"/>
      <w:contextualSpacing/>
    </w:pPr>
  </w:style>
  <w:style w:type="paragraph" w:customStyle="1" w:styleId="TableText">
    <w:name w:val="Table Text"/>
    <w:basedOn w:val="BodyText"/>
    <w:uiPriority w:val="4"/>
    <w:rsid w:val="006308D0"/>
    <w:pPr>
      <w:spacing w:before="40" w:after="40"/>
    </w:pPr>
    <w:rPr>
      <w:rFonts w:asciiTheme="minorHAnsi" w:hAnsiTheme="minorHAnsi"/>
      <w:sz w:val="18"/>
    </w:rPr>
  </w:style>
  <w:style w:type="character" w:customStyle="1" w:styleId="Heading1Char">
    <w:name w:val="Heading 1 Char"/>
    <w:basedOn w:val="DefaultParagraphFont"/>
    <w:link w:val="Heading1"/>
    <w:rsid w:val="006308D0"/>
    <w:rPr>
      <w:rFonts w:eastAsiaTheme="majorEastAsia" w:cstheme="majorBidi"/>
      <w:b/>
      <w:color w:val="007D55" w:themeColor="accent1"/>
      <w:sz w:val="32"/>
      <w:szCs w:val="32"/>
    </w:rPr>
  </w:style>
  <w:style w:type="paragraph" w:customStyle="1" w:styleId="BulletLevel1">
    <w:name w:val="Bullet Level 1"/>
    <w:basedOn w:val="Normal"/>
    <w:uiPriority w:val="2"/>
    <w:rsid w:val="006308D0"/>
    <w:pPr>
      <w:numPr>
        <w:numId w:val="31"/>
      </w:numPr>
      <w:spacing w:before="120" w:after="60"/>
      <w:ind w:left="357" w:hanging="357"/>
      <w:contextualSpacing/>
    </w:pPr>
  </w:style>
  <w:style w:type="paragraph" w:customStyle="1" w:styleId="TableHeading">
    <w:name w:val="Table Heading"/>
    <w:basedOn w:val="Normal"/>
    <w:uiPriority w:val="3"/>
    <w:rsid w:val="006308D0"/>
    <w:pPr>
      <w:keepNext/>
      <w:spacing w:before="60" w:after="60"/>
    </w:pPr>
    <w:rPr>
      <w:rFonts w:asciiTheme="minorHAnsi" w:hAnsiTheme="minorHAnsi"/>
      <w:b/>
      <w:sz w:val="22"/>
    </w:rPr>
  </w:style>
  <w:style w:type="paragraph" w:customStyle="1" w:styleId="BulletLevel2">
    <w:name w:val="Bullet Level 2"/>
    <w:basedOn w:val="Normal"/>
    <w:uiPriority w:val="2"/>
    <w:rsid w:val="006308D0"/>
    <w:pPr>
      <w:numPr>
        <w:ilvl w:val="1"/>
        <w:numId w:val="31"/>
      </w:numPr>
      <w:spacing w:before="120" w:after="60"/>
      <w:ind w:left="714" w:hanging="357"/>
      <w:contextualSpacing/>
    </w:pPr>
  </w:style>
  <w:style w:type="paragraph" w:customStyle="1" w:styleId="BulletLevel3">
    <w:name w:val="Bullet Level 3"/>
    <w:basedOn w:val="Normal"/>
    <w:uiPriority w:val="2"/>
    <w:rsid w:val="006308D0"/>
    <w:pPr>
      <w:numPr>
        <w:ilvl w:val="2"/>
        <w:numId w:val="31"/>
      </w:numPr>
      <w:spacing w:before="120" w:after="60"/>
      <w:ind w:left="1071" w:hanging="357"/>
      <w:contextualSpacing/>
    </w:pPr>
  </w:style>
  <w:style w:type="character" w:customStyle="1" w:styleId="Heading3Char">
    <w:name w:val="Heading 3 Char"/>
    <w:basedOn w:val="DefaultParagraphFont"/>
    <w:link w:val="Heading3"/>
    <w:rsid w:val="006308D0"/>
    <w:rPr>
      <w:rFonts w:eastAsiaTheme="majorEastAsia" w:cstheme="majorBidi"/>
      <w:b/>
      <w:sz w:val="26"/>
      <w:szCs w:val="24"/>
    </w:rPr>
  </w:style>
  <w:style w:type="paragraph" w:customStyle="1" w:styleId="AppendixHeading2">
    <w:name w:val="Appendix Heading 2"/>
    <w:basedOn w:val="Normal"/>
    <w:next w:val="BodyText"/>
    <w:uiPriority w:val="20"/>
    <w:rsid w:val="006308D0"/>
    <w:pPr>
      <w:keepNext/>
      <w:numPr>
        <w:ilvl w:val="1"/>
        <w:numId w:val="18"/>
      </w:numPr>
      <w:spacing w:before="240" w:after="120"/>
      <w:outlineLvl w:val="1"/>
    </w:pPr>
    <w:rPr>
      <w:b/>
      <w:sz w:val="28"/>
    </w:rPr>
  </w:style>
  <w:style w:type="paragraph" w:customStyle="1" w:styleId="AppendixHeading3">
    <w:name w:val="Appendix Heading 3"/>
    <w:basedOn w:val="Normal"/>
    <w:next w:val="BodyText"/>
    <w:uiPriority w:val="20"/>
    <w:rsid w:val="006308D0"/>
    <w:pPr>
      <w:keepNext/>
      <w:numPr>
        <w:ilvl w:val="2"/>
        <w:numId w:val="18"/>
      </w:numPr>
      <w:spacing w:before="240" w:after="120"/>
      <w:outlineLvl w:val="2"/>
    </w:pPr>
    <w:rPr>
      <w:b/>
      <w:sz w:val="24"/>
    </w:rPr>
  </w:style>
  <w:style w:type="paragraph" w:customStyle="1" w:styleId="AppendixHeading4">
    <w:name w:val="Appendix Heading 4"/>
    <w:basedOn w:val="Normal"/>
    <w:next w:val="BodyText"/>
    <w:uiPriority w:val="20"/>
    <w:rsid w:val="006308D0"/>
    <w:pPr>
      <w:keepNext/>
      <w:numPr>
        <w:ilvl w:val="3"/>
        <w:numId w:val="18"/>
      </w:numPr>
      <w:spacing w:before="240" w:after="120"/>
      <w:outlineLvl w:val="3"/>
    </w:pPr>
    <w:rPr>
      <w:b/>
      <w:sz w:val="22"/>
    </w:rPr>
  </w:style>
  <w:style w:type="paragraph" w:customStyle="1" w:styleId="TableBullet">
    <w:name w:val="Table Bullet"/>
    <w:basedOn w:val="Normal"/>
    <w:uiPriority w:val="6"/>
    <w:rsid w:val="006308D0"/>
    <w:pPr>
      <w:numPr>
        <w:numId w:val="34"/>
      </w:numPr>
      <w:spacing w:before="40" w:after="40"/>
    </w:pPr>
    <w:rPr>
      <w:rFonts w:asciiTheme="minorHAnsi" w:hAnsiTheme="minorHAnsi"/>
      <w:sz w:val="18"/>
    </w:rPr>
  </w:style>
  <w:style w:type="paragraph" w:customStyle="1" w:styleId="FigureNumberandTitle">
    <w:name w:val="Figure Number and Title"/>
    <w:next w:val="FigureCaption"/>
    <w:uiPriority w:val="99"/>
    <w:semiHidden/>
    <w:rsid w:val="00552B1D"/>
    <w:pPr>
      <w:spacing w:before="120" w:after="40"/>
      <w:ind w:left="907" w:hanging="907"/>
    </w:pPr>
    <w:rPr>
      <w:b/>
    </w:rPr>
  </w:style>
  <w:style w:type="paragraph" w:customStyle="1" w:styleId="Sourcecitation">
    <w:name w:val="Source/citation"/>
    <w:next w:val="BodyText"/>
    <w:uiPriority w:val="99"/>
    <w:semiHidden/>
    <w:rsid w:val="004B2105"/>
    <w:pPr>
      <w:spacing w:before="40" w:after="40"/>
    </w:pPr>
    <w:rPr>
      <w:i/>
      <w:sz w:val="18"/>
    </w:rPr>
  </w:style>
  <w:style w:type="paragraph" w:customStyle="1" w:styleId="CoverHeading">
    <w:name w:val="Cover Heading"/>
    <w:basedOn w:val="Normal"/>
    <w:uiPriority w:val="99"/>
    <w:semiHidden/>
    <w:rsid w:val="006308D0"/>
    <w:pPr>
      <w:spacing w:before="240" w:after="1200"/>
    </w:pPr>
    <w:rPr>
      <w:b/>
      <w:color w:val="007D55" w:themeColor="accent1"/>
      <w:sz w:val="52"/>
    </w:rPr>
  </w:style>
  <w:style w:type="paragraph" w:customStyle="1" w:styleId="CoverInformationBold">
    <w:name w:val="Cover Information Bold"/>
    <w:basedOn w:val="CoverInformation"/>
    <w:uiPriority w:val="99"/>
    <w:semiHidden/>
    <w:rsid w:val="00392D1A"/>
    <w:pPr>
      <w:spacing w:after="0"/>
    </w:pPr>
    <w:rPr>
      <w:b/>
      <w:bCs/>
    </w:rPr>
  </w:style>
  <w:style w:type="paragraph" w:customStyle="1" w:styleId="CoverInformation">
    <w:name w:val="Cover Information"/>
    <w:basedOn w:val="Normal"/>
    <w:uiPriority w:val="99"/>
    <w:semiHidden/>
    <w:rsid w:val="006308D0"/>
    <w:pPr>
      <w:spacing w:after="480"/>
      <w:contextualSpacing/>
    </w:pPr>
    <w:rPr>
      <w:rFonts w:asciiTheme="minorHAnsi" w:hAnsiTheme="minorHAnsi"/>
      <w:sz w:val="28"/>
    </w:rPr>
  </w:style>
  <w:style w:type="paragraph" w:customStyle="1" w:styleId="TableText1Number">
    <w:name w:val="Table Text 1 Number"/>
    <w:basedOn w:val="TableText"/>
    <w:uiPriority w:val="99"/>
    <w:semiHidden/>
    <w:rsid w:val="008E484D"/>
  </w:style>
  <w:style w:type="paragraph" w:customStyle="1" w:styleId="Disclaimer">
    <w:name w:val="Disclaimer"/>
    <w:basedOn w:val="Normal"/>
    <w:uiPriority w:val="99"/>
    <w:semiHidden/>
    <w:rsid w:val="006308D0"/>
    <w:pPr>
      <w:spacing w:before="180"/>
    </w:pPr>
    <w:rPr>
      <w:rFonts w:asciiTheme="minorHAnsi" w:hAnsiTheme="minorHAnsi"/>
      <w:sz w:val="16"/>
    </w:rPr>
  </w:style>
  <w:style w:type="character" w:customStyle="1" w:styleId="Heading2Char">
    <w:name w:val="Heading 2 Char"/>
    <w:basedOn w:val="DefaultParagraphFont"/>
    <w:link w:val="Heading2"/>
    <w:rsid w:val="006308D0"/>
    <w:rPr>
      <w:rFonts w:eastAsiaTheme="majorEastAsia" w:cstheme="majorBidi"/>
      <w:b/>
      <w:sz w:val="28"/>
      <w:szCs w:val="26"/>
    </w:rPr>
  </w:style>
  <w:style w:type="paragraph" w:customStyle="1" w:styleId="Divider">
    <w:name w:val="Divider"/>
    <w:uiPriority w:val="99"/>
    <w:semiHidden/>
    <w:rsid w:val="00E13B7E"/>
    <w:pPr>
      <w:spacing w:before="4000" w:after="7000"/>
    </w:pPr>
    <w:rPr>
      <w:rFonts w:eastAsiaTheme="majorEastAsia" w:cs="Jacobs Chronos Light"/>
      <w:b/>
      <w:color w:val="007D55" w:themeColor="accent1"/>
      <w:sz w:val="52"/>
      <w:szCs w:val="56"/>
    </w:rPr>
  </w:style>
  <w:style w:type="paragraph" w:customStyle="1" w:styleId="Headingunnumbered1">
    <w:name w:val="Heading (unnumbered) 1"/>
    <w:basedOn w:val="Normal"/>
    <w:next w:val="BodyText"/>
    <w:uiPriority w:val="1"/>
    <w:rsid w:val="006308D0"/>
    <w:pPr>
      <w:keepNext/>
      <w:spacing w:before="240" w:after="120"/>
      <w:outlineLvl w:val="0"/>
    </w:pPr>
    <w:rPr>
      <w:b/>
      <w:color w:val="007D55" w:themeColor="accent1"/>
      <w:sz w:val="32"/>
    </w:rPr>
  </w:style>
  <w:style w:type="paragraph" w:customStyle="1" w:styleId="Headingunnumbered2">
    <w:name w:val="Heading (unnumbered) 2"/>
    <w:basedOn w:val="Normal"/>
    <w:next w:val="BodyText"/>
    <w:uiPriority w:val="1"/>
    <w:rsid w:val="006308D0"/>
    <w:pPr>
      <w:keepNext/>
      <w:spacing w:before="240" w:after="120"/>
      <w:outlineLvl w:val="1"/>
    </w:pPr>
    <w:rPr>
      <w:b/>
      <w:sz w:val="28"/>
    </w:rPr>
  </w:style>
  <w:style w:type="paragraph" w:customStyle="1" w:styleId="Headingunnumbered3">
    <w:name w:val="Heading (unnumbered) 3"/>
    <w:basedOn w:val="Normal"/>
    <w:next w:val="BodyText"/>
    <w:uiPriority w:val="1"/>
    <w:rsid w:val="006308D0"/>
    <w:pPr>
      <w:keepNext/>
      <w:spacing w:before="240" w:after="120"/>
      <w:outlineLvl w:val="2"/>
    </w:pPr>
    <w:rPr>
      <w:b/>
      <w:sz w:val="24"/>
    </w:rPr>
  </w:style>
  <w:style w:type="paragraph" w:customStyle="1" w:styleId="TableText2Letter">
    <w:name w:val="Table Text 2 Letter"/>
    <w:basedOn w:val="TableText1Number"/>
    <w:uiPriority w:val="99"/>
    <w:semiHidden/>
    <w:rsid w:val="00025ACF"/>
  </w:style>
  <w:style w:type="paragraph" w:styleId="BalloonText">
    <w:name w:val="Balloon Text"/>
    <w:basedOn w:val="Normal"/>
    <w:link w:val="BalloonTextChar"/>
    <w:uiPriority w:val="99"/>
    <w:semiHidden/>
    <w:unhideWhenUsed/>
    <w:rsid w:val="006308D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8D0"/>
    <w:rPr>
      <w:rFonts w:ascii="Segoe UI" w:hAnsi="Segoe UI" w:cs="Segoe UI"/>
      <w:sz w:val="18"/>
      <w:szCs w:val="18"/>
    </w:rPr>
  </w:style>
  <w:style w:type="paragraph" w:customStyle="1" w:styleId="SingleSequential">
    <w:name w:val="Single Sequential"/>
    <w:basedOn w:val="Normal"/>
    <w:uiPriority w:val="2"/>
    <w:qFormat/>
    <w:rsid w:val="006308D0"/>
    <w:pPr>
      <w:numPr>
        <w:numId w:val="29"/>
      </w:numPr>
      <w:spacing w:before="180" w:after="60"/>
    </w:pPr>
    <w:rPr>
      <w:rFonts w:asciiTheme="minorHAnsi" w:hAnsiTheme="minorHAnsi"/>
    </w:rPr>
  </w:style>
  <w:style w:type="numbering" w:customStyle="1" w:styleId="JacobsSingleSequentialList">
    <w:name w:val="Jacobs Single Sequential List"/>
    <w:uiPriority w:val="99"/>
    <w:semiHidden/>
    <w:rsid w:val="00B46D23"/>
    <w:pPr>
      <w:numPr>
        <w:numId w:val="1"/>
      </w:numPr>
    </w:pPr>
  </w:style>
  <w:style w:type="numbering" w:customStyle="1" w:styleId="JacobsParagraphLevels">
    <w:name w:val="Jacobs Paragraph Levels"/>
    <w:uiPriority w:val="99"/>
    <w:semiHidden/>
    <w:rsid w:val="00382C71"/>
    <w:pPr>
      <w:numPr>
        <w:numId w:val="2"/>
      </w:numPr>
    </w:pPr>
  </w:style>
  <w:style w:type="character" w:styleId="CommentReference">
    <w:name w:val="annotation reference"/>
    <w:basedOn w:val="DefaultParagraphFont"/>
    <w:uiPriority w:val="99"/>
    <w:semiHidden/>
    <w:unhideWhenUsed/>
    <w:rsid w:val="006308D0"/>
    <w:rPr>
      <w:sz w:val="16"/>
      <w:szCs w:val="16"/>
    </w:rPr>
  </w:style>
  <w:style w:type="paragraph" w:styleId="CommentText">
    <w:name w:val="annotation text"/>
    <w:basedOn w:val="Normal"/>
    <w:link w:val="CommentTextChar"/>
    <w:uiPriority w:val="99"/>
    <w:semiHidden/>
    <w:unhideWhenUsed/>
    <w:rsid w:val="006308D0"/>
  </w:style>
  <w:style w:type="character" w:customStyle="1" w:styleId="CommentTextChar">
    <w:name w:val="Comment Text Char"/>
    <w:basedOn w:val="DefaultParagraphFont"/>
    <w:link w:val="CommentText"/>
    <w:uiPriority w:val="99"/>
    <w:semiHidden/>
    <w:rsid w:val="006308D0"/>
  </w:style>
  <w:style w:type="paragraph" w:styleId="CommentSubject">
    <w:name w:val="annotation subject"/>
    <w:basedOn w:val="CommentText"/>
    <w:next w:val="CommentText"/>
    <w:link w:val="CommentSubjectChar"/>
    <w:uiPriority w:val="99"/>
    <w:semiHidden/>
    <w:unhideWhenUsed/>
    <w:rsid w:val="006308D0"/>
    <w:rPr>
      <w:b/>
      <w:bCs/>
    </w:rPr>
  </w:style>
  <w:style w:type="character" w:customStyle="1" w:styleId="CommentSubjectChar">
    <w:name w:val="Comment Subject Char"/>
    <w:basedOn w:val="CommentTextChar"/>
    <w:link w:val="CommentSubject"/>
    <w:uiPriority w:val="99"/>
    <w:semiHidden/>
    <w:rsid w:val="006308D0"/>
    <w:rPr>
      <w:b/>
      <w:bCs/>
    </w:rPr>
  </w:style>
  <w:style w:type="table" w:styleId="PlainTable1">
    <w:name w:val="Plain Table 1"/>
    <w:basedOn w:val="TableNormal"/>
    <w:uiPriority w:val="41"/>
    <w:rsid w:val="006308D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6308D0"/>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Style1">
    <w:name w:val="Style1"/>
    <w:basedOn w:val="TableNormal"/>
    <w:uiPriority w:val="99"/>
    <w:semiHidden/>
    <w:rsid w:val="00FB4765"/>
    <w:pPr>
      <w:spacing w:line="240" w:lineRule="auto"/>
    </w:pPr>
    <w:tblPr/>
  </w:style>
  <w:style w:type="table" w:customStyle="1" w:styleId="Style2">
    <w:name w:val="Style2"/>
    <w:basedOn w:val="TableNormal"/>
    <w:uiPriority w:val="99"/>
    <w:semiHidden/>
    <w:rsid w:val="00FB4765"/>
    <w:pPr>
      <w:spacing w:line="240" w:lineRule="auto"/>
    </w:pPr>
    <w:tblPr/>
  </w:style>
  <w:style w:type="table" w:styleId="GridTable4-Accent6">
    <w:name w:val="Grid Table 4 Accent 6"/>
    <w:basedOn w:val="TableNormal"/>
    <w:uiPriority w:val="49"/>
    <w:rsid w:val="006308D0"/>
    <w:pPr>
      <w:spacing w:line="240" w:lineRule="auto"/>
    </w:p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color w:val="FFFFFF" w:themeColor="background1"/>
      </w:rPr>
      <w:tblPr/>
      <w:tcPr>
        <w:tcBorders>
          <w:top w:val="single" w:sz="4" w:space="0" w:color="A5A5A5" w:themeColor="accent6"/>
          <w:left w:val="single" w:sz="4" w:space="0" w:color="A5A5A5" w:themeColor="accent6"/>
          <w:bottom w:val="single" w:sz="4" w:space="0" w:color="A5A5A5" w:themeColor="accent6"/>
          <w:right w:val="single" w:sz="4" w:space="0" w:color="A5A5A5" w:themeColor="accent6"/>
          <w:insideH w:val="nil"/>
          <w:insideV w:val="nil"/>
        </w:tcBorders>
        <w:shd w:val="clear" w:color="auto" w:fill="A5A5A5" w:themeFill="accent6"/>
      </w:tcPr>
    </w:tblStylePr>
    <w:tblStylePr w:type="lastRow">
      <w:rPr>
        <w:b/>
        <w:bCs/>
      </w:rPr>
      <w:tblPr/>
      <w:tcPr>
        <w:tcBorders>
          <w:top w:val="double" w:sz="4" w:space="0" w:color="A5A5A5" w:themeColor="accent6"/>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paragraph" w:customStyle="1" w:styleId="TableText3Roman">
    <w:name w:val="Table Text 3 Roman"/>
    <w:basedOn w:val="TableText"/>
    <w:uiPriority w:val="99"/>
    <w:semiHidden/>
    <w:rsid w:val="008E484D"/>
  </w:style>
  <w:style w:type="paragraph" w:customStyle="1" w:styleId="BodyTextBold">
    <w:name w:val="Body Text Bold"/>
    <w:basedOn w:val="BodyText"/>
    <w:next w:val="BodyText"/>
    <w:uiPriority w:val="99"/>
    <w:semiHidden/>
    <w:rsid w:val="00DF23AB"/>
    <w:rPr>
      <w:b/>
    </w:rPr>
  </w:style>
  <w:style w:type="paragraph" w:customStyle="1" w:styleId="TableTextBold">
    <w:name w:val="Table Text Bold"/>
    <w:basedOn w:val="TableText"/>
    <w:next w:val="TableText"/>
    <w:uiPriority w:val="99"/>
    <w:semiHidden/>
    <w:rsid w:val="00767E98"/>
    <w:rPr>
      <w:b/>
    </w:rPr>
  </w:style>
  <w:style w:type="paragraph" w:customStyle="1" w:styleId="TableHeading2">
    <w:name w:val="Table Heading 2"/>
    <w:basedOn w:val="Normal"/>
    <w:uiPriority w:val="4"/>
    <w:qFormat/>
    <w:rsid w:val="006308D0"/>
    <w:pPr>
      <w:spacing w:before="60" w:after="60"/>
    </w:pPr>
    <w:rPr>
      <w:b/>
    </w:rPr>
  </w:style>
  <w:style w:type="character" w:styleId="Hyperlink">
    <w:name w:val="Hyperlink"/>
    <w:basedOn w:val="DefaultParagraphFont"/>
    <w:uiPriority w:val="99"/>
    <w:unhideWhenUsed/>
    <w:rsid w:val="006308D0"/>
    <w:rPr>
      <w:color w:val="231EDC" w:themeColor="hyperlink"/>
      <w:u w:val="single"/>
    </w:rPr>
  </w:style>
  <w:style w:type="paragraph" w:customStyle="1" w:styleId="DocumentSubject">
    <w:name w:val="Document Subject"/>
    <w:basedOn w:val="Normal"/>
    <w:uiPriority w:val="99"/>
    <w:semiHidden/>
    <w:rsid w:val="006308D0"/>
    <w:pPr>
      <w:spacing w:before="360" w:after="240"/>
    </w:pPr>
    <w:rPr>
      <w:rFonts w:asciiTheme="minorHAnsi" w:hAnsiTheme="minorHAnsi"/>
      <w:b/>
      <w:color w:val="007D55" w:themeColor="accent1"/>
      <w:sz w:val="24"/>
    </w:rPr>
  </w:style>
  <w:style w:type="character" w:customStyle="1" w:styleId="Heading4Char">
    <w:name w:val="Heading 4 Char"/>
    <w:basedOn w:val="DefaultParagraphFont"/>
    <w:link w:val="Heading4"/>
    <w:rsid w:val="006308D0"/>
    <w:rPr>
      <w:rFonts w:eastAsiaTheme="majorEastAsia" w:cstheme="majorBidi"/>
      <w:b/>
      <w:iCs/>
      <w:sz w:val="24"/>
    </w:rPr>
  </w:style>
  <w:style w:type="character" w:customStyle="1" w:styleId="Heading5Char">
    <w:name w:val="Heading 5 Char"/>
    <w:basedOn w:val="DefaultParagraphFont"/>
    <w:link w:val="Heading5"/>
    <w:rsid w:val="006308D0"/>
    <w:rPr>
      <w:rFonts w:eastAsiaTheme="majorEastAsia" w:cstheme="majorBidi"/>
      <w:b/>
      <w:sz w:val="22"/>
    </w:rPr>
  </w:style>
  <w:style w:type="character" w:customStyle="1" w:styleId="Heading6Char">
    <w:name w:val="Heading 6 Char"/>
    <w:basedOn w:val="DefaultParagraphFont"/>
    <w:link w:val="Heading6"/>
    <w:rsid w:val="006308D0"/>
    <w:rPr>
      <w:rFonts w:eastAsiaTheme="majorEastAsia" w:cstheme="majorBidi"/>
      <w:b/>
    </w:rPr>
  </w:style>
  <w:style w:type="character" w:customStyle="1" w:styleId="Heading7Char">
    <w:name w:val="Heading 7 Char"/>
    <w:basedOn w:val="DefaultParagraphFont"/>
    <w:link w:val="Heading7"/>
    <w:uiPriority w:val="9"/>
    <w:semiHidden/>
    <w:rsid w:val="006308D0"/>
    <w:rPr>
      <w:rFonts w:eastAsiaTheme="majorEastAsia" w:cstheme="majorBidi"/>
      <w:i/>
      <w:iCs/>
      <w:color w:val="003E2A" w:themeColor="accent1" w:themeShade="7F"/>
    </w:rPr>
  </w:style>
  <w:style w:type="character" w:customStyle="1" w:styleId="Heading8Char">
    <w:name w:val="Heading 8 Char"/>
    <w:basedOn w:val="DefaultParagraphFont"/>
    <w:link w:val="Heading8"/>
    <w:uiPriority w:val="9"/>
    <w:semiHidden/>
    <w:rsid w:val="006308D0"/>
    <w:rPr>
      <w:rFonts w:eastAsiaTheme="majorEastAsia" w:cstheme="majorBidi"/>
      <w:color w:val="272727" w:themeColor="text1" w:themeTint="D8"/>
      <w:sz w:val="21"/>
      <w:szCs w:val="21"/>
    </w:rPr>
  </w:style>
  <w:style w:type="character" w:customStyle="1" w:styleId="Heading9Char">
    <w:name w:val="Heading 9 Char"/>
    <w:aliases w:val="Appendix Char,Appendix Heading 1 Char"/>
    <w:basedOn w:val="DefaultParagraphFont"/>
    <w:link w:val="Heading9"/>
    <w:uiPriority w:val="19"/>
    <w:rsid w:val="006308D0"/>
    <w:rPr>
      <w:rFonts w:eastAsiaTheme="majorEastAsia" w:cstheme="majorBidi"/>
      <w:b/>
      <w:iCs/>
      <w:color w:val="007D55" w:themeColor="accent1"/>
      <w:sz w:val="32"/>
      <w:szCs w:val="21"/>
    </w:rPr>
  </w:style>
  <w:style w:type="numbering" w:styleId="ArticleSection">
    <w:name w:val="Outline List 3"/>
    <w:aliases w:val="REMOVE 3"/>
    <w:basedOn w:val="NoList"/>
    <w:uiPriority w:val="99"/>
    <w:semiHidden/>
    <w:unhideWhenUsed/>
    <w:rsid w:val="00E6345A"/>
    <w:pPr>
      <w:numPr>
        <w:numId w:val="3"/>
      </w:numPr>
    </w:pPr>
  </w:style>
  <w:style w:type="paragraph" w:customStyle="1" w:styleId="TableTextItalic">
    <w:name w:val="Table Text Italic"/>
    <w:basedOn w:val="TableText"/>
    <w:uiPriority w:val="99"/>
    <w:semiHidden/>
    <w:rsid w:val="00767E98"/>
    <w:rPr>
      <w:i/>
    </w:rPr>
  </w:style>
  <w:style w:type="paragraph" w:customStyle="1" w:styleId="CaptionSubText">
    <w:name w:val="Caption Sub Text"/>
    <w:basedOn w:val="Caption"/>
    <w:next w:val="BodyText"/>
    <w:uiPriority w:val="99"/>
    <w:semiHidden/>
    <w:rsid w:val="004B2105"/>
    <w:rPr>
      <w:rFonts w:cs="Jacobs Chronos Light"/>
      <w:b w:val="0"/>
      <w:szCs w:val="16"/>
    </w:rPr>
  </w:style>
  <w:style w:type="paragraph" w:customStyle="1" w:styleId="Footnote">
    <w:name w:val="Footnote"/>
    <w:basedOn w:val="BodyText"/>
    <w:next w:val="BodyText"/>
    <w:uiPriority w:val="99"/>
    <w:semiHidden/>
    <w:rsid w:val="00025ACF"/>
    <w:pPr>
      <w:numPr>
        <w:numId w:val="4"/>
      </w:numPr>
      <w:spacing w:before="40" w:after="40"/>
      <w:ind w:left="170" w:hanging="170"/>
    </w:pPr>
    <w:rPr>
      <w:rFonts w:cs="Jacobs Chronos Light"/>
      <w:sz w:val="16"/>
      <w:szCs w:val="16"/>
    </w:rPr>
  </w:style>
  <w:style w:type="paragraph" w:customStyle="1" w:styleId="QuoteText">
    <w:name w:val="Quote Text"/>
    <w:basedOn w:val="Normal"/>
    <w:uiPriority w:val="7"/>
    <w:rsid w:val="006308D0"/>
    <w:pPr>
      <w:spacing w:before="60" w:after="40"/>
    </w:pPr>
    <w:rPr>
      <w:rFonts w:asciiTheme="minorHAnsi" w:hAnsiTheme="minorHAnsi"/>
      <w:i/>
      <w:color w:val="007D55" w:themeColor="accent1"/>
    </w:rPr>
  </w:style>
  <w:style w:type="paragraph" w:customStyle="1" w:styleId="QuoteAuthor">
    <w:name w:val="Quote Author"/>
    <w:basedOn w:val="Normal"/>
    <w:uiPriority w:val="8"/>
    <w:rsid w:val="006308D0"/>
    <w:pPr>
      <w:spacing w:before="40" w:after="40"/>
    </w:pPr>
    <w:rPr>
      <w:rFonts w:asciiTheme="minorHAnsi" w:hAnsiTheme="minorHAnsi"/>
      <w:color w:val="333333" w:themeColor="text2"/>
    </w:rPr>
  </w:style>
  <w:style w:type="paragraph" w:customStyle="1" w:styleId="QuoteAuthorTitle">
    <w:name w:val="Quote Author Title"/>
    <w:basedOn w:val="Normal"/>
    <w:next w:val="BodyText"/>
    <w:uiPriority w:val="8"/>
    <w:rsid w:val="006308D0"/>
    <w:pPr>
      <w:spacing w:before="40" w:after="60"/>
    </w:pPr>
    <w:rPr>
      <w:rFonts w:asciiTheme="minorHAnsi" w:hAnsiTheme="minorHAnsi"/>
      <w:i/>
      <w:color w:val="333333" w:themeColor="text2"/>
      <w:sz w:val="16"/>
    </w:rPr>
  </w:style>
  <w:style w:type="paragraph" w:customStyle="1" w:styleId="FigureCaption">
    <w:name w:val="Figure Caption"/>
    <w:basedOn w:val="Caption"/>
    <w:next w:val="BodyText"/>
    <w:uiPriority w:val="99"/>
    <w:semiHidden/>
    <w:rsid w:val="006308D0"/>
  </w:style>
  <w:style w:type="paragraph" w:customStyle="1" w:styleId="TableNumberandTitle">
    <w:name w:val="Table Number and Title"/>
    <w:next w:val="TableCaption"/>
    <w:uiPriority w:val="99"/>
    <w:semiHidden/>
    <w:rsid w:val="00552B1D"/>
    <w:pPr>
      <w:keepNext/>
      <w:numPr>
        <w:numId w:val="14"/>
      </w:numPr>
      <w:spacing w:before="120" w:after="40"/>
    </w:pPr>
    <w:rPr>
      <w:b/>
      <w:color w:val="333333"/>
    </w:rPr>
  </w:style>
  <w:style w:type="paragraph" w:customStyle="1" w:styleId="TableCaption">
    <w:name w:val="Table Caption"/>
    <w:basedOn w:val="Caption"/>
    <w:next w:val="BodyText"/>
    <w:uiPriority w:val="99"/>
    <w:semiHidden/>
    <w:rsid w:val="006308D0"/>
    <w:pPr>
      <w:keepNext/>
    </w:pPr>
  </w:style>
  <w:style w:type="numbering" w:customStyle="1" w:styleId="JacobsNumberedHeadings">
    <w:name w:val="Jacobs Numbered Headings"/>
    <w:uiPriority w:val="99"/>
    <w:semiHidden/>
    <w:rsid w:val="004B2105"/>
    <w:pPr>
      <w:numPr>
        <w:numId w:val="10"/>
      </w:numPr>
    </w:pPr>
  </w:style>
  <w:style w:type="numbering" w:customStyle="1" w:styleId="JacobsAppendixHeadings">
    <w:name w:val="Jacobs Appendix Headings"/>
    <w:uiPriority w:val="99"/>
    <w:semiHidden/>
    <w:rsid w:val="00D303A2"/>
    <w:pPr>
      <w:numPr>
        <w:numId w:val="9"/>
      </w:numPr>
    </w:pPr>
  </w:style>
  <w:style w:type="numbering" w:customStyle="1" w:styleId="JacobsSequential111Format">
    <w:name w:val="Jacobs Sequential 1.1.1 Format"/>
    <w:uiPriority w:val="99"/>
    <w:semiHidden/>
    <w:rsid w:val="002D7A04"/>
    <w:pPr>
      <w:numPr>
        <w:numId w:val="7"/>
      </w:numPr>
    </w:pPr>
  </w:style>
  <w:style w:type="paragraph" w:customStyle="1" w:styleId="InstructionalText">
    <w:name w:val="Instructional Text"/>
    <w:uiPriority w:val="99"/>
    <w:semiHidden/>
    <w:rsid w:val="004B2105"/>
    <w:pPr>
      <w:spacing w:before="120" w:after="120"/>
    </w:pPr>
    <w:rPr>
      <w:i/>
      <w:sz w:val="18"/>
    </w:rPr>
  </w:style>
  <w:style w:type="numbering" w:customStyle="1" w:styleId="REMOVE">
    <w:name w:val="REMOVE"/>
    <w:uiPriority w:val="99"/>
    <w:semiHidden/>
    <w:rsid w:val="00D743AC"/>
    <w:pPr>
      <w:numPr>
        <w:numId w:val="5"/>
      </w:numPr>
    </w:pPr>
  </w:style>
  <w:style w:type="paragraph" w:customStyle="1" w:styleId="BodyText4Number">
    <w:name w:val="Body Text 4 Number"/>
    <w:basedOn w:val="Normal"/>
    <w:uiPriority w:val="2"/>
    <w:rsid w:val="006308D0"/>
    <w:pPr>
      <w:numPr>
        <w:ilvl w:val="3"/>
        <w:numId w:val="22"/>
      </w:numPr>
      <w:spacing w:after="120"/>
      <w:contextualSpacing/>
    </w:pPr>
  </w:style>
  <w:style w:type="paragraph" w:styleId="TOC1">
    <w:name w:val="toc 1"/>
    <w:basedOn w:val="Normal"/>
    <w:next w:val="Normal"/>
    <w:autoRedefine/>
    <w:uiPriority w:val="39"/>
    <w:rsid w:val="006308D0"/>
    <w:pPr>
      <w:spacing w:after="100"/>
      <w:ind w:left="567" w:hanging="567"/>
    </w:pPr>
    <w:rPr>
      <w:b/>
    </w:rPr>
  </w:style>
  <w:style w:type="paragraph" w:styleId="TOC2">
    <w:name w:val="toc 2"/>
    <w:basedOn w:val="Normal"/>
    <w:next w:val="Normal"/>
    <w:autoRedefine/>
    <w:uiPriority w:val="39"/>
    <w:rsid w:val="006308D0"/>
    <w:pPr>
      <w:spacing w:after="100"/>
      <w:ind w:left="1134" w:hanging="567"/>
    </w:pPr>
  </w:style>
  <w:style w:type="paragraph" w:styleId="TOC3">
    <w:name w:val="toc 3"/>
    <w:basedOn w:val="Normal"/>
    <w:next w:val="Normal"/>
    <w:autoRedefine/>
    <w:uiPriority w:val="39"/>
    <w:rsid w:val="006308D0"/>
    <w:pPr>
      <w:spacing w:after="100"/>
      <w:ind w:left="1701" w:hanging="567"/>
    </w:pPr>
  </w:style>
  <w:style w:type="paragraph" w:styleId="TOCHeading">
    <w:name w:val="TOC Heading"/>
    <w:basedOn w:val="Normal"/>
    <w:next w:val="Normal"/>
    <w:uiPriority w:val="99"/>
    <w:semiHidden/>
    <w:rsid w:val="006308D0"/>
    <w:pPr>
      <w:spacing w:before="120" w:after="120"/>
      <w:outlineLvl w:val="0"/>
    </w:pPr>
    <w:rPr>
      <w:b/>
      <w:color w:val="007D55" w:themeColor="accent1"/>
      <w:sz w:val="28"/>
    </w:rPr>
  </w:style>
  <w:style w:type="paragraph" w:customStyle="1" w:styleId="TableBullet2ndLevel">
    <w:name w:val="Table Bullet 2nd Level"/>
    <w:basedOn w:val="TableBullet"/>
    <w:uiPriority w:val="99"/>
    <w:semiHidden/>
    <w:rsid w:val="00025ACF"/>
    <w:pPr>
      <w:numPr>
        <w:numId w:val="6"/>
      </w:numPr>
      <w:ind w:left="340" w:hanging="170"/>
    </w:pPr>
  </w:style>
  <w:style w:type="numbering" w:customStyle="1" w:styleId="JacobsTableNumbersList">
    <w:name w:val="Jacobs Table Numbers List"/>
    <w:uiPriority w:val="99"/>
    <w:semiHidden/>
    <w:rsid w:val="008E484D"/>
    <w:pPr>
      <w:numPr>
        <w:numId w:val="8"/>
      </w:numPr>
    </w:pPr>
  </w:style>
  <w:style w:type="paragraph" w:styleId="FootnoteText">
    <w:name w:val="footnote text"/>
    <w:basedOn w:val="Normal"/>
    <w:link w:val="FootnoteTextChar"/>
    <w:uiPriority w:val="99"/>
    <w:semiHidden/>
    <w:rsid w:val="006308D0"/>
    <w:pPr>
      <w:spacing w:before="60" w:after="60"/>
      <w:ind w:left="176" w:hanging="176"/>
    </w:pPr>
    <w:rPr>
      <w:sz w:val="16"/>
    </w:rPr>
  </w:style>
  <w:style w:type="character" w:customStyle="1" w:styleId="FootnoteTextChar">
    <w:name w:val="Footnote Text Char"/>
    <w:basedOn w:val="DefaultParagraphFont"/>
    <w:link w:val="FootnoteText"/>
    <w:uiPriority w:val="99"/>
    <w:semiHidden/>
    <w:rsid w:val="006308D0"/>
    <w:rPr>
      <w:sz w:val="16"/>
    </w:rPr>
  </w:style>
  <w:style w:type="paragraph" w:customStyle="1" w:styleId="HeaderSpacer">
    <w:name w:val="Header Spacer"/>
    <w:basedOn w:val="Header"/>
    <w:uiPriority w:val="99"/>
    <w:rsid w:val="006308D0"/>
    <w:rPr>
      <w:sz w:val="16"/>
    </w:rPr>
  </w:style>
  <w:style w:type="paragraph" w:customStyle="1" w:styleId="AcronymText">
    <w:name w:val="Acronym Text"/>
    <w:basedOn w:val="BodyText"/>
    <w:uiPriority w:val="99"/>
    <w:semiHidden/>
    <w:rsid w:val="00F32340"/>
    <w:rPr>
      <w:rFonts w:eastAsia="Times New Roman" w:cs="Times New Roman"/>
    </w:rPr>
  </w:style>
  <w:style w:type="paragraph" w:styleId="BodyText">
    <w:name w:val="Body Text"/>
    <w:basedOn w:val="Normal"/>
    <w:link w:val="BodyTextChar"/>
    <w:qFormat/>
    <w:rsid w:val="006308D0"/>
    <w:pPr>
      <w:spacing w:before="180" w:after="60"/>
    </w:pPr>
  </w:style>
  <w:style w:type="character" w:customStyle="1" w:styleId="BodyTextChar">
    <w:name w:val="Body Text Char"/>
    <w:basedOn w:val="DefaultParagraphFont"/>
    <w:link w:val="BodyText"/>
    <w:rsid w:val="006308D0"/>
  </w:style>
  <w:style w:type="paragraph" w:customStyle="1" w:styleId="TableNotes">
    <w:name w:val="Table Notes"/>
    <w:basedOn w:val="Normal"/>
    <w:uiPriority w:val="6"/>
    <w:qFormat/>
    <w:rsid w:val="006308D0"/>
    <w:pPr>
      <w:spacing w:before="80" w:after="80"/>
    </w:pPr>
    <w:rPr>
      <w:sz w:val="16"/>
    </w:rPr>
  </w:style>
  <w:style w:type="paragraph" w:styleId="Caption">
    <w:name w:val="caption"/>
    <w:basedOn w:val="Normal"/>
    <w:next w:val="BodyText"/>
    <w:uiPriority w:val="99"/>
    <w:semiHidden/>
    <w:qFormat/>
    <w:rsid w:val="006308D0"/>
    <w:pPr>
      <w:spacing w:before="120" w:after="40"/>
    </w:pPr>
    <w:rPr>
      <w:b/>
      <w:iCs/>
      <w:color w:val="333333" w:themeColor="text2"/>
      <w:szCs w:val="18"/>
    </w:rPr>
  </w:style>
  <w:style w:type="paragraph" w:customStyle="1" w:styleId="TableNotesIndented">
    <w:name w:val="Table Notes Indented"/>
    <w:basedOn w:val="Normal"/>
    <w:uiPriority w:val="6"/>
    <w:qFormat/>
    <w:rsid w:val="006308D0"/>
    <w:pPr>
      <w:spacing w:before="80" w:after="80"/>
      <w:ind w:left="113"/>
    </w:pPr>
    <w:rPr>
      <w:sz w:val="16"/>
    </w:rPr>
  </w:style>
  <w:style w:type="character" w:styleId="PlaceholderText">
    <w:name w:val="Placeholder Text"/>
    <w:basedOn w:val="DefaultParagraphFont"/>
    <w:uiPriority w:val="99"/>
    <w:semiHidden/>
    <w:rsid w:val="006308D0"/>
    <w:rPr>
      <w:i/>
      <w:color w:val="auto"/>
      <w:bdr w:val="none" w:sz="0" w:space="0" w:color="auto"/>
      <w:shd w:val="clear" w:color="auto" w:fill="auto"/>
    </w:rPr>
  </w:style>
  <w:style w:type="paragraph" w:customStyle="1" w:styleId="TableBullet3rdLevel">
    <w:name w:val="Table Bullet 3rd Level"/>
    <w:basedOn w:val="TableBullet2ndLevel"/>
    <w:uiPriority w:val="99"/>
    <w:semiHidden/>
    <w:rsid w:val="00025ACF"/>
    <w:pPr>
      <w:numPr>
        <w:numId w:val="11"/>
      </w:numPr>
      <w:ind w:left="510" w:hanging="170"/>
    </w:pPr>
  </w:style>
  <w:style w:type="character" w:styleId="FootnoteReference">
    <w:name w:val="footnote reference"/>
    <w:basedOn w:val="DefaultParagraphFont"/>
    <w:uiPriority w:val="99"/>
    <w:semiHidden/>
    <w:unhideWhenUsed/>
    <w:rsid w:val="006308D0"/>
    <w:rPr>
      <w:vertAlign w:val="superscript"/>
    </w:rPr>
  </w:style>
  <w:style w:type="numbering" w:customStyle="1" w:styleId="JacobsTableNumberTitle">
    <w:name w:val="Jacobs Table Number &amp; Title"/>
    <w:uiPriority w:val="99"/>
    <w:semiHidden/>
    <w:rsid w:val="00552B1D"/>
    <w:pPr>
      <w:numPr>
        <w:numId w:val="12"/>
      </w:numPr>
    </w:pPr>
  </w:style>
  <w:style w:type="paragraph" w:styleId="BodyText3">
    <w:name w:val="Body Text 3"/>
    <w:basedOn w:val="Normal"/>
    <w:link w:val="BodyText3Char"/>
    <w:uiPriority w:val="99"/>
    <w:semiHidden/>
    <w:unhideWhenUsed/>
    <w:rsid w:val="006308D0"/>
    <w:pPr>
      <w:spacing w:after="120"/>
    </w:pPr>
    <w:rPr>
      <w:sz w:val="16"/>
      <w:szCs w:val="16"/>
    </w:rPr>
  </w:style>
  <w:style w:type="character" w:customStyle="1" w:styleId="BodyText3Char">
    <w:name w:val="Body Text 3 Char"/>
    <w:basedOn w:val="DefaultParagraphFont"/>
    <w:link w:val="BodyText3"/>
    <w:uiPriority w:val="99"/>
    <w:semiHidden/>
    <w:rsid w:val="006308D0"/>
    <w:rPr>
      <w:sz w:val="16"/>
      <w:szCs w:val="16"/>
    </w:rPr>
  </w:style>
  <w:style w:type="numbering" w:customStyle="1" w:styleId="FigureNumberTitle">
    <w:name w:val="Figure Number &amp; Title"/>
    <w:uiPriority w:val="99"/>
    <w:semiHidden/>
    <w:rsid w:val="00552B1D"/>
    <w:pPr>
      <w:numPr>
        <w:numId w:val="13"/>
      </w:numPr>
    </w:pPr>
  </w:style>
  <w:style w:type="paragraph" w:customStyle="1" w:styleId="TableHeadingWhite">
    <w:name w:val="Table Heading White"/>
    <w:basedOn w:val="Normal"/>
    <w:uiPriority w:val="3"/>
    <w:qFormat/>
    <w:rsid w:val="006308D0"/>
    <w:pPr>
      <w:keepNext/>
      <w:spacing w:before="60" w:after="60"/>
    </w:pPr>
    <w:rPr>
      <w:rFonts w:asciiTheme="minorHAnsi" w:hAnsiTheme="minorHAnsi"/>
      <w:b/>
      <w:color w:val="FFFFFF" w:themeColor="background1"/>
      <w:sz w:val="22"/>
    </w:rPr>
  </w:style>
  <w:style w:type="paragraph" w:styleId="ListParagraph">
    <w:name w:val="List Paragraph"/>
    <w:basedOn w:val="Normal"/>
    <w:uiPriority w:val="99"/>
    <w:semiHidden/>
    <w:qFormat/>
    <w:rsid w:val="006308D0"/>
    <w:pPr>
      <w:ind w:left="720"/>
      <w:contextualSpacing/>
    </w:pPr>
  </w:style>
  <w:style w:type="paragraph" w:customStyle="1" w:styleId="BlankPage">
    <w:name w:val="Blank Page"/>
    <w:basedOn w:val="Normal"/>
    <w:uiPriority w:val="99"/>
    <w:semiHidden/>
    <w:rsid w:val="006308D0"/>
    <w:rPr>
      <w:rFonts w:eastAsiaTheme="majorEastAsia" w:cs="Jacobs Chronos Light"/>
      <w:b/>
      <w:color w:val="007D55" w:themeColor="accent1"/>
      <w:sz w:val="28"/>
      <w:szCs w:val="56"/>
    </w:rPr>
  </w:style>
  <w:style w:type="table" w:customStyle="1" w:styleId="TableGrid1">
    <w:name w:val="Table Grid1"/>
    <w:basedOn w:val="TableNormal"/>
    <w:next w:val="TableGrid"/>
    <w:uiPriority w:val="99"/>
    <w:semiHidden/>
    <w:rsid w:val="00F2580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semiHidden/>
    <w:qFormat/>
    <w:rsid w:val="006308D0"/>
    <w:pPr>
      <w:spacing w:line="240" w:lineRule="auto"/>
    </w:pPr>
  </w:style>
  <w:style w:type="numbering" w:customStyle="1" w:styleId="Headings">
    <w:name w:val="Headings"/>
    <w:uiPriority w:val="99"/>
    <w:semiHidden/>
    <w:rsid w:val="006308D0"/>
    <w:pPr>
      <w:numPr>
        <w:numId w:val="19"/>
      </w:numPr>
    </w:pPr>
  </w:style>
  <w:style w:type="paragraph" w:customStyle="1" w:styleId="TableNumber">
    <w:name w:val="Table Number"/>
    <w:basedOn w:val="Normal"/>
    <w:uiPriority w:val="5"/>
    <w:rsid w:val="006308D0"/>
    <w:pPr>
      <w:numPr>
        <w:numId w:val="30"/>
      </w:numPr>
      <w:spacing w:before="40" w:after="40"/>
    </w:pPr>
    <w:rPr>
      <w:rFonts w:asciiTheme="minorHAnsi" w:hAnsiTheme="minorHAnsi"/>
      <w:sz w:val="18"/>
    </w:rPr>
  </w:style>
  <w:style w:type="paragraph" w:styleId="Title">
    <w:name w:val="Title"/>
    <w:basedOn w:val="Normal"/>
    <w:next w:val="Normal"/>
    <w:link w:val="TitleChar"/>
    <w:uiPriority w:val="99"/>
    <w:semiHidden/>
    <w:qFormat/>
    <w:rsid w:val="006308D0"/>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semiHidden/>
    <w:rsid w:val="006308D0"/>
    <w:rPr>
      <w:rFonts w:eastAsiaTheme="majorEastAsia" w:cstheme="majorBidi"/>
      <w:spacing w:val="-10"/>
      <w:kern w:val="28"/>
      <w:sz w:val="56"/>
      <w:szCs w:val="56"/>
    </w:rPr>
  </w:style>
  <w:style w:type="paragraph" w:styleId="Bibliography">
    <w:name w:val="Bibliography"/>
    <w:basedOn w:val="Normal"/>
    <w:next w:val="Normal"/>
    <w:uiPriority w:val="99"/>
    <w:semiHidden/>
    <w:unhideWhenUsed/>
    <w:rsid w:val="006308D0"/>
  </w:style>
  <w:style w:type="paragraph" w:styleId="BlockText">
    <w:name w:val="Block Text"/>
    <w:basedOn w:val="Normal"/>
    <w:uiPriority w:val="99"/>
    <w:semiHidden/>
    <w:unhideWhenUsed/>
    <w:rsid w:val="006308D0"/>
    <w:pPr>
      <w:pBdr>
        <w:top w:val="single" w:sz="2" w:space="10" w:color="007D55" w:themeColor="accent1" w:frame="1"/>
        <w:left w:val="single" w:sz="2" w:space="10" w:color="007D55" w:themeColor="accent1" w:frame="1"/>
        <w:bottom w:val="single" w:sz="2" w:space="10" w:color="007D55" w:themeColor="accent1" w:frame="1"/>
        <w:right w:val="single" w:sz="2" w:space="10" w:color="007D55" w:themeColor="accent1" w:frame="1"/>
      </w:pBdr>
      <w:ind w:left="1152" w:right="1152"/>
    </w:pPr>
    <w:rPr>
      <w:i/>
      <w:iCs/>
      <w:color w:val="007D55" w:themeColor="accent1"/>
    </w:rPr>
  </w:style>
  <w:style w:type="paragraph" w:styleId="BodyText2">
    <w:name w:val="Body Text 2"/>
    <w:basedOn w:val="Normal"/>
    <w:link w:val="BodyText2Char"/>
    <w:uiPriority w:val="99"/>
    <w:semiHidden/>
    <w:unhideWhenUsed/>
    <w:rsid w:val="006308D0"/>
    <w:pPr>
      <w:spacing w:after="120" w:line="480" w:lineRule="auto"/>
    </w:pPr>
  </w:style>
  <w:style w:type="character" w:customStyle="1" w:styleId="BodyText2Char">
    <w:name w:val="Body Text 2 Char"/>
    <w:basedOn w:val="DefaultParagraphFont"/>
    <w:link w:val="BodyText2"/>
    <w:uiPriority w:val="99"/>
    <w:semiHidden/>
    <w:rsid w:val="006308D0"/>
  </w:style>
  <w:style w:type="paragraph" w:styleId="BodyTextFirstIndent">
    <w:name w:val="Body Text First Indent"/>
    <w:basedOn w:val="BodyText"/>
    <w:link w:val="BodyTextFirstIndentChar"/>
    <w:uiPriority w:val="99"/>
    <w:semiHidden/>
    <w:unhideWhenUsed/>
    <w:rsid w:val="006308D0"/>
    <w:pPr>
      <w:spacing w:after="0"/>
      <w:ind w:firstLine="360"/>
    </w:pPr>
  </w:style>
  <w:style w:type="character" w:customStyle="1" w:styleId="BodyTextFirstIndentChar">
    <w:name w:val="Body Text First Indent Char"/>
    <w:basedOn w:val="BodyTextChar"/>
    <w:link w:val="BodyTextFirstIndent"/>
    <w:uiPriority w:val="99"/>
    <w:semiHidden/>
    <w:rsid w:val="006308D0"/>
  </w:style>
  <w:style w:type="paragraph" w:styleId="BodyTextIndent">
    <w:name w:val="Body Text Indent"/>
    <w:basedOn w:val="Normal"/>
    <w:link w:val="BodyTextIndentChar"/>
    <w:uiPriority w:val="99"/>
    <w:semiHidden/>
    <w:unhideWhenUsed/>
    <w:rsid w:val="000449AA"/>
    <w:pPr>
      <w:spacing w:after="120"/>
      <w:ind w:left="283"/>
    </w:pPr>
  </w:style>
  <w:style w:type="character" w:customStyle="1" w:styleId="BodyTextIndentChar">
    <w:name w:val="Body Text Indent Char"/>
    <w:basedOn w:val="DefaultParagraphFont"/>
    <w:link w:val="BodyTextIndent"/>
    <w:uiPriority w:val="99"/>
    <w:semiHidden/>
    <w:rsid w:val="000449AA"/>
    <w:rPr>
      <w:rFonts w:ascii="Jacobs Chronos" w:eastAsiaTheme="minorEastAsia" w:hAnsi="Jacobs Chronos"/>
      <w:szCs w:val="22"/>
    </w:rPr>
  </w:style>
  <w:style w:type="paragraph" w:styleId="BodyTextFirstIndent2">
    <w:name w:val="Body Text First Indent 2"/>
    <w:basedOn w:val="Normal"/>
    <w:link w:val="BodyTextFirstIndent2Char"/>
    <w:uiPriority w:val="99"/>
    <w:semiHidden/>
    <w:unhideWhenUsed/>
    <w:rsid w:val="006308D0"/>
    <w:pPr>
      <w:ind w:left="360" w:firstLine="360"/>
    </w:pPr>
  </w:style>
  <w:style w:type="character" w:customStyle="1" w:styleId="BodyTextFirstIndent2Char">
    <w:name w:val="Body Text First Indent 2 Char"/>
    <w:basedOn w:val="DefaultParagraphFont"/>
    <w:link w:val="BodyTextFirstIndent2"/>
    <w:uiPriority w:val="99"/>
    <w:semiHidden/>
    <w:rsid w:val="006308D0"/>
  </w:style>
  <w:style w:type="paragraph" w:styleId="BodyTextIndent2">
    <w:name w:val="Body Text Indent 2"/>
    <w:basedOn w:val="Normal"/>
    <w:link w:val="BodyTextIndent2Char"/>
    <w:uiPriority w:val="99"/>
    <w:semiHidden/>
    <w:unhideWhenUsed/>
    <w:rsid w:val="006308D0"/>
    <w:pPr>
      <w:spacing w:after="120" w:line="276" w:lineRule="auto"/>
      <w:ind w:left="1418"/>
    </w:pPr>
  </w:style>
  <w:style w:type="character" w:customStyle="1" w:styleId="BodyTextIndent2Char">
    <w:name w:val="Body Text Indent 2 Char"/>
    <w:basedOn w:val="DefaultParagraphFont"/>
    <w:link w:val="BodyTextIndent2"/>
    <w:uiPriority w:val="99"/>
    <w:semiHidden/>
    <w:rsid w:val="006308D0"/>
  </w:style>
  <w:style w:type="paragraph" w:styleId="BodyTextIndent3">
    <w:name w:val="Body Text Indent 3"/>
    <w:basedOn w:val="Normal"/>
    <w:link w:val="BodyTextIndent3Char"/>
    <w:uiPriority w:val="99"/>
    <w:semiHidden/>
    <w:unhideWhenUsed/>
    <w:rsid w:val="006308D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308D0"/>
    <w:rPr>
      <w:sz w:val="16"/>
      <w:szCs w:val="16"/>
    </w:rPr>
  </w:style>
  <w:style w:type="character" w:styleId="BookTitle">
    <w:name w:val="Book Title"/>
    <w:basedOn w:val="DefaultParagraphFont"/>
    <w:uiPriority w:val="99"/>
    <w:semiHidden/>
    <w:qFormat/>
    <w:rsid w:val="006308D0"/>
    <w:rPr>
      <w:b/>
      <w:bCs/>
      <w:i/>
      <w:iCs/>
      <w:spacing w:val="5"/>
    </w:rPr>
  </w:style>
  <w:style w:type="paragraph" w:styleId="Closing">
    <w:name w:val="Closing"/>
    <w:basedOn w:val="Normal"/>
    <w:link w:val="ClosingChar"/>
    <w:uiPriority w:val="99"/>
    <w:semiHidden/>
    <w:unhideWhenUsed/>
    <w:rsid w:val="006308D0"/>
    <w:pPr>
      <w:ind w:left="4252"/>
    </w:pPr>
  </w:style>
  <w:style w:type="character" w:customStyle="1" w:styleId="ClosingChar">
    <w:name w:val="Closing Char"/>
    <w:basedOn w:val="DefaultParagraphFont"/>
    <w:link w:val="Closing"/>
    <w:uiPriority w:val="99"/>
    <w:semiHidden/>
    <w:rsid w:val="006308D0"/>
  </w:style>
  <w:style w:type="table" w:styleId="ColorfulGrid">
    <w:name w:val="Colorful Grid"/>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2FFE6" w:themeFill="accent1" w:themeFillTint="33"/>
    </w:tcPr>
    <w:tblStylePr w:type="firstRow">
      <w:rPr>
        <w:b/>
        <w:bCs/>
      </w:rPr>
      <w:tblPr/>
      <w:tcPr>
        <w:shd w:val="clear" w:color="auto" w:fill="65FFCD" w:themeFill="accent1" w:themeFillTint="66"/>
      </w:tcPr>
    </w:tblStylePr>
    <w:tblStylePr w:type="lastRow">
      <w:rPr>
        <w:b/>
        <w:bCs/>
        <w:color w:val="000000" w:themeColor="text1"/>
      </w:rPr>
      <w:tblPr/>
      <w:tcPr>
        <w:shd w:val="clear" w:color="auto" w:fill="65FFCD" w:themeFill="accent1" w:themeFillTint="66"/>
      </w:tcPr>
    </w:tblStylePr>
    <w:tblStylePr w:type="firstCol">
      <w:rPr>
        <w:color w:val="FFFFFF" w:themeColor="background1"/>
      </w:rPr>
      <w:tblPr/>
      <w:tcPr>
        <w:shd w:val="clear" w:color="auto" w:fill="005D3F" w:themeFill="accent1" w:themeFillShade="BF"/>
      </w:tcPr>
    </w:tblStylePr>
    <w:tblStylePr w:type="lastCol">
      <w:rPr>
        <w:color w:val="FFFFFF" w:themeColor="background1"/>
      </w:rPr>
      <w:tblPr/>
      <w:tcPr>
        <w:shd w:val="clear" w:color="auto" w:fill="005D3F" w:themeFill="accent1" w:themeFillShade="BF"/>
      </w:tcPr>
    </w:tblStylePr>
    <w:tblStylePr w:type="band1Vert">
      <w:tblPr/>
      <w:tcPr>
        <w:shd w:val="clear" w:color="auto" w:fill="3FFFC1" w:themeFill="accent1" w:themeFillTint="7F"/>
      </w:tcPr>
    </w:tblStylePr>
    <w:tblStylePr w:type="band1Horz">
      <w:tblPr/>
      <w:tcPr>
        <w:shd w:val="clear" w:color="auto" w:fill="3FFFC1" w:themeFill="accent1" w:themeFillTint="7F"/>
      </w:tcPr>
    </w:tblStylePr>
  </w:style>
  <w:style w:type="table" w:styleId="ColorfulGrid-Accent2">
    <w:name w:val="Colorful Grid Accent 2"/>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2D1F8" w:themeFill="accent5" w:themeFillTint="33"/>
    </w:tcPr>
    <w:tblStylePr w:type="firstRow">
      <w:rPr>
        <w:b/>
        <w:bCs/>
      </w:rPr>
      <w:tblPr/>
      <w:tcPr>
        <w:shd w:val="clear" w:color="auto" w:fill="A5A3F2" w:themeFill="accent5" w:themeFillTint="66"/>
      </w:tcPr>
    </w:tblStylePr>
    <w:tblStylePr w:type="lastRow">
      <w:rPr>
        <w:b/>
        <w:bCs/>
        <w:color w:val="000000" w:themeColor="text1"/>
      </w:rPr>
      <w:tblPr/>
      <w:tcPr>
        <w:shd w:val="clear" w:color="auto" w:fill="A5A3F2" w:themeFill="accent5" w:themeFillTint="66"/>
      </w:tcPr>
    </w:tblStylePr>
    <w:tblStylePr w:type="firstCol">
      <w:rPr>
        <w:color w:val="FFFFFF" w:themeColor="background1"/>
      </w:rPr>
      <w:tblPr/>
      <w:tcPr>
        <w:shd w:val="clear" w:color="auto" w:fill="1916A4" w:themeFill="accent5" w:themeFillShade="BF"/>
      </w:tcPr>
    </w:tblStylePr>
    <w:tblStylePr w:type="lastCol">
      <w:rPr>
        <w:color w:val="FFFFFF" w:themeColor="background1"/>
      </w:rPr>
      <w:tblPr/>
      <w:tcPr>
        <w:shd w:val="clear" w:color="auto" w:fill="1916A4" w:themeFill="accent5" w:themeFillShade="BF"/>
      </w:tcPr>
    </w:tblStylePr>
    <w:tblStylePr w:type="band1Vert">
      <w:tblPr/>
      <w:tcPr>
        <w:shd w:val="clear" w:color="auto" w:fill="8F8CEF" w:themeFill="accent5" w:themeFillTint="7F"/>
      </w:tcPr>
    </w:tblStylePr>
    <w:tblStylePr w:type="band1Horz">
      <w:tblPr/>
      <w:tcPr>
        <w:shd w:val="clear" w:color="auto" w:fill="8F8CEF" w:themeFill="accent5" w:themeFillTint="7F"/>
      </w:tcPr>
    </w:tblStylePr>
  </w:style>
  <w:style w:type="table" w:styleId="ColorfulGrid-Accent6">
    <w:name w:val="Colorful Grid Accent 6"/>
    <w:basedOn w:val="TableNormal"/>
    <w:uiPriority w:val="73"/>
    <w:semiHidden/>
    <w:unhideWhenUsed/>
    <w:rsid w:val="006308D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6" w:themeFillTint="33"/>
    </w:tcPr>
    <w:tblStylePr w:type="firstRow">
      <w:rPr>
        <w:b/>
        <w:bCs/>
      </w:rPr>
      <w:tblPr/>
      <w:tcPr>
        <w:shd w:val="clear" w:color="auto" w:fill="DBDBDB" w:themeFill="accent6" w:themeFillTint="66"/>
      </w:tcPr>
    </w:tblStylePr>
    <w:tblStylePr w:type="lastRow">
      <w:rPr>
        <w:b/>
        <w:bCs/>
        <w:color w:val="000000" w:themeColor="text1"/>
      </w:rPr>
      <w:tblPr/>
      <w:tcPr>
        <w:shd w:val="clear" w:color="auto" w:fill="DBDBDB" w:themeFill="accent6" w:themeFillTint="66"/>
      </w:tcPr>
    </w:tblStylePr>
    <w:tblStylePr w:type="firstCol">
      <w:rPr>
        <w:color w:val="FFFFFF" w:themeColor="background1"/>
      </w:rPr>
      <w:tblPr/>
      <w:tcPr>
        <w:shd w:val="clear" w:color="auto" w:fill="7B7B7B" w:themeFill="accent6" w:themeFillShade="BF"/>
      </w:tcPr>
    </w:tblStylePr>
    <w:tblStylePr w:type="lastCol">
      <w:rPr>
        <w:color w:val="FFFFFF" w:themeColor="background1"/>
      </w:rPr>
      <w:tblPr/>
      <w:tcPr>
        <w:shd w:val="clear" w:color="auto" w:fill="7B7B7B" w:themeFill="accent6" w:themeFillShade="BF"/>
      </w:tcPr>
    </w:tblStylePr>
    <w:tblStylePr w:type="band1Vert">
      <w:tblPr/>
      <w:tcPr>
        <w:shd w:val="clear" w:color="auto" w:fill="D2D2D2" w:themeFill="accent6" w:themeFillTint="7F"/>
      </w:tcPr>
    </w:tblStylePr>
    <w:tblStylePr w:type="band1Horz">
      <w:tblPr/>
      <w:tcPr>
        <w:shd w:val="clear" w:color="auto" w:fill="D2D2D2" w:themeFill="accent6" w:themeFillTint="7F"/>
      </w:tcPr>
    </w:tblStylePr>
  </w:style>
  <w:style w:type="table" w:styleId="ColorfulList">
    <w:name w:val="Colorful List"/>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D9FFF2"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1" w:themeFillTint="3F"/>
      </w:tcPr>
    </w:tblStylePr>
    <w:tblStylePr w:type="band1Horz">
      <w:tblPr/>
      <w:tcPr>
        <w:shd w:val="clear" w:color="auto" w:fill="B2FFE6" w:themeFill="accent1" w:themeFillTint="33"/>
      </w:tcPr>
    </w:tblStylePr>
  </w:style>
  <w:style w:type="table" w:styleId="ColorfulList-Accent2">
    <w:name w:val="Colorful List Accent 2"/>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E8E8FC" w:themeFill="accent5" w:themeFillTint="19"/>
    </w:tcPr>
    <w:tblStylePr w:type="firstRow">
      <w:rPr>
        <w:b/>
        <w:bCs/>
        <w:color w:val="FFFFFF" w:themeColor="background1"/>
      </w:rPr>
      <w:tblPr/>
      <w:tcPr>
        <w:tcBorders>
          <w:bottom w:val="single" w:sz="12" w:space="0" w:color="FFFFFF" w:themeColor="background1"/>
        </w:tcBorders>
        <w:shd w:val="clear" w:color="auto" w:fill="848484" w:themeFill="accent6" w:themeFillShade="CC"/>
      </w:tcPr>
    </w:tblStylePr>
    <w:tblStylePr w:type="lastRow">
      <w:rPr>
        <w:b/>
        <w:bCs/>
        <w:color w:val="84848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6F7" w:themeFill="accent5" w:themeFillTint="3F"/>
      </w:tcPr>
    </w:tblStylePr>
    <w:tblStylePr w:type="band1Horz">
      <w:tblPr/>
      <w:tcPr>
        <w:shd w:val="clear" w:color="auto" w:fill="D2D1F8" w:themeFill="accent5" w:themeFillTint="33"/>
      </w:tcPr>
    </w:tblStylePr>
  </w:style>
  <w:style w:type="table" w:styleId="ColorfulList-Accent6">
    <w:name w:val="Colorful List Accent 6"/>
    <w:basedOn w:val="TableNormal"/>
    <w:uiPriority w:val="72"/>
    <w:semiHidden/>
    <w:unhideWhenUsed/>
    <w:rsid w:val="006308D0"/>
    <w:pPr>
      <w:spacing w:line="240" w:lineRule="auto"/>
    </w:pPr>
    <w:rPr>
      <w:color w:val="000000" w:themeColor="text1"/>
    </w:rPr>
    <w:tblPr>
      <w:tblStyleRowBandSize w:val="1"/>
      <w:tblStyleColBandSize w:val="1"/>
    </w:tblPr>
    <w:tcPr>
      <w:shd w:val="clear" w:color="auto" w:fill="F6F6F6" w:themeFill="accent6" w:themeFillTint="19"/>
    </w:tcPr>
    <w:tblStylePr w:type="firstRow">
      <w:rPr>
        <w:b/>
        <w:bCs/>
        <w:color w:val="FFFFFF" w:themeColor="background1"/>
      </w:rPr>
      <w:tblPr/>
      <w:tcPr>
        <w:tcBorders>
          <w:bottom w:val="single" w:sz="12" w:space="0" w:color="FFFFFF" w:themeColor="background1"/>
        </w:tcBorders>
        <w:shd w:val="clear" w:color="auto" w:fill="1B18AF" w:themeFill="accent5" w:themeFillShade="CC"/>
      </w:tcPr>
    </w:tblStylePr>
    <w:tblStylePr w:type="lastRow">
      <w:rPr>
        <w:b/>
        <w:bCs/>
        <w:color w:val="1B18A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6" w:themeFillTint="3F"/>
      </w:tcPr>
    </w:tblStylePr>
    <w:tblStylePr w:type="band1Horz">
      <w:tblPr/>
      <w:tcPr>
        <w:shd w:val="clear" w:color="auto" w:fill="EDEDED" w:themeFill="accent6" w:themeFillTint="33"/>
      </w:tcPr>
    </w:tblStylePr>
  </w:style>
  <w:style w:type="table" w:styleId="ColorfulShading">
    <w:name w:val="Colorful Shading"/>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6F006E" w:themeColor="accent2"/>
        <w:left w:val="single" w:sz="4" w:space="0" w:color="007D55" w:themeColor="accent1"/>
        <w:bottom w:val="single" w:sz="4" w:space="0" w:color="007D55" w:themeColor="accent1"/>
        <w:right w:val="single" w:sz="4" w:space="0" w:color="007D55" w:themeColor="accent1"/>
        <w:insideH w:val="single" w:sz="4" w:space="0" w:color="FFFFFF" w:themeColor="background1"/>
        <w:insideV w:val="single" w:sz="4" w:space="0" w:color="FFFFFF" w:themeColor="background1"/>
      </w:tblBorders>
    </w:tblPr>
    <w:tcPr>
      <w:shd w:val="clear" w:color="auto" w:fill="D9FFF2"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1" w:themeFillShade="99"/>
      </w:tcPr>
    </w:tblStylePr>
    <w:tblStylePr w:type="firstCol">
      <w:rPr>
        <w:color w:val="FFFFFF" w:themeColor="background1"/>
      </w:rPr>
      <w:tblPr/>
      <w:tcPr>
        <w:tcBorders>
          <w:top w:val="nil"/>
          <w:left w:val="nil"/>
          <w:bottom w:val="nil"/>
          <w:right w:val="nil"/>
          <w:insideH w:val="single" w:sz="4" w:space="0" w:color="004B32" w:themeColor="accent1" w:themeShade="99"/>
          <w:insideV w:val="nil"/>
        </w:tcBorders>
        <w:shd w:val="clear" w:color="auto" w:fill="004B3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1" w:themeFillShade="99"/>
      </w:tcPr>
    </w:tblStylePr>
    <w:tblStylePr w:type="band1Vert">
      <w:tblPr/>
      <w:tcPr>
        <w:shd w:val="clear" w:color="auto" w:fill="65FFCD" w:themeFill="accent1" w:themeFillTint="66"/>
      </w:tcPr>
    </w:tblStylePr>
    <w:tblStylePr w:type="band1Horz">
      <w:tblPr/>
      <w:tcPr>
        <w:shd w:val="clear" w:color="auto" w:fill="3FFFC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A5A5A5" w:themeColor="accent6"/>
        <w:left w:val="single" w:sz="4" w:space="0" w:color="231EDC" w:themeColor="accent5"/>
        <w:bottom w:val="single" w:sz="4" w:space="0" w:color="231EDC" w:themeColor="accent5"/>
        <w:right w:val="single" w:sz="4" w:space="0" w:color="231EDC" w:themeColor="accent5"/>
        <w:insideH w:val="single" w:sz="4" w:space="0" w:color="FFFFFF" w:themeColor="background1"/>
        <w:insideV w:val="single" w:sz="4" w:space="0" w:color="FFFFFF" w:themeColor="background1"/>
      </w:tblBorders>
    </w:tblPr>
    <w:tcPr>
      <w:shd w:val="clear" w:color="auto" w:fill="E8E8FC" w:themeFill="accent5" w:themeFillTint="19"/>
    </w:tcPr>
    <w:tblStylePr w:type="firstRow">
      <w:rPr>
        <w:b/>
        <w:bCs/>
      </w:rPr>
      <w:tblPr/>
      <w:tcPr>
        <w:tcBorders>
          <w:top w:val="nil"/>
          <w:left w:val="nil"/>
          <w:bottom w:val="single" w:sz="24" w:space="0" w:color="A5A5A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83" w:themeFill="accent5" w:themeFillShade="99"/>
      </w:tcPr>
    </w:tblStylePr>
    <w:tblStylePr w:type="firstCol">
      <w:rPr>
        <w:color w:val="FFFFFF" w:themeColor="background1"/>
      </w:rPr>
      <w:tblPr/>
      <w:tcPr>
        <w:tcBorders>
          <w:top w:val="nil"/>
          <w:left w:val="nil"/>
          <w:bottom w:val="nil"/>
          <w:right w:val="nil"/>
          <w:insideH w:val="single" w:sz="4" w:space="0" w:color="141283" w:themeColor="accent5" w:themeShade="99"/>
          <w:insideV w:val="nil"/>
        </w:tcBorders>
        <w:shd w:val="clear" w:color="auto" w:fill="14128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41283" w:themeFill="accent5" w:themeFillShade="99"/>
      </w:tcPr>
    </w:tblStylePr>
    <w:tblStylePr w:type="band1Vert">
      <w:tblPr/>
      <w:tcPr>
        <w:shd w:val="clear" w:color="auto" w:fill="A5A3F2" w:themeFill="accent5" w:themeFillTint="66"/>
      </w:tcPr>
    </w:tblStylePr>
    <w:tblStylePr w:type="band1Horz">
      <w:tblPr/>
      <w:tcPr>
        <w:shd w:val="clear" w:color="auto" w:fill="8F8CE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308D0"/>
    <w:pPr>
      <w:spacing w:line="240" w:lineRule="auto"/>
    </w:pPr>
    <w:rPr>
      <w:color w:val="000000" w:themeColor="text1"/>
    </w:rPr>
    <w:tblPr>
      <w:tblStyleRowBandSize w:val="1"/>
      <w:tblStyleColBandSize w:val="1"/>
      <w:tblBorders>
        <w:top w:val="single" w:sz="24" w:space="0" w:color="231EDC" w:themeColor="accent5"/>
        <w:left w:val="single" w:sz="4" w:space="0" w:color="A5A5A5" w:themeColor="accent6"/>
        <w:bottom w:val="single" w:sz="4" w:space="0" w:color="A5A5A5" w:themeColor="accent6"/>
        <w:right w:val="single" w:sz="4" w:space="0" w:color="A5A5A5" w:themeColor="accent6"/>
        <w:insideH w:val="single" w:sz="4" w:space="0" w:color="FFFFFF" w:themeColor="background1"/>
        <w:insideV w:val="single" w:sz="4" w:space="0" w:color="FFFFFF" w:themeColor="background1"/>
      </w:tblBorders>
    </w:tblPr>
    <w:tcPr>
      <w:shd w:val="clear" w:color="auto" w:fill="F6F6F6" w:themeFill="accent6" w:themeFillTint="19"/>
    </w:tcPr>
    <w:tblStylePr w:type="firstRow">
      <w:rPr>
        <w:b/>
        <w:bCs/>
      </w:rPr>
      <w:tblPr/>
      <w:tcPr>
        <w:tcBorders>
          <w:top w:val="nil"/>
          <w:left w:val="nil"/>
          <w:bottom w:val="single" w:sz="24" w:space="0" w:color="231ED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6" w:themeFillShade="99"/>
      </w:tcPr>
    </w:tblStylePr>
    <w:tblStylePr w:type="firstCol">
      <w:rPr>
        <w:color w:val="FFFFFF" w:themeColor="background1"/>
      </w:rPr>
      <w:tblPr/>
      <w:tcPr>
        <w:tcBorders>
          <w:top w:val="nil"/>
          <w:left w:val="nil"/>
          <w:bottom w:val="nil"/>
          <w:right w:val="nil"/>
          <w:insideH w:val="single" w:sz="4" w:space="0" w:color="636363" w:themeColor="accent6" w:themeShade="99"/>
          <w:insideV w:val="nil"/>
        </w:tcBorders>
        <w:shd w:val="clear" w:color="auto" w:fill="63636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6" w:themeFillShade="99"/>
      </w:tcPr>
    </w:tblStylePr>
    <w:tblStylePr w:type="band1Vert">
      <w:tblPr/>
      <w:tcPr>
        <w:shd w:val="clear" w:color="auto" w:fill="DBDBDB" w:themeFill="accent6" w:themeFillTint="66"/>
      </w:tcPr>
    </w:tblStylePr>
    <w:tblStylePr w:type="band1Horz">
      <w:tblPr/>
      <w:tcPr>
        <w:shd w:val="clear" w:color="auto" w:fill="D2D2D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007D5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1" w:themeFillShade="BF"/>
      </w:tcPr>
    </w:tblStylePr>
    <w:tblStylePr w:type="band1Vert">
      <w:tblPr/>
      <w:tcPr>
        <w:tcBorders>
          <w:top w:val="nil"/>
          <w:left w:val="nil"/>
          <w:bottom w:val="nil"/>
          <w:right w:val="nil"/>
          <w:insideH w:val="nil"/>
          <w:insideV w:val="nil"/>
        </w:tcBorders>
        <w:shd w:val="clear" w:color="auto" w:fill="005D3F" w:themeFill="accent1" w:themeFillShade="BF"/>
      </w:tcPr>
    </w:tblStylePr>
    <w:tblStylePr w:type="band1Horz">
      <w:tblPr/>
      <w:tcPr>
        <w:tcBorders>
          <w:top w:val="nil"/>
          <w:left w:val="nil"/>
          <w:bottom w:val="nil"/>
          <w:right w:val="nil"/>
          <w:insideH w:val="nil"/>
          <w:insideV w:val="nil"/>
        </w:tcBorders>
        <w:shd w:val="clear" w:color="auto" w:fill="005D3F" w:themeFill="accent1" w:themeFillShade="BF"/>
      </w:tcPr>
    </w:tblStylePr>
  </w:style>
  <w:style w:type="table" w:styleId="DarkList-Accent2">
    <w:name w:val="Dark List Accent 2"/>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231ED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F6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1916A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1916A4" w:themeFill="accent5" w:themeFillShade="BF"/>
      </w:tcPr>
    </w:tblStylePr>
    <w:tblStylePr w:type="band1Vert">
      <w:tblPr/>
      <w:tcPr>
        <w:tcBorders>
          <w:top w:val="nil"/>
          <w:left w:val="nil"/>
          <w:bottom w:val="nil"/>
          <w:right w:val="nil"/>
          <w:insideH w:val="nil"/>
          <w:insideV w:val="nil"/>
        </w:tcBorders>
        <w:shd w:val="clear" w:color="auto" w:fill="1916A4" w:themeFill="accent5" w:themeFillShade="BF"/>
      </w:tcPr>
    </w:tblStylePr>
    <w:tblStylePr w:type="band1Horz">
      <w:tblPr/>
      <w:tcPr>
        <w:tcBorders>
          <w:top w:val="nil"/>
          <w:left w:val="nil"/>
          <w:bottom w:val="nil"/>
          <w:right w:val="nil"/>
          <w:insideH w:val="nil"/>
          <w:insideV w:val="nil"/>
        </w:tcBorders>
        <w:shd w:val="clear" w:color="auto" w:fill="1916A4" w:themeFill="accent5" w:themeFillShade="BF"/>
      </w:tcPr>
    </w:tblStylePr>
  </w:style>
  <w:style w:type="table" w:styleId="DarkList-Accent6">
    <w:name w:val="Dark List Accent 6"/>
    <w:basedOn w:val="TableNormal"/>
    <w:uiPriority w:val="70"/>
    <w:semiHidden/>
    <w:unhideWhenUsed/>
    <w:rsid w:val="006308D0"/>
    <w:pPr>
      <w:spacing w:line="240" w:lineRule="auto"/>
    </w:pPr>
    <w:rPr>
      <w:color w:val="FFFFFF" w:themeColor="background1"/>
    </w:rPr>
    <w:tblPr>
      <w:tblStyleRowBandSize w:val="1"/>
      <w:tblStyleColBandSize w:val="1"/>
    </w:tblPr>
    <w:tcPr>
      <w:shd w:val="clear" w:color="auto" w:fill="A5A5A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6" w:themeFillShade="BF"/>
      </w:tcPr>
    </w:tblStylePr>
    <w:tblStylePr w:type="band1Vert">
      <w:tblPr/>
      <w:tcPr>
        <w:tcBorders>
          <w:top w:val="nil"/>
          <w:left w:val="nil"/>
          <w:bottom w:val="nil"/>
          <w:right w:val="nil"/>
          <w:insideH w:val="nil"/>
          <w:insideV w:val="nil"/>
        </w:tcBorders>
        <w:shd w:val="clear" w:color="auto" w:fill="7B7B7B" w:themeFill="accent6" w:themeFillShade="BF"/>
      </w:tcPr>
    </w:tblStylePr>
    <w:tblStylePr w:type="band1Horz">
      <w:tblPr/>
      <w:tcPr>
        <w:tcBorders>
          <w:top w:val="nil"/>
          <w:left w:val="nil"/>
          <w:bottom w:val="nil"/>
          <w:right w:val="nil"/>
          <w:insideH w:val="nil"/>
          <w:insideV w:val="nil"/>
        </w:tcBorders>
        <w:shd w:val="clear" w:color="auto" w:fill="7B7B7B" w:themeFill="accent6" w:themeFillShade="BF"/>
      </w:tcPr>
    </w:tblStylePr>
  </w:style>
  <w:style w:type="paragraph" w:styleId="Date">
    <w:name w:val="Date"/>
    <w:basedOn w:val="Normal"/>
    <w:next w:val="Normal"/>
    <w:link w:val="DateChar"/>
    <w:uiPriority w:val="99"/>
    <w:semiHidden/>
    <w:unhideWhenUsed/>
    <w:rsid w:val="006308D0"/>
  </w:style>
  <w:style w:type="character" w:customStyle="1" w:styleId="DateChar">
    <w:name w:val="Date Char"/>
    <w:basedOn w:val="DefaultParagraphFont"/>
    <w:link w:val="Date"/>
    <w:uiPriority w:val="99"/>
    <w:semiHidden/>
    <w:rsid w:val="006308D0"/>
  </w:style>
  <w:style w:type="paragraph" w:styleId="DocumentMap">
    <w:name w:val="Document Map"/>
    <w:basedOn w:val="Normal"/>
    <w:link w:val="DocumentMapChar"/>
    <w:uiPriority w:val="99"/>
    <w:semiHidden/>
    <w:unhideWhenUsed/>
    <w:rsid w:val="006308D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308D0"/>
    <w:rPr>
      <w:rFonts w:ascii="Segoe UI" w:hAnsi="Segoe UI" w:cs="Segoe UI"/>
      <w:sz w:val="16"/>
      <w:szCs w:val="16"/>
    </w:rPr>
  </w:style>
  <w:style w:type="paragraph" w:styleId="E-mailSignature">
    <w:name w:val="E-mail Signature"/>
    <w:basedOn w:val="Normal"/>
    <w:link w:val="E-mailSignatureChar"/>
    <w:uiPriority w:val="99"/>
    <w:semiHidden/>
    <w:rsid w:val="006308D0"/>
    <w:pPr>
      <w:tabs>
        <w:tab w:val="left" w:pos="425"/>
      </w:tabs>
      <w:spacing w:after="120"/>
    </w:pPr>
    <w:rPr>
      <w:noProof/>
    </w:rPr>
  </w:style>
  <w:style w:type="character" w:customStyle="1" w:styleId="E-mailSignatureChar">
    <w:name w:val="E-mail Signature Char"/>
    <w:basedOn w:val="DefaultParagraphFont"/>
    <w:link w:val="E-mailSignature"/>
    <w:uiPriority w:val="99"/>
    <w:semiHidden/>
    <w:rsid w:val="006308D0"/>
    <w:rPr>
      <w:noProof/>
    </w:rPr>
  </w:style>
  <w:style w:type="character" w:styleId="Emphasis">
    <w:name w:val="Emphasis"/>
    <w:basedOn w:val="DefaultParagraphFont"/>
    <w:uiPriority w:val="99"/>
    <w:semiHidden/>
    <w:qFormat/>
    <w:rsid w:val="006308D0"/>
    <w:rPr>
      <w:i/>
      <w:iCs/>
    </w:rPr>
  </w:style>
  <w:style w:type="character" w:styleId="EndnoteReference">
    <w:name w:val="endnote reference"/>
    <w:basedOn w:val="DefaultParagraphFont"/>
    <w:uiPriority w:val="99"/>
    <w:semiHidden/>
    <w:unhideWhenUsed/>
    <w:rsid w:val="006308D0"/>
    <w:rPr>
      <w:vertAlign w:val="superscript"/>
    </w:rPr>
  </w:style>
  <w:style w:type="paragraph" w:styleId="EndnoteText">
    <w:name w:val="endnote text"/>
    <w:basedOn w:val="Normal"/>
    <w:link w:val="EndnoteTextChar"/>
    <w:uiPriority w:val="99"/>
    <w:semiHidden/>
    <w:unhideWhenUsed/>
    <w:rsid w:val="006308D0"/>
  </w:style>
  <w:style w:type="character" w:customStyle="1" w:styleId="EndnoteTextChar">
    <w:name w:val="Endnote Text Char"/>
    <w:basedOn w:val="DefaultParagraphFont"/>
    <w:link w:val="EndnoteText"/>
    <w:uiPriority w:val="99"/>
    <w:semiHidden/>
    <w:rsid w:val="006308D0"/>
  </w:style>
  <w:style w:type="paragraph" w:styleId="EnvelopeAddress">
    <w:name w:val="envelope address"/>
    <w:basedOn w:val="Normal"/>
    <w:uiPriority w:val="99"/>
    <w:semiHidden/>
    <w:unhideWhenUsed/>
    <w:rsid w:val="006308D0"/>
    <w:pPr>
      <w:framePr w:w="7920" w:h="1980" w:hRule="exact" w:hSpace="180" w:wrap="auto" w:hAnchor="page" w:xAlign="center" w:yAlign="bottom"/>
      <w:ind w:left="2880"/>
    </w:pPr>
    <w:rPr>
      <w:rFonts w:eastAsiaTheme="majorEastAsia" w:cstheme="majorBidi"/>
      <w:sz w:val="24"/>
      <w:szCs w:val="24"/>
    </w:rPr>
  </w:style>
  <w:style w:type="paragraph" w:styleId="EnvelopeReturn">
    <w:name w:val="envelope return"/>
    <w:basedOn w:val="Normal"/>
    <w:uiPriority w:val="99"/>
    <w:semiHidden/>
    <w:unhideWhenUsed/>
    <w:rsid w:val="006308D0"/>
    <w:rPr>
      <w:rFonts w:eastAsiaTheme="majorEastAsia" w:cstheme="majorBidi"/>
    </w:rPr>
  </w:style>
  <w:style w:type="character" w:styleId="FollowedHyperlink">
    <w:name w:val="FollowedHyperlink"/>
    <w:basedOn w:val="DefaultParagraphFont"/>
    <w:uiPriority w:val="99"/>
    <w:semiHidden/>
    <w:unhideWhenUsed/>
    <w:rsid w:val="006308D0"/>
    <w:rPr>
      <w:color w:val="6F006E" w:themeColor="accent2"/>
      <w:u w:val="single"/>
    </w:rPr>
  </w:style>
  <w:style w:type="table" w:styleId="GridTable1Light">
    <w:name w:val="Grid Table 1 Light"/>
    <w:basedOn w:val="TableNormal"/>
    <w:uiPriority w:val="46"/>
    <w:rsid w:val="006308D0"/>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308D0"/>
    <w:pPr>
      <w:spacing w:line="240" w:lineRule="auto"/>
    </w:pPr>
    <w:tblPr>
      <w:tblStyleRowBandSize w:val="1"/>
      <w:tblStyleColBandSize w:val="1"/>
      <w:tblBorders>
        <w:top w:val="single" w:sz="4" w:space="0" w:color="65FFCD" w:themeColor="accent1" w:themeTint="66"/>
        <w:left w:val="single" w:sz="4" w:space="0" w:color="65FFCD" w:themeColor="accent1" w:themeTint="66"/>
        <w:bottom w:val="single" w:sz="4" w:space="0" w:color="65FFCD" w:themeColor="accent1" w:themeTint="66"/>
        <w:right w:val="single" w:sz="4" w:space="0" w:color="65FFCD" w:themeColor="accent1" w:themeTint="66"/>
        <w:insideH w:val="single" w:sz="4" w:space="0" w:color="65FFCD" w:themeColor="accent1" w:themeTint="66"/>
        <w:insideV w:val="single" w:sz="4" w:space="0" w:color="65FFCD" w:themeColor="accent1" w:themeTint="66"/>
      </w:tblBorders>
    </w:tblPr>
    <w:tblStylePr w:type="firstRow">
      <w:rPr>
        <w:b/>
        <w:bCs/>
      </w:rPr>
      <w:tblPr/>
      <w:tcPr>
        <w:tcBorders>
          <w:bottom w:val="single" w:sz="12" w:space="0" w:color="18FFB4" w:themeColor="accent1" w:themeTint="99"/>
        </w:tcBorders>
      </w:tcPr>
    </w:tblStylePr>
    <w:tblStylePr w:type="lastRow">
      <w:rPr>
        <w:b/>
        <w:bCs/>
      </w:rPr>
      <w:tblPr/>
      <w:tcPr>
        <w:tcBorders>
          <w:top w:val="double" w:sz="2" w:space="0" w:color="18FFB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308D0"/>
    <w:pPr>
      <w:spacing w:line="240" w:lineRule="auto"/>
    </w:pPr>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308D0"/>
    <w:pPr>
      <w:spacing w:line="240" w:lineRule="auto"/>
    </w:pPr>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308D0"/>
    <w:pPr>
      <w:spacing w:line="240" w:lineRule="auto"/>
    </w:pPr>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308D0"/>
    <w:pPr>
      <w:spacing w:line="240" w:lineRule="auto"/>
    </w:pPr>
    <w:tblPr>
      <w:tblStyleRowBandSize w:val="1"/>
      <w:tblStyleColBandSize w:val="1"/>
      <w:tblBorders>
        <w:top w:val="single" w:sz="4" w:space="0" w:color="A5A3F2" w:themeColor="accent5" w:themeTint="66"/>
        <w:left w:val="single" w:sz="4" w:space="0" w:color="A5A3F2" w:themeColor="accent5" w:themeTint="66"/>
        <w:bottom w:val="single" w:sz="4" w:space="0" w:color="A5A3F2" w:themeColor="accent5" w:themeTint="66"/>
        <w:right w:val="single" w:sz="4" w:space="0" w:color="A5A3F2" w:themeColor="accent5" w:themeTint="66"/>
        <w:insideH w:val="single" w:sz="4" w:space="0" w:color="A5A3F2" w:themeColor="accent5" w:themeTint="66"/>
        <w:insideV w:val="single" w:sz="4" w:space="0" w:color="A5A3F2" w:themeColor="accent5" w:themeTint="66"/>
      </w:tblBorders>
    </w:tblPr>
    <w:tblStylePr w:type="firstRow">
      <w:rPr>
        <w:b/>
        <w:bCs/>
      </w:rPr>
      <w:tblPr/>
      <w:tcPr>
        <w:tcBorders>
          <w:bottom w:val="single" w:sz="12" w:space="0" w:color="7875EC" w:themeColor="accent5" w:themeTint="99"/>
        </w:tcBorders>
      </w:tcPr>
    </w:tblStylePr>
    <w:tblStylePr w:type="lastRow">
      <w:rPr>
        <w:b/>
        <w:bCs/>
      </w:rPr>
      <w:tblPr/>
      <w:tcPr>
        <w:tcBorders>
          <w:top w:val="double" w:sz="2" w:space="0" w:color="7875E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308D0"/>
    <w:pPr>
      <w:spacing w:line="240" w:lineRule="auto"/>
    </w:pPr>
    <w:tblPr>
      <w:tblStyleRowBandSize w:val="1"/>
      <w:tblStyleColBandSize w:val="1"/>
      <w:tblBorders>
        <w:top w:val="single" w:sz="4" w:space="0" w:color="DBDBDB" w:themeColor="accent6" w:themeTint="66"/>
        <w:left w:val="single" w:sz="4" w:space="0" w:color="DBDBDB" w:themeColor="accent6" w:themeTint="66"/>
        <w:bottom w:val="single" w:sz="4" w:space="0" w:color="DBDBDB" w:themeColor="accent6" w:themeTint="66"/>
        <w:right w:val="single" w:sz="4" w:space="0" w:color="DBDBDB" w:themeColor="accent6" w:themeTint="66"/>
        <w:insideH w:val="single" w:sz="4" w:space="0" w:color="DBDBDB" w:themeColor="accent6" w:themeTint="66"/>
        <w:insideV w:val="single" w:sz="4" w:space="0" w:color="DBDBDB" w:themeColor="accent6" w:themeTint="66"/>
      </w:tblBorders>
    </w:tblPr>
    <w:tblStylePr w:type="firstRow">
      <w:rPr>
        <w:b/>
        <w:bCs/>
      </w:rPr>
      <w:tblPr/>
      <w:tcPr>
        <w:tcBorders>
          <w:bottom w:val="single" w:sz="12" w:space="0" w:color="C9C9C9" w:themeColor="accent6" w:themeTint="99"/>
        </w:tcBorders>
      </w:tcPr>
    </w:tblStylePr>
    <w:tblStylePr w:type="lastRow">
      <w:rPr>
        <w:b/>
        <w:bCs/>
      </w:rPr>
      <w:tblPr/>
      <w:tcPr>
        <w:tcBorders>
          <w:top w:val="double" w:sz="2" w:space="0" w:color="C9C9C9"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308D0"/>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308D0"/>
    <w:pPr>
      <w:spacing w:line="240" w:lineRule="auto"/>
    </w:pPr>
    <w:tblPr>
      <w:tblStyleRowBandSize w:val="1"/>
      <w:tblStyleColBandSize w:val="1"/>
      <w:tblBorders>
        <w:top w:val="single" w:sz="2" w:space="0" w:color="18FFB4" w:themeColor="accent1" w:themeTint="99"/>
        <w:bottom w:val="single" w:sz="2" w:space="0" w:color="18FFB4" w:themeColor="accent1" w:themeTint="99"/>
        <w:insideH w:val="single" w:sz="2" w:space="0" w:color="18FFB4" w:themeColor="accent1" w:themeTint="99"/>
        <w:insideV w:val="single" w:sz="2" w:space="0" w:color="18FFB4" w:themeColor="accent1" w:themeTint="99"/>
      </w:tblBorders>
    </w:tblPr>
    <w:tblStylePr w:type="firstRow">
      <w:rPr>
        <w:b/>
        <w:bCs/>
      </w:rPr>
      <w:tblPr/>
      <w:tcPr>
        <w:tcBorders>
          <w:top w:val="nil"/>
          <w:bottom w:val="single" w:sz="12" w:space="0" w:color="18FFB4" w:themeColor="accent1" w:themeTint="99"/>
          <w:insideH w:val="nil"/>
          <w:insideV w:val="nil"/>
        </w:tcBorders>
        <w:shd w:val="clear" w:color="auto" w:fill="FFFFFF" w:themeFill="background1"/>
      </w:tcPr>
    </w:tblStylePr>
    <w:tblStylePr w:type="lastRow">
      <w:rPr>
        <w:b/>
        <w:bCs/>
      </w:rPr>
      <w:tblPr/>
      <w:tcPr>
        <w:tcBorders>
          <w:top w:val="double" w:sz="2" w:space="0" w:color="18FFB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GridTable2-Accent2">
    <w:name w:val="Grid Table 2 Accent 2"/>
    <w:basedOn w:val="TableNormal"/>
    <w:uiPriority w:val="47"/>
    <w:rsid w:val="006308D0"/>
    <w:pPr>
      <w:spacing w:line="240" w:lineRule="auto"/>
    </w:pPr>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6308D0"/>
    <w:pPr>
      <w:spacing w:line="240" w:lineRule="auto"/>
    </w:pPr>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6308D0"/>
    <w:pPr>
      <w:spacing w:line="240" w:lineRule="auto"/>
    </w:pPr>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6308D0"/>
    <w:pPr>
      <w:spacing w:line="240" w:lineRule="auto"/>
    </w:pPr>
    <w:tblPr>
      <w:tblStyleRowBandSize w:val="1"/>
      <w:tblStyleColBandSize w:val="1"/>
      <w:tblBorders>
        <w:top w:val="single" w:sz="2" w:space="0" w:color="7875EC" w:themeColor="accent5" w:themeTint="99"/>
        <w:bottom w:val="single" w:sz="2" w:space="0" w:color="7875EC" w:themeColor="accent5" w:themeTint="99"/>
        <w:insideH w:val="single" w:sz="2" w:space="0" w:color="7875EC" w:themeColor="accent5" w:themeTint="99"/>
        <w:insideV w:val="single" w:sz="2" w:space="0" w:color="7875EC" w:themeColor="accent5" w:themeTint="99"/>
      </w:tblBorders>
    </w:tblPr>
    <w:tblStylePr w:type="firstRow">
      <w:rPr>
        <w:b/>
        <w:bCs/>
      </w:rPr>
      <w:tblPr/>
      <w:tcPr>
        <w:tcBorders>
          <w:top w:val="nil"/>
          <w:bottom w:val="single" w:sz="12" w:space="0" w:color="7875EC" w:themeColor="accent5" w:themeTint="99"/>
          <w:insideH w:val="nil"/>
          <w:insideV w:val="nil"/>
        </w:tcBorders>
        <w:shd w:val="clear" w:color="auto" w:fill="FFFFFF" w:themeFill="background1"/>
      </w:tcPr>
    </w:tblStylePr>
    <w:tblStylePr w:type="lastRow">
      <w:rPr>
        <w:b/>
        <w:bCs/>
      </w:rPr>
      <w:tblPr/>
      <w:tcPr>
        <w:tcBorders>
          <w:top w:val="double" w:sz="2" w:space="0" w:color="7875E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GridTable2-Accent6">
    <w:name w:val="Grid Table 2 Accent 6"/>
    <w:basedOn w:val="TableNormal"/>
    <w:uiPriority w:val="47"/>
    <w:rsid w:val="006308D0"/>
    <w:pPr>
      <w:spacing w:line="240" w:lineRule="auto"/>
    </w:pPr>
    <w:tblPr>
      <w:tblStyleRowBandSize w:val="1"/>
      <w:tblStyleColBandSize w:val="1"/>
      <w:tblBorders>
        <w:top w:val="single" w:sz="2" w:space="0" w:color="C9C9C9" w:themeColor="accent6" w:themeTint="99"/>
        <w:bottom w:val="single" w:sz="2" w:space="0" w:color="C9C9C9" w:themeColor="accent6" w:themeTint="99"/>
        <w:insideH w:val="single" w:sz="2" w:space="0" w:color="C9C9C9" w:themeColor="accent6" w:themeTint="99"/>
        <w:insideV w:val="single" w:sz="2" w:space="0" w:color="C9C9C9" w:themeColor="accent6" w:themeTint="99"/>
      </w:tblBorders>
    </w:tblPr>
    <w:tblStylePr w:type="firstRow">
      <w:rPr>
        <w:b/>
        <w:bCs/>
      </w:rPr>
      <w:tblPr/>
      <w:tcPr>
        <w:tcBorders>
          <w:top w:val="nil"/>
          <w:bottom w:val="single" w:sz="12" w:space="0" w:color="C9C9C9" w:themeColor="accent6" w:themeTint="99"/>
          <w:insideH w:val="nil"/>
          <w:insideV w:val="nil"/>
        </w:tcBorders>
        <w:shd w:val="clear" w:color="auto" w:fill="FFFFFF" w:themeFill="background1"/>
      </w:tcPr>
    </w:tblStylePr>
    <w:tblStylePr w:type="lastRow">
      <w:rPr>
        <w:b/>
        <w:bCs/>
      </w:rPr>
      <w:tblPr/>
      <w:tcPr>
        <w:tcBorders>
          <w:top w:val="double" w:sz="2" w:space="0" w:color="C9C9C9"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GridTable3">
    <w:name w:val="Grid Table 3"/>
    <w:basedOn w:val="TableNormal"/>
    <w:uiPriority w:val="48"/>
    <w:rsid w:val="006308D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308D0"/>
    <w:pPr>
      <w:spacing w:line="240" w:lineRule="auto"/>
    </w:pPr>
    <w:tblPr>
      <w:tblStyleRowBandSize w:val="1"/>
      <w:tblStyleColBandSize w:val="1"/>
      <w:tblBorders>
        <w:top w:val="single" w:sz="4" w:space="0" w:color="18FFB4" w:themeColor="accent1" w:themeTint="99"/>
        <w:left w:val="single" w:sz="4" w:space="0" w:color="18FFB4" w:themeColor="accent1" w:themeTint="99"/>
        <w:bottom w:val="single" w:sz="4" w:space="0" w:color="18FFB4" w:themeColor="accent1" w:themeTint="99"/>
        <w:right w:val="single" w:sz="4" w:space="0" w:color="18FFB4" w:themeColor="accent1" w:themeTint="99"/>
        <w:insideH w:val="single" w:sz="4" w:space="0" w:color="18FFB4" w:themeColor="accent1" w:themeTint="99"/>
        <w:insideV w:val="single" w:sz="4" w:space="0" w:color="18FFB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1" w:themeFillTint="33"/>
      </w:tcPr>
    </w:tblStylePr>
    <w:tblStylePr w:type="band1Horz">
      <w:tblPr/>
      <w:tcPr>
        <w:shd w:val="clear" w:color="auto" w:fill="B2FFE6" w:themeFill="accent1" w:themeFillTint="33"/>
      </w:tcPr>
    </w:tblStylePr>
    <w:tblStylePr w:type="neCell">
      <w:tblPr/>
      <w:tcPr>
        <w:tcBorders>
          <w:bottom w:val="single" w:sz="4" w:space="0" w:color="18FFB4" w:themeColor="accent1" w:themeTint="99"/>
        </w:tcBorders>
      </w:tcPr>
    </w:tblStylePr>
    <w:tblStylePr w:type="nwCell">
      <w:tblPr/>
      <w:tcPr>
        <w:tcBorders>
          <w:bottom w:val="single" w:sz="4" w:space="0" w:color="18FFB4" w:themeColor="accent1" w:themeTint="99"/>
        </w:tcBorders>
      </w:tcPr>
    </w:tblStylePr>
    <w:tblStylePr w:type="seCell">
      <w:tblPr/>
      <w:tcPr>
        <w:tcBorders>
          <w:top w:val="single" w:sz="4" w:space="0" w:color="18FFB4" w:themeColor="accent1" w:themeTint="99"/>
        </w:tcBorders>
      </w:tcPr>
    </w:tblStylePr>
    <w:tblStylePr w:type="swCell">
      <w:tblPr/>
      <w:tcPr>
        <w:tcBorders>
          <w:top w:val="single" w:sz="4" w:space="0" w:color="18FFB4" w:themeColor="accent1" w:themeTint="99"/>
        </w:tcBorders>
      </w:tcPr>
    </w:tblStylePr>
  </w:style>
  <w:style w:type="table" w:styleId="GridTable3-Accent2">
    <w:name w:val="Grid Table 3 Accent 2"/>
    <w:basedOn w:val="TableNormal"/>
    <w:uiPriority w:val="48"/>
    <w:rsid w:val="006308D0"/>
    <w:pPr>
      <w:spacing w:line="240" w:lineRule="auto"/>
    </w:p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6308D0"/>
    <w:pPr>
      <w:spacing w:line="240" w:lineRule="auto"/>
    </w:p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6308D0"/>
    <w:pPr>
      <w:spacing w:line="240" w:lineRule="auto"/>
    </w:p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6308D0"/>
    <w:pPr>
      <w:spacing w:line="240" w:lineRule="auto"/>
    </w:pPr>
    <w:tblPr>
      <w:tblStyleRowBandSize w:val="1"/>
      <w:tblStyleColBandSize w:val="1"/>
      <w:tblBorders>
        <w:top w:val="single" w:sz="4" w:space="0" w:color="7875EC" w:themeColor="accent5" w:themeTint="99"/>
        <w:left w:val="single" w:sz="4" w:space="0" w:color="7875EC" w:themeColor="accent5" w:themeTint="99"/>
        <w:bottom w:val="single" w:sz="4" w:space="0" w:color="7875EC" w:themeColor="accent5" w:themeTint="99"/>
        <w:right w:val="single" w:sz="4" w:space="0" w:color="7875EC" w:themeColor="accent5" w:themeTint="99"/>
        <w:insideH w:val="single" w:sz="4" w:space="0" w:color="7875EC" w:themeColor="accent5" w:themeTint="99"/>
        <w:insideV w:val="single" w:sz="4" w:space="0" w:color="7875E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1F8" w:themeFill="accent5" w:themeFillTint="33"/>
      </w:tcPr>
    </w:tblStylePr>
    <w:tblStylePr w:type="band1Horz">
      <w:tblPr/>
      <w:tcPr>
        <w:shd w:val="clear" w:color="auto" w:fill="D2D1F8" w:themeFill="accent5" w:themeFillTint="33"/>
      </w:tcPr>
    </w:tblStylePr>
    <w:tblStylePr w:type="neCell">
      <w:tblPr/>
      <w:tcPr>
        <w:tcBorders>
          <w:bottom w:val="single" w:sz="4" w:space="0" w:color="7875EC" w:themeColor="accent5" w:themeTint="99"/>
        </w:tcBorders>
      </w:tcPr>
    </w:tblStylePr>
    <w:tblStylePr w:type="nwCell">
      <w:tblPr/>
      <w:tcPr>
        <w:tcBorders>
          <w:bottom w:val="single" w:sz="4" w:space="0" w:color="7875EC" w:themeColor="accent5" w:themeTint="99"/>
        </w:tcBorders>
      </w:tcPr>
    </w:tblStylePr>
    <w:tblStylePr w:type="seCell">
      <w:tblPr/>
      <w:tcPr>
        <w:tcBorders>
          <w:top w:val="single" w:sz="4" w:space="0" w:color="7875EC" w:themeColor="accent5" w:themeTint="99"/>
        </w:tcBorders>
      </w:tcPr>
    </w:tblStylePr>
    <w:tblStylePr w:type="swCell">
      <w:tblPr/>
      <w:tcPr>
        <w:tcBorders>
          <w:top w:val="single" w:sz="4" w:space="0" w:color="7875EC" w:themeColor="accent5" w:themeTint="99"/>
        </w:tcBorders>
      </w:tcPr>
    </w:tblStylePr>
  </w:style>
  <w:style w:type="table" w:styleId="GridTable3-Accent6">
    <w:name w:val="Grid Table 3 Accent 6"/>
    <w:basedOn w:val="TableNormal"/>
    <w:uiPriority w:val="48"/>
    <w:rsid w:val="006308D0"/>
    <w:pPr>
      <w:spacing w:line="240" w:lineRule="auto"/>
    </w:p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bottom w:val="single" w:sz="4" w:space="0" w:color="C9C9C9" w:themeColor="accent6" w:themeTint="99"/>
        </w:tcBorders>
      </w:tcPr>
    </w:tblStylePr>
    <w:tblStylePr w:type="nwCell">
      <w:tblPr/>
      <w:tcPr>
        <w:tcBorders>
          <w:bottom w:val="single" w:sz="4" w:space="0" w:color="C9C9C9" w:themeColor="accent6" w:themeTint="99"/>
        </w:tcBorders>
      </w:tcPr>
    </w:tblStylePr>
    <w:tblStylePr w:type="seCell">
      <w:tblPr/>
      <w:tcPr>
        <w:tcBorders>
          <w:top w:val="single" w:sz="4" w:space="0" w:color="C9C9C9" w:themeColor="accent6" w:themeTint="99"/>
        </w:tcBorders>
      </w:tcPr>
    </w:tblStylePr>
    <w:tblStylePr w:type="swCell">
      <w:tblPr/>
      <w:tcPr>
        <w:tcBorders>
          <w:top w:val="single" w:sz="4" w:space="0" w:color="C9C9C9" w:themeColor="accent6" w:themeTint="99"/>
        </w:tcBorders>
      </w:tcPr>
    </w:tblStylePr>
  </w:style>
  <w:style w:type="table" w:styleId="GridTable4">
    <w:name w:val="Grid Table 4"/>
    <w:basedOn w:val="TableNormal"/>
    <w:uiPriority w:val="49"/>
    <w:rsid w:val="006308D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308D0"/>
    <w:pPr>
      <w:spacing w:line="240" w:lineRule="auto"/>
    </w:pPr>
    <w:tblPr>
      <w:tblStyleRowBandSize w:val="1"/>
      <w:tblStyleColBandSize w:val="1"/>
      <w:tblBorders>
        <w:top w:val="single" w:sz="4" w:space="0" w:color="18FFB4" w:themeColor="accent1" w:themeTint="99"/>
        <w:left w:val="single" w:sz="4" w:space="0" w:color="18FFB4" w:themeColor="accent1" w:themeTint="99"/>
        <w:bottom w:val="single" w:sz="4" w:space="0" w:color="18FFB4" w:themeColor="accent1" w:themeTint="99"/>
        <w:right w:val="single" w:sz="4" w:space="0" w:color="18FFB4" w:themeColor="accent1" w:themeTint="99"/>
        <w:insideH w:val="single" w:sz="4" w:space="0" w:color="18FFB4" w:themeColor="accent1" w:themeTint="99"/>
        <w:insideV w:val="single" w:sz="4" w:space="0" w:color="18FFB4" w:themeColor="accent1" w:themeTint="99"/>
      </w:tblBorders>
    </w:tblPr>
    <w:tblStylePr w:type="firstRow">
      <w:rPr>
        <w:b/>
        <w:bCs/>
        <w:color w:val="FFFFFF" w:themeColor="background1"/>
      </w:rPr>
      <w:tblPr/>
      <w:tcPr>
        <w:tcBorders>
          <w:top w:val="single" w:sz="4" w:space="0" w:color="007D55" w:themeColor="accent1"/>
          <w:left w:val="single" w:sz="4" w:space="0" w:color="007D55" w:themeColor="accent1"/>
          <w:bottom w:val="single" w:sz="4" w:space="0" w:color="007D55" w:themeColor="accent1"/>
          <w:right w:val="single" w:sz="4" w:space="0" w:color="007D55" w:themeColor="accent1"/>
          <w:insideH w:val="nil"/>
          <w:insideV w:val="nil"/>
        </w:tcBorders>
        <w:shd w:val="clear" w:color="auto" w:fill="007D55" w:themeFill="accent1"/>
      </w:tcPr>
    </w:tblStylePr>
    <w:tblStylePr w:type="lastRow">
      <w:rPr>
        <w:b/>
        <w:bCs/>
      </w:rPr>
      <w:tblPr/>
      <w:tcPr>
        <w:tcBorders>
          <w:top w:val="double" w:sz="4" w:space="0" w:color="007D55" w:themeColor="accent1"/>
        </w:tcBorders>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GridTable4-Accent2">
    <w:name w:val="Grid Table 4 Accent 2"/>
    <w:basedOn w:val="TableNormal"/>
    <w:uiPriority w:val="49"/>
    <w:rsid w:val="006308D0"/>
    <w:pPr>
      <w:spacing w:line="240" w:lineRule="auto"/>
    </w:p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6308D0"/>
    <w:pPr>
      <w:spacing w:line="240" w:lineRule="auto"/>
    </w:p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6308D0"/>
    <w:pPr>
      <w:spacing w:line="240" w:lineRule="auto"/>
    </w:p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6308D0"/>
    <w:pPr>
      <w:spacing w:line="240" w:lineRule="auto"/>
    </w:pPr>
    <w:tblPr>
      <w:tblStyleRowBandSize w:val="1"/>
      <w:tblStyleColBandSize w:val="1"/>
      <w:tblBorders>
        <w:top w:val="single" w:sz="4" w:space="0" w:color="7875EC" w:themeColor="accent5" w:themeTint="99"/>
        <w:left w:val="single" w:sz="4" w:space="0" w:color="7875EC" w:themeColor="accent5" w:themeTint="99"/>
        <w:bottom w:val="single" w:sz="4" w:space="0" w:color="7875EC" w:themeColor="accent5" w:themeTint="99"/>
        <w:right w:val="single" w:sz="4" w:space="0" w:color="7875EC" w:themeColor="accent5" w:themeTint="99"/>
        <w:insideH w:val="single" w:sz="4" w:space="0" w:color="7875EC" w:themeColor="accent5" w:themeTint="99"/>
        <w:insideV w:val="single" w:sz="4" w:space="0" w:color="7875EC" w:themeColor="accent5" w:themeTint="99"/>
      </w:tblBorders>
    </w:tblPr>
    <w:tblStylePr w:type="firstRow">
      <w:rPr>
        <w:b/>
        <w:bCs/>
        <w:color w:val="FFFFFF" w:themeColor="background1"/>
      </w:rPr>
      <w:tblPr/>
      <w:tcPr>
        <w:tcBorders>
          <w:top w:val="single" w:sz="4" w:space="0" w:color="231EDC" w:themeColor="accent5"/>
          <w:left w:val="single" w:sz="4" w:space="0" w:color="231EDC" w:themeColor="accent5"/>
          <w:bottom w:val="single" w:sz="4" w:space="0" w:color="231EDC" w:themeColor="accent5"/>
          <w:right w:val="single" w:sz="4" w:space="0" w:color="231EDC" w:themeColor="accent5"/>
          <w:insideH w:val="nil"/>
          <w:insideV w:val="nil"/>
        </w:tcBorders>
        <w:shd w:val="clear" w:color="auto" w:fill="231EDC" w:themeFill="accent5"/>
      </w:tcPr>
    </w:tblStylePr>
    <w:tblStylePr w:type="lastRow">
      <w:rPr>
        <w:b/>
        <w:bCs/>
      </w:rPr>
      <w:tblPr/>
      <w:tcPr>
        <w:tcBorders>
          <w:top w:val="double" w:sz="4" w:space="0" w:color="231EDC" w:themeColor="accent5"/>
        </w:tcBorders>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GridTable5Dark">
    <w:name w:val="Grid Table 5 Dark"/>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1"/>
      </w:tcPr>
    </w:tblStylePr>
    <w:tblStylePr w:type="band1Vert">
      <w:tblPr/>
      <w:tcPr>
        <w:shd w:val="clear" w:color="auto" w:fill="65FFCD" w:themeFill="accent1" w:themeFillTint="66"/>
      </w:tcPr>
    </w:tblStylePr>
    <w:tblStylePr w:type="band1Horz">
      <w:tblPr/>
      <w:tcPr>
        <w:shd w:val="clear" w:color="auto" w:fill="65FFCD" w:themeFill="accent1" w:themeFillTint="66"/>
      </w:tcPr>
    </w:tblStylePr>
  </w:style>
  <w:style w:type="table" w:styleId="GridTable5Dark-Accent2">
    <w:name w:val="Grid Table 5 Dark Accent 2"/>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1F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ED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ED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ED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EDC" w:themeFill="accent5"/>
      </w:tcPr>
    </w:tblStylePr>
    <w:tblStylePr w:type="band1Vert">
      <w:tblPr/>
      <w:tcPr>
        <w:shd w:val="clear" w:color="auto" w:fill="A5A3F2" w:themeFill="accent5" w:themeFillTint="66"/>
      </w:tcPr>
    </w:tblStylePr>
    <w:tblStylePr w:type="band1Horz">
      <w:tblPr/>
      <w:tcPr>
        <w:shd w:val="clear" w:color="auto" w:fill="A5A3F2" w:themeFill="accent5" w:themeFillTint="66"/>
      </w:tcPr>
    </w:tblStylePr>
  </w:style>
  <w:style w:type="table" w:styleId="GridTable5Dark-Accent6">
    <w:name w:val="Grid Table 5 Dark Accent 6"/>
    <w:basedOn w:val="TableNormal"/>
    <w:uiPriority w:val="50"/>
    <w:rsid w:val="006308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6"/>
      </w:tcPr>
    </w:tblStylePr>
    <w:tblStylePr w:type="band1Vert">
      <w:tblPr/>
      <w:tcPr>
        <w:shd w:val="clear" w:color="auto" w:fill="DBDBDB" w:themeFill="accent6" w:themeFillTint="66"/>
      </w:tcPr>
    </w:tblStylePr>
    <w:tblStylePr w:type="band1Horz">
      <w:tblPr/>
      <w:tcPr>
        <w:shd w:val="clear" w:color="auto" w:fill="DBDBDB" w:themeFill="accent6" w:themeFillTint="66"/>
      </w:tcPr>
    </w:tblStylePr>
  </w:style>
  <w:style w:type="table" w:styleId="GridTable6Colorful">
    <w:name w:val="Grid Table 6 Colorful"/>
    <w:basedOn w:val="TableNormal"/>
    <w:uiPriority w:val="51"/>
    <w:rsid w:val="006308D0"/>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308D0"/>
    <w:pPr>
      <w:spacing w:line="240" w:lineRule="auto"/>
    </w:pPr>
    <w:rPr>
      <w:color w:val="005D3F" w:themeColor="accent1" w:themeShade="BF"/>
    </w:rPr>
    <w:tblPr>
      <w:tblStyleRowBandSize w:val="1"/>
      <w:tblStyleColBandSize w:val="1"/>
      <w:tblBorders>
        <w:top w:val="single" w:sz="4" w:space="0" w:color="18FFB4" w:themeColor="accent1" w:themeTint="99"/>
        <w:left w:val="single" w:sz="4" w:space="0" w:color="18FFB4" w:themeColor="accent1" w:themeTint="99"/>
        <w:bottom w:val="single" w:sz="4" w:space="0" w:color="18FFB4" w:themeColor="accent1" w:themeTint="99"/>
        <w:right w:val="single" w:sz="4" w:space="0" w:color="18FFB4" w:themeColor="accent1" w:themeTint="99"/>
        <w:insideH w:val="single" w:sz="4" w:space="0" w:color="18FFB4" w:themeColor="accent1" w:themeTint="99"/>
        <w:insideV w:val="single" w:sz="4" w:space="0" w:color="18FFB4" w:themeColor="accent1" w:themeTint="99"/>
      </w:tblBorders>
    </w:tblPr>
    <w:tblStylePr w:type="firstRow">
      <w:rPr>
        <w:b/>
        <w:bCs/>
      </w:rPr>
      <w:tblPr/>
      <w:tcPr>
        <w:tcBorders>
          <w:bottom w:val="single" w:sz="12" w:space="0" w:color="18FFB4" w:themeColor="accent1" w:themeTint="99"/>
        </w:tcBorders>
      </w:tcPr>
    </w:tblStylePr>
    <w:tblStylePr w:type="lastRow">
      <w:rPr>
        <w:b/>
        <w:bCs/>
      </w:rPr>
      <w:tblPr/>
      <w:tcPr>
        <w:tcBorders>
          <w:top w:val="double" w:sz="4" w:space="0" w:color="18FFB4" w:themeColor="accent1" w:themeTint="99"/>
        </w:tcBorders>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GridTable6Colorful-Accent2">
    <w:name w:val="Grid Table 6 Colorful Accent 2"/>
    <w:basedOn w:val="TableNormal"/>
    <w:uiPriority w:val="51"/>
    <w:rsid w:val="006308D0"/>
    <w:pPr>
      <w:spacing w:line="240" w:lineRule="auto"/>
    </w:pPr>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6308D0"/>
    <w:pPr>
      <w:spacing w:line="240" w:lineRule="auto"/>
    </w:pPr>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6308D0"/>
    <w:pPr>
      <w:spacing w:line="240" w:lineRule="auto"/>
    </w:pPr>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6308D0"/>
    <w:pPr>
      <w:spacing w:line="240" w:lineRule="auto"/>
    </w:pPr>
    <w:rPr>
      <w:color w:val="1916A4" w:themeColor="accent5" w:themeShade="BF"/>
    </w:rPr>
    <w:tblPr>
      <w:tblStyleRowBandSize w:val="1"/>
      <w:tblStyleColBandSize w:val="1"/>
      <w:tblBorders>
        <w:top w:val="single" w:sz="4" w:space="0" w:color="7875EC" w:themeColor="accent5" w:themeTint="99"/>
        <w:left w:val="single" w:sz="4" w:space="0" w:color="7875EC" w:themeColor="accent5" w:themeTint="99"/>
        <w:bottom w:val="single" w:sz="4" w:space="0" w:color="7875EC" w:themeColor="accent5" w:themeTint="99"/>
        <w:right w:val="single" w:sz="4" w:space="0" w:color="7875EC" w:themeColor="accent5" w:themeTint="99"/>
        <w:insideH w:val="single" w:sz="4" w:space="0" w:color="7875EC" w:themeColor="accent5" w:themeTint="99"/>
        <w:insideV w:val="single" w:sz="4" w:space="0" w:color="7875EC" w:themeColor="accent5" w:themeTint="99"/>
      </w:tblBorders>
    </w:tblPr>
    <w:tblStylePr w:type="firstRow">
      <w:rPr>
        <w:b/>
        <w:bCs/>
      </w:rPr>
      <w:tblPr/>
      <w:tcPr>
        <w:tcBorders>
          <w:bottom w:val="single" w:sz="12" w:space="0" w:color="7875EC" w:themeColor="accent5" w:themeTint="99"/>
        </w:tcBorders>
      </w:tcPr>
    </w:tblStylePr>
    <w:tblStylePr w:type="lastRow">
      <w:rPr>
        <w:b/>
        <w:bCs/>
      </w:rPr>
      <w:tblPr/>
      <w:tcPr>
        <w:tcBorders>
          <w:top w:val="double" w:sz="4" w:space="0" w:color="7875EC" w:themeColor="accent5" w:themeTint="99"/>
        </w:tcBorders>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GridTable6Colorful-Accent6">
    <w:name w:val="Grid Table 6 Colorful Accent 6"/>
    <w:basedOn w:val="TableNormal"/>
    <w:uiPriority w:val="51"/>
    <w:rsid w:val="006308D0"/>
    <w:pPr>
      <w:spacing w:line="240" w:lineRule="auto"/>
    </w:pPr>
    <w:rPr>
      <w:color w:val="7B7B7B" w:themeColor="accent6" w:themeShade="BF"/>
    </w:r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bottom w:val="single" w:sz="12" w:space="0" w:color="C9C9C9" w:themeColor="accent6" w:themeTint="99"/>
        </w:tcBorders>
      </w:tcPr>
    </w:tblStylePr>
    <w:tblStylePr w:type="lastRow">
      <w:rPr>
        <w:b/>
        <w:bCs/>
      </w:rPr>
      <w:tblPr/>
      <w:tcPr>
        <w:tcBorders>
          <w:top w:val="doub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GridTable7Colorful">
    <w:name w:val="Grid Table 7 Colorful"/>
    <w:basedOn w:val="TableNormal"/>
    <w:uiPriority w:val="52"/>
    <w:rsid w:val="006308D0"/>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308D0"/>
    <w:pPr>
      <w:spacing w:line="240" w:lineRule="auto"/>
    </w:pPr>
    <w:rPr>
      <w:color w:val="005D3F" w:themeColor="accent1" w:themeShade="BF"/>
    </w:rPr>
    <w:tblPr>
      <w:tblStyleRowBandSize w:val="1"/>
      <w:tblStyleColBandSize w:val="1"/>
      <w:tblBorders>
        <w:top w:val="single" w:sz="4" w:space="0" w:color="18FFB4" w:themeColor="accent1" w:themeTint="99"/>
        <w:left w:val="single" w:sz="4" w:space="0" w:color="18FFB4" w:themeColor="accent1" w:themeTint="99"/>
        <w:bottom w:val="single" w:sz="4" w:space="0" w:color="18FFB4" w:themeColor="accent1" w:themeTint="99"/>
        <w:right w:val="single" w:sz="4" w:space="0" w:color="18FFB4" w:themeColor="accent1" w:themeTint="99"/>
        <w:insideH w:val="single" w:sz="4" w:space="0" w:color="18FFB4" w:themeColor="accent1" w:themeTint="99"/>
        <w:insideV w:val="single" w:sz="4" w:space="0" w:color="18FFB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1" w:themeFillTint="33"/>
      </w:tcPr>
    </w:tblStylePr>
    <w:tblStylePr w:type="band1Horz">
      <w:tblPr/>
      <w:tcPr>
        <w:shd w:val="clear" w:color="auto" w:fill="B2FFE6" w:themeFill="accent1" w:themeFillTint="33"/>
      </w:tcPr>
    </w:tblStylePr>
    <w:tblStylePr w:type="neCell">
      <w:tblPr/>
      <w:tcPr>
        <w:tcBorders>
          <w:bottom w:val="single" w:sz="4" w:space="0" w:color="18FFB4" w:themeColor="accent1" w:themeTint="99"/>
        </w:tcBorders>
      </w:tcPr>
    </w:tblStylePr>
    <w:tblStylePr w:type="nwCell">
      <w:tblPr/>
      <w:tcPr>
        <w:tcBorders>
          <w:bottom w:val="single" w:sz="4" w:space="0" w:color="18FFB4" w:themeColor="accent1" w:themeTint="99"/>
        </w:tcBorders>
      </w:tcPr>
    </w:tblStylePr>
    <w:tblStylePr w:type="seCell">
      <w:tblPr/>
      <w:tcPr>
        <w:tcBorders>
          <w:top w:val="single" w:sz="4" w:space="0" w:color="18FFB4" w:themeColor="accent1" w:themeTint="99"/>
        </w:tcBorders>
      </w:tcPr>
    </w:tblStylePr>
    <w:tblStylePr w:type="swCell">
      <w:tblPr/>
      <w:tcPr>
        <w:tcBorders>
          <w:top w:val="single" w:sz="4" w:space="0" w:color="18FFB4" w:themeColor="accent1" w:themeTint="99"/>
        </w:tcBorders>
      </w:tcPr>
    </w:tblStylePr>
  </w:style>
  <w:style w:type="table" w:styleId="GridTable7Colorful-Accent2">
    <w:name w:val="Grid Table 7 Colorful Accent 2"/>
    <w:basedOn w:val="TableNormal"/>
    <w:uiPriority w:val="52"/>
    <w:rsid w:val="006308D0"/>
    <w:pPr>
      <w:spacing w:line="240" w:lineRule="auto"/>
    </w:pPr>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6308D0"/>
    <w:pPr>
      <w:spacing w:line="240" w:lineRule="auto"/>
    </w:pPr>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6308D0"/>
    <w:pPr>
      <w:spacing w:line="240" w:lineRule="auto"/>
    </w:pPr>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6308D0"/>
    <w:pPr>
      <w:spacing w:line="240" w:lineRule="auto"/>
    </w:pPr>
    <w:rPr>
      <w:color w:val="1916A4" w:themeColor="accent5" w:themeShade="BF"/>
    </w:rPr>
    <w:tblPr>
      <w:tblStyleRowBandSize w:val="1"/>
      <w:tblStyleColBandSize w:val="1"/>
      <w:tblBorders>
        <w:top w:val="single" w:sz="4" w:space="0" w:color="7875EC" w:themeColor="accent5" w:themeTint="99"/>
        <w:left w:val="single" w:sz="4" w:space="0" w:color="7875EC" w:themeColor="accent5" w:themeTint="99"/>
        <w:bottom w:val="single" w:sz="4" w:space="0" w:color="7875EC" w:themeColor="accent5" w:themeTint="99"/>
        <w:right w:val="single" w:sz="4" w:space="0" w:color="7875EC" w:themeColor="accent5" w:themeTint="99"/>
        <w:insideH w:val="single" w:sz="4" w:space="0" w:color="7875EC" w:themeColor="accent5" w:themeTint="99"/>
        <w:insideV w:val="single" w:sz="4" w:space="0" w:color="7875E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1F8" w:themeFill="accent5" w:themeFillTint="33"/>
      </w:tcPr>
    </w:tblStylePr>
    <w:tblStylePr w:type="band1Horz">
      <w:tblPr/>
      <w:tcPr>
        <w:shd w:val="clear" w:color="auto" w:fill="D2D1F8" w:themeFill="accent5" w:themeFillTint="33"/>
      </w:tcPr>
    </w:tblStylePr>
    <w:tblStylePr w:type="neCell">
      <w:tblPr/>
      <w:tcPr>
        <w:tcBorders>
          <w:bottom w:val="single" w:sz="4" w:space="0" w:color="7875EC" w:themeColor="accent5" w:themeTint="99"/>
        </w:tcBorders>
      </w:tcPr>
    </w:tblStylePr>
    <w:tblStylePr w:type="nwCell">
      <w:tblPr/>
      <w:tcPr>
        <w:tcBorders>
          <w:bottom w:val="single" w:sz="4" w:space="0" w:color="7875EC" w:themeColor="accent5" w:themeTint="99"/>
        </w:tcBorders>
      </w:tcPr>
    </w:tblStylePr>
    <w:tblStylePr w:type="seCell">
      <w:tblPr/>
      <w:tcPr>
        <w:tcBorders>
          <w:top w:val="single" w:sz="4" w:space="0" w:color="7875EC" w:themeColor="accent5" w:themeTint="99"/>
        </w:tcBorders>
      </w:tcPr>
    </w:tblStylePr>
    <w:tblStylePr w:type="swCell">
      <w:tblPr/>
      <w:tcPr>
        <w:tcBorders>
          <w:top w:val="single" w:sz="4" w:space="0" w:color="7875EC" w:themeColor="accent5" w:themeTint="99"/>
        </w:tcBorders>
      </w:tcPr>
    </w:tblStylePr>
  </w:style>
  <w:style w:type="table" w:styleId="GridTable7Colorful-Accent6">
    <w:name w:val="Grid Table 7 Colorful Accent 6"/>
    <w:basedOn w:val="TableNormal"/>
    <w:uiPriority w:val="52"/>
    <w:rsid w:val="006308D0"/>
    <w:pPr>
      <w:spacing w:line="240" w:lineRule="auto"/>
    </w:pPr>
    <w:rPr>
      <w:color w:val="7B7B7B" w:themeColor="accent6" w:themeShade="BF"/>
    </w:r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bottom w:val="single" w:sz="4" w:space="0" w:color="C9C9C9" w:themeColor="accent6" w:themeTint="99"/>
        </w:tcBorders>
      </w:tcPr>
    </w:tblStylePr>
    <w:tblStylePr w:type="nwCell">
      <w:tblPr/>
      <w:tcPr>
        <w:tcBorders>
          <w:bottom w:val="single" w:sz="4" w:space="0" w:color="C9C9C9" w:themeColor="accent6" w:themeTint="99"/>
        </w:tcBorders>
      </w:tcPr>
    </w:tblStylePr>
    <w:tblStylePr w:type="seCell">
      <w:tblPr/>
      <w:tcPr>
        <w:tcBorders>
          <w:top w:val="single" w:sz="4" w:space="0" w:color="C9C9C9" w:themeColor="accent6" w:themeTint="99"/>
        </w:tcBorders>
      </w:tcPr>
    </w:tblStylePr>
    <w:tblStylePr w:type="swCell">
      <w:tblPr/>
      <w:tcPr>
        <w:tcBorders>
          <w:top w:val="single" w:sz="4" w:space="0" w:color="C9C9C9" w:themeColor="accent6" w:themeTint="99"/>
        </w:tcBorders>
      </w:tcPr>
    </w:tblStylePr>
  </w:style>
  <w:style w:type="character" w:styleId="Hashtag">
    <w:name w:val="Hashtag"/>
    <w:basedOn w:val="DefaultParagraphFont"/>
    <w:uiPriority w:val="99"/>
    <w:semiHidden/>
    <w:unhideWhenUsed/>
    <w:rsid w:val="006308D0"/>
    <w:rPr>
      <w:color w:val="2B579A"/>
      <w:shd w:val="clear" w:color="auto" w:fill="E6E6E6"/>
    </w:rPr>
  </w:style>
  <w:style w:type="character" w:styleId="HTMLAcronym">
    <w:name w:val="HTML Acronym"/>
    <w:basedOn w:val="DefaultParagraphFont"/>
    <w:uiPriority w:val="99"/>
    <w:semiHidden/>
    <w:unhideWhenUsed/>
    <w:rsid w:val="006308D0"/>
  </w:style>
  <w:style w:type="paragraph" w:styleId="HTMLAddress">
    <w:name w:val="HTML Address"/>
    <w:basedOn w:val="Normal"/>
    <w:link w:val="HTMLAddressChar"/>
    <w:uiPriority w:val="99"/>
    <w:semiHidden/>
    <w:unhideWhenUsed/>
    <w:rsid w:val="006308D0"/>
    <w:rPr>
      <w:i/>
      <w:iCs/>
    </w:rPr>
  </w:style>
  <w:style w:type="character" w:customStyle="1" w:styleId="HTMLAddressChar">
    <w:name w:val="HTML Address Char"/>
    <w:basedOn w:val="DefaultParagraphFont"/>
    <w:link w:val="HTMLAddress"/>
    <w:uiPriority w:val="99"/>
    <w:semiHidden/>
    <w:rsid w:val="006308D0"/>
    <w:rPr>
      <w:i/>
      <w:iCs/>
    </w:rPr>
  </w:style>
  <w:style w:type="character" w:styleId="HTMLCite">
    <w:name w:val="HTML Cite"/>
    <w:basedOn w:val="DefaultParagraphFont"/>
    <w:uiPriority w:val="99"/>
    <w:semiHidden/>
    <w:unhideWhenUsed/>
    <w:rsid w:val="006308D0"/>
    <w:rPr>
      <w:i/>
      <w:iCs/>
    </w:rPr>
  </w:style>
  <w:style w:type="character" w:styleId="HTMLCode">
    <w:name w:val="HTML Code"/>
    <w:basedOn w:val="DefaultParagraphFont"/>
    <w:uiPriority w:val="99"/>
    <w:semiHidden/>
    <w:unhideWhenUsed/>
    <w:rsid w:val="006308D0"/>
    <w:rPr>
      <w:rFonts w:ascii="Consolas" w:hAnsi="Consolas"/>
      <w:sz w:val="20"/>
      <w:szCs w:val="20"/>
    </w:rPr>
  </w:style>
  <w:style w:type="character" w:styleId="HTMLDefinition">
    <w:name w:val="HTML Definition"/>
    <w:basedOn w:val="DefaultParagraphFont"/>
    <w:uiPriority w:val="99"/>
    <w:semiHidden/>
    <w:unhideWhenUsed/>
    <w:rsid w:val="006308D0"/>
    <w:rPr>
      <w:i/>
      <w:iCs/>
    </w:rPr>
  </w:style>
  <w:style w:type="character" w:styleId="HTMLKeyboard">
    <w:name w:val="HTML Keyboard"/>
    <w:basedOn w:val="DefaultParagraphFont"/>
    <w:uiPriority w:val="99"/>
    <w:semiHidden/>
    <w:unhideWhenUsed/>
    <w:rsid w:val="006308D0"/>
    <w:rPr>
      <w:rFonts w:ascii="Consolas" w:hAnsi="Consolas"/>
      <w:sz w:val="20"/>
      <w:szCs w:val="20"/>
    </w:rPr>
  </w:style>
  <w:style w:type="paragraph" w:styleId="HTMLPreformatted">
    <w:name w:val="HTML Preformatted"/>
    <w:basedOn w:val="Normal"/>
    <w:link w:val="HTMLPreformattedChar"/>
    <w:uiPriority w:val="99"/>
    <w:semiHidden/>
    <w:unhideWhenUsed/>
    <w:rsid w:val="006308D0"/>
    <w:rPr>
      <w:rFonts w:ascii="Consolas" w:hAnsi="Consolas"/>
    </w:rPr>
  </w:style>
  <w:style w:type="character" w:customStyle="1" w:styleId="HTMLPreformattedChar">
    <w:name w:val="HTML Preformatted Char"/>
    <w:basedOn w:val="DefaultParagraphFont"/>
    <w:link w:val="HTMLPreformatted"/>
    <w:uiPriority w:val="99"/>
    <w:semiHidden/>
    <w:rsid w:val="006308D0"/>
    <w:rPr>
      <w:rFonts w:ascii="Consolas" w:hAnsi="Consolas"/>
    </w:rPr>
  </w:style>
  <w:style w:type="character" w:styleId="HTMLSample">
    <w:name w:val="HTML Sample"/>
    <w:basedOn w:val="DefaultParagraphFont"/>
    <w:uiPriority w:val="99"/>
    <w:semiHidden/>
    <w:unhideWhenUsed/>
    <w:rsid w:val="006308D0"/>
    <w:rPr>
      <w:rFonts w:ascii="Consolas" w:hAnsi="Consolas"/>
      <w:sz w:val="24"/>
      <w:szCs w:val="24"/>
    </w:rPr>
  </w:style>
  <w:style w:type="character" w:styleId="HTMLTypewriter">
    <w:name w:val="HTML Typewriter"/>
    <w:basedOn w:val="DefaultParagraphFont"/>
    <w:uiPriority w:val="99"/>
    <w:semiHidden/>
    <w:unhideWhenUsed/>
    <w:rsid w:val="006308D0"/>
    <w:rPr>
      <w:rFonts w:ascii="Consolas" w:hAnsi="Consolas"/>
      <w:sz w:val="20"/>
      <w:szCs w:val="20"/>
    </w:rPr>
  </w:style>
  <w:style w:type="character" w:styleId="HTMLVariable">
    <w:name w:val="HTML Variable"/>
    <w:basedOn w:val="DefaultParagraphFont"/>
    <w:uiPriority w:val="99"/>
    <w:semiHidden/>
    <w:unhideWhenUsed/>
    <w:rsid w:val="006308D0"/>
    <w:rPr>
      <w:i/>
      <w:iCs/>
    </w:rPr>
  </w:style>
  <w:style w:type="paragraph" w:styleId="Index1">
    <w:name w:val="index 1"/>
    <w:basedOn w:val="Normal"/>
    <w:next w:val="Normal"/>
    <w:autoRedefine/>
    <w:uiPriority w:val="99"/>
    <w:semiHidden/>
    <w:unhideWhenUsed/>
    <w:rsid w:val="006308D0"/>
    <w:pPr>
      <w:ind w:left="220" w:hanging="220"/>
    </w:pPr>
  </w:style>
  <w:style w:type="paragraph" w:styleId="Index2">
    <w:name w:val="index 2"/>
    <w:basedOn w:val="Normal"/>
    <w:next w:val="Normal"/>
    <w:autoRedefine/>
    <w:uiPriority w:val="99"/>
    <w:semiHidden/>
    <w:unhideWhenUsed/>
    <w:rsid w:val="006308D0"/>
    <w:pPr>
      <w:ind w:left="440" w:hanging="220"/>
    </w:pPr>
  </w:style>
  <w:style w:type="paragraph" w:styleId="Index3">
    <w:name w:val="index 3"/>
    <w:basedOn w:val="Normal"/>
    <w:next w:val="Normal"/>
    <w:autoRedefine/>
    <w:uiPriority w:val="99"/>
    <w:semiHidden/>
    <w:unhideWhenUsed/>
    <w:rsid w:val="006308D0"/>
    <w:pPr>
      <w:ind w:left="660" w:hanging="220"/>
    </w:pPr>
  </w:style>
  <w:style w:type="paragraph" w:styleId="Index4">
    <w:name w:val="index 4"/>
    <w:basedOn w:val="Normal"/>
    <w:next w:val="Normal"/>
    <w:autoRedefine/>
    <w:uiPriority w:val="99"/>
    <w:semiHidden/>
    <w:unhideWhenUsed/>
    <w:rsid w:val="006308D0"/>
    <w:pPr>
      <w:ind w:left="880" w:hanging="220"/>
    </w:pPr>
  </w:style>
  <w:style w:type="paragraph" w:styleId="Index5">
    <w:name w:val="index 5"/>
    <w:basedOn w:val="Normal"/>
    <w:next w:val="Normal"/>
    <w:autoRedefine/>
    <w:uiPriority w:val="99"/>
    <w:semiHidden/>
    <w:unhideWhenUsed/>
    <w:rsid w:val="006308D0"/>
    <w:pPr>
      <w:ind w:left="1100" w:hanging="220"/>
    </w:pPr>
  </w:style>
  <w:style w:type="paragraph" w:styleId="Index6">
    <w:name w:val="index 6"/>
    <w:basedOn w:val="Normal"/>
    <w:next w:val="Normal"/>
    <w:autoRedefine/>
    <w:uiPriority w:val="99"/>
    <w:semiHidden/>
    <w:unhideWhenUsed/>
    <w:rsid w:val="006308D0"/>
    <w:pPr>
      <w:ind w:left="1320" w:hanging="220"/>
    </w:pPr>
  </w:style>
  <w:style w:type="paragraph" w:styleId="Index7">
    <w:name w:val="index 7"/>
    <w:basedOn w:val="Normal"/>
    <w:next w:val="Normal"/>
    <w:autoRedefine/>
    <w:uiPriority w:val="99"/>
    <w:semiHidden/>
    <w:unhideWhenUsed/>
    <w:rsid w:val="006308D0"/>
    <w:pPr>
      <w:ind w:left="1540" w:hanging="220"/>
    </w:pPr>
  </w:style>
  <w:style w:type="paragraph" w:styleId="Index8">
    <w:name w:val="index 8"/>
    <w:basedOn w:val="Normal"/>
    <w:next w:val="Normal"/>
    <w:autoRedefine/>
    <w:uiPriority w:val="99"/>
    <w:semiHidden/>
    <w:unhideWhenUsed/>
    <w:rsid w:val="006308D0"/>
    <w:pPr>
      <w:ind w:left="1760" w:hanging="220"/>
    </w:pPr>
  </w:style>
  <w:style w:type="paragraph" w:styleId="Index9">
    <w:name w:val="index 9"/>
    <w:basedOn w:val="Normal"/>
    <w:next w:val="Normal"/>
    <w:autoRedefine/>
    <w:uiPriority w:val="99"/>
    <w:semiHidden/>
    <w:unhideWhenUsed/>
    <w:rsid w:val="006308D0"/>
    <w:pPr>
      <w:ind w:left="1980" w:hanging="220"/>
    </w:pPr>
  </w:style>
  <w:style w:type="paragraph" w:styleId="IndexHeading">
    <w:name w:val="index heading"/>
    <w:basedOn w:val="Normal"/>
    <w:next w:val="Index1"/>
    <w:uiPriority w:val="99"/>
    <w:semiHidden/>
    <w:unhideWhenUsed/>
    <w:rsid w:val="006308D0"/>
    <w:rPr>
      <w:rFonts w:eastAsiaTheme="majorEastAsia" w:cstheme="majorBidi"/>
      <w:b/>
      <w:bCs/>
    </w:rPr>
  </w:style>
  <w:style w:type="character" w:styleId="IntenseEmphasis">
    <w:name w:val="Intense Emphasis"/>
    <w:basedOn w:val="DefaultParagraphFont"/>
    <w:uiPriority w:val="99"/>
    <w:semiHidden/>
    <w:qFormat/>
    <w:rsid w:val="006308D0"/>
    <w:rPr>
      <w:i/>
      <w:iCs/>
      <w:color w:val="007D55" w:themeColor="accent1"/>
    </w:rPr>
  </w:style>
  <w:style w:type="paragraph" w:styleId="IntenseQuote">
    <w:name w:val="Intense Quote"/>
    <w:basedOn w:val="Normal"/>
    <w:next w:val="Normal"/>
    <w:link w:val="IntenseQuoteChar"/>
    <w:uiPriority w:val="99"/>
    <w:semiHidden/>
    <w:qFormat/>
    <w:rsid w:val="006308D0"/>
    <w:pPr>
      <w:pBdr>
        <w:top w:val="single" w:sz="4" w:space="10" w:color="007D55" w:themeColor="accent1"/>
        <w:bottom w:val="single" w:sz="4" w:space="10" w:color="007D55" w:themeColor="accent1"/>
      </w:pBdr>
      <w:spacing w:before="360" w:after="360"/>
      <w:ind w:left="864" w:right="864"/>
      <w:jc w:val="center"/>
    </w:pPr>
    <w:rPr>
      <w:i/>
      <w:iCs/>
      <w:color w:val="007D55" w:themeColor="accent1"/>
    </w:rPr>
  </w:style>
  <w:style w:type="character" w:customStyle="1" w:styleId="IntenseQuoteChar">
    <w:name w:val="Intense Quote Char"/>
    <w:basedOn w:val="DefaultParagraphFont"/>
    <w:link w:val="IntenseQuote"/>
    <w:uiPriority w:val="30"/>
    <w:semiHidden/>
    <w:rsid w:val="006308D0"/>
    <w:rPr>
      <w:i/>
      <w:iCs/>
      <w:color w:val="007D55" w:themeColor="accent1"/>
    </w:rPr>
  </w:style>
  <w:style w:type="character" w:styleId="IntenseReference">
    <w:name w:val="Intense Reference"/>
    <w:basedOn w:val="DefaultParagraphFont"/>
    <w:uiPriority w:val="99"/>
    <w:semiHidden/>
    <w:qFormat/>
    <w:rsid w:val="006308D0"/>
    <w:rPr>
      <w:b/>
      <w:bCs/>
      <w:smallCaps/>
      <w:color w:val="007D55" w:themeColor="accent1"/>
      <w:spacing w:val="5"/>
    </w:rPr>
  </w:style>
  <w:style w:type="table" w:styleId="LightGrid">
    <w:name w:val="Light Grid"/>
    <w:basedOn w:val="TableNormal"/>
    <w:uiPriority w:val="62"/>
    <w:semiHidden/>
    <w:unhideWhenUsed/>
    <w:rsid w:val="006308D0"/>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308D0"/>
    <w:pPr>
      <w:spacing w:line="240" w:lineRule="auto"/>
    </w:pPr>
    <w:tblPr>
      <w:tblStyleRowBandSize w:val="1"/>
      <w:tblStyleColBandSize w:val="1"/>
      <w:tblBorders>
        <w:top w:val="single" w:sz="8" w:space="0" w:color="007D55" w:themeColor="accent1"/>
        <w:left w:val="single" w:sz="8" w:space="0" w:color="007D55" w:themeColor="accent1"/>
        <w:bottom w:val="single" w:sz="8" w:space="0" w:color="007D55" w:themeColor="accent1"/>
        <w:right w:val="single" w:sz="8" w:space="0" w:color="007D55" w:themeColor="accent1"/>
        <w:insideH w:val="single" w:sz="8" w:space="0" w:color="007D55" w:themeColor="accent1"/>
        <w:insideV w:val="single" w:sz="8" w:space="0" w:color="007D5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1"/>
          <w:left w:val="single" w:sz="8" w:space="0" w:color="007D55" w:themeColor="accent1"/>
          <w:bottom w:val="single" w:sz="18" w:space="0" w:color="007D55" w:themeColor="accent1"/>
          <w:right w:val="single" w:sz="8" w:space="0" w:color="007D55" w:themeColor="accent1"/>
          <w:insideH w:val="nil"/>
          <w:insideV w:val="single" w:sz="8" w:space="0" w:color="007D5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1"/>
          <w:left w:val="single" w:sz="8" w:space="0" w:color="007D55" w:themeColor="accent1"/>
          <w:bottom w:val="single" w:sz="8" w:space="0" w:color="007D55" w:themeColor="accent1"/>
          <w:right w:val="single" w:sz="8" w:space="0" w:color="007D55" w:themeColor="accent1"/>
          <w:insideH w:val="nil"/>
          <w:insideV w:val="single" w:sz="8" w:space="0" w:color="007D5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1"/>
          <w:left w:val="single" w:sz="8" w:space="0" w:color="007D55" w:themeColor="accent1"/>
          <w:bottom w:val="single" w:sz="8" w:space="0" w:color="007D55" w:themeColor="accent1"/>
          <w:right w:val="single" w:sz="8" w:space="0" w:color="007D55" w:themeColor="accent1"/>
        </w:tcBorders>
      </w:tcPr>
    </w:tblStylePr>
    <w:tblStylePr w:type="band1Vert">
      <w:tblPr/>
      <w:tcPr>
        <w:tcBorders>
          <w:top w:val="single" w:sz="8" w:space="0" w:color="007D55" w:themeColor="accent1"/>
          <w:left w:val="single" w:sz="8" w:space="0" w:color="007D55" w:themeColor="accent1"/>
          <w:bottom w:val="single" w:sz="8" w:space="0" w:color="007D55" w:themeColor="accent1"/>
          <w:right w:val="single" w:sz="8" w:space="0" w:color="007D55" w:themeColor="accent1"/>
        </w:tcBorders>
        <w:shd w:val="clear" w:color="auto" w:fill="9FFFE0" w:themeFill="accent1" w:themeFillTint="3F"/>
      </w:tcPr>
    </w:tblStylePr>
    <w:tblStylePr w:type="band1Horz">
      <w:tblPr/>
      <w:tcPr>
        <w:tcBorders>
          <w:top w:val="single" w:sz="8" w:space="0" w:color="007D55" w:themeColor="accent1"/>
          <w:left w:val="single" w:sz="8" w:space="0" w:color="007D55" w:themeColor="accent1"/>
          <w:bottom w:val="single" w:sz="8" w:space="0" w:color="007D55" w:themeColor="accent1"/>
          <w:right w:val="single" w:sz="8" w:space="0" w:color="007D55" w:themeColor="accent1"/>
          <w:insideV w:val="single" w:sz="8" w:space="0" w:color="007D55" w:themeColor="accent1"/>
        </w:tcBorders>
        <w:shd w:val="clear" w:color="auto" w:fill="9FFFE0" w:themeFill="accent1" w:themeFillTint="3F"/>
      </w:tcPr>
    </w:tblStylePr>
    <w:tblStylePr w:type="band2Horz">
      <w:tblPr/>
      <w:tcPr>
        <w:tcBorders>
          <w:top w:val="single" w:sz="8" w:space="0" w:color="007D55" w:themeColor="accent1"/>
          <w:left w:val="single" w:sz="8" w:space="0" w:color="007D55" w:themeColor="accent1"/>
          <w:bottom w:val="single" w:sz="8" w:space="0" w:color="007D55" w:themeColor="accent1"/>
          <w:right w:val="single" w:sz="8" w:space="0" w:color="007D55" w:themeColor="accent1"/>
          <w:insideV w:val="single" w:sz="8" w:space="0" w:color="007D55" w:themeColor="accent1"/>
        </w:tcBorders>
      </w:tcPr>
    </w:tblStylePr>
  </w:style>
  <w:style w:type="table" w:styleId="LightGrid-Accent2">
    <w:name w:val="Light Grid Accent 2"/>
    <w:basedOn w:val="TableNormal"/>
    <w:uiPriority w:val="62"/>
    <w:semiHidden/>
    <w:unhideWhenUsed/>
    <w:rsid w:val="006308D0"/>
    <w:pPr>
      <w:spacing w:line="240" w:lineRule="auto"/>
    </w:p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6308D0"/>
    <w:pPr>
      <w:spacing w:line="240" w:lineRule="auto"/>
    </w:p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6308D0"/>
    <w:pPr>
      <w:spacing w:line="240" w:lineRule="auto"/>
    </w:p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6308D0"/>
    <w:pPr>
      <w:spacing w:line="240" w:lineRule="auto"/>
    </w:pPr>
    <w:tblPr>
      <w:tblStyleRowBandSize w:val="1"/>
      <w:tblStyleColBandSize w:val="1"/>
      <w:tblBorders>
        <w:top w:val="single" w:sz="8" w:space="0" w:color="231EDC" w:themeColor="accent5"/>
        <w:left w:val="single" w:sz="8" w:space="0" w:color="231EDC" w:themeColor="accent5"/>
        <w:bottom w:val="single" w:sz="8" w:space="0" w:color="231EDC" w:themeColor="accent5"/>
        <w:right w:val="single" w:sz="8" w:space="0" w:color="231EDC" w:themeColor="accent5"/>
        <w:insideH w:val="single" w:sz="8" w:space="0" w:color="231EDC" w:themeColor="accent5"/>
        <w:insideV w:val="single" w:sz="8" w:space="0" w:color="231ED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EDC" w:themeColor="accent5"/>
          <w:left w:val="single" w:sz="8" w:space="0" w:color="231EDC" w:themeColor="accent5"/>
          <w:bottom w:val="single" w:sz="18" w:space="0" w:color="231EDC" w:themeColor="accent5"/>
          <w:right w:val="single" w:sz="8" w:space="0" w:color="231EDC" w:themeColor="accent5"/>
          <w:insideH w:val="nil"/>
          <w:insideV w:val="single" w:sz="8" w:space="0" w:color="231ED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EDC" w:themeColor="accent5"/>
          <w:left w:val="single" w:sz="8" w:space="0" w:color="231EDC" w:themeColor="accent5"/>
          <w:bottom w:val="single" w:sz="8" w:space="0" w:color="231EDC" w:themeColor="accent5"/>
          <w:right w:val="single" w:sz="8" w:space="0" w:color="231EDC" w:themeColor="accent5"/>
          <w:insideH w:val="nil"/>
          <w:insideV w:val="single" w:sz="8" w:space="0" w:color="231ED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EDC" w:themeColor="accent5"/>
          <w:left w:val="single" w:sz="8" w:space="0" w:color="231EDC" w:themeColor="accent5"/>
          <w:bottom w:val="single" w:sz="8" w:space="0" w:color="231EDC" w:themeColor="accent5"/>
          <w:right w:val="single" w:sz="8" w:space="0" w:color="231EDC" w:themeColor="accent5"/>
        </w:tcBorders>
      </w:tcPr>
    </w:tblStylePr>
    <w:tblStylePr w:type="band1Vert">
      <w:tblPr/>
      <w:tcPr>
        <w:tcBorders>
          <w:top w:val="single" w:sz="8" w:space="0" w:color="231EDC" w:themeColor="accent5"/>
          <w:left w:val="single" w:sz="8" w:space="0" w:color="231EDC" w:themeColor="accent5"/>
          <w:bottom w:val="single" w:sz="8" w:space="0" w:color="231EDC" w:themeColor="accent5"/>
          <w:right w:val="single" w:sz="8" w:space="0" w:color="231EDC" w:themeColor="accent5"/>
        </w:tcBorders>
        <w:shd w:val="clear" w:color="auto" w:fill="C7C6F7" w:themeFill="accent5" w:themeFillTint="3F"/>
      </w:tcPr>
    </w:tblStylePr>
    <w:tblStylePr w:type="band1Horz">
      <w:tblPr/>
      <w:tcPr>
        <w:tcBorders>
          <w:top w:val="single" w:sz="8" w:space="0" w:color="231EDC" w:themeColor="accent5"/>
          <w:left w:val="single" w:sz="8" w:space="0" w:color="231EDC" w:themeColor="accent5"/>
          <w:bottom w:val="single" w:sz="8" w:space="0" w:color="231EDC" w:themeColor="accent5"/>
          <w:right w:val="single" w:sz="8" w:space="0" w:color="231EDC" w:themeColor="accent5"/>
          <w:insideV w:val="single" w:sz="8" w:space="0" w:color="231EDC" w:themeColor="accent5"/>
        </w:tcBorders>
        <w:shd w:val="clear" w:color="auto" w:fill="C7C6F7" w:themeFill="accent5" w:themeFillTint="3F"/>
      </w:tcPr>
    </w:tblStylePr>
    <w:tblStylePr w:type="band2Horz">
      <w:tblPr/>
      <w:tcPr>
        <w:tcBorders>
          <w:top w:val="single" w:sz="8" w:space="0" w:color="231EDC" w:themeColor="accent5"/>
          <w:left w:val="single" w:sz="8" w:space="0" w:color="231EDC" w:themeColor="accent5"/>
          <w:bottom w:val="single" w:sz="8" w:space="0" w:color="231EDC" w:themeColor="accent5"/>
          <w:right w:val="single" w:sz="8" w:space="0" w:color="231EDC" w:themeColor="accent5"/>
          <w:insideV w:val="single" w:sz="8" w:space="0" w:color="231EDC" w:themeColor="accent5"/>
        </w:tcBorders>
      </w:tcPr>
    </w:tblStylePr>
  </w:style>
  <w:style w:type="table" w:styleId="LightGrid-Accent6">
    <w:name w:val="Light Grid Accent 6"/>
    <w:basedOn w:val="TableNormal"/>
    <w:uiPriority w:val="62"/>
    <w:semiHidden/>
    <w:unhideWhenUsed/>
    <w:rsid w:val="006308D0"/>
    <w:pPr>
      <w:spacing w:line="240" w:lineRule="auto"/>
    </w:p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insideH w:val="single" w:sz="8" w:space="0" w:color="A5A5A5" w:themeColor="accent6"/>
        <w:insideV w:val="single" w:sz="8" w:space="0" w:color="A5A5A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6"/>
          <w:left w:val="single" w:sz="8" w:space="0" w:color="A5A5A5" w:themeColor="accent6"/>
          <w:bottom w:val="single" w:sz="18" w:space="0" w:color="A5A5A5" w:themeColor="accent6"/>
          <w:right w:val="single" w:sz="8" w:space="0" w:color="A5A5A5" w:themeColor="accent6"/>
          <w:insideH w:val="nil"/>
          <w:insideV w:val="single" w:sz="8" w:space="0" w:color="A5A5A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6"/>
          <w:left w:val="single" w:sz="8" w:space="0" w:color="A5A5A5" w:themeColor="accent6"/>
          <w:bottom w:val="single" w:sz="8" w:space="0" w:color="A5A5A5" w:themeColor="accent6"/>
          <w:right w:val="single" w:sz="8" w:space="0" w:color="A5A5A5" w:themeColor="accent6"/>
          <w:insideH w:val="nil"/>
          <w:insideV w:val="single" w:sz="8" w:space="0" w:color="A5A5A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tblStylePr w:type="band1Vert">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shd w:val="clear" w:color="auto" w:fill="E8E8E8" w:themeFill="accent6" w:themeFillTint="3F"/>
      </w:tcPr>
    </w:tblStylePr>
    <w:tblStylePr w:type="band1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insideV w:val="single" w:sz="8" w:space="0" w:color="A5A5A5" w:themeColor="accent6"/>
        </w:tcBorders>
        <w:shd w:val="clear" w:color="auto" w:fill="E8E8E8" w:themeFill="accent6" w:themeFillTint="3F"/>
      </w:tcPr>
    </w:tblStylePr>
    <w:tblStylePr w:type="band2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insideV w:val="single" w:sz="8" w:space="0" w:color="A5A5A5" w:themeColor="accent6"/>
        </w:tcBorders>
      </w:tcPr>
    </w:tblStylePr>
  </w:style>
  <w:style w:type="table" w:styleId="LightList">
    <w:name w:val="Light List"/>
    <w:basedOn w:val="TableNormal"/>
    <w:uiPriority w:val="61"/>
    <w:semiHidden/>
    <w:unhideWhenUsed/>
    <w:rsid w:val="006308D0"/>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308D0"/>
    <w:pPr>
      <w:spacing w:line="240" w:lineRule="auto"/>
    </w:pPr>
    <w:tblPr>
      <w:tblStyleRowBandSize w:val="1"/>
      <w:tblStyleColBandSize w:val="1"/>
      <w:tblBorders>
        <w:top w:val="single" w:sz="8" w:space="0" w:color="007D55" w:themeColor="accent1"/>
        <w:left w:val="single" w:sz="8" w:space="0" w:color="007D55" w:themeColor="accent1"/>
        <w:bottom w:val="single" w:sz="8" w:space="0" w:color="007D55" w:themeColor="accent1"/>
        <w:right w:val="single" w:sz="8" w:space="0" w:color="007D55" w:themeColor="accent1"/>
      </w:tblBorders>
    </w:tblPr>
    <w:tblStylePr w:type="firstRow">
      <w:pPr>
        <w:spacing w:before="0" w:after="0" w:line="240" w:lineRule="auto"/>
      </w:pPr>
      <w:rPr>
        <w:b/>
        <w:bCs/>
        <w:color w:val="FFFFFF" w:themeColor="background1"/>
      </w:rPr>
      <w:tblPr/>
      <w:tcPr>
        <w:shd w:val="clear" w:color="auto" w:fill="007D55" w:themeFill="accent1"/>
      </w:tcPr>
    </w:tblStylePr>
    <w:tblStylePr w:type="lastRow">
      <w:pPr>
        <w:spacing w:before="0" w:after="0" w:line="240" w:lineRule="auto"/>
      </w:pPr>
      <w:rPr>
        <w:b/>
        <w:bCs/>
      </w:rPr>
      <w:tblPr/>
      <w:tcPr>
        <w:tcBorders>
          <w:top w:val="double" w:sz="6" w:space="0" w:color="007D55" w:themeColor="accent1"/>
          <w:left w:val="single" w:sz="8" w:space="0" w:color="007D55" w:themeColor="accent1"/>
          <w:bottom w:val="single" w:sz="8" w:space="0" w:color="007D55" w:themeColor="accent1"/>
          <w:right w:val="single" w:sz="8" w:space="0" w:color="007D55" w:themeColor="accent1"/>
        </w:tcBorders>
      </w:tcPr>
    </w:tblStylePr>
    <w:tblStylePr w:type="firstCol">
      <w:rPr>
        <w:b/>
        <w:bCs/>
      </w:rPr>
    </w:tblStylePr>
    <w:tblStylePr w:type="lastCol">
      <w:rPr>
        <w:b/>
        <w:bCs/>
      </w:rPr>
    </w:tblStylePr>
    <w:tblStylePr w:type="band1Vert">
      <w:tblPr/>
      <w:tcPr>
        <w:tcBorders>
          <w:top w:val="single" w:sz="8" w:space="0" w:color="007D55" w:themeColor="accent1"/>
          <w:left w:val="single" w:sz="8" w:space="0" w:color="007D55" w:themeColor="accent1"/>
          <w:bottom w:val="single" w:sz="8" w:space="0" w:color="007D55" w:themeColor="accent1"/>
          <w:right w:val="single" w:sz="8" w:space="0" w:color="007D55" w:themeColor="accent1"/>
        </w:tcBorders>
      </w:tcPr>
    </w:tblStylePr>
    <w:tblStylePr w:type="band1Horz">
      <w:tblPr/>
      <w:tcPr>
        <w:tcBorders>
          <w:top w:val="single" w:sz="8" w:space="0" w:color="007D55" w:themeColor="accent1"/>
          <w:left w:val="single" w:sz="8" w:space="0" w:color="007D55" w:themeColor="accent1"/>
          <w:bottom w:val="single" w:sz="8" w:space="0" w:color="007D55" w:themeColor="accent1"/>
          <w:right w:val="single" w:sz="8" w:space="0" w:color="007D55" w:themeColor="accent1"/>
        </w:tcBorders>
      </w:tcPr>
    </w:tblStylePr>
  </w:style>
  <w:style w:type="table" w:styleId="LightList-Accent2">
    <w:name w:val="Light List Accent 2"/>
    <w:basedOn w:val="TableNormal"/>
    <w:uiPriority w:val="61"/>
    <w:semiHidden/>
    <w:unhideWhenUsed/>
    <w:rsid w:val="006308D0"/>
    <w:pPr>
      <w:spacing w:line="240" w:lineRule="auto"/>
    </w:p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6308D0"/>
    <w:pPr>
      <w:spacing w:line="240" w:lineRule="auto"/>
    </w:p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6308D0"/>
    <w:pPr>
      <w:spacing w:line="240" w:lineRule="auto"/>
    </w:p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6308D0"/>
    <w:pPr>
      <w:spacing w:line="240" w:lineRule="auto"/>
    </w:pPr>
    <w:tblPr>
      <w:tblStyleRowBandSize w:val="1"/>
      <w:tblStyleColBandSize w:val="1"/>
      <w:tblBorders>
        <w:top w:val="single" w:sz="8" w:space="0" w:color="231EDC" w:themeColor="accent5"/>
        <w:left w:val="single" w:sz="8" w:space="0" w:color="231EDC" w:themeColor="accent5"/>
        <w:bottom w:val="single" w:sz="8" w:space="0" w:color="231EDC" w:themeColor="accent5"/>
        <w:right w:val="single" w:sz="8" w:space="0" w:color="231EDC" w:themeColor="accent5"/>
      </w:tblBorders>
    </w:tblPr>
    <w:tblStylePr w:type="firstRow">
      <w:pPr>
        <w:spacing w:before="0" w:after="0" w:line="240" w:lineRule="auto"/>
      </w:pPr>
      <w:rPr>
        <w:b/>
        <w:bCs/>
        <w:color w:val="FFFFFF" w:themeColor="background1"/>
      </w:rPr>
      <w:tblPr/>
      <w:tcPr>
        <w:shd w:val="clear" w:color="auto" w:fill="231EDC" w:themeFill="accent5"/>
      </w:tcPr>
    </w:tblStylePr>
    <w:tblStylePr w:type="lastRow">
      <w:pPr>
        <w:spacing w:before="0" w:after="0" w:line="240" w:lineRule="auto"/>
      </w:pPr>
      <w:rPr>
        <w:b/>
        <w:bCs/>
      </w:rPr>
      <w:tblPr/>
      <w:tcPr>
        <w:tcBorders>
          <w:top w:val="double" w:sz="6" w:space="0" w:color="231EDC" w:themeColor="accent5"/>
          <w:left w:val="single" w:sz="8" w:space="0" w:color="231EDC" w:themeColor="accent5"/>
          <w:bottom w:val="single" w:sz="8" w:space="0" w:color="231EDC" w:themeColor="accent5"/>
          <w:right w:val="single" w:sz="8" w:space="0" w:color="231EDC" w:themeColor="accent5"/>
        </w:tcBorders>
      </w:tcPr>
    </w:tblStylePr>
    <w:tblStylePr w:type="firstCol">
      <w:rPr>
        <w:b/>
        <w:bCs/>
      </w:rPr>
    </w:tblStylePr>
    <w:tblStylePr w:type="lastCol">
      <w:rPr>
        <w:b/>
        <w:bCs/>
      </w:rPr>
    </w:tblStylePr>
    <w:tblStylePr w:type="band1Vert">
      <w:tblPr/>
      <w:tcPr>
        <w:tcBorders>
          <w:top w:val="single" w:sz="8" w:space="0" w:color="231EDC" w:themeColor="accent5"/>
          <w:left w:val="single" w:sz="8" w:space="0" w:color="231EDC" w:themeColor="accent5"/>
          <w:bottom w:val="single" w:sz="8" w:space="0" w:color="231EDC" w:themeColor="accent5"/>
          <w:right w:val="single" w:sz="8" w:space="0" w:color="231EDC" w:themeColor="accent5"/>
        </w:tcBorders>
      </w:tcPr>
    </w:tblStylePr>
    <w:tblStylePr w:type="band1Horz">
      <w:tblPr/>
      <w:tcPr>
        <w:tcBorders>
          <w:top w:val="single" w:sz="8" w:space="0" w:color="231EDC" w:themeColor="accent5"/>
          <w:left w:val="single" w:sz="8" w:space="0" w:color="231EDC" w:themeColor="accent5"/>
          <w:bottom w:val="single" w:sz="8" w:space="0" w:color="231EDC" w:themeColor="accent5"/>
          <w:right w:val="single" w:sz="8" w:space="0" w:color="231EDC" w:themeColor="accent5"/>
        </w:tcBorders>
      </w:tcPr>
    </w:tblStylePr>
  </w:style>
  <w:style w:type="table" w:styleId="LightList-Accent6">
    <w:name w:val="Light List Accent 6"/>
    <w:basedOn w:val="TableNormal"/>
    <w:uiPriority w:val="61"/>
    <w:semiHidden/>
    <w:unhideWhenUsed/>
    <w:rsid w:val="006308D0"/>
    <w:pPr>
      <w:spacing w:line="240" w:lineRule="auto"/>
    </w:p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tblBorders>
    </w:tblPr>
    <w:tblStylePr w:type="firstRow">
      <w:pPr>
        <w:spacing w:before="0" w:after="0" w:line="240" w:lineRule="auto"/>
      </w:pPr>
      <w:rPr>
        <w:b/>
        <w:bCs/>
        <w:color w:val="FFFFFF" w:themeColor="background1"/>
      </w:rPr>
      <w:tblPr/>
      <w:tcPr>
        <w:shd w:val="clear" w:color="auto" w:fill="A5A5A5" w:themeFill="accent6"/>
      </w:tcPr>
    </w:tblStylePr>
    <w:tblStylePr w:type="lastRow">
      <w:pPr>
        <w:spacing w:before="0" w:after="0" w:line="240" w:lineRule="auto"/>
      </w:pPr>
      <w:rPr>
        <w:b/>
        <w:bCs/>
      </w:rPr>
      <w:tblPr/>
      <w:tcPr>
        <w:tcBorders>
          <w:top w:val="double" w:sz="6" w:space="0" w:color="A5A5A5" w:themeColor="accent6"/>
          <w:left w:val="single" w:sz="8" w:space="0" w:color="A5A5A5" w:themeColor="accent6"/>
          <w:bottom w:val="single" w:sz="8" w:space="0" w:color="A5A5A5" w:themeColor="accent6"/>
          <w:right w:val="single" w:sz="8" w:space="0" w:color="A5A5A5" w:themeColor="accent6"/>
        </w:tcBorders>
      </w:tcPr>
    </w:tblStylePr>
    <w:tblStylePr w:type="firstCol">
      <w:rPr>
        <w:b/>
        <w:bCs/>
      </w:rPr>
    </w:tblStylePr>
    <w:tblStylePr w:type="lastCol">
      <w:rPr>
        <w:b/>
        <w:bCs/>
      </w:rPr>
    </w:tblStylePr>
    <w:tblStylePr w:type="band1Vert">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tblStylePr w:type="band1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style>
  <w:style w:type="table" w:styleId="LightShading">
    <w:name w:val="Light Shading"/>
    <w:basedOn w:val="TableNormal"/>
    <w:uiPriority w:val="60"/>
    <w:semiHidden/>
    <w:unhideWhenUsed/>
    <w:rsid w:val="006308D0"/>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308D0"/>
    <w:pPr>
      <w:spacing w:line="240" w:lineRule="auto"/>
    </w:pPr>
    <w:rPr>
      <w:color w:val="005D3F" w:themeColor="accent1" w:themeShade="BF"/>
    </w:rPr>
    <w:tblPr>
      <w:tblStyleRowBandSize w:val="1"/>
      <w:tblStyleColBandSize w:val="1"/>
      <w:tblBorders>
        <w:top w:val="single" w:sz="8" w:space="0" w:color="007D55" w:themeColor="accent1"/>
        <w:bottom w:val="single" w:sz="8" w:space="0" w:color="007D55" w:themeColor="accent1"/>
      </w:tblBorders>
    </w:tblPr>
    <w:tblStylePr w:type="firstRow">
      <w:pPr>
        <w:spacing w:before="0" w:after="0" w:line="240" w:lineRule="auto"/>
      </w:pPr>
      <w:rPr>
        <w:b/>
        <w:bCs/>
      </w:rPr>
      <w:tblPr/>
      <w:tcPr>
        <w:tcBorders>
          <w:top w:val="single" w:sz="8" w:space="0" w:color="007D55" w:themeColor="accent1"/>
          <w:left w:val="nil"/>
          <w:bottom w:val="single" w:sz="8" w:space="0" w:color="007D55" w:themeColor="accent1"/>
          <w:right w:val="nil"/>
          <w:insideH w:val="nil"/>
          <w:insideV w:val="nil"/>
        </w:tcBorders>
      </w:tcPr>
    </w:tblStylePr>
    <w:tblStylePr w:type="lastRow">
      <w:pPr>
        <w:spacing w:before="0" w:after="0" w:line="240" w:lineRule="auto"/>
      </w:pPr>
      <w:rPr>
        <w:b/>
        <w:bCs/>
      </w:rPr>
      <w:tblPr/>
      <w:tcPr>
        <w:tcBorders>
          <w:top w:val="single" w:sz="8" w:space="0" w:color="007D55" w:themeColor="accent1"/>
          <w:left w:val="nil"/>
          <w:bottom w:val="single" w:sz="8" w:space="0" w:color="007D5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1" w:themeFillTint="3F"/>
      </w:tcPr>
    </w:tblStylePr>
    <w:tblStylePr w:type="band1Horz">
      <w:tblPr/>
      <w:tcPr>
        <w:tcBorders>
          <w:left w:val="nil"/>
          <w:right w:val="nil"/>
          <w:insideH w:val="nil"/>
          <w:insideV w:val="nil"/>
        </w:tcBorders>
        <w:shd w:val="clear" w:color="auto" w:fill="9FFFE0" w:themeFill="accent1" w:themeFillTint="3F"/>
      </w:tcPr>
    </w:tblStylePr>
  </w:style>
  <w:style w:type="table" w:styleId="LightShading-Accent2">
    <w:name w:val="Light Shading Accent 2"/>
    <w:basedOn w:val="TableNormal"/>
    <w:uiPriority w:val="60"/>
    <w:semiHidden/>
    <w:unhideWhenUsed/>
    <w:rsid w:val="006308D0"/>
    <w:pPr>
      <w:spacing w:line="240" w:lineRule="auto"/>
    </w:pPr>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6308D0"/>
    <w:pPr>
      <w:spacing w:line="240" w:lineRule="auto"/>
    </w:pPr>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6308D0"/>
    <w:pPr>
      <w:spacing w:line="240" w:lineRule="auto"/>
    </w:pPr>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6308D0"/>
    <w:pPr>
      <w:spacing w:line="240" w:lineRule="auto"/>
    </w:pPr>
    <w:rPr>
      <w:color w:val="1916A4" w:themeColor="accent5" w:themeShade="BF"/>
    </w:rPr>
    <w:tblPr>
      <w:tblStyleRowBandSize w:val="1"/>
      <w:tblStyleColBandSize w:val="1"/>
      <w:tblBorders>
        <w:top w:val="single" w:sz="8" w:space="0" w:color="231EDC" w:themeColor="accent5"/>
        <w:bottom w:val="single" w:sz="8" w:space="0" w:color="231EDC" w:themeColor="accent5"/>
      </w:tblBorders>
    </w:tblPr>
    <w:tblStylePr w:type="firstRow">
      <w:pPr>
        <w:spacing w:before="0" w:after="0" w:line="240" w:lineRule="auto"/>
      </w:pPr>
      <w:rPr>
        <w:b/>
        <w:bCs/>
      </w:rPr>
      <w:tblPr/>
      <w:tcPr>
        <w:tcBorders>
          <w:top w:val="single" w:sz="8" w:space="0" w:color="231EDC" w:themeColor="accent5"/>
          <w:left w:val="nil"/>
          <w:bottom w:val="single" w:sz="8" w:space="0" w:color="231EDC" w:themeColor="accent5"/>
          <w:right w:val="nil"/>
          <w:insideH w:val="nil"/>
          <w:insideV w:val="nil"/>
        </w:tcBorders>
      </w:tcPr>
    </w:tblStylePr>
    <w:tblStylePr w:type="lastRow">
      <w:pPr>
        <w:spacing w:before="0" w:after="0" w:line="240" w:lineRule="auto"/>
      </w:pPr>
      <w:rPr>
        <w:b/>
        <w:bCs/>
      </w:rPr>
      <w:tblPr/>
      <w:tcPr>
        <w:tcBorders>
          <w:top w:val="single" w:sz="8" w:space="0" w:color="231EDC" w:themeColor="accent5"/>
          <w:left w:val="nil"/>
          <w:bottom w:val="single" w:sz="8" w:space="0" w:color="231ED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6F7" w:themeFill="accent5" w:themeFillTint="3F"/>
      </w:tcPr>
    </w:tblStylePr>
    <w:tblStylePr w:type="band1Horz">
      <w:tblPr/>
      <w:tcPr>
        <w:tcBorders>
          <w:left w:val="nil"/>
          <w:right w:val="nil"/>
          <w:insideH w:val="nil"/>
          <w:insideV w:val="nil"/>
        </w:tcBorders>
        <w:shd w:val="clear" w:color="auto" w:fill="C7C6F7" w:themeFill="accent5" w:themeFillTint="3F"/>
      </w:tcPr>
    </w:tblStylePr>
  </w:style>
  <w:style w:type="table" w:styleId="LightShading-Accent6">
    <w:name w:val="Light Shading Accent 6"/>
    <w:basedOn w:val="TableNormal"/>
    <w:uiPriority w:val="60"/>
    <w:semiHidden/>
    <w:unhideWhenUsed/>
    <w:rsid w:val="006308D0"/>
    <w:pPr>
      <w:spacing w:line="240" w:lineRule="auto"/>
    </w:pPr>
    <w:rPr>
      <w:color w:val="7B7B7B" w:themeColor="accent6" w:themeShade="BF"/>
    </w:rPr>
    <w:tblPr>
      <w:tblStyleRowBandSize w:val="1"/>
      <w:tblStyleColBandSize w:val="1"/>
      <w:tblBorders>
        <w:top w:val="single" w:sz="8" w:space="0" w:color="A5A5A5" w:themeColor="accent6"/>
        <w:bottom w:val="single" w:sz="8" w:space="0" w:color="A5A5A5" w:themeColor="accent6"/>
      </w:tblBorders>
    </w:tblPr>
    <w:tblStylePr w:type="firstRow">
      <w:pPr>
        <w:spacing w:before="0" w:after="0" w:line="240" w:lineRule="auto"/>
      </w:pPr>
      <w:rPr>
        <w:b/>
        <w:bCs/>
      </w:rPr>
      <w:tblPr/>
      <w:tcPr>
        <w:tcBorders>
          <w:top w:val="single" w:sz="8" w:space="0" w:color="A5A5A5" w:themeColor="accent6"/>
          <w:left w:val="nil"/>
          <w:bottom w:val="single" w:sz="8" w:space="0" w:color="A5A5A5" w:themeColor="accent6"/>
          <w:right w:val="nil"/>
          <w:insideH w:val="nil"/>
          <w:insideV w:val="nil"/>
        </w:tcBorders>
      </w:tcPr>
    </w:tblStylePr>
    <w:tblStylePr w:type="lastRow">
      <w:pPr>
        <w:spacing w:before="0" w:after="0" w:line="240" w:lineRule="auto"/>
      </w:pPr>
      <w:rPr>
        <w:b/>
        <w:bCs/>
      </w:rPr>
      <w:tblPr/>
      <w:tcPr>
        <w:tcBorders>
          <w:top w:val="single" w:sz="8" w:space="0" w:color="A5A5A5" w:themeColor="accent6"/>
          <w:left w:val="nil"/>
          <w:bottom w:val="single" w:sz="8" w:space="0" w:color="A5A5A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6" w:themeFillTint="3F"/>
      </w:tcPr>
    </w:tblStylePr>
    <w:tblStylePr w:type="band1Horz">
      <w:tblPr/>
      <w:tcPr>
        <w:tcBorders>
          <w:left w:val="nil"/>
          <w:right w:val="nil"/>
          <w:insideH w:val="nil"/>
          <w:insideV w:val="nil"/>
        </w:tcBorders>
        <w:shd w:val="clear" w:color="auto" w:fill="E8E8E8" w:themeFill="accent6" w:themeFillTint="3F"/>
      </w:tcPr>
    </w:tblStylePr>
  </w:style>
  <w:style w:type="character" w:styleId="LineNumber">
    <w:name w:val="line number"/>
    <w:basedOn w:val="DefaultParagraphFont"/>
    <w:uiPriority w:val="99"/>
    <w:semiHidden/>
    <w:unhideWhenUsed/>
    <w:rsid w:val="006308D0"/>
  </w:style>
  <w:style w:type="paragraph" w:styleId="List">
    <w:name w:val="List"/>
    <w:basedOn w:val="Normal"/>
    <w:uiPriority w:val="99"/>
    <w:semiHidden/>
    <w:unhideWhenUsed/>
    <w:rsid w:val="006308D0"/>
    <w:pPr>
      <w:ind w:left="283" w:hanging="283"/>
      <w:contextualSpacing/>
    </w:pPr>
  </w:style>
  <w:style w:type="paragraph" w:styleId="List2">
    <w:name w:val="List 2"/>
    <w:basedOn w:val="Normal"/>
    <w:uiPriority w:val="99"/>
    <w:semiHidden/>
    <w:unhideWhenUsed/>
    <w:rsid w:val="006308D0"/>
    <w:pPr>
      <w:ind w:left="566" w:hanging="283"/>
      <w:contextualSpacing/>
    </w:pPr>
  </w:style>
  <w:style w:type="paragraph" w:styleId="List3">
    <w:name w:val="List 3"/>
    <w:basedOn w:val="Normal"/>
    <w:uiPriority w:val="99"/>
    <w:semiHidden/>
    <w:unhideWhenUsed/>
    <w:rsid w:val="006308D0"/>
    <w:pPr>
      <w:ind w:left="849" w:hanging="283"/>
      <w:contextualSpacing/>
    </w:pPr>
  </w:style>
  <w:style w:type="paragraph" w:styleId="List4">
    <w:name w:val="List 4"/>
    <w:basedOn w:val="Normal"/>
    <w:uiPriority w:val="99"/>
    <w:semiHidden/>
    <w:unhideWhenUsed/>
    <w:rsid w:val="006308D0"/>
    <w:pPr>
      <w:ind w:left="1132" w:hanging="283"/>
      <w:contextualSpacing/>
    </w:pPr>
  </w:style>
  <w:style w:type="paragraph" w:styleId="List5">
    <w:name w:val="List 5"/>
    <w:basedOn w:val="Normal"/>
    <w:uiPriority w:val="99"/>
    <w:semiHidden/>
    <w:unhideWhenUsed/>
    <w:rsid w:val="006308D0"/>
    <w:pPr>
      <w:ind w:left="1415" w:hanging="283"/>
      <w:contextualSpacing/>
    </w:pPr>
  </w:style>
  <w:style w:type="paragraph" w:styleId="ListBullet4">
    <w:name w:val="List Bullet 4"/>
    <w:basedOn w:val="Normal"/>
    <w:uiPriority w:val="99"/>
    <w:semiHidden/>
    <w:unhideWhenUsed/>
    <w:rsid w:val="006308D0"/>
    <w:pPr>
      <w:tabs>
        <w:tab w:val="num" w:pos="1209"/>
      </w:tabs>
      <w:ind w:left="1209" w:hanging="360"/>
      <w:contextualSpacing/>
    </w:pPr>
  </w:style>
  <w:style w:type="paragraph" w:styleId="ListBullet5">
    <w:name w:val="List Bullet 5"/>
    <w:basedOn w:val="Normal"/>
    <w:uiPriority w:val="99"/>
    <w:semiHidden/>
    <w:unhideWhenUsed/>
    <w:rsid w:val="006308D0"/>
    <w:pPr>
      <w:tabs>
        <w:tab w:val="num" w:pos="1492"/>
      </w:tabs>
      <w:ind w:left="1492" w:hanging="360"/>
      <w:contextualSpacing/>
    </w:pPr>
  </w:style>
  <w:style w:type="paragraph" w:styleId="ListContinue">
    <w:name w:val="List Continue"/>
    <w:basedOn w:val="Normal"/>
    <w:uiPriority w:val="99"/>
    <w:semiHidden/>
    <w:unhideWhenUsed/>
    <w:rsid w:val="006308D0"/>
    <w:pPr>
      <w:spacing w:after="120"/>
      <w:ind w:left="283"/>
      <w:contextualSpacing/>
    </w:pPr>
  </w:style>
  <w:style w:type="paragraph" w:styleId="ListContinue2">
    <w:name w:val="List Continue 2"/>
    <w:basedOn w:val="Normal"/>
    <w:uiPriority w:val="99"/>
    <w:semiHidden/>
    <w:unhideWhenUsed/>
    <w:rsid w:val="006308D0"/>
    <w:pPr>
      <w:spacing w:after="120"/>
      <w:ind w:left="566"/>
      <w:contextualSpacing/>
    </w:pPr>
  </w:style>
  <w:style w:type="paragraph" w:styleId="ListContinue3">
    <w:name w:val="List Continue 3"/>
    <w:basedOn w:val="Normal"/>
    <w:uiPriority w:val="99"/>
    <w:semiHidden/>
    <w:unhideWhenUsed/>
    <w:rsid w:val="006308D0"/>
    <w:pPr>
      <w:spacing w:after="120"/>
      <w:ind w:left="849"/>
      <w:contextualSpacing/>
    </w:pPr>
  </w:style>
  <w:style w:type="paragraph" w:styleId="ListContinue4">
    <w:name w:val="List Continue 4"/>
    <w:basedOn w:val="Normal"/>
    <w:uiPriority w:val="99"/>
    <w:semiHidden/>
    <w:unhideWhenUsed/>
    <w:rsid w:val="006308D0"/>
    <w:pPr>
      <w:spacing w:after="120"/>
      <w:ind w:left="1132"/>
      <w:contextualSpacing/>
    </w:pPr>
  </w:style>
  <w:style w:type="paragraph" w:styleId="ListContinue5">
    <w:name w:val="List Continue 5"/>
    <w:basedOn w:val="Normal"/>
    <w:uiPriority w:val="99"/>
    <w:semiHidden/>
    <w:unhideWhenUsed/>
    <w:rsid w:val="006308D0"/>
    <w:pPr>
      <w:spacing w:after="120"/>
      <w:ind w:left="1415"/>
      <w:contextualSpacing/>
    </w:pPr>
  </w:style>
  <w:style w:type="paragraph" w:styleId="ListNumber5">
    <w:name w:val="List Number 5"/>
    <w:basedOn w:val="Normal"/>
    <w:uiPriority w:val="99"/>
    <w:semiHidden/>
    <w:unhideWhenUsed/>
    <w:rsid w:val="006308D0"/>
    <w:pPr>
      <w:tabs>
        <w:tab w:val="num" w:pos="1492"/>
      </w:tabs>
      <w:ind w:left="1492" w:hanging="360"/>
      <w:contextualSpacing/>
    </w:pPr>
  </w:style>
  <w:style w:type="table" w:styleId="ListTable1Light">
    <w:name w:val="List Table 1 Light"/>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18FFB4" w:themeColor="accent1" w:themeTint="99"/>
        </w:tcBorders>
      </w:tcPr>
    </w:tblStylePr>
    <w:tblStylePr w:type="lastRow">
      <w:rPr>
        <w:b/>
        <w:bCs/>
      </w:rPr>
      <w:tblPr/>
      <w:tcPr>
        <w:tcBorders>
          <w:top w:val="single" w:sz="4" w:space="0" w:color="18FFB4" w:themeColor="accent1" w:themeTint="99"/>
        </w:tcBorders>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ListTable1Light-Accent2">
    <w:name w:val="List Table 1 Light Accent 2"/>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7875EC" w:themeColor="accent5" w:themeTint="99"/>
        </w:tcBorders>
      </w:tcPr>
    </w:tblStylePr>
    <w:tblStylePr w:type="lastRow">
      <w:rPr>
        <w:b/>
        <w:bCs/>
      </w:rPr>
      <w:tblPr/>
      <w:tcPr>
        <w:tcBorders>
          <w:top w:val="single" w:sz="4" w:space="0" w:color="7875EC" w:themeColor="accent5" w:themeTint="99"/>
        </w:tcBorders>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ListTable1Light-Accent6">
    <w:name w:val="List Table 1 Light Accent 6"/>
    <w:basedOn w:val="TableNormal"/>
    <w:uiPriority w:val="46"/>
    <w:rsid w:val="006308D0"/>
    <w:pPr>
      <w:spacing w:line="240" w:lineRule="auto"/>
    </w:pPr>
    <w:tblPr>
      <w:tblStyleRowBandSize w:val="1"/>
      <w:tblStyleColBandSize w:val="1"/>
    </w:tblPr>
    <w:tblStylePr w:type="firstRow">
      <w:rPr>
        <w:b/>
        <w:bCs/>
      </w:rPr>
      <w:tblPr/>
      <w:tcPr>
        <w:tcBorders>
          <w:bottom w:val="single" w:sz="4" w:space="0" w:color="C9C9C9" w:themeColor="accent6" w:themeTint="99"/>
        </w:tcBorders>
      </w:tcPr>
    </w:tblStylePr>
    <w:tblStylePr w:type="lastRow">
      <w:rPr>
        <w:b/>
        <w:bCs/>
      </w:rPr>
      <w:tblPr/>
      <w:tcPr>
        <w:tcBorders>
          <w:top w:val="sing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2">
    <w:name w:val="List Table 2"/>
    <w:basedOn w:val="TableNormal"/>
    <w:uiPriority w:val="47"/>
    <w:rsid w:val="006308D0"/>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308D0"/>
    <w:pPr>
      <w:spacing w:line="240" w:lineRule="auto"/>
    </w:pPr>
    <w:tblPr>
      <w:tblStyleRowBandSize w:val="1"/>
      <w:tblStyleColBandSize w:val="1"/>
      <w:tblBorders>
        <w:top w:val="single" w:sz="4" w:space="0" w:color="18FFB4" w:themeColor="accent1" w:themeTint="99"/>
        <w:bottom w:val="single" w:sz="4" w:space="0" w:color="18FFB4" w:themeColor="accent1" w:themeTint="99"/>
        <w:insideH w:val="single" w:sz="4" w:space="0" w:color="18FFB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ListTable2-Accent2">
    <w:name w:val="List Table 2 Accent 2"/>
    <w:basedOn w:val="TableNormal"/>
    <w:uiPriority w:val="47"/>
    <w:rsid w:val="006308D0"/>
    <w:pPr>
      <w:spacing w:line="240" w:lineRule="auto"/>
    </w:pPr>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6308D0"/>
    <w:pPr>
      <w:spacing w:line="240" w:lineRule="auto"/>
    </w:pPr>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6308D0"/>
    <w:pPr>
      <w:spacing w:line="240" w:lineRule="auto"/>
    </w:pPr>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6308D0"/>
    <w:pPr>
      <w:spacing w:line="240" w:lineRule="auto"/>
    </w:pPr>
    <w:tblPr>
      <w:tblStyleRowBandSize w:val="1"/>
      <w:tblStyleColBandSize w:val="1"/>
      <w:tblBorders>
        <w:top w:val="single" w:sz="4" w:space="0" w:color="7875EC" w:themeColor="accent5" w:themeTint="99"/>
        <w:bottom w:val="single" w:sz="4" w:space="0" w:color="7875EC" w:themeColor="accent5" w:themeTint="99"/>
        <w:insideH w:val="single" w:sz="4" w:space="0" w:color="7875E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ListTable2-Accent6">
    <w:name w:val="List Table 2 Accent 6"/>
    <w:basedOn w:val="TableNormal"/>
    <w:uiPriority w:val="47"/>
    <w:rsid w:val="006308D0"/>
    <w:pPr>
      <w:spacing w:line="240" w:lineRule="auto"/>
    </w:pPr>
    <w:tblPr>
      <w:tblStyleRowBandSize w:val="1"/>
      <w:tblStyleColBandSize w:val="1"/>
      <w:tblBorders>
        <w:top w:val="single" w:sz="4" w:space="0" w:color="C9C9C9" w:themeColor="accent6" w:themeTint="99"/>
        <w:bottom w:val="single" w:sz="4" w:space="0" w:color="C9C9C9" w:themeColor="accent6" w:themeTint="99"/>
        <w:insideH w:val="single" w:sz="4" w:space="0" w:color="C9C9C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3">
    <w:name w:val="List Table 3"/>
    <w:basedOn w:val="TableNormal"/>
    <w:uiPriority w:val="48"/>
    <w:rsid w:val="006308D0"/>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308D0"/>
    <w:pPr>
      <w:spacing w:line="240" w:lineRule="auto"/>
    </w:pPr>
    <w:tblPr>
      <w:tblStyleRowBandSize w:val="1"/>
      <w:tblStyleColBandSize w:val="1"/>
      <w:tblBorders>
        <w:top w:val="single" w:sz="4" w:space="0" w:color="007D55" w:themeColor="accent1"/>
        <w:left w:val="single" w:sz="4" w:space="0" w:color="007D55" w:themeColor="accent1"/>
        <w:bottom w:val="single" w:sz="4" w:space="0" w:color="007D55" w:themeColor="accent1"/>
        <w:right w:val="single" w:sz="4" w:space="0" w:color="007D55" w:themeColor="accent1"/>
      </w:tblBorders>
    </w:tblPr>
    <w:tblStylePr w:type="firstRow">
      <w:rPr>
        <w:b/>
        <w:bCs/>
        <w:color w:val="FFFFFF" w:themeColor="background1"/>
      </w:rPr>
      <w:tblPr/>
      <w:tcPr>
        <w:shd w:val="clear" w:color="auto" w:fill="007D55" w:themeFill="accent1"/>
      </w:tcPr>
    </w:tblStylePr>
    <w:tblStylePr w:type="lastRow">
      <w:rPr>
        <w:b/>
        <w:bCs/>
      </w:rPr>
      <w:tblPr/>
      <w:tcPr>
        <w:tcBorders>
          <w:top w:val="double" w:sz="4" w:space="0" w:color="007D5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1"/>
          <w:right w:val="single" w:sz="4" w:space="0" w:color="007D55" w:themeColor="accent1"/>
        </w:tcBorders>
      </w:tcPr>
    </w:tblStylePr>
    <w:tblStylePr w:type="band1Horz">
      <w:tblPr/>
      <w:tcPr>
        <w:tcBorders>
          <w:top w:val="single" w:sz="4" w:space="0" w:color="007D55" w:themeColor="accent1"/>
          <w:bottom w:val="single" w:sz="4" w:space="0" w:color="007D5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1"/>
          <w:left w:val="nil"/>
        </w:tcBorders>
      </w:tcPr>
    </w:tblStylePr>
    <w:tblStylePr w:type="swCell">
      <w:tblPr/>
      <w:tcPr>
        <w:tcBorders>
          <w:top w:val="double" w:sz="4" w:space="0" w:color="007D55" w:themeColor="accent1"/>
          <w:right w:val="nil"/>
        </w:tcBorders>
      </w:tcPr>
    </w:tblStylePr>
  </w:style>
  <w:style w:type="table" w:styleId="ListTable3-Accent2">
    <w:name w:val="List Table 3 Accent 2"/>
    <w:basedOn w:val="TableNormal"/>
    <w:uiPriority w:val="48"/>
    <w:rsid w:val="006308D0"/>
    <w:pPr>
      <w:spacing w:line="240" w:lineRule="auto"/>
    </w:pPr>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6308D0"/>
    <w:pPr>
      <w:spacing w:line="240" w:lineRule="auto"/>
    </w:pPr>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6308D0"/>
    <w:pPr>
      <w:spacing w:line="240" w:lineRule="auto"/>
    </w:pPr>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6308D0"/>
    <w:pPr>
      <w:spacing w:line="240" w:lineRule="auto"/>
    </w:pPr>
    <w:tblPr>
      <w:tblStyleRowBandSize w:val="1"/>
      <w:tblStyleColBandSize w:val="1"/>
      <w:tblBorders>
        <w:top w:val="single" w:sz="4" w:space="0" w:color="231EDC" w:themeColor="accent5"/>
        <w:left w:val="single" w:sz="4" w:space="0" w:color="231EDC" w:themeColor="accent5"/>
        <w:bottom w:val="single" w:sz="4" w:space="0" w:color="231EDC" w:themeColor="accent5"/>
        <w:right w:val="single" w:sz="4" w:space="0" w:color="231EDC" w:themeColor="accent5"/>
      </w:tblBorders>
    </w:tblPr>
    <w:tblStylePr w:type="firstRow">
      <w:rPr>
        <w:b/>
        <w:bCs/>
        <w:color w:val="FFFFFF" w:themeColor="background1"/>
      </w:rPr>
      <w:tblPr/>
      <w:tcPr>
        <w:shd w:val="clear" w:color="auto" w:fill="231EDC" w:themeFill="accent5"/>
      </w:tcPr>
    </w:tblStylePr>
    <w:tblStylePr w:type="lastRow">
      <w:rPr>
        <w:b/>
        <w:bCs/>
      </w:rPr>
      <w:tblPr/>
      <w:tcPr>
        <w:tcBorders>
          <w:top w:val="double" w:sz="4" w:space="0" w:color="231ED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EDC" w:themeColor="accent5"/>
          <w:right w:val="single" w:sz="4" w:space="0" w:color="231EDC" w:themeColor="accent5"/>
        </w:tcBorders>
      </w:tcPr>
    </w:tblStylePr>
    <w:tblStylePr w:type="band1Horz">
      <w:tblPr/>
      <w:tcPr>
        <w:tcBorders>
          <w:top w:val="single" w:sz="4" w:space="0" w:color="231EDC" w:themeColor="accent5"/>
          <w:bottom w:val="single" w:sz="4" w:space="0" w:color="231ED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EDC" w:themeColor="accent5"/>
          <w:left w:val="nil"/>
        </w:tcBorders>
      </w:tcPr>
    </w:tblStylePr>
    <w:tblStylePr w:type="swCell">
      <w:tblPr/>
      <w:tcPr>
        <w:tcBorders>
          <w:top w:val="double" w:sz="4" w:space="0" w:color="231EDC" w:themeColor="accent5"/>
          <w:right w:val="nil"/>
        </w:tcBorders>
      </w:tcPr>
    </w:tblStylePr>
  </w:style>
  <w:style w:type="table" w:styleId="ListTable3-Accent6">
    <w:name w:val="List Table 3 Accent 6"/>
    <w:basedOn w:val="TableNormal"/>
    <w:uiPriority w:val="48"/>
    <w:rsid w:val="006308D0"/>
    <w:pPr>
      <w:spacing w:line="240" w:lineRule="auto"/>
    </w:pPr>
    <w:tblPr>
      <w:tblStyleRowBandSize w:val="1"/>
      <w:tblStyleColBandSize w:val="1"/>
      <w:tblBorders>
        <w:top w:val="single" w:sz="4" w:space="0" w:color="A5A5A5" w:themeColor="accent6"/>
        <w:left w:val="single" w:sz="4" w:space="0" w:color="A5A5A5" w:themeColor="accent6"/>
        <w:bottom w:val="single" w:sz="4" w:space="0" w:color="A5A5A5" w:themeColor="accent6"/>
        <w:right w:val="single" w:sz="4" w:space="0" w:color="A5A5A5" w:themeColor="accent6"/>
      </w:tblBorders>
    </w:tblPr>
    <w:tblStylePr w:type="firstRow">
      <w:rPr>
        <w:b/>
        <w:bCs/>
        <w:color w:val="FFFFFF" w:themeColor="background1"/>
      </w:rPr>
      <w:tblPr/>
      <w:tcPr>
        <w:shd w:val="clear" w:color="auto" w:fill="A5A5A5" w:themeFill="accent6"/>
      </w:tcPr>
    </w:tblStylePr>
    <w:tblStylePr w:type="lastRow">
      <w:rPr>
        <w:b/>
        <w:bCs/>
      </w:rPr>
      <w:tblPr/>
      <w:tcPr>
        <w:tcBorders>
          <w:top w:val="double" w:sz="4" w:space="0" w:color="A5A5A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6"/>
          <w:right w:val="single" w:sz="4" w:space="0" w:color="A5A5A5" w:themeColor="accent6"/>
        </w:tcBorders>
      </w:tcPr>
    </w:tblStylePr>
    <w:tblStylePr w:type="band1Horz">
      <w:tblPr/>
      <w:tcPr>
        <w:tcBorders>
          <w:top w:val="single" w:sz="4" w:space="0" w:color="A5A5A5" w:themeColor="accent6"/>
          <w:bottom w:val="single" w:sz="4" w:space="0" w:color="A5A5A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6"/>
          <w:left w:val="nil"/>
        </w:tcBorders>
      </w:tcPr>
    </w:tblStylePr>
    <w:tblStylePr w:type="swCell">
      <w:tblPr/>
      <w:tcPr>
        <w:tcBorders>
          <w:top w:val="double" w:sz="4" w:space="0" w:color="A5A5A5" w:themeColor="accent6"/>
          <w:right w:val="nil"/>
        </w:tcBorders>
      </w:tcPr>
    </w:tblStylePr>
  </w:style>
  <w:style w:type="table" w:styleId="ListTable4">
    <w:name w:val="List Table 4"/>
    <w:basedOn w:val="TableNormal"/>
    <w:uiPriority w:val="49"/>
    <w:rsid w:val="006308D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308D0"/>
    <w:pPr>
      <w:spacing w:line="240" w:lineRule="auto"/>
    </w:pPr>
    <w:tblPr>
      <w:tblStyleRowBandSize w:val="1"/>
      <w:tblStyleColBandSize w:val="1"/>
      <w:tblBorders>
        <w:top w:val="single" w:sz="4" w:space="0" w:color="18FFB4" w:themeColor="accent1" w:themeTint="99"/>
        <w:left w:val="single" w:sz="4" w:space="0" w:color="18FFB4" w:themeColor="accent1" w:themeTint="99"/>
        <w:bottom w:val="single" w:sz="4" w:space="0" w:color="18FFB4" w:themeColor="accent1" w:themeTint="99"/>
        <w:right w:val="single" w:sz="4" w:space="0" w:color="18FFB4" w:themeColor="accent1" w:themeTint="99"/>
        <w:insideH w:val="single" w:sz="4" w:space="0" w:color="18FFB4" w:themeColor="accent1" w:themeTint="99"/>
      </w:tblBorders>
    </w:tblPr>
    <w:tblStylePr w:type="firstRow">
      <w:rPr>
        <w:b/>
        <w:bCs/>
        <w:color w:val="FFFFFF" w:themeColor="background1"/>
      </w:rPr>
      <w:tblPr/>
      <w:tcPr>
        <w:tcBorders>
          <w:top w:val="single" w:sz="4" w:space="0" w:color="007D55" w:themeColor="accent1"/>
          <w:left w:val="single" w:sz="4" w:space="0" w:color="007D55" w:themeColor="accent1"/>
          <w:bottom w:val="single" w:sz="4" w:space="0" w:color="007D55" w:themeColor="accent1"/>
          <w:right w:val="single" w:sz="4" w:space="0" w:color="007D55" w:themeColor="accent1"/>
          <w:insideH w:val="nil"/>
        </w:tcBorders>
        <w:shd w:val="clear" w:color="auto" w:fill="007D55" w:themeFill="accent1"/>
      </w:tcPr>
    </w:tblStylePr>
    <w:tblStylePr w:type="lastRow">
      <w:rPr>
        <w:b/>
        <w:bCs/>
      </w:rPr>
      <w:tblPr/>
      <w:tcPr>
        <w:tcBorders>
          <w:top w:val="double" w:sz="4" w:space="0" w:color="18FFB4" w:themeColor="accent1" w:themeTint="99"/>
        </w:tcBorders>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ListTable4-Accent2">
    <w:name w:val="List Table 4 Accent 2"/>
    <w:basedOn w:val="TableNormal"/>
    <w:uiPriority w:val="49"/>
    <w:rsid w:val="006308D0"/>
    <w:pPr>
      <w:spacing w:line="240" w:lineRule="auto"/>
    </w:p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6308D0"/>
    <w:pPr>
      <w:spacing w:line="240" w:lineRule="auto"/>
    </w:p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6308D0"/>
    <w:pPr>
      <w:spacing w:line="240" w:lineRule="auto"/>
    </w:p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6308D0"/>
    <w:pPr>
      <w:spacing w:line="240" w:lineRule="auto"/>
    </w:pPr>
    <w:tblPr>
      <w:tblStyleRowBandSize w:val="1"/>
      <w:tblStyleColBandSize w:val="1"/>
      <w:tblBorders>
        <w:top w:val="single" w:sz="4" w:space="0" w:color="7875EC" w:themeColor="accent5" w:themeTint="99"/>
        <w:left w:val="single" w:sz="4" w:space="0" w:color="7875EC" w:themeColor="accent5" w:themeTint="99"/>
        <w:bottom w:val="single" w:sz="4" w:space="0" w:color="7875EC" w:themeColor="accent5" w:themeTint="99"/>
        <w:right w:val="single" w:sz="4" w:space="0" w:color="7875EC" w:themeColor="accent5" w:themeTint="99"/>
        <w:insideH w:val="single" w:sz="4" w:space="0" w:color="7875EC" w:themeColor="accent5" w:themeTint="99"/>
      </w:tblBorders>
    </w:tblPr>
    <w:tblStylePr w:type="firstRow">
      <w:rPr>
        <w:b/>
        <w:bCs/>
        <w:color w:val="FFFFFF" w:themeColor="background1"/>
      </w:rPr>
      <w:tblPr/>
      <w:tcPr>
        <w:tcBorders>
          <w:top w:val="single" w:sz="4" w:space="0" w:color="231EDC" w:themeColor="accent5"/>
          <w:left w:val="single" w:sz="4" w:space="0" w:color="231EDC" w:themeColor="accent5"/>
          <w:bottom w:val="single" w:sz="4" w:space="0" w:color="231EDC" w:themeColor="accent5"/>
          <w:right w:val="single" w:sz="4" w:space="0" w:color="231EDC" w:themeColor="accent5"/>
          <w:insideH w:val="nil"/>
        </w:tcBorders>
        <w:shd w:val="clear" w:color="auto" w:fill="231EDC" w:themeFill="accent5"/>
      </w:tcPr>
    </w:tblStylePr>
    <w:tblStylePr w:type="lastRow">
      <w:rPr>
        <w:b/>
        <w:bCs/>
      </w:rPr>
      <w:tblPr/>
      <w:tcPr>
        <w:tcBorders>
          <w:top w:val="double" w:sz="4" w:space="0" w:color="7875EC" w:themeColor="accent5" w:themeTint="99"/>
        </w:tcBorders>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ListTable4-Accent6">
    <w:name w:val="List Table 4 Accent 6"/>
    <w:basedOn w:val="TableNormal"/>
    <w:uiPriority w:val="49"/>
    <w:rsid w:val="006308D0"/>
    <w:pPr>
      <w:spacing w:line="240" w:lineRule="auto"/>
    </w:p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tblBorders>
    </w:tblPr>
    <w:tblStylePr w:type="firstRow">
      <w:rPr>
        <w:b/>
        <w:bCs/>
        <w:color w:val="FFFFFF" w:themeColor="background1"/>
      </w:rPr>
      <w:tblPr/>
      <w:tcPr>
        <w:tcBorders>
          <w:top w:val="single" w:sz="4" w:space="0" w:color="A5A5A5" w:themeColor="accent6"/>
          <w:left w:val="single" w:sz="4" w:space="0" w:color="A5A5A5" w:themeColor="accent6"/>
          <w:bottom w:val="single" w:sz="4" w:space="0" w:color="A5A5A5" w:themeColor="accent6"/>
          <w:right w:val="single" w:sz="4" w:space="0" w:color="A5A5A5" w:themeColor="accent6"/>
          <w:insideH w:val="nil"/>
        </w:tcBorders>
        <w:shd w:val="clear" w:color="auto" w:fill="A5A5A5" w:themeFill="accent6"/>
      </w:tcPr>
    </w:tblStylePr>
    <w:tblStylePr w:type="lastRow">
      <w:rPr>
        <w:b/>
        <w:bCs/>
      </w:rPr>
      <w:tblPr/>
      <w:tcPr>
        <w:tcBorders>
          <w:top w:val="doub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5Dark">
    <w:name w:val="List Table 5 Dark"/>
    <w:basedOn w:val="TableNormal"/>
    <w:uiPriority w:val="50"/>
    <w:rsid w:val="006308D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308D0"/>
    <w:pPr>
      <w:spacing w:line="240" w:lineRule="auto"/>
    </w:pPr>
    <w:rPr>
      <w:color w:val="FFFFFF" w:themeColor="background1"/>
    </w:rPr>
    <w:tblPr>
      <w:tblStyleRowBandSize w:val="1"/>
      <w:tblStyleColBandSize w:val="1"/>
      <w:tblBorders>
        <w:top w:val="single" w:sz="24" w:space="0" w:color="007D55" w:themeColor="accent1"/>
        <w:left w:val="single" w:sz="24" w:space="0" w:color="007D55" w:themeColor="accent1"/>
        <w:bottom w:val="single" w:sz="24" w:space="0" w:color="007D55" w:themeColor="accent1"/>
        <w:right w:val="single" w:sz="24" w:space="0" w:color="007D55" w:themeColor="accent1"/>
      </w:tblBorders>
    </w:tblPr>
    <w:tcPr>
      <w:shd w:val="clear" w:color="auto" w:fill="007D5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308D0"/>
    <w:pPr>
      <w:spacing w:line="240" w:lineRule="auto"/>
    </w:pPr>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308D0"/>
    <w:pPr>
      <w:spacing w:line="240" w:lineRule="auto"/>
    </w:pPr>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308D0"/>
    <w:pPr>
      <w:spacing w:line="240" w:lineRule="auto"/>
    </w:pPr>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308D0"/>
    <w:pPr>
      <w:spacing w:line="240" w:lineRule="auto"/>
    </w:pPr>
    <w:rPr>
      <w:color w:val="FFFFFF" w:themeColor="background1"/>
    </w:rPr>
    <w:tblPr>
      <w:tblStyleRowBandSize w:val="1"/>
      <w:tblStyleColBandSize w:val="1"/>
      <w:tblBorders>
        <w:top w:val="single" w:sz="24" w:space="0" w:color="231EDC" w:themeColor="accent5"/>
        <w:left w:val="single" w:sz="24" w:space="0" w:color="231EDC" w:themeColor="accent5"/>
        <w:bottom w:val="single" w:sz="24" w:space="0" w:color="231EDC" w:themeColor="accent5"/>
        <w:right w:val="single" w:sz="24" w:space="0" w:color="231EDC" w:themeColor="accent5"/>
      </w:tblBorders>
    </w:tblPr>
    <w:tcPr>
      <w:shd w:val="clear" w:color="auto" w:fill="231ED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308D0"/>
    <w:pPr>
      <w:spacing w:line="240" w:lineRule="auto"/>
    </w:pPr>
    <w:rPr>
      <w:color w:val="FFFFFF" w:themeColor="background1"/>
    </w:rPr>
    <w:tblPr>
      <w:tblStyleRowBandSize w:val="1"/>
      <w:tblStyleColBandSize w:val="1"/>
      <w:tblBorders>
        <w:top w:val="single" w:sz="24" w:space="0" w:color="A5A5A5" w:themeColor="accent6"/>
        <w:left w:val="single" w:sz="24" w:space="0" w:color="A5A5A5" w:themeColor="accent6"/>
        <w:bottom w:val="single" w:sz="24" w:space="0" w:color="A5A5A5" w:themeColor="accent6"/>
        <w:right w:val="single" w:sz="24" w:space="0" w:color="A5A5A5" w:themeColor="accent6"/>
      </w:tblBorders>
    </w:tblPr>
    <w:tcPr>
      <w:shd w:val="clear" w:color="auto" w:fill="A5A5A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308D0"/>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308D0"/>
    <w:pPr>
      <w:spacing w:line="240" w:lineRule="auto"/>
    </w:pPr>
    <w:rPr>
      <w:color w:val="005D3F" w:themeColor="accent1" w:themeShade="BF"/>
    </w:rPr>
    <w:tblPr>
      <w:tblStyleRowBandSize w:val="1"/>
      <w:tblStyleColBandSize w:val="1"/>
      <w:tblBorders>
        <w:top w:val="single" w:sz="4" w:space="0" w:color="007D55" w:themeColor="accent1"/>
        <w:bottom w:val="single" w:sz="4" w:space="0" w:color="007D55" w:themeColor="accent1"/>
      </w:tblBorders>
    </w:tblPr>
    <w:tblStylePr w:type="firstRow">
      <w:rPr>
        <w:b/>
        <w:bCs/>
      </w:rPr>
      <w:tblPr/>
      <w:tcPr>
        <w:tcBorders>
          <w:bottom w:val="single" w:sz="4" w:space="0" w:color="007D55" w:themeColor="accent1"/>
        </w:tcBorders>
      </w:tcPr>
    </w:tblStylePr>
    <w:tblStylePr w:type="lastRow">
      <w:rPr>
        <w:b/>
        <w:bCs/>
      </w:rPr>
      <w:tblPr/>
      <w:tcPr>
        <w:tcBorders>
          <w:top w:val="double" w:sz="4" w:space="0" w:color="007D55" w:themeColor="accent1"/>
        </w:tcBorders>
      </w:tcPr>
    </w:tblStylePr>
    <w:tblStylePr w:type="firstCol">
      <w:rPr>
        <w:b/>
        <w:bCs/>
      </w:rPr>
    </w:tblStylePr>
    <w:tblStylePr w:type="lastCol">
      <w:rPr>
        <w:b/>
        <w:bCs/>
      </w:rPr>
    </w:tblStylePr>
    <w:tblStylePr w:type="band1Vert">
      <w:tblPr/>
      <w:tcPr>
        <w:shd w:val="clear" w:color="auto" w:fill="B2FFE6" w:themeFill="accent1" w:themeFillTint="33"/>
      </w:tcPr>
    </w:tblStylePr>
    <w:tblStylePr w:type="band1Horz">
      <w:tblPr/>
      <w:tcPr>
        <w:shd w:val="clear" w:color="auto" w:fill="B2FFE6" w:themeFill="accent1" w:themeFillTint="33"/>
      </w:tcPr>
    </w:tblStylePr>
  </w:style>
  <w:style w:type="table" w:styleId="ListTable6Colorful-Accent2">
    <w:name w:val="List Table 6 Colorful Accent 2"/>
    <w:basedOn w:val="TableNormal"/>
    <w:uiPriority w:val="51"/>
    <w:rsid w:val="006308D0"/>
    <w:pPr>
      <w:spacing w:line="240" w:lineRule="auto"/>
    </w:pPr>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6308D0"/>
    <w:pPr>
      <w:spacing w:line="240" w:lineRule="auto"/>
    </w:pPr>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6308D0"/>
    <w:pPr>
      <w:spacing w:line="240" w:lineRule="auto"/>
    </w:pPr>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6308D0"/>
    <w:pPr>
      <w:spacing w:line="240" w:lineRule="auto"/>
    </w:pPr>
    <w:rPr>
      <w:color w:val="1916A4" w:themeColor="accent5" w:themeShade="BF"/>
    </w:rPr>
    <w:tblPr>
      <w:tblStyleRowBandSize w:val="1"/>
      <w:tblStyleColBandSize w:val="1"/>
      <w:tblBorders>
        <w:top w:val="single" w:sz="4" w:space="0" w:color="231EDC" w:themeColor="accent5"/>
        <w:bottom w:val="single" w:sz="4" w:space="0" w:color="231EDC" w:themeColor="accent5"/>
      </w:tblBorders>
    </w:tblPr>
    <w:tblStylePr w:type="firstRow">
      <w:rPr>
        <w:b/>
        <w:bCs/>
      </w:rPr>
      <w:tblPr/>
      <w:tcPr>
        <w:tcBorders>
          <w:bottom w:val="single" w:sz="4" w:space="0" w:color="231EDC" w:themeColor="accent5"/>
        </w:tcBorders>
      </w:tcPr>
    </w:tblStylePr>
    <w:tblStylePr w:type="lastRow">
      <w:rPr>
        <w:b/>
        <w:bCs/>
      </w:rPr>
      <w:tblPr/>
      <w:tcPr>
        <w:tcBorders>
          <w:top w:val="double" w:sz="4" w:space="0" w:color="231EDC" w:themeColor="accent5"/>
        </w:tcBorders>
      </w:tcPr>
    </w:tblStylePr>
    <w:tblStylePr w:type="firstCol">
      <w:rPr>
        <w:b/>
        <w:bCs/>
      </w:rPr>
    </w:tblStylePr>
    <w:tblStylePr w:type="lastCol">
      <w:rPr>
        <w:b/>
        <w:bCs/>
      </w:rPr>
    </w:tblStylePr>
    <w:tblStylePr w:type="band1Vert">
      <w:tblPr/>
      <w:tcPr>
        <w:shd w:val="clear" w:color="auto" w:fill="D2D1F8" w:themeFill="accent5" w:themeFillTint="33"/>
      </w:tcPr>
    </w:tblStylePr>
    <w:tblStylePr w:type="band1Horz">
      <w:tblPr/>
      <w:tcPr>
        <w:shd w:val="clear" w:color="auto" w:fill="D2D1F8" w:themeFill="accent5" w:themeFillTint="33"/>
      </w:tcPr>
    </w:tblStylePr>
  </w:style>
  <w:style w:type="table" w:styleId="ListTable6Colorful-Accent6">
    <w:name w:val="List Table 6 Colorful Accent 6"/>
    <w:basedOn w:val="TableNormal"/>
    <w:uiPriority w:val="51"/>
    <w:rsid w:val="006308D0"/>
    <w:pPr>
      <w:spacing w:line="240" w:lineRule="auto"/>
    </w:pPr>
    <w:rPr>
      <w:color w:val="7B7B7B" w:themeColor="accent6" w:themeShade="BF"/>
    </w:rPr>
    <w:tblPr>
      <w:tblStyleRowBandSize w:val="1"/>
      <w:tblStyleColBandSize w:val="1"/>
      <w:tblBorders>
        <w:top w:val="single" w:sz="4" w:space="0" w:color="A5A5A5" w:themeColor="accent6"/>
        <w:bottom w:val="single" w:sz="4" w:space="0" w:color="A5A5A5" w:themeColor="accent6"/>
      </w:tblBorders>
    </w:tblPr>
    <w:tblStylePr w:type="firstRow">
      <w:rPr>
        <w:b/>
        <w:bCs/>
      </w:rPr>
      <w:tblPr/>
      <w:tcPr>
        <w:tcBorders>
          <w:bottom w:val="single" w:sz="4" w:space="0" w:color="A5A5A5" w:themeColor="accent6"/>
        </w:tcBorders>
      </w:tcPr>
    </w:tblStylePr>
    <w:tblStylePr w:type="lastRow">
      <w:rPr>
        <w:b/>
        <w:bCs/>
      </w:rPr>
      <w:tblPr/>
      <w:tcPr>
        <w:tcBorders>
          <w:top w:val="double" w:sz="4" w:space="0" w:color="A5A5A5" w:themeColor="accent6"/>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7Colorful">
    <w:name w:val="List Table 7 Colorful"/>
    <w:basedOn w:val="TableNormal"/>
    <w:uiPriority w:val="52"/>
    <w:rsid w:val="006308D0"/>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308D0"/>
    <w:pPr>
      <w:spacing w:line="240" w:lineRule="auto"/>
    </w:pPr>
    <w:rPr>
      <w:color w:val="005D3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1"/>
        </w:tcBorders>
        <w:shd w:val="clear" w:color="auto" w:fill="FFFFFF" w:themeFill="background1"/>
      </w:tcPr>
    </w:tblStylePr>
    <w:tblStylePr w:type="band1Vert">
      <w:tblPr/>
      <w:tcPr>
        <w:shd w:val="clear" w:color="auto" w:fill="B2FFE6" w:themeFill="accent1" w:themeFillTint="33"/>
      </w:tcPr>
    </w:tblStylePr>
    <w:tblStylePr w:type="band1Horz">
      <w:tblPr/>
      <w:tcPr>
        <w:shd w:val="clear" w:color="auto" w:fill="B2FFE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308D0"/>
    <w:pPr>
      <w:spacing w:line="240" w:lineRule="auto"/>
    </w:pPr>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308D0"/>
    <w:pPr>
      <w:spacing w:line="240" w:lineRule="auto"/>
    </w:pPr>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308D0"/>
    <w:pPr>
      <w:spacing w:line="240" w:lineRule="auto"/>
    </w:pPr>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308D0"/>
    <w:pPr>
      <w:spacing w:line="240" w:lineRule="auto"/>
    </w:pPr>
    <w:rPr>
      <w:color w:val="1916A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ED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ED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ED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EDC" w:themeColor="accent5"/>
        </w:tcBorders>
        <w:shd w:val="clear" w:color="auto" w:fill="FFFFFF" w:themeFill="background1"/>
      </w:tcPr>
    </w:tblStylePr>
    <w:tblStylePr w:type="band1Vert">
      <w:tblPr/>
      <w:tcPr>
        <w:shd w:val="clear" w:color="auto" w:fill="D2D1F8" w:themeFill="accent5" w:themeFillTint="33"/>
      </w:tcPr>
    </w:tblStylePr>
    <w:tblStylePr w:type="band1Horz">
      <w:tblPr/>
      <w:tcPr>
        <w:shd w:val="clear" w:color="auto" w:fill="D2D1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308D0"/>
    <w:pPr>
      <w:spacing w:line="240" w:lineRule="auto"/>
    </w:pPr>
    <w:rPr>
      <w:color w:val="7B7B7B"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6"/>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308D0"/>
    <w:pPr>
      <w:tabs>
        <w:tab w:val="left" w:pos="480"/>
        <w:tab w:val="left" w:pos="960"/>
        <w:tab w:val="left" w:pos="1440"/>
        <w:tab w:val="left" w:pos="1920"/>
        <w:tab w:val="left" w:pos="2400"/>
        <w:tab w:val="left" w:pos="2880"/>
        <w:tab w:val="left" w:pos="3360"/>
        <w:tab w:val="left" w:pos="3840"/>
        <w:tab w:val="left" w:pos="4320"/>
      </w:tabs>
      <w:spacing w:line="240" w:lineRule="auto"/>
    </w:pPr>
    <w:rPr>
      <w:rFonts w:ascii="Consolas" w:hAnsi="Consolas"/>
    </w:rPr>
  </w:style>
  <w:style w:type="character" w:customStyle="1" w:styleId="MacroTextChar">
    <w:name w:val="Macro Text Char"/>
    <w:basedOn w:val="DefaultParagraphFont"/>
    <w:link w:val="MacroText"/>
    <w:uiPriority w:val="99"/>
    <w:semiHidden/>
    <w:rsid w:val="006308D0"/>
    <w:rPr>
      <w:rFonts w:ascii="Consolas" w:hAnsi="Consolas"/>
    </w:rPr>
  </w:style>
  <w:style w:type="table" w:styleId="MediumGrid1">
    <w:name w:val="Medium Grid 1"/>
    <w:basedOn w:val="TableNormal"/>
    <w:uiPriority w:val="67"/>
    <w:semiHidden/>
    <w:unhideWhenUsed/>
    <w:rsid w:val="006308D0"/>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308D0"/>
    <w:pPr>
      <w:spacing w:line="240" w:lineRule="auto"/>
    </w:pPr>
    <w:tblPr>
      <w:tblStyleRowBandSize w:val="1"/>
      <w:tblStyleColBandSize w:val="1"/>
      <w:tblBorders>
        <w:top w:val="single" w:sz="8" w:space="0" w:color="00DD96" w:themeColor="accent1" w:themeTint="BF"/>
        <w:left w:val="single" w:sz="8" w:space="0" w:color="00DD96" w:themeColor="accent1" w:themeTint="BF"/>
        <w:bottom w:val="single" w:sz="8" w:space="0" w:color="00DD96" w:themeColor="accent1" w:themeTint="BF"/>
        <w:right w:val="single" w:sz="8" w:space="0" w:color="00DD96" w:themeColor="accent1" w:themeTint="BF"/>
        <w:insideH w:val="single" w:sz="8" w:space="0" w:color="00DD96" w:themeColor="accent1" w:themeTint="BF"/>
        <w:insideV w:val="single" w:sz="8" w:space="0" w:color="00DD96" w:themeColor="accent1" w:themeTint="BF"/>
      </w:tblBorders>
    </w:tblPr>
    <w:tcPr>
      <w:shd w:val="clear" w:color="auto" w:fill="9FFFE0" w:themeFill="accent1" w:themeFillTint="3F"/>
    </w:tcPr>
    <w:tblStylePr w:type="firstRow">
      <w:rPr>
        <w:b/>
        <w:bCs/>
      </w:rPr>
    </w:tblStylePr>
    <w:tblStylePr w:type="lastRow">
      <w:rPr>
        <w:b/>
        <w:bCs/>
      </w:rPr>
      <w:tblPr/>
      <w:tcPr>
        <w:tcBorders>
          <w:top w:val="single" w:sz="18" w:space="0" w:color="00DD96" w:themeColor="accent1" w:themeTint="BF"/>
        </w:tcBorders>
      </w:tcPr>
    </w:tblStylePr>
    <w:tblStylePr w:type="firstCol">
      <w:rPr>
        <w:b/>
        <w:bCs/>
      </w:rPr>
    </w:tblStylePr>
    <w:tblStylePr w:type="lastCol">
      <w:rPr>
        <w:b/>
        <w:bCs/>
      </w:rPr>
    </w:tblStylePr>
    <w:tblStylePr w:type="band1Vert">
      <w:tblPr/>
      <w:tcPr>
        <w:shd w:val="clear" w:color="auto" w:fill="3FFFC1" w:themeFill="accent1" w:themeFillTint="7F"/>
      </w:tcPr>
    </w:tblStylePr>
    <w:tblStylePr w:type="band1Horz">
      <w:tblPr/>
      <w:tcPr>
        <w:shd w:val="clear" w:color="auto" w:fill="3FFFC1" w:themeFill="accent1" w:themeFillTint="7F"/>
      </w:tcPr>
    </w:tblStylePr>
  </w:style>
  <w:style w:type="table" w:styleId="MediumGrid1-Accent2">
    <w:name w:val="Medium Grid 1 Accent 2"/>
    <w:basedOn w:val="TableNormal"/>
    <w:uiPriority w:val="67"/>
    <w:semiHidden/>
    <w:unhideWhenUsed/>
    <w:rsid w:val="006308D0"/>
    <w:pPr>
      <w:spacing w:line="240" w:lineRule="auto"/>
    </w:pPr>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6308D0"/>
    <w:pPr>
      <w:spacing w:line="240" w:lineRule="auto"/>
    </w:pPr>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6308D0"/>
    <w:pPr>
      <w:spacing w:line="240" w:lineRule="auto"/>
    </w:pPr>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6308D0"/>
    <w:pPr>
      <w:spacing w:line="240" w:lineRule="auto"/>
    </w:pPr>
    <w:tblPr>
      <w:tblStyleRowBandSize w:val="1"/>
      <w:tblStyleColBandSize w:val="1"/>
      <w:tblBorders>
        <w:top w:val="single" w:sz="8" w:space="0" w:color="5653E7" w:themeColor="accent5" w:themeTint="BF"/>
        <w:left w:val="single" w:sz="8" w:space="0" w:color="5653E7" w:themeColor="accent5" w:themeTint="BF"/>
        <w:bottom w:val="single" w:sz="8" w:space="0" w:color="5653E7" w:themeColor="accent5" w:themeTint="BF"/>
        <w:right w:val="single" w:sz="8" w:space="0" w:color="5653E7" w:themeColor="accent5" w:themeTint="BF"/>
        <w:insideH w:val="single" w:sz="8" w:space="0" w:color="5653E7" w:themeColor="accent5" w:themeTint="BF"/>
        <w:insideV w:val="single" w:sz="8" w:space="0" w:color="5653E7" w:themeColor="accent5" w:themeTint="BF"/>
      </w:tblBorders>
    </w:tblPr>
    <w:tcPr>
      <w:shd w:val="clear" w:color="auto" w:fill="C7C6F7" w:themeFill="accent5" w:themeFillTint="3F"/>
    </w:tcPr>
    <w:tblStylePr w:type="firstRow">
      <w:rPr>
        <w:b/>
        <w:bCs/>
      </w:rPr>
    </w:tblStylePr>
    <w:tblStylePr w:type="lastRow">
      <w:rPr>
        <w:b/>
        <w:bCs/>
      </w:rPr>
      <w:tblPr/>
      <w:tcPr>
        <w:tcBorders>
          <w:top w:val="single" w:sz="18" w:space="0" w:color="5653E7" w:themeColor="accent5" w:themeTint="BF"/>
        </w:tcBorders>
      </w:tcPr>
    </w:tblStylePr>
    <w:tblStylePr w:type="firstCol">
      <w:rPr>
        <w:b/>
        <w:bCs/>
      </w:rPr>
    </w:tblStylePr>
    <w:tblStylePr w:type="lastCol">
      <w:rPr>
        <w:b/>
        <w:bCs/>
      </w:rPr>
    </w:tblStylePr>
    <w:tblStylePr w:type="band1Vert">
      <w:tblPr/>
      <w:tcPr>
        <w:shd w:val="clear" w:color="auto" w:fill="8F8CEF" w:themeFill="accent5" w:themeFillTint="7F"/>
      </w:tcPr>
    </w:tblStylePr>
    <w:tblStylePr w:type="band1Horz">
      <w:tblPr/>
      <w:tcPr>
        <w:shd w:val="clear" w:color="auto" w:fill="8F8CEF" w:themeFill="accent5" w:themeFillTint="7F"/>
      </w:tcPr>
    </w:tblStylePr>
  </w:style>
  <w:style w:type="table" w:styleId="MediumGrid1-Accent6">
    <w:name w:val="Medium Grid 1 Accent 6"/>
    <w:basedOn w:val="TableNormal"/>
    <w:uiPriority w:val="67"/>
    <w:semiHidden/>
    <w:unhideWhenUsed/>
    <w:rsid w:val="006308D0"/>
    <w:pPr>
      <w:spacing w:line="240" w:lineRule="auto"/>
    </w:pPr>
    <w:tblPr>
      <w:tblStyleRowBandSize w:val="1"/>
      <w:tblStyleColBandSize w:val="1"/>
      <w:tbl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single" w:sz="8" w:space="0" w:color="BBBBBB" w:themeColor="accent6" w:themeTint="BF"/>
        <w:insideV w:val="single" w:sz="8" w:space="0" w:color="BBBBBB" w:themeColor="accent6" w:themeTint="BF"/>
      </w:tblBorders>
    </w:tblPr>
    <w:tcPr>
      <w:shd w:val="clear" w:color="auto" w:fill="E8E8E8" w:themeFill="accent6" w:themeFillTint="3F"/>
    </w:tcPr>
    <w:tblStylePr w:type="firstRow">
      <w:rPr>
        <w:b/>
        <w:bCs/>
      </w:rPr>
    </w:tblStylePr>
    <w:tblStylePr w:type="lastRow">
      <w:rPr>
        <w:b/>
        <w:bCs/>
      </w:rPr>
      <w:tblPr/>
      <w:tcPr>
        <w:tcBorders>
          <w:top w:val="single" w:sz="18" w:space="0" w:color="BBBBBB" w:themeColor="accent6" w:themeTint="BF"/>
        </w:tcBorders>
      </w:tcPr>
    </w:tblStylePr>
    <w:tblStylePr w:type="firstCol">
      <w:rPr>
        <w:b/>
        <w:bCs/>
      </w:rPr>
    </w:tblStylePr>
    <w:tblStylePr w:type="lastCol">
      <w:rPr>
        <w:b/>
        <w:bCs/>
      </w:rPr>
    </w:tblStylePr>
    <w:tblStylePr w:type="band1Vert">
      <w:tblPr/>
      <w:tcPr>
        <w:shd w:val="clear" w:color="auto" w:fill="D2D2D2" w:themeFill="accent6" w:themeFillTint="7F"/>
      </w:tcPr>
    </w:tblStylePr>
    <w:tblStylePr w:type="band1Horz">
      <w:tblPr/>
      <w:tcPr>
        <w:shd w:val="clear" w:color="auto" w:fill="D2D2D2" w:themeFill="accent6" w:themeFillTint="7F"/>
      </w:tcPr>
    </w:tblStylePr>
  </w:style>
  <w:style w:type="table" w:styleId="MediumGrid2">
    <w:name w:val="Medium Grid 2"/>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007D55" w:themeColor="accent1"/>
        <w:left w:val="single" w:sz="8" w:space="0" w:color="007D55" w:themeColor="accent1"/>
        <w:bottom w:val="single" w:sz="8" w:space="0" w:color="007D55" w:themeColor="accent1"/>
        <w:right w:val="single" w:sz="8" w:space="0" w:color="007D55" w:themeColor="accent1"/>
        <w:insideH w:val="single" w:sz="8" w:space="0" w:color="007D55" w:themeColor="accent1"/>
        <w:insideV w:val="single" w:sz="8" w:space="0" w:color="007D55" w:themeColor="accent1"/>
      </w:tblBorders>
    </w:tblPr>
    <w:tcPr>
      <w:shd w:val="clear" w:color="auto" w:fill="9FFFE0" w:themeFill="accent1" w:themeFillTint="3F"/>
    </w:tcPr>
    <w:tblStylePr w:type="firstRow">
      <w:rPr>
        <w:b/>
        <w:bCs/>
        <w:color w:val="000000" w:themeColor="text1"/>
      </w:rPr>
      <w:tblPr/>
      <w:tcPr>
        <w:shd w:val="clear" w:color="auto" w:fill="D9FFF2"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1" w:themeFillTint="33"/>
      </w:tcPr>
    </w:tblStylePr>
    <w:tblStylePr w:type="band1Vert">
      <w:tblPr/>
      <w:tcPr>
        <w:shd w:val="clear" w:color="auto" w:fill="3FFFC1" w:themeFill="accent1" w:themeFillTint="7F"/>
      </w:tcPr>
    </w:tblStylePr>
    <w:tblStylePr w:type="band1Horz">
      <w:tblPr/>
      <w:tcPr>
        <w:tcBorders>
          <w:insideH w:val="single" w:sz="6" w:space="0" w:color="007D55" w:themeColor="accent1"/>
          <w:insideV w:val="single" w:sz="6" w:space="0" w:color="007D55" w:themeColor="accent1"/>
        </w:tcBorders>
        <w:shd w:val="clear" w:color="auto" w:fill="3FFFC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231EDC" w:themeColor="accent5"/>
        <w:left w:val="single" w:sz="8" w:space="0" w:color="231EDC" w:themeColor="accent5"/>
        <w:bottom w:val="single" w:sz="8" w:space="0" w:color="231EDC" w:themeColor="accent5"/>
        <w:right w:val="single" w:sz="8" w:space="0" w:color="231EDC" w:themeColor="accent5"/>
        <w:insideH w:val="single" w:sz="8" w:space="0" w:color="231EDC" w:themeColor="accent5"/>
        <w:insideV w:val="single" w:sz="8" w:space="0" w:color="231EDC" w:themeColor="accent5"/>
      </w:tblBorders>
    </w:tblPr>
    <w:tcPr>
      <w:shd w:val="clear" w:color="auto" w:fill="C7C6F7" w:themeFill="accent5" w:themeFillTint="3F"/>
    </w:tcPr>
    <w:tblStylePr w:type="firstRow">
      <w:rPr>
        <w:b/>
        <w:bCs/>
        <w:color w:val="000000" w:themeColor="text1"/>
      </w:rPr>
      <w:tblPr/>
      <w:tcPr>
        <w:shd w:val="clear" w:color="auto" w:fill="E8E8F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2D1F8" w:themeFill="accent5" w:themeFillTint="33"/>
      </w:tcPr>
    </w:tblStylePr>
    <w:tblStylePr w:type="band1Vert">
      <w:tblPr/>
      <w:tcPr>
        <w:shd w:val="clear" w:color="auto" w:fill="8F8CEF" w:themeFill="accent5" w:themeFillTint="7F"/>
      </w:tcPr>
    </w:tblStylePr>
    <w:tblStylePr w:type="band1Horz">
      <w:tblPr/>
      <w:tcPr>
        <w:tcBorders>
          <w:insideH w:val="single" w:sz="6" w:space="0" w:color="231EDC" w:themeColor="accent5"/>
          <w:insideV w:val="single" w:sz="6" w:space="0" w:color="231EDC" w:themeColor="accent5"/>
        </w:tcBorders>
        <w:shd w:val="clear" w:color="auto" w:fill="8F8CE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insideH w:val="single" w:sz="8" w:space="0" w:color="A5A5A5" w:themeColor="accent6"/>
        <w:insideV w:val="single" w:sz="8" w:space="0" w:color="A5A5A5" w:themeColor="accent6"/>
      </w:tblBorders>
    </w:tblPr>
    <w:tcPr>
      <w:shd w:val="clear" w:color="auto" w:fill="E8E8E8" w:themeFill="accent6" w:themeFillTint="3F"/>
    </w:tcPr>
    <w:tblStylePr w:type="firstRow">
      <w:rPr>
        <w:b/>
        <w:bCs/>
        <w:color w:val="000000" w:themeColor="text1"/>
      </w:rPr>
      <w:tblPr/>
      <w:tcPr>
        <w:shd w:val="clear" w:color="auto" w:fill="F6F6F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6" w:themeFillTint="33"/>
      </w:tcPr>
    </w:tblStylePr>
    <w:tblStylePr w:type="band1Vert">
      <w:tblPr/>
      <w:tcPr>
        <w:shd w:val="clear" w:color="auto" w:fill="D2D2D2" w:themeFill="accent6" w:themeFillTint="7F"/>
      </w:tcPr>
    </w:tblStylePr>
    <w:tblStylePr w:type="band1Horz">
      <w:tblPr/>
      <w:tcPr>
        <w:tcBorders>
          <w:insideH w:val="single" w:sz="6" w:space="0" w:color="A5A5A5" w:themeColor="accent6"/>
          <w:insideV w:val="single" w:sz="6" w:space="0" w:color="A5A5A5" w:themeColor="accent6"/>
        </w:tcBorders>
        <w:shd w:val="clear" w:color="auto" w:fill="D2D2D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1" w:themeFillTint="7F"/>
      </w:tcPr>
    </w:tblStylePr>
  </w:style>
  <w:style w:type="table" w:styleId="MediumGrid3-Accent2">
    <w:name w:val="Medium Grid 3 Accent 2"/>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6F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ED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ED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ED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ED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F8CE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F8CEF" w:themeFill="accent5" w:themeFillTint="7F"/>
      </w:tcPr>
    </w:tblStylePr>
  </w:style>
  <w:style w:type="table" w:styleId="MediumGrid3-Accent6">
    <w:name w:val="Medium Grid 3 Accent 6"/>
    <w:basedOn w:val="TableNormal"/>
    <w:uiPriority w:val="69"/>
    <w:semiHidden/>
    <w:unhideWhenUsed/>
    <w:rsid w:val="006308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6" w:themeFillTint="7F"/>
      </w:tcPr>
    </w:tblStylePr>
  </w:style>
  <w:style w:type="table" w:styleId="MediumList1">
    <w:name w:val="Medium List 1"/>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007D55" w:themeColor="accent1"/>
        <w:bottom w:val="single" w:sz="8" w:space="0" w:color="007D55" w:themeColor="accent1"/>
      </w:tblBorders>
    </w:tblPr>
    <w:tblStylePr w:type="firstRow">
      <w:rPr>
        <w:rFonts w:asciiTheme="majorHAnsi" w:eastAsiaTheme="majorEastAsia" w:hAnsiTheme="majorHAnsi" w:cstheme="majorBidi"/>
      </w:rPr>
      <w:tblPr/>
      <w:tcPr>
        <w:tcBorders>
          <w:top w:val="nil"/>
          <w:bottom w:val="single" w:sz="8" w:space="0" w:color="007D55" w:themeColor="accent1"/>
        </w:tcBorders>
      </w:tcPr>
    </w:tblStylePr>
    <w:tblStylePr w:type="lastRow">
      <w:rPr>
        <w:b/>
        <w:bCs/>
        <w:color w:val="333333" w:themeColor="text2"/>
      </w:rPr>
      <w:tblPr/>
      <w:tcPr>
        <w:tcBorders>
          <w:top w:val="single" w:sz="8" w:space="0" w:color="007D55" w:themeColor="accent1"/>
          <w:bottom w:val="single" w:sz="8" w:space="0" w:color="007D55" w:themeColor="accent1"/>
        </w:tcBorders>
      </w:tcPr>
    </w:tblStylePr>
    <w:tblStylePr w:type="firstCol">
      <w:rPr>
        <w:b/>
        <w:bCs/>
      </w:rPr>
    </w:tblStylePr>
    <w:tblStylePr w:type="lastCol">
      <w:rPr>
        <w:b/>
        <w:bCs/>
      </w:rPr>
      <w:tblPr/>
      <w:tcPr>
        <w:tcBorders>
          <w:top w:val="single" w:sz="8" w:space="0" w:color="007D55" w:themeColor="accent1"/>
          <w:bottom w:val="single" w:sz="8" w:space="0" w:color="007D55" w:themeColor="accent1"/>
        </w:tcBorders>
      </w:tcPr>
    </w:tblStylePr>
    <w:tblStylePr w:type="band1Vert">
      <w:tblPr/>
      <w:tcPr>
        <w:shd w:val="clear" w:color="auto" w:fill="9FFFE0" w:themeFill="accent1" w:themeFillTint="3F"/>
      </w:tcPr>
    </w:tblStylePr>
    <w:tblStylePr w:type="band1Horz">
      <w:tblPr/>
      <w:tcPr>
        <w:shd w:val="clear" w:color="auto" w:fill="9FFFE0" w:themeFill="accent1" w:themeFillTint="3F"/>
      </w:tcPr>
    </w:tblStylePr>
  </w:style>
  <w:style w:type="table" w:styleId="MediumList1-Accent2">
    <w:name w:val="Medium List 1 Accent 2"/>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231EDC" w:themeColor="accent5"/>
        <w:bottom w:val="single" w:sz="8" w:space="0" w:color="231EDC" w:themeColor="accent5"/>
      </w:tblBorders>
    </w:tblPr>
    <w:tblStylePr w:type="firstRow">
      <w:rPr>
        <w:rFonts w:asciiTheme="majorHAnsi" w:eastAsiaTheme="majorEastAsia" w:hAnsiTheme="majorHAnsi" w:cstheme="majorBidi"/>
      </w:rPr>
      <w:tblPr/>
      <w:tcPr>
        <w:tcBorders>
          <w:top w:val="nil"/>
          <w:bottom w:val="single" w:sz="8" w:space="0" w:color="231EDC" w:themeColor="accent5"/>
        </w:tcBorders>
      </w:tcPr>
    </w:tblStylePr>
    <w:tblStylePr w:type="lastRow">
      <w:rPr>
        <w:b/>
        <w:bCs/>
        <w:color w:val="333333" w:themeColor="text2"/>
      </w:rPr>
      <w:tblPr/>
      <w:tcPr>
        <w:tcBorders>
          <w:top w:val="single" w:sz="8" w:space="0" w:color="231EDC" w:themeColor="accent5"/>
          <w:bottom w:val="single" w:sz="8" w:space="0" w:color="231EDC" w:themeColor="accent5"/>
        </w:tcBorders>
      </w:tcPr>
    </w:tblStylePr>
    <w:tblStylePr w:type="firstCol">
      <w:rPr>
        <w:b/>
        <w:bCs/>
      </w:rPr>
    </w:tblStylePr>
    <w:tblStylePr w:type="lastCol">
      <w:rPr>
        <w:b/>
        <w:bCs/>
      </w:rPr>
      <w:tblPr/>
      <w:tcPr>
        <w:tcBorders>
          <w:top w:val="single" w:sz="8" w:space="0" w:color="231EDC" w:themeColor="accent5"/>
          <w:bottom w:val="single" w:sz="8" w:space="0" w:color="231EDC" w:themeColor="accent5"/>
        </w:tcBorders>
      </w:tcPr>
    </w:tblStylePr>
    <w:tblStylePr w:type="band1Vert">
      <w:tblPr/>
      <w:tcPr>
        <w:shd w:val="clear" w:color="auto" w:fill="C7C6F7" w:themeFill="accent5" w:themeFillTint="3F"/>
      </w:tcPr>
    </w:tblStylePr>
    <w:tblStylePr w:type="band1Horz">
      <w:tblPr/>
      <w:tcPr>
        <w:shd w:val="clear" w:color="auto" w:fill="C7C6F7" w:themeFill="accent5" w:themeFillTint="3F"/>
      </w:tcPr>
    </w:tblStylePr>
  </w:style>
  <w:style w:type="table" w:styleId="MediumList1-Accent6">
    <w:name w:val="Medium List 1 Accent 6"/>
    <w:basedOn w:val="TableNormal"/>
    <w:uiPriority w:val="65"/>
    <w:semiHidden/>
    <w:unhideWhenUsed/>
    <w:rsid w:val="006308D0"/>
    <w:pPr>
      <w:spacing w:line="240" w:lineRule="auto"/>
    </w:pPr>
    <w:rPr>
      <w:color w:val="000000" w:themeColor="text1"/>
    </w:rPr>
    <w:tblPr>
      <w:tblStyleRowBandSize w:val="1"/>
      <w:tblStyleColBandSize w:val="1"/>
      <w:tblBorders>
        <w:top w:val="single" w:sz="8" w:space="0" w:color="A5A5A5" w:themeColor="accent6"/>
        <w:bottom w:val="single" w:sz="8" w:space="0" w:color="A5A5A5" w:themeColor="accent6"/>
      </w:tblBorders>
    </w:tblPr>
    <w:tblStylePr w:type="firstRow">
      <w:rPr>
        <w:rFonts w:asciiTheme="majorHAnsi" w:eastAsiaTheme="majorEastAsia" w:hAnsiTheme="majorHAnsi" w:cstheme="majorBidi"/>
      </w:rPr>
      <w:tblPr/>
      <w:tcPr>
        <w:tcBorders>
          <w:top w:val="nil"/>
          <w:bottom w:val="single" w:sz="8" w:space="0" w:color="A5A5A5" w:themeColor="accent6"/>
        </w:tcBorders>
      </w:tcPr>
    </w:tblStylePr>
    <w:tblStylePr w:type="lastRow">
      <w:rPr>
        <w:b/>
        <w:bCs/>
        <w:color w:val="333333" w:themeColor="text2"/>
      </w:rPr>
      <w:tblPr/>
      <w:tcPr>
        <w:tcBorders>
          <w:top w:val="single" w:sz="8" w:space="0" w:color="A5A5A5" w:themeColor="accent6"/>
          <w:bottom w:val="single" w:sz="8" w:space="0" w:color="A5A5A5" w:themeColor="accent6"/>
        </w:tcBorders>
      </w:tcPr>
    </w:tblStylePr>
    <w:tblStylePr w:type="firstCol">
      <w:rPr>
        <w:b/>
        <w:bCs/>
      </w:rPr>
    </w:tblStylePr>
    <w:tblStylePr w:type="lastCol">
      <w:rPr>
        <w:b/>
        <w:bCs/>
      </w:rPr>
      <w:tblPr/>
      <w:tcPr>
        <w:tcBorders>
          <w:top w:val="single" w:sz="8" w:space="0" w:color="A5A5A5" w:themeColor="accent6"/>
          <w:bottom w:val="single" w:sz="8" w:space="0" w:color="A5A5A5" w:themeColor="accent6"/>
        </w:tcBorders>
      </w:tcPr>
    </w:tblStylePr>
    <w:tblStylePr w:type="band1Vert">
      <w:tblPr/>
      <w:tcPr>
        <w:shd w:val="clear" w:color="auto" w:fill="E8E8E8" w:themeFill="accent6" w:themeFillTint="3F"/>
      </w:tcPr>
    </w:tblStylePr>
    <w:tblStylePr w:type="band1Horz">
      <w:tblPr/>
      <w:tcPr>
        <w:shd w:val="clear" w:color="auto" w:fill="E8E8E8" w:themeFill="accent6" w:themeFillTint="3F"/>
      </w:tcPr>
    </w:tblStylePr>
  </w:style>
  <w:style w:type="table" w:styleId="MediumList2">
    <w:name w:val="Medium List 2"/>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007D55" w:themeColor="accent1"/>
        <w:left w:val="single" w:sz="8" w:space="0" w:color="007D55" w:themeColor="accent1"/>
        <w:bottom w:val="single" w:sz="8" w:space="0" w:color="007D55" w:themeColor="accent1"/>
        <w:right w:val="single" w:sz="8" w:space="0" w:color="007D55" w:themeColor="accent1"/>
      </w:tblBorders>
    </w:tblPr>
    <w:tblStylePr w:type="firstRow">
      <w:rPr>
        <w:sz w:val="24"/>
        <w:szCs w:val="24"/>
      </w:rPr>
      <w:tblPr/>
      <w:tcPr>
        <w:tcBorders>
          <w:top w:val="nil"/>
          <w:left w:val="nil"/>
          <w:bottom w:val="single" w:sz="24" w:space="0" w:color="007D5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1"/>
          <w:insideH w:val="nil"/>
          <w:insideV w:val="nil"/>
        </w:tcBorders>
        <w:shd w:val="clear" w:color="auto" w:fill="FFFFFF" w:themeFill="background1"/>
      </w:tcPr>
    </w:tblStylePr>
    <w:tblStylePr w:type="lastCol">
      <w:tblPr/>
      <w:tcPr>
        <w:tcBorders>
          <w:top w:val="nil"/>
          <w:left w:val="single" w:sz="8" w:space="0" w:color="007D5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1" w:themeFillTint="3F"/>
      </w:tcPr>
    </w:tblStylePr>
    <w:tblStylePr w:type="band1Horz">
      <w:tblPr/>
      <w:tcPr>
        <w:tcBorders>
          <w:top w:val="nil"/>
          <w:bottom w:val="nil"/>
          <w:insideH w:val="nil"/>
          <w:insideV w:val="nil"/>
        </w:tcBorders>
        <w:shd w:val="clear" w:color="auto" w:fill="9FFFE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231EDC" w:themeColor="accent5"/>
        <w:left w:val="single" w:sz="8" w:space="0" w:color="231EDC" w:themeColor="accent5"/>
        <w:bottom w:val="single" w:sz="8" w:space="0" w:color="231EDC" w:themeColor="accent5"/>
        <w:right w:val="single" w:sz="8" w:space="0" w:color="231EDC" w:themeColor="accent5"/>
      </w:tblBorders>
    </w:tblPr>
    <w:tblStylePr w:type="firstRow">
      <w:rPr>
        <w:sz w:val="24"/>
        <w:szCs w:val="24"/>
      </w:rPr>
      <w:tblPr/>
      <w:tcPr>
        <w:tcBorders>
          <w:top w:val="nil"/>
          <w:left w:val="nil"/>
          <w:bottom w:val="single" w:sz="24" w:space="0" w:color="231ED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EDC" w:themeColor="accent5"/>
          <w:insideH w:val="nil"/>
          <w:insideV w:val="nil"/>
        </w:tcBorders>
        <w:shd w:val="clear" w:color="auto" w:fill="FFFFFF" w:themeFill="background1"/>
      </w:tcPr>
    </w:tblStylePr>
    <w:tblStylePr w:type="lastCol">
      <w:tblPr/>
      <w:tcPr>
        <w:tcBorders>
          <w:top w:val="nil"/>
          <w:left w:val="single" w:sz="8" w:space="0" w:color="231ED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6F7" w:themeFill="accent5" w:themeFillTint="3F"/>
      </w:tcPr>
    </w:tblStylePr>
    <w:tblStylePr w:type="band1Horz">
      <w:tblPr/>
      <w:tcPr>
        <w:tcBorders>
          <w:top w:val="nil"/>
          <w:bottom w:val="nil"/>
          <w:insideH w:val="nil"/>
          <w:insideV w:val="nil"/>
        </w:tcBorders>
        <w:shd w:val="clear" w:color="auto" w:fill="C7C6F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308D0"/>
    <w:pPr>
      <w:spacing w:line="240" w:lineRule="auto"/>
    </w:pPr>
    <w:rPr>
      <w:rFonts w:eastAsiaTheme="majorEastAsia" w:cstheme="majorBidi"/>
      <w:color w:val="000000" w:themeColor="text1"/>
    </w:r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tblBorders>
    </w:tblPr>
    <w:tblStylePr w:type="firstRow">
      <w:rPr>
        <w:sz w:val="24"/>
        <w:szCs w:val="24"/>
      </w:rPr>
      <w:tblPr/>
      <w:tcPr>
        <w:tcBorders>
          <w:top w:val="nil"/>
          <w:left w:val="nil"/>
          <w:bottom w:val="single" w:sz="24" w:space="0" w:color="A5A5A5"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6"/>
          <w:insideH w:val="nil"/>
          <w:insideV w:val="nil"/>
        </w:tcBorders>
        <w:shd w:val="clear" w:color="auto" w:fill="FFFFFF" w:themeFill="background1"/>
      </w:tcPr>
    </w:tblStylePr>
    <w:tblStylePr w:type="lastCol">
      <w:tblPr/>
      <w:tcPr>
        <w:tcBorders>
          <w:top w:val="nil"/>
          <w:left w:val="single" w:sz="8" w:space="0" w:color="A5A5A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6" w:themeFillTint="3F"/>
      </w:tcPr>
    </w:tblStylePr>
    <w:tblStylePr w:type="band1Horz">
      <w:tblPr/>
      <w:tcPr>
        <w:tcBorders>
          <w:top w:val="nil"/>
          <w:bottom w:val="nil"/>
          <w:insideH w:val="nil"/>
          <w:insideV w:val="nil"/>
        </w:tcBorders>
        <w:shd w:val="clear" w:color="auto" w:fill="E8E8E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308D0"/>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308D0"/>
    <w:pPr>
      <w:spacing w:line="240" w:lineRule="auto"/>
    </w:pPr>
    <w:tblPr>
      <w:tblStyleRowBandSize w:val="1"/>
      <w:tblStyleColBandSize w:val="1"/>
      <w:tblBorders>
        <w:top w:val="single" w:sz="8" w:space="0" w:color="00DD96" w:themeColor="accent1" w:themeTint="BF"/>
        <w:left w:val="single" w:sz="8" w:space="0" w:color="00DD96" w:themeColor="accent1" w:themeTint="BF"/>
        <w:bottom w:val="single" w:sz="8" w:space="0" w:color="00DD96" w:themeColor="accent1" w:themeTint="BF"/>
        <w:right w:val="single" w:sz="8" w:space="0" w:color="00DD96" w:themeColor="accent1" w:themeTint="BF"/>
        <w:insideH w:val="single" w:sz="8" w:space="0" w:color="00DD96" w:themeColor="accent1" w:themeTint="BF"/>
      </w:tblBorders>
    </w:tblPr>
    <w:tblStylePr w:type="firstRow">
      <w:pPr>
        <w:spacing w:before="0" w:after="0" w:line="240" w:lineRule="auto"/>
      </w:pPr>
      <w:rPr>
        <w:b/>
        <w:bCs/>
        <w:color w:val="FFFFFF" w:themeColor="background1"/>
      </w:rPr>
      <w:tblPr/>
      <w:tcPr>
        <w:tcBorders>
          <w:top w:val="single" w:sz="8" w:space="0" w:color="00DD96" w:themeColor="accent1" w:themeTint="BF"/>
          <w:left w:val="single" w:sz="8" w:space="0" w:color="00DD96" w:themeColor="accent1" w:themeTint="BF"/>
          <w:bottom w:val="single" w:sz="8" w:space="0" w:color="00DD96" w:themeColor="accent1" w:themeTint="BF"/>
          <w:right w:val="single" w:sz="8" w:space="0" w:color="00DD96" w:themeColor="accent1" w:themeTint="BF"/>
          <w:insideH w:val="nil"/>
          <w:insideV w:val="nil"/>
        </w:tcBorders>
        <w:shd w:val="clear" w:color="auto" w:fill="007D55" w:themeFill="accent1"/>
      </w:tcPr>
    </w:tblStylePr>
    <w:tblStylePr w:type="lastRow">
      <w:pPr>
        <w:spacing w:before="0" w:after="0" w:line="240" w:lineRule="auto"/>
      </w:pPr>
      <w:rPr>
        <w:b/>
        <w:bCs/>
      </w:rPr>
      <w:tblPr/>
      <w:tcPr>
        <w:tcBorders>
          <w:top w:val="double" w:sz="6" w:space="0" w:color="00DD96" w:themeColor="accent1" w:themeTint="BF"/>
          <w:left w:val="single" w:sz="8" w:space="0" w:color="00DD96" w:themeColor="accent1" w:themeTint="BF"/>
          <w:bottom w:val="single" w:sz="8" w:space="0" w:color="00DD96" w:themeColor="accent1" w:themeTint="BF"/>
          <w:right w:val="single" w:sz="8" w:space="0" w:color="00DD96" w:themeColor="accent1"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1" w:themeFillTint="3F"/>
      </w:tcPr>
    </w:tblStylePr>
    <w:tblStylePr w:type="band1Horz">
      <w:tblPr/>
      <w:tcPr>
        <w:tcBorders>
          <w:insideH w:val="nil"/>
          <w:insideV w:val="nil"/>
        </w:tcBorders>
        <w:shd w:val="clear" w:color="auto" w:fill="9FFFE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308D0"/>
    <w:pPr>
      <w:spacing w:line="240" w:lineRule="auto"/>
    </w:pPr>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308D0"/>
    <w:pPr>
      <w:spacing w:line="240" w:lineRule="auto"/>
    </w:pPr>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308D0"/>
    <w:pPr>
      <w:spacing w:line="240" w:lineRule="auto"/>
    </w:pPr>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308D0"/>
    <w:pPr>
      <w:spacing w:line="240" w:lineRule="auto"/>
    </w:pPr>
    <w:tblPr>
      <w:tblStyleRowBandSize w:val="1"/>
      <w:tblStyleColBandSize w:val="1"/>
      <w:tblBorders>
        <w:top w:val="single" w:sz="8" w:space="0" w:color="5653E7" w:themeColor="accent5" w:themeTint="BF"/>
        <w:left w:val="single" w:sz="8" w:space="0" w:color="5653E7" w:themeColor="accent5" w:themeTint="BF"/>
        <w:bottom w:val="single" w:sz="8" w:space="0" w:color="5653E7" w:themeColor="accent5" w:themeTint="BF"/>
        <w:right w:val="single" w:sz="8" w:space="0" w:color="5653E7" w:themeColor="accent5" w:themeTint="BF"/>
        <w:insideH w:val="single" w:sz="8" w:space="0" w:color="5653E7" w:themeColor="accent5" w:themeTint="BF"/>
      </w:tblBorders>
    </w:tblPr>
    <w:tblStylePr w:type="firstRow">
      <w:pPr>
        <w:spacing w:before="0" w:after="0" w:line="240" w:lineRule="auto"/>
      </w:pPr>
      <w:rPr>
        <w:b/>
        <w:bCs/>
        <w:color w:val="FFFFFF" w:themeColor="background1"/>
      </w:rPr>
      <w:tblPr/>
      <w:tcPr>
        <w:tcBorders>
          <w:top w:val="single" w:sz="8" w:space="0" w:color="5653E7" w:themeColor="accent5" w:themeTint="BF"/>
          <w:left w:val="single" w:sz="8" w:space="0" w:color="5653E7" w:themeColor="accent5" w:themeTint="BF"/>
          <w:bottom w:val="single" w:sz="8" w:space="0" w:color="5653E7" w:themeColor="accent5" w:themeTint="BF"/>
          <w:right w:val="single" w:sz="8" w:space="0" w:color="5653E7" w:themeColor="accent5" w:themeTint="BF"/>
          <w:insideH w:val="nil"/>
          <w:insideV w:val="nil"/>
        </w:tcBorders>
        <w:shd w:val="clear" w:color="auto" w:fill="231EDC" w:themeFill="accent5"/>
      </w:tcPr>
    </w:tblStylePr>
    <w:tblStylePr w:type="lastRow">
      <w:pPr>
        <w:spacing w:before="0" w:after="0" w:line="240" w:lineRule="auto"/>
      </w:pPr>
      <w:rPr>
        <w:b/>
        <w:bCs/>
      </w:rPr>
      <w:tblPr/>
      <w:tcPr>
        <w:tcBorders>
          <w:top w:val="double" w:sz="6" w:space="0" w:color="5653E7" w:themeColor="accent5" w:themeTint="BF"/>
          <w:left w:val="single" w:sz="8" w:space="0" w:color="5653E7" w:themeColor="accent5" w:themeTint="BF"/>
          <w:bottom w:val="single" w:sz="8" w:space="0" w:color="5653E7" w:themeColor="accent5" w:themeTint="BF"/>
          <w:right w:val="single" w:sz="8" w:space="0" w:color="5653E7" w:themeColor="accent5" w:themeTint="BF"/>
          <w:insideH w:val="nil"/>
          <w:insideV w:val="nil"/>
        </w:tcBorders>
      </w:tcPr>
    </w:tblStylePr>
    <w:tblStylePr w:type="firstCol">
      <w:rPr>
        <w:b/>
        <w:bCs/>
      </w:rPr>
    </w:tblStylePr>
    <w:tblStylePr w:type="lastCol">
      <w:rPr>
        <w:b/>
        <w:bCs/>
      </w:rPr>
    </w:tblStylePr>
    <w:tblStylePr w:type="band1Vert">
      <w:tblPr/>
      <w:tcPr>
        <w:shd w:val="clear" w:color="auto" w:fill="C7C6F7" w:themeFill="accent5" w:themeFillTint="3F"/>
      </w:tcPr>
    </w:tblStylePr>
    <w:tblStylePr w:type="band1Horz">
      <w:tblPr/>
      <w:tcPr>
        <w:tcBorders>
          <w:insideH w:val="nil"/>
          <w:insideV w:val="nil"/>
        </w:tcBorders>
        <w:shd w:val="clear" w:color="auto" w:fill="C7C6F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308D0"/>
    <w:pPr>
      <w:spacing w:line="240" w:lineRule="auto"/>
    </w:pPr>
    <w:tblPr>
      <w:tblStyleRowBandSize w:val="1"/>
      <w:tblStyleColBandSize w:val="1"/>
      <w:tbl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single" w:sz="8" w:space="0" w:color="BBBBBB" w:themeColor="accent6" w:themeTint="BF"/>
      </w:tblBorders>
    </w:tblPr>
    <w:tblStylePr w:type="firstRow">
      <w:pPr>
        <w:spacing w:before="0" w:after="0" w:line="240" w:lineRule="auto"/>
      </w:pPr>
      <w:rPr>
        <w:b/>
        <w:bCs/>
        <w:color w:val="FFFFFF" w:themeColor="background1"/>
      </w:rPr>
      <w:tblPr/>
      <w:tcPr>
        <w:tc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nil"/>
          <w:insideV w:val="nil"/>
        </w:tcBorders>
        <w:shd w:val="clear" w:color="auto" w:fill="A5A5A5" w:themeFill="accent6"/>
      </w:tcPr>
    </w:tblStylePr>
    <w:tblStylePr w:type="lastRow">
      <w:pPr>
        <w:spacing w:before="0" w:after="0" w:line="240" w:lineRule="auto"/>
      </w:pPr>
      <w:rPr>
        <w:b/>
        <w:bCs/>
      </w:rPr>
      <w:tblPr/>
      <w:tcPr>
        <w:tcBorders>
          <w:top w:val="double" w:sz="6"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6" w:themeFillTint="3F"/>
      </w:tcPr>
    </w:tblStylePr>
    <w:tblStylePr w:type="band1Horz">
      <w:tblPr/>
      <w:tcPr>
        <w:tcBorders>
          <w:insideH w:val="nil"/>
          <w:insideV w:val="nil"/>
        </w:tcBorders>
        <w:shd w:val="clear" w:color="auto" w:fill="E8E8E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D55" w:themeFill="accent1"/>
      </w:tcPr>
    </w:tblStylePr>
    <w:tblStylePr w:type="lastCol">
      <w:rPr>
        <w:b/>
        <w:bCs/>
        <w:color w:val="FFFFFF" w:themeColor="background1"/>
      </w:rPr>
      <w:tblPr/>
      <w:tcPr>
        <w:tcBorders>
          <w:left w:val="nil"/>
          <w:right w:val="nil"/>
          <w:insideH w:val="nil"/>
          <w:insideV w:val="nil"/>
        </w:tcBorders>
        <w:shd w:val="clear" w:color="auto" w:fill="007D5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ED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31EDC" w:themeFill="accent5"/>
      </w:tcPr>
    </w:tblStylePr>
    <w:tblStylePr w:type="lastCol">
      <w:rPr>
        <w:b/>
        <w:bCs/>
        <w:color w:val="FFFFFF" w:themeColor="background1"/>
      </w:rPr>
      <w:tblPr/>
      <w:tcPr>
        <w:tcBorders>
          <w:left w:val="nil"/>
          <w:right w:val="nil"/>
          <w:insideH w:val="nil"/>
          <w:insideV w:val="nil"/>
        </w:tcBorders>
        <w:shd w:val="clear" w:color="auto" w:fill="231ED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308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6"/>
      </w:tcPr>
    </w:tblStylePr>
    <w:tblStylePr w:type="lastCol">
      <w:rPr>
        <w:b/>
        <w:bCs/>
        <w:color w:val="FFFFFF" w:themeColor="background1"/>
      </w:rPr>
      <w:tblPr/>
      <w:tcPr>
        <w:tcBorders>
          <w:left w:val="nil"/>
          <w:right w:val="nil"/>
          <w:insideH w:val="nil"/>
          <w:insideV w:val="nil"/>
        </w:tcBorders>
        <w:shd w:val="clear" w:color="auto" w:fill="A5A5A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6308D0"/>
    <w:rPr>
      <w:color w:val="2B579A"/>
      <w:shd w:val="clear" w:color="auto" w:fill="E6E6E6"/>
    </w:rPr>
  </w:style>
  <w:style w:type="paragraph" w:styleId="MessageHeader">
    <w:name w:val="Message Header"/>
    <w:basedOn w:val="Normal"/>
    <w:link w:val="MessageHeaderChar"/>
    <w:uiPriority w:val="99"/>
    <w:semiHidden/>
    <w:unhideWhenUsed/>
    <w:rsid w:val="006308D0"/>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6308D0"/>
    <w:rPr>
      <w:rFonts w:eastAsiaTheme="majorEastAsia" w:cstheme="majorBidi"/>
      <w:sz w:val="24"/>
      <w:szCs w:val="24"/>
      <w:shd w:val="pct20" w:color="auto" w:fill="auto"/>
    </w:rPr>
  </w:style>
  <w:style w:type="paragraph" w:styleId="NormalWeb">
    <w:name w:val="Normal (Web)"/>
    <w:basedOn w:val="Normal"/>
    <w:uiPriority w:val="99"/>
    <w:semiHidden/>
    <w:unhideWhenUsed/>
    <w:rsid w:val="006308D0"/>
    <w:rPr>
      <w:rFonts w:ascii="Times New Roman" w:hAnsi="Times New Roman" w:cs="Times New Roman"/>
      <w:sz w:val="24"/>
      <w:szCs w:val="24"/>
    </w:rPr>
  </w:style>
  <w:style w:type="paragraph" w:styleId="NormalIndent">
    <w:name w:val="Normal Indent"/>
    <w:basedOn w:val="Normal"/>
    <w:uiPriority w:val="99"/>
    <w:semiHidden/>
    <w:unhideWhenUsed/>
    <w:rsid w:val="006308D0"/>
    <w:pPr>
      <w:ind w:left="720"/>
    </w:pPr>
  </w:style>
  <w:style w:type="paragraph" w:styleId="NoteHeading">
    <w:name w:val="Note Heading"/>
    <w:basedOn w:val="Normal"/>
    <w:next w:val="Normal"/>
    <w:link w:val="NoteHeadingChar"/>
    <w:uiPriority w:val="99"/>
    <w:semiHidden/>
    <w:unhideWhenUsed/>
    <w:rsid w:val="006308D0"/>
  </w:style>
  <w:style w:type="character" w:customStyle="1" w:styleId="NoteHeadingChar">
    <w:name w:val="Note Heading Char"/>
    <w:basedOn w:val="DefaultParagraphFont"/>
    <w:link w:val="NoteHeading"/>
    <w:uiPriority w:val="99"/>
    <w:semiHidden/>
    <w:rsid w:val="006308D0"/>
  </w:style>
  <w:style w:type="character" w:styleId="PageNumber">
    <w:name w:val="page number"/>
    <w:basedOn w:val="DefaultParagraphFont"/>
    <w:uiPriority w:val="99"/>
    <w:semiHidden/>
    <w:unhideWhenUsed/>
    <w:rsid w:val="006308D0"/>
  </w:style>
  <w:style w:type="table" w:styleId="PlainTable2">
    <w:name w:val="Plain Table 2"/>
    <w:basedOn w:val="TableNormal"/>
    <w:uiPriority w:val="42"/>
    <w:rsid w:val="006308D0"/>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6308D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308D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308D0"/>
    <w:rPr>
      <w:rFonts w:ascii="Consolas" w:hAnsi="Consolas"/>
      <w:sz w:val="21"/>
      <w:szCs w:val="21"/>
    </w:rPr>
  </w:style>
  <w:style w:type="character" w:customStyle="1" w:styleId="PlainTextChar">
    <w:name w:val="Plain Text Char"/>
    <w:basedOn w:val="DefaultParagraphFont"/>
    <w:link w:val="PlainText"/>
    <w:uiPriority w:val="99"/>
    <w:semiHidden/>
    <w:rsid w:val="006308D0"/>
    <w:rPr>
      <w:rFonts w:ascii="Consolas" w:hAnsi="Consolas"/>
      <w:sz w:val="21"/>
      <w:szCs w:val="21"/>
    </w:rPr>
  </w:style>
  <w:style w:type="paragraph" w:styleId="Quote">
    <w:name w:val="Quote"/>
    <w:basedOn w:val="Normal"/>
    <w:next w:val="Normal"/>
    <w:link w:val="QuoteChar"/>
    <w:uiPriority w:val="99"/>
    <w:semiHidden/>
    <w:qFormat/>
    <w:rsid w:val="006308D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308D0"/>
    <w:rPr>
      <w:i/>
      <w:iCs/>
      <w:color w:val="404040" w:themeColor="text1" w:themeTint="BF"/>
    </w:rPr>
  </w:style>
  <w:style w:type="paragraph" w:styleId="Salutation">
    <w:name w:val="Salutation"/>
    <w:basedOn w:val="Normal"/>
    <w:next w:val="Normal"/>
    <w:link w:val="SalutationChar"/>
    <w:uiPriority w:val="99"/>
    <w:semiHidden/>
    <w:unhideWhenUsed/>
    <w:rsid w:val="006308D0"/>
  </w:style>
  <w:style w:type="character" w:customStyle="1" w:styleId="SalutationChar">
    <w:name w:val="Salutation Char"/>
    <w:basedOn w:val="DefaultParagraphFont"/>
    <w:link w:val="Salutation"/>
    <w:uiPriority w:val="99"/>
    <w:semiHidden/>
    <w:rsid w:val="006308D0"/>
  </w:style>
  <w:style w:type="paragraph" w:styleId="Signature">
    <w:name w:val="Signature"/>
    <w:basedOn w:val="Normal"/>
    <w:link w:val="SignatureChar"/>
    <w:uiPriority w:val="99"/>
    <w:semiHidden/>
    <w:unhideWhenUsed/>
    <w:rsid w:val="006308D0"/>
    <w:pPr>
      <w:ind w:left="4252"/>
    </w:pPr>
  </w:style>
  <w:style w:type="character" w:customStyle="1" w:styleId="SignatureChar">
    <w:name w:val="Signature Char"/>
    <w:basedOn w:val="DefaultParagraphFont"/>
    <w:link w:val="Signature"/>
    <w:uiPriority w:val="99"/>
    <w:semiHidden/>
    <w:rsid w:val="006308D0"/>
  </w:style>
  <w:style w:type="character" w:styleId="SmartHyperlink">
    <w:name w:val="Smart Hyperlink"/>
    <w:basedOn w:val="DefaultParagraphFont"/>
    <w:uiPriority w:val="99"/>
    <w:semiHidden/>
    <w:unhideWhenUsed/>
    <w:rsid w:val="006308D0"/>
    <w:rPr>
      <w:u w:val="dotted"/>
    </w:rPr>
  </w:style>
  <w:style w:type="character" w:styleId="Strong">
    <w:name w:val="Strong"/>
    <w:basedOn w:val="DefaultParagraphFont"/>
    <w:uiPriority w:val="99"/>
    <w:semiHidden/>
    <w:qFormat/>
    <w:rsid w:val="006308D0"/>
    <w:rPr>
      <w:b/>
      <w:bCs/>
    </w:rPr>
  </w:style>
  <w:style w:type="paragraph" w:styleId="Subtitle">
    <w:name w:val="Subtitle"/>
    <w:basedOn w:val="Normal"/>
    <w:next w:val="Normal"/>
    <w:link w:val="SubtitleChar"/>
    <w:uiPriority w:val="99"/>
    <w:semiHidden/>
    <w:qFormat/>
    <w:rsid w:val="006308D0"/>
    <w:pPr>
      <w:numPr>
        <w:ilvl w:val="1"/>
      </w:numPr>
      <w:spacing w:after="160"/>
    </w:pPr>
    <w:rPr>
      <w:color w:val="5A5A5A" w:themeColor="text1" w:themeTint="A5"/>
      <w:spacing w:val="15"/>
    </w:rPr>
  </w:style>
  <w:style w:type="character" w:customStyle="1" w:styleId="SubtitleChar">
    <w:name w:val="Subtitle Char"/>
    <w:basedOn w:val="DefaultParagraphFont"/>
    <w:link w:val="Subtitle"/>
    <w:uiPriority w:val="11"/>
    <w:semiHidden/>
    <w:rsid w:val="006308D0"/>
    <w:rPr>
      <w:color w:val="5A5A5A" w:themeColor="text1" w:themeTint="A5"/>
      <w:spacing w:val="15"/>
    </w:rPr>
  </w:style>
  <w:style w:type="character" w:styleId="SubtleEmphasis">
    <w:name w:val="Subtle Emphasis"/>
    <w:basedOn w:val="DefaultParagraphFont"/>
    <w:uiPriority w:val="99"/>
    <w:semiHidden/>
    <w:qFormat/>
    <w:rsid w:val="006308D0"/>
    <w:rPr>
      <w:i/>
      <w:iCs/>
      <w:color w:val="404040" w:themeColor="text1" w:themeTint="BF"/>
    </w:rPr>
  </w:style>
  <w:style w:type="character" w:styleId="SubtleReference">
    <w:name w:val="Subtle Reference"/>
    <w:basedOn w:val="DefaultParagraphFont"/>
    <w:uiPriority w:val="99"/>
    <w:semiHidden/>
    <w:qFormat/>
    <w:rsid w:val="006308D0"/>
    <w:rPr>
      <w:smallCaps/>
      <w:color w:val="5A5A5A" w:themeColor="text1" w:themeTint="A5"/>
    </w:rPr>
  </w:style>
  <w:style w:type="table" w:styleId="Table3Deffects1">
    <w:name w:val="Table 3D effects 1"/>
    <w:basedOn w:val="TableNormal"/>
    <w:uiPriority w:val="99"/>
    <w:semiHidden/>
    <w:unhideWhenUsed/>
    <w:rsid w:val="006308D0"/>
    <w:pPr>
      <w:spacing w:line="24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308D0"/>
    <w:pPr>
      <w:spacing w:line="24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308D0"/>
    <w:pPr>
      <w:spacing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308D0"/>
    <w:pPr>
      <w:spacing w:line="24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308D0"/>
    <w:pPr>
      <w:spacing w:line="24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308D0"/>
    <w:pPr>
      <w:spacing w:line="24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308D0"/>
    <w:pPr>
      <w:spacing w:line="24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308D0"/>
    <w:pPr>
      <w:spacing w:line="24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308D0"/>
    <w:pPr>
      <w:spacing w:line="24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308D0"/>
    <w:pPr>
      <w:spacing w:line="24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308D0"/>
    <w:pPr>
      <w:spacing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308D0"/>
    <w:pPr>
      <w:spacing w:line="24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308D0"/>
    <w:pPr>
      <w:spacing w:line="24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308D0"/>
    <w:pPr>
      <w:spacing w:line="24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308D0"/>
    <w:pPr>
      <w:spacing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308D0"/>
    <w:pPr>
      <w:spacing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308D0"/>
    <w:pPr>
      <w:spacing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unhideWhenUsed/>
    <w:rsid w:val="006308D0"/>
    <w:pPr>
      <w:spacing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308D0"/>
    <w:pPr>
      <w:spacing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308D0"/>
    <w:pPr>
      <w:spacing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308D0"/>
    <w:pPr>
      <w:spacing w:line="24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308D0"/>
    <w:pPr>
      <w:spacing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308D0"/>
    <w:pPr>
      <w:spacing w:line="24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308D0"/>
    <w:pPr>
      <w:spacing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308D0"/>
    <w:pPr>
      <w:spacing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308D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308D0"/>
    <w:pPr>
      <w:spacing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308D0"/>
    <w:pPr>
      <w:spacing w:line="24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308D0"/>
    <w:pPr>
      <w:spacing w:line="24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308D0"/>
    <w:pPr>
      <w:spacing w:line="24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308D0"/>
    <w:pPr>
      <w:spacing w:line="24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308D0"/>
    <w:pPr>
      <w:spacing w:line="24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308D0"/>
    <w:pPr>
      <w:spacing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308D0"/>
    <w:pPr>
      <w:spacing w:line="24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308D0"/>
    <w:pPr>
      <w:ind w:left="220" w:hanging="220"/>
    </w:pPr>
  </w:style>
  <w:style w:type="paragraph" w:styleId="TableofFigures">
    <w:name w:val="table of figures"/>
    <w:basedOn w:val="Normal"/>
    <w:next w:val="Normal"/>
    <w:uiPriority w:val="99"/>
    <w:semiHidden/>
    <w:unhideWhenUsed/>
    <w:rsid w:val="006308D0"/>
  </w:style>
  <w:style w:type="table" w:styleId="TableProfessional">
    <w:name w:val="Table Professional"/>
    <w:basedOn w:val="TableNormal"/>
    <w:uiPriority w:val="99"/>
    <w:semiHidden/>
    <w:unhideWhenUsed/>
    <w:rsid w:val="006308D0"/>
    <w:pPr>
      <w:spacing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308D0"/>
    <w:pPr>
      <w:spacing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308D0"/>
    <w:pPr>
      <w:spacing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308D0"/>
    <w:pPr>
      <w:spacing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308D0"/>
    <w:pPr>
      <w:spacing w:line="24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308D0"/>
    <w:pPr>
      <w:spacing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308D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308D0"/>
    <w:pPr>
      <w:spacing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308D0"/>
    <w:pPr>
      <w:spacing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308D0"/>
    <w:pPr>
      <w:spacing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308D0"/>
    <w:pPr>
      <w:spacing w:before="120"/>
    </w:pPr>
    <w:rPr>
      <w:rFonts w:eastAsiaTheme="majorEastAsia" w:cstheme="majorBidi"/>
      <w:b/>
      <w:bCs/>
      <w:sz w:val="24"/>
      <w:szCs w:val="24"/>
    </w:rPr>
  </w:style>
  <w:style w:type="paragraph" w:styleId="TOC4">
    <w:name w:val="toc 4"/>
    <w:basedOn w:val="Normal"/>
    <w:next w:val="Normal"/>
    <w:autoRedefine/>
    <w:uiPriority w:val="99"/>
    <w:semiHidden/>
    <w:rsid w:val="006308D0"/>
    <w:pPr>
      <w:spacing w:after="100"/>
      <w:ind w:left="660"/>
    </w:pPr>
  </w:style>
  <w:style w:type="paragraph" w:styleId="TOC5">
    <w:name w:val="toc 5"/>
    <w:basedOn w:val="Normal"/>
    <w:next w:val="Normal"/>
    <w:autoRedefine/>
    <w:uiPriority w:val="99"/>
    <w:semiHidden/>
    <w:rsid w:val="006308D0"/>
    <w:pPr>
      <w:spacing w:after="100"/>
      <w:ind w:left="880"/>
    </w:pPr>
  </w:style>
  <w:style w:type="paragraph" w:styleId="TOC6">
    <w:name w:val="toc 6"/>
    <w:basedOn w:val="Normal"/>
    <w:next w:val="Normal"/>
    <w:autoRedefine/>
    <w:uiPriority w:val="99"/>
    <w:semiHidden/>
    <w:rsid w:val="006308D0"/>
    <w:pPr>
      <w:spacing w:after="100"/>
      <w:ind w:left="1100"/>
    </w:pPr>
  </w:style>
  <w:style w:type="paragraph" w:styleId="TOC7">
    <w:name w:val="toc 7"/>
    <w:basedOn w:val="Normal"/>
    <w:next w:val="Normal"/>
    <w:autoRedefine/>
    <w:uiPriority w:val="99"/>
    <w:semiHidden/>
    <w:rsid w:val="006308D0"/>
    <w:pPr>
      <w:spacing w:after="100"/>
      <w:ind w:left="1320"/>
    </w:pPr>
  </w:style>
  <w:style w:type="paragraph" w:styleId="TOC8">
    <w:name w:val="toc 8"/>
    <w:basedOn w:val="Normal"/>
    <w:next w:val="Normal"/>
    <w:autoRedefine/>
    <w:uiPriority w:val="99"/>
    <w:semiHidden/>
    <w:rsid w:val="006308D0"/>
    <w:pPr>
      <w:spacing w:after="100"/>
      <w:ind w:left="1540"/>
    </w:pPr>
  </w:style>
  <w:style w:type="paragraph" w:styleId="TOC9">
    <w:name w:val="toc 9"/>
    <w:basedOn w:val="Normal"/>
    <w:next w:val="Normal"/>
    <w:autoRedefine/>
    <w:uiPriority w:val="99"/>
    <w:semiHidden/>
    <w:rsid w:val="006308D0"/>
    <w:pPr>
      <w:spacing w:after="100"/>
      <w:ind w:left="1760"/>
    </w:pPr>
  </w:style>
  <w:style w:type="character" w:styleId="UnresolvedMention">
    <w:name w:val="Unresolved Mention"/>
    <w:basedOn w:val="DefaultParagraphFont"/>
    <w:uiPriority w:val="99"/>
    <w:semiHidden/>
    <w:unhideWhenUsed/>
    <w:rsid w:val="006308D0"/>
    <w:rPr>
      <w:color w:val="808080"/>
      <w:shd w:val="clear" w:color="auto" w:fill="E6E6E6"/>
    </w:rPr>
  </w:style>
  <w:style w:type="paragraph" w:customStyle="1" w:styleId="TableNumber2">
    <w:name w:val="Table Number 2"/>
    <w:basedOn w:val="Normal"/>
    <w:uiPriority w:val="5"/>
    <w:rsid w:val="006308D0"/>
    <w:pPr>
      <w:numPr>
        <w:ilvl w:val="1"/>
        <w:numId w:val="30"/>
      </w:numPr>
      <w:spacing w:before="40" w:after="40"/>
    </w:pPr>
    <w:rPr>
      <w:rFonts w:asciiTheme="minorHAnsi" w:hAnsiTheme="minorHAnsi"/>
      <w:sz w:val="18"/>
    </w:rPr>
  </w:style>
  <w:style w:type="paragraph" w:customStyle="1" w:styleId="InstructionText">
    <w:name w:val="Instruction Text"/>
    <w:basedOn w:val="Normal"/>
    <w:link w:val="InstructionTextChar"/>
    <w:uiPriority w:val="99"/>
    <w:semiHidden/>
    <w:rsid w:val="006308D0"/>
    <w:pPr>
      <w:spacing w:before="120" w:after="120"/>
    </w:pPr>
    <w:rPr>
      <w:rFonts w:ascii="Arial" w:hAnsi="Arial"/>
      <w:i/>
      <w:color w:val="007D55" w:themeColor="accent1"/>
      <w:sz w:val="18"/>
    </w:rPr>
  </w:style>
  <w:style w:type="character" w:customStyle="1" w:styleId="InstructionTextChar">
    <w:name w:val="Instruction Text Char"/>
    <w:link w:val="InstructionText"/>
    <w:semiHidden/>
    <w:rsid w:val="006308D0"/>
    <w:rPr>
      <w:rFonts w:ascii="Arial" w:hAnsi="Arial"/>
      <w:i/>
      <w:color w:val="007D55" w:themeColor="accent1"/>
      <w:sz w:val="18"/>
    </w:rPr>
  </w:style>
  <w:style w:type="character" w:customStyle="1" w:styleId="AdaButton">
    <w:name w:val="AdaButton"/>
    <w:basedOn w:val="DefaultParagraphFont"/>
    <w:uiPriority w:val="99"/>
    <w:semiHidden/>
    <w:qFormat/>
    <w:rsid w:val="006308D0"/>
    <w:rPr>
      <w:b w:val="0"/>
      <w:color w:val="CCFFCC"/>
      <w:sz w:val="40"/>
      <w:bdr w:val="single" w:sz="4" w:space="0" w:color="44546A"/>
      <w:shd w:val="clear" w:color="auto" w:fill="999999"/>
    </w:rPr>
  </w:style>
  <w:style w:type="paragraph" w:customStyle="1" w:styleId="FooterHeading">
    <w:name w:val="Footer Heading"/>
    <w:basedOn w:val="Footer"/>
    <w:next w:val="Footer"/>
    <w:uiPriority w:val="99"/>
    <w:semiHidden/>
    <w:qFormat/>
    <w:rsid w:val="006308D0"/>
    <w:rPr>
      <w:b/>
      <w:sz w:val="21"/>
    </w:rPr>
  </w:style>
  <w:style w:type="paragraph" w:customStyle="1" w:styleId="Reference">
    <w:name w:val="Reference"/>
    <w:basedOn w:val="Footer"/>
    <w:uiPriority w:val="99"/>
    <w:semiHidden/>
    <w:qFormat/>
    <w:rsid w:val="006308D0"/>
    <w:rPr>
      <w:sz w:val="13"/>
    </w:rPr>
  </w:style>
  <w:style w:type="paragraph" w:customStyle="1" w:styleId="TableNumber3">
    <w:name w:val="Table Number 3"/>
    <w:basedOn w:val="Normal"/>
    <w:uiPriority w:val="5"/>
    <w:rsid w:val="006308D0"/>
    <w:pPr>
      <w:numPr>
        <w:ilvl w:val="2"/>
        <w:numId w:val="30"/>
      </w:numPr>
      <w:spacing w:before="40" w:after="40"/>
    </w:pPr>
    <w:rPr>
      <w:rFonts w:asciiTheme="minorHAnsi" w:hAnsiTheme="minorHAnsi"/>
      <w:sz w:val="18"/>
    </w:rPr>
  </w:style>
  <w:style w:type="paragraph" w:customStyle="1" w:styleId="TableBullet2">
    <w:name w:val="Table Bullet 2"/>
    <w:basedOn w:val="Normal"/>
    <w:uiPriority w:val="6"/>
    <w:rsid w:val="006308D0"/>
    <w:pPr>
      <w:numPr>
        <w:ilvl w:val="1"/>
        <w:numId w:val="34"/>
      </w:numPr>
      <w:spacing w:before="40" w:after="40"/>
    </w:pPr>
    <w:rPr>
      <w:rFonts w:asciiTheme="minorHAnsi" w:hAnsiTheme="minorHAnsi"/>
      <w:sz w:val="18"/>
    </w:rPr>
  </w:style>
  <w:style w:type="paragraph" w:customStyle="1" w:styleId="TableBullet3">
    <w:name w:val="Table Bullet 3"/>
    <w:basedOn w:val="Normal"/>
    <w:uiPriority w:val="6"/>
    <w:rsid w:val="006308D0"/>
    <w:pPr>
      <w:numPr>
        <w:ilvl w:val="2"/>
        <w:numId w:val="34"/>
      </w:numPr>
      <w:spacing w:before="40" w:after="40"/>
    </w:pPr>
    <w:rPr>
      <w:rFonts w:asciiTheme="minorHAnsi" w:hAnsiTheme="minorHAnsi"/>
      <w:sz w:val="18"/>
    </w:rPr>
  </w:style>
  <w:style w:type="numbering" w:customStyle="1" w:styleId="TableNumbers">
    <w:name w:val="Table Numbers"/>
    <w:uiPriority w:val="99"/>
    <w:semiHidden/>
    <w:rsid w:val="006308D0"/>
    <w:pPr>
      <w:numPr>
        <w:numId w:val="36"/>
      </w:numPr>
    </w:pPr>
  </w:style>
  <w:style w:type="numbering" w:customStyle="1" w:styleId="TableBullets">
    <w:name w:val="Table Bullets"/>
    <w:uiPriority w:val="99"/>
    <w:semiHidden/>
    <w:rsid w:val="006308D0"/>
    <w:pPr>
      <w:numPr>
        <w:numId w:val="20"/>
      </w:numPr>
    </w:pPr>
  </w:style>
  <w:style w:type="numbering" w:customStyle="1" w:styleId="AppendixHeadings">
    <w:name w:val="Appendix Headings"/>
    <w:uiPriority w:val="99"/>
    <w:semiHidden/>
    <w:rsid w:val="006308D0"/>
    <w:pPr>
      <w:numPr>
        <w:numId w:val="38"/>
      </w:numPr>
    </w:pPr>
  </w:style>
  <w:style w:type="numbering" w:styleId="111111">
    <w:name w:val="Outline List 2"/>
    <w:basedOn w:val="NoList"/>
    <w:uiPriority w:val="99"/>
    <w:semiHidden/>
    <w:unhideWhenUsed/>
    <w:rsid w:val="000449AA"/>
    <w:pPr>
      <w:numPr>
        <w:numId w:val="15"/>
      </w:numPr>
    </w:pPr>
  </w:style>
  <w:style w:type="numbering" w:styleId="1ai">
    <w:name w:val="Outline List 1"/>
    <w:basedOn w:val="NoList"/>
    <w:uiPriority w:val="99"/>
    <w:semiHidden/>
    <w:unhideWhenUsed/>
    <w:rsid w:val="000449AA"/>
    <w:pPr>
      <w:numPr>
        <w:numId w:val="16"/>
      </w:numPr>
    </w:pPr>
  </w:style>
  <w:style w:type="character" w:styleId="SmartLink">
    <w:name w:val="Smart Link"/>
    <w:basedOn w:val="DefaultParagraphFont"/>
    <w:uiPriority w:val="99"/>
    <w:semiHidden/>
    <w:unhideWhenUsed/>
    <w:rsid w:val="000449AA"/>
    <w:rPr>
      <w:color w:val="0000FF"/>
      <w:u w:val="single"/>
      <w:shd w:val="clear" w:color="auto" w:fill="F3F2F1"/>
    </w:rPr>
  </w:style>
  <w:style w:type="numbering" w:customStyle="1" w:styleId="BodyTextNumbering">
    <w:name w:val="Body Text Numbering"/>
    <w:uiPriority w:val="99"/>
    <w:semiHidden/>
    <w:rsid w:val="006308D0"/>
    <w:pPr>
      <w:numPr>
        <w:numId w:val="37"/>
      </w:numPr>
    </w:pPr>
  </w:style>
  <w:style w:type="numbering" w:customStyle="1" w:styleId="Bullets">
    <w:name w:val="Bullets"/>
    <w:uiPriority w:val="99"/>
    <w:semiHidden/>
    <w:rsid w:val="006308D0"/>
    <w:pPr>
      <w:numPr>
        <w:numId w:val="31"/>
      </w:numPr>
    </w:pPr>
  </w:style>
  <w:style w:type="paragraph" w:styleId="ListBullet">
    <w:name w:val="List Bullet"/>
    <w:basedOn w:val="Normal"/>
    <w:uiPriority w:val="99"/>
    <w:semiHidden/>
    <w:unhideWhenUsed/>
    <w:qFormat/>
    <w:rsid w:val="00266C2E"/>
    <w:pPr>
      <w:tabs>
        <w:tab w:val="num" w:pos="360"/>
      </w:tabs>
      <w:ind w:left="360" w:hanging="360"/>
      <w:contextualSpacing/>
    </w:pPr>
  </w:style>
  <w:style w:type="paragraph" w:styleId="ListBullet2">
    <w:name w:val="List Bullet 2"/>
    <w:basedOn w:val="Normal"/>
    <w:uiPriority w:val="99"/>
    <w:semiHidden/>
    <w:unhideWhenUsed/>
    <w:qFormat/>
    <w:rsid w:val="00266C2E"/>
    <w:pPr>
      <w:tabs>
        <w:tab w:val="num" w:pos="643"/>
      </w:tabs>
      <w:ind w:left="643" w:hanging="360"/>
      <w:contextualSpacing/>
    </w:pPr>
  </w:style>
  <w:style w:type="paragraph" w:styleId="ListBullet3">
    <w:name w:val="List Bullet 3"/>
    <w:basedOn w:val="Normal"/>
    <w:uiPriority w:val="99"/>
    <w:semiHidden/>
    <w:unhideWhenUsed/>
    <w:rsid w:val="00266C2E"/>
    <w:pPr>
      <w:tabs>
        <w:tab w:val="num" w:pos="926"/>
      </w:tabs>
      <w:ind w:left="926" w:hanging="360"/>
      <w:contextualSpacing/>
    </w:pPr>
  </w:style>
  <w:style w:type="paragraph" w:styleId="ListNumber">
    <w:name w:val="List Number"/>
    <w:basedOn w:val="Normal"/>
    <w:uiPriority w:val="99"/>
    <w:semiHidden/>
    <w:unhideWhenUsed/>
    <w:qFormat/>
    <w:rsid w:val="00266C2E"/>
    <w:pPr>
      <w:tabs>
        <w:tab w:val="num" w:pos="360"/>
      </w:tabs>
      <w:ind w:left="360" w:hanging="360"/>
      <w:contextualSpacing/>
    </w:pPr>
  </w:style>
  <w:style w:type="paragraph" w:styleId="ListNumber2">
    <w:name w:val="List Number 2"/>
    <w:basedOn w:val="Normal"/>
    <w:uiPriority w:val="99"/>
    <w:semiHidden/>
    <w:unhideWhenUsed/>
    <w:qFormat/>
    <w:rsid w:val="00266C2E"/>
    <w:pPr>
      <w:tabs>
        <w:tab w:val="num" w:pos="643"/>
      </w:tabs>
      <w:ind w:left="643" w:hanging="360"/>
      <w:contextualSpacing/>
    </w:pPr>
  </w:style>
  <w:style w:type="paragraph" w:styleId="ListNumber3">
    <w:name w:val="List Number 3"/>
    <w:basedOn w:val="Normal"/>
    <w:uiPriority w:val="99"/>
    <w:semiHidden/>
    <w:unhideWhenUsed/>
    <w:qFormat/>
    <w:rsid w:val="00266C2E"/>
    <w:pPr>
      <w:tabs>
        <w:tab w:val="num" w:pos="926"/>
      </w:tabs>
      <w:ind w:left="926" w:hanging="360"/>
      <w:contextualSpacing/>
    </w:pPr>
  </w:style>
  <w:style w:type="paragraph" w:styleId="ListNumber4">
    <w:name w:val="List Number 4"/>
    <w:basedOn w:val="Normal"/>
    <w:uiPriority w:val="99"/>
    <w:semiHidden/>
    <w:unhideWhenUsed/>
    <w:rsid w:val="00266C2E"/>
    <w:pPr>
      <w:tabs>
        <w:tab w:val="num" w:pos="1209"/>
      </w:tabs>
      <w:ind w:left="1209" w:hanging="360"/>
      <w:contextualSpacing/>
    </w:pPr>
  </w:style>
  <w:style w:type="paragraph" w:customStyle="1" w:styleId="LetterSubject">
    <w:name w:val="Letter Subject"/>
    <w:next w:val="Normal"/>
    <w:uiPriority w:val="99"/>
    <w:semiHidden/>
    <w:rsid w:val="006308D0"/>
    <w:pPr>
      <w:spacing w:after="480"/>
    </w:pPr>
    <w:rPr>
      <w:rFonts w:eastAsiaTheme="majorEastAsia" w:cstheme="majorBidi"/>
      <w:b/>
      <w:szCs w:val="32"/>
    </w:rPr>
  </w:style>
  <w:style w:type="paragraph" w:customStyle="1" w:styleId="ProjectDetails">
    <w:name w:val="Project Details"/>
    <w:basedOn w:val="Normal"/>
    <w:next w:val="Normal"/>
    <w:uiPriority w:val="99"/>
    <w:semiHidden/>
    <w:qFormat/>
    <w:rsid w:val="006308D0"/>
    <w:pPr>
      <w:spacing w:after="480"/>
      <w:contextualSpacing/>
    </w:pPr>
    <w:rPr>
      <w:rFonts w:eastAsiaTheme="majorEastAsia" w:cstheme="majorBidi"/>
      <w:szCs w:val="32"/>
    </w:rPr>
  </w:style>
  <w:style w:type="paragraph" w:customStyle="1" w:styleId="RecipientDetails">
    <w:name w:val="Recipient Details"/>
    <w:basedOn w:val="Normal"/>
    <w:uiPriority w:val="99"/>
    <w:semiHidden/>
    <w:qFormat/>
    <w:rsid w:val="006308D0"/>
    <w:pPr>
      <w:spacing w:before="240" w:after="240"/>
      <w:contextualSpacing/>
    </w:pPr>
  </w:style>
  <w:style w:type="paragraph" w:customStyle="1" w:styleId="LetterDate">
    <w:name w:val="Letter Date"/>
    <w:basedOn w:val="Normal"/>
    <w:uiPriority w:val="99"/>
    <w:semiHidden/>
    <w:rsid w:val="006308D0"/>
    <w:pPr>
      <w:spacing w:after="240"/>
    </w:pPr>
  </w:style>
  <w:style w:type="paragraph" w:customStyle="1" w:styleId="Copies">
    <w:name w:val="Copies"/>
    <w:basedOn w:val="BodyText"/>
    <w:uiPriority w:val="99"/>
    <w:semiHidden/>
    <w:qFormat/>
    <w:rsid w:val="006308D0"/>
    <w:pPr>
      <w:ind w:left="1134" w:hanging="1134"/>
    </w:pPr>
  </w:style>
  <w:style w:type="paragraph" w:customStyle="1" w:styleId="SenderDetails">
    <w:name w:val="Sender Details"/>
    <w:basedOn w:val="Normal"/>
    <w:next w:val="BodyText"/>
    <w:uiPriority w:val="99"/>
    <w:semiHidden/>
    <w:qFormat/>
    <w:rsid w:val="006308D0"/>
    <w:pPr>
      <w:spacing w:before="180" w:after="60" w:line="240" w:lineRule="auto"/>
      <w:contextualSpacing/>
    </w:pPr>
  </w:style>
  <w:style w:type="paragraph" w:customStyle="1" w:styleId="SenderContactDetails">
    <w:name w:val="Sender Contact Details"/>
    <w:basedOn w:val="Normal"/>
    <w:next w:val="BodyText"/>
    <w:uiPriority w:val="99"/>
    <w:semiHidden/>
    <w:qFormat/>
    <w:rsid w:val="006308D0"/>
    <w:pPr>
      <w:spacing w:before="180" w:after="60"/>
      <w:contextualSpacing/>
    </w:pPr>
    <w:rPr>
      <w:sz w:val="16"/>
    </w:rPr>
  </w:style>
  <w:style w:type="paragraph" w:customStyle="1" w:styleId="CVResumeBullet2ndLevel">
    <w:name w:val="CV Resume Bullet 2nd Level"/>
    <w:basedOn w:val="CVResumeBullet"/>
    <w:uiPriority w:val="99"/>
    <w:semiHidden/>
    <w:rsid w:val="006308D0"/>
    <w:pPr>
      <w:numPr>
        <w:numId w:val="24"/>
      </w:numPr>
      <w:ind w:left="340" w:hanging="170"/>
    </w:pPr>
  </w:style>
  <w:style w:type="paragraph" w:customStyle="1" w:styleId="CVResumeSubcategoryHeading">
    <w:name w:val="CV Resume Subcategory Heading"/>
    <w:basedOn w:val="Normal"/>
    <w:next w:val="Normal"/>
    <w:uiPriority w:val="99"/>
    <w:semiHidden/>
    <w:rsid w:val="006308D0"/>
    <w:pPr>
      <w:spacing w:before="120" w:after="120"/>
    </w:pPr>
    <w:rPr>
      <w:color w:val="333333"/>
      <w:sz w:val="22"/>
    </w:rPr>
  </w:style>
  <w:style w:type="paragraph" w:customStyle="1" w:styleId="CVResumeTableText">
    <w:name w:val="CV Resume Table Text"/>
    <w:basedOn w:val="Normal"/>
    <w:uiPriority w:val="99"/>
    <w:semiHidden/>
    <w:rsid w:val="006308D0"/>
    <w:pPr>
      <w:spacing w:after="60"/>
    </w:pPr>
    <w:rPr>
      <w:rFonts w:ascii="Jacobs Chronos Light" w:hAnsi="Jacobs Chronos Light"/>
    </w:rPr>
  </w:style>
  <w:style w:type="paragraph" w:customStyle="1" w:styleId="CVResumeName">
    <w:name w:val="CV Resume Name"/>
    <w:uiPriority w:val="99"/>
    <w:semiHidden/>
    <w:rsid w:val="006308D0"/>
    <w:pPr>
      <w:spacing w:after="120"/>
    </w:pPr>
    <w:rPr>
      <w:rFonts w:cs="Jacobs Chronos"/>
      <w:b/>
      <w:color w:val="007D55" w:themeColor="accent1"/>
      <w:sz w:val="32"/>
      <w:szCs w:val="24"/>
    </w:rPr>
  </w:style>
  <w:style w:type="paragraph" w:customStyle="1" w:styleId="CVResumeTitleRole">
    <w:name w:val="CV Resume Title Role"/>
    <w:next w:val="CVResumeHeading"/>
    <w:uiPriority w:val="99"/>
    <w:semiHidden/>
    <w:rsid w:val="006308D0"/>
    <w:rPr>
      <w:rFonts w:cs="Jacobs Chronos"/>
      <w:sz w:val="28"/>
      <w:szCs w:val="24"/>
    </w:rPr>
  </w:style>
  <w:style w:type="paragraph" w:customStyle="1" w:styleId="CVResumeBullet">
    <w:name w:val="CV Resume Bullet"/>
    <w:basedOn w:val="CVResumeTableText"/>
    <w:uiPriority w:val="99"/>
    <w:semiHidden/>
    <w:qFormat/>
    <w:rsid w:val="006308D0"/>
    <w:pPr>
      <w:numPr>
        <w:numId w:val="23"/>
      </w:numPr>
      <w:ind w:left="170" w:hanging="170"/>
    </w:pPr>
    <w:rPr>
      <w:rFonts w:asciiTheme="minorHAnsi" w:hAnsiTheme="minorHAnsi"/>
    </w:rPr>
  </w:style>
  <w:style w:type="paragraph" w:customStyle="1" w:styleId="CVResumeTableHeading">
    <w:name w:val="CV Resume Table Heading"/>
    <w:basedOn w:val="CVResumeTableText"/>
    <w:next w:val="CVResumeTableText"/>
    <w:uiPriority w:val="99"/>
    <w:semiHidden/>
    <w:rsid w:val="006308D0"/>
    <w:rPr>
      <w:rFonts w:asciiTheme="minorHAnsi" w:hAnsiTheme="minorHAnsi" w:cs="Jacobs Chronos Light"/>
      <w:b/>
      <w:color w:val="333333" w:themeColor="text2"/>
    </w:rPr>
  </w:style>
  <w:style w:type="paragraph" w:customStyle="1" w:styleId="CVResumeHeading">
    <w:name w:val="CV Resume Heading"/>
    <w:next w:val="BodyText"/>
    <w:uiPriority w:val="99"/>
    <w:semiHidden/>
    <w:qFormat/>
    <w:rsid w:val="006308D0"/>
    <w:pPr>
      <w:spacing w:before="120" w:after="120"/>
    </w:pPr>
    <w:rPr>
      <w:rFonts w:asciiTheme="minorHAnsi" w:hAnsiTheme="minorHAnsi" w:cs="Jacobs Chronos Light"/>
      <w:color w:val="007D55" w:themeColor="accent1"/>
      <w:sz w:val="24"/>
      <w:szCs w:val="24"/>
    </w:rPr>
  </w:style>
  <w:style w:type="paragraph" w:customStyle="1" w:styleId="CVResumeProjectHeading">
    <w:name w:val="CV Resume Project Heading"/>
    <w:next w:val="BodyText"/>
    <w:uiPriority w:val="99"/>
    <w:semiHidden/>
    <w:rsid w:val="006308D0"/>
    <w:pPr>
      <w:spacing w:before="180" w:after="120"/>
    </w:pPr>
    <w:rPr>
      <w:rFonts w:asciiTheme="minorHAnsi" w:hAnsiTheme="minorHAnsi" w:cs="Jacobs Chronos"/>
      <w:b/>
      <w:color w:val="007D55" w:themeColor="accent1"/>
      <w:sz w:val="22"/>
      <w:szCs w:val="24"/>
    </w:rPr>
  </w:style>
  <w:style w:type="paragraph" w:customStyle="1" w:styleId="AddressText">
    <w:name w:val="Address Text"/>
    <w:basedOn w:val="TableText"/>
    <w:uiPriority w:val="99"/>
    <w:semiHidden/>
    <w:qFormat/>
    <w:rsid w:val="006308D0"/>
    <w:pPr>
      <w:spacing w:before="60" w:after="60"/>
    </w:pPr>
  </w:style>
  <w:style w:type="paragraph" w:customStyle="1" w:styleId="PhotologNumber">
    <w:name w:val="Photolog Number"/>
    <w:basedOn w:val="BodyText"/>
    <w:uiPriority w:val="7"/>
    <w:rsid w:val="006308D0"/>
    <w:pPr>
      <w:numPr>
        <w:numId w:val="27"/>
      </w:numPr>
    </w:pPr>
    <w:rPr>
      <w:rFonts w:eastAsiaTheme="minorHAnsi"/>
      <w:b/>
    </w:rPr>
  </w:style>
  <w:style w:type="numbering" w:customStyle="1" w:styleId="PhotologNumberList">
    <w:name w:val="Photolog Number List"/>
    <w:uiPriority w:val="99"/>
    <w:semiHidden/>
    <w:rsid w:val="006308D0"/>
    <w:pPr>
      <w:numPr>
        <w:numId w:val="25"/>
      </w:numPr>
    </w:pPr>
  </w:style>
  <w:style w:type="paragraph" w:customStyle="1" w:styleId="CapabilityBullet">
    <w:name w:val="Capability Bullet"/>
    <w:uiPriority w:val="99"/>
    <w:semiHidden/>
    <w:qFormat/>
    <w:rsid w:val="006308D0"/>
    <w:pPr>
      <w:numPr>
        <w:numId w:val="32"/>
      </w:numPr>
      <w:spacing w:before="40" w:after="40"/>
    </w:pPr>
    <w:rPr>
      <w:rFonts w:cs="Jacobs Chronos"/>
      <w:szCs w:val="24"/>
    </w:rPr>
  </w:style>
  <w:style w:type="paragraph" w:customStyle="1" w:styleId="CapabilityBullet2ndLevel">
    <w:name w:val="Capability Bullet 2nd Level"/>
    <w:basedOn w:val="CapabilityBullet"/>
    <w:uiPriority w:val="99"/>
    <w:semiHidden/>
    <w:rsid w:val="006308D0"/>
    <w:pPr>
      <w:numPr>
        <w:ilvl w:val="1"/>
      </w:numPr>
    </w:pPr>
  </w:style>
  <w:style w:type="numbering" w:customStyle="1" w:styleId="CapabilityBullets">
    <w:name w:val="Capability Bullets"/>
    <w:uiPriority w:val="99"/>
    <w:semiHidden/>
    <w:rsid w:val="006308D0"/>
    <w:pPr>
      <w:numPr>
        <w:numId w:val="32"/>
      </w:numPr>
    </w:pPr>
  </w:style>
  <w:style w:type="paragraph" w:customStyle="1" w:styleId="ProjectBullet">
    <w:name w:val="Project Bullet"/>
    <w:uiPriority w:val="99"/>
    <w:semiHidden/>
    <w:qFormat/>
    <w:rsid w:val="006308D0"/>
    <w:pPr>
      <w:numPr>
        <w:numId w:val="26"/>
      </w:numPr>
      <w:spacing w:after="60"/>
    </w:pPr>
    <w:rPr>
      <w:rFonts w:cs="Jacobs Chronos"/>
      <w:szCs w:val="24"/>
    </w:rPr>
  </w:style>
  <w:style w:type="paragraph" w:customStyle="1" w:styleId="ProjectBullet2ndLevel">
    <w:name w:val="Project Bullet 2nd Level"/>
    <w:basedOn w:val="ProjectBullet"/>
    <w:uiPriority w:val="99"/>
    <w:semiHidden/>
    <w:rsid w:val="006308D0"/>
    <w:pPr>
      <w:numPr>
        <w:ilvl w:val="1"/>
      </w:numPr>
    </w:pPr>
  </w:style>
  <w:style w:type="numbering" w:customStyle="1" w:styleId="ProjectBullets">
    <w:name w:val="Project Bullets"/>
    <w:uiPriority w:val="99"/>
    <w:semiHidden/>
    <w:rsid w:val="006308D0"/>
    <w:pPr>
      <w:numPr>
        <w:numId w:val="26"/>
      </w:numPr>
    </w:pPr>
  </w:style>
  <w:style w:type="numbering" w:customStyle="1" w:styleId="SingleSequentialNumbering">
    <w:name w:val="Single Sequential Numbering"/>
    <w:uiPriority w:val="99"/>
    <w:semiHidden/>
    <w:rsid w:val="006308D0"/>
    <w:pPr>
      <w:numPr>
        <w:numId w:val="28"/>
      </w:numPr>
    </w:pPr>
  </w:style>
  <w:style w:type="paragraph" w:customStyle="1" w:styleId="SourceCitation0">
    <w:name w:val="Source/Citation"/>
    <w:basedOn w:val="Normal"/>
    <w:next w:val="BodyText"/>
    <w:uiPriority w:val="8"/>
    <w:qFormat/>
    <w:rsid w:val="006308D0"/>
    <w:pPr>
      <w:spacing w:before="40" w:after="40"/>
    </w:pPr>
    <w:rPr>
      <w:rFonts w:asciiTheme="minorHAnsi" w:hAnsiTheme="minorHAnsi"/>
      <w:i/>
      <w:sz w:val="18"/>
    </w:rPr>
  </w:style>
  <w:style w:type="paragraph" w:customStyle="1" w:styleId="CoverDate">
    <w:name w:val="Cover Date"/>
    <w:basedOn w:val="CoverInformation"/>
    <w:uiPriority w:val="99"/>
    <w:semiHidden/>
    <w:qFormat/>
    <w:rsid w:val="006308D0"/>
    <w:pPr>
      <w:spacing w:before="1080"/>
      <w:contextualSpacing w:val="0"/>
      <w:jc w:val="right"/>
    </w:pPr>
  </w:style>
  <w:style w:type="paragraph" w:customStyle="1" w:styleId="CaptionNote">
    <w:name w:val="Caption Note"/>
    <w:basedOn w:val="Normal"/>
    <w:next w:val="BodyText"/>
    <w:uiPriority w:val="99"/>
    <w:semiHidden/>
    <w:rsid w:val="006308D0"/>
    <w:pPr>
      <w:spacing w:before="40" w:after="40"/>
    </w:pPr>
    <w:rPr>
      <w:rFonts w:asciiTheme="minorHAnsi" w:hAnsiTheme="minorHAnsi"/>
      <w:i/>
    </w:rPr>
  </w:style>
  <w:style w:type="paragraph" w:customStyle="1" w:styleId="PictureCaption">
    <w:name w:val="Picture Caption"/>
    <w:basedOn w:val="FigureCaption"/>
    <w:next w:val="BodyText"/>
    <w:uiPriority w:val="99"/>
    <w:semiHidden/>
    <w:rsid w:val="006308D0"/>
    <w:pPr>
      <w:keepNext/>
    </w:pPr>
  </w:style>
  <w:style w:type="paragraph" w:customStyle="1" w:styleId="Classification">
    <w:name w:val="Classification"/>
    <w:basedOn w:val="HeaderSpacer"/>
    <w:uiPriority w:val="99"/>
    <w:semiHidden/>
    <w:rsid w:val="006308D0"/>
    <w:pPr>
      <w:jc w:val="center"/>
    </w:pPr>
  </w:style>
  <w:style w:type="paragraph" w:customStyle="1" w:styleId="ProjectHeading">
    <w:name w:val="Project Heading"/>
    <w:next w:val="Normal"/>
    <w:uiPriority w:val="99"/>
    <w:semiHidden/>
    <w:qFormat/>
    <w:rsid w:val="006308D0"/>
    <w:pPr>
      <w:spacing w:before="120" w:after="120"/>
    </w:pPr>
    <w:rPr>
      <w:rFonts w:asciiTheme="minorHAnsi" w:hAnsiTheme="minorHAnsi" w:cs="Jacobs Chronos Light"/>
      <w:color w:val="007D55" w:themeColor="accent1"/>
      <w:sz w:val="24"/>
    </w:rPr>
  </w:style>
  <w:style w:type="paragraph" w:customStyle="1" w:styleId="EgressHeaderStyleInternalOnlyIdOffice">
    <w:name w:val="EgressHeaderStyleInternalOnlyIdOffice"/>
    <w:basedOn w:val="Normal"/>
    <w:uiPriority w:val="99"/>
    <w:semiHidden/>
    <w:rsid w:val="006308D0"/>
    <w:pPr>
      <w:spacing w:line="240" w:lineRule="auto"/>
      <w:jc w:val="center"/>
    </w:pPr>
    <w:rPr>
      <w:rFonts w:ascii="Arial" w:hAnsi="Arial" w:cs="Arial"/>
      <w:b/>
      <w:color w:val="000000"/>
      <w:sz w:val="24"/>
    </w:rPr>
  </w:style>
  <w:style w:type="paragraph" w:customStyle="1" w:styleId="EgressFooterStyleInternalOnlyIdOffice">
    <w:name w:val="EgressFooterStyleInternalOnlyIdOffice"/>
    <w:basedOn w:val="Normal"/>
    <w:uiPriority w:val="99"/>
    <w:semiHidden/>
    <w:rsid w:val="006308D0"/>
    <w:pPr>
      <w:spacing w:line="240" w:lineRule="auto"/>
      <w:jc w:val="center"/>
    </w:pPr>
    <w:rPr>
      <w:rFonts w:ascii="Arial" w:hAnsi="Arial" w:cs="Arial"/>
      <w:b/>
      <w:color w:val="000000"/>
      <w:sz w:val="24"/>
    </w:rPr>
  </w:style>
  <w:style w:type="table" w:customStyle="1" w:styleId="JacobsTable1accentprimarythemes">
    <w:name w:val="Jacobs Table 1 (accent &amp; primary themes)"/>
    <w:basedOn w:val="TableNormal"/>
    <w:uiPriority w:val="99"/>
    <w:rsid w:val="006308D0"/>
    <w:pPr>
      <w:spacing w:before="40" w:after="40"/>
    </w:pPr>
    <w:rPr>
      <w:rFonts w:asciiTheme="minorHAnsi" w:hAnsiTheme="minorHAnsi"/>
      <w:sz w:val="18"/>
    </w:rPr>
    <w:tblPr>
      <w:tblBorders>
        <w:top w:val="single" w:sz="4" w:space="0" w:color="007D55" w:themeColor="accent1"/>
        <w:bottom w:val="single" w:sz="4" w:space="0" w:color="007D55" w:themeColor="accent1"/>
        <w:insideH w:val="single" w:sz="4" w:space="0" w:color="007D55" w:themeColor="accent1"/>
        <w:insideV w:val="single" w:sz="4" w:space="0" w:color="007D55" w:themeColor="accent1"/>
      </w:tblBorders>
    </w:tblPr>
    <w:tcPr>
      <w:shd w:val="clear" w:color="auto" w:fill="auto"/>
    </w:tcPr>
    <w:tblStylePr w:type="firstRow">
      <w:pPr>
        <w:wordWrap/>
        <w:spacing w:beforeLines="0" w:before="60" w:beforeAutospacing="0" w:afterLines="0" w:after="60" w:afterAutospacing="0"/>
      </w:pPr>
      <w:rPr>
        <w:rFonts w:asciiTheme="minorHAnsi" w:hAnsiTheme="minorHAnsi"/>
        <w:b w:val="0"/>
        <w:color w:val="FFFFFF" w:themeColor="background1"/>
        <w:sz w:val="22"/>
      </w:rPr>
      <w:tblPr/>
      <w:trPr>
        <w:tblHeader/>
      </w:trPr>
      <w:tcPr>
        <w:shd w:val="clear" w:color="auto" w:fill="007D55" w:themeFill="accent1"/>
      </w:tcPr>
    </w:tblStylePr>
  </w:style>
  <w:style w:type="table" w:customStyle="1" w:styleId="JacobsTable2accentthemes">
    <w:name w:val="Jacobs Table 2 (accent themes)"/>
    <w:basedOn w:val="TableNormal"/>
    <w:uiPriority w:val="99"/>
    <w:rsid w:val="006308D0"/>
    <w:pPr>
      <w:spacing w:before="40" w:after="40"/>
    </w:pPr>
    <w:rPr>
      <w:rFonts w:asciiTheme="minorHAnsi" w:hAnsiTheme="minorHAnsi"/>
      <w:sz w:val="18"/>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auto"/>
    </w:tcPr>
    <w:tblStylePr w:type="firstRow">
      <w:pPr>
        <w:wordWrap/>
        <w:spacing w:beforeLines="0" w:before="60" w:beforeAutospacing="0" w:afterLines="0" w:after="60" w:afterAutospacing="0"/>
      </w:pPr>
      <w:rPr>
        <w:rFonts w:asciiTheme="minorHAnsi" w:hAnsiTheme="minorHAnsi"/>
        <w:b w:val="0"/>
        <w:color w:val="FFFFFF" w:themeColor="background1"/>
        <w:sz w:val="22"/>
      </w:rPr>
      <w:tblPr/>
      <w:trPr>
        <w:tblHeader/>
      </w:trPr>
      <w:tcPr>
        <w:shd w:val="clear" w:color="auto" w:fill="FFA014" w:themeFill="accent4"/>
      </w:tcPr>
    </w:tblStylePr>
    <w:tblStylePr w:type="firstCol">
      <w:rPr>
        <w:b/>
        <w:color w:val="FFFFFF" w:themeColor="background1"/>
      </w:rPr>
      <w:tblPr/>
      <w:tcPr>
        <w:shd w:val="clear" w:color="auto" w:fill="007D55" w:themeFill="accent1"/>
      </w:tcPr>
    </w:tblStylePr>
    <w:tblStylePr w:type="band2Horz">
      <w:tblPr/>
      <w:tcPr>
        <w:tcBorders>
          <w:insideV w:val="single" w:sz="4" w:space="0" w:color="FFFFFF" w:themeColor="background1"/>
        </w:tcBorders>
        <w:shd w:val="clear" w:color="auto" w:fill="E6E6E6" w:themeFill="background2"/>
      </w:tcPr>
    </w:tblStylePr>
  </w:style>
  <w:style w:type="table" w:customStyle="1" w:styleId="JacobsTable3accentthemes">
    <w:name w:val="Jacobs Table 3 (accent themes)"/>
    <w:basedOn w:val="TableNormal"/>
    <w:uiPriority w:val="99"/>
    <w:rsid w:val="006308D0"/>
    <w:pPr>
      <w:spacing w:before="40" w:after="40"/>
    </w:pPr>
    <w:rPr>
      <w:rFonts w:asciiTheme="minorHAnsi" w:hAnsiTheme="minorHAnsi"/>
      <w:sz w:val="18"/>
    </w:rPr>
    <w:tblPr>
      <w:tblStyleRowBandSize w:val="1"/>
      <w:tblBorders>
        <w:top w:val="single" w:sz="4" w:space="0" w:color="D72850" w:themeColor="accent3"/>
        <w:bottom w:val="single" w:sz="4" w:space="0" w:color="D72850" w:themeColor="accent3"/>
        <w:insideH w:val="single" w:sz="4" w:space="0" w:color="D72850" w:themeColor="accent3"/>
        <w:insideV w:val="single" w:sz="4" w:space="0" w:color="D72850" w:themeColor="accent3"/>
      </w:tblBorders>
    </w:tblPr>
    <w:tblStylePr w:type="firstRow">
      <w:pPr>
        <w:wordWrap/>
        <w:spacing w:beforeLines="0" w:before="60" w:beforeAutospacing="0" w:afterLines="0" w:after="60" w:afterAutospacing="0"/>
      </w:pPr>
      <w:rPr>
        <w:rFonts w:asciiTheme="minorHAnsi" w:hAnsiTheme="minorHAnsi"/>
        <w:b w:val="0"/>
        <w:color w:val="FFFFFF" w:themeColor="background1"/>
        <w:sz w:val="22"/>
      </w:rPr>
      <w:tblPr/>
      <w:trPr>
        <w:tblHeader/>
      </w:trPr>
      <w:tcPr>
        <w:tcBorders>
          <w:top w:val="nil"/>
          <w:left w:val="nil"/>
          <w:bottom w:val="nil"/>
          <w:right w:val="nil"/>
          <w:insideH w:val="nil"/>
          <w:insideV w:val="nil"/>
          <w:tl2br w:val="nil"/>
          <w:tr2bl w:val="nil"/>
        </w:tcBorders>
        <w:shd w:val="clear" w:color="auto" w:fill="FFA014" w:themeFill="accent4"/>
      </w:tcPr>
    </w:tblStylePr>
    <w:tblStylePr w:type="band1Horz">
      <w:tblPr/>
      <w:tcPr>
        <w:tcBorders>
          <w:insideV w:val="single" w:sz="4" w:space="0" w:color="FFFFFF" w:themeColor="background1"/>
        </w:tcBorders>
        <w:shd w:val="clear" w:color="auto" w:fill="D72850" w:themeFill="accent3"/>
      </w:tcPr>
    </w:tblStylePr>
  </w:style>
  <w:style w:type="table" w:customStyle="1" w:styleId="JacobsTable2primarythemes">
    <w:name w:val="Jacobs Table 2 (primary themes)"/>
    <w:basedOn w:val="TableNormal"/>
    <w:uiPriority w:val="99"/>
    <w:rsid w:val="006308D0"/>
    <w:pPr>
      <w:spacing w:before="40" w:after="40"/>
    </w:pPr>
    <w:rPr>
      <w:rFonts w:asciiTheme="minorHAnsi" w:hAnsiTheme="minorHAnsi"/>
      <w:sz w:val="18"/>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auto"/>
    </w:tc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shd w:val="clear" w:color="auto" w:fill="000000" w:themeFill="text1"/>
      </w:tcPr>
    </w:tblStylePr>
    <w:tblStylePr w:type="firstCol">
      <w:rPr>
        <w:b/>
        <w:color w:val="FFFFFF" w:themeColor="background1"/>
      </w:rPr>
      <w:tblPr/>
      <w:tcPr>
        <w:shd w:val="clear" w:color="auto" w:fill="007D55" w:themeFill="accent1"/>
      </w:tcPr>
    </w:tblStylePr>
    <w:tblStylePr w:type="band2Horz">
      <w:tblPr/>
      <w:tcPr>
        <w:tcBorders>
          <w:insideV w:val="single" w:sz="4" w:space="0" w:color="FFFFFF" w:themeColor="background1"/>
        </w:tcBorders>
        <w:shd w:val="clear" w:color="auto" w:fill="E6E6E6" w:themeFill="background2"/>
      </w:tcPr>
    </w:tblStylePr>
  </w:style>
  <w:style w:type="table" w:customStyle="1" w:styleId="JacobsTable3primarythemes">
    <w:name w:val="Jacobs Table 3 (primary themes)"/>
    <w:basedOn w:val="TableNormal"/>
    <w:uiPriority w:val="99"/>
    <w:rsid w:val="006308D0"/>
    <w:pPr>
      <w:spacing w:before="40" w:after="40"/>
    </w:pPr>
    <w:rPr>
      <w:rFonts w:asciiTheme="minorHAnsi" w:hAnsiTheme="minorHAnsi"/>
      <w:sz w:val="18"/>
    </w:rPr>
    <w:tblPr>
      <w:tblStyleRowBandSize w:val="1"/>
      <w:tblBorders>
        <w:top w:val="single" w:sz="4" w:space="0" w:color="007D55" w:themeColor="accent1"/>
        <w:bottom w:val="single" w:sz="4" w:space="0" w:color="007D55" w:themeColor="accent1"/>
        <w:insideH w:val="single" w:sz="4" w:space="0" w:color="007D55" w:themeColor="accent1"/>
        <w:insideV w:val="single" w:sz="4" w:space="0" w:color="007D55" w:themeColor="accent1"/>
      </w:tblBorders>
    </w:tbl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tcBorders>
          <w:top w:val="nil"/>
          <w:left w:val="nil"/>
          <w:bottom w:val="nil"/>
          <w:right w:val="nil"/>
          <w:insideH w:val="nil"/>
          <w:insideV w:val="nil"/>
          <w:tl2br w:val="nil"/>
          <w:tr2bl w:val="nil"/>
        </w:tcBorders>
        <w:shd w:val="clear" w:color="auto" w:fill="007D55" w:themeFill="accent1"/>
      </w:tcPr>
    </w:tblStylePr>
    <w:tblStylePr w:type="band1Horz">
      <w:tblPr/>
      <w:tcPr>
        <w:shd w:val="clear" w:color="auto" w:fill="E6E6E6" w:themeFill="background2"/>
      </w:tcPr>
    </w:tblStylePr>
  </w:style>
  <w:style w:type="paragraph" w:customStyle="1" w:styleId="InstructionNumber">
    <w:name w:val="Instruction Number"/>
    <w:basedOn w:val="InstructionText"/>
    <w:uiPriority w:val="99"/>
    <w:semiHidden/>
    <w:qFormat/>
    <w:rsid w:val="006308D0"/>
    <w:pPr>
      <w:numPr>
        <w:numId w:val="33"/>
      </w:numPr>
    </w:pPr>
  </w:style>
  <w:style w:type="paragraph" w:customStyle="1" w:styleId="InstructionBullet">
    <w:name w:val="Instruction Bullet"/>
    <w:basedOn w:val="InstructionText"/>
    <w:uiPriority w:val="99"/>
    <w:semiHidden/>
    <w:qFormat/>
    <w:rsid w:val="006308D0"/>
    <w:pPr>
      <w:numPr>
        <w:ilvl w:val="1"/>
        <w:numId w:val="33"/>
      </w:numPr>
    </w:pPr>
  </w:style>
  <w:style w:type="numbering" w:customStyle="1" w:styleId="InstructionNumbering">
    <w:name w:val="Instruction Numbering"/>
    <w:uiPriority w:val="99"/>
    <w:semiHidden/>
    <w:rsid w:val="006308D0"/>
    <w:pPr>
      <w:numPr>
        <w:numId w:val="33"/>
      </w:numPr>
    </w:pPr>
  </w:style>
  <w:style w:type="paragraph" w:customStyle="1" w:styleId="ProjectTableText">
    <w:name w:val="Project Table Text"/>
    <w:uiPriority w:val="99"/>
    <w:semiHidden/>
    <w:qFormat/>
    <w:rsid w:val="006308D0"/>
    <w:rPr>
      <w:rFonts w:asciiTheme="minorHAnsi" w:hAnsiTheme="minorHAnsi"/>
    </w:rPr>
  </w:style>
  <w:style w:type="paragraph" w:customStyle="1" w:styleId="ProjectName">
    <w:name w:val="Project Name"/>
    <w:uiPriority w:val="99"/>
    <w:semiHidden/>
    <w:rsid w:val="006308D0"/>
    <w:pPr>
      <w:spacing w:after="120"/>
    </w:pPr>
    <w:rPr>
      <w:rFonts w:cs="Jacobs Chronos"/>
      <w:b/>
      <w:color w:val="007D55" w:themeColor="accent1"/>
      <w:sz w:val="32"/>
    </w:rPr>
  </w:style>
  <w:style w:type="paragraph" w:customStyle="1" w:styleId="ProjectLocation">
    <w:name w:val="Project Location"/>
    <w:next w:val="BodyText"/>
    <w:uiPriority w:val="99"/>
    <w:semiHidden/>
    <w:rsid w:val="006308D0"/>
    <w:rPr>
      <w:rFonts w:cs="Jacobs Chronos"/>
      <w:sz w:val="28"/>
    </w:rPr>
  </w:style>
  <w:style w:type="paragraph" w:customStyle="1" w:styleId="ProjectSubcategoryHeading">
    <w:name w:val="Project Subcategory Heading"/>
    <w:next w:val="BodyText"/>
    <w:uiPriority w:val="99"/>
    <w:semiHidden/>
    <w:rsid w:val="006308D0"/>
    <w:pPr>
      <w:spacing w:before="120" w:after="120"/>
    </w:pPr>
    <w:rPr>
      <w:rFonts w:cs="Jacobs Chronos"/>
      <w:color w:val="333333"/>
      <w:sz w:val="22"/>
    </w:rPr>
  </w:style>
  <w:style w:type="paragraph" w:customStyle="1" w:styleId="ProjectTableHeading">
    <w:name w:val="Project Table Heading"/>
    <w:basedOn w:val="Normal"/>
    <w:next w:val="Normal"/>
    <w:uiPriority w:val="99"/>
    <w:semiHidden/>
    <w:rsid w:val="006308D0"/>
    <w:pPr>
      <w:spacing w:after="60"/>
    </w:pPr>
    <w:rPr>
      <w:rFonts w:asciiTheme="minorHAnsi" w:hAnsiTheme="minorHAnsi" w:cs="Jacobs Chronos Light"/>
      <w:b/>
      <w:color w:val="333333" w:themeColor="text2"/>
    </w:rPr>
  </w:style>
  <w:style w:type="paragraph" w:customStyle="1" w:styleId="CapabilityWhitePaperTitle">
    <w:name w:val="Capability White Paper Title"/>
    <w:uiPriority w:val="99"/>
    <w:semiHidden/>
    <w:rsid w:val="006308D0"/>
    <w:pPr>
      <w:spacing w:after="120"/>
      <w:outlineLvl w:val="0"/>
    </w:pPr>
    <w:rPr>
      <w:rFonts w:cs="Jacobs Chronos"/>
      <w:b/>
      <w:color w:val="007D55" w:themeColor="accent1"/>
      <w:sz w:val="32"/>
      <w:szCs w:val="22"/>
    </w:rPr>
  </w:style>
  <w:style w:type="paragraph" w:customStyle="1" w:styleId="MarketSectorHeading">
    <w:name w:val="Market Sector Heading"/>
    <w:basedOn w:val="Normal"/>
    <w:next w:val="BodyText"/>
    <w:uiPriority w:val="99"/>
    <w:semiHidden/>
    <w:rsid w:val="006308D0"/>
    <w:pPr>
      <w:spacing w:before="120" w:after="240"/>
    </w:pPr>
    <w:rPr>
      <w:sz w:val="28"/>
      <w:szCs w:val="22"/>
    </w:rPr>
  </w:style>
  <w:style w:type="paragraph" w:customStyle="1" w:styleId="SubHeading2">
    <w:name w:val="Sub Heading 2"/>
    <w:next w:val="BodyText"/>
    <w:uiPriority w:val="99"/>
    <w:semiHidden/>
    <w:rsid w:val="006308D0"/>
    <w:pPr>
      <w:spacing w:before="240" w:after="120"/>
      <w:outlineLvl w:val="1"/>
    </w:pPr>
    <w:rPr>
      <w:rFonts w:cs="Jacobs Chronos Light"/>
      <w:color w:val="333333"/>
      <w:sz w:val="22"/>
      <w:szCs w:val="22"/>
    </w:rPr>
  </w:style>
  <w:style w:type="paragraph" w:customStyle="1" w:styleId="SubHeading">
    <w:name w:val="Sub Heading"/>
    <w:next w:val="Normal"/>
    <w:uiPriority w:val="99"/>
    <w:semiHidden/>
    <w:qFormat/>
    <w:rsid w:val="006308D0"/>
    <w:pPr>
      <w:spacing w:before="120" w:after="120"/>
      <w:outlineLvl w:val="0"/>
    </w:pPr>
    <w:rPr>
      <w:rFonts w:asciiTheme="minorHAnsi" w:hAnsiTheme="minorHAnsi" w:cs="Jacobs Chronos Light"/>
      <w:color w:val="007D55" w:themeColor="accent1"/>
      <w:sz w:val="24"/>
      <w:szCs w:val="22"/>
    </w:rPr>
  </w:style>
  <w:style w:type="paragraph" w:customStyle="1" w:styleId="CapabilityTableHeading">
    <w:name w:val="Capability Table Heading"/>
    <w:basedOn w:val="Normal"/>
    <w:uiPriority w:val="99"/>
    <w:semiHidden/>
    <w:rsid w:val="006308D0"/>
    <w:pPr>
      <w:framePr w:hSpace="180" w:wrap="around" w:vAnchor="text" w:hAnchor="text" w:y="-49"/>
      <w:spacing w:before="60" w:after="60"/>
    </w:pPr>
    <w:rPr>
      <w:rFonts w:asciiTheme="minorHAnsi" w:hAnsiTheme="minorHAnsi"/>
      <w:b/>
      <w:szCs w:val="22"/>
    </w:rPr>
  </w:style>
  <w:style w:type="paragraph" w:customStyle="1" w:styleId="CapabilityTableText">
    <w:name w:val="Capability Table Text"/>
    <w:basedOn w:val="BodyText"/>
    <w:uiPriority w:val="99"/>
    <w:semiHidden/>
    <w:rsid w:val="006308D0"/>
    <w:pPr>
      <w:spacing w:before="60"/>
    </w:pPr>
    <w:rPr>
      <w:rFonts w:asciiTheme="minorHAnsi" w:hAnsiTheme="minorHAnsi"/>
      <w:szCs w:val="22"/>
    </w:rPr>
  </w:style>
  <w:style w:type="paragraph" w:customStyle="1" w:styleId="Tablesmalltext">
    <w:name w:val="Table small text"/>
    <w:basedOn w:val="Normal"/>
    <w:qFormat/>
    <w:rsid w:val="00B36A05"/>
    <w:pPr>
      <w:spacing w:before="40" w:after="40" w:line="240" w:lineRule="atLeast"/>
    </w:pPr>
    <w:rPr>
      <w:rFonts w:ascii="Jacobs Chronos" w:hAnsi="Jacobs Chronos" w:cs="Jacobs Chronos"/>
      <w:sz w:val="16"/>
      <w:szCs w:val="24"/>
      <w:lang w:val="en-GB" w:eastAsia="en-US"/>
    </w:rPr>
  </w:style>
  <w:style w:type="paragraph" w:customStyle="1" w:styleId="Para0">
    <w:name w:val="Para 0"/>
    <w:aliases w:val="Auto,After:  3 pt"/>
    <w:basedOn w:val="Normal"/>
    <w:link w:val="Para0Char"/>
    <w:uiPriority w:val="4"/>
    <w:qFormat/>
    <w:rsid w:val="00D47E91"/>
    <w:pPr>
      <w:spacing w:before="240" w:after="120" w:line="240" w:lineRule="atLeast"/>
    </w:pPr>
    <w:rPr>
      <w:rFonts w:ascii="Jacobs Chronos" w:hAnsi="Jacobs Chronos" w:cs="Jacobs Chronos"/>
      <w:szCs w:val="24"/>
      <w:lang w:val="en-US" w:eastAsia="en-US"/>
    </w:rPr>
  </w:style>
  <w:style w:type="character" w:customStyle="1" w:styleId="Para0Char">
    <w:name w:val="Para 0 Char"/>
    <w:aliases w:val="Auto Char,After:  3 pt Char Char"/>
    <w:basedOn w:val="DefaultParagraphFont"/>
    <w:link w:val="Para0"/>
    <w:uiPriority w:val="4"/>
    <w:rsid w:val="00D47E91"/>
    <w:rPr>
      <w:rFonts w:ascii="Jacobs Chronos" w:hAnsi="Jacobs Chronos" w:cs="Jacobs Chronos"/>
      <w:szCs w:val="24"/>
      <w:lang w:val="en-US" w:eastAsia="en-US"/>
    </w:rPr>
  </w:style>
  <w:style w:type="paragraph" w:styleId="Revision">
    <w:name w:val="Revision"/>
    <w:hidden/>
    <w:uiPriority w:val="99"/>
    <w:semiHidden/>
    <w:rsid w:val="008E2979"/>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5017951">
      <w:bodyDiv w:val="1"/>
      <w:marLeft w:val="0"/>
      <w:marRight w:val="0"/>
      <w:marTop w:val="0"/>
      <w:marBottom w:val="0"/>
      <w:divBdr>
        <w:top w:val="none" w:sz="0" w:space="0" w:color="auto"/>
        <w:left w:val="none" w:sz="0" w:space="0" w:color="auto"/>
        <w:bottom w:val="none" w:sz="0" w:space="0" w:color="auto"/>
        <w:right w:val="none" w:sz="0" w:space="0" w:color="auto"/>
      </w:divBdr>
    </w:div>
    <w:div w:id="1009991183">
      <w:bodyDiv w:val="1"/>
      <w:marLeft w:val="0"/>
      <w:marRight w:val="0"/>
      <w:marTop w:val="0"/>
      <w:marBottom w:val="0"/>
      <w:divBdr>
        <w:top w:val="none" w:sz="0" w:space="0" w:color="auto"/>
        <w:left w:val="none" w:sz="0" w:space="0" w:color="auto"/>
        <w:bottom w:val="none" w:sz="0" w:space="0" w:color="auto"/>
        <w:right w:val="none" w:sz="0" w:space="0" w:color="auto"/>
      </w:divBdr>
    </w:div>
    <w:div w:id="1901135930">
      <w:bodyDiv w:val="1"/>
      <w:marLeft w:val="0"/>
      <w:marRight w:val="0"/>
      <w:marTop w:val="0"/>
      <w:marBottom w:val="0"/>
      <w:divBdr>
        <w:top w:val="none" w:sz="0" w:space="0" w:color="auto"/>
        <w:left w:val="none" w:sz="0" w:space="0" w:color="auto"/>
        <w:bottom w:val="none" w:sz="0" w:space="0" w:color="auto"/>
        <w:right w:val="none" w:sz="0" w:space="0" w:color="auto"/>
      </w:divBdr>
    </w:div>
    <w:div w:id="2124378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footer" Target="footer30.xml"/><Relationship Id="rId21" Type="http://schemas.openxmlformats.org/officeDocument/2006/relationships/image" Target="media/image1.png"/><Relationship Id="rId42" Type="http://schemas.openxmlformats.org/officeDocument/2006/relationships/footer" Target="footer10.xml"/><Relationship Id="rId47" Type="http://schemas.openxmlformats.org/officeDocument/2006/relationships/header" Target="header13.xm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header" Target="header17.xml"/><Relationship Id="rId89" Type="http://schemas.openxmlformats.org/officeDocument/2006/relationships/footer" Target="footer19.xml"/><Relationship Id="rId112" Type="http://schemas.openxmlformats.org/officeDocument/2006/relationships/footer" Target="footer27.xml"/><Relationship Id="rId16" Type="http://schemas.openxmlformats.org/officeDocument/2006/relationships/styles" Target="styles.xml"/><Relationship Id="rId107" Type="http://schemas.openxmlformats.org/officeDocument/2006/relationships/image" Target="media/image37.png"/><Relationship Id="rId11" Type="http://schemas.openxmlformats.org/officeDocument/2006/relationships/customXml" Target="../customXml/item11.xml"/><Relationship Id="rId32" Type="http://schemas.openxmlformats.org/officeDocument/2006/relationships/header" Target="header6.xml"/><Relationship Id="rId37" Type="http://schemas.openxmlformats.org/officeDocument/2006/relationships/footer" Target="footer7.xml"/><Relationship Id="rId53" Type="http://schemas.openxmlformats.org/officeDocument/2006/relationships/image" Target="media/image7.png"/><Relationship Id="rId58" Type="http://schemas.openxmlformats.org/officeDocument/2006/relationships/image" Target="media/image12.png"/><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footer" Target="footer24.xml"/><Relationship Id="rId5" Type="http://schemas.openxmlformats.org/officeDocument/2006/relationships/customXml" Target="../customXml/item5.xml"/><Relationship Id="rId90" Type="http://schemas.openxmlformats.org/officeDocument/2006/relationships/header" Target="header20.xml"/><Relationship Id="rId95" Type="http://schemas.openxmlformats.org/officeDocument/2006/relationships/header" Target="header22.xml"/><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image" Target="media/image5.png"/><Relationship Id="rId48" Type="http://schemas.openxmlformats.org/officeDocument/2006/relationships/footer" Target="footer12.xml"/><Relationship Id="rId64" Type="http://schemas.openxmlformats.org/officeDocument/2006/relationships/image" Target="media/image18.png"/><Relationship Id="rId69" Type="http://schemas.openxmlformats.org/officeDocument/2006/relationships/image" Target="media/image23.png"/><Relationship Id="rId113" Type="http://schemas.openxmlformats.org/officeDocument/2006/relationships/footer" Target="footer28.xml"/><Relationship Id="rId118" Type="http://schemas.openxmlformats.org/officeDocument/2006/relationships/fontTable" Target="fontTable.xml"/><Relationship Id="rId80" Type="http://schemas.openxmlformats.org/officeDocument/2006/relationships/header" Target="header15.xml"/><Relationship Id="rId85" Type="http://schemas.openxmlformats.org/officeDocument/2006/relationships/footer" Target="footer17.xml"/><Relationship Id="rId12" Type="http://schemas.openxmlformats.org/officeDocument/2006/relationships/customXml" Target="../customXml/item12.xml"/><Relationship Id="rId17" Type="http://schemas.openxmlformats.org/officeDocument/2006/relationships/settings" Target="settings.xml"/><Relationship Id="rId33" Type="http://schemas.openxmlformats.org/officeDocument/2006/relationships/footer" Target="footer6.xml"/><Relationship Id="rId38" Type="http://schemas.openxmlformats.org/officeDocument/2006/relationships/footer" Target="footer8.xml"/><Relationship Id="rId59" Type="http://schemas.openxmlformats.org/officeDocument/2006/relationships/image" Target="media/image13.png"/><Relationship Id="rId103" Type="http://schemas.openxmlformats.org/officeDocument/2006/relationships/footer" Target="footer25.xml"/><Relationship Id="rId108" Type="http://schemas.openxmlformats.org/officeDocument/2006/relationships/image" Target="media/image38.png"/><Relationship Id="rId54" Type="http://schemas.openxmlformats.org/officeDocument/2006/relationships/image" Target="media/image8.png"/><Relationship Id="rId70" Type="http://schemas.openxmlformats.org/officeDocument/2006/relationships/image" Target="media/image24.png"/><Relationship Id="rId75" Type="http://schemas.openxmlformats.org/officeDocument/2006/relationships/image" Target="media/image29.png"/><Relationship Id="rId91" Type="http://schemas.openxmlformats.org/officeDocument/2006/relationships/footer" Target="footer20.xml"/><Relationship Id="rId96"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eader" Target="header2.xml"/><Relationship Id="rId28" Type="http://schemas.openxmlformats.org/officeDocument/2006/relationships/header" Target="header4.xml"/><Relationship Id="rId49" Type="http://schemas.openxmlformats.org/officeDocument/2006/relationships/footer" Target="footer13.xml"/><Relationship Id="rId114" Type="http://schemas.openxmlformats.org/officeDocument/2006/relationships/header" Target="header29.xml"/><Relationship Id="rId119" Type="http://schemas.openxmlformats.org/officeDocument/2006/relationships/glossaryDocument" Target="glossary/document.xml"/><Relationship Id="rId10" Type="http://schemas.openxmlformats.org/officeDocument/2006/relationships/customXml" Target="../customXml/item10.xml"/><Relationship Id="rId31" Type="http://schemas.openxmlformats.org/officeDocument/2006/relationships/footer" Target="footer5.xml"/><Relationship Id="rId44" Type="http://schemas.openxmlformats.org/officeDocument/2006/relationships/header" Target="header11.xml"/><Relationship Id="rId52" Type="http://schemas.openxmlformats.org/officeDocument/2006/relationships/image" Target="media/image6.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header" Target="header16.xml"/><Relationship Id="rId86" Type="http://schemas.openxmlformats.org/officeDocument/2006/relationships/header" Target="header18.xml"/><Relationship Id="rId94" Type="http://schemas.openxmlformats.org/officeDocument/2006/relationships/header" Target="header21.xml"/><Relationship Id="rId99" Type="http://schemas.openxmlformats.org/officeDocument/2006/relationships/footer" Target="footer23.xml"/><Relationship Id="rId101"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customXml" Target="../customXml/item13.xml"/><Relationship Id="rId18" Type="http://schemas.openxmlformats.org/officeDocument/2006/relationships/webSettings" Target="webSettings.xml"/><Relationship Id="rId39" Type="http://schemas.openxmlformats.org/officeDocument/2006/relationships/header" Target="header9.xml"/><Relationship Id="rId109" Type="http://schemas.openxmlformats.org/officeDocument/2006/relationships/image" Target="media/image39.png"/><Relationship Id="rId34" Type="http://schemas.openxmlformats.org/officeDocument/2006/relationships/image" Target="media/image4.wmf"/><Relationship Id="rId50" Type="http://schemas.openxmlformats.org/officeDocument/2006/relationships/header" Target="header14.xml"/><Relationship Id="rId55" Type="http://schemas.openxmlformats.org/officeDocument/2006/relationships/image" Target="media/image9.png"/><Relationship Id="rId76" Type="http://schemas.openxmlformats.org/officeDocument/2006/relationships/image" Target="media/image30.png"/><Relationship Id="rId97" Type="http://schemas.openxmlformats.org/officeDocument/2006/relationships/footer" Target="footer22.xml"/><Relationship Id="rId104" Type="http://schemas.openxmlformats.org/officeDocument/2006/relationships/header" Target="header26.xml"/><Relationship Id="rId120"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25.png"/><Relationship Id="rId92"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1.xml"/><Relationship Id="rId40" Type="http://schemas.openxmlformats.org/officeDocument/2006/relationships/footer" Target="footer9.xml"/><Relationship Id="rId45" Type="http://schemas.openxmlformats.org/officeDocument/2006/relationships/footer" Target="footer11.xml"/><Relationship Id="rId66" Type="http://schemas.openxmlformats.org/officeDocument/2006/relationships/image" Target="media/image20.png"/><Relationship Id="rId87" Type="http://schemas.openxmlformats.org/officeDocument/2006/relationships/header" Target="header19.xml"/><Relationship Id="rId110" Type="http://schemas.openxmlformats.org/officeDocument/2006/relationships/header" Target="header27.xml"/><Relationship Id="rId115" Type="http://schemas.openxmlformats.org/officeDocument/2006/relationships/footer" Target="footer29.xml"/><Relationship Id="rId61" Type="http://schemas.openxmlformats.org/officeDocument/2006/relationships/image" Target="media/image15.png"/><Relationship Id="rId82" Type="http://schemas.openxmlformats.org/officeDocument/2006/relationships/footer" Target="footer15.xml"/><Relationship Id="rId19" Type="http://schemas.openxmlformats.org/officeDocument/2006/relationships/footnotes" Target="footnotes.xml"/><Relationship Id="rId14" Type="http://schemas.openxmlformats.org/officeDocument/2006/relationships/customXml" Target="../customXml/item14.xml"/><Relationship Id="rId30" Type="http://schemas.openxmlformats.org/officeDocument/2006/relationships/footer" Target="footer4.xml"/><Relationship Id="rId35" Type="http://schemas.openxmlformats.org/officeDocument/2006/relationships/header" Target="header7.xml"/><Relationship Id="rId56" Type="http://schemas.openxmlformats.org/officeDocument/2006/relationships/image" Target="media/image10.png"/><Relationship Id="rId77" Type="http://schemas.openxmlformats.org/officeDocument/2006/relationships/image" Target="media/image31.png"/><Relationship Id="rId100" Type="http://schemas.openxmlformats.org/officeDocument/2006/relationships/header" Target="header24.xml"/><Relationship Id="rId105" Type="http://schemas.openxmlformats.org/officeDocument/2006/relationships/footer" Target="footer26.xml"/><Relationship Id="rId8" Type="http://schemas.openxmlformats.org/officeDocument/2006/relationships/customXml" Target="../customXml/item8.xml"/><Relationship Id="rId51" Type="http://schemas.openxmlformats.org/officeDocument/2006/relationships/footer" Target="footer14.xml"/><Relationship Id="rId72" Type="http://schemas.openxmlformats.org/officeDocument/2006/relationships/image" Target="media/image26.png"/><Relationship Id="rId93" Type="http://schemas.openxmlformats.org/officeDocument/2006/relationships/image" Target="media/image35.png"/><Relationship Id="rId98" Type="http://schemas.openxmlformats.org/officeDocument/2006/relationships/header" Target="header23.xml"/><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header" Target="header12.xml"/><Relationship Id="rId67" Type="http://schemas.openxmlformats.org/officeDocument/2006/relationships/image" Target="media/image21.png"/><Relationship Id="rId116" Type="http://schemas.openxmlformats.org/officeDocument/2006/relationships/header" Target="header30.xml"/><Relationship Id="rId20" Type="http://schemas.openxmlformats.org/officeDocument/2006/relationships/endnotes" Target="endnotes.xml"/><Relationship Id="rId41" Type="http://schemas.openxmlformats.org/officeDocument/2006/relationships/header" Target="header10.xml"/><Relationship Id="rId62" Type="http://schemas.openxmlformats.org/officeDocument/2006/relationships/image" Target="media/image16.png"/><Relationship Id="rId83" Type="http://schemas.openxmlformats.org/officeDocument/2006/relationships/footer" Target="footer16.xml"/><Relationship Id="rId88" Type="http://schemas.openxmlformats.org/officeDocument/2006/relationships/footer" Target="footer18.xml"/><Relationship Id="rId111" Type="http://schemas.openxmlformats.org/officeDocument/2006/relationships/header" Target="header28.xml"/><Relationship Id="rId15" Type="http://schemas.openxmlformats.org/officeDocument/2006/relationships/numbering" Target="numbering.xml"/><Relationship Id="rId36" Type="http://schemas.openxmlformats.org/officeDocument/2006/relationships/header" Target="header8.xml"/><Relationship Id="rId57" Type="http://schemas.openxmlformats.org/officeDocument/2006/relationships/image" Target="media/image11.png"/><Relationship Id="rId106" Type="http://schemas.openxmlformats.org/officeDocument/2006/relationships/image" Target="media/image3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clifton\AppData\Roaming\MacroView.Office\Files\Templates\Reports\Branding%20group%203\en\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F4A8FC999A84BBA8BB5746588EC4BFE"/>
        <w:category>
          <w:name w:val="General"/>
          <w:gallery w:val="placeholder"/>
        </w:category>
        <w:types>
          <w:type w:val="bbPlcHdr"/>
        </w:types>
        <w:behaviors>
          <w:behavior w:val="content"/>
        </w:behaviors>
        <w:guid w:val="{439D0B83-5F54-44C3-AA5B-F2374C7A2DA1}"/>
      </w:docPartPr>
      <w:docPartBody>
        <w:p w:rsidR="008A68FD" w:rsidRDefault="00083E7E">
          <w:pPr>
            <w:pStyle w:val="EF4A8FC999A84BBA8BB5746588EC4BFE"/>
          </w:pPr>
          <w:r w:rsidRPr="00F96E0B">
            <w:rPr>
              <w:rStyle w:val="PlaceholderText"/>
            </w:rPr>
            <w:t>[Document title]</w:t>
          </w:r>
        </w:p>
      </w:docPartBody>
    </w:docPart>
    <w:docPart>
      <w:docPartPr>
        <w:name w:val="17B432AC0C234E4683B25B853A942241"/>
        <w:category>
          <w:name w:val="General"/>
          <w:gallery w:val="placeholder"/>
        </w:category>
        <w:types>
          <w:type w:val="bbPlcHdr"/>
        </w:types>
        <w:behaviors>
          <w:behavior w:val="content"/>
        </w:behaviors>
        <w:guid w:val="{1B8B5B12-57D2-4BE5-A83E-34F5C8BC4C55}"/>
      </w:docPartPr>
      <w:docPartBody>
        <w:p w:rsidR="008A68FD" w:rsidRDefault="00083E7E">
          <w:pPr>
            <w:pStyle w:val="17B432AC0C234E4683B25B853A942241"/>
          </w:pPr>
          <w:r w:rsidRPr="00183AE5">
            <w:rPr>
              <w:rStyle w:val="PlaceholderText"/>
            </w:rPr>
            <w:t xml:space="preserve">[Document </w:t>
          </w:r>
          <w:r>
            <w:rPr>
              <w:rStyle w:val="PlaceholderText"/>
            </w:rPr>
            <w:t>n</w:t>
          </w:r>
          <w:r w:rsidRPr="00183AE5">
            <w:rPr>
              <w:rStyle w:val="PlaceholderText"/>
            </w:rPr>
            <w:t>umber]</w:t>
          </w:r>
        </w:p>
      </w:docPartBody>
    </w:docPart>
    <w:docPart>
      <w:docPartPr>
        <w:name w:val="23B335CD94884090BFB5B71AE90B770A"/>
        <w:category>
          <w:name w:val="General"/>
          <w:gallery w:val="placeholder"/>
        </w:category>
        <w:types>
          <w:type w:val="bbPlcHdr"/>
        </w:types>
        <w:behaviors>
          <w:behavior w:val="content"/>
        </w:behaviors>
        <w:guid w:val="{BCE35B5E-ED62-4D93-8C9E-A83826080AAC}"/>
      </w:docPartPr>
      <w:docPartBody>
        <w:p w:rsidR="008A68FD" w:rsidRDefault="00083E7E">
          <w:pPr>
            <w:pStyle w:val="23B335CD94884090BFB5B71AE90B770A"/>
          </w:pPr>
          <w:r w:rsidRPr="00BF319E">
            <w:rPr>
              <w:rStyle w:val="PlaceholderText"/>
            </w:rPr>
            <w:t xml:space="preserve">[Revision </w:t>
          </w:r>
          <w:r>
            <w:rPr>
              <w:rStyle w:val="PlaceholderText"/>
            </w:rPr>
            <w:t>number</w:t>
          </w:r>
          <w:r w:rsidRPr="00BF319E">
            <w:rPr>
              <w:rStyle w:val="PlaceholderText"/>
            </w:rPr>
            <w:t>]</w:t>
          </w:r>
        </w:p>
      </w:docPartBody>
    </w:docPart>
    <w:docPart>
      <w:docPartPr>
        <w:name w:val="9FA9B2D5B45E4451B2245AB9F24DB866"/>
        <w:category>
          <w:name w:val="General"/>
          <w:gallery w:val="placeholder"/>
        </w:category>
        <w:types>
          <w:type w:val="bbPlcHdr"/>
        </w:types>
        <w:behaviors>
          <w:behavior w:val="content"/>
        </w:behaviors>
        <w:guid w:val="{63D010B6-EC49-4FD6-AD15-B6F445D0C63B}"/>
      </w:docPartPr>
      <w:docPartBody>
        <w:p w:rsidR="008A68FD" w:rsidRDefault="00083E7E">
          <w:pPr>
            <w:pStyle w:val="9FA9B2D5B45E4451B2245AB9F24DB866"/>
          </w:pPr>
          <w:r w:rsidRPr="00BF319E">
            <w:rPr>
              <w:rStyle w:val="PlaceholderText"/>
            </w:rPr>
            <w:t xml:space="preserve">[Client </w:t>
          </w:r>
          <w:r>
            <w:rPr>
              <w:rStyle w:val="PlaceholderText"/>
            </w:rPr>
            <w:t>n</w:t>
          </w:r>
          <w:r w:rsidRPr="00BF319E">
            <w:rPr>
              <w:rStyle w:val="PlaceholderText"/>
            </w:rPr>
            <w:t>ame]</w:t>
          </w:r>
        </w:p>
      </w:docPartBody>
    </w:docPart>
    <w:docPart>
      <w:docPartPr>
        <w:name w:val="28733E217D4C4E25BCA86C5ADA8003DC"/>
        <w:category>
          <w:name w:val="General"/>
          <w:gallery w:val="placeholder"/>
        </w:category>
        <w:types>
          <w:type w:val="bbPlcHdr"/>
        </w:types>
        <w:behaviors>
          <w:behavior w:val="content"/>
        </w:behaviors>
        <w:guid w:val="{419FB1A9-937D-411B-AF33-C700DEF6EA57}"/>
      </w:docPartPr>
      <w:docPartBody>
        <w:p w:rsidR="008A68FD" w:rsidRDefault="00083E7E">
          <w:pPr>
            <w:pStyle w:val="28733E217D4C4E25BCA86C5ADA8003DC"/>
          </w:pPr>
          <w:r w:rsidRPr="00BF319E">
            <w:rPr>
              <w:rStyle w:val="PlaceholderText"/>
            </w:rPr>
            <w:t xml:space="preserve">[Client </w:t>
          </w:r>
          <w:r>
            <w:rPr>
              <w:rStyle w:val="PlaceholderText"/>
            </w:rPr>
            <w:t>r</w:t>
          </w:r>
          <w:r w:rsidRPr="00BF319E">
            <w:rPr>
              <w:rStyle w:val="PlaceholderText"/>
            </w:rPr>
            <w:t>eference]</w:t>
          </w:r>
        </w:p>
      </w:docPartBody>
    </w:docPart>
    <w:docPart>
      <w:docPartPr>
        <w:name w:val="876BDE493F6E43A680FD86C36CE348FC"/>
        <w:category>
          <w:name w:val="General"/>
          <w:gallery w:val="placeholder"/>
        </w:category>
        <w:types>
          <w:type w:val="bbPlcHdr"/>
        </w:types>
        <w:behaviors>
          <w:behavior w:val="content"/>
        </w:behaviors>
        <w:guid w:val="{4D615FDE-957E-4752-A3F3-FF0C8F30A303}"/>
      </w:docPartPr>
      <w:docPartBody>
        <w:p w:rsidR="008A68FD" w:rsidRDefault="00083E7E">
          <w:pPr>
            <w:pStyle w:val="876BDE493F6E43A680FD86C36CE348FC"/>
          </w:pPr>
          <w:r>
            <w:rPr>
              <w:rStyle w:val="PlaceholderText"/>
            </w:rPr>
            <w:t>[</w:t>
          </w:r>
          <w:r w:rsidRPr="00B725EF">
            <w:rPr>
              <w:rStyle w:val="PlaceholderText"/>
            </w:rPr>
            <w:t>Project</w:t>
          </w:r>
          <w:r>
            <w:rPr>
              <w:rStyle w:val="PlaceholderText"/>
            </w:rPr>
            <w:t xml:space="preserve"> n</w:t>
          </w:r>
          <w:r w:rsidRPr="00B725EF">
            <w:rPr>
              <w:rStyle w:val="PlaceholderText"/>
            </w:rPr>
            <w:t>ame</w:t>
          </w:r>
          <w:r>
            <w:rPr>
              <w:rStyle w:val="PlaceholderText"/>
            </w:rPr>
            <w:t>]</w:t>
          </w:r>
        </w:p>
      </w:docPartBody>
    </w:docPart>
    <w:docPart>
      <w:docPartPr>
        <w:name w:val="F99C3D2337C24EC4A5B913FCCEFA286C"/>
        <w:category>
          <w:name w:val="General"/>
          <w:gallery w:val="placeholder"/>
        </w:category>
        <w:types>
          <w:type w:val="bbPlcHdr"/>
        </w:types>
        <w:behaviors>
          <w:behavior w:val="content"/>
        </w:behaviors>
        <w:guid w:val="{0E438F1B-B448-42CA-8950-573538A60755}"/>
      </w:docPartPr>
      <w:docPartBody>
        <w:p w:rsidR="008A68FD" w:rsidRDefault="00083E7E">
          <w:pPr>
            <w:pStyle w:val="F99C3D2337C24EC4A5B913FCCEFA286C"/>
          </w:pPr>
          <w:r>
            <w:rPr>
              <w:rStyle w:val="PlaceholderText"/>
            </w:rPr>
            <w:t>[</w:t>
          </w:r>
          <w:r w:rsidRPr="00E453EA">
            <w:rPr>
              <w:rStyle w:val="PlaceholderText"/>
            </w:rPr>
            <w:t>Document</w:t>
          </w:r>
          <w:r>
            <w:rPr>
              <w:rStyle w:val="PlaceholderText"/>
            </w:rPr>
            <w:t xml:space="preserve"> t</w:t>
          </w:r>
          <w:r w:rsidRPr="00E453EA">
            <w:rPr>
              <w:rStyle w:val="PlaceholderText"/>
            </w:rPr>
            <w:t>itle</w:t>
          </w:r>
          <w:r>
            <w:rPr>
              <w:rStyle w:val="PlaceholderText"/>
            </w:rPr>
            <w:t>]</w:t>
          </w:r>
        </w:p>
      </w:docPartBody>
    </w:docPart>
    <w:docPart>
      <w:docPartPr>
        <w:name w:val="DD39FE8D532243399D2D365E1DDFA408"/>
        <w:category>
          <w:name w:val="General"/>
          <w:gallery w:val="placeholder"/>
        </w:category>
        <w:types>
          <w:type w:val="bbPlcHdr"/>
        </w:types>
        <w:behaviors>
          <w:behavior w:val="content"/>
        </w:behaviors>
        <w:guid w:val="{CB35671E-3314-420F-8478-6795539CE5D2}"/>
      </w:docPartPr>
      <w:docPartBody>
        <w:p w:rsidR="008A68FD" w:rsidRDefault="00083E7E">
          <w:pPr>
            <w:pStyle w:val="DD39FE8D532243399D2D365E1DDFA408"/>
          </w:pPr>
          <w:r>
            <w:rPr>
              <w:rStyle w:val="PlaceholderText"/>
            </w:rPr>
            <w:t>[Client name]</w:t>
          </w:r>
        </w:p>
      </w:docPartBody>
    </w:docPart>
    <w:docPart>
      <w:docPartPr>
        <w:name w:val="BC295E406A064E009BA16646C3181291"/>
        <w:category>
          <w:name w:val="General"/>
          <w:gallery w:val="placeholder"/>
        </w:category>
        <w:types>
          <w:type w:val="bbPlcHdr"/>
        </w:types>
        <w:behaviors>
          <w:behavior w:val="content"/>
        </w:behaviors>
        <w:guid w:val="{6722A9C1-7898-402D-B740-6E1D237AC7D6}"/>
      </w:docPartPr>
      <w:docPartBody>
        <w:p w:rsidR="008A68FD" w:rsidRDefault="00083E7E">
          <w:pPr>
            <w:pStyle w:val="BC295E406A064E009BA16646C3181291"/>
          </w:pPr>
          <w:r>
            <w:rPr>
              <w:rStyle w:val="PlaceholderText"/>
            </w:rPr>
            <w:t>[</w:t>
          </w:r>
          <w:r w:rsidRPr="00E453EA">
            <w:rPr>
              <w:rStyle w:val="PlaceholderText"/>
            </w:rPr>
            <w:t>Project</w:t>
          </w:r>
          <w:r>
            <w:rPr>
              <w:rStyle w:val="PlaceholderText"/>
            </w:rPr>
            <w:t xml:space="preserve"> n</w:t>
          </w:r>
          <w:r w:rsidRPr="00E453EA">
            <w:rPr>
              <w:rStyle w:val="PlaceholderText"/>
            </w:rPr>
            <w:t>ame</w:t>
          </w:r>
          <w:r>
            <w:rPr>
              <w:rStyle w:val="PlaceholderText"/>
            </w:rPr>
            <w:t>]</w:t>
          </w:r>
        </w:p>
      </w:docPartBody>
    </w:docPart>
    <w:docPart>
      <w:docPartPr>
        <w:name w:val="82C4EF17BE57486EA1F71D71A47CC3C3"/>
        <w:category>
          <w:name w:val="General"/>
          <w:gallery w:val="placeholder"/>
        </w:category>
        <w:types>
          <w:type w:val="bbPlcHdr"/>
        </w:types>
        <w:behaviors>
          <w:behavior w:val="content"/>
        </w:behaviors>
        <w:guid w:val="{46E9510C-0140-4A14-AE74-619AFD4D8013}"/>
      </w:docPartPr>
      <w:docPartBody>
        <w:p w:rsidR="008A68FD" w:rsidRDefault="00083E7E">
          <w:pPr>
            <w:pStyle w:val="82C4EF17BE57486EA1F71D71A47CC3C3"/>
          </w:pPr>
          <w:r>
            <w:rPr>
              <w:rStyle w:val="PlaceholderText"/>
            </w:rPr>
            <w:t>[Client reference]</w:t>
          </w:r>
        </w:p>
      </w:docPartBody>
    </w:docPart>
    <w:docPart>
      <w:docPartPr>
        <w:name w:val="E6C13A9527B540639834F934589FA99C"/>
        <w:category>
          <w:name w:val="General"/>
          <w:gallery w:val="placeholder"/>
        </w:category>
        <w:types>
          <w:type w:val="bbPlcHdr"/>
        </w:types>
        <w:behaviors>
          <w:behavior w:val="content"/>
        </w:behaviors>
        <w:guid w:val="{0DA2A51F-495A-414A-9071-087C53C508B6}"/>
      </w:docPartPr>
      <w:docPartBody>
        <w:p w:rsidR="008A68FD" w:rsidRDefault="00083E7E">
          <w:pPr>
            <w:pStyle w:val="E6C13A9527B540639834F934589FA99C"/>
          </w:pPr>
          <w:r>
            <w:rPr>
              <w:rStyle w:val="PlaceholderText"/>
            </w:rPr>
            <w:t>[Project number]</w:t>
          </w:r>
        </w:p>
      </w:docPartBody>
    </w:docPart>
    <w:docPart>
      <w:docPartPr>
        <w:name w:val="11424591A18143649E9D36957C5940E5"/>
        <w:category>
          <w:name w:val="General"/>
          <w:gallery w:val="placeholder"/>
        </w:category>
        <w:types>
          <w:type w:val="bbPlcHdr"/>
        </w:types>
        <w:behaviors>
          <w:behavior w:val="content"/>
        </w:behaviors>
        <w:guid w:val="{3EE9AA07-B98D-4AF4-A0D5-634690B30EC4}"/>
      </w:docPartPr>
      <w:docPartBody>
        <w:p w:rsidR="008A68FD" w:rsidRDefault="00083E7E">
          <w:pPr>
            <w:pStyle w:val="11424591A18143649E9D36957C5940E5"/>
          </w:pPr>
          <w:r>
            <w:rPr>
              <w:rStyle w:val="PlaceholderText"/>
            </w:rPr>
            <w:t>[Document number]</w:t>
          </w:r>
        </w:p>
      </w:docPartBody>
    </w:docPart>
    <w:docPart>
      <w:docPartPr>
        <w:name w:val="A625B2D49F4347AAB88AE11AAB852A04"/>
        <w:category>
          <w:name w:val="General"/>
          <w:gallery w:val="placeholder"/>
        </w:category>
        <w:types>
          <w:type w:val="bbPlcHdr"/>
        </w:types>
        <w:behaviors>
          <w:behavior w:val="content"/>
        </w:behaviors>
        <w:guid w:val="{A64A7432-D634-49B1-9F65-46B734B25C36}"/>
      </w:docPartPr>
      <w:docPartBody>
        <w:p w:rsidR="008A68FD" w:rsidRDefault="00083E7E">
          <w:pPr>
            <w:pStyle w:val="A625B2D49F4347AAB88AE11AAB852A04"/>
          </w:pPr>
          <w:r>
            <w:rPr>
              <w:rStyle w:val="PlaceholderText"/>
            </w:rPr>
            <w:t>[Project manager]</w:t>
          </w:r>
        </w:p>
      </w:docPartBody>
    </w:docPart>
    <w:docPart>
      <w:docPartPr>
        <w:name w:val="2F408117E8F846128C6E933CDD2EC6F9"/>
        <w:category>
          <w:name w:val="General"/>
          <w:gallery w:val="placeholder"/>
        </w:category>
        <w:types>
          <w:type w:val="bbPlcHdr"/>
        </w:types>
        <w:behaviors>
          <w:behavior w:val="content"/>
        </w:behaviors>
        <w:guid w:val="{48A96BFF-0E3F-4C29-8358-4B57C5107354}"/>
      </w:docPartPr>
      <w:docPartBody>
        <w:p w:rsidR="008A68FD" w:rsidRDefault="00083E7E">
          <w:pPr>
            <w:pStyle w:val="2F408117E8F846128C6E933CDD2EC6F9"/>
          </w:pPr>
          <w:r>
            <w:rPr>
              <w:rStyle w:val="PlaceholderText"/>
            </w:rPr>
            <w:t>[Revision number]</w:t>
          </w:r>
        </w:p>
      </w:docPartBody>
    </w:docPart>
    <w:docPart>
      <w:docPartPr>
        <w:name w:val="C4E685C9557545E5BB9E73D8B81952CD"/>
        <w:category>
          <w:name w:val="General"/>
          <w:gallery w:val="placeholder"/>
        </w:category>
        <w:types>
          <w:type w:val="bbPlcHdr"/>
        </w:types>
        <w:behaviors>
          <w:behavior w:val="content"/>
        </w:behaviors>
        <w:guid w:val="{B50EACA5-868A-4DAC-8A9C-917915946FA9}"/>
      </w:docPartPr>
      <w:docPartBody>
        <w:p w:rsidR="008A68FD" w:rsidRDefault="00083E7E">
          <w:pPr>
            <w:pStyle w:val="C4E685C9557545E5BB9E73D8B81952CD"/>
          </w:pPr>
          <w:r>
            <w:rPr>
              <w:rStyle w:val="PlaceholderText"/>
            </w:rPr>
            <w:t>[Prepared by]</w:t>
          </w:r>
        </w:p>
      </w:docPartBody>
    </w:docPart>
    <w:docPart>
      <w:docPartPr>
        <w:name w:val="BC5B3FF9FBFB4FB48BA9BB1BCF2F3882"/>
        <w:category>
          <w:name w:val="General"/>
          <w:gallery w:val="placeholder"/>
        </w:category>
        <w:types>
          <w:type w:val="bbPlcHdr"/>
        </w:types>
        <w:behaviors>
          <w:behavior w:val="content"/>
        </w:behaviors>
        <w:guid w:val="{82955606-8171-4343-A8DA-0916747B3566}"/>
      </w:docPartPr>
      <w:docPartBody>
        <w:p w:rsidR="008A68FD" w:rsidRDefault="00083E7E">
          <w:pPr>
            <w:pStyle w:val="BC5B3FF9FBFB4FB48BA9BB1BCF2F3882"/>
          </w:pPr>
          <w:r w:rsidRPr="00CC59AA">
            <w:rPr>
              <w:rStyle w:val="PlaceholderText"/>
            </w:rPr>
            <w:t xml:space="preserve">[Legal </w:t>
          </w:r>
          <w:r>
            <w:rPr>
              <w:rStyle w:val="PlaceholderText"/>
            </w:rPr>
            <w:t>e</w:t>
          </w:r>
          <w:r w:rsidRPr="00CC59AA">
            <w:rPr>
              <w:rStyle w:val="PlaceholderText"/>
            </w:rPr>
            <w:t>ntity]</w:t>
          </w:r>
        </w:p>
      </w:docPartBody>
    </w:docPart>
    <w:docPart>
      <w:docPartPr>
        <w:name w:val="02DA063D7B374C3C8A26894223FA6BDA"/>
        <w:category>
          <w:name w:val="General"/>
          <w:gallery w:val="placeholder"/>
        </w:category>
        <w:types>
          <w:type w:val="bbPlcHdr"/>
        </w:types>
        <w:behaviors>
          <w:behavior w:val="content"/>
        </w:behaviors>
        <w:guid w:val="{1C8D57DF-876B-4DFA-99E8-A5041FB2E7FF}"/>
      </w:docPartPr>
      <w:docPartBody>
        <w:p w:rsidR="008A68FD" w:rsidRDefault="00083E7E">
          <w:pPr>
            <w:pStyle w:val="02DA063D7B374C3C8A26894223FA6BDA"/>
          </w:pPr>
          <w:r w:rsidRPr="00002472">
            <w:rPr>
              <w:rStyle w:val="PlaceholderText"/>
            </w:rPr>
            <w:t>[Address]</w:t>
          </w:r>
        </w:p>
      </w:docPartBody>
    </w:docPart>
    <w:docPart>
      <w:docPartPr>
        <w:name w:val="E78F25158DD24B44AAAB13BDE0EC0549"/>
        <w:category>
          <w:name w:val="General"/>
          <w:gallery w:val="placeholder"/>
        </w:category>
        <w:types>
          <w:type w:val="bbPlcHdr"/>
        </w:types>
        <w:behaviors>
          <w:behavior w:val="content"/>
        </w:behaviors>
        <w:guid w:val="{50758045-5076-45E6-A171-016958053B3B}"/>
      </w:docPartPr>
      <w:docPartBody>
        <w:p w:rsidR="008A68FD" w:rsidRDefault="00083E7E">
          <w:pPr>
            <w:pStyle w:val="E78F25158DD24B44AAAB13BDE0EC0549"/>
          </w:pPr>
          <w:r w:rsidRPr="002A3005">
            <w:rPr>
              <w:rStyle w:val="PlaceholderText"/>
            </w:rPr>
            <w:t xml:space="preserve">[Phone </w:t>
          </w:r>
          <w:r>
            <w:rPr>
              <w:rStyle w:val="PlaceholderText"/>
            </w:rPr>
            <w:t>n</w:t>
          </w:r>
          <w:r w:rsidRPr="002A3005">
            <w:rPr>
              <w:rStyle w:val="PlaceholderText"/>
            </w:rPr>
            <w:t>umber]</w:t>
          </w:r>
        </w:p>
      </w:docPartBody>
    </w:docPart>
    <w:docPart>
      <w:docPartPr>
        <w:name w:val="3E3C9FBED8CE44C7A54826EEE9DFFECB"/>
        <w:category>
          <w:name w:val="General"/>
          <w:gallery w:val="placeholder"/>
        </w:category>
        <w:types>
          <w:type w:val="bbPlcHdr"/>
        </w:types>
        <w:behaviors>
          <w:behavior w:val="content"/>
        </w:behaviors>
        <w:guid w:val="{B6A6286A-5642-4155-AC1F-7F45B23E0BC7}"/>
      </w:docPartPr>
      <w:docPartBody>
        <w:p w:rsidR="008A68FD" w:rsidRDefault="00083E7E">
          <w:pPr>
            <w:pStyle w:val="3E3C9FBED8CE44C7A54826EEE9DFFECB"/>
          </w:pPr>
          <w:r w:rsidRPr="002A3005">
            <w:rPr>
              <w:rStyle w:val="PlaceholderText"/>
            </w:rPr>
            <w:t>[</w:t>
          </w:r>
          <w:r>
            <w:rPr>
              <w:rStyle w:val="PlaceholderText"/>
            </w:rPr>
            <w:t>Fax</w:t>
          </w:r>
          <w:r w:rsidRPr="002A3005">
            <w:rPr>
              <w:rStyle w:val="PlaceholderText"/>
            </w:rPr>
            <w:t xml:space="preserve"> </w:t>
          </w:r>
          <w:r>
            <w:rPr>
              <w:rStyle w:val="PlaceholderText"/>
            </w:rPr>
            <w:t>n</w:t>
          </w:r>
          <w:r w:rsidRPr="002A3005">
            <w:rPr>
              <w:rStyle w:val="PlaceholderText"/>
            </w:rPr>
            <w:t>umber]</w:t>
          </w:r>
        </w:p>
      </w:docPartBody>
    </w:docPart>
    <w:docPart>
      <w:docPartPr>
        <w:name w:val="6A71919A28AC4F12B55FC3F75710D707"/>
        <w:category>
          <w:name w:val="General"/>
          <w:gallery w:val="placeholder"/>
        </w:category>
        <w:types>
          <w:type w:val="bbPlcHdr"/>
        </w:types>
        <w:behaviors>
          <w:behavior w:val="content"/>
        </w:behaviors>
        <w:guid w:val="{BC8B3760-DA4C-4C13-9593-4F453804478C}"/>
      </w:docPartPr>
      <w:docPartBody>
        <w:p w:rsidR="008A68FD" w:rsidRDefault="00083E7E">
          <w:pPr>
            <w:pStyle w:val="6A71919A28AC4F12B55FC3F75710D707"/>
          </w:pPr>
          <w:r w:rsidRPr="00CC59AA">
            <w:rPr>
              <w:rStyle w:val="PlaceholderText"/>
            </w:rPr>
            <w:t>[Website]</w:t>
          </w:r>
        </w:p>
      </w:docPartBody>
    </w:docPart>
    <w:docPart>
      <w:docPartPr>
        <w:name w:val="0E8847960B2842A190BE66BE2DB74117"/>
        <w:category>
          <w:name w:val="General"/>
          <w:gallery w:val="placeholder"/>
        </w:category>
        <w:types>
          <w:type w:val="bbPlcHdr"/>
        </w:types>
        <w:behaviors>
          <w:behavior w:val="content"/>
        </w:behaviors>
        <w:guid w:val="{39090A8E-F8E7-4D8F-A06B-C019B9DB2C16}"/>
      </w:docPartPr>
      <w:docPartBody>
        <w:p w:rsidR="008A68FD" w:rsidRDefault="00083E7E">
          <w:pPr>
            <w:pStyle w:val="0E8847960B2842A190BE66BE2DB74117"/>
          </w:pPr>
          <w:r w:rsidRPr="00D6538A">
            <w:rPr>
              <w:b/>
              <w:i/>
            </w:rPr>
            <w:t>[Please select a legal entity from the Change Office/Brand option on the Jacobs ribbon]</w:t>
          </w:r>
        </w:p>
      </w:docPartBody>
    </w:docPart>
    <w:docPart>
      <w:docPartPr>
        <w:name w:val="5413933B5DC840EB8B1D48950BDF583A"/>
        <w:category>
          <w:name w:val="General"/>
          <w:gallery w:val="placeholder"/>
        </w:category>
        <w:types>
          <w:type w:val="bbPlcHdr"/>
        </w:types>
        <w:behaviors>
          <w:behavior w:val="content"/>
        </w:behaviors>
        <w:guid w:val="{76DE28C2-A9FA-4C49-8C71-E44CD8FE81FD}"/>
      </w:docPartPr>
      <w:docPartBody>
        <w:p w:rsidR="008A68FD" w:rsidRDefault="00083E7E">
          <w:pPr>
            <w:pStyle w:val="5413933B5DC840EB8B1D48950BDF583A"/>
          </w:pPr>
          <w:r w:rsidRPr="00DC7723">
            <w:rPr>
              <w:rStyle w:val="PlaceholderText"/>
            </w:rPr>
            <w:t>Choose a building block.</w:t>
          </w:r>
        </w:p>
      </w:docPartBody>
    </w:docPart>
    <w:docPart>
      <w:docPartPr>
        <w:name w:val="B4819E3238394F2B920C9A68BE5CBF69"/>
        <w:category>
          <w:name w:val="General"/>
          <w:gallery w:val="placeholder"/>
        </w:category>
        <w:types>
          <w:type w:val="bbPlcHdr"/>
        </w:types>
        <w:behaviors>
          <w:behavior w:val="content"/>
        </w:behaviors>
        <w:guid w:val="{A2A63266-F192-40CB-8C0E-80F41BC24602}"/>
      </w:docPartPr>
      <w:docPartBody>
        <w:p w:rsidR="008A68FD" w:rsidRDefault="00083E7E">
          <w:pPr>
            <w:pStyle w:val="B4819E3238394F2B920C9A68BE5CBF69"/>
          </w:pPr>
          <w:r w:rsidRPr="00945A88">
            <w:rPr>
              <w:i/>
            </w:rPr>
            <w:t>[Document title]</w:t>
          </w:r>
        </w:p>
      </w:docPartBody>
    </w:docPart>
    <w:docPart>
      <w:docPartPr>
        <w:name w:val="F975C42BA9C6495185C46725D901DD20"/>
        <w:category>
          <w:name w:val="General"/>
          <w:gallery w:val="placeholder"/>
        </w:category>
        <w:types>
          <w:type w:val="bbPlcHdr"/>
        </w:types>
        <w:behaviors>
          <w:behavior w:val="content"/>
        </w:behaviors>
        <w:guid w:val="{CC7704CE-3F39-4529-B905-4B7C81D4E2EF}"/>
      </w:docPartPr>
      <w:docPartBody>
        <w:p w:rsidR="008A68FD" w:rsidRDefault="00083E7E">
          <w:pPr>
            <w:pStyle w:val="F975C42BA9C6495185C46725D901DD20"/>
          </w:pPr>
          <w:r w:rsidRPr="00945A88">
            <w:rPr>
              <w:i/>
            </w:rPr>
            <w:t>[Document title]</w:t>
          </w:r>
        </w:p>
      </w:docPartBody>
    </w:docPart>
    <w:docPart>
      <w:docPartPr>
        <w:name w:val="4E163CDAA8D54BD18783D54649FA3AE8"/>
        <w:category>
          <w:name w:val="General"/>
          <w:gallery w:val="placeholder"/>
        </w:category>
        <w:types>
          <w:type w:val="bbPlcHdr"/>
        </w:types>
        <w:behaviors>
          <w:behavior w:val="content"/>
        </w:behaviors>
        <w:guid w:val="{4C4DBA67-B7F8-4025-8170-720B450D4023}"/>
      </w:docPartPr>
      <w:docPartBody>
        <w:p w:rsidR="008A68FD" w:rsidRDefault="00083E7E">
          <w:pPr>
            <w:pStyle w:val="4E163CDAA8D54BD18783D54649FA3AE8"/>
          </w:pPr>
          <w:r w:rsidRPr="000A48CC">
            <w:rPr>
              <w:rStyle w:val="PlaceholderText"/>
            </w:rPr>
            <w:t>[Document n</w:t>
          </w:r>
          <w:r>
            <w:rPr>
              <w:rStyle w:val="PlaceholderText"/>
            </w:rPr>
            <w:t>umber</w:t>
          </w:r>
          <w:r w:rsidRPr="000A48CC">
            <w:rPr>
              <w:rStyle w:val="PlaceholderText"/>
            </w:rPr>
            <w:t>]</w:t>
          </w:r>
        </w:p>
      </w:docPartBody>
    </w:docPart>
    <w:docPart>
      <w:docPartPr>
        <w:name w:val="073E0D5B3B364AF6AE9049BC7887DD3A"/>
        <w:category>
          <w:name w:val="General"/>
          <w:gallery w:val="placeholder"/>
        </w:category>
        <w:types>
          <w:type w:val="bbPlcHdr"/>
        </w:types>
        <w:behaviors>
          <w:behavior w:val="content"/>
        </w:behaviors>
        <w:guid w:val="{666E2F30-1D58-4E5A-8B15-550DEE3D7913}"/>
      </w:docPartPr>
      <w:docPartBody>
        <w:p w:rsidR="008A68FD" w:rsidRDefault="00083E7E">
          <w:pPr>
            <w:pStyle w:val="073E0D5B3B364AF6AE9049BC7887DD3A"/>
          </w:pPr>
          <w:r w:rsidRPr="000A48CC">
            <w:rPr>
              <w:rStyle w:val="PlaceholderText"/>
            </w:rPr>
            <w:t>[Document n</w:t>
          </w:r>
          <w:r>
            <w:rPr>
              <w:rStyle w:val="PlaceholderText"/>
            </w:rPr>
            <w:t>umber</w:t>
          </w:r>
          <w:r w:rsidRPr="000A48CC">
            <w:rPr>
              <w:rStyle w:val="PlaceholderText"/>
            </w:rPr>
            <w:t>]</w:t>
          </w:r>
        </w:p>
      </w:docPartBody>
    </w:docPart>
    <w:docPart>
      <w:docPartPr>
        <w:name w:val="4E6644A5109D4A5A9154A109AE01E149"/>
        <w:category>
          <w:name w:val="General"/>
          <w:gallery w:val="placeholder"/>
        </w:category>
        <w:types>
          <w:type w:val="bbPlcHdr"/>
        </w:types>
        <w:behaviors>
          <w:behavior w:val="content"/>
        </w:behaviors>
        <w:guid w:val="{098D14FB-61CA-4976-BA68-BF44F37D17D8}"/>
      </w:docPartPr>
      <w:docPartBody>
        <w:p w:rsidR="008A68FD" w:rsidRDefault="00083E7E">
          <w:pPr>
            <w:pStyle w:val="4E6644A5109D4A5A9154A109AE01E149"/>
          </w:pPr>
          <w:r w:rsidRPr="00945A88">
            <w:rPr>
              <w:i/>
            </w:rPr>
            <w:t>[Document title]</w:t>
          </w:r>
        </w:p>
      </w:docPartBody>
    </w:docPart>
    <w:docPart>
      <w:docPartPr>
        <w:name w:val="F096010F1B174286A03B8976BA3D15FC"/>
        <w:category>
          <w:name w:val="General"/>
          <w:gallery w:val="placeholder"/>
        </w:category>
        <w:types>
          <w:type w:val="bbPlcHdr"/>
        </w:types>
        <w:behaviors>
          <w:behavior w:val="content"/>
        </w:behaviors>
        <w:guid w:val="{055070EC-7E27-45CE-A3D4-C05ED78A7026}"/>
      </w:docPartPr>
      <w:docPartBody>
        <w:p w:rsidR="008A68FD" w:rsidRDefault="00083E7E">
          <w:pPr>
            <w:pStyle w:val="F096010F1B174286A03B8976BA3D15FC"/>
          </w:pPr>
          <w:r w:rsidRPr="000A48CC">
            <w:rPr>
              <w:rStyle w:val="PlaceholderText"/>
            </w:rPr>
            <w:t>[Document n</w:t>
          </w:r>
          <w:r>
            <w:rPr>
              <w:rStyle w:val="PlaceholderText"/>
            </w:rPr>
            <w:t>umber</w:t>
          </w:r>
          <w:r w:rsidRPr="000A48CC">
            <w:rPr>
              <w:rStyle w:val="PlaceholderText"/>
            </w:rPr>
            <w:t>]</w:t>
          </w:r>
        </w:p>
      </w:docPartBody>
    </w:docPart>
    <w:docPart>
      <w:docPartPr>
        <w:name w:val="8F1BF411868B4F2ABF8F4A739C948AEB"/>
        <w:category>
          <w:name w:val="General"/>
          <w:gallery w:val="placeholder"/>
        </w:category>
        <w:types>
          <w:type w:val="bbPlcHdr"/>
        </w:types>
        <w:behaviors>
          <w:behavior w:val="content"/>
        </w:behaviors>
        <w:guid w:val="{52D330D2-8C4B-4121-AA31-75A21D39417E}"/>
      </w:docPartPr>
      <w:docPartBody>
        <w:p w:rsidR="008A68FD" w:rsidRDefault="00083E7E">
          <w:pPr>
            <w:pStyle w:val="8F1BF411868B4F2ABF8F4A739C948AEB"/>
          </w:pPr>
          <w:r w:rsidRPr="00945A88">
            <w:rPr>
              <w:i/>
            </w:rPr>
            <w:t>[Document title]</w:t>
          </w:r>
        </w:p>
      </w:docPartBody>
    </w:docPart>
    <w:docPart>
      <w:docPartPr>
        <w:name w:val="D2B7F524414740F2995068374239F420"/>
        <w:category>
          <w:name w:val="General"/>
          <w:gallery w:val="placeholder"/>
        </w:category>
        <w:types>
          <w:type w:val="bbPlcHdr"/>
        </w:types>
        <w:behaviors>
          <w:behavior w:val="content"/>
        </w:behaviors>
        <w:guid w:val="{8865F9FB-E1DF-4220-85E3-33D9BFFC3D9D}"/>
      </w:docPartPr>
      <w:docPartBody>
        <w:p w:rsidR="008A68FD" w:rsidRDefault="00083E7E">
          <w:pPr>
            <w:pStyle w:val="D2B7F524414740F2995068374239F420"/>
          </w:pPr>
          <w:r w:rsidRPr="000A48CC">
            <w:rPr>
              <w:rStyle w:val="PlaceholderText"/>
            </w:rPr>
            <w:t>[Document n</w:t>
          </w:r>
          <w:r>
            <w:rPr>
              <w:rStyle w:val="PlaceholderText"/>
            </w:rPr>
            <w:t>umber</w:t>
          </w:r>
          <w:r w:rsidRPr="000A48CC">
            <w:rPr>
              <w:rStyle w:val="PlaceholderText"/>
            </w:rPr>
            <w:t>]</w:t>
          </w:r>
        </w:p>
      </w:docPartBody>
    </w:docPart>
    <w:docPart>
      <w:docPartPr>
        <w:name w:val="FE58711B747645A6A90E854D9D1DC68D"/>
        <w:category>
          <w:name w:val="General"/>
          <w:gallery w:val="placeholder"/>
        </w:category>
        <w:types>
          <w:type w:val="bbPlcHdr"/>
        </w:types>
        <w:behaviors>
          <w:behavior w:val="content"/>
        </w:behaviors>
        <w:guid w:val="{53673A1C-5876-47F3-A98E-7679F6925EA0}"/>
      </w:docPartPr>
      <w:docPartBody>
        <w:p w:rsidR="008A68FD" w:rsidRDefault="00083E7E">
          <w:pPr>
            <w:pStyle w:val="FE58711B747645A6A90E854D9D1DC68D"/>
          </w:pPr>
          <w:r w:rsidRPr="00945A88">
            <w:rPr>
              <w:i/>
            </w:rPr>
            <w:t>[Document title]</w:t>
          </w:r>
        </w:p>
      </w:docPartBody>
    </w:docPart>
    <w:docPart>
      <w:docPartPr>
        <w:name w:val="B7215DC7CA8B44A782C879675A3102C7"/>
        <w:category>
          <w:name w:val="General"/>
          <w:gallery w:val="placeholder"/>
        </w:category>
        <w:types>
          <w:type w:val="bbPlcHdr"/>
        </w:types>
        <w:behaviors>
          <w:behavior w:val="content"/>
        </w:behaviors>
        <w:guid w:val="{4CE884E7-21DA-40C6-A808-67E507CE65E4}"/>
      </w:docPartPr>
      <w:docPartBody>
        <w:p w:rsidR="008A68FD" w:rsidRDefault="00083E7E">
          <w:pPr>
            <w:pStyle w:val="B7215DC7CA8B44A782C879675A3102C7"/>
          </w:pPr>
          <w:r w:rsidRPr="000A48CC">
            <w:rPr>
              <w:rStyle w:val="PlaceholderText"/>
            </w:rPr>
            <w:t>[Document n</w:t>
          </w:r>
          <w:r>
            <w:rPr>
              <w:rStyle w:val="PlaceholderText"/>
            </w:rPr>
            <w:t>umber</w:t>
          </w:r>
          <w:r w:rsidRPr="000A48CC">
            <w:rPr>
              <w:rStyle w:val="PlaceholderText"/>
            </w:rPr>
            <w:t>]</w:t>
          </w:r>
        </w:p>
      </w:docPartBody>
    </w:docPart>
    <w:docPart>
      <w:docPartPr>
        <w:name w:val="9DDB85735AF84940A8FA98FDAA0A4786"/>
        <w:category>
          <w:name w:val="General"/>
          <w:gallery w:val="placeholder"/>
        </w:category>
        <w:types>
          <w:type w:val="bbPlcHdr"/>
        </w:types>
        <w:behaviors>
          <w:behavior w:val="content"/>
        </w:behaviors>
        <w:guid w:val="{0D945DF6-60E7-4F96-BDDC-75513E82DE1C}"/>
      </w:docPartPr>
      <w:docPartBody>
        <w:p w:rsidR="008A68FD" w:rsidRDefault="00083E7E">
          <w:pPr>
            <w:pStyle w:val="9DDB85735AF84940A8FA98FDAA0A4786"/>
          </w:pPr>
          <w:r w:rsidRPr="00945A88">
            <w:rPr>
              <w:i/>
            </w:rPr>
            <w:t>[Document title]</w:t>
          </w:r>
        </w:p>
      </w:docPartBody>
    </w:docPart>
    <w:docPart>
      <w:docPartPr>
        <w:name w:val="F3C55329BF69497A812B25F0A83AD0F7"/>
        <w:category>
          <w:name w:val="General"/>
          <w:gallery w:val="placeholder"/>
        </w:category>
        <w:types>
          <w:type w:val="bbPlcHdr"/>
        </w:types>
        <w:behaviors>
          <w:behavior w:val="content"/>
        </w:behaviors>
        <w:guid w:val="{40B6045F-A940-404D-9B24-0E945A86D8BD}"/>
      </w:docPartPr>
      <w:docPartBody>
        <w:p w:rsidR="008A68FD" w:rsidRDefault="00083E7E">
          <w:pPr>
            <w:pStyle w:val="F3C55329BF69497A812B25F0A83AD0F7"/>
          </w:pPr>
          <w:r w:rsidRPr="000A48CC">
            <w:rPr>
              <w:rStyle w:val="PlaceholderText"/>
            </w:rPr>
            <w:t>[Document n</w:t>
          </w:r>
          <w:r>
            <w:rPr>
              <w:rStyle w:val="PlaceholderText"/>
            </w:rPr>
            <w:t>umber</w:t>
          </w:r>
          <w:r w:rsidRPr="000A48CC">
            <w:rPr>
              <w:rStyle w:val="PlaceholderText"/>
            </w:rPr>
            <w:t>]</w:t>
          </w:r>
        </w:p>
      </w:docPartBody>
    </w:docPart>
    <w:docPart>
      <w:docPartPr>
        <w:name w:val="095BCB95B2524C469F175CCA3312AE9F"/>
        <w:category>
          <w:name w:val="General"/>
          <w:gallery w:val="placeholder"/>
        </w:category>
        <w:types>
          <w:type w:val="bbPlcHdr"/>
        </w:types>
        <w:behaviors>
          <w:behavior w:val="content"/>
        </w:behaviors>
        <w:guid w:val="{59F24466-9D9F-489A-9C8F-1B43E9162115}"/>
      </w:docPartPr>
      <w:docPartBody>
        <w:p w:rsidR="00AC039A" w:rsidRDefault="008A68FD" w:rsidP="008A68FD">
          <w:pPr>
            <w:pStyle w:val="095BCB95B2524C469F175CCA3312AE9F"/>
          </w:pPr>
          <w:r>
            <w:rPr>
              <w:rStyle w:val="PlaceholderText"/>
            </w:rPr>
            <w:t>[C</w:t>
          </w:r>
          <w:r w:rsidRPr="00F95C2C">
            <w:rPr>
              <w:rStyle w:val="PlaceholderText"/>
            </w:rPr>
            <w:t>lient name</w:t>
          </w:r>
          <w:r>
            <w:rPr>
              <w:rStyle w:val="PlaceholderText"/>
            </w:rPr>
            <w:t>]</w:t>
          </w:r>
        </w:p>
      </w:docPartBody>
    </w:docPart>
    <w:docPart>
      <w:docPartPr>
        <w:name w:val="32F52D99413D465FB09DC0F4A3C0E6A2"/>
        <w:category>
          <w:name w:val="General"/>
          <w:gallery w:val="placeholder"/>
        </w:category>
        <w:types>
          <w:type w:val="bbPlcHdr"/>
        </w:types>
        <w:behaviors>
          <w:behavior w:val="content"/>
        </w:behaviors>
        <w:guid w:val="{B022ACD6-A7EE-4166-8801-14B3D73094D4}"/>
      </w:docPartPr>
      <w:docPartBody>
        <w:p w:rsidR="00AC039A" w:rsidRDefault="008A68FD" w:rsidP="008A68FD">
          <w:pPr>
            <w:pStyle w:val="32F52D99413D465FB09DC0F4A3C0E6A2"/>
          </w:pPr>
          <w:r>
            <w:rPr>
              <w:rStyle w:val="PlaceholderText"/>
            </w:rPr>
            <w:t>[I</w:t>
          </w:r>
          <w:r w:rsidRPr="00F95C2C">
            <w:rPr>
              <w:rStyle w:val="PlaceholderText"/>
            </w:rPr>
            <w:t>nsert project name, location, date start, date finish</w:t>
          </w:r>
          <w:r>
            <w:rPr>
              <w:rStyle w:val="PlaceholderText"/>
            </w:rPr>
            <w:t>]</w:t>
          </w:r>
        </w:p>
      </w:docPartBody>
    </w:docPart>
    <w:docPart>
      <w:docPartPr>
        <w:name w:val="57E4A4D04D374F11BA95D0A244E3D652"/>
        <w:category>
          <w:name w:val="General"/>
          <w:gallery w:val="placeholder"/>
        </w:category>
        <w:types>
          <w:type w:val="bbPlcHdr"/>
        </w:types>
        <w:behaviors>
          <w:behavior w:val="content"/>
        </w:behaviors>
        <w:guid w:val="{9BBBC860-CB20-4ECD-84C9-44640F1FDF5A}"/>
      </w:docPartPr>
      <w:docPartBody>
        <w:p w:rsidR="00AC039A" w:rsidRDefault="008A68FD" w:rsidP="008A68FD">
          <w:pPr>
            <w:pStyle w:val="57E4A4D04D374F11BA95D0A244E3D652"/>
          </w:pPr>
          <w:r>
            <w:rPr>
              <w:rStyle w:val="PlaceholderText"/>
            </w:rPr>
            <w:t>[D</w:t>
          </w:r>
          <w:r w:rsidRPr="00467391">
            <w:rPr>
              <w:rStyle w:val="PlaceholderText"/>
            </w:rPr>
            <w:t>escribe your role, responsibilities, value, and innovations you brought to the project (the challenges and how you overcame them)</w:t>
          </w:r>
          <w:r>
            <w:rPr>
              <w:rStyle w:val="PlaceholderText"/>
            </w:rPr>
            <w:t>]</w:t>
          </w:r>
        </w:p>
      </w:docPartBody>
    </w:docPart>
    <w:docPart>
      <w:docPartPr>
        <w:name w:val="702EF1BFF9354998A824776117827778"/>
        <w:category>
          <w:name w:val="General"/>
          <w:gallery w:val="placeholder"/>
        </w:category>
        <w:types>
          <w:type w:val="bbPlcHdr"/>
        </w:types>
        <w:behaviors>
          <w:behavior w:val="content"/>
        </w:behaviors>
        <w:guid w:val="{2A454A56-3CE3-4C3D-AA2B-F23320AC4578}"/>
      </w:docPartPr>
      <w:docPartBody>
        <w:p w:rsidR="00AC039A" w:rsidRDefault="008A68FD" w:rsidP="008A68FD">
          <w:pPr>
            <w:pStyle w:val="702EF1BFF9354998A824776117827778"/>
          </w:pPr>
          <w:r>
            <w:rPr>
              <w:rStyle w:val="PlaceholderText"/>
            </w:rPr>
            <w:t>[Project role]</w:t>
          </w:r>
        </w:p>
      </w:docPartBody>
    </w:docPart>
    <w:docPart>
      <w:docPartPr>
        <w:name w:val="DB79BB1A84C74676A91B3F6D22066FA7"/>
        <w:category>
          <w:name w:val="General"/>
          <w:gallery w:val="placeholder"/>
        </w:category>
        <w:types>
          <w:type w:val="bbPlcHdr"/>
        </w:types>
        <w:behaviors>
          <w:behavior w:val="content"/>
        </w:behaviors>
        <w:guid w:val="{A0FA95BD-BAF7-4E81-AEA3-88E1D39DFA63}"/>
      </w:docPartPr>
      <w:docPartBody>
        <w:p w:rsidR="00AC039A" w:rsidRDefault="008A68FD" w:rsidP="008A68FD">
          <w:pPr>
            <w:pStyle w:val="DB79BB1A84C74676A91B3F6D22066FA7"/>
          </w:pPr>
          <w:r w:rsidRPr="00945A88">
            <w:rPr>
              <w:i/>
            </w:rPr>
            <w:t>[Document title]</w:t>
          </w:r>
        </w:p>
      </w:docPartBody>
    </w:docPart>
    <w:docPart>
      <w:docPartPr>
        <w:name w:val="5E579324A24D4911B701C2404EE6E51A"/>
        <w:category>
          <w:name w:val="General"/>
          <w:gallery w:val="placeholder"/>
        </w:category>
        <w:types>
          <w:type w:val="bbPlcHdr"/>
        </w:types>
        <w:behaviors>
          <w:behavior w:val="content"/>
        </w:behaviors>
        <w:guid w:val="{CAAEFE17-BF60-4320-97DA-A84699387FEC}"/>
      </w:docPartPr>
      <w:docPartBody>
        <w:p w:rsidR="00AC039A" w:rsidRDefault="008A68FD" w:rsidP="008A68FD">
          <w:pPr>
            <w:pStyle w:val="5E579324A24D4911B701C2404EE6E51A"/>
          </w:pPr>
          <w:r w:rsidRPr="000A48CC">
            <w:rPr>
              <w:rStyle w:val="PlaceholderText"/>
            </w:rPr>
            <w:t>[Document n</w:t>
          </w:r>
          <w:r>
            <w:rPr>
              <w:rStyle w:val="PlaceholderText"/>
            </w:rPr>
            <w:t>umber</w:t>
          </w:r>
          <w:r w:rsidRPr="000A48CC">
            <w:rPr>
              <w:rStyle w:val="PlaceholderText"/>
            </w:rPr>
            <w:t>]</w:t>
          </w:r>
        </w:p>
      </w:docPartBody>
    </w:docPart>
    <w:docPart>
      <w:docPartPr>
        <w:name w:val="1166C7B2BDB448CC8992ED5199F3DA90"/>
        <w:category>
          <w:name w:val="General"/>
          <w:gallery w:val="placeholder"/>
        </w:category>
        <w:types>
          <w:type w:val="bbPlcHdr"/>
        </w:types>
        <w:behaviors>
          <w:behavior w:val="content"/>
        </w:behaviors>
        <w:guid w:val="{45FACB0E-69E1-453A-B46D-D3E2110814F7}"/>
      </w:docPartPr>
      <w:docPartBody>
        <w:p w:rsidR="00A04945" w:rsidRDefault="00C42FE8" w:rsidP="00C42FE8">
          <w:pPr>
            <w:pStyle w:val="1166C7B2BDB448CC8992ED5199F3DA90"/>
          </w:pPr>
          <w:r>
            <w:rPr>
              <w:rStyle w:val="PlaceholderText"/>
            </w:rPr>
            <w:t>[P</w:t>
          </w:r>
          <w:r w:rsidRPr="001E4517">
            <w:rPr>
              <w:rStyle w:val="PlaceholderText"/>
            </w:rPr>
            <w:t>lease insert any other information here that you believe is relevant</w:t>
          </w:r>
          <w:r>
            <w:rPr>
              <w:rStyle w:val="PlaceholderText"/>
            </w:rPr>
            <w:t>]</w:t>
          </w:r>
        </w:p>
      </w:docPartBody>
    </w:docPart>
    <w:docPart>
      <w:docPartPr>
        <w:name w:val="90EAD92A896D4C8183762E504E5B9427"/>
        <w:category>
          <w:name w:val="General"/>
          <w:gallery w:val="placeholder"/>
        </w:category>
        <w:types>
          <w:type w:val="bbPlcHdr"/>
        </w:types>
        <w:behaviors>
          <w:behavior w:val="content"/>
        </w:behaviors>
        <w:guid w:val="{B7DBE916-7832-4A83-B843-B15B42FC7B8B}"/>
      </w:docPartPr>
      <w:docPartBody>
        <w:p w:rsidR="00A04945" w:rsidRDefault="00C42FE8" w:rsidP="00C42FE8">
          <w:pPr>
            <w:pStyle w:val="90EAD92A896D4C8183762E504E5B9427"/>
          </w:pPr>
          <w:r>
            <w:rPr>
              <w:vanish/>
            </w:rPr>
            <w:t>[Divider heading]</w:t>
          </w:r>
        </w:p>
      </w:docPartBody>
    </w:docPart>
    <w:docPart>
      <w:docPartPr>
        <w:name w:val="8D8673D27CC44F298BC31B6D7BE1EB9D"/>
        <w:category>
          <w:name w:val="General"/>
          <w:gallery w:val="placeholder"/>
        </w:category>
        <w:types>
          <w:type w:val="bbPlcHdr"/>
        </w:types>
        <w:behaviors>
          <w:behavior w:val="content"/>
        </w:behaviors>
        <w:guid w:val="{170403B5-76F5-4860-ABA5-6E8B6B4ECEC4}"/>
      </w:docPartPr>
      <w:docPartBody>
        <w:p w:rsidR="00A04945" w:rsidRDefault="00C42FE8" w:rsidP="00C42FE8">
          <w:pPr>
            <w:pStyle w:val="8D8673D27CC44F298BC31B6D7BE1EB9D"/>
          </w:pPr>
          <w:r>
            <w:rPr>
              <w:rStyle w:val="PlaceholderText"/>
            </w:rPr>
            <w:t>[C</w:t>
          </w:r>
          <w:r w:rsidRPr="00F95C2C">
            <w:rPr>
              <w:rStyle w:val="PlaceholderText"/>
            </w:rPr>
            <w:t>lient name</w:t>
          </w:r>
          <w:r>
            <w:rPr>
              <w:rStyle w:val="PlaceholderText"/>
            </w:rPr>
            <w:t>]</w:t>
          </w:r>
        </w:p>
      </w:docPartBody>
    </w:docPart>
    <w:docPart>
      <w:docPartPr>
        <w:name w:val="8EA6BC9C9AF74472B7BDB75B5C163BF3"/>
        <w:category>
          <w:name w:val="General"/>
          <w:gallery w:val="placeholder"/>
        </w:category>
        <w:types>
          <w:type w:val="bbPlcHdr"/>
        </w:types>
        <w:behaviors>
          <w:behavior w:val="content"/>
        </w:behaviors>
        <w:guid w:val="{2C9D6EFD-1C0C-4F6E-B765-1B4713706F83}"/>
      </w:docPartPr>
      <w:docPartBody>
        <w:p w:rsidR="00A04945" w:rsidRDefault="00C42FE8" w:rsidP="00C42FE8">
          <w:pPr>
            <w:pStyle w:val="8EA6BC9C9AF74472B7BDB75B5C163BF3"/>
          </w:pPr>
          <w:r>
            <w:rPr>
              <w:rStyle w:val="PlaceholderText"/>
            </w:rPr>
            <w:t>[D</w:t>
          </w:r>
          <w:r w:rsidRPr="00467391">
            <w:rPr>
              <w:rStyle w:val="PlaceholderText"/>
            </w:rPr>
            <w:t>escribe your role, responsibilities, value, and innovations you brought to the project (the challenges and how you overcame them)</w:t>
          </w:r>
          <w:r>
            <w:rPr>
              <w:rStyle w:val="PlaceholderText"/>
            </w:rPr>
            <w:t>]</w:t>
          </w:r>
        </w:p>
      </w:docPartBody>
    </w:docPart>
    <w:docPart>
      <w:docPartPr>
        <w:name w:val="5A1CDE27DD0049E187905CEF1FA8C612"/>
        <w:category>
          <w:name w:val="General"/>
          <w:gallery w:val="placeholder"/>
        </w:category>
        <w:types>
          <w:type w:val="bbPlcHdr"/>
        </w:types>
        <w:behaviors>
          <w:behavior w:val="content"/>
        </w:behaviors>
        <w:guid w:val="{7A4C3532-D8F4-4DCC-A9C9-2BA08F24C391}"/>
      </w:docPartPr>
      <w:docPartBody>
        <w:p w:rsidR="005B742F" w:rsidRDefault="00716E62" w:rsidP="00716E62">
          <w:pPr>
            <w:pStyle w:val="5A1CDE27DD0049E187905CEF1FA8C612"/>
          </w:pPr>
          <w:r>
            <w:rPr>
              <w:rStyle w:val="PlaceholderText"/>
            </w:rPr>
            <w:t>[</w:t>
          </w:r>
          <w:r w:rsidRPr="00F647CA">
            <w:rPr>
              <w:rStyle w:val="PlaceholderText"/>
            </w:rPr>
            <w:t>Document</w:t>
          </w:r>
          <w:r>
            <w:rPr>
              <w:rStyle w:val="PlaceholderText"/>
            </w:rPr>
            <w:t xml:space="preserve"> t</w:t>
          </w:r>
          <w:r w:rsidRPr="00F647CA">
            <w:rPr>
              <w:rStyle w:val="PlaceholderText"/>
            </w:rPr>
            <w:t>itle</w:t>
          </w:r>
          <w:r>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Jacobs Chronos">
    <w:charset w:val="00"/>
    <w:family w:val="swiss"/>
    <w:pitch w:val="variable"/>
    <w:sig w:usb0="A00000EF" w:usb1="0000E0EB" w:usb2="00000008" w:usb3="00000000" w:csb0="00000001" w:csb1="00000000"/>
  </w:font>
  <w:font w:name="Times New Roman">
    <w:panose1 w:val="02020603050405020304"/>
    <w:charset w:val="00"/>
    <w:family w:val="roman"/>
    <w:pitch w:val="variable"/>
    <w:sig w:usb0="E0002EFF" w:usb1="C000785B" w:usb2="00000009" w:usb3="00000000" w:csb0="000001FF" w:csb1="00000000"/>
  </w:font>
  <w:font w:name="Jacobs Chronos Light">
    <w:charset w:val="00"/>
    <w:family w:val="swiss"/>
    <w:pitch w:val="variable"/>
    <w:sig w:usb0="A00000EF" w:usb1="0000E0EB" w:usb2="00000008"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3AB"/>
    <w:rsid w:val="00083E7E"/>
    <w:rsid w:val="00141C01"/>
    <w:rsid w:val="0016710A"/>
    <w:rsid w:val="00181D91"/>
    <w:rsid w:val="001C2EFB"/>
    <w:rsid w:val="00232D61"/>
    <w:rsid w:val="002765E8"/>
    <w:rsid w:val="003D6FB9"/>
    <w:rsid w:val="00497AA9"/>
    <w:rsid w:val="005353AB"/>
    <w:rsid w:val="005A7AAA"/>
    <w:rsid w:val="005B742F"/>
    <w:rsid w:val="005C12A5"/>
    <w:rsid w:val="00616E48"/>
    <w:rsid w:val="0063333F"/>
    <w:rsid w:val="00635563"/>
    <w:rsid w:val="00695181"/>
    <w:rsid w:val="00716E62"/>
    <w:rsid w:val="00744231"/>
    <w:rsid w:val="007D128F"/>
    <w:rsid w:val="008A68FD"/>
    <w:rsid w:val="00932956"/>
    <w:rsid w:val="00940A91"/>
    <w:rsid w:val="00A04945"/>
    <w:rsid w:val="00A05D24"/>
    <w:rsid w:val="00A93B4C"/>
    <w:rsid w:val="00AC039A"/>
    <w:rsid w:val="00AE4361"/>
    <w:rsid w:val="00BA4DF6"/>
    <w:rsid w:val="00C42FE8"/>
    <w:rsid w:val="00CD5317"/>
    <w:rsid w:val="00CD5B62"/>
    <w:rsid w:val="00D93935"/>
    <w:rsid w:val="00DD5908"/>
    <w:rsid w:val="00E46495"/>
    <w:rsid w:val="00E8168D"/>
    <w:rsid w:val="00FA2B27"/>
    <w:rsid w:val="00FC20A0"/>
    <w:rsid w:val="00FF06EB"/>
    <w:rsid w:val="00FF21F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58EFC09"/>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2D61"/>
    <w:rPr>
      <w:i/>
      <w:color w:val="auto"/>
      <w:bdr w:val="none" w:sz="0" w:space="0" w:color="auto"/>
      <w:shd w:val="clear" w:color="auto" w:fill="auto"/>
    </w:rPr>
  </w:style>
  <w:style w:type="paragraph" w:customStyle="1" w:styleId="EF4A8FC999A84BBA8BB5746588EC4BFE">
    <w:name w:val="EF4A8FC999A84BBA8BB5746588EC4BFE"/>
  </w:style>
  <w:style w:type="paragraph" w:customStyle="1" w:styleId="17B432AC0C234E4683B25B853A942241">
    <w:name w:val="17B432AC0C234E4683B25B853A942241"/>
  </w:style>
  <w:style w:type="paragraph" w:customStyle="1" w:styleId="23B335CD94884090BFB5B71AE90B770A">
    <w:name w:val="23B335CD94884090BFB5B71AE90B770A"/>
  </w:style>
  <w:style w:type="paragraph" w:customStyle="1" w:styleId="9FA9B2D5B45E4451B2245AB9F24DB866">
    <w:name w:val="9FA9B2D5B45E4451B2245AB9F24DB866"/>
  </w:style>
  <w:style w:type="paragraph" w:customStyle="1" w:styleId="28733E217D4C4E25BCA86C5ADA8003DC">
    <w:name w:val="28733E217D4C4E25BCA86C5ADA8003DC"/>
  </w:style>
  <w:style w:type="paragraph" w:customStyle="1" w:styleId="876BDE493F6E43A680FD86C36CE348FC">
    <w:name w:val="876BDE493F6E43A680FD86C36CE348FC"/>
  </w:style>
  <w:style w:type="paragraph" w:customStyle="1" w:styleId="47665124C38D42C785D58267F218768C">
    <w:name w:val="47665124C38D42C785D58267F218768C"/>
  </w:style>
  <w:style w:type="paragraph" w:customStyle="1" w:styleId="F99C3D2337C24EC4A5B913FCCEFA286C">
    <w:name w:val="F99C3D2337C24EC4A5B913FCCEFA286C"/>
  </w:style>
  <w:style w:type="paragraph" w:customStyle="1" w:styleId="DD39FE8D532243399D2D365E1DDFA408">
    <w:name w:val="DD39FE8D532243399D2D365E1DDFA408"/>
  </w:style>
  <w:style w:type="paragraph" w:customStyle="1" w:styleId="BC295E406A064E009BA16646C3181291">
    <w:name w:val="BC295E406A064E009BA16646C3181291"/>
  </w:style>
  <w:style w:type="paragraph" w:customStyle="1" w:styleId="82C4EF17BE57486EA1F71D71A47CC3C3">
    <w:name w:val="82C4EF17BE57486EA1F71D71A47CC3C3"/>
  </w:style>
  <w:style w:type="paragraph" w:customStyle="1" w:styleId="E6C13A9527B540639834F934589FA99C">
    <w:name w:val="E6C13A9527B540639834F934589FA99C"/>
  </w:style>
  <w:style w:type="paragraph" w:customStyle="1" w:styleId="11424591A18143649E9D36957C5940E5">
    <w:name w:val="11424591A18143649E9D36957C5940E5"/>
  </w:style>
  <w:style w:type="paragraph" w:customStyle="1" w:styleId="A625B2D49F4347AAB88AE11AAB852A04">
    <w:name w:val="A625B2D49F4347AAB88AE11AAB852A04"/>
  </w:style>
  <w:style w:type="paragraph" w:customStyle="1" w:styleId="2F408117E8F846128C6E933CDD2EC6F9">
    <w:name w:val="2F408117E8F846128C6E933CDD2EC6F9"/>
  </w:style>
  <w:style w:type="paragraph" w:customStyle="1" w:styleId="C4E685C9557545E5BB9E73D8B81952CD">
    <w:name w:val="C4E685C9557545E5BB9E73D8B81952CD"/>
  </w:style>
  <w:style w:type="paragraph" w:customStyle="1" w:styleId="E5F7CDF73735452FB74A9A0EA7F90F06">
    <w:name w:val="E5F7CDF73735452FB74A9A0EA7F90F06"/>
  </w:style>
  <w:style w:type="paragraph" w:customStyle="1" w:styleId="7B4915527440443EAA56613A80AC7ABF">
    <w:name w:val="7B4915527440443EAA56613A80AC7ABF"/>
    <w:rsid w:val="008A68FD"/>
  </w:style>
  <w:style w:type="paragraph" w:customStyle="1" w:styleId="BC5B3FF9FBFB4FB48BA9BB1BCF2F3882">
    <w:name w:val="BC5B3FF9FBFB4FB48BA9BB1BCF2F3882"/>
  </w:style>
  <w:style w:type="paragraph" w:customStyle="1" w:styleId="02DA063D7B374C3C8A26894223FA6BDA">
    <w:name w:val="02DA063D7B374C3C8A26894223FA6BDA"/>
  </w:style>
  <w:style w:type="paragraph" w:customStyle="1" w:styleId="E78F25158DD24B44AAAB13BDE0EC0549">
    <w:name w:val="E78F25158DD24B44AAAB13BDE0EC0549"/>
  </w:style>
  <w:style w:type="paragraph" w:customStyle="1" w:styleId="3E3C9FBED8CE44C7A54826EEE9DFFECB">
    <w:name w:val="3E3C9FBED8CE44C7A54826EEE9DFFECB"/>
  </w:style>
  <w:style w:type="paragraph" w:customStyle="1" w:styleId="6A71919A28AC4F12B55FC3F75710D707">
    <w:name w:val="6A71919A28AC4F12B55FC3F75710D707"/>
  </w:style>
  <w:style w:type="paragraph" w:customStyle="1" w:styleId="0E8847960B2842A190BE66BE2DB74117">
    <w:name w:val="0E8847960B2842A190BE66BE2DB74117"/>
  </w:style>
  <w:style w:type="paragraph" w:customStyle="1" w:styleId="86A5F5A4A11A45B884ACBD7030A4F3EF">
    <w:name w:val="86A5F5A4A11A45B884ACBD7030A4F3EF"/>
  </w:style>
  <w:style w:type="paragraph" w:customStyle="1" w:styleId="5413933B5DC840EB8B1D48950BDF583A">
    <w:name w:val="5413933B5DC840EB8B1D48950BDF583A"/>
  </w:style>
  <w:style w:type="paragraph" w:customStyle="1" w:styleId="638E8411BF9B47BA950F0137D377BA4E">
    <w:name w:val="638E8411BF9B47BA950F0137D377BA4E"/>
  </w:style>
  <w:style w:type="paragraph" w:customStyle="1" w:styleId="B4819E3238394F2B920C9A68BE5CBF69">
    <w:name w:val="B4819E3238394F2B920C9A68BE5CBF69"/>
  </w:style>
  <w:style w:type="paragraph" w:customStyle="1" w:styleId="F975C42BA9C6495185C46725D901DD20">
    <w:name w:val="F975C42BA9C6495185C46725D901DD20"/>
  </w:style>
  <w:style w:type="paragraph" w:customStyle="1" w:styleId="4E163CDAA8D54BD18783D54649FA3AE8">
    <w:name w:val="4E163CDAA8D54BD18783D54649FA3AE8"/>
  </w:style>
  <w:style w:type="paragraph" w:customStyle="1" w:styleId="073E0D5B3B364AF6AE9049BC7887DD3A">
    <w:name w:val="073E0D5B3B364AF6AE9049BC7887DD3A"/>
  </w:style>
  <w:style w:type="paragraph" w:customStyle="1" w:styleId="E4A517EBB16A4C5CA9EEB0D78BD19EA7">
    <w:name w:val="E4A517EBB16A4C5CA9EEB0D78BD19EA7"/>
  </w:style>
  <w:style w:type="paragraph" w:customStyle="1" w:styleId="8EE5A9F3CC184B899EC594B94C6FDEC6">
    <w:name w:val="8EE5A9F3CC184B899EC594B94C6FDEC6"/>
  </w:style>
  <w:style w:type="paragraph" w:customStyle="1" w:styleId="4E6644A5109D4A5A9154A109AE01E149">
    <w:name w:val="4E6644A5109D4A5A9154A109AE01E149"/>
  </w:style>
  <w:style w:type="paragraph" w:customStyle="1" w:styleId="F096010F1B174286A03B8976BA3D15FC">
    <w:name w:val="F096010F1B174286A03B8976BA3D15FC"/>
  </w:style>
  <w:style w:type="paragraph" w:customStyle="1" w:styleId="8F1BF411868B4F2ABF8F4A739C948AEB">
    <w:name w:val="8F1BF411868B4F2ABF8F4A739C948AEB"/>
  </w:style>
  <w:style w:type="paragraph" w:customStyle="1" w:styleId="D2B7F524414740F2995068374239F420">
    <w:name w:val="D2B7F524414740F2995068374239F420"/>
  </w:style>
  <w:style w:type="paragraph" w:customStyle="1" w:styleId="FE58711B747645A6A90E854D9D1DC68D">
    <w:name w:val="FE58711B747645A6A90E854D9D1DC68D"/>
  </w:style>
  <w:style w:type="paragraph" w:customStyle="1" w:styleId="B7215DC7CA8B44A782C879675A3102C7">
    <w:name w:val="B7215DC7CA8B44A782C879675A3102C7"/>
  </w:style>
  <w:style w:type="paragraph" w:customStyle="1" w:styleId="9DDB85735AF84940A8FA98FDAA0A4786">
    <w:name w:val="9DDB85735AF84940A8FA98FDAA0A4786"/>
  </w:style>
  <w:style w:type="paragraph" w:customStyle="1" w:styleId="F3C55329BF69497A812B25F0A83AD0F7">
    <w:name w:val="F3C55329BF69497A812B25F0A83AD0F7"/>
  </w:style>
  <w:style w:type="paragraph" w:customStyle="1" w:styleId="D728E13D722340129D7D38CE9B332647">
    <w:name w:val="D728E13D722340129D7D38CE9B332647"/>
    <w:rsid w:val="008A68FD"/>
  </w:style>
  <w:style w:type="paragraph" w:customStyle="1" w:styleId="9F95A97385844F7380EE974E48259F9E">
    <w:name w:val="9F95A97385844F7380EE974E48259F9E"/>
    <w:rsid w:val="008A68FD"/>
  </w:style>
  <w:style w:type="paragraph" w:customStyle="1" w:styleId="8DDAD42663C74682B66FDBE6425A318D">
    <w:name w:val="8DDAD42663C74682B66FDBE6425A318D"/>
    <w:rsid w:val="008A68FD"/>
  </w:style>
  <w:style w:type="paragraph" w:customStyle="1" w:styleId="CF1A3509AEE5460DA022829A5313CCE1">
    <w:name w:val="CF1A3509AEE5460DA022829A5313CCE1"/>
    <w:rsid w:val="008A68FD"/>
  </w:style>
  <w:style w:type="paragraph" w:customStyle="1" w:styleId="095BCB95B2524C469F175CCA3312AE9F">
    <w:name w:val="095BCB95B2524C469F175CCA3312AE9F"/>
    <w:rsid w:val="008A68FD"/>
  </w:style>
  <w:style w:type="paragraph" w:customStyle="1" w:styleId="32F52D99413D465FB09DC0F4A3C0E6A2">
    <w:name w:val="32F52D99413D465FB09DC0F4A3C0E6A2"/>
    <w:rsid w:val="008A68FD"/>
  </w:style>
  <w:style w:type="paragraph" w:customStyle="1" w:styleId="57E4A4D04D374F11BA95D0A244E3D652">
    <w:name w:val="57E4A4D04D374F11BA95D0A244E3D652"/>
    <w:rsid w:val="008A68FD"/>
  </w:style>
  <w:style w:type="paragraph" w:customStyle="1" w:styleId="702EF1BFF9354998A824776117827778">
    <w:name w:val="702EF1BFF9354998A824776117827778"/>
    <w:rsid w:val="008A68FD"/>
  </w:style>
  <w:style w:type="paragraph" w:customStyle="1" w:styleId="DB79BB1A84C74676A91B3F6D22066FA7">
    <w:name w:val="DB79BB1A84C74676A91B3F6D22066FA7"/>
    <w:rsid w:val="008A68FD"/>
  </w:style>
  <w:style w:type="paragraph" w:customStyle="1" w:styleId="5E579324A24D4911B701C2404EE6E51A">
    <w:name w:val="5E579324A24D4911B701C2404EE6E51A"/>
    <w:rsid w:val="008A68FD"/>
  </w:style>
  <w:style w:type="paragraph" w:customStyle="1" w:styleId="6F60FD3B5F094C2798B3D3570514E296">
    <w:name w:val="6F60FD3B5F094C2798B3D3570514E296"/>
    <w:rsid w:val="008A68FD"/>
  </w:style>
  <w:style w:type="paragraph" w:customStyle="1" w:styleId="37540EFAD1094039B7394C095B747FBF">
    <w:name w:val="37540EFAD1094039B7394C095B747FBF"/>
    <w:rsid w:val="00E8168D"/>
  </w:style>
  <w:style w:type="paragraph" w:customStyle="1" w:styleId="5D8C09DA668542CF85A72A812BDD4287">
    <w:name w:val="5D8C09DA668542CF85A72A812BDD4287"/>
    <w:rsid w:val="00E8168D"/>
  </w:style>
  <w:style w:type="paragraph" w:customStyle="1" w:styleId="629066367FAE4AD99D5B9D2B67923DA5">
    <w:name w:val="629066367FAE4AD99D5B9D2B67923DA5"/>
    <w:rsid w:val="00E8168D"/>
  </w:style>
  <w:style w:type="paragraph" w:customStyle="1" w:styleId="92A67CABFBD643C59A29F092024D81A6">
    <w:name w:val="92A67CABFBD643C59A29F092024D81A6"/>
    <w:rsid w:val="00E8168D"/>
  </w:style>
  <w:style w:type="paragraph" w:customStyle="1" w:styleId="C8001E664B674AF7AE5CDC979D8C252F">
    <w:name w:val="C8001E664B674AF7AE5CDC979D8C252F"/>
  </w:style>
  <w:style w:type="paragraph" w:customStyle="1" w:styleId="04C530EBA64D43F3972E55789EF5BD2D">
    <w:name w:val="04C530EBA64D43F3972E55789EF5BD2D"/>
  </w:style>
  <w:style w:type="paragraph" w:customStyle="1" w:styleId="D6F3FC8D069B4CE693FCEE0BBC34D920">
    <w:name w:val="D6F3FC8D069B4CE693FCEE0BBC34D920"/>
  </w:style>
  <w:style w:type="paragraph" w:customStyle="1" w:styleId="1DB96A7591974B32A6AF1D6ADAB4AA40">
    <w:name w:val="1DB96A7591974B32A6AF1D6ADAB4AA40"/>
    <w:rsid w:val="00616E48"/>
  </w:style>
  <w:style w:type="paragraph" w:customStyle="1" w:styleId="F608F90AC2E1407A8E602505B27D0B70">
    <w:name w:val="F608F90AC2E1407A8E602505B27D0B70"/>
    <w:rsid w:val="00616E48"/>
  </w:style>
  <w:style w:type="paragraph" w:customStyle="1" w:styleId="39A41414123B43BFBD7E861C6DF10468">
    <w:name w:val="39A41414123B43BFBD7E861C6DF10468"/>
    <w:rsid w:val="00616E48"/>
  </w:style>
  <w:style w:type="paragraph" w:customStyle="1" w:styleId="4556B0FBACA9426EB13BE7FDDB343FBC">
    <w:name w:val="4556B0FBACA9426EB13BE7FDDB343FBC"/>
    <w:rsid w:val="00616E48"/>
  </w:style>
  <w:style w:type="paragraph" w:customStyle="1" w:styleId="2662BBC954874255BF298B4583EFFB07">
    <w:name w:val="2662BBC954874255BF298B4583EFFB07"/>
    <w:rsid w:val="00D93935"/>
  </w:style>
  <w:style w:type="paragraph" w:customStyle="1" w:styleId="6D4C023528C54875BDD482D239B87903">
    <w:name w:val="6D4C023528C54875BDD482D239B87903"/>
    <w:rsid w:val="00D93935"/>
  </w:style>
  <w:style w:type="paragraph" w:customStyle="1" w:styleId="1640F9F062A3457390D93E33101F9177">
    <w:name w:val="1640F9F062A3457390D93E33101F9177"/>
    <w:rsid w:val="00D93935"/>
  </w:style>
  <w:style w:type="paragraph" w:customStyle="1" w:styleId="C0C8A460FCE8423B964B3C56D3A6B74E">
    <w:name w:val="C0C8A460FCE8423B964B3C56D3A6B74E"/>
    <w:rsid w:val="00D93935"/>
  </w:style>
  <w:style w:type="paragraph" w:customStyle="1" w:styleId="7D834B63CDB94CCF9C5D8F1EE3B341A7">
    <w:name w:val="7D834B63CDB94CCF9C5D8F1EE3B341A7"/>
    <w:rsid w:val="00D93935"/>
  </w:style>
  <w:style w:type="paragraph" w:customStyle="1" w:styleId="C7C94A416F1A4E768146BE310EF74D34">
    <w:name w:val="C7C94A416F1A4E768146BE310EF74D34"/>
    <w:rsid w:val="00D93935"/>
  </w:style>
  <w:style w:type="paragraph" w:customStyle="1" w:styleId="016993FFCA6A49A586019B518B5B93A6">
    <w:name w:val="016993FFCA6A49A586019B518B5B93A6"/>
    <w:rsid w:val="00D93935"/>
  </w:style>
  <w:style w:type="paragraph" w:customStyle="1" w:styleId="07AA36E48A384B7B93E4E153D5F1E26D">
    <w:name w:val="07AA36E48A384B7B93E4E153D5F1E26D"/>
    <w:rsid w:val="00D93935"/>
  </w:style>
  <w:style w:type="paragraph" w:customStyle="1" w:styleId="1D14F329E10A4EDE846987ABB17D7EB0">
    <w:name w:val="1D14F329E10A4EDE846987ABB17D7EB0"/>
    <w:rsid w:val="00D93935"/>
  </w:style>
  <w:style w:type="paragraph" w:customStyle="1" w:styleId="EA15E5CD12154267B11344E33F80B143">
    <w:name w:val="EA15E5CD12154267B11344E33F80B143"/>
    <w:rsid w:val="00C42FE8"/>
  </w:style>
  <w:style w:type="paragraph" w:customStyle="1" w:styleId="3DBE880F94AE422D88E77CF415162B38">
    <w:name w:val="3DBE880F94AE422D88E77CF415162B38"/>
    <w:rsid w:val="00C42FE8"/>
  </w:style>
  <w:style w:type="paragraph" w:customStyle="1" w:styleId="193CDDB231AB4F54B5B1033DAC512F55">
    <w:name w:val="193CDDB231AB4F54B5B1033DAC512F55"/>
    <w:rsid w:val="00C42FE8"/>
  </w:style>
  <w:style w:type="paragraph" w:customStyle="1" w:styleId="2F773A932AAA489FA6030F47B3CB187D">
    <w:name w:val="2F773A932AAA489FA6030F47B3CB187D"/>
    <w:rsid w:val="00C42FE8"/>
  </w:style>
  <w:style w:type="paragraph" w:customStyle="1" w:styleId="6B52572C041E432DB13524DD4F40A06A">
    <w:name w:val="6B52572C041E432DB13524DD4F40A06A"/>
    <w:rsid w:val="00C42FE8"/>
  </w:style>
  <w:style w:type="paragraph" w:customStyle="1" w:styleId="1166C7B2BDB448CC8992ED5199F3DA90">
    <w:name w:val="1166C7B2BDB448CC8992ED5199F3DA90"/>
    <w:rsid w:val="00C42FE8"/>
  </w:style>
  <w:style w:type="paragraph" w:customStyle="1" w:styleId="90EAD92A896D4C8183762E504E5B9427">
    <w:name w:val="90EAD92A896D4C8183762E504E5B9427"/>
    <w:rsid w:val="00C42FE8"/>
  </w:style>
  <w:style w:type="paragraph" w:customStyle="1" w:styleId="8D8673D27CC44F298BC31B6D7BE1EB9D">
    <w:name w:val="8D8673D27CC44F298BC31B6D7BE1EB9D"/>
    <w:rsid w:val="00C42FE8"/>
  </w:style>
  <w:style w:type="paragraph" w:customStyle="1" w:styleId="8EA6BC9C9AF74472B7BDB75B5C163BF3">
    <w:name w:val="8EA6BC9C9AF74472B7BDB75B5C163BF3"/>
    <w:rsid w:val="00C42FE8"/>
  </w:style>
  <w:style w:type="paragraph" w:customStyle="1" w:styleId="643118F2119F4C5E918FD2DDE9B7115B">
    <w:name w:val="643118F2119F4C5E918FD2DDE9B7115B"/>
    <w:rsid w:val="00C42FE8"/>
  </w:style>
  <w:style w:type="paragraph" w:customStyle="1" w:styleId="1E624894AB56483B99FD23A20A984CDC">
    <w:name w:val="1E624894AB56483B99FD23A20A984CDC"/>
    <w:rsid w:val="00A04945"/>
  </w:style>
  <w:style w:type="paragraph" w:customStyle="1" w:styleId="7576CBF42FEE4A198D49AA575CA75A6A">
    <w:name w:val="7576CBF42FEE4A198D49AA575CA75A6A"/>
    <w:rsid w:val="00A04945"/>
  </w:style>
  <w:style w:type="paragraph" w:customStyle="1" w:styleId="C508BBA1E73D4AA2B6E34681BB129F6C">
    <w:name w:val="C508BBA1E73D4AA2B6E34681BB129F6C"/>
    <w:rsid w:val="00716E62"/>
  </w:style>
  <w:style w:type="paragraph" w:customStyle="1" w:styleId="AC33020067314DB695B57A130A0C9900">
    <w:name w:val="AC33020067314DB695B57A130A0C9900"/>
    <w:rsid w:val="00716E62"/>
  </w:style>
  <w:style w:type="paragraph" w:customStyle="1" w:styleId="5A1CDE27DD0049E187905CEF1FA8C612">
    <w:name w:val="5A1CDE27DD0049E187905CEF1FA8C612"/>
    <w:rsid w:val="00716E62"/>
  </w:style>
  <w:style w:type="paragraph" w:customStyle="1" w:styleId="ADB7A4762E0D4B5282E6682AB29A0DC1">
    <w:name w:val="ADB7A4762E0D4B5282E6682AB29A0DC1"/>
  </w:style>
  <w:style w:type="paragraph" w:customStyle="1" w:styleId="A8DF39AF335147A8BC0757E84B2C2276">
    <w:name w:val="A8DF39AF335147A8BC0757E84B2C2276"/>
  </w:style>
  <w:style w:type="paragraph" w:customStyle="1" w:styleId="83F3DF12DD0F4E5CA7C9AD9D8119FF1A">
    <w:name w:val="83F3DF12DD0F4E5CA7C9AD9D8119FF1A"/>
  </w:style>
  <w:style w:type="paragraph" w:customStyle="1" w:styleId="56491B89A8BA49CEBAAD8A181F1E0BC0">
    <w:name w:val="56491B89A8BA49CEBAAD8A181F1E0BC0"/>
  </w:style>
  <w:style w:type="paragraph" w:customStyle="1" w:styleId="E48102FA02254BF682B5F4F6DB2CF233">
    <w:name w:val="E48102FA02254BF682B5F4F6DB2CF233"/>
  </w:style>
  <w:style w:type="paragraph" w:customStyle="1" w:styleId="260CD944518C4650AE589B26D6555A3A">
    <w:name w:val="260CD944518C4650AE589B26D6555A3A"/>
  </w:style>
  <w:style w:type="paragraph" w:customStyle="1" w:styleId="E2FAF0DEDBDC4F71991B6074B12B303C">
    <w:name w:val="E2FAF0DEDBDC4F71991B6074B12B303C"/>
  </w:style>
  <w:style w:type="paragraph" w:customStyle="1" w:styleId="D577A57689C1420FB6273BDA83EC555A">
    <w:name w:val="D577A57689C1420FB6273BDA83EC555A"/>
  </w:style>
  <w:style w:type="paragraph" w:customStyle="1" w:styleId="EC6AA6237F6F4E69A604A47723B74296">
    <w:name w:val="EC6AA6237F6F4E69A604A47723B74296"/>
  </w:style>
  <w:style w:type="paragraph" w:customStyle="1" w:styleId="1C127FDC45EB44E2A5EA33415EE7DE2E">
    <w:name w:val="1C127FDC45EB44E2A5EA33415EE7DE2E"/>
  </w:style>
  <w:style w:type="paragraph" w:customStyle="1" w:styleId="097A829CCA45441F9C999832131784D6">
    <w:name w:val="097A829CCA45441F9C999832131784D6"/>
  </w:style>
  <w:style w:type="paragraph" w:customStyle="1" w:styleId="04B715D58BE74E878C47E83277105086">
    <w:name w:val="04B715D58BE74E878C47E83277105086"/>
  </w:style>
  <w:style w:type="paragraph" w:customStyle="1" w:styleId="022B2B2F5C3945C09184D4356A012062">
    <w:name w:val="022B2B2F5C3945C09184D4356A012062"/>
  </w:style>
  <w:style w:type="paragraph" w:customStyle="1" w:styleId="A0F159816483436484611CF3281663C0">
    <w:name w:val="A0F159816483436484611CF3281663C0"/>
  </w:style>
  <w:style w:type="paragraph" w:customStyle="1" w:styleId="9ED2F752A18F4377A66AE5C3000AB940">
    <w:name w:val="9ED2F752A18F4377A66AE5C3000AB940"/>
    <w:rsid w:val="0016710A"/>
  </w:style>
  <w:style w:type="paragraph" w:customStyle="1" w:styleId="3B8877DFEF0D48058BD37815D8D5B9CE">
    <w:name w:val="3B8877DFEF0D48058BD37815D8D5B9CE"/>
    <w:rsid w:val="0016710A"/>
  </w:style>
  <w:style w:type="paragraph" w:customStyle="1" w:styleId="9601EB16F51C46DC9C7C74893C8C08A7">
    <w:name w:val="9601EB16F51C46DC9C7C74893C8C08A7"/>
    <w:rsid w:val="0016710A"/>
  </w:style>
  <w:style w:type="paragraph" w:customStyle="1" w:styleId="F17909A69542468889A6423BE7FF646D">
    <w:name w:val="F17909A69542468889A6423BE7FF646D"/>
    <w:rsid w:val="0016710A"/>
  </w:style>
  <w:style w:type="paragraph" w:customStyle="1" w:styleId="45F6149ABA7C485CBF185173D26D3D97">
    <w:name w:val="45F6149ABA7C485CBF185173D26D3D97"/>
    <w:rsid w:val="001C2EFB"/>
  </w:style>
  <w:style w:type="paragraph" w:customStyle="1" w:styleId="BAEF05D017F94BE597142937664B9EBD">
    <w:name w:val="BAEF05D017F94BE597142937664B9EBD"/>
    <w:rsid w:val="00232D6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JacobsBlue">
  <a:themeElements>
    <a:clrScheme name="Jacobs Primary Green">
      <a:dk1>
        <a:srgbClr val="000000"/>
      </a:dk1>
      <a:lt1>
        <a:srgbClr val="FFFFFF"/>
      </a:lt1>
      <a:dk2>
        <a:srgbClr val="333333"/>
      </a:dk2>
      <a:lt2>
        <a:srgbClr val="E6E6E6"/>
      </a:lt2>
      <a:accent1>
        <a:srgbClr val="007D55"/>
      </a:accent1>
      <a:accent2>
        <a:srgbClr val="6F006E"/>
      </a:accent2>
      <a:accent3>
        <a:srgbClr val="D72850"/>
      </a:accent3>
      <a:accent4>
        <a:srgbClr val="FFA014"/>
      </a:accent4>
      <a:accent5>
        <a:srgbClr val="231EDC"/>
      </a:accent5>
      <a:accent6>
        <a:srgbClr val="A5A5A5"/>
      </a:accent6>
      <a:hlink>
        <a:srgbClr val="231EDC"/>
      </a:hlink>
      <a:folHlink>
        <a:srgbClr val="E5E5E5"/>
      </a:folHlink>
    </a:clrScheme>
    <a:fontScheme name="JacobsChronos">
      <a:majorFont>
        <a:latin typeface="Jacobs Chronos"/>
        <a:ea typeface=""/>
        <a:cs typeface=""/>
      </a:majorFont>
      <a:minorFont>
        <a:latin typeface="Jacobs Chronos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root xmlns="http://schemas.macroview.com.au/answerfile">
  <Apologies xmlns="http://schemas.macroview.com.au/answerfile"/>
  <ApprovedBy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ApprovedBy>
  <ClientName xmlns="http://schemas.macroview.com.au/answerfile">Department of Energy, Environment and Climate Action</ClientName>
  <ClientReference xmlns="http://schemas.macroview.com.au/answerfile">CMS104990</ClientReference>
  <CopiesTo xmlns="http://schemas.macroview.com.au/answerfile"/>
  <CvFirstNameSurname xmlns="http://schemas.macroview.com.au/answerfile"/>
  <Date xmlns="http://schemas.macroview.com.au/answerfile">2023-03-23T13:00:00Z</Date>
  <DocumentNumber xmlns="http://schemas.macroview.com.au/answerfile">IS427600-03</DocumentNumber>
  <DocumentTitle xmlns="http://schemas.macroview.com.au/answerfile">Audit of timber harvesting operations in Victoria’s State forests: Report of the 2022 Forest Audit Program</DocumentTitle>
  <Location xmlns="http://schemas.macroview.com.au/answerfile"/>
  <NumberOfPages xmlns="http://schemas.macroview.com.au/answerfile"/>
  <Participants xmlns="http://schemas.macroview.com.au/answerfile"/>
  <ProjectManager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ProjectManager>
  <ProjectName xmlns="http://schemas.macroview.com.au/answerfile">Forest Audit Program 2022</ProjectName>
  <ProjectNumber xmlns="http://schemas.macroview.com.au/answerfile">IS427600</ProjectNumber>
  <Recipient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Recipient>
  <ReviewedBy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ReviewedBy>
  <RevisionNumber xmlns="http://schemas.macroview.com.au/answerfile">B.1</RevisionNumber>
  <Sender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Sender>
  <Sender2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Sender2>
  <Signoff xmlns="http://schemas.macroview.com.au/answerfile">Regards</Signoff>
  <SubHeading xmlns="http://schemas.macroview.com.au/answerfile"/>
  <Subject xmlns="http://schemas.macroview.com.au/answerfile"/>
</root>
</file>

<file path=customXml/item10.xml><?xml version="1.0" encoding="utf-8"?>
<?mso-contentType ?>
<FormTemplates xmlns="http://schemas.microsoft.com/sharepoint/v3/contenttype/forms">
  <Display>DocumentLibraryForm</Display>
  <Edit>DocumentLibraryForm</Edit>
  <New>DocumentLibraryForm</New>
</FormTemplates>
</file>

<file path=customXml/item11.xml>��< ? x m l   v e r s i o n = " 1 . 0 "   e n c o d i n g = " u t f - 1 6 " ? > < q 1 : E n t i t y   x m l n s : q 1 = " h t t p : / / s c h e m a s . m a c r o v i e w . c o m . a u / e n t i t y " >  
     < q 1 : C o u n t r i e s >  
         < q 1 : s t r i n g > A u s t r a l i a < / q 1 : s t r i n g >  
     < / q 1 : C o u n t r i e s >  
     < q 1 : D e s c r i p t i o n >   A B N   3 7   0 0 1   0 2 4   0 9 5 < / q 1 : D e s c r i p t i o n >  
     < q 1 : I d > 9 a 9 9 4 a 6 1 - c 6 4 5 - 4 c 0 a - 9 9 e e - a 6 5 8 3 6 d e a d 2 f < / q 1 : I d >  
     < q 1 : N a m e > J a c o b s   G r o u p   ( A u s t r a l i a )   P t y   L i m i t e d < / q 1 : N a m e >  
     < q 1 : W e b > w w w . j a c o b s . c o m < / q 1 : W e b >  
 < / q 1 : E n t i t y > 
</file>

<file path=customXml/item12.xml><?xml version="1.0" encoding="utf-8"?>
<?mso-contentType ?>
<SharedContentType xmlns="Microsoft.SharePoint.Taxonomy.ContentTypeSync" SourceId="797aeec6-0273-40f2-ab3e-beee73212332" ContentTypeId="0x0101002517F445A0F35E449C98AAD631F2B0384501" PreviousValue="false"/>
</file>

<file path=customXml/item1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14.xml>��< ? x m l   v e r s i o n = " 1 . 0 "   e n c o d i n g = " u t f - 1 6 " ? > < q 1 : O f f i c e   x m l n s : q 1 = " h t t p : / / s c h e m a s . m a c r o v i e w . c o m . a u / o f f i c e " >  
     < q 1 : C C D e l i v e r y I t e m s / >  
     < q 1 : C o u n t r y > A u s t r a l i a < / q 1 : C o u n t r y >  
     < q 1 : C r e a t e d T i m e > 0 0 0 1 - 0 1 - 0 1 T 0 0 : 0 0 : 0 0 < / q 1 : C r e a t e d T i m e >  
     < q 1 : C u l t u r e C o d e > e n - A U < / q 1 : C u l t u r e C o d e >  
     < q 1 : C u l t u r e S t r i n g s >  
         < q 1 : A t t e n t i o n > A t t e n t i o n < / q 1 : A t t e n t i o n >  
         < q 1 : B e g i n T y p i n g H e r e > B e g i n   t y p i n g   h e r e < / q 1 : B e g i n T y p i n g H e r e >  
         < q 1 : C C > C C < / q 1 : C C >  
         < q 1 : D e a r > D e a r < / q 1 : D e a r >  
         < q 1 : E n c l o s u r e > E n c l < / q 1 : E n c l o s u r e >  
         < q 1 : O t h e r C o n t a c t > O t h e r   c o n t a c t < / q 1 : O t h e r C o n t a c t >  
         < q 1 : O u r R e f > O u r   r e f < / q 1 : O u r R e f >  
         < q 1 : Y o u r R e f > Y o u r   r e f < / q 1 : Y o u r R e f >  
         < q 1 : E x e c u t i v e S u m m a r y > E x e c u t i v e   S u m m a r y < / q 1 : E x e c u t i v e S u m m a r y >  
         < q 1 : P r e p a r e d F o r > P r e p a r e d   f o r < / q 1 : P r e p a r e d F o r >  
         < q 1 : T a b l e O f C o n t e n t s > T a b l e   o f   c o n t e n t s < / q 1 : T a b l e O f C o n t e n t s >  
         < q 1 : T y p e > T y p e < / q 1 : T y p e >  
         < q 1 : T i t l e > T i t l e < / q 1 : T i t l e >  
         < q 1 : D a t e > D a t e < / q 1 : D a t e >  
         < q 1 : P a r t i e s > P a r t i e s < / q 1 : P a r t i e s >  
         < q 1 : R e c i t a l s > R e c i t a l s < / q 1 : R e c i t a l s >  
         < q 1 : O p e r a t i v e P r o v i s i o n s > O p e r a t i v e   p r o v i s i o n s < / q 1 : O p e r a t i v e P r o v i s i o n s >  
         < q 1 : E x e c u t i o n > E x e c u t i o n < / q 1 : E x e c u t i o n >  
         < q 1 : E x e c u t e d > E x e c u t e d < / q 1 : E x e c u t e d >  
         < q 1 : I n s e r t A p p r o p r i a t e E x e c u t i o n C l a u s e F o r E a c h P a r t y H e r e > I n s e r t   a p p r o p r i a t e   e x e c u t i o n   c l a u s e   f o r   e a c h   p a r t y   h e r e < / q 1 : I n s e r t A p p r o p r i a t e E x e c u t i o n C l a u s e F o r E a c h P a r t y H e r e >  
         < q 1 : S i g n o f f N a m e > N a m e < / q 1 : S i g n o f f N a m e >  
         < q 1 : S i g n o f f T i t l e > T i t l e < / q 1 : S i g n o f f T i t l e >  
         < q 1 : S i g n o f f B y > B y < / q 1 : S i g n o f f B y >  
     < / q 1 : C u l t u r e S t r i n g s >  
     < q 1 : D i s p l a y I n E x c e l > t r u e < / q 1 : D i s p l a y I n E x c e l >  
     < q 1 : D i s p l a y I n O u t l o o k > t r u e < / q 1 : D i s p l a y I n O u t l o o k >  
     < q 1 : D i s p l a y I n P o w e r P o i n t > t r u e < / q 1 : D i s p l a y I n P o w e r P o i n t >  
     < q 1 : D i s p l a y I n W o r d > t r u e < / q 1 : D i s p l a y I n W o r d >  
     < q 1 : E m a i l S i g n a t u r e / >  
     < q 1 : E x c l u d e d T e m p l a t e s / >  
     < q 1 : F a c s i m i l e N u m b e r > + 6 1   3   8 6 6 8   3 0 0 1 < / q 1 : F a c s i m i l e N u m b e r >  
     < q 1 : I d > 7 3 5 c b 2 7 1 - 9 e 2 5 - 4 2 7 3 - 9 5 9 5 - 0 e 6 7 0 e b d e 2 2 1 < / q 1 : I d >  
     < q 1 : I s C u s t o m G a l l e r y 2 V i s i b l e > f a l s e < / q 1 : I s C u s t o m G a l l e r y 2 V i s i b l e >  
     < q 1 : L e g a l N o t i c e I t e m s / >  
     < q 1 : L e t t e r h e a d >  
         < q 1 : F o o t e r P a r a g r a p h S p a c e B e f o r e > 0 < / q 1 : F o o t e r P a r a g r a p h S p a c e B e f o r e >  
         < q 1 : H e a d e r P a r a g r a p h S p a c e A f t e r > 0 < / q 1 : H e a d e r P a r a g r a p h S p a c e A f t e r >  
     < / q 1 : L e t t e r h e a d >  
     < q 1 : L o g o >  
         < q 1 : H e i g h t   d 3 p 1 : n i l = " t r u e "   x m l n s : d 3 p 1 = " h t t p : / / w w w . w 3 . o r g / 2 0 0 1 / X M L S c h e m a - i n s t a n c e " / >  
     < / q 1 : L o g o >  
     < q 1 : L o n g D a t e F o r m a t > d   M M M M   y y y y < / q 1 : L o n g D a t e F o r m a t >  
     < q 1 : M o d i f i e d T i m e > 0 0 0 1 - 0 1 - 0 1 T 0 0 : 0 0 : 0 0 < / q 1 : M o d i f i e d T i m e >  
     < q 1 : M u l t i l i n e A d d r e s s > F l o o r   1 3 ,   4 5 2   F l i n d e r s   S t r e e t  
 M e l b o u r n e ,   V I C   3 0 0 0  
 P O   B o x   3 1 2 ,   F l i n d e r s   L a n e  
 M e l b o u r n e ,   V I C   8 0 0 9  
 A u s t r a l i a < / q 1 : M u l t i l i n e A d d r e s s >  
     < q 1 : N a m e > M e l b o u r n e < / q 1 : N a m e >  
     < q 1 : P a p e r S i z e   d 2 p 1 : n i l = " t r u e "   x m l n s : d 2 p 1 = " h t t p : / / w w w . w 3 . o r g / 2 0 0 1 / X M L S c h e m a - i n s t a n c e " / >  
     < q 1 : P h o n e N u m b e r > + 6 1   3   8 6 6 8   3 0 0 0 < / q 1 : P h o n e N u m b e r >  
     < q 1 : P o s t a l A d d r e s s >  
         < q 1 : T y p e > M a i l i n g A d d r e s s < / q 1 : T y p e >  
     < / q 1 : P o s t a l A d d r e s s >  
     < q 1 : P r i v a c y I t e m s / >  
     < q 1 : R e c i p i e n t D e l i v e r y I t e m s / >  
     < q 1 : S a l u t a t i o n I t e m s / >  
     < q 1 : S i g n o f f I t e m s / >  
     < q 1 : S t r e e t A d d r e s s >  
         < q 1 : T y p e > M a i l i n g A d d r e s s < / q 1 : T y p e >  
     < / q 1 : S t r e e t A d d r e s s >  
     < q 1 : T e m p l a t e G r o u p i n g s >  
         < q 1 : s t r i n g > M e l b o u r n e < / q 1 : s t r i n g >  
         < q 1 : s t r i n g > M e l b o u r n e < / q 1 : s t r i n g >  
         < q 1 : s t r i n g > e n < / q 1 : s t r i n g >  
     < / q 1 : T e m p l a t e G r o u p i n g s >  
     < q 1 : W e b s i t e > w w w . j a c o b s . c o m < / q 1 : W e b s i t e >  
 < / q 1 : O f f i c e > 
</file>

<file path=customXml/item2.xml>��< ? x m l   v e r s i o n = " 1 . 0 "   e n c o d i n g = " u t f - 1 6 " ? > < q 1 : B r a n d   x m l n s : q 1 = " h t t p : / / s c h e m a s . m a c r o v i e w . c o m . a u / b r a n d " >  
     < q 1 : G r o u p i n g / >  
     < q 1 : L o g o P a t h > C : \ U s e r s \ C C l i f t o n \ A p p D a t a \ R o a m i n g \ M a c r o V i e w . O f f i c e \ F i l e s \ A p p S e t t i n g s \ B r a n d s \ J a c o b s . j p g < / q 1 : L o g o P a t h >  
     < q 1 : N a m e > J a c o b s < / q 1 : N a m e >  
 < / q 1 : B r a n d > 
</file>

<file path=customXml/item3.xml><?xml version="1.0" encoding="utf-8"?>
<q1:StyleVisibilitySettingsCollection xmlns:q1="http://schemas.macroview.com.au/StyleVisibilitySettingsCollection">
  <q1:SettingsCollection>
    <q1:StyleVisibilitySettings>
      <q1:Name>Body Text</q1:Name>
      <q1:Priority>1</q1:Priority>
      <q1:Visibility>true</q1:Visibility>
    </q1:StyleVisibilitySettings>
    <q1:StyleVisibilitySettings>
      <q1:Name>Heading 1</q1:Name>
      <q1:Priority>1</q1:Priority>
      <q1:Visibility>true</q1:Visibility>
    </q1:StyleVisibilitySettings>
    <q1:StyleVisibilitySettings>
      <q1:Name>Heading 2</q1:Name>
      <q1:Priority>1</q1:Priority>
      <q1:Visibility>true</q1:Visibility>
    </q1:StyleVisibilitySettings>
    <q1:StyleVisibilitySettings>
      <q1:Name>Heading 3</q1:Name>
      <q1:Priority>1</q1:Priority>
      <q1:Visibility>true</q1:Visibility>
    </q1:StyleVisibilitySettings>
    <q1:StyleVisibilitySettings>
      <q1:Name>Heading 4</q1:Name>
      <q1:Priority>1</q1:Priority>
      <q1:Visibility>true</q1:Visibility>
    </q1:StyleVisibilitySettings>
    <q1:StyleVisibilitySettings>
      <q1:Name>Heading 5</q1:Name>
      <q1:Priority>1</q1:Priority>
      <q1:Visibility>true</q1:Visibility>
    </q1:StyleVisibilitySettings>
    <q1:StyleVisibilitySettings>
      <q1:Name>Heading 6</q1:Name>
      <q1:Priority>1</q1:Priority>
      <q1:Visibility>true</q1:Visibility>
    </q1:StyleVisibilitySettings>
    <q1:StyleVisibilitySettings>
      <q1:Name>Heading (unnumbered) 1</q1:Name>
      <q1:Priority>2</q1:Priority>
      <q1:Visibility>true</q1:Visibility>
    </q1:StyleVisibilitySettings>
    <q1:StyleVisibilitySettings>
      <q1:Name>Heading (unnumbered) 2</q1:Name>
      <q1:Priority>2</q1:Priority>
      <q1:Visibility>true</q1:Visibility>
    </q1:StyleVisibilitySettings>
    <q1:StyleVisibilitySettings>
      <q1:Name>Heading (unnumbered) 3</q1:Name>
      <q1:Priority>2</q1:Priority>
      <q1:Visibility>true</q1:Visibility>
    </q1:StyleVisibilitySettings>
    <q1:StyleVisibilitySettings>
      <q1:Name>Body Text 1 Number</q1:Name>
      <q1:Priority>3</q1:Priority>
      <q1:Visibility>true</q1:Visibility>
    </q1:StyleVisibilitySettings>
    <q1:StyleVisibilitySettings>
      <q1:Name>Body Text 2 Letter</q1:Name>
      <q1:Priority>3</q1:Priority>
      <q1:Visibility>true</q1:Visibility>
    </q1:StyleVisibilitySettings>
    <q1:StyleVisibilitySettings>
      <q1:Name>Body Text 3 Roman</q1:Name>
      <q1:Priority>3</q1:Priority>
      <q1:Visibility>true</q1:Visibility>
    </q1:StyleVisibilitySettings>
    <q1:StyleVisibilitySettings>
      <q1:Name>Body Text 4 Number</q1:Name>
      <q1:Priority>3</q1:Priority>
      <q1:Visibility>true</q1:Visibility>
    </q1:StyleVisibilitySettings>
    <q1:StyleVisibilitySettings>
      <q1:Name>Bullet Level 1</q1:Name>
      <q1:Priority>3</q1:Priority>
      <q1:Visibility>true</q1:Visibility>
    </q1:StyleVisibilitySettings>
    <q1:StyleVisibilitySettings>
      <q1:Name>Bullet Level 2</q1:Name>
      <q1:Priority>3</q1:Priority>
      <q1:Visibility>true</q1:Visibility>
    </q1:StyleVisibilitySettings>
    <q1:StyleVisibilitySettings>
      <q1:Name>Bullet Level 3</q1:Name>
      <q1:Priority>3</q1:Priority>
      <q1:Visibility>true</q1:Visibility>
    </q1:StyleVisibilitySettings>
    <q1:StyleVisibilitySettings>
      <q1:Name>Single Sequential</q1:Name>
      <q1:Priority>3</q1:Priority>
      <q1:Visibility>true</q1:Visibility>
    </q1:StyleVisibilitySettings>
    <q1:StyleVisibilitySettings>
      <q1:Name>Sequential 1.1.1 Format</q1:Name>
      <q1:Priority>4</q1:Priority>
      <q1:Visibility>true</q1:Visibility>
    </q1:StyleVisibilitySettings>
    <q1:StyleVisibilitySettings>
      <q1:Name>Table Heading</q1:Name>
      <q1:Priority>4</q1:Priority>
      <q1:Visibility>true</q1:Visibility>
    </q1:StyleVisibilitySettings>
    <q1:StyleVisibilitySettings>
      <q1:Name>Table Heading White</q1:Name>
      <q1:Priority>4</q1:Priority>
      <q1:Visibility>true</q1:Visibility>
    </q1:StyleVisibilitySettings>
    <q1:StyleVisibilitySettings>
      <q1:Name>Table Heading 2</q1:Name>
      <q1:Priority>5</q1:Priority>
      <q1:Visibility>true</q1:Visibility>
    </q1:StyleVisibilitySettings>
    <q1:StyleVisibilitySettings>
      <q1:Name>Table Text</q1:Name>
      <q1:Priority>5</q1:Priority>
      <q1:Visibility>true</q1:Visibility>
    </q1:StyleVisibilitySettings>
    <q1:StyleVisibilitySettings>
      <q1:Name>Table Number</q1:Name>
      <q1:Priority>6</q1:Priority>
      <q1:Visibility>true</q1:Visibility>
    </q1:StyleVisibilitySettings>
    <q1:StyleVisibilitySettings>
      <q1:Name>Table Number 2</q1:Name>
      <q1:Priority>6</q1:Priority>
      <q1:Visibility>true</q1:Visibility>
    </q1:StyleVisibilitySettings>
    <q1:StyleVisibilitySettings>
      <q1:Name>Table Number 3</q1:Name>
      <q1:Priority>6</q1:Priority>
      <q1:Visibility>true</q1:Visibility>
    </q1:StyleVisibilitySettings>
    <q1:StyleVisibilitySettings>
      <q1:Name>Table Bullet</q1:Name>
      <q1:Priority>7</q1:Priority>
      <q1:Visibility>true</q1:Visibility>
    </q1:StyleVisibilitySettings>
    <q1:StyleVisibilitySettings>
      <q1:Name>Table Bullet 2</q1:Name>
      <q1:Priority>7</q1:Priority>
      <q1:Visibility>true</q1:Visibility>
    </q1:StyleVisibilitySettings>
    <q1:StyleVisibilitySettings>
      <q1:Name>Table Bullet 3</q1:Name>
      <q1:Priority>7</q1:Priority>
      <q1:Visibility>true</q1:Visibility>
    </q1:StyleVisibilitySettings>
    <q1:StyleVisibilitySettings>
      <q1:Name>Table Notes</q1:Name>
      <q1:Priority>7</q1:Priority>
      <q1:Visibility>true</q1:Visibility>
    </q1:StyleVisibilitySettings>
    <q1:StyleVisibilitySettings>
      <q1:Name>Table Notes Indented</q1:Name>
      <q1:Priority>7</q1:Priority>
      <q1:Visibility>true</q1:Visibility>
    </q1:StyleVisibilitySettings>
    <q1:StyleVisibilitySettings>
      <q1:Name>Photolog Number</q1:Name>
      <q1:Priority>8</q1:Priority>
      <q1:Visibility>true</q1:Visibility>
    </q1:StyleVisibilitySettings>
    <q1:StyleVisibilitySettings>
      <q1:Name>Quote Text</q1:Name>
      <q1:Priority>8</q1:Priority>
      <q1:Visibility>true</q1:Visibility>
    </q1:StyleVisibilitySettings>
    <q1:StyleVisibilitySettings>
      <q1:Name>Quote Author</q1:Name>
      <q1:Priority>9</q1:Priority>
      <q1:Visibility>true</q1:Visibility>
    </q1:StyleVisibilitySettings>
    <q1:StyleVisibilitySettings>
      <q1:Name>Quote Author Title</q1:Name>
      <q1:Priority>9</q1:Priority>
      <q1:Visibility>true</q1:Visibility>
    </q1:StyleVisibilitySettings>
    <q1:StyleVisibilitySettings>
      <q1:Name>Source/Citation</q1:Name>
      <q1:Priority>9</q1:Priority>
      <q1:Visibility>true</q1:Visibility>
    </q1:StyleVisibilitySettings>
    <q1:StyleVisibilitySettings>
      <q1:Name>Appendix Heading 1</q1:Name>
      <q1:Priority>20</q1:Priority>
      <q1:Visibility>true</q1:Visibility>
    </q1:StyleVisibilitySettings>
    <q1:StyleVisibilitySettings>
      <q1:Name>Appendix Heading 2</q1:Name>
      <q1:Priority>21</q1:Priority>
      <q1:Visibility>true</q1:Visibility>
    </q1:StyleVisibilitySettings>
    <q1:StyleVisibilitySettings>
      <q1:Name>Appendix Heading 3</q1:Name>
      <q1:Priority>21</q1:Priority>
      <q1:Visibility>true</q1:Visibility>
    </q1:StyleVisibilitySettings>
    <q1:StyleVisibilitySettings>
      <q1:Name>Appendix Heading 4</q1:Name>
      <q1:Priority>21</q1:Priority>
      <q1:Visibility>true</q1:Visibility>
    </q1:StyleVisibilitySettings>
    <q1:StyleVisibilitySettings>
      <q1:Name>Normal</q1:Name>
      <q1:Priority>100</q1:Priority>
      <q1:Visibility>true</q1:Visibility>
    </q1:StyleVisibilitySettings>
  </q1:SettingsCollection>
</q1:StyleVisibilitySettingsCollection>
</file>

<file path=customXml/item4.xml><?xml version="1.0" encoding="utf-8"?>
<q1:DocumentSettings xmlns:q1="http://schemas.macroview.com.au/documentsettings">
  <q1:NewDocumentMethodName>Report_NewDocument</q1:NewDocumentMethodName>
  <q1:ChangeOfficeMethodName>ChangeOffice_Report</q1:ChangeOfficeMethodName>
  <q1:ConversionSettings>
    <q1:AttachTemplateActionsMethodName>ReportConversionAttachTemplateActions</q1:AttachTemplateActionsMethodName>
    <q1:ParagraphStyleMappingsFileName>Report Proposal Paragraph Style Mappings.xml</q1:ParagraphStyleMappingsFileName>
  </q1:ConversionSettings>
</q1:DocumentSettings>
</file>

<file path=customXml/item5.xml><?xml version="1.0" encoding="utf-8"?>
<ct:contentTypeSchema xmlns:ct="http://schemas.microsoft.com/office/2006/metadata/contentType" xmlns:ma="http://schemas.microsoft.com/office/2006/metadata/properties/metaAttributes" ct:_="" ma:_="" ma:contentTypeName="Audit Report" ma:contentTypeID="0x0101002517F445A0F35E449C98AAD631F2B03845010017CE3D98FCB12348848A375864F1F41F" ma:contentTypeVersion="20" ma:contentTypeDescription="" ma:contentTypeScope="" ma:versionID="8aa620450189a001fe667b1eba59d5fa">
  <xsd:schema xmlns:xsd="http://www.w3.org/2001/XMLSchema" xmlns:xs="http://www.w3.org/2001/XMLSchema" xmlns:p="http://schemas.microsoft.com/office/2006/metadata/properties" xmlns:ns1="http://schemas.microsoft.com/sharepoint/v3" xmlns:ns2="a5f32de4-e402-4188-b034-e71ca7d22e54" xmlns:ns3="9fd47c19-1c4a-4d7d-b342-c10cef269344" xmlns:ns4="70df2e96-fa6c-44ec-b5ff-87ba7f069a8c" xmlns:ns5="153f2783-1c70-4464-955e-85040a58200f" targetNamespace="http://schemas.microsoft.com/office/2006/metadata/properties" ma:root="true" ma:fieldsID="1537777d9f45f27d614521737451f402" ns1:_="" ns2:_="" ns3:_="" ns4:_="" ns5:_="">
    <xsd:import namespace="http://schemas.microsoft.com/sharepoint/v3"/>
    <xsd:import namespace="a5f32de4-e402-4188-b034-e71ca7d22e54"/>
    <xsd:import namespace="9fd47c19-1c4a-4d7d-b342-c10cef269344"/>
    <xsd:import namespace="70df2e96-fa6c-44ec-b5ff-87ba7f069a8c"/>
    <xsd:import namespace="153f2783-1c70-4464-955e-85040a58200f"/>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MediaServiceFastMetadata" minOccurs="0"/>
                <xsd:element ref="ns5:SharedWithUsers" minOccurs="0"/>
                <xsd:element ref="ns5:SharedWithDetails" minOccurs="0"/>
                <xsd:element ref="ns4:MediaServiceAutoKeyPoints" minOccurs="0"/>
                <xsd:element ref="ns4:MediaServiceKeyPoints" minOccurs="0"/>
                <xsd:element ref="ns4:Audit_x0020_Type" minOccurs="0"/>
                <xsd:element ref="ns4:MediaServiceMetadata" minOccurs="0"/>
                <xsd:element ref="ns2:Date_x0020_Recieved" minOccurs="0"/>
                <xsd:element ref="ns2:Originating_x0020_Author" minOccurs="0"/>
                <xsd:element ref="ns4:Primary_x0020_Audit_x0020_Document_x0020_Type" minOccurs="0"/>
                <xsd:element ref="ns2:Financial_x0020_Year" minOccurs="0"/>
                <xsd:element ref="ns4:Secondary_x0020_Audit_x0020_Document_x0020_Type"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Date_x0020_Recieved" ma:index="38" nillable="true" ma:displayName="Date Received" ma:description="The date stamped on official correspondence." ma:format="DateOnly" ma:internalName="Date_x0020_Recieved">
      <xsd:simpleType>
        <xsd:restriction base="dms:DateTime"/>
      </xsd:simpleType>
    </xsd:element>
    <xsd:element name="Originating_x0020_Author" ma:index="39"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Financial_x0020_Year" ma:index="41"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default="7;#Compliance Support Group|13abd45d-3417-494b-9e71-fdccb6323d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263c060-9d55-4077-a8a3-7429588e3cc2}"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263c060-9d55-4077-a8a3-7429588e3cc2}"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default="10;#Forest, Fire and Regions|2e0654de-dfdc-4793-b2a2-0db9a0abca1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default="826;#Conservation Regulator|87db0633-eb7b-4bcb-bec5-def7db8d1d07"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0df2e96-fa6c-44ec-b5ff-87ba7f069a8c" elementFormDefault="qualified">
    <xsd:import namespace="http://schemas.microsoft.com/office/2006/documentManagement/types"/>
    <xsd:import namespace="http://schemas.microsoft.com/office/infopath/2007/PartnerControls"/>
    <xsd:element name="MediaServiceFastMetadata" ma:index="31" nillable="true" ma:displayName="MediaServiceFastMetadata" ma:hidden="true" ma:internalName="MediaServiceFastMetadata" ma:readOnly="true">
      <xsd:simpleType>
        <xsd:restriction base="dms:Note"/>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Audit_x0020_Type" ma:index="36" nillable="true" ma:displayName="Audit Type" ma:format="Dropdown" ma:internalName="Audit_x0020_Type">
      <xsd:simpleType>
        <xsd:restriction base="dms:Choice">
          <xsd:enumeration value="External"/>
          <xsd:enumeration value="Internal"/>
          <xsd:enumeration value="Audit Management"/>
        </xsd:restriction>
      </xsd:simpleType>
    </xsd:element>
    <xsd:element name="MediaServiceMetadata" ma:index="37" nillable="true" ma:displayName="MediaServiceMetadata" ma:hidden="true" ma:internalName="MediaServiceMetadata" ma:readOnly="true">
      <xsd:simpleType>
        <xsd:restriction base="dms:Note"/>
      </xsd:simpleType>
    </xsd:element>
    <xsd:element name="Primary_x0020_Audit_x0020_Document_x0020_Type" ma:index="40" nillable="true" ma:displayName="Primary Audit Document Type" ma:format="Dropdown" ma:internalName="Primary_x0020_Audit_x0020_Document_x0020_Type">
      <xsd:simpleType>
        <xsd:restriction base="dms:Choice">
          <xsd:enumeration value="Planning"/>
          <xsd:enumeration value="Governance &amp; Procurement"/>
          <xsd:enumeration value="Contracts &amp; Delivery"/>
          <xsd:enumeration value="Data/Maps/GIS"/>
          <xsd:enumeration value="Reporting"/>
          <xsd:enumeration value="Compliance Report"/>
          <xsd:enumeration value="Briefings &amp; Publication"/>
          <xsd:enumeration value="General Correspondence"/>
          <xsd:enumeration value="Recommendations"/>
          <xsd:enumeration value="Interpretation/Advice"/>
          <xsd:enumeration value="Meetings"/>
          <xsd:enumeration value="Training &amp; Development"/>
          <xsd:enumeration value="SOPs"/>
          <xsd:enumeration value="Guidelines"/>
          <xsd:enumeration value="Templates"/>
          <xsd:enumeration value="Equipment"/>
          <xsd:enumeration value="Legal Advice"/>
          <xsd:enumeration value="Audit Report"/>
          <xsd:enumeration value="Strategic Review"/>
        </xsd:restriction>
      </xsd:simpleType>
    </xsd:element>
    <xsd:element name="Secondary_x0020_Audit_x0020_Document_x0020_Type" ma:index="42" nillable="true" ma:displayName="Secondary Audit Document Type" ma:default="Correspondence – In" ma:format="Dropdown" ma:internalName="Secondary_x0020_Audit_x0020_Document_x0020_Type">
      <xsd:simpleType>
        <xsd:restriction base="dms:Choice">
          <xsd:enumeration value="Correspondence – In"/>
          <xsd:enumeration value="Correspondence – Out"/>
          <xsd:enumeration value="Documents"/>
        </xsd:restriction>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Value>
      <Value>2340</Value>
      <Value>826</Value>
      <Value>774</Value>
      <Value>2169</Value>
      <Value>3</Value>
      <Value>1039</Value>
      <Value>1115</Value>
    </TaxCatchAll>
    <SharedWithUsers xmlns="153f2783-1c70-4464-955e-85040a58200f">
      <UserInfo>
        <DisplayName>Endersby, David S</DisplayName>
        <AccountId>27</AccountId>
        <AccountType/>
      </UserInfo>
    </SharedWithUsers>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Energy, Environment and Climate Action</TermName>
          <TermId xmlns="http://schemas.microsoft.com/office/infopath/2007/PartnerControls">6ec2007c-62f7-4367-85b3-4db3e85c504f</TermId>
        </TermInfo>
      </Terms>
    </ece32f50ba964e1fbf627a9d83fe6c01>
    <Originating_x0020_Author xmlns="a5f32de4-e402-4188-b034-e71ca7d22e54" xsi:nil="tru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Timber Harvesting Compliance</TermName>
          <TermId xmlns="http://schemas.microsoft.com/office/infopath/2007/PartnerControls">cb08a475-83d0-4dee-bb6b-33b82529a103</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Secondary_x0020_Audit_x0020_Document_x0020_Type xmlns="70df2e96-fa6c-44ec-b5ff-87ba7f069a8c">Correspondence – In</Secondary_x0020_Audit_x0020_Document_x0020_Type>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Conservation Regulator</TermName>
          <TermId xmlns="http://schemas.microsoft.com/office/infopath/2007/PartnerControls">87db0633-eb7b-4bcb-bec5-def7db8d1d07</TermId>
        </TermInfo>
      </Terms>
    </n771d69a070c4babbf278c67c8a2b859>
    <Financial_x0020_Year xmlns="a5f32de4-e402-4188-b034-e71ca7d22e54">2021-22</Financial_x0020_Year>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Operations</TermName>
          <TermId xmlns="http://schemas.microsoft.com/office/infopath/2007/PartnerControls">f799d367-3f9a-4959-ac94-fb9faf392395</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Date_x0020_Recieved xmlns="a5f32de4-e402-4188-b034-e71ca7d22e54">2023-09-25T14:00:00+00:00</Date_x0020_Recieved>
    <RoutingRuleDescription xmlns="http://schemas.microsoft.com/sharepoint/v3">FAP 2022 Audit Report B.1</RoutingRuleDescription>
    <a25c4e3633654d669cbaa09ae6b70789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4fa1e6ea-1b26-4d34-8507-44a4cfdc3819</TermId>
        </TermInfo>
      </Term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Bushfire and Forest Services</TermName>
          <TermId xmlns="http://schemas.microsoft.com/office/infopath/2007/PartnerControls">4b5ad15d-a2e0-4424-a23d-a0d267266477</TermId>
        </TermInfo>
      </Terms>
    </ic50d0a05a8e4d9791dac67f8a1e716c>
    <Audit_x0020_Type xmlns="70df2e96-fa6c-44ec-b5ff-87ba7f069a8c">External</Audit_x0020_Type>
    <Primary_x0020_Audit_x0020_Document_x0020_Type xmlns="70df2e96-fa6c-44ec-b5ff-87ba7f069a8c">Audit Report</Primary_x0020_Audit_x0020_Document_x0020_Type>
    <_dlc_DocId xmlns="a5f32de4-e402-4188-b034-e71ca7d22e54">DOCID170-2042536974-716</_dlc_DocId>
    <_dlc_DocIdUrl xmlns="a5f32de4-e402-4188-b034-e71ca7d22e54">
      <Url>https://delwpvicgovau.sharepoint.com/sites/ecm_170/_layouts/15/DocIdRedir.aspx?ID=DOCID170-2042536974-716</Url>
      <Description>DOCID170-2042536974-716</Description>
    </_dlc_DocIdUrl>
  </documentManagement>
</p:properties>
</file>

<file path=customXml/item7.xml><?xml version="1.0" encoding="utf-8"?>
<q1:RibbonSettings xmlns:q1="http://schemas.macroview.com.au/ribbonsettings">
  <q1:IsChangeOfficeVisible>true</q1:IsChangeOfficeVisible>
  <q1:IsCoverPagesVisible>true</q1:IsCoverPagesVisible>
  <q1:IsRefreshTocVisible>true</q1:IsRefreshTocVisible>
  <q1:IsTogglePaperSizeVisible>true</q1:IsTogglePaperSizeVisible>
  <q1:IsToggleMirrorMarginsVisible>true</q1:IsToggleMirrorMarginsVisible>
</q1:RibbonSettings>
</file>

<file path=customXml/item8.xml><?xml version="1.0" encoding="utf-8"?>
<b:Sources xmlns:b="http://schemas.openxmlformats.org/officeDocument/2006/bibliography" xmlns="http://schemas.openxmlformats.org/officeDocument/2006/bibliography" SelectedStyle="\APASixthEditionOfficeOnline.xsl" StyleName="APA" Version="6"/>
</file>

<file path=customXml/item9.xml><?xml version="1.0" encoding="utf-8"?>
<?mso-contentType ?>
<customXsn xmlns="http://schemas.microsoft.com/office/2006/metadata/customXsn">
  <xsnLocation/>
  <cached>True</cached>
  <openByDefault>True</openByDefault>
  <xsnScope>/sites/contentTypeHub</xsnScope>
</customXsn>
</file>

<file path=customXml/itemProps1.xml><?xml version="1.0" encoding="utf-8"?>
<ds:datastoreItem xmlns:ds="http://schemas.openxmlformats.org/officeDocument/2006/customXml" ds:itemID="{8F33FB8F-8118-4915-86A8-F93B7C2B254E}">
  <ds:schemaRefs>
    <ds:schemaRef ds:uri="http://schemas.macroview.com.au/answerfile"/>
  </ds:schemaRefs>
</ds:datastoreItem>
</file>

<file path=customXml/itemProps10.xml><?xml version="1.0" encoding="utf-8"?>
<ds:datastoreItem xmlns:ds="http://schemas.openxmlformats.org/officeDocument/2006/customXml" ds:itemID="{177C84D0-13EE-469D-A04E-73E6507798E1}">
  <ds:schemaRefs>
    <ds:schemaRef ds:uri="http://schemas.microsoft.com/sharepoint/v3/contenttype/forms"/>
  </ds:schemaRefs>
</ds:datastoreItem>
</file>

<file path=customXml/itemProps11.xml><?xml version="1.0" encoding="utf-8"?>
<ds:datastoreItem xmlns:ds="http://schemas.openxmlformats.org/officeDocument/2006/customXml" ds:itemID="{17494CFE-B16B-45E0-B337-B2EC1F71C4FD}">
  <ds:schemaRefs>
    <ds:schemaRef ds:uri="http://schemas.macroview.com.au/entity"/>
  </ds:schemaRefs>
</ds:datastoreItem>
</file>

<file path=customXml/itemProps12.xml><?xml version="1.0" encoding="utf-8"?>
<ds:datastoreItem xmlns:ds="http://schemas.openxmlformats.org/officeDocument/2006/customXml" ds:itemID="{C9D61907-BE5A-44F7-A89F-52761237045F}">
  <ds:schemaRefs>
    <ds:schemaRef ds:uri="Microsoft.SharePoint.Taxonomy.ContentTypeSync"/>
  </ds:schemaRefs>
</ds:datastoreItem>
</file>

<file path=customXml/itemProps13.xml><?xml version="1.0" encoding="utf-8"?>
<ds:datastoreItem xmlns:ds="http://schemas.openxmlformats.org/officeDocument/2006/customXml" ds:itemID="{758E6C80-1AD0-4B1E-AA9A-086C2223596E}">
  <ds:schemaRefs>
    <ds:schemaRef ds:uri="http://schemas.microsoft.com/sharepoint/events"/>
  </ds:schemaRefs>
</ds:datastoreItem>
</file>

<file path=customXml/itemProps14.xml><?xml version="1.0" encoding="utf-8"?>
<ds:datastoreItem xmlns:ds="http://schemas.openxmlformats.org/officeDocument/2006/customXml" ds:itemID="{97EA3BE3-DB90-4674-B6D8-90E288ED513C}">
  <ds:schemaRefs>
    <ds:schemaRef ds:uri="http://schemas.macroview.com.au/office"/>
  </ds:schemaRefs>
</ds:datastoreItem>
</file>

<file path=customXml/itemProps2.xml><?xml version="1.0" encoding="utf-8"?>
<ds:datastoreItem xmlns:ds="http://schemas.openxmlformats.org/officeDocument/2006/customXml" ds:itemID="{740E800C-85C9-4023-AD85-E80FB134019D}">
  <ds:schemaRefs>
    <ds:schemaRef ds:uri="http://schemas.macroview.com.au/brand"/>
  </ds:schemaRefs>
</ds:datastoreItem>
</file>

<file path=customXml/itemProps3.xml><?xml version="1.0" encoding="utf-8"?>
<ds:datastoreItem xmlns:ds="http://schemas.openxmlformats.org/officeDocument/2006/customXml" ds:itemID="{17C16B15-DA81-4F30-898C-369246EDDE08}">
  <ds:schemaRefs>
    <ds:schemaRef ds:uri="http://schemas.macroview.com.au/StyleVisibilitySettingsCollection"/>
  </ds:schemaRefs>
</ds:datastoreItem>
</file>

<file path=customXml/itemProps4.xml><?xml version="1.0" encoding="utf-8"?>
<ds:datastoreItem xmlns:ds="http://schemas.openxmlformats.org/officeDocument/2006/customXml" ds:itemID="{F745B0E8-9C7D-47CD-9756-F12F6E6FD4A6}">
  <ds:schemaRefs>
    <ds:schemaRef ds:uri="http://schemas.macroview.com.au/documentsettings"/>
  </ds:schemaRefs>
</ds:datastoreItem>
</file>

<file path=customXml/itemProps5.xml><?xml version="1.0" encoding="utf-8"?>
<ds:datastoreItem xmlns:ds="http://schemas.openxmlformats.org/officeDocument/2006/customXml" ds:itemID="{CAF832EF-2D7A-40B8-9BB9-DF8B65962B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70df2e96-fa6c-44ec-b5ff-87ba7f069a8c"/>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87FB988-308A-4918-8D65-13EFE8F21FE1}">
  <ds:schemaRefs>
    <ds:schemaRef ds:uri="http://schemas.microsoft.com/office/2006/metadata/properties"/>
    <ds:schemaRef ds:uri="http://schemas.microsoft.com/office/infopath/2007/PartnerControls"/>
    <ds:schemaRef ds:uri="9fd47c19-1c4a-4d7d-b342-c10cef269344"/>
    <ds:schemaRef ds:uri="153f2783-1c70-4464-955e-85040a58200f"/>
    <ds:schemaRef ds:uri="http://schemas.microsoft.com/sharepoint/v3"/>
    <ds:schemaRef ds:uri="a5f32de4-e402-4188-b034-e71ca7d22e54"/>
    <ds:schemaRef ds:uri="70df2e96-fa6c-44ec-b5ff-87ba7f069a8c"/>
  </ds:schemaRefs>
</ds:datastoreItem>
</file>

<file path=customXml/itemProps7.xml><?xml version="1.0" encoding="utf-8"?>
<ds:datastoreItem xmlns:ds="http://schemas.openxmlformats.org/officeDocument/2006/customXml" ds:itemID="{EBA198BC-CC5A-4C5B-B12C-7FF201E06B09}">
  <ds:schemaRefs>
    <ds:schemaRef ds:uri="http://schemas.macroview.com.au/ribbonsettings"/>
  </ds:schemaRefs>
</ds:datastoreItem>
</file>

<file path=customXml/itemProps8.xml><?xml version="1.0" encoding="utf-8"?>
<ds:datastoreItem xmlns:ds="http://schemas.openxmlformats.org/officeDocument/2006/customXml" ds:itemID="{004CAA3D-8756-452F-BCEC-36A9A4AA1CA9}">
  <ds:schemaRefs>
    <ds:schemaRef ds:uri="http://schemas.openxmlformats.org/officeDocument/2006/bibliography"/>
  </ds:schemaRefs>
</ds:datastoreItem>
</file>

<file path=customXml/itemProps9.xml><?xml version="1.0" encoding="utf-8"?>
<ds:datastoreItem xmlns:ds="http://schemas.openxmlformats.org/officeDocument/2006/customXml" ds:itemID="{F1FC1F95-EAC9-4A63-9C60-A59F5C8FE590}">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Report.dotx</Template>
  <TotalTime>4</TotalTime>
  <Pages>89</Pages>
  <Words>39648</Words>
  <Characters>226000</Characters>
  <Application>Microsoft Office Word</Application>
  <DocSecurity>0</DocSecurity>
  <Lines>1883</Lines>
  <Paragraphs>530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265118</CharactersWithSpaces>
  <SharedDoc>false</SharedDoc>
  <HLinks>
    <vt:vector size="624" baseType="variant">
      <vt:variant>
        <vt:i4>1376304</vt:i4>
      </vt:variant>
      <vt:variant>
        <vt:i4>635</vt:i4>
      </vt:variant>
      <vt:variant>
        <vt:i4>0</vt:i4>
      </vt:variant>
      <vt:variant>
        <vt:i4>5</vt:i4>
      </vt:variant>
      <vt:variant>
        <vt:lpwstr/>
      </vt:variant>
      <vt:variant>
        <vt:lpwstr>_Toc121242401</vt:lpwstr>
      </vt:variant>
      <vt:variant>
        <vt:i4>1376304</vt:i4>
      </vt:variant>
      <vt:variant>
        <vt:i4>629</vt:i4>
      </vt:variant>
      <vt:variant>
        <vt:i4>0</vt:i4>
      </vt:variant>
      <vt:variant>
        <vt:i4>5</vt:i4>
      </vt:variant>
      <vt:variant>
        <vt:lpwstr/>
      </vt:variant>
      <vt:variant>
        <vt:lpwstr>_Toc121242400</vt:lpwstr>
      </vt:variant>
      <vt:variant>
        <vt:i4>1835063</vt:i4>
      </vt:variant>
      <vt:variant>
        <vt:i4>623</vt:i4>
      </vt:variant>
      <vt:variant>
        <vt:i4>0</vt:i4>
      </vt:variant>
      <vt:variant>
        <vt:i4>5</vt:i4>
      </vt:variant>
      <vt:variant>
        <vt:lpwstr/>
      </vt:variant>
      <vt:variant>
        <vt:lpwstr>_Toc121242399</vt:lpwstr>
      </vt:variant>
      <vt:variant>
        <vt:i4>1835063</vt:i4>
      </vt:variant>
      <vt:variant>
        <vt:i4>617</vt:i4>
      </vt:variant>
      <vt:variant>
        <vt:i4>0</vt:i4>
      </vt:variant>
      <vt:variant>
        <vt:i4>5</vt:i4>
      </vt:variant>
      <vt:variant>
        <vt:lpwstr/>
      </vt:variant>
      <vt:variant>
        <vt:lpwstr>_Toc121242398</vt:lpwstr>
      </vt:variant>
      <vt:variant>
        <vt:i4>1835063</vt:i4>
      </vt:variant>
      <vt:variant>
        <vt:i4>611</vt:i4>
      </vt:variant>
      <vt:variant>
        <vt:i4>0</vt:i4>
      </vt:variant>
      <vt:variant>
        <vt:i4>5</vt:i4>
      </vt:variant>
      <vt:variant>
        <vt:lpwstr/>
      </vt:variant>
      <vt:variant>
        <vt:lpwstr>_Toc121242397</vt:lpwstr>
      </vt:variant>
      <vt:variant>
        <vt:i4>1835063</vt:i4>
      </vt:variant>
      <vt:variant>
        <vt:i4>605</vt:i4>
      </vt:variant>
      <vt:variant>
        <vt:i4>0</vt:i4>
      </vt:variant>
      <vt:variant>
        <vt:i4>5</vt:i4>
      </vt:variant>
      <vt:variant>
        <vt:lpwstr/>
      </vt:variant>
      <vt:variant>
        <vt:lpwstr>_Toc121242396</vt:lpwstr>
      </vt:variant>
      <vt:variant>
        <vt:i4>1835063</vt:i4>
      </vt:variant>
      <vt:variant>
        <vt:i4>599</vt:i4>
      </vt:variant>
      <vt:variant>
        <vt:i4>0</vt:i4>
      </vt:variant>
      <vt:variant>
        <vt:i4>5</vt:i4>
      </vt:variant>
      <vt:variant>
        <vt:lpwstr/>
      </vt:variant>
      <vt:variant>
        <vt:lpwstr>_Toc121242395</vt:lpwstr>
      </vt:variant>
      <vt:variant>
        <vt:i4>1835063</vt:i4>
      </vt:variant>
      <vt:variant>
        <vt:i4>593</vt:i4>
      </vt:variant>
      <vt:variant>
        <vt:i4>0</vt:i4>
      </vt:variant>
      <vt:variant>
        <vt:i4>5</vt:i4>
      </vt:variant>
      <vt:variant>
        <vt:lpwstr/>
      </vt:variant>
      <vt:variant>
        <vt:lpwstr>_Toc121242394</vt:lpwstr>
      </vt:variant>
      <vt:variant>
        <vt:i4>1835063</vt:i4>
      </vt:variant>
      <vt:variant>
        <vt:i4>587</vt:i4>
      </vt:variant>
      <vt:variant>
        <vt:i4>0</vt:i4>
      </vt:variant>
      <vt:variant>
        <vt:i4>5</vt:i4>
      </vt:variant>
      <vt:variant>
        <vt:lpwstr/>
      </vt:variant>
      <vt:variant>
        <vt:lpwstr>_Toc121242393</vt:lpwstr>
      </vt:variant>
      <vt:variant>
        <vt:i4>1835063</vt:i4>
      </vt:variant>
      <vt:variant>
        <vt:i4>581</vt:i4>
      </vt:variant>
      <vt:variant>
        <vt:i4>0</vt:i4>
      </vt:variant>
      <vt:variant>
        <vt:i4>5</vt:i4>
      </vt:variant>
      <vt:variant>
        <vt:lpwstr/>
      </vt:variant>
      <vt:variant>
        <vt:lpwstr>_Toc121242392</vt:lpwstr>
      </vt:variant>
      <vt:variant>
        <vt:i4>1835063</vt:i4>
      </vt:variant>
      <vt:variant>
        <vt:i4>575</vt:i4>
      </vt:variant>
      <vt:variant>
        <vt:i4>0</vt:i4>
      </vt:variant>
      <vt:variant>
        <vt:i4>5</vt:i4>
      </vt:variant>
      <vt:variant>
        <vt:lpwstr/>
      </vt:variant>
      <vt:variant>
        <vt:lpwstr>_Toc121242391</vt:lpwstr>
      </vt:variant>
      <vt:variant>
        <vt:i4>1835063</vt:i4>
      </vt:variant>
      <vt:variant>
        <vt:i4>569</vt:i4>
      </vt:variant>
      <vt:variant>
        <vt:i4>0</vt:i4>
      </vt:variant>
      <vt:variant>
        <vt:i4>5</vt:i4>
      </vt:variant>
      <vt:variant>
        <vt:lpwstr/>
      </vt:variant>
      <vt:variant>
        <vt:lpwstr>_Toc121242390</vt:lpwstr>
      </vt:variant>
      <vt:variant>
        <vt:i4>1900599</vt:i4>
      </vt:variant>
      <vt:variant>
        <vt:i4>563</vt:i4>
      </vt:variant>
      <vt:variant>
        <vt:i4>0</vt:i4>
      </vt:variant>
      <vt:variant>
        <vt:i4>5</vt:i4>
      </vt:variant>
      <vt:variant>
        <vt:lpwstr/>
      </vt:variant>
      <vt:variant>
        <vt:lpwstr>_Toc121242389</vt:lpwstr>
      </vt:variant>
      <vt:variant>
        <vt:i4>1900599</vt:i4>
      </vt:variant>
      <vt:variant>
        <vt:i4>557</vt:i4>
      </vt:variant>
      <vt:variant>
        <vt:i4>0</vt:i4>
      </vt:variant>
      <vt:variant>
        <vt:i4>5</vt:i4>
      </vt:variant>
      <vt:variant>
        <vt:lpwstr/>
      </vt:variant>
      <vt:variant>
        <vt:lpwstr>_Toc121242388</vt:lpwstr>
      </vt:variant>
      <vt:variant>
        <vt:i4>1900599</vt:i4>
      </vt:variant>
      <vt:variant>
        <vt:i4>551</vt:i4>
      </vt:variant>
      <vt:variant>
        <vt:i4>0</vt:i4>
      </vt:variant>
      <vt:variant>
        <vt:i4>5</vt:i4>
      </vt:variant>
      <vt:variant>
        <vt:lpwstr/>
      </vt:variant>
      <vt:variant>
        <vt:lpwstr>_Toc121242387</vt:lpwstr>
      </vt:variant>
      <vt:variant>
        <vt:i4>1900599</vt:i4>
      </vt:variant>
      <vt:variant>
        <vt:i4>545</vt:i4>
      </vt:variant>
      <vt:variant>
        <vt:i4>0</vt:i4>
      </vt:variant>
      <vt:variant>
        <vt:i4>5</vt:i4>
      </vt:variant>
      <vt:variant>
        <vt:lpwstr/>
      </vt:variant>
      <vt:variant>
        <vt:lpwstr>_Toc121242386</vt:lpwstr>
      </vt:variant>
      <vt:variant>
        <vt:i4>1900599</vt:i4>
      </vt:variant>
      <vt:variant>
        <vt:i4>539</vt:i4>
      </vt:variant>
      <vt:variant>
        <vt:i4>0</vt:i4>
      </vt:variant>
      <vt:variant>
        <vt:i4>5</vt:i4>
      </vt:variant>
      <vt:variant>
        <vt:lpwstr/>
      </vt:variant>
      <vt:variant>
        <vt:lpwstr>_Toc121242385</vt:lpwstr>
      </vt:variant>
      <vt:variant>
        <vt:i4>1900599</vt:i4>
      </vt:variant>
      <vt:variant>
        <vt:i4>533</vt:i4>
      </vt:variant>
      <vt:variant>
        <vt:i4>0</vt:i4>
      </vt:variant>
      <vt:variant>
        <vt:i4>5</vt:i4>
      </vt:variant>
      <vt:variant>
        <vt:lpwstr/>
      </vt:variant>
      <vt:variant>
        <vt:lpwstr>_Toc121242384</vt:lpwstr>
      </vt:variant>
      <vt:variant>
        <vt:i4>1900599</vt:i4>
      </vt:variant>
      <vt:variant>
        <vt:i4>527</vt:i4>
      </vt:variant>
      <vt:variant>
        <vt:i4>0</vt:i4>
      </vt:variant>
      <vt:variant>
        <vt:i4>5</vt:i4>
      </vt:variant>
      <vt:variant>
        <vt:lpwstr/>
      </vt:variant>
      <vt:variant>
        <vt:lpwstr>_Toc121242383</vt:lpwstr>
      </vt:variant>
      <vt:variant>
        <vt:i4>1900599</vt:i4>
      </vt:variant>
      <vt:variant>
        <vt:i4>521</vt:i4>
      </vt:variant>
      <vt:variant>
        <vt:i4>0</vt:i4>
      </vt:variant>
      <vt:variant>
        <vt:i4>5</vt:i4>
      </vt:variant>
      <vt:variant>
        <vt:lpwstr/>
      </vt:variant>
      <vt:variant>
        <vt:lpwstr>_Toc121242382</vt:lpwstr>
      </vt:variant>
      <vt:variant>
        <vt:i4>1900599</vt:i4>
      </vt:variant>
      <vt:variant>
        <vt:i4>512</vt:i4>
      </vt:variant>
      <vt:variant>
        <vt:i4>0</vt:i4>
      </vt:variant>
      <vt:variant>
        <vt:i4>5</vt:i4>
      </vt:variant>
      <vt:variant>
        <vt:lpwstr/>
      </vt:variant>
      <vt:variant>
        <vt:lpwstr>_Toc121242381</vt:lpwstr>
      </vt:variant>
      <vt:variant>
        <vt:i4>1900599</vt:i4>
      </vt:variant>
      <vt:variant>
        <vt:i4>506</vt:i4>
      </vt:variant>
      <vt:variant>
        <vt:i4>0</vt:i4>
      </vt:variant>
      <vt:variant>
        <vt:i4>5</vt:i4>
      </vt:variant>
      <vt:variant>
        <vt:lpwstr/>
      </vt:variant>
      <vt:variant>
        <vt:lpwstr>_Toc121242380</vt:lpwstr>
      </vt:variant>
      <vt:variant>
        <vt:i4>1179703</vt:i4>
      </vt:variant>
      <vt:variant>
        <vt:i4>500</vt:i4>
      </vt:variant>
      <vt:variant>
        <vt:i4>0</vt:i4>
      </vt:variant>
      <vt:variant>
        <vt:i4>5</vt:i4>
      </vt:variant>
      <vt:variant>
        <vt:lpwstr/>
      </vt:variant>
      <vt:variant>
        <vt:lpwstr>_Toc121242379</vt:lpwstr>
      </vt:variant>
      <vt:variant>
        <vt:i4>1179703</vt:i4>
      </vt:variant>
      <vt:variant>
        <vt:i4>494</vt:i4>
      </vt:variant>
      <vt:variant>
        <vt:i4>0</vt:i4>
      </vt:variant>
      <vt:variant>
        <vt:i4>5</vt:i4>
      </vt:variant>
      <vt:variant>
        <vt:lpwstr/>
      </vt:variant>
      <vt:variant>
        <vt:lpwstr>_Toc121242378</vt:lpwstr>
      </vt:variant>
      <vt:variant>
        <vt:i4>1179703</vt:i4>
      </vt:variant>
      <vt:variant>
        <vt:i4>488</vt:i4>
      </vt:variant>
      <vt:variant>
        <vt:i4>0</vt:i4>
      </vt:variant>
      <vt:variant>
        <vt:i4>5</vt:i4>
      </vt:variant>
      <vt:variant>
        <vt:lpwstr/>
      </vt:variant>
      <vt:variant>
        <vt:lpwstr>_Toc121242377</vt:lpwstr>
      </vt:variant>
      <vt:variant>
        <vt:i4>1179703</vt:i4>
      </vt:variant>
      <vt:variant>
        <vt:i4>482</vt:i4>
      </vt:variant>
      <vt:variant>
        <vt:i4>0</vt:i4>
      </vt:variant>
      <vt:variant>
        <vt:i4>5</vt:i4>
      </vt:variant>
      <vt:variant>
        <vt:lpwstr/>
      </vt:variant>
      <vt:variant>
        <vt:lpwstr>_Toc121242376</vt:lpwstr>
      </vt:variant>
      <vt:variant>
        <vt:i4>1179703</vt:i4>
      </vt:variant>
      <vt:variant>
        <vt:i4>476</vt:i4>
      </vt:variant>
      <vt:variant>
        <vt:i4>0</vt:i4>
      </vt:variant>
      <vt:variant>
        <vt:i4>5</vt:i4>
      </vt:variant>
      <vt:variant>
        <vt:lpwstr/>
      </vt:variant>
      <vt:variant>
        <vt:lpwstr>_Toc121242375</vt:lpwstr>
      </vt:variant>
      <vt:variant>
        <vt:i4>1179703</vt:i4>
      </vt:variant>
      <vt:variant>
        <vt:i4>470</vt:i4>
      </vt:variant>
      <vt:variant>
        <vt:i4>0</vt:i4>
      </vt:variant>
      <vt:variant>
        <vt:i4>5</vt:i4>
      </vt:variant>
      <vt:variant>
        <vt:lpwstr/>
      </vt:variant>
      <vt:variant>
        <vt:lpwstr>_Toc121242374</vt:lpwstr>
      </vt:variant>
      <vt:variant>
        <vt:i4>1179703</vt:i4>
      </vt:variant>
      <vt:variant>
        <vt:i4>464</vt:i4>
      </vt:variant>
      <vt:variant>
        <vt:i4>0</vt:i4>
      </vt:variant>
      <vt:variant>
        <vt:i4>5</vt:i4>
      </vt:variant>
      <vt:variant>
        <vt:lpwstr/>
      </vt:variant>
      <vt:variant>
        <vt:lpwstr>_Toc121242373</vt:lpwstr>
      </vt:variant>
      <vt:variant>
        <vt:i4>1179703</vt:i4>
      </vt:variant>
      <vt:variant>
        <vt:i4>458</vt:i4>
      </vt:variant>
      <vt:variant>
        <vt:i4>0</vt:i4>
      </vt:variant>
      <vt:variant>
        <vt:i4>5</vt:i4>
      </vt:variant>
      <vt:variant>
        <vt:lpwstr/>
      </vt:variant>
      <vt:variant>
        <vt:lpwstr>_Toc121242372</vt:lpwstr>
      </vt:variant>
      <vt:variant>
        <vt:i4>1179703</vt:i4>
      </vt:variant>
      <vt:variant>
        <vt:i4>452</vt:i4>
      </vt:variant>
      <vt:variant>
        <vt:i4>0</vt:i4>
      </vt:variant>
      <vt:variant>
        <vt:i4>5</vt:i4>
      </vt:variant>
      <vt:variant>
        <vt:lpwstr/>
      </vt:variant>
      <vt:variant>
        <vt:lpwstr>_Toc121242371</vt:lpwstr>
      </vt:variant>
      <vt:variant>
        <vt:i4>1179703</vt:i4>
      </vt:variant>
      <vt:variant>
        <vt:i4>446</vt:i4>
      </vt:variant>
      <vt:variant>
        <vt:i4>0</vt:i4>
      </vt:variant>
      <vt:variant>
        <vt:i4>5</vt:i4>
      </vt:variant>
      <vt:variant>
        <vt:lpwstr/>
      </vt:variant>
      <vt:variant>
        <vt:lpwstr>_Toc121242370</vt:lpwstr>
      </vt:variant>
      <vt:variant>
        <vt:i4>1245239</vt:i4>
      </vt:variant>
      <vt:variant>
        <vt:i4>440</vt:i4>
      </vt:variant>
      <vt:variant>
        <vt:i4>0</vt:i4>
      </vt:variant>
      <vt:variant>
        <vt:i4>5</vt:i4>
      </vt:variant>
      <vt:variant>
        <vt:lpwstr/>
      </vt:variant>
      <vt:variant>
        <vt:lpwstr>_Toc121242369</vt:lpwstr>
      </vt:variant>
      <vt:variant>
        <vt:i4>1245239</vt:i4>
      </vt:variant>
      <vt:variant>
        <vt:i4>434</vt:i4>
      </vt:variant>
      <vt:variant>
        <vt:i4>0</vt:i4>
      </vt:variant>
      <vt:variant>
        <vt:i4>5</vt:i4>
      </vt:variant>
      <vt:variant>
        <vt:lpwstr/>
      </vt:variant>
      <vt:variant>
        <vt:lpwstr>_Toc121242368</vt:lpwstr>
      </vt:variant>
      <vt:variant>
        <vt:i4>1245239</vt:i4>
      </vt:variant>
      <vt:variant>
        <vt:i4>425</vt:i4>
      </vt:variant>
      <vt:variant>
        <vt:i4>0</vt:i4>
      </vt:variant>
      <vt:variant>
        <vt:i4>5</vt:i4>
      </vt:variant>
      <vt:variant>
        <vt:lpwstr/>
      </vt:variant>
      <vt:variant>
        <vt:lpwstr>_Toc121242367</vt:lpwstr>
      </vt:variant>
      <vt:variant>
        <vt:i4>1245239</vt:i4>
      </vt:variant>
      <vt:variant>
        <vt:i4>419</vt:i4>
      </vt:variant>
      <vt:variant>
        <vt:i4>0</vt:i4>
      </vt:variant>
      <vt:variant>
        <vt:i4>5</vt:i4>
      </vt:variant>
      <vt:variant>
        <vt:lpwstr/>
      </vt:variant>
      <vt:variant>
        <vt:lpwstr>_Toc121242366</vt:lpwstr>
      </vt:variant>
      <vt:variant>
        <vt:i4>1245239</vt:i4>
      </vt:variant>
      <vt:variant>
        <vt:i4>413</vt:i4>
      </vt:variant>
      <vt:variant>
        <vt:i4>0</vt:i4>
      </vt:variant>
      <vt:variant>
        <vt:i4>5</vt:i4>
      </vt:variant>
      <vt:variant>
        <vt:lpwstr/>
      </vt:variant>
      <vt:variant>
        <vt:lpwstr>_Toc121242365</vt:lpwstr>
      </vt:variant>
      <vt:variant>
        <vt:i4>1245239</vt:i4>
      </vt:variant>
      <vt:variant>
        <vt:i4>407</vt:i4>
      </vt:variant>
      <vt:variant>
        <vt:i4>0</vt:i4>
      </vt:variant>
      <vt:variant>
        <vt:i4>5</vt:i4>
      </vt:variant>
      <vt:variant>
        <vt:lpwstr/>
      </vt:variant>
      <vt:variant>
        <vt:lpwstr>_Toc121242364</vt:lpwstr>
      </vt:variant>
      <vt:variant>
        <vt:i4>1245239</vt:i4>
      </vt:variant>
      <vt:variant>
        <vt:i4>401</vt:i4>
      </vt:variant>
      <vt:variant>
        <vt:i4>0</vt:i4>
      </vt:variant>
      <vt:variant>
        <vt:i4>5</vt:i4>
      </vt:variant>
      <vt:variant>
        <vt:lpwstr/>
      </vt:variant>
      <vt:variant>
        <vt:lpwstr>_Toc121242363</vt:lpwstr>
      </vt:variant>
      <vt:variant>
        <vt:i4>1245239</vt:i4>
      </vt:variant>
      <vt:variant>
        <vt:i4>395</vt:i4>
      </vt:variant>
      <vt:variant>
        <vt:i4>0</vt:i4>
      </vt:variant>
      <vt:variant>
        <vt:i4>5</vt:i4>
      </vt:variant>
      <vt:variant>
        <vt:lpwstr/>
      </vt:variant>
      <vt:variant>
        <vt:lpwstr>_Toc121242362</vt:lpwstr>
      </vt:variant>
      <vt:variant>
        <vt:i4>1245239</vt:i4>
      </vt:variant>
      <vt:variant>
        <vt:i4>389</vt:i4>
      </vt:variant>
      <vt:variant>
        <vt:i4>0</vt:i4>
      </vt:variant>
      <vt:variant>
        <vt:i4>5</vt:i4>
      </vt:variant>
      <vt:variant>
        <vt:lpwstr/>
      </vt:variant>
      <vt:variant>
        <vt:lpwstr>_Toc121242361</vt:lpwstr>
      </vt:variant>
      <vt:variant>
        <vt:i4>1245239</vt:i4>
      </vt:variant>
      <vt:variant>
        <vt:i4>380</vt:i4>
      </vt:variant>
      <vt:variant>
        <vt:i4>0</vt:i4>
      </vt:variant>
      <vt:variant>
        <vt:i4>5</vt:i4>
      </vt:variant>
      <vt:variant>
        <vt:lpwstr/>
      </vt:variant>
      <vt:variant>
        <vt:lpwstr>_Toc121242360</vt:lpwstr>
      </vt:variant>
      <vt:variant>
        <vt:i4>1048631</vt:i4>
      </vt:variant>
      <vt:variant>
        <vt:i4>374</vt:i4>
      </vt:variant>
      <vt:variant>
        <vt:i4>0</vt:i4>
      </vt:variant>
      <vt:variant>
        <vt:i4>5</vt:i4>
      </vt:variant>
      <vt:variant>
        <vt:lpwstr/>
      </vt:variant>
      <vt:variant>
        <vt:lpwstr>_Toc121242359</vt:lpwstr>
      </vt:variant>
      <vt:variant>
        <vt:i4>1048631</vt:i4>
      </vt:variant>
      <vt:variant>
        <vt:i4>368</vt:i4>
      </vt:variant>
      <vt:variant>
        <vt:i4>0</vt:i4>
      </vt:variant>
      <vt:variant>
        <vt:i4>5</vt:i4>
      </vt:variant>
      <vt:variant>
        <vt:lpwstr/>
      </vt:variant>
      <vt:variant>
        <vt:lpwstr>_Toc121242358</vt:lpwstr>
      </vt:variant>
      <vt:variant>
        <vt:i4>1048631</vt:i4>
      </vt:variant>
      <vt:variant>
        <vt:i4>362</vt:i4>
      </vt:variant>
      <vt:variant>
        <vt:i4>0</vt:i4>
      </vt:variant>
      <vt:variant>
        <vt:i4>5</vt:i4>
      </vt:variant>
      <vt:variant>
        <vt:lpwstr/>
      </vt:variant>
      <vt:variant>
        <vt:lpwstr>_Toc121242357</vt:lpwstr>
      </vt:variant>
      <vt:variant>
        <vt:i4>1048631</vt:i4>
      </vt:variant>
      <vt:variant>
        <vt:i4>356</vt:i4>
      </vt:variant>
      <vt:variant>
        <vt:i4>0</vt:i4>
      </vt:variant>
      <vt:variant>
        <vt:i4>5</vt:i4>
      </vt:variant>
      <vt:variant>
        <vt:lpwstr/>
      </vt:variant>
      <vt:variant>
        <vt:lpwstr>_Toc121242356</vt:lpwstr>
      </vt:variant>
      <vt:variant>
        <vt:i4>1048631</vt:i4>
      </vt:variant>
      <vt:variant>
        <vt:i4>350</vt:i4>
      </vt:variant>
      <vt:variant>
        <vt:i4>0</vt:i4>
      </vt:variant>
      <vt:variant>
        <vt:i4>5</vt:i4>
      </vt:variant>
      <vt:variant>
        <vt:lpwstr/>
      </vt:variant>
      <vt:variant>
        <vt:lpwstr>_Toc121242355</vt:lpwstr>
      </vt:variant>
      <vt:variant>
        <vt:i4>1048631</vt:i4>
      </vt:variant>
      <vt:variant>
        <vt:i4>344</vt:i4>
      </vt:variant>
      <vt:variant>
        <vt:i4>0</vt:i4>
      </vt:variant>
      <vt:variant>
        <vt:i4>5</vt:i4>
      </vt:variant>
      <vt:variant>
        <vt:lpwstr/>
      </vt:variant>
      <vt:variant>
        <vt:lpwstr>_Toc121242354</vt:lpwstr>
      </vt:variant>
      <vt:variant>
        <vt:i4>1048631</vt:i4>
      </vt:variant>
      <vt:variant>
        <vt:i4>338</vt:i4>
      </vt:variant>
      <vt:variant>
        <vt:i4>0</vt:i4>
      </vt:variant>
      <vt:variant>
        <vt:i4>5</vt:i4>
      </vt:variant>
      <vt:variant>
        <vt:lpwstr/>
      </vt:variant>
      <vt:variant>
        <vt:lpwstr>_Toc121242353</vt:lpwstr>
      </vt:variant>
      <vt:variant>
        <vt:i4>1048631</vt:i4>
      </vt:variant>
      <vt:variant>
        <vt:i4>332</vt:i4>
      </vt:variant>
      <vt:variant>
        <vt:i4>0</vt:i4>
      </vt:variant>
      <vt:variant>
        <vt:i4>5</vt:i4>
      </vt:variant>
      <vt:variant>
        <vt:lpwstr/>
      </vt:variant>
      <vt:variant>
        <vt:lpwstr>_Toc121242352</vt:lpwstr>
      </vt:variant>
      <vt:variant>
        <vt:i4>1048631</vt:i4>
      </vt:variant>
      <vt:variant>
        <vt:i4>326</vt:i4>
      </vt:variant>
      <vt:variant>
        <vt:i4>0</vt:i4>
      </vt:variant>
      <vt:variant>
        <vt:i4>5</vt:i4>
      </vt:variant>
      <vt:variant>
        <vt:lpwstr/>
      </vt:variant>
      <vt:variant>
        <vt:lpwstr>_Toc121242351</vt:lpwstr>
      </vt:variant>
      <vt:variant>
        <vt:i4>1048631</vt:i4>
      </vt:variant>
      <vt:variant>
        <vt:i4>320</vt:i4>
      </vt:variant>
      <vt:variant>
        <vt:i4>0</vt:i4>
      </vt:variant>
      <vt:variant>
        <vt:i4>5</vt:i4>
      </vt:variant>
      <vt:variant>
        <vt:lpwstr/>
      </vt:variant>
      <vt:variant>
        <vt:lpwstr>_Toc121242350</vt:lpwstr>
      </vt:variant>
      <vt:variant>
        <vt:i4>1114167</vt:i4>
      </vt:variant>
      <vt:variant>
        <vt:i4>314</vt:i4>
      </vt:variant>
      <vt:variant>
        <vt:i4>0</vt:i4>
      </vt:variant>
      <vt:variant>
        <vt:i4>5</vt:i4>
      </vt:variant>
      <vt:variant>
        <vt:lpwstr/>
      </vt:variant>
      <vt:variant>
        <vt:lpwstr>_Toc121242349</vt:lpwstr>
      </vt:variant>
      <vt:variant>
        <vt:i4>1114167</vt:i4>
      </vt:variant>
      <vt:variant>
        <vt:i4>308</vt:i4>
      </vt:variant>
      <vt:variant>
        <vt:i4>0</vt:i4>
      </vt:variant>
      <vt:variant>
        <vt:i4>5</vt:i4>
      </vt:variant>
      <vt:variant>
        <vt:lpwstr/>
      </vt:variant>
      <vt:variant>
        <vt:lpwstr>_Toc121242348</vt:lpwstr>
      </vt:variant>
      <vt:variant>
        <vt:i4>1114167</vt:i4>
      </vt:variant>
      <vt:variant>
        <vt:i4>302</vt:i4>
      </vt:variant>
      <vt:variant>
        <vt:i4>0</vt:i4>
      </vt:variant>
      <vt:variant>
        <vt:i4>5</vt:i4>
      </vt:variant>
      <vt:variant>
        <vt:lpwstr/>
      </vt:variant>
      <vt:variant>
        <vt:lpwstr>_Toc121242347</vt:lpwstr>
      </vt:variant>
      <vt:variant>
        <vt:i4>1114167</vt:i4>
      </vt:variant>
      <vt:variant>
        <vt:i4>296</vt:i4>
      </vt:variant>
      <vt:variant>
        <vt:i4>0</vt:i4>
      </vt:variant>
      <vt:variant>
        <vt:i4>5</vt:i4>
      </vt:variant>
      <vt:variant>
        <vt:lpwstr/>
      </vt:variant>
      <vt:variant>
        <vt:lpwstr>_Toc121242346</vt:lpwstr>
      </vt:variant>
      <vt:variant>
        <vt:i4>1114167</vt:i4>
      </vt:variant>
      <vt:variant>
        <vt:i4>290</vt:i4>
      </vt:variant>
      <vt:variant>
        <vt:i4>0</vt:i4>
      </vt:variant>
      <vt:variant>
        <vt:i4>5</vt:i4>
      </vt:variant>
      <vt:variant>
        <vt:lpwstr/>
      </vt:variant>
      <vt:variant>
        <vt:lpwstr>_Toc121242345</vt:lpwstr>
      </vt:variant>
      <vt:variant>
        <vt:i4>1114167</vt:i4>
      </vt:variant>
      <vt:variant>
        <vt:i4>284</vt:i4>
      </vt:variant>
      <vt:variant>
        <vt:i4>0</vt:i4>
      </vt:variant>
      <vt:variant>
        <vt:i4>5</vt:i4>
      </vt:variant>
      <vt:variant>
        <vt:lpwstr/>
      </vt:variant>
      <vt:variant>
        <vt:lpwstr>_Toc121242344</vt:lpwstr>
      </vt:variant>
      <vt:variant>
        <vt:i4>1114167</vt:i4>
      </vt:variant>
      <vt:variant>
        <vt:i4>278</vt:i4>
      </vt:variant>
      <vt:variant>
        <vt:i4>0</vt:i4>
      </vt:variant>
      <vt:variant>
        <vt:i4>5</vt:i4>
      </vt:variant>
      <vt:variant>
        <vt:lpwstr/>
      </vt:variant>
      <vt:variant>
        <vt:lpwstr>_Toc121242343</vt:lpwstr>
      </vt:variant>
      <vt:variant>
        <vt:i4>1114167</vt:i4>
      </vt:variant>
      <vt:variant>
        <vt:i4>272</vt:i4>
      </vt:variant>
      <vt:variant>
        <vt:i4>0</vt:i4>
      </vt:variant>
      <vt:variant>
        <vt:i4>5</vt:i4>
      </vt:variant>
      <vt:variant>
        <vt:lpwstr/>
      </vt:variant>
      <vt:variant>
        <vt:lpwstr>_Toc121242342</vt:lpwstr>
      </vt:variant>
      <vt:variant>
        <vt:i4>1114167</vt:i4>
      </vt:variant>
      <vt:variant>
        <vt:i4>266</vt:i4>
      </vt:variant>
      <vt:variant>
        <vt:i4>0</vt:i4>
      </vt:variant>
      <vt:variant>
        <vt:i4>5</vt:i4>
      </vt:variant>
      <vt:variant>
        <vt:lpwstr/>
      </vt:variant>
      <vt:variant>
        <vt:lpwstr>_Toc121242341</vt:lpwstr>
      </vt:variant>
      <vt:variant>
        <vt:i4>1114167</vt:i4>
      </vt:variant>
      <vt:variant>
        <vt:i4>260</vt:i4>
      </vt:variant>
      <vt:variant>
        <vt:i4>0</vt:i4>
      </vt:variant>
      <vt:variant>
        <vt:i4>5</vt:i4>
      </vt:variant>
      <vt:variant>
        <vt:lpwstr/>
      </vt:variant>
      <vt:variant>
        <vt:lpwstr>_Toc121242340</vt:lpwstr>
      </vt:variant>
      <vt:variant>
        <vt:i4>1441847</vt:i4>
      </vt:variant>
      <vt:variant>
        <vt:i4>254</vt:i4>
      </vt:variant>
      <vt:variant>
        <vt:i4>0</vt:i4>
      </vt:variant>
      <vt:variant>
        <vt:i4>5</vt:i4>
      </vt:variant>
      <vt:variant>
        <vt:lpwstr/>
      </vt:variant>
      <vt:variant>
        <vt:lpwstr>_Toc121242339</vt:lpwstr>
      </vt:variant>
      <vt:variant>
        <vt:i4>1441847</vt:i4>
      </vt:variant>
      <vt:variant>
        <vt:i4>248</vt:i4>
      </vt:variant>
      <vt:variant>
        <vt:i4>0</vt:i4>
      </vt:variant>
      <vt:variant>
        <vt:i4>5</vt:i4>
      </vt:variant>
      <vt:variant>
        <vt:lpwstr/>
      </vt:variant>
      <vt:variant>
        <vt:lpwstr>_Toc121242338</vt:lpwstr>
      </vt:variant>
      <vt:variant>
        <vt:i4>1441847</vt:i4>
      </vt:variant>
      <vt:variant>
        <vt:i4>242</vt:i4>
      </vt:variant>
      <vt:variant>
        <vt:i4>0</vt:i4>
      </vt:variant>
      <vt:variant>
        <vt:i4>5</vt:i4>
      </vt:variant>
      <vt:variant>
        <vt:lpwstr/>
      </vt:variant>
      <vt:variant>
        <vt:lpwstr>_Toc121242337</vt:lpwstr>
      </vt:variant>
      <vt:variant>
        <vt:i4>1441847</vt:i4>
      </vt:variant>
      <vt:variant>
        <vt:i4>236</vt:i4>
      </vt:variant>
      <vt:variant>
        <vt:i4>0</vt:i4>
      </vt:variant>
      <vt:variant>
        <vt:i4>5</vt:i4>
      </vt:variant>
      <vt:variant>
        <vt:lpwstr/>
      </vt:variant>
      <vt:variant>
        <vt:lpwstr>_Toc121242336</vt:lpwstr>
      </vt:variant>
      <vt:variant>
        <vt:i4>1441847</vt:i4>
      </vt:variant>
      <vt:variant>
        <vt:i4>230</vt:i4>
      </vt:variant>
      <vt:variant>
        <vt:i4>0</vt:i4>
      </vt:variant>
      <vt:variant>
        <vt:i4>5</vt:i4>
      </vt:variant>
      <vt:variant>
        <vt:lpwstr/>
      </vt:variant>
      <vt:variant>
        <vt:lpwstr>_Toc121242335</vt:lpwstr>
      </vt:variant>
      <vt:variant>
        <vt:i4>1441847</vt:i4>
      </vt:variant>
      <vt:variant>
        <vt:i4>224</vt:i4>
      </vt:variant>
      <vt:variant>
        <vt:i4>0</vt:i4>
      </vt:variant>
      <vt:variant>
        <vt:i4>5</vt:i4>
      </vt:variant>
      <vt:variant>
        <vt:lpwstr/>
      </vt:variant>
      <vt:variant>
        <vt:lpwstr>_Toc121242334</vt:lpwstr>
      </vt:variant>
      <vt:variant>
        <vt:i4>1441847</vt:i4>
      </vt:variant>
      <vt:variant>
        <vt:i4>218</vt:i4>
      </vt:variant>
      <vt:variant>
        <vt:i4>0</vt:i4>
      </vt:variant>
      <vt:variant>
        <vt:i4>5</vt:i4>
      </vt:variant>
      <vt:variant>
        <vt:lpwstr/>
      </vt:variant>
      <vt:variant>
        <vt:lpwstr>_Toc121242333</vt:lpwstr>
      </vt:variant>
      <vt:variant>
        <vt:i4>1441847</vt:i4>
      </vt:variant>
      <vt:variant>
        <vt:i4>212</vt:i4>
      </vt:variant>
      <vt:variant>
        <vt:i4>0</vt:i4>
      </vt:variant>
      <vt:variant>
        <vt:i4>5</vt:i4>
      </vt:variant>
      <vt:variant>
        <vt:lpwstr/>
      </vt:variant>
      <vt:variant>
        <vt:lpwstr>_Toc121242332</vt:lpwstr>
      </vt:variant>
      <vt:variant>
        <vt:i4>1441847</vt:i4>
      </vt:variant>
      <vt:variant>
        <vt:i4>206</vt:i4>
      </vt:variant>
      <vt:variant>
        <vt:i4>0</vt:i4>
      </vt:variant>
      <vt:variant>
        <vt:i4>5</vt:i4>
      </vt:variant>
      <vt:variant>
        <vt:lpwstr/>
      </vt:variant>
      <vt:variant>
        <vt:lpwstr>_Toc121242331</vt:lpwstr>
      </vt:variant>
      <vt:variant>
        <vt:i4>1441847</vt:i4>
      </vt:variant>
      <vt:variant>
        <vt:i4>200</vt:i4>
      </vt:variant>
      <vt:variant>
        <vt:i4>0</vt:i4>
      </vt:variant>
      <vt:variant>
        <vt:i4>5</vt:i4>
      </vt:variant>
      <vt:variant>
        <vt:lpwstr/>
      </vt:variant>
      <vt:variant>
        <vt:lpwstr>_Toc121242330</vt:lpwstr>
      </vt:variant>
      <vt:variant>
        <vt:i4>1507383</vt:i4>
      </vt:variant>
      <vt:variant>
        <vt:i4>194</vt:i4>
      </vt:variant>
      <vt:variant>
        <vt:i4>0</vt:i4>
      </vt:variant>
      <vt:variant>
        <vt:i4>5</vt:i4>
      </vt:variant>
      <vt:variant>
        <vt:lpwstr/>
      </vt:variant>
      <vt:variant>
        <vt:lpwstr>_Toc121242329</vt:lpwstr>
      </vt:variant>
      <vt:variant>
        <vt:i4>1507383</vt:i4>
      </vt:variant>
      <vt:variant>
        <vt:i4>188</vt:i4>
      </vt:variant>
      <vt:variant>
        <vt:i4>0</vt:i4>
      </vt:variant>
      <vt:variant>
        <vt:i4>5</vt:i4>
      </vt:variant>
      <vt:variant>
        <vt:lpwstr/>
      </vt:variant>
      <vt:variant>
        <vt:lpwstr>_Toc121242328</vt:lpwstr>
      </vt:variant>
      <vt:variant>
        <vt:i4>1507383</vt:i4>
      </vt:variant>
      <vt:variant>
        <vt:i4>182</vt:i4>
      </vt:variant>
      <vt:variant>
        <vt:i4>0</vt:i4>
      </vt:variant>
      <vt:variant>
        <vt:i4>5</vt:i4>
      </vt:variant>
      <vt:variant>
        <vt:lpwstr/>
      </vt:variant>
      <vt:variant>
        <vt:lpwstr>_Toc121242327</vt:lpwstr>
      </vt:variant>
      <vt:variant>
        <vt:i4>1507383</vt:i4>
      </vt:variant>
      <vt:variant>
        <vt:i4>176</vt:i4>
      </vt:variant>
      <vt:variant>
        <vt:i4>0</vt:i4>
      </vt:variant>
      <vt:variant>
        <vt:i4>5</vt:i4>
      </vt:variant>
      <vt:variant>
        <vt:lpwstr/>
      </vt:variant>
      <vt:variant>
        <vt:lpwstr>_Toc121242326</vt:lpwstr>
      </vt:variant>
      <vt:variant>
        <vt:i4>1507383</vt:i4>
      </vt:variant>
      <vt:variant>
        <vt:i4>170</vt:i4>
      </vt:variant>
      <vt:variant>
        <vt:i4>0</vt:i4>
      </vt:variant>
      <vt:variant>
        <vt:i4>5</vt:i4>
      </vt:variant>
      <vt:variant>
        <vt:lpwstr/>
      </vt:variant>
      <vt:variant>
        <vt:lpwstr>_Toc121242325</vt:lpwstr>
      </vt:variant>
      <vt:variant>
        <vt:i4>1507383</vt:i4>
      </vt:variant>
      <vt:variant>
        <vt:i4>164</vt:i4>
      </vt:variant>
      <vt:variant>
        <vt:i4>0</vt:i4>
      </vt:variant>
      <vt:variant>
        <vt:i4>5</vt:i4>
      </vt:variant>
      <vt:variant>
        <vt:lpwstr/>
      </vt:variant>
      <vt:variant>
        <vt:lpwstr>_Toc121242324</vt:lpwstr>
      </vt:variant>
      <vt:variant>
        <vt:i4>1507383</vt:i4>
      </vt:variant>
      <vt:variant>
        <vt:i4>158</vt:i4>
      </vt:variant>
      <vt:variant>
        <vt:i4>0</vt:i4>
      </vt:variant>
      <vt:variant>
        <vt:i4>5</vt:i4>
      </vt:variant>
      <vt:variant>
        <vt:lpwstr/>
      </vt:variant>
      <vt:variant>
        <vt:lpwstr>_Toc121242323</vt:lpwstr>
      </vt:variant>
      <vt:variant>
        <vt:i4>1507383</vt:i4>
      </vt:variant>
      <vt:variant>
        <vt:i4>152</vt:i4>
      </vt:variant>
      <vt:variant>
        <vt:i4>0</vt:i4>
      </vt:variant>
      <vt:variant>
        <vt:i4>5</vt:i4>
      </vt:variant>
      <vt:variant>
        <vt:lpwstr/>
      </vt:variant>
      <vt:variant>
        <vt:lpwstr>_Toc121242322</vt:lpwstr>
      </vt:variant>
      <vt:variant>
        <vt:i4>1507383</vt:i4>
      </vt:variant>
      <vt:variant>
        <vt:i4>146</vt:i4>
      </vt:variant>
      <vt:variant>
        <vt:i4>0</vt:i4>
      </vt:variant>
      <vt:variant>
        <vt:i4>5</vt:i4>
      </vt:variant>
      <vt:variant>
        <vt:lpwstr/>
      </vt:variant>
      <vt:variant>
        <vt:lpwstr>_Toc121242321</vt:lpwstr>
      </vt:variant>
      <vt:variant>
        <vt:i4>1507383</vt:i4>
      </vt:variant>
      <vt:variant>
        <vt:i4>140</vt:i4>
      </vt:variant>
      <vt:variant>
        <vt:i4>0</vt:i4>
      </vt:variant>
      <vt:variant>
        <vt:i4>5</vt:i4>
      </vt:variant>
      <vt:variant>
        <vt:lpwstr/>
      </vt:variant>
      <vt:variant>
        <vt:lpwstr>_Toc121242320</vt:lpwstr>
      </vt:variant>
      <vt:variant>
        <vt:i4>1310775</vt:i4>
      </vt:variant>
      <vt:variant>
        <vt:i4>134</vt:i4>
      </vt:variant>
      <vt:variant>
        <vt:i4>0</vt:i4>
      </vt:variant>
      <vt:variant>
        <vt:i4>5</vt:i4>
      </vt:variant>
      <vt:variant>
        <vt:lpwstr/>
      </vt:variant>
      <vt:variant>
        <vt:lpwstr>_Toc121242319</vt:lpwstr>
      </vt:variant>
      <vt:variant>
        <vt:i4>1310775</vt:i4>
      </vt:variant>
      <vt:variant>
        <vt:i4>128</vt:i4>
      </vt:variant>
      <vt:variant>
        <vt:i4>0</vt:i4>
      </vt:variant>
      <vt:variant>
        <vt:i4>5</vt:i4>
      </vt:variant>
      <vt:variant>
        <vt:lpwstr/>
      </vt:variant>
      <vt:variant>
        <vt:lpwstr>_Toc121242318</vt:lpwstr>
      </vt:variant>
      <vt:variant>
        <vt:i4>1310775</vt:i4>
      </vt:variant>
      <vt:variant>
        <vt:i4>122</vt:i4>
      </vt:variant>
      <vt:variant>
        <vt:i4>0</vt:i4>
      </vt:variant>
      <vt:variant>
        <vt:i4>5</vt:i4>
      </vt:variant>
      <vt:variant>
        <vt:lpwstr/>
      </vt:variant>
      <vt:variant>
        <vt:lpwstr>_Toc121242317</vt:lpwstr>
      </vt:variant>
      <vt:variant>
        <vt:i4>1310775</vt:i4>
      </vt:variant>
      <vt:variant>
        <vt:i4>116</vt:i4>
      </vt:variant>
      <vt:variant>
        <vt:i4>0</vt:i4>
      </vt:variant>
      <vt:variant>
        <vt:i4>5</vt:i4>
      </vt:variant>
      <vt:variant>
        <vt:lpwstr/>
      </vt:variant>
      <vt:variant>
        <vt:lpwstr>_Toc121242316</vt:lpwstr>
      </vt:variant>
      <vt:variant>
        <vt:i4>1310775</vt:i4>
      </vt:variant>
      <vt:variant>
        <vt:i4>110</vt:i4>
      </vt:variant>
      <vt:variant>
        <vt:i4>0</vt:i4>
      </vt:variant>
      <vt:variant>
        <vt:i4>5</vt:i4>
      </vt:variant>
      <vt:variant>
        <vt:lpwstr/>
      </vt:variant>
      <vt:variant>
        <vt:lpwstr>_Toc121242315</vt:lpwstr>
      </vt:variant>
      <vt:variant>
        <vt:i4>1310775</vt:i4>
      </vt:variant>
      <vt:variant>
        <vt:i4>104</vt:i4>
      </vt:variant>
      <vt:variant>
        <vt:i4>0</vt:i4>
      </vt:variant>
      <vt:variant>
        <vt:i4>5</vt:i4>
      </vt:variant>
      <vt:variant>
        <vt:lpwstr/>
      </vt:variant>
      <vt:variant>
        <vt:lpwstr>_Toc121242314</vt:lpwstr>
      </vt:variant>
      <vt:variant>
        <vt:i4>1310775</vt:i4>
      </vt:variant>
      <vt:variant>
        <vt:i4>98</vt:i4>
      </vt:variant>
      <vt:variant>
        <vt:i4>0</vt:i4>
      </vt:variant>
      <vt:variant>
        <vt:i4>5</vt:i4>
      </vt:variant>
      <vt:variant>
        <vt:lpwstr/>
      </vt:variant>
      <vt:variant>
        <vt:lpwstr>_Toc121242313</vt:lpwstr>
      </vt:variant>
      <vt:variant>
        <vt:i4>1310775</vt:i4>
      </vt:variant>
      <vt:variant>
        <vt:i4>92</vt:i4>
      </vt:variant>
      <vt:variant>
        <vt:i4>0</vt:i4>
      </vt:variant>
      <vt:variant>
        <vt:i4>5</vt:i4>
      </vt:variant>
      <vt:variant>
        <vt:lpwstr/>
      </vt:variant>
      <vt:variant>
        <vt:lpwstr>_Toc121242312</vt:lpwstr>
      </vt:variant>
      <vt:variant>
        <vt:i4>1310775</vt:i4>
      </vt:variant>
      <vt:variant>
        <vt:i4>86</vt:i4>
      </vt:variant>
      <vt:variant>
        <vt:i4>0</vt:i4>
      </vt:variant>
      <vt:variant>
        <vt:i4>5</vt:i4>
      </vt:variant>
      <vt:variant>
        <vt:lpwstr/>
      </vt:variant>
      <vt:variant>
        <vt:lpwstr>_Toc121242311</vt:lpwstr>
      </vt:variant>
      <vt:variant>
        <vt:i4>1310775</vt:i4>
      </vt:variant>
      <vt:variant>
        <vt:i4>80</vt:i4>
      </vt:variant>
      <vt:variant>
        <vt:i4>0</vt:i4>
      </vt:variant>
      <vt:variant>
        <vt:i4>5</vt:i4>
      </vt:variant>
      <vt:variant>
        <vt:lpwstr/>
      </vt:variant>
      <vt:variant>
        <vt:lpwstr>_Toc121242310</vt:lpwstr>
      </vt:variant>
      <vt:variant>
        <vt:i4>1376311</vt:i4>
      </vt:variant>
      <vt:variant>
        <vt:i4>74</vt:i4>
      </vt:variant>
      <vt:variant>
        <vt:i4>0</vt:i4>
      </vt:variant>
      <vt:variant>
        <vt:i4>5</vt:i4>
      </vt:variant>
      <vt:variant>
        <vt:lpwstr/>
      </vt:variant>
      <vt:variant>
        <vt:lpwstr>_Toc121242309</vt:lpwstr>
      </vt:variant>
      <vt:variant>
        <vt:i4>1376311</vt:i4>
      </vt:variant>
      <vt:variant>
        <vt:i4>68</vt:i4>
      </vt:variant>
      <vt:variant>
        <vt:i4>0</vt:i4>
      </vt:variant>
      <vt:variant>
        <vt:i4>5</vt:i4>
      </vt:variant>
      <vt:variant>
        <vt:lpwstr/>
      </vt:variant>
      <vt:variant>
        <vt:lpwstr>_Toc121242308</vt:lpwstr>
      </vt:variant>
      <vt:variant>
        <vt:i4>1376311</vt:i4>
      </vt:variant>
      <vt:variant>
        <vt:i4>62</vt:i4>
      </vt:variant>
      <vt:variant>
        <vt:i4>0</vt:i4>
      </vt:variant>
      <vt:variant>
        <vt:i4>5</vt:i4>
      </vt:variant>
      <vt:variant>
        <vt:lpwstr/>
      </vt:variant>
      <vt:variant>
        <vt:lpwstr>_Toc121242307</vt:lpwstr>
      </vt:variant>
      <vt:variant>
        <vt:i4>1376311</vt:i4>
      </vt:variant>
      <vt:variant>
        <vt:i4>56</vt:i4>
      </vt:variant>
      <vt:variant>
        <vt:i4>0</vt:i4>
      </vt:variant>
      <vt:variant>
        <vt:i4>5</vt:i4>
      </vt:variant>
      <vt:variant>
        <vt:lpwstr/>
      </vt:variant>
      <vt:variant>
        <vt:lpwstr>_Toc121242306</vt:lpwstr>
      </vt:variant>
      <vt:variant>
        <vt:i4>1376311</vt:i4>
      </vt:variant>
      <vt:variant>
        <vt:i4>50</vt:i4>
      </vt:variant>
      <vt:variant>
        <vt:i4>0</vt:i4>
      </vt:variant>
      <vt:variant>
        <vt:i4>5</vt:i4>
      </vt:variant>
      <vt:variant>
        <vt:lpwstr/>
      </vt:variant>
      <vt:variant>
        <vt:lpwstr>_Toc121242305</vt:lpwstr>
      </vt:variant>
      <vt:variant>
        <vt:i4>1376311</vt:i4>
      </vt:variant>
      <vt:variant>
        <vt:i4>44</vt:i4>
      </vt:variant>
      <vt:variant>
        <vt:i4>0</vt:i4>
      </vt:variant>
      <vt:variant>
        <vt:i4>5</vt:i4>
      </vt:variant>
      <vt:variant>
        <vt:lpwstr/>
      </vt:variant>
      <vt:variant>
        <vt:lpwstr>_Toc121242304</vt:lpwstr>
      </vt:variant>
      <vt:variant>
        <vt:i4>1376311</vt:i4>
      </vt:variant>
      <vt:variant>
        <vt:i4>38</vt:i4>
      </vt:variant>
      <vt:variant>
        <vt:i4>0</vt:i4>
      </vt:variant>
      <vt:variant>
        <vt:i4>5</vt:i4>
      </vt:variant>
      <vt:variant>
        <vt:lpwstr/>
      </vt:variant>
      <vt:variant>
        <vt:lpwstr>_Toc121242303</vt:lpwstr>
      </vt:variant>
      <vt:variant>
        <vt:i4>1376311</vt:i4>
      </vt:variant>
      <vt:variant>
        <vt:i4>32</vt:i4>
      </vt:variant>
      <vt:variant>
        <vt:i4>0</vt:i4>
      </vt:variant>
      <vt:variant>
        <vt:i4>5</vt:i4>
      </vt:variant>
      <vt:variant>
        <vt:lpwstr/>
      </vt:variant>
      <vt:variant>
        <vt:lpwstr>_Toc121242302</vt:lpwstr>
      </vt:variant>
      <vt:variant>
        <vt:i4>1376311</vt:i4>
      </vt:variant>
      <vt:variant>
        <vt:i4>26</vt:i4>
      </vt:variant>
      <vt:variant>
        <vt:i4>0</vt:i4>
      </vt:variant>
      <vt:variant>
        <vt:i4>5</vt:i4>
      </vt:variant>
      <vt:variant>
        <vt:lpwstr/>
      </vt:variant>
      <vt:variant>
        <vt:lpwstr>_Toc121242301</vt:lpwstr>
      </vt:variant>
      <vt:variant>
        <vt:i4>1376311</vt:i4>
      </vt:variant>
      <vt:variant>
        <vt:i4>20</vt:i4>
      </vt:variant>
      <vt:variant>
        <vt:i4>0</vt:i4>
      </vt:variant>
      <vt:variant>
        <vt:i4>5</vt:i4>
      </vt:variant>
      <vt:variant>
        <vt:lpwstr/>
      </vt:variant>
      <vt:variant>
        <vt:lpwstr>_Toc121242300</vt:lpwstr>
      </vt:variant>
      <vt:variant>
        <vt:i4>1835062</vt:i4>
      </vt:variant>
      <vt:variant>
        <vt:i4>14</vt:i4>
      </vt:variant>
      <vt:variant>
        <vt:i4>0</vt:i4>
      </vt:variant>
      <vt:variant>
        <vt:i4>5</vt:i4>
      </vt:variant>
      <vt:variant>
        <vt:lpwstr/>
      </vt:variant>
      <vt:variant>
        <vt:lpwstr>_Toc121242299</vt:lpwstr>
      </vt:variant>
      <vt:variant>
        <vt:i4>1835062</vt:i4>
      </vt:variant>
      <vt:variant>
        <vt:i4>8</vt:i4>
      </vt:variant>
      <vt:variant>
        <vt:i4>0</vt:i4>
      </vt:variant>
      <vt:variant>
        <vt:i4>5</vt:i4>
      </vt:variant>
      <vt:variant>
        <vt:lpwstr/>
      </vt:variant>
      <vt:variant>
        <vt:lpwstr>_Toc121242294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Clifton, Craig A</dc:creator>
  <cp:keywords/>
  <dc:description/>
  <cp:lastModifiedBy>Siubhan McBain (DEECA)</cp:lastModifiedBy>
  <cp:revision>5</cp:revision>
  <dcterms:created xsi:type="dcterms:W3CDTF">2023-09-25T22:33:00Z</dcterms:created>
  <dcterms:modified xsi:type="dcterms:W3CDTF">2023-09-25T22:37:00Z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Set">
    <vt:lpwstr>Jacobs en.dotx</vt:lpwstr>
  </property>
  <property fmtid="{D5CDD505-2E9C-101B-9397-08002B2CF9AE}" pid="3" name="ContentTypeId">
    <vt:lpwstr>0x0101002517F445A0F35E449C98AAD631F2B03845010017CE3D98FCB12348848A375864F1F41F</vt:lpwstr>
  </property>
  <property fmtid="{D5CDD505-2E9C-101B-9397-08002B2CF9AE}" pid="4" name="GrammarlyDocumentId">
    <vt:lpwstr>20f9962c1ac0dd48d09edf256a1efba57e2eb4dd2453f3564b0d8773c0e44282</vt:lpwstr>
  </property>
  <property fmtid="{D5CDD505-2E9C-101B-9397-08002B2CF9AE}" pid="5" name="MediaServiceImageTags">
    <vt:lpwstr/>
  </property>
  <property fmtid="{D5CDD505-2E9C-101B-9397-08002B2CF9AE}" pid="6" name="Folder_Number">
    <vt:lpwstr/>
  </property>
  <property fmtid="{D5CDD505-2E9C-101B-9397-08002B2CF9AE}" pid="7" name="Folder_Code">
    <vt:lpwstr/>
  </property>
  <property fmtid="{D5CDD505-2E9C-101B-9397-08002B2CF9AE}" pid="8" name="Folder_Name">
    <vt:lpwstr/>
  </property>
  <property fmtid="{D5CDD505-2E9C-101B-9397-08002B2CF9AE}" pid="9" name="Folder_Description">
    <vt:lpwstr/>
  </property>
  <property fmtid="{D5CDD505-2E9C-101B-9397-08002B2CF9AE}" pid="10" name="/Folder_Name/">
    <vt:lpwstr/>
  </property>
  <property fmtid="{D5CDD505-2E9C-101B-9397-08002B2CF9AE}" pid="11" name="/Folder_Description/">
    <vt:lpwstr/>
  </property>
  <property fmtid="{D5CDD505-2E9C-101B-9397-08002B2CF9AE}" pid="12" name="Folder_Version">
    <vt:lpwstr/>
  </property>
  <property fmtid="{D5CDD505-2E9C-101B-9397-08002B2CF9AE}" pid="13" name="Folder_VersionSeq">
    <vt:lpwstr/>
  </property>
  <property fmtid="{D5CDD505-2E9C-101B-9397-08002B2CF9AE}" pid="14" name="Folder_Manager">
    <vt:lpwstr/>
  </property>
  <property fmtid="{D5CDD505-2E9C-101B-9397-08002B2CF9AE}" pid="15" name="Folder_ManagerDesc">
    <vt:lpwstr/>
  </property>
  <property fmtid="{D5CDD505-2E9C-101B-9397-08002B2CF9AE}" pid="16" name="Folder_Storage">
    <vt:lpwstr/>
  </property>
  <property fmtid="{D5CDD505-2E9C-101B-9397-08002B2CF9AE}" pid="17" name="Folder_StorageDesc">
    <vt:lpwstr/>
  </property>
  <property fmtid="{D5CDD505-2E9C-101B-9397-08002B2CF9AE}" pid="18" name="Folder_Creator">
    <vt:lpwstr/>
  </property>
  <property fmtid="{D5CDD505-2E9C-101B-9397-08002B2CF9AE}" pid="19" name="Folder_CreatorDesc">
    <vt:lpwstr/>
  </property>
  <property fmtid="{D5CDD505-2E9C-101B-9397-08002B2CF9AE}" pid="20" name="Folder_CreateDate">
    <vt:lpwstr/>
  </property>
  <property fmtid="{D5CDD505-2E9C-101B-9397-08002B2CF9AE}" pid="21" name="Folder_Updater">
    <vt:lpwstr/>
  </property>
  <property fmtid="{D5CDD505-2E9C-101B-9397-08002B2CF9AE}" pid="22" name="Folder_UpdaterDesc">
    <vt:lpwstr/>
  </property>
  <property fmtid="{D5CDD505-2E9C-101B-9397-08002B2CF9AE}" pid="23" name="Folder_UpdateDate">
    <vt:lpwstr/>
  </property>
  <property fmtid="{D5CDD505-2E9C-101B-9397-08002B2CF9AE}" pid="24" name="Document_Number">
    <vt:lpwstr/>
  </property>
  <property fmtid="{D5CDD505-2E9C-101B-9397-08002B2CF9AE}" pid="25" name="Document_Name">
    <vt:lpwstr/>
  </property>
  <property fmtid="{D5CDD505-2E9C-101B-9397-08002B2CF9AE}" pid="26" name="Document_FileName">
    <vt:lpwstr/>
  </property>
  <property fmtid="{D5CDD505-2E9C-101B-9397-08002B2CF9AE}" pid="27" name="Document_Version">
    <vt:lpwstr/>
  </property>
  <property fmtid="{D5CDD505-2E9C-101B-9397-08002B2CF9AE}" pid="28" name="Document_VersionSeq">
    <vt:lpwstr/>
  </property>
  <property fmtid="{D5CDD505-2E9C-101B-9397-08002B2CF9AE}" pid="29" name="Document_Creator">
    <vt:lpwstr/>
  </property>
  <property fmtid="{D5CDD505-2E9C-101B-9397-08002B2CF9AE}" pid="30" name="Document_CreatorDesc">
    <vt:lpwstr/>
  </property>
  <property fmtid="{D5CDD505-2E9C-101B-9397-08002B2CF9AE}" pid="31" name="Document_CreateDate">
    <vt:lpwstr/>
  </property>
  <property fmtid="{D5CDD505-2E9C-101B-9397-08002B2CF9AE}" pid="32" name="Document_Updater">
    <vt:lpwstr/>
  </property>
  <property fmtid="{D5CDD505-2E9C-101B-9397-08002B2CF9AE}" pid="33" name="Document_UpdaterDesc">
    <vt:lpwstr/>
  </property>
  <property fmtid="{D5CDD505-2E9C-101B-9397-08002B2CF9AE}" pid="34" name="Document_UpdateDate">
    <vt:lpwstr/>
  </property>
  <property fmtid="{D5CDD505-2E9C-101B-9397-08002B2CF9AE}" pid="35" name="Document_Size">
    <vt:lpwstr/>
  </property>
  <property fmtid="{D5CDD505-2E9C-101B-9397-08002B2CF9AE}" pid="36" name="Document_Storage">
    <vt:lpwstr/>
  </property>
  <property fmtid="{D5CDD505-2E9C-101B-9397-08002B2CF9AE}" pid="37" name="Document_StorageDesc">
    <vt:lpwstr/>
  </property>
  <property fmtid="{D5CDD505-2E9C-101B-9397-08002B2CF9AE}" pid="38" name="Document_Department">
    <vt:lpwstr/>
  </property>
  <property fmtid="{D5CDD505-2E9C-101B-9397-08002B2CF9AE}" pid="39" name="Document_DepartmentDesc">
    <vt:lpwstr/>
  </property>
  <property fmtid="{D5CDD505-2E9C-101B-9397-08002B2CF9AE}" pid="40" name="Section">
    <vt:lpwstr>774;#Timber Harvesting Compliance|cb08a475-83d0-4dee-bb6b-33b82529a103</vt:lpwstr>
  </property>
  <property fmtid="{D5CDD505-2E9C-101B-9397-08002B2CF9AE}" pid="41" name="Agency">
    <vt:lpwstr>2169;#Department of Energy, Environment and Climate Action|6ec2007c-62f7-4367-85b3-4db3e85c504f</vt:lpwstr>
  </property>
  <property fmtid="{D5CDD505-2E9C-101B-9397-08002B2CF9AE}" pid="42" name="Branch">
    <vt:lpwstr>1115;#Strategic Operations|f799d367-3f9a-4959-ac94-fb9faf392395</vt:lpwstr>
  </property>
  <property fmtid="{D5CDD505-2E9C-101B-9397-08002B2CF9AE}" pid="43" name="Division">
    <vt:lpwstr>826;#Conservation Regulator|87db0633-eb7b-4bcb-bec5-def7db8d1d07</vt:lpwstr>
  </property>
  <property fmtid="{D5CDD505-2E9C-101B-9397-08002B2CF9AE}" pid="44" name="Dissemination Limiting Marker">
    <vt:lpwstr>2;#FOUO|955eb6fc-b35a-4808-8aa5-31e514fa3f26</vt:lpwstr>
  </property>
  <property fmtid="{D5CDD505-2E9C-101B-9397-08002B2CF9AE}" pid="45" name="Sub_x002d_Section">
    <vt:lpwstr/>
  </property>
  <property fmtid="{D5CDD505-2E9C-101B-9397-08002B2CF9AE}" pid="46" name="Security Classification">
    <vt:lpwstr>3;#Unclassified|7fa379f4-4aba-4692-ab80-7d39d3a23cf4</vt:lpwstr>
  </property>
  <property fmtid="{D5CDD505-2E9C-101B-9397-08002B2CF9AE}" pid="47" name="_dlc_DocIdItemGuid">
    <vt:lpwstr>b508dc35-d83a-4b4b-8e5d-5c6986e3a2cc</vt:lpwstr>
  </property>
  <property fmtid="{D5CDD505-2E9C-101B-9397-08002B2CF9AE}" pid="48" name="Group1">
    <vt:lpwstr>2340;#Bushfire and Forest Services|4b5ad15d-a2e0-4424-a23d-a0d267266477</vt:lpwstr>
  </property>
  <property fmtid="{D5CDD505-2E9C-101B-9397-08002B2CF9AE}" pid="49" name="Sub-Section">
    <vt:lpwstr>1039;#Planning|4fa1e6ea-1b26-4d34-8507-44a4cfdc3819</vt:lpwstr>
  </property>
  <property fmtid="{D5CDD505-2E9C-101B-9397-08002B2CF9AE}" pid="50" name="MSIP_Label_4257e2ab-f512-40e2-9c9a-c64247360765_Enabled">
    <vt:lpwstr>true</vt:lpwstr>
  </property>
  <property fmtid="{D5CDD505-2E9C-101B-9397-08002B2CF9AE}" pid="51" name="MSIP_Label_4257e2ab-f512-40e2-9c9a-c64247360765_SetDate">
    <vt:lpwstr>2023-09-25T22:36:55Z</vt:lpwstr>
  </property>
  <property fmtid="{D5CDD505-2E9C-101B-9397-08002B2CF9AE}" pid="52" name="MSIP_Label_4257e2ab-f512-40e2-9c9a-c64247360765_Method">
    <vt:lpwstr>Privileged</vt:lpwstr>
  </property>
  <property fmtid="{D5CDD505-2E9C-101B-9397-08002B2CF9AE}" pid="53" name="MSIP_Label_4257e2ab-f512-40e2-9c9a-c64247360765_Name">
    <vt:lpwstr>OFFICIAL</vt:lpwstr>
  </property>
  <property fmtid="{D5CDD505-2E9C-101B-9397-08002B2CF9AE}" pid="54" name="MSIP_Label_4257e2ab-f512-40e2-9c9a-c64247360765_SiteId">
    <vt:lpwstr>e8bdd6f7-fc18-4e48-a554-7f547927223b</vt:lpwstr>
  </property>
  <property fmtid="{D5CDD505-2E9C-101B-9397-08002B2CF9AE}" pid="55" name="MSIP_Label_4257e2ab-f512-40e2-9c9a-c64247360765_ActionId">
    <vt:lpwstr>0a8fa1c4-b175-40ea-90e9-d5e84dba422f</vt:lpwstr>
  </property>
  <property fmtid="{D5CDD505-2E9C-101B-9397-08002B2CF9AE}" pid="56" name="MSIP_Label_4257e2ab-f512-40e2-9c9a-c64247360765_ContentBits">
    <vt:lpwstr>2</vt:lpwstr>
  </property>
</Properties>
</file>