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1F78" w14:textId="570A4D07" w:rsidR="00624A55" w:rsidRPr="008F3D35" w:rsidRDefault="003134B0" w:rsidP="008F3D35">
      <w:pPr>
        <w:pStyle w:val="Heading1"/>
      </w:pPr>
      <w:r>
        <w:t xml:space="preserve">Переходный процесс: позитивное начало учебы в школе </w:t>
      </w:r>
    </w:p>
    <w:p w14:paraId="74D0F942" w14:textId="00C5CF78" w:rsidR="00624A55" w:rsidRPr="00624A55" w:rsidRDefault="003134B0" w:rsidP="003134B0">
      <w:pPr>
        <w:pStyle w:val="Intro"/>
        <w:spacing w:before="120"/>
      </w:pPr>
      <w:r>
        <w:t xml:space="preserve">Руководство для семей по заполнению Отчета о переходе в школу с учетом уровня знаний и развития ребенка (Transition Learning and Development Statement) </w:t>
      </w:r>
    </w:p>
    <w:p w14:paraId="0FF761CD" w14:textId="60656DF2" w:rsidR="00624A55" w:rsidRPr="00624A55" w:rsidRDefault="003134B0" w:rsidP="00B373A3">
      <w:pPr>
        <w:pStyle w:val="Heading2"/>
        <w:spacing w:before="120"/>
      </w:pPr>
      <w:r>
        <w:t>Почему важно позитивное начало учебы в школе?</w:t>
      </w:r>
    </w:p>
    <w:p w14:paraId="79B985B8" w14:textId="2EE3276D" w:rsidR="003134B0" w:rsidRPr="003134B0" w:rsidRDefault="003134B0" w:rsidP="00B373A3">
      <w:pPr>
        <w:spacing w:after="240" w:line="240" w:lineRule="atLeast"/>
        <w:rPr>
          <w:rFonts w:eastAsia="MS Mincho" w:cstheme="minorHAnsi"/>
          <w:szCs w:val="22"/>
        </w:rPr>
      </w:pPr>
      <w:r>
        <w:t xml:space="preserve">Позитивное начало учебы в школе может положительно отразиться на учебе и настроении вашего ребенка при переходе из группы дошкольной подготовки в школу и в ходе дальнейшего образования. Позитивный переходный процесс также способствует непрерывности обучения и развития вашего ребенка, когда опыт, приобретенный ребенком в прошлом и настоящем, помогает ему чувствовать себя в безопасности, придает уверенность в себе и создает ощущение сопричастности. Позитивное начало учебы в школе также способствует развитию способности переносить нагрузки. </w:t>
      </w:r>
    </w:p>
    <w:p w14:paraId="294FE971" w14:textId="029C5794" w:rsidR="00624A55" w:rsidRPr="00624A55" w:rsidRDefault="003134B0" w:rsidP="00B373A3">
      <w:pPr>
        <w:pStyle w:val="Heading2"/>
        <w:spacing w:before="120"/>
      </w:pPr>
      <w:r>
        <w:t>Что такое Отчет о переходе в школу с учетом уровня знаний и развития ребенка?</w:t>
      </w:r>
    </w:p>
    <w:p w14:paraId="44DCB24E" w14:textId="3FD8F135" w:rsidR="003134B0" w:rsidRDefault="003134B0" w:rsidP="00D7307A">
      <w:r>
        <w:t>Детские дошкольные учреждения, школы, группы продленного дня (Outside School Hours Care - OSHC) и семьи совместными усилиями оказывают содействие успешной учебе и обеспечивают благополучие ребенка. Они обмениваются информацией с помощью Отчета о переходе в школу с учетом уровня знаний и развития ребенка (Transition Learning and Development Statement - TLDS). Отчет составляется детским дошкольным учреждением на каждого ребенка при переходе в школу.</w:t>
      </w:r>
    </w:p>
    <w:p w14:paraId="61B12BA2" w14:textId="047C6A2A" w:rsidR="003134B0" w:rsidRPr="00037D06" w:rsidRDefault="003134B0" w:rsidP="00D7307A">
      <w:r>
        <w:t>С помощью отчета TLDS происходит обмен информацией об учебе, развитии и благополучии ребенка между детскими дошкольными учреждениями и школами. В отчете TLDS содержатся краткие сведения об интересах, навыках и способностях ребенка, а также намечаются индивидуальные подходы и стратегии обучения для оказания поддержки вашему ребенку.</w:t>
      </w:r>
    </w:p>
    <w:p w14:paraId="64E3C2C3" w14:textId="334AFF06" w:rsidR="003134B0" w:rsidRPr="00A3400D" w:rsidRDefault="003134B0" w:rsidP="00D7307A">
      <w:r>
        <w:t>Отчет о переходе в школу также помогает вам понять, поддержать и обсуждать процесс обучения вашего ребенка, когда он начинает учиться в школе. Информация, содержащаяся в отчете TLDS, дает возможность учителям начальной школы познакомиться с вашим ребенком и спланировать соответствующие программы обучения. Если ваш ребенок будет в группе OSHC, то отчет TLDS поможет планировать работу с ним во время его пребывания в группе.</w:t>
      </w:r>
    </w:p>
    <w:p w14:paraId="10B395AC" w14:textId="4D781E5D" w:rsidR="003134B0" w:rsidRPr="00A3400D" w:rsidRDefault="003134B0" w:rsidP="00D7307A">
      <w:r>
        <w:t xml:space="preserve">В отчете TLDS содержатся некоторые личные данные, включая имя и фамилию вашего ребенка, дату рождения и фотографию, а также ваше имя и фамилию и контактные данные. В нем также могут быть имена, фамилии и контактные данные других работников детских дошкольных учреждений, оказавших поддержку вашему ребенку. </w:t>
      </w:r>
    </w:p>
    <w:p w14:paraId="5481B15D" w14:textId="1431B3AC" w:rsidR="003134B0" w:rsidRDefault="003134B0" w:rsidP="00B373A3">
      <w:pPr>
        <w:spacing w:after="240"/>
      </w:pPr>
      <w:r>
        <w:t>Участие в составлении отчета TLDS является одним из видов деятельности в процессе перехода в школу, в котором вы и ваш ребенок можете принять участие перед началом занятий в школе.</w:t>
      </w:r>
    </w:p>
    <w:p w14:paraId="2851CD7E" w14:textId="77777777" w:rsidR="00FD3C03" w:rsidRDefault="00FD3C03" w:rsidP="00B373A3">
      <w:pPr>
        <w:spacing w:after="240"/>
      </w:pPr>
    </w:p>
    <w:p w14:paraId="27A7A33F" w14:textId="77777777" w:rsidR="00FD3C03" w:rsidRDefault="00FD3C03" w:rsidP="00B373A3">
      <w:pPr>
        <w:spacing w:after="240"/>
      </w:pPr>
    </w:p>
    <w:p w14:paraId="497C8094" w14:textId="4ABAE798" w:rsidR="00FD5CEF" w:rsidRDefault="005D0767" w:rsidP="005D0767">
      <w:pPr>
        <w:pStyle w:val="Heading2"/>
        <w:spacing w:before="120"/>
      </w:pPr>
      <w:r>
        <w:t>Как мне ознакомиться с отчетом TLDS моего ребенка?</w:t>
      </w:r>
    </w:p>
    <w:p w14:paraId="7DFF9D18" w14:textId="141DF81E" w:rsidR="005D0767" w:rsidRDefault="000267D6" w:rsidP="005D0767">
      <w:r>
        <w:t>В вашем детском дошкольном учреждении вам дадут ссылку на онлайновый ресурс, на котором размещен TLDS. Использование онлайнового ресурса TLDS - самый удобный способ заполнения отчета TLDS.</w:t>
      </w:r>
    </w:p>
    <w:p w14:paraId="318618BB" w14:textId="5A062A6C" w:rsidR="00706119" w:rsidRDefault="00624623" w:rsidP="00195E6D">
      <w:pPr>
        <w:spacing w:after="240"/>
      </w:pPr>
      <w:r>
        <w:t xml:space="preserve">Если вы не можете воспользоваться онлайновым ресурсом, вы можете попросить бумажный вариант отчета. </w:t>
      </w:r>
    </w:p>
    <w:p w14:paraId="46BDC92E" w14:textId="3B8D13EF" w:rsidR="00B373A3" w:rsidRDefault="00B373A3" w:rsidP="00B373A3">
      <w:pPr>
        <w:pStyle w:val="Heading2"/>
      </w:pPr>
      <w:r>
        <w:t>Какую часть отчета TLDS мне нужно заполнить?</w:t>
      </w:r>
    </w:p>
    <w:p w14:paraId="0B0CD1B9" w14:textId="2E42866E" w:rsidR="00B373A3" w:rsidRDefault="00B373A3" w:rsidP="00B373A3">
      <w:r>
        <w:rPr>
          <w:i/>
        </w:rPr>
        <w:t>Разделы 1</w:t>
      </w:r>
      <w:r>
        <w:t xml:space="preserve"> и</w:t>
      </w:r>
      <w:r>
        <w:rPr>
          <w:i/>
        </w:rPr>
        <w:t xml:space="preserve"> 1.1 </w:t>
      </w:r>
      <w:r>
        <w:t>заполняются педагогом детского дошкольного учреждения вашего ребенка.</w:t>
      </w:r>
    </w:p>
    <w:p w14:paraId="05D65305" w14:textId="161EE1F1" w:rsidR="00B373A3" w:rsidRDefault="00B373A3" w:rsidP="00B373A3">
      <w:r>
        <w:rPr>
          <w:i/>
        </w:rPr>
        <w:t>Раздел 1.2</w:t>
      </w:r>
      <w:r>
        <w:t xml:space="preserve"> может быть заполнен педагогом детского дошкольного учреждения вашего ребенка, если у ребенка есть отставание в развитии или инвалидность. В этот раздел могут также вносить данные другие работники, оказывающие поддержку вашему ребенку.</w:t>
      </w:r>
    </w:p>
    <w:p w14:paraId="0A3B8BC2" w14:textId="5E0CB34D" w:rsidR="00B373A3" w:rsidRPr="00CB4835" w:rsidRDefault="00B373A3" w:rsidP="00B373A3">
      <w:r>
        <w:rPr>
          <w:i/>
        </w:rPr>
        <w:t>Раздел 2: Ребенок</w:t>
      </w:r>
      <w:r>
        <w:t xml:space="preserve"> заполняет сам ребенок совместно со взрослым, которого он хорошо знает. Этим взрослым можете быть вы или работник детского дошкольного учреждения.</w:t>
      </w:r>
    </w:p>
    <w:p w14:paraId="296D5A02" w14:textId="04D04D11" w:rsidR="00B373A3" w:rsidRDefault="00B373A3" w:rsidP="00B373A3">
      <w:pPr>
        <w:spacing w:after="240"/>
      </w:pPr>
      <w:r>
        <w:rPr>
          <w:i/>
        </w:rPr>
        <w:t>Раздел 3: Семья</w:t>
      </w:r>
      <w:r>
        <w:t xml:space="preserve"> заполняется вами. Ваше участие имеет большое значение. В этом разделе имеются вопросы, отвечая на которые вы можете сообщить об интересах ребенка, а также высказать свои мысли и надежды в отношении учебы ребенка в школе. Ответы на эти вопросы могут помочь учителям и работникам группы OSHC (если ребенок будет посещать такую группу) учесть потребности ребенка и понять его, что будет способствовать его учебе и развитию.</w:t>
      </w:r>
    </w:p>
    <w:p w14:paraId="2D1C3E10" w14:textId="46294131" w:rsidR="00B373A3" w:rsidRDefault="00B373A3" w:rsidP="00B373A3">
      <w:pPr>
        <w:pStyle w:val="Heading2"/>
      </w:pPr>
      <w:r>
        <w:t>Что происходит после заполнения отчета TLDS?</w:t>
      </w:r>
    </w:p>
    <w:p w14:paraId="51A8171E" w14:textId="4C6DB6A9" w:rsidR="00B373A3" w:rsidRPr="00552E5E" w:rsidRDefault="00972369" w:rsidP="00B373A3">
      <w:r>
        <w:t>После заполнения отчета TLDS педагог детского дошкольного учреждения передаст вам копию заполненного отчета.</w:t>
      </w:r>
    </w:p>
    <w:p w14:paraId="388BBAEE" w14:textId="5B6C5DE2" w:rsidR="00B373A3" w:rsidRDefault="00B373A3" w:rsidP="00B373A3">
      <w:r>
        <w:t>Педагог детского дошкольного учреждения также передаст заполненный отчет TLDS в школу вашего ребенка и группу OSHC (если ребенок будет посещать такую группу).</w:t>
      </w:r>
    </w:p>
    <w:p w14:paraId="638F1EEA" w14:textId="204A06A9" w:rsidR="00B373A3" w:rsidRDefault="00B373A3" w:rsidP="00B373A3">
      <w:r>
        <w:t>Если вы еще не знаете, какую школу будет посещать ребенок, педагог детского дошкольного учреждения даст вам второй экземпляр отчета TLDS. Вы можете передать его школе при записи ребенка в школу.</w:t>
      </w:r>
    </w:p>
    <w:p w14:paraId="04A1EAC7" w14:textId="003F247B" w:rsidR="00B373A3" w:rsidRDefault="00B373A3" w:rsidP="00B373A3">
      <w:r>
        <w:t xml:space="preserve">Если вы не заполните </w:t>
      </w:r>
      <w:r>
        <w:rPr>
          <w:i/>
        </w:rPr>
        <w:t>Раздел 3: Семья</w:t>
      </w:r>
      <w:r>
        <w:t>, работник дошкольного учреждения вашего ребенка передаст другие заполненные разделы в школу и группу OSHC (если ребенок будет посещать такую группу) и вручит вам копию переданной информации.</w:t>
      </w:r>
    </w:p>
    <w:p w14:paraId="52B879C2" w14:textId="23EE667D" w:rsidR="00B373A3" w:rsidRPr="00346DF8" w:rsidRDefault="00B373A3" w:rsidP="00B373A3">
      <w:r>
        <w:t xml:space="preserve">Исследования и опросы работников школ говорят о том, что предоставление этой информации благотворно сказывается на процессе перехода ребенка в школу. Если вы не пожелаете предоставлять отчет TLDS в школу вашего ребенка, просим поговорить об этом с педагогом детского дошкольного учреждения вашего ребенка. </w:t>
      </w:r>
    </w:p>
    <w:p w14:paraId="0A23DA6D" w14:textId="51344599" w:rsidR="00B373A3" w:rsidRPr="00346DF8" w:rsidRDefault="00B373A3" w:rsidP="00B373A3">
      <w:r>
        <w:t xml:space="preserve">Правильно подобранная и надежная информация помогает работникам системы образования и ухода за детьми штата Виктория получать знания и информацию, необходимую для обеспечения благополучия и безопасности ребенка. </w:t>
      </w:r>
    </w:p>
    <w:p w14:paraId="1C7F3E00" w14:textId="335AAC5B" w:rsidR="00B373A3" w:rsidRDefault="00B373A3" w:rsidP="00B373A3">
      <w:pPr>
        <w:spacing w:after="240"/>
      </w:pPr>
      <w:r>
        <w:t xml:space="preserve">Более подробная информация имеется на веб-сайте </w:t>
      </w:r>
      <w:hyperlink r:id="rId8" w:history="1">
        <w:r>
          <w:rPr>
            <w:rStyle w:val="Hyperlink"/>
          </w:rPr>
          <w:t>https://www.vic.gov.au/information-sharing-schemes-and-the-maram-framework</w:t>
        </w:r>
      </w:hyperlink>
      <w:r>
        <w:t xml:space="preserve"> </w:t>
      </w:r>
    </w:p>
    <w:p w14:paraId="44338E3E" w14:textId="77777777" w:rsidR="00FD3C03" w:rsidRDefault="00FD3C03" w:rsidP="00B373A3">
      <w:pPr>
        <w:spacing w:after="240"/>
      </w:pPr>
    </w:p>
    <w:p w14:paraId="7F1BF294" w14:textId="41D25F44" w:rsidR="00B373A3" w:rsidRDefault="00B373A3" w:rsidP="00B373A3">
      <w:pPr>
        <w:pStyle w:val="Heading2"/>
      </w:pPr>
      <w:r>
        <w:t>Более подробная информация</w:t>
      </w:r>
    </w:p>
    <w:p w14:paraId="52E0A65D" w14:textId="4816BE84" w:rsidR="00B373A3" w:rsidRDefault="00972369" w:rsidP="00B373A3">
      <w:r>
        <w:t xml:space="preserve">Более подробная информация имеется на веб-сайте </w:t>
      </w:r>
      <w:hyperlink r:id="rId9" w:history="1">
        <w:r>
          <w:rPr>
            <w:rStyle w:val="Hyperlink"/>
          </w:rPr>
          <w:t>www.vic.gov.au/transition-school-resources-families</w:t>
        </w:r>
      </w:hyperlink>
      <w:r>
        <w:t xml:space="preserve"> </w:t>
      </w:r>
      <w:hyperlink r:id="rId10" w:history="1"/>
    </w:p>
    <w:p w14:paraId="40B5367F" w14:textId="39520DF3" w:rsidR="00B373A3" w:rsidRDefault="00B373A3" w:rsidP="003134B0">
      <w:r>
        <w:t xml:space="preserve">Эта информация также имеется на ряде языков этнических общин. К ней можно перейти по той же самой ссылке: </w:t>
      </w:r>
      <w:hyperlink r:id="rId11" w:history="1">
        <w:r>
          <w:rPr>
            <w:rStyle w:val="Hyperlink"/>
          </w:rPr>
          <w:t>www.vic.gov.au/transition-school-resources-families</w:t>
        </w:r>
      </w:hyperlink>
      <w:r>
        <w:t xml:space="preserve"> </w:t>
      </w:r>
    </w:p>
    <w:sectPr w:rsidR="00B373A3" w:rsidSect="00B66D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4B2C" w14:textId="77777777" w:rsidR="00CF2D16" w:rsidRDefault="00CF2D16" w:rsidP="003967DD">
      <w:pPr>
        <w:spacing w:after="0"/>
      </w:pPr>
      <w:r>
        <w:separator/>
      </w:r>
    </w:p>
  </w:endnote>
  <w:endnote w:type="continuationSeparator" w:id="0">
    <w:p w14:paraId="31113F29" w14:textId="77777777" w:rsidR="00CF2D16" w:rsidRDefault="00CF2D16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30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2A9EE1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8A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02CB4B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810B" w14:textId="77777777" w:rsidR="00544202" w:rsidRDefault="0054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DDEC" w14:textId="77777777" w:rsidR="00CF2D16" w:rsidRDefault="00CF2D16" w:rsidP="003967DD">
      <w:pPr>
        <w:spacing w:after="0"/>
      </w:pPr>
      <w:r>
        <w:separator/>
      </w:r>
    </w:p>
  </w:footnote>
  <w:footnote w:type="continuationSeparator" w:id="0">
    <w:p w14:paraId="5604A1AA" w14:textId="77777777" w:rsidR="00CF2D16" w:rsidRDefault="00CF2D16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D911" w14:textId="77777777" w:rsidR="00544202" w:rsidRDefault="00544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26AF" w14:textId="77777777" w:rsidR="003967DD" w:rsidRDefault="000861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0C8BE" wp14:editId="3D120A2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5965" w14:textId="77777777" w:rsidR="00544202" w:rsidRDefault="00544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934898">
    <w:abstractNumId w:val="0"/>
  </w:num>
  <w:num w:numId="2" w16cid:durableId="1196235854">
    <w:abstractNumId w:val="1"/>
  </w:num>
  <w:num w:numId="3" w16cid:durableId="97024284">
    <w:abstractNumId w:val="2"/>
  </w:num>
  <w:num w:numId="4" w16cid:durableId="1356272963">
    <w:abstractNumId w:val="3"/>
  </w:num>
  <w:num w:numId="5" w16cid:durableId="546986368">
    <w:abstractNumId w:val="4"/>
  </w:num>
  <w:num w:numId="6" w16cid:durableId="2031056633">
    <w:abstractNumId w:val="9"/>
  </w:num>
  <w:num w:numId="7" w16cid:durableId="430972131">
    <w:abstractNumId w:val="5"/>
  </w:num>
  <w:num w:numId="8" w16cid:durableId="1999070865">
    <w:abstractNumId w:val="6"/>
  </w:num>
  <w:num w:numId="9" w16cid:durableId="1138957690">
    <w:abstractNumId w:val="7"/>
  </w:num>
  <w:num w:numId="10" w16cid:durableId="1751270366">
    <w:abstractNumId w:val="8"/>
  </w:num>
  <w:num w:numId="11" w16cid:durableId="1174878883">
    <w:abstractNumId w:val="10"/>
  </w:num>
  <w:num w:numId="12" w16cid:durableId="478158015">
    <w:abstractNumId w:val="13"/>
  </w:num>
  <w:num w:numId="13" w16cid:durableId="1076395517">
    <w:abstractNumId w:val="15"/>
  </w:num>
  <w:num w:numId="14" w16cid:durableId="2049721953">
    <w:abstractNumId w:val="16"/>
  </w:num>
  <w:num w:numId="15" w16cid:durableId="457140384">
    <w:abstractNumId w:val="11"/>
  </w:num>
  <w:num w:numId="16" w16cid:durableId="70128209">
    <w:abstractNumId w:val="14"/>
  </w:num>
  <w:num w:numId="17" w16cid:durableId="11752615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267D6"/>
    <w:rsid w:val="000326BD"/>
    <w:rsid w:val="0005644D"/>
    <w:rsid w:val="0006266B"/>
    <w:rsid w:val="00080DA9"/>
    <w:rsid w:val="000850A7"/>
    <w:rsid w:val="000861DD"/>
    <w:rsid w:val="00090D87"/>
    <w:rsid w:val="00097F7A"/>
    <w:rsid w:val="000A47D4"/>
    <w:rsid w:val="000B1688"/>
    <w:rsid w:val="000C600E"/>
    <w:rsid w:val="00122369"/>
    <w:rsid w:val="00150E0F"/>
    <w:rsid w:val="00157212"/>
    <w:rsid w:val="0016287D"/>
    <w:rsid w:val="00184BC4"/>
    <w:rsid w:val="00195E6D"/>
    <w:rsid w:val="001A43E0"/>
    <w:rsid w:val="001D0D94"/>
    <w:rsid w:val="001D13F9"/>
    <w:rsid w:val="001D1DE4"/>
    <w:rsid w:val="001F39DD"/>
    <w:rsid w:val="002356FA"/>
    <w:rsid w:val="002512BE"/>
    <w:rsid w:val="0027429B"/>
    <w:rsid w:val="00275FB8"/>
    <w:rsid w:val="002A4A96"/>
    <w:rsid w:val="002B573A"/>
    <w:rsid w:val="002C726A"/>
    <w:rsid w:val="002E3BED"/>
    <w:rsid w:val="002F6115"/>
    <w:rsid w:val="00303E24"/>
    <w:rsid w:val="00312720"/>
    <w:rsid w:val="003134B0"/>
    <w:rsid w:val="00333DCC"/>
    <w:rsid w:val="00343AFC"/>
    <w:rsid w:val="0034745C"/>
    <w:rsid w:val="003967DD"/>
    <w:rsid w:val="003A2A4A"/>
    <w:rsid w:val="003A4C39"/>
    <w:rsid w:val="003F2436"/>
    <w:rsid w:val="004127A9"/>
    <w:rsid w:val="00414E32"/>
    <w:rsid w:val="0042333B"/>
    <w:rsid w:val="00455B93"/>
    <w:rsid w:val="004B1633"/>
    <w:rsid w:val="004B2ED6"/>
    <w:rsid w:val="004C3881"/>
    <w:rsid w:val="004E43D6"/>
    <w:rsid w:val="00500ADA"/>
    <w:rsid w:val="00512BBA"/>
    <w:rsid w:val="00527E63"/>
    <w:rsid w:val="00544202"/>
    <w:rsid w:val="00554401"/>
    <w:rsid w:val="00555277"/>
    <w:rsid w:val="00567CF0"/>
    <w:rsid w:val="005837FE"/>
    <w:rsid w:val="00584366"/>
    <w:rsid w:val="005A4F12"/>
    <w:rsid w:val="005C1544"/>
    <w:rsid w:val="005C6D8D"/>
    <w:rsid w:val="005D0767"/>
    <w:rsid w:val="005E0713"/>
    <w:rsid w:val="005F52DC"/>
    <w:rsid w:val="00606C98"/>
    <w:rsid w:val="00610298"/>
    <w:rsid w:val="00624623"/>
    <w:rsid w:val="00624A55"/>
    <w:rsid w:val="0065308D"/>
    <w:rsid w:val="006671CE"/>
    <w:rsid w:val="00682FEA"/>
    <w:rsid w:val="00690CEB"/>
    <w:rsid w:val="006A1F8A"/>
    <w:rsid w:val="006A25AC"/>
    <w:rsid w:val="006C45C0"/>
    <w:rsid w:val="006E2376"/>
    <w:rsid w:val="006E2B9A"/>
    <w:rsid w:val="006E2ECB"/>
    <w:rsid w:val="00706119"/>
    <w:rsid w:val="0071011D"/>
    <w:rsid w:val="00710CED"/>
    <w:rsid w:val="00735566"/>
    <w:rsid w:val="0074637B"/>
    <w:rsid w:val="00767573"/>
    <w:rsid w:val="007B556E"/>
    <w:rsid w:val="007D3E38"/>
    <w:rsid w:val="00804571"/>
    <w:rsid w:val="008065DA"/>
    <w:rsid w:val="00835FD2"/>
    <w:rsid w:val="008437E3"/>
    <w:rsid w:val="00855DD0"/>
    <w:rsid w:val="0088474D"/>
    <w:rsid w:val="00890680"/>
    <w:rsid w:val="00892E24"/>
    <w:rsid w:val="008A2ECB"/>
    <w:rsid w:val="008B1737"/>
    <w:rsid w:val="008B6878"/>
    <w:rsid w:val="008D15D4"/>
    <w:rsid w:val="008E2AFE"/>
    <w:rsid w:val="008F3D35"/>
    <w:rsid w:val="0090341A"/>
    <w:rsid w:val="00925422"/>
    <w:rsid w:val="00950397"/>
    <w:rsid w:val="00952690"/>
    <w:rsid w:val="00972369"/>
    <w:rsid w:val="00983977"/>
    <w:rsid w:val="00993A32"/>
    <w:rsid w:val="009A3B93"/>
    <w:rsid w:val="009B048F"/>
    <w:rsid w:val="009F6A77"/>
    <w:rsid w:val="00A31926"/>
    <w:rsid w:val="00A710DF"/>
    <w:rsid w:val="00AC004D"/>
    <w:rsid w:val="00AF684C"/>
    <w:rsid w:val="00B21562"/>
    <w:rsid w:val="00B373A3"/>
    <w:rsid w:val="00B577E2"/>
    <w:rsid w:val="00B66DF6"/>
    <w:rsid w:val="00BD5F6F"/>
    <w:rsid w:val="00C039BF"/>
    <w:rsid w:val="00C06408"/>
    <w:rsid w:val="00C3187E"/>
    <w:rsid w:val="00C539BB"/>
    <w:rsid w:val="00C72506"/>
    <w:rsid w:val="00C975F7"/>
    <w:rsid w:val="00CC112D"/>
    <w:rsid w:val="00CC5AA8"/>
    <w:rsid w:val="00CD5993"/>
    <w:rsid w:val="00CD5D2B"/>
    <w:rsid w:val="00CF2D16"/>
    <w:rsid w:val="00D14311"/>
    <w:rsid w:val="00D82ACF"/>
    <w:rsid w:val="00D9777A"/>
    <w:rsid w:val="00DC15C0"/>
    <w:rsid w:val="00DC4D0D"/>
    <w:rsid w:val="00E24259"/>
    <w:rsid w:val="00E34263"/>
    <w:rsid w:val="00E34721"/>
    <w:rsid w:val="00E4317E"/>
    <w:rsid w:val="00E5030B"/>
    <w:rsid w:val="00E50FF0"/>
    <w:rsid w:val="00E56210"/>
    <w:rsid w:val="00E64758"/>
    <w:rsid w:val="00E75D26"/>
    <w:rsid w:val="00E77EB9"/>
    <w:rsid w:val="00EB4742"/>
    <w:rsid w:val="00F05099"/>
    <w:rsid w:val="00F44B8C"/>
    <w:rsid w:val="00F5271F"/>
    <w:rsid w:val="00F52D9F"/>
    <w:rsid w:val="00F54E7C"/>
    <w:rsid w:val="00F61767"/>
    <w:rsid w:val="00F94715"/>
    <w:rsid w:val="00F95A87"/>
    <w:rsid w:val="00FC5279"/>
    <w:rsid w:val="00FD3C03"/>
    <w:rsid w:val="00FD5CEF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EEF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ru-RU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styleId="Revision">
    <w:name w:val="Revision"/>
    <w:hidden/>
    <w:uiPriority w:val="99"/>
    <w:semiHidden/>
    <w:rsid w:val="00993A32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6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.gov.au/information-sharing-schemes-and-the-maram-framewor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c.gov.au/transition-school-resources-famil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ic.gov.au/moving-primary-schoo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c.gov.au/transition-school-resources-famili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CE91ED-A6F3-467B-870C-0F669587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2023-08-31T07:19:00Z</dcterms:created>
  <dcterms:modified xsi:type="dcterms:W3CDTF">2023-09-15T00:44:00Z</dcterms:modified>
</cp:coreProperties>
</file>